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CB86">
      <w:pPr>
        <w:spacing w:before="171" w:line="560" w:lineRule="exact"/>
        <w:jc w:val="center"/>
        <w:rPr>
          <w:rFonts w:ascii="宋体" w:hAnsi="宋体" w:eastAsia="宋体" w:cs="宋体"/>
          <w:sz w:val="28"/>
          <w:szCs w:val="28"/>
          <w:highlight w:val="none"/>
        </w:rPr>
      </w:pPr>
      <w:r>
        <w:rPr>
          <w:rFonts w:ascii="宋体" w:hAnsi="宋体" w:eastAsia="宋体" w:cs="宋体"/>
          <w:b/>
          <w:bCs/>
          <w:spacing w:val="-3"/>
          <w:sz w:val="28"/>
          <w:szCs w:val="28"/>
          <w:highlight w:val="none"/>
        </w:rPr>
        <w:t>第一部分</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基本要求</w:t>
      </w:r>
    </w:p>
    <w:p w14:paraId="40370346">
      <w:pPr>
        <w:spacing w:before="251" w:line="560" w:lineRule="exact"/>
        <w:ind w:right="136" w:firstLine="436"/>
        <w:rPr>
          <w:rFonts w:ascii="Times New Roman" w:hAnsi="Times New Roman" w:eastAsia="Times New Roman" w:cs="Times New Roman"/>
          <w:spacing w:val="11"/>
          <w:sz w:val="20"/>
          <w:szCs w:val="20"/>
          <w:highlight w:val="none"/>
        </w:rPr>
      </w:pPr>
      <w:r>
        <w:rPr>
          <w:rFonts w:hint="eastAsia" w:ascii="宋体" w:hAnsi="宋体" w:cs="宋体"/>
          <w:sz w:val="24"/>
          <w:szCs w:val="20"/>
          <w:highlight w:val="none"/>
          <w:u w:val="single"/>
          <w:lang w:val="zh-CN"/>
        </w:rPr>
        <w:t>项目建设规划光伏建设总容量约为1.3兆瓦（最终以实际光伏组件安装容量为准）；同步建设先进储能0.216MW/0.43MWh；改造厂区内路灯为光伏路灯共计50盏（含备件，包括光储系统及相应的配套并网设施。</w:t>
      </w:r>
    </w:p>
    <w:p w14:paraId="17D6CBFD">
      <w:pPr>
        <w:spacing w:before="251" w:line="560" w:lineRule="exact"/>
        <w:ind w:right="136" w:firstLine="436"/>
        <w:rPr>
          <w:rFonts w:ascii="宋体" w:hAnsi="宋体" w:eastAsia="宋体" w:cs="宋体"/>
          <w:sz w:val="20"/>
          <w:szCs w:val="20"/>
          <w:highlight w:val="none"/>
        </w:rPr>
      </w:pPr>
      <w:r>
        <w:rPr>
          <w:rFonts w:ascii="Times New Roman" w:hAnsi="Times New Roman" w:eastAsia="Times New Roman" w:cs="Times New Roman"/>
          <w:spacing w:val="11"/>
          <w:sz w:val="20"/>
          <w:szCs w:val="20"/>
          <w:highlight w:val="none"/>
        </w:rPr>
        <w:t>1</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11"/>
          <w:sz w:val="20"/>
          <w:szCs w:val="20"/>
          <w:highlight w:val="none"/>
        </w:rPr>
        <w:t>．太阳能光伏电站总的要求是：安全、可靠、高效</w:t>
      </w:r>
      <w:r>
        <w:rPr>
          <w:rFonts w:ascii="宋体" w:hAnsi="宋体" w:eastAsia="宋体" w:cs="宋体"/>
          <w:spacing w:val="10"/>
          <w:sz w:val="20"/>
          <w:szCs w:val="20"/>
          <w:highlight w:val="none"/>
        </w:rPr>
        <w:t>、系统优化、功能完整、便于运维。建设期间不影响项目所在</w:t>
      </w:r>
      <w:r>
        <w:rPr>
          <w:rFonts w:hint="eastAsia" w:ascii="宋体" w:hAnsi="宋体" w:eastAsia="宋体" w:cs="宋体"/>
          <w:spacing w:val="10"/>
          <w:sz w:val="20"/>
          <w:szCs w:val="20"/>
          <w:highlight w:val="none"/>
        </w:rPr>
        <w:t>粮库</w:t>
      </w:r>
      <w:r>
        <w:rPr>
          <w:rFonts w:ascii="宋体" w:hAnsi="宋体" w:eastAsia="宋体" w:cs="宋体"/>
          <w:spacing w:val="10"/>
          <w:sz w:val="20"/>
          <w:szCs w:val="20"/>
          <w:highlight w:val="none"/>
        </w:rPr>
        <w:t>正常生产。承包方提供的方案</w:t>
      </w:r>
      <w:r>
        <w:rPr>
          <w:rFonts w:ascii="宋体" w:hAnsi="宋体" w:eastAsia="宋体" w:cs="宋体"/>
          <w:spacing w:val="9"/>
          <w:sz w:val="20"/>
          <w:szCs w:val="20"/>
          <w:highlight w:val="none"/>
        </w:rPr>
        <w:t>、设备以及施工必须满足本招标文件的技术要求。</w:t>
      </w:r>
    </w:p>
    <w:p w14:paraId="59263775">
      <w:pPr>
        <w:spacing w:before="32" w:line="560" w:lineRule="exact"/>
        <w:ind w:left="425"/>
        <w:rPr>
          <w:rFonts w:ascii="宋体" w:hAnsi="宋体" w:eastAsia="宋体" w:cs="宋体"/>
          <w:sz w:val="20"/>
          <w:szCs w:val="20"/>
          <w:highlight w:val="none"/>
        </w:rPr>
      </w:pPr>
      <w:r>
        <w:rPr>
          <w:rFonts w:ascii="宋体" w:hAnsi="宋体" w:eastAsia="宋体" w:cs="宋体"/>
          <w:spacing w:val="8"/>
          <w:sz w:val="20"/>
          <w:szCs w:val="20"/>
          <w:highlight w:val="none"/>
        </w:rPr>
        <w:t>具体包括但不限于以下各项：</w:t>
      </w:r>
    </w:p>
    <w:p w14:paraId="5DB475B9">
      <w:pPr>
        <w:spacing w:before="221" w:line="560" w:lineRule="exact"/>
        <w:ind w:left="14" w:right="-6" w:firstLine="416"/>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1</w:t>
      </w:r>
      <w:r>
        <w:rPr>
          <w:rFonts w:ascii="宋体" w:hAnsi="宋体" w:eastAsia="宋体" w:cs="宋体"/>
          <w:spacing w:val="11"/>
          <w:sz w:val="20"/>
          <w:szCs w:val="20"/>
          <w:highlight w:val="none"/>
        </w:rPr>
        <w:t>）根据接入系统意见函的要求建设规划容量的分布式光伏发电电站项目，建设满足接入系统意见</w:t>
      </w:r>
      <w:r>
        <w:rPr>
          <w:rFonts w:ascii="宋体" w:hAnsi="宋体" w:eastAsia="宋体" w:cs="宋体"/>
          <w:spacing w:val="12"/>
          <w:sz w:val="20"/>
          <w:szCs w:val="20"/>
          <w:highlight w:val="none"/>
        </w:rPr>
        <w:t xml:space="preserve"> </w:t>
      </w:r>
      <w:r>
        <w:rPr>
          <w:rFonts w:ascii="宋体" w:hAnsi="宋体" w:eastAsia="宋体" w:cs="宋体"/>
          <w:spacing w:val="7"/>
          <w:sz w:val="20"/>
          <w:szCs w:val="20"/>
          <w:highlight w:val="none"/>
        </w:rPr>
        <w:t>函及设备改造要求的电力送出工程。</w:t>
      </w:r>
    </w:p>
    <w:p w14:paraId="5B45D9F8">
      <w:pPr>
        <w:spacing w:before="221" w:line="560" w:lineRule="exact"/>
        <w:ind w:right="-6" w:firstLine="430"/>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2</w:t>
      </w:r>
      <w:r>
        <w:rPr>
          <w:rFonts w:ascii="宋体" w:hAnsi="宋体" w:eastAsia="宋体" w:cs="宋体"/>
          <w:spacing w:val="11"/>
          <w:sz w:val="20"/>
          <w:szCs w:val="20"/>
          <w:highlight w:val="none"/>
        </w:rPr>
        <w:t>）工程设计（包光伏电站工程施工图设计（包括但不限于光伏电站发电系统设计、消防设计、水</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暖设计（如需要）、土建设计、加固设计（如需要）等</w:t>
      </w:r>
      <w:r>
        <w:rPr>
          <w:rFonts w:ascii="宋体" w:hAnsi="宋体" w:eastAsia="宋体" w:cs="宋体"/>
          <w:spacing w:val="22"/>
          <w:sz w:val="20"/>
          <w:szCs w:val="20"/>
          <w:highlight w:val="none"/>
        </w:rPr>
        <w:t>），</w:t>
      </w:r>
      <w:r>
        <w:rPr>
          <w:rFonts w:ascii="宋体" w:hAnsi="宋体" w:eastAsia="宋体" w:cs="宋体"/>
          <w:spacing w:val="9"/>
          <w:sz w:val="20"/>
          <w:szCs w:val="20"/>
          <w:highlight w:val="none"/>
        </w:rPr>
        <w:t>出具荷载报告（</w:t>
      </w:r>
      <w:r>
        <w:rPr>
          <w:rFonts w:ascii="宋体" w:hAnsi="宋体" w:eastAsia="宋体" w:cs="宋体"/>
          <w:spacing w:val="8"/>
          <w:sz w:val="20"/>
          <w:szCs w:val="20"/>
          <w:highlight w:val="none"/>
        </w:rPr>
        <w:t>即结构校核，费用已包含在设</w:t>
      </w:r>
      <w:r>
        <w:rPr>
          <w:rFonts w:ascii="宋体" w:hAnsi="宋体" w:eastAsia="宋体" w:cs="宋体"/>
          <w:spacing w:val="7"/>
          <w:sz w:val="20"/>
          <w:szCs w:val="20"/>
          <w:highlight w:val="none"/>
        </w:rPr>
        <w:t>计费</w:t>
      </w:r>
      <w:r>
        <w:rPr>
          <w:rFonts w:ascii="宋体" w:hAnsi="宋体" w:eastAsia="宋体" w:cs="宋体"/>
          <w:spacing w:val="18"/>
          <w:sz w:val="20"/>
          <w:szCs w:val="20"/>
          <w:highlight w:val="none"/>
        </w:rPr>
        <w:t>），</w:t>
      </w:r>
      <w:r>
        <w:rPr>
          <w:rFonts w:ascii="宋体" w:hAnsi="宋体" w:eastAsia="宋体" w:cs="宋体"/>
          <w:spacing w:val="7"/>
          <w:sz w:val="20"/>
          <w:szCs w:val="20"/>
          <w:highlight w:val="none"/>
        </w:rPr>
        <w:t>竣工图和竣工文件编制。</w:t>
      </w:r>
    </w:p>
    <w:p w14:paraId="027E5E42">
      <w:pPr>
        <w:spacing w:before="221" w:line="560" w:lineRule="exact"/>
        <w:ind w:left="1" w:right="-6" w:firstLine="429"/>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3</w:t>
      </w:r>
      <w:r>
        <w:rPr>
          <w:rFonts w:ascii="宋体" w:hAnsi="宋体" w:eastAsia="宋体" w:cs="宋体"/>
          <w:spacing w:val="11"/>
          <w:sz w:val="20"/>
          <w:szCs w:val="20"/>
          <w:highlight w:val="none"/>
        </w:rPr>
        <w:t>）承包人必须按发包人提供的初步设计文件和《用户需求书》进行施工图深化设计，并满足相关</w:t>
      </w:r>
      <w:r>
        <w:rPr>
          <w:rFonts w:ascii="宋体" w:hAnsi="宋体" w:eastAsia="宋体" w:cs="宋体"/>
          <w:spacing w:val="12"/>
          <w:sz w:val="20"/>
          <w:szCs w:val="20"/>
          <w:highlight w:val="none"/>
        </w:rPr>
        <w:t xml:space="preserve"> </w:t>
      </w:r>
      <w:r>
        <w:rPr>
          <w:rFonts w:ascii="宋体" w:hAnsi="宋体" w:eastAsia="宋体" w:cs="宋体"/>
          <w:spacing w:val="7"/>
          <w:sz w:val="20"/>
          <w:szCs w:val="20"/>
          <w:highlight w:val="none"/>
        </w:rPr>
        <w:t>技术和规范要求。</w:t>
      </w:r>
    </w:p>
    <w:p w14:paraId="6245E71F">
      <w:pPr>
        <w:spacing w:before="221" w:line="560" w:lineRule="exact"/>
        <w:ind w:left="430" w:right="-6"/>
        <w:rPr>
          <w:rFonts w:ascii="宋体" w:hAnsi="宋体" w:eastAsia="宋体" w:cs="宋体"/>
          <w:sz w:val="20"/>
          <w:szCs w:val="20"/>
          <w:highlight w:val="none"/>
        </w:rPr>
      </w:pPr>
      <w:r>
        <w:rPr>
          <w:rFonts w:ascii="宋体" w:hAnsi="宋体" w:eastAsia="宋体" w:cs="宋体"/>
          <w:spacing w:val="9"/>
          <w:sz w:val="20"/>
          <w:szCs w:val="20"/>
          <w:highlight w:val="none"/>
        </w:rPr>
        <w:t>（</w:t>
      </w:r>
      <w:r>
        <w:rPr>
          <w:rFonts w:ascii="Times New Roman" w:hAnsi="Times New Roman" w:eastAsia="Times New Roman" w:cs="Times New Roman"/>
          <w:spacing w:val="9"/>
          <w:sz w:val="20"/>
          <w:szCs w:val="20"/>
          <w:highlight w:val="none"/>
        </w:rPr>
        <w:t>4</w:t>
      </w:r>
      <w:r>
        <w:rPr>
          <w:rFonts w:ascii="宋体" w:hAnsi="宋体" w:eastAsia="宋体" w:cs="宋体"/>
          <w:spacing w:val="9"/>
          <w:sz w:val="20"/>
          <w:szCs w:val="20"/>
          <w:highlight w:val="none"/>
        </w:rPr>
        <w:t>）满足工程需要的工程设备材料采购、运输、卸货、验货、保管及二次搬运等。</w:t>
      </w:r>
    </w:p>
    <w:p w14:paraId="715CC591">
      <w:pPr>
        <w:spacing w:before="222" w:line="560" w:lineRule="exact"/>
        <w:ind w:right="-6" w:firstLine="430"/>
        <w:rPr>
          <w:rFonts w:ascii="宋体" w:hAnsi="宋体" w:eastAsia="宋体" w:cs="宋体"/>
          <w:sz w:val="20"/>
          <w:szCs w:val="20"/>
          <w:highlight w:val="none"/>
        </w:rPr>
      </w:pPr>
      <w:r>
        <w:rPr>
          <w:rFonts w:ascii="宋体" w:hAnsi="宋体" w:eastAsia="宋体" w:cs="宋体"/>
          <w:spacing w:val="10"/>
          <w:sz w:val="20"/>
          <w:szCs w:val="20"/>
          <w:highlight w:val="none"/>
        </w:rPr>
        <w:t>（</w:t>
      </w:r>
      <w:r>
        <w:rPr>
          <w:rFonts w:ascii="Times New Roman" w:hAnsi="Times New Roman" w:eastAsia="Times New Roman" w:cs="Times New Roman"/>
          <w:spacing w:val="10"/>
          <w:sz w:val="20"/>
          <w:szCs w:val="20"/>
          <w:highlight w:val="none"/>
        </w:rPr>
        <w:t>5</w:t>
      </w:r>
      <w:r>
        <w:rPr>
          <w:rFonts w:ascii="宋体" w:hAnsi="宋体" w:eastAsia="宋体" w:cs="宋体"/>
          <w:spacing w:val="10"/>
          <w:sz w:val="20"/>
          <w:szCs w:val="20"/>
          <w:highlight w:val="none"/>
        </w:rPr>
        <w:t>）本项目所有土建、安装工程</w:t>
      </w:r>
      <w:r>
        <w:rPr>
          <w:rFonts w:ascii="Times New Roman" w:hAnsi="Times New Roman" w:eastAsia="Times New Roman" w:cs="Times New Roman"/>
          <w:spacing w:val="10"/>
          <w:sz w:val="20"/>
          <w:szCs w:val="20"/>
          <w:highlight w:val="none"/>
        </w:rPr>
        <w:t>,</w:t>
      </w:r>
      <w:r>
        <w:rPr>
          <w:rFonts w:ascii="宋体" w:hAnsi="宋体" w:eastAsia="宋体" w:cs="宋体"/>
          <w:spacing w:val="10"/>
          <w:sz w:val="20"/>
          <w:szCs w:val="20"/>
          <w:highlight w:val="none"/>
        </w:rPr>
        <w:t>包括但不限于光伏组件（含支架）、汇流箱、逆变器、低</w:t>
      </w:r>
      <w:r>
        <w:rPr>
          <w:rFonts w:ascii="宋体" w:hAnsi="宋体" w:eastAsia="宋体" w:cs="宋体"/>
          <w:spacing w:val="9"/>
          <w:sz w:val="20"/>
          <w:szCs w:val="20"/>
          <w:highlight w:val="none"/>
        </w:rPr>
        <w:t>压交流开</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关柜（盘）、电能计量和电能质量监测装置、继电保护和安全自动装置、自动化和通信设备（含传输通道）、</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自动电压控制（</w:t>
      </w:r>
      <w:r>
        <w:rPr>
          <w:rFonts w:ascii="Times New Roman" w:hAnsi="Times New Roman" w:eastAsia="Times New Roman" w:cs="Times New Roman"/>
          <w:sz w:val="20"/>
          <w:szCs w:val="20"/>
          <w:highlight w:val="none"/>
        </w:rPr>
        <w:t>AVC</w:t>
      </w:r>
      <w:r>
        <w:rPr>
          <w:rFonts w:ascii="宋体" w:hAnsi="宋体" w:eastAsia="宋体" w:cs="宋体"/>
          <w:spacing w:val="8"/>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8"/>
          <w:sz w:val="20"/>
          <w:szCs w:val="20"/>
          <w:highlight w:val="none"/>
        </w:rPr>
        <w:t>自动发电控制（</w:t>
      </w:r>
      <w:r>
        <w:rPr>
          <w:rFonts w:ascii="Times New Roman" w:hAnsi="Times New Roman" w:eastAsia="Times New Roman" w:cs="Times New Roman"/>
          <w:sz w:val="20"/>
          <w:szCs w:val="20"/>
          <w:highlight w:val="none"/>
        </w:rPr>
        <w:t>AGC</w:t>
      </w:r>
      <w:r>
        <w:rPr>
          <w:rFonts w:ascii="宋体" w:hAnsi="宋体" w:eastAsia="宋体" w:cs="宋体"/>
          <w:spacing w:val="8"/>
          <w:sz w:val="20"/>
          <w:szCs w:val="20"/>
          <w:highlight w:val="none"/>
        </w:rPr>
        <w:t>）、太阳能资源实时监测系统、计算机监控系统、视频监控</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系统、安防报警系统、火灾报警系统、环境监控装置、电缆和光缆、消防系统、照明和暖通系统、防雷接</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地等所有设备安装、调试、试验及设备基础、配电房及进厂道路施工、设备标志牌</w:t>
      </w:r>
      <w:r>
        <w:rPr>
          <w:rFonts w:ascii="Times New Roman" w:hAnsi="Times New Roman" w:eastAsia="Times New Roman" w:cs="Times New Roman"/>
          <w:spacing w:val="8"/>
          <w:sz w:val="20"/>
          <w:szCs w:val="20"/>
          <w:highlight w:val="none"/>
        </w:rPr>
        <w:t>/</w:t>
      </w:r>
      <w:r>
        <w:rPr>
          <w:rFonts w:ascii="宋体" w:hAnsi="宋体" w:eastAsia="宋体" w:cs="宋体"/>
          <w:spacing w:val="8"/>
          <w:sz w:val="20"/>
          <w:szCs w:val="20"/>
          <w:highlight w:val="none"/>
        </w:rPr>
        <w:t>警示牌、宣</w:t>
      </w:r>
      <w:r>
        <w:rPr>
          <w:rFonts w:ascii="宋体" w:hAnsi="宋体" w:eastAsia="宋体" w:cs="宋体"/>
          <w:spacing w:val="7"/>
          <w:sz w:val="20"/>
          <w:szCs w:val="20"/>
          <w:highlight w:val="none"/>
        </w:rPr>
        <w:t>传栏设计施</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工（按甲方技术要求）等，包括施工用水和生产运营用水的施工。</w:t>
      </w:r>
    </w:p>
    <w:p w14:paraId="5D3564D0">
      <w:pPr>
        <w:spacing w:before="221" w:line="560" w:lineRule="exact"/>
        <w:ind w:left="430"/>
        <w:rPr>
          <w:rFonts w:ascii="宋体" w:hAnsi="宋体" w:eastAsia="宋体" w:cs="宋体"/>
          <w:sz w:val="20"/>
          <w:szCs w:val="20"/>
          <w:highlight w:val="none"/>
        </w:rPr>
      </w:pPr>
      <w:r>
        <w:rPr>
          <w:rFonts w:ascii="宋体" w:hAnsi="宋体" w:eastAsia="宋体" w:cs="宋体"/>
          <w:spacing w:val="9"/>
          <w:sz w:val="20"/>
          <w:szCs w:val="20"/>
          <w:highlight w:val="none"/>
        </w:rPr>
        <w:t>（</w:t>
      </w:r>
      <w:r>
        <w:rPr>
          <w:rFonts w:ascii="Times New Roman" w:hAnsi="Times New Roman" w:eastAsia="Times New Roman" w:cs="Times New Roman"/>
          <w:spacing w:val="9"/>
          <w:sz w:val="20"/>
          <w:szCs w:val="20"/>
          <w:highlight w:val="none"/>
        </w:rPr>
        <w:t>6</w:t>
      </w:r>
      <w:r>
        <w:rPr>
          <w:rFonts w:ascii="宋体" w:hAnsi="宋体" w:eastAsia="宋体" w:cs="宋体"/>
          <w:spacing w:val="9"/>
          <w:sz w:val="20"/>
          <w:szCs w:val="20"/>
          <w:highlight w:val="none"/>
        </w:rPr>
        <w:t>）系统调试包括但不限于站内电气一、二次设备、计算机监控系统和通讯系统的分系统调试。</w:t>
      </w:r>
    </w:p>
    <w:p w14:paraId="49E2A5CD">
      <w:pPr>
        <w:tabs>
          <w:tab w:val="left" w:pos="9775"/>
        </w:tabs>
        <w:spacing w:before="223" w:line="560" w:lineRule="exact"/>
        <w:ind w:left="5" w:right="-6" w:firstLine="425"/>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7</w:t>
      </w:r>
      <w:r>
        <w:rPr>
          <w:rFonts w:ascii="宋体" w:hAnsi="宋体" w:eastAsia="宋体" w:cs="宋体"/>
          <w:spacing w:val="11"/>
          <w:sz w:val="20"/>
          <w:szCs w:val="20"/>
          <w:highlight w:val="none"/>
        </w:rPr>
        <w:t>）光伏电站监控后台的设备采购、安装与调试，本地视频监控的设备采购、安装与调试、视频信</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号接入本次新建能源管理平台的设备采购、安装与调</w:t>
      </w:r>
      <w:r>
        <w:rPr>
          <w:rFonts w:ascii="宋体" w:hAnsi="宋体" w:eastAsia="宋体" w:cs="宋体"/>
          <w:spacing w:val="8"/>
          <w:sz w:val="20"/>
          <w:szCs w:val="20"/>
          <w:highlight w:val="none"/>
        </w:rPr>
        <w:t>试。</w:t>
      </w:r>
    </w:p>
    <w:p w14:paraId="4F280C55">
      <w:pPr>
        <w:spacing w:before="222" w:line="560" w:lineRule="exact"/>
        <w:ind w:left="430"/>
        <w:rPr>
          <w:rFonts w:ascii="宋体" w:hAnsi="宋体" w:eastAsia="宋体" w:cs="宋体"/>
          <w:sz w:val="20"/>
          <w:szCs w:val="20"/>
          <w:highlight w:val="none"/>
        </w:rPr>
      </w:pPr>
      <w:r>
        <w:rPr>
          <w:rFonts w:ascii="宋体" w:hAnsi="宋体" w:eastAsia="宋体" w:cs="宋体"/>
          <w:spacing w:val="9"/>
          <w:sz w:val="20"/>
          <w:szCs w:val="20"/>
          <w:highlight w:val="none"/>
        </w:rPr>
        <w:t>（</w:t>
      </w:r>
      <w:r>
        <w:rPr>
          <w:rFonts w:ascii="Times New Roman" w:hAnsi="Times New Roman" w:eastAsia="Times New Roman" w:cs="Times New Roman"/>
          <w:spacing w:val="9"/>
          <w:sz w:val="20"/>
          <w:szCs w:val="20"/>
          <w:highlight w:val="none"/>
        </w:rPr>
        <w:t>8</w:t>
      </w:r>
      <w:r>
        <w:rPr>
          <w:rFonts w:ascii="宋体" w:hAnsi="宋体" w:eastAsia="宋体" w:cs="宋体"/>
          <w:spacing w:val="9"/>
          <w:sz w:val="20"/>
          <w:szCs w:val="20"/>
          <w:highlight w:val="none"/>
        </w:rPr>
        <w:t>）后台数据接入本次新建能源管理平台的设备采购、安装</w:t>
      </w:r>
      <w:r>
        <w:rPr>
          <w:rFonts w:ascii="宋体" w:hAnsi="宋体" w:eastAsia="宋体" w:cs="宋体"/>
          <w:spacing w:val="8"/>
          <w:sz w:val="20"/>
          <w:szCs w:val="20"/>
          <w:highlight w:val="none"/>
        </w:rPr>
        <w:t>与调试。</w:t>
      </w:r>
    </w:p>
    <w:p w14:paraId="4C89443C">
      <w:pPr>
        <w:spacing w:before="222" w:line="560" w:lineRule="exact"/>
        <w:ind w:left="430"/>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Times New Roman" w:hAnsi="Times New Roman" w:eastAsia="Times New Roman" w:cs="Times New Roman"/>
          <w:spacing w:val="8"/>
          <w:sz w:val="20"/>
          <w:szCs w:val="20"/>
          <w:highlight w:val="none"/>
        </w:rPr>
        <w:t>9</w:t>
      </w:r>
      <w:r>
        <w:rPr>
          <w:rFonts w:ascii="宋体" w:hAnsi="宋体" w:eastAsia="宋体" w:cs="宋体"/>
          <w:spacing w:val="8"/>
          <w:sz w:val="20"/>
          <w:szCs w:val="20"/>
          <w:highlight w:val="none"/>
        </w:rPr>
        <w:t>）通过电站验收</w:t>
      </w:r>
      <w:r>
        <w:rPr>
          <w:rFonts w:ascii="Times New Roman" w:hAnsi="Times New Roman" w:eastAsia="Times New Roman" w:cs="Times New Roman"/>
          <w:spacing w:val="8"/>
          <w:sz w:val="20"/>
          <w:szCs w:val="20"/>
          <w:highlight w:val="none"/>
        </w:rPr>
        <w:t>(</w:t>
      </w:r>
      <w:r>
        <w:rPr>
          <w:rFonts w:ascii="宋体" w:hAnsi="宋体" w:eastAsia="宋体" w:cs="宋体"/>
          <w:spacing w:val="8"/>
          <w:sz w:val="20"/>
          <w:szCs w:val="20"/>
          <w:highlight w:val="none"/>
        </w:rPr>
        <w:t>包括工程质量监督检查、工程验收、并网验收、竣工验收等</w:t>
      </w:r>
      <w:r>
        <w:rPr>
          <w:rFonts w:ascii="Times New Roman" w:hAnsi="Times New Roman" w:eastAsia="Times New Roman" w:cs="Times New Roman"/>
          <w:spacing w:val="8"/>
          <w:sz w:val="20"/>
          <w:szCs w:val="20"/>
          <w:highlight w:val="none"/>
        </w:rPr>
        <w:t>)</w:t>
      </w:r>
      <w:r>
        <w:rPr>
          <w:rFonts w:ascii="Times New Roman" w:hAnsi="Times New Roman" w:eastAsia="Times New Roman" w:cs="Times New Roman"/>
          <w:spacing w:val="-27"/>
          <w:sz w:val="20"/>
          <w:szCs w:val="20"/>
          <w:highlight w:val="none"/>
        </w:rPr>
        <w:t xml:space="preserve"> </w:t>
      </w:r>
      <w:r>
        <w:rPr>
          <w:rFonts w:ascii="宋体" w:hAnsi="宋体" w:eastAsia="宋体" w:cs="宋体"/>
          <w:spacing w:val="8"/>
          <w:sz w:val="20"/>
          <w:szCs w:val="20"/>
          <w:highlight w:val="none"/>
        </w:rPr>
        <w:t>，办理竣工手</w:t>
      </w:r>
      <w:r>
        <w:rPr>
          <w:rFonts w:ascii="宋体" w:hAnsi="宋体" w:eastAsia="宋体" w:cs="宋体"/>
          <w:spacing w:val="7"/>
          <w:sz w:val="20"/>
          <w:szCs w:val="20"/>
          <w:highlight w:val="none"/>
        </w:rPr>
        <w:t>续，以</w:t>
      </w:r>
      <w:r>
        <w:rPr>
          <w:rFonts w:ascii="宋体" w:hAnsi="宋体" w:eastAsia="宋体" w:cs="宋体"/>
          <w:spacing w:val="9"/>
          <w:sz w:val="20"/>
          <w:szCs w:val="20"/>
          <w:highlight w:val="none"/>
        </w:rPr>
        <w:t>及项目性能试验验收。对光伏组件到现场后进行第三方抽检。</w:t>
      </w:r>
    </w:p>
    <w:p w14:paraId="120C7E3A">
      <w:pPr>
        <w:spacing w:before="221" w:line="560" w:lineRule="exact"/>
        <w:ind w:left="4" w:right="-58" w:firstLine="426"/>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10</w:t>
      </w:r>
      <w:r>
        <w:rPr>
          <w:rFonts w:ascii="宋体" w:hAnsi="宋体" w:eastAsia="宋体" w:cs="宋体"/>
          <w:spacing w:val="11"/>
          <w:sz w:val="20"/>
          <w:szCs w:val="20"/>
          <w:highlight w:val="none"/>
        </w:rPr>
        <w:t>）为建设单位培训电站运维人员，提供项目运行所需的工器具和</w:t>
      </w:r>
      <w:r>
        <w:rPr>
          <w:rFonts w:ascii="Times New Roman" w:hAnsi="Times New Roman" w:eastAsia="Times New Roman" w:cs="Times New Roman"/>
          <w:spacing w:val="11"/>
          <w:sz w:val="20"/>
          <w:szCs w:val="20"/>
          <w:highlight w:val="none"/>
        </w:rPr>
        <w:t xml:space="preserve">2 </w:t>
      </w:r>
      <w:r>
        <w:rPr>
          <w:rFonts w:ascii="宋体" w:hAnsi="宋体" w:eastAsia="宋体" w:cs="宋体"/>
          <w:spacing w:val="11"/>
          <w:sz w:val="20"/>
          <w:szCs w:val="20"/>
          <w:highlight w:val="none"/>
        </w:rPr>
        <w:t>年（其中组件</w:t>
      </w:r>
      <w:r>
        <w:rPr>
          <w:rFonts w:hint="eastAsia" w:ascii="宋体" w:hAnsi="宋体" w:eastAsia="宋体" w:cs="宋体"/>
          <w:spacing w:val="-18"/>
          <w:sz w:val="20"/>
          <w:szCs w:val="20"/>
          <w:highlight w:val="none"/>
        </w:rPr>
        <w:t>10</w:t>
      </w:r>
      <w:r>
        <w:rPr>
          <w:rFonts w:ascii="Times New Roman" w:hAnsi="Times New Roman" w:eastAsia="Times New Roman" w:cs="Times New Roman"/>
          <w:spacing w:val="11"/>
          <w:sz w:val="20"/>
          <w:szCs w:val="20"/>
          <w:highlight w:val="none"/>
        </w:rPr>
        <w:t xml:space="preserve"> </w:t>
      </w:r>
      <w:r>
        <w:rPr>
          <w:rFonts w:ascii="宋体" w:hAnsi="宋体" w:eastAsia="宋体" w:cs="宋体"/>
          <w:spacing w:val="11"/>
          <w:sz w:val="20"/>
          <w:szCs w:val="20"/>
          <w:highlight w:val="none"/>
        </w:rPr>
        <w:t>年，逆变器</w:t>
      </w:r>
      <w:r>
        <w:rPr>
          <w:rFonts w:ascii="宋体" w:hAnsi="宋体" w:eastAsia="宋体" w:cs="宋体"/>
          <w:sz w:val="20"/>
          <w:szCs w:val="20"/>
          <w:highlight w:val="none"/>
        </w:rPr>
        <w:t xml:space="preserve"> </w:t>
      </w:r>
      <w:r>
        <w:rPr>
          <w:rFonts w:hint="eastAsia" w:ascii="Times New Roman" w:hAnsi="Times New Roman" w:eastAsia="宋体" w:cs="Times New Roman"/>
          <w:spacing w:val="8"/>
          <w:sz w:val="20"/>
          <w:szCs w:val="20"/>
          <w:highlight w:val="none"/>
        </w:rPr>
        <w:t>5</w:t>
      </w:r>
      <w:r>
        <w:rPr>
          <w:rFonts w:ascii="Times New Roman" w:hAnsi="Times New Roman" w:eastAsia="Times New Roman" w:cs="Times New Roman"/>
          <w:spacing w:val="8"/>
          <w:sz w:val="20"/>
          <w:szCs w:val="20"/>
          <w:highlight w:val="none"/>
        </w:rPr>
        <w:t xml:space="preserve"> </w:t>
      </w:r>
      <w:r>
        <w:rPr>
          <w:rFonts w:ascii="宋体" w:hAnsi="宋体" w:eastAsia="宋体" w:cs="宋体"/>
          <w:spacing w:val="8"/>
          <w:sz w:val="20"/>
          <w:szCs w:val="20"/>
          <w:highlight w:val="none"/>
        </w:rPr>
        <w:t>年）质保期内的备品、备件，提供电站运行</w:t>
      </w:r>
      <w:r>
        <w:rPr>
          <w:rFonts w:ascii="宋体" w:hAnsi="宋体" w:eastAsia="宋体" w:cs="宋体"/>
          <w:spacing w:val="7"/>
          <w:sz w:val="20"/>
          <w:szCs w:val="20"/>
          <w:highlight w:val="none"/>
        </w:rPr>
        <w:t>后技术服务和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设备保修（质保期内免费）。以及相关技术资料的提供。</w:t>
      </w:r>
    </w:p>
    <w:p w14:paraId="4CBE0FF1">
      <w:pPr>
        <w:spacing w:before="221" w:line="560" w:lineRule="exact"/>
        <w:ind w:right="-58" w:firstLine="416"/>
        <w:rPr>
          <w:rFonts w:ascii="宋体" w:hAnsi="宋体" w:eastAsia="宋体" w:cs="宋体"/>
          <w:sz w:val="20"/>
          <w:szCs w:val="20"/>
          <w:highlight w:val="none"/>
        </w:rPr>
      </w:pPr>
      <w:r>
        <w:rPr>
          <w:rFonts w:ascii="Times New Roman" w:hAnsi="Times New Roman" w:eastAsia="Times New Roman" w:cs="Times New Roman"/>
          <w:spacing w:val="11"/>
          <w:sz w:val="20"/>
          <w:szCs w:val="20"/>
          <w:highlight w:val="none"/>
        </w:rPr>
        <w:t>2</w:t>
      </w:r>
      <w:r>
        <w:rPr>
          <w:rFonts w:ascii="Times New Roman" w:hAnsi="Times New Roman" w:eastAsia="Times New Roman" w:cs="Times New Roman"/>
          <w:spacing w:val="-22"/>
          <w:sz w:val="20"/>
          <w:szCs w:val="20"/>
          <w:highlight w:val="none"/>
        </w:rPr>
        <w:t xml:space="preserve"> </w:t>
      </w:r>
      <w:r>
        <w:rPr>
          <w:rFonts w:ascii="宋体" w:hAnsi="宋体" w:eastAsia="宋体" w:cs="宋体"/>
          <w:spacing w:val="11"/>
          <w:sz w:val="20"/>
          <w:szCs w:val="20"/>
          <w:highlight w:val="none"/>
        </w:rPr>
        <w:t>．承包方的承包范围除新建满足招标文件要求的完整太阳能并网光伏电站外，还包括因建造光伏电</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站需要对原有构建筑物局部的拆除、加固、还建及修复，如需要对原有屋面结构进行加固和加强的也属于</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承包方的承包范围，最终以发包方确认为准。</w:t>
      </w:r>
    </w:p>
    <w:p w14:paraId="78490204">
      <w:pPr>
        <w:spacing w:before="220" w:line="560" w:lineRule="exact"/>
        <w:ind w:right="-58" w:firstLine="425"/>
        <w:rPr>
          <w:rFonts w:ascii="宋体" w:hAnsi="宋体" w:eastAsia="宋体" w:cs="宋体"/>
          <w:sz w:val="20"/>
          <w:szCs w:val="20"/>
          <w:highlight w:val="none"/>
        </w:rPr>
      </w:pPr>
      <w:r>
        <w:rPr>
          <w:rFonts w:ascii="宋体" w:hAnsi="宋体" w:eastAsia="宋体" w:cs="宋体"/>
          <w:spacing w:val="12"/>
          <w:sz w:val="20"/>
          <w:szCs w:val="20"/>
          <w:highlight w:val="none"/>
        </w:rPr>
        <w:t>3．承包方负责光伏发电项目从发电直至并网正常运行所需具备的勘察（</w:t>
      </w:r>
      <w:r>
        <w:rPr>
          <w:rFonts w:ascii="宋体" w:hAnsi="宋体" w:eastAsia="宋体" w:cs="宋体"/>
          <w:spacing w:val="11"/>
          <w:sz w:val="20"/>
          <w:szCs w:val="20"/>
          <w:highlight w:val="none"/>
        </w:rPr>
        <w:t>含地下管线探测）、设计、</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采购供应，包括但不限于光伏组件、配套并网设施、光伏并网逆变器、光伏变压器、高低压开关柜、光伏</w:t>
      </w:r>
      <w:r>
        <w:rPr>
          <w:rFonts w:ascii="宋体" w:hAnsi="宋体" w:eastAsia="宋体" w:cs="宋体"/>
          <w:spacing w:val="13"/>
          <w:sz w:val="20"/>
          <w:szCs w:val="20"/>
          <w:highlight w:val="none"/>
        </w:rPr>
        <w:t xml:space="preserve"> </w:t>
      </w:r>
      <w:r>
        <w:rPr>
          <w:rFonts w:ascii="宋体" w:hAnsi="宋体" w:eastAsia="宋体" w:cs="宋体"/>
          <w:spacing w:val="7"/>
          <w:sz w:val="20"/>
          <w:szCs w:val="20"/>
          <w:highlight w:val="none"/>
        </w:rPr>
        <w:t>支架、电缆、光伏组件的延长线及其接头等</w:t>
      </w:r>
      <w:r>
        <w:rPr>
          <w:rFonts w:ascii="宋体" w:hAnsi="宋体" w:eastAsia="宋体" w:cs="宋体"/>
          <w:spacing w:val="6"/>
          <w:sz w:val="20"/>
          <w:szCs w:val="20"/>
          <w:highlight w:val="none"/>
        </w:rPr>
        <w:t>等）、运输及储存、建筑安装、施工、调试、试验及检查测试、</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试运行、消缺、培训和最终交付投产，质保期</w:t>
      </w:r>
      <w:r>
        <w:rPr>
          <w:rFonts w:ascii="宋体" w:hAnsi="宋体" w:eastAsia="宋体" w:cs="宋体"/>
          <w:spacing w:val="9"/>
          <w:sz w:val="20"/>
          <w:szCs w:val="20"/>
          <w:highlight w:val="none"/>
        </w:rPr>
        <w:t>等；如屋面有漏雨漏水情况由承包方负责补漏。</w:t>
      </w:r>
    </w:p>
    <w:p w14:paraId="661D322D">
      <w:pPr>
        <w:spacing w:before="220" w:line="560" w:lineRule="exact"/>
        <w:ind w:right="-58" w:firstLine="425"/>
        <w:rPr>
          <w:rFonts w:ascii="宋体" w:hAnsi="宋体" w:eastAsia="宋体" w:cs="宋体"/>
          <w:sz w:val="20"/>
          <w:szCs w:val="20"/>
          <w:highlight w:val="none"/>
        </w:rPr>
      </w:pPr>
      <w:r>
        <w:rPr>
          <w:rFonts w:ascii="Times New Roman" w:hAnsi="Times New Roman" w:eastAsia="Times New Roman" w:cs="Times New Roman"/>
          <w:spacing w:val="9"/>
          <w:sz w:val="20"/>
          <w:szCs w:val="20"/>
          <w:highlight w:val="none"/>
        </w:rPr>
        <w:t>4</w:t>
      </w:r>
      <w:r>
        <w:rPr>
          <w:rFonts w:ascii="Times New Roman" w:hAnsi="Times New Roman" w:eastAsia="Times New Roman" w:cs="Times New Roman"/>
          <w:spacing w:val="-22"/>
          <w:sz w:val="20"/>
          <w:szCs w:val="20"/>
          <w:highlight w:val="none"/>
        </w:rPr>
        <w:t xml:space="preserve"> </w:t>
      </w:r>
      <w:r>
        <w:rPr>
          <w:rFonts w:ascii="宋体" w:hAnsi="宋体" w:eastAsia="宋体" w:cs="宋体"/>
          <w:spacing w:val="9"/>
          <w:sz w:val="20"/>
          <w:szCs w:val="20"/>
          <w:highlight w:val="none"/>
        </w:rPr>
        <w:t>．发包方对图纸的评审仅是对下一道工序开工的许可，并不免除</w:t>
      </w:r>
      <w:r>
        <w:rPr>
          <w:rFonts w:ascii="宋体" w:hAnsi="宋体" w:eastAsia="宋体" w:cs="宋体"/>
          <w:spacing w:val="8"/>
          <w:sz w:val="20"/>
          <w:szCs w:val="20"/>
          <w:highlight w:val="none"/>
        </w:rPr>
        <w:t>承包方在安全、质量、</w:t>
      </w:r>
      <w:r>
        <w:rPr>
          <w:rFonts w:ascii="宋体" w:hAnsi="宋体" w:eastAsia="宋体" w:cs="宋体"/>
          <w:spacing w:val="9"/>
          <w:sz w:val="20"/>
          <w:szCs w:val="20"/>
          <w:highlight w:val="none"/>
        </w:rPr>
        <w:t>技术、成本等的相关责任。如图纸会审后发包方发现图纸仍有不符合招标文件技术要求的，承包方必须无</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条件整改，并承担返工、重新定制或重新设计的一切费用及损失，不得向发包方索取任何费用。承包方不得以发包方在图纸会审中的疏忽、遗漏向发包方索取任何赔偿或费用。</w:t>
      </w:r>
    </w:p>
    <w:p w14:paraId="63744A93">
      <w:pPr>
        <w:spacing w:before="33" w:line="560" w:lineRule="exact"/>
        <w:ind w:right="-58" w:firstLine="421"/>
        <w:rPr>
          <w:rFonts w:ascii="宋体" w:hAnsi="宋体" w:eastAsia="宋体" w:cs="宋体"/>
          <w:sz w:val="20"/>
          <w:szCs w:val="20"/>
          <w:highlight w:val="none"/>
        </w:rPr>
      </w:pPr>
      <w:r>
        <w:rPr>
          <w:rFonts w:ascii="Times New Roman" w:hAnsi="Times New Roman" w:eastAsia="Times New Roman" w:cs="Times New Roman"/>
          <w:spacing w:val="11"/>
          <w:sz w:val="20"/>
          <w:szCs w:val="20"/>
          <w:highlight w:val="none"/>
        </w:rPr>
        <w:t>5</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11"/>
          <w:sz w:val="20"/>
          <w:szCs w:val="20"/>
          <w:highlight w:val="none"/>
        </w:rPr>
        <w:t>．发包方所提及的技术要求和供货范围都是最低限度的要求，并未对一切技术细节作</w:t>
      </w:r>
      <w:r>
        <w:rPr>
          <w:rFonts w:ascii="宋体" w:hAnsi="宋体" w:eastAsia="宋体" w:cs="宋体"/>
          <w:spacing w:val="10"/>
          <w:sz w:val="20"/>
          <w:szCs w:val="20"/>
          <w:highlight w:val="none"/>
        </w:rPr>
        <w:t>出规定，也未</w:t>
      </w:r>
      <w:r>
        <w:rPr>
          <w:rFonts w:ascii="宋体" w:hAnsi="宋体" w:eastAsia="宋体" w:cs="宋体"/>
          <w:spacing w:val="9"/>
          <w:sz w:val="20"/>
          <w:szCs w:val="20"/>
          <w:highlight w:val="none"/>
        </w:rPr>
        <w:t>充分地详述有关标准和规范的条文，承包方应保证并提供符合招标文件和有关最新工业标准的产品及其相应服务，该产品必须满足国家有关安全、消防、环保、劳动卫生等强制性标准的要求。</w:t>
      </w:r>
    </w:p>
    <w:p w14:paraId="05A3161C">
      <w:pPr>
        <w:spacing w:before="222" w:line="560" w:lineRule="exact"/>
        <w:ind w:left="4" w:right="-58" w:firstLine="417"/>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6</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8"/>
          <w:sz w:val="20"/>
          <w:szCs w:val="20"/>
          <w:highlight w:val="none"/>
        </w:rPr>
        <w:t>．承包方应对太阳能光伏电站系统提出优化布置方案，经发包方确认后采用。</w:t>
      </w:r>
      <w:r>
        <w:rPr>
          <w:rFonts w:ascii="宋体" w:hAnsi="宋体" w:eastAsia="宋体" w:cs="宋体"/>
          <w:spacing w:val="7"/>
          <w:sz w:val="20"/>
          <w:szCs w:val="20"/>
          <w:highlight w:val="none"/>
        </w:rPr>
        <w:t>承包方对系统的拟定、</w:t>
      </w:r>
      <w:r>
        <w:rPr>
          <w:rFonts w:ascii="宋体" w:hAnsi="宋体" w:eastAsia="宋体" w:cs="宋体"/>
          <w:spacing w:val="9"/>
          <w:sz w:val="20"/>
          <w:szCs w:val="20"/>
          <w:highlight w:val="none"/>
        </w:rPr>
        <w:t>设备的选择和布置负责，发包方的要求并不解除承包方的责任。</w:t>
      </w:r>
    </w:p>
    <w:p w14:paraId="0C73C857">
      <w:pPr>
        <w:spacing w:before="222" w:line="560" w:lineRule="exact"/>
        <w:ind w:left="3" w:right="-58" w:firstLine="417"/>
        <w:rPr>
          <w:rFonts w:ascii="宋体" w:hAnsi="宋体" w:eastAsia="宋体" w:cs="宋体"/>
          <w:sz w:val="20"/>
          <w:szCs w:val="20"/>
          <w:highlight w:val="none"/>
        </w:rPr>
      </w:pPr>
      <w:r>
        <w:rPr>
          <w:rFonts w:ascii="Times New Roman" w:hAnsi="Times New Roman" w:eastAsia="Times New Roman" w:cs="Times New Roman"/>
          <w:spacing w:val="11"/>
          <w:sz w:val="20"/>
          <w:szCs w:val="20"/>
          <w:highlight w:val="none"/>
        </w:rPr>
        <w:t>7</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11"/>
          <w:sz w:val="20"/>
          <w:szCs w:val="20"/>
          <w:highlight w:val="none"/>
        </w:rPr>
        <w:t>．项目建构筑物涉及载荷校核等问题的，承包方应通过原建构筑物设计单位或有相应</w:t>
      </w:r>
      <w:r>
        <w:rPr>
          <w:rFonts w:ascii="宋体" w:hAnsi="宋体" w:eastAsia="宋体" w:cs="宋体"/>
          <w:spacing w:val="10"/>
          <w:sz w:val="20"/>
          <w:szCs w:val="20"/>
          <w:highlight w:val="none"/>
        </w:rPr>
        <w:t>资质的设计院</w:t>
      </w:r>
      <w:r>
        <w:rPr>
          <w:rFonts w:ascii="宋体" w:hAnsi="宋体" w:eastAsia="宋体" w:cs="宋体"/>
          <w:spacing w:val="9"/>
          <w:sz w:val="20"/>
          <w:szCs w:val="20"/>
          <w:highlight w:val="none"/>
        </w:rPr>
        <w:t>获取新建光伏发电系统的建筑载荷校核报告（包含相关结构加固图纸及相配套的技术资料</w:t>
      </w:r>
      <w:r>
        <w:rPr>
          <w:rFonts w:ascii="宋体" w:hAnsi="宋体" w:eastAsia="宋体" w:cs="宋体"/>
          <w:spacing w:val="15"/>
          <w:sz w:val="20"/>
          <w:szCs w:val="20"/>
          <w:highlight w:val="none"/>
        </w:rPr>
        <w:t>），</w:t>
      </w:r>
      <w:r>
        <w:rPr>
          <w:rFonts w:ascii="宋体" w:hAnsi="宋体" w:eastAsia="宋体" w:cs="宋体"/>
          <w:spacing w:val="9"/>
          <w:sz w:val="20"/>
          <w:szCs w:val="20"/>
          <w:highlight w:val="none"/>
        </w:rPr>
        <w:t>并为项目的投标、设计、建设等负责。承包方应对所承担标段的建构筑结构、光伏支架做专题报告，承包方的载荷校</w:t>
      </w:r>
      <w:r>
        <w:rPr>
          <w:rFonts w:ascii="宋体" w:hAnsi="宋体" w:eastAsia="宋体" w:cs="宋体"/>
          <w:spacing w:val="8"/>
          <w:sz w:val="20"/>
          <w:szCs w:val="20"/>
          <w:highlight w:val="none"/>
        </w:rPr>
        <w:t>核需经发包方审核认可后方可进行施工。</w:t>
      </w:r>
    </w:p>
    <w:p w14:paraId="785BAB79">
      <w:pPr>
        <w:spacing w:before="221" w:line="560" w:lineRule="exact"/>
        <w:ind w:right="-58" w:firstLine="436" w:firstLineChars="200"/>
        <w:rPr>
          <w:rFonts w:ascii="宋体" w:hAnsi="宋体" w:eastAsia="宋体" w:cs="宋体"/>
          <w:spacing w:val="9"/>
          <w:sz w:val="20"/>
          <w:szCs w:val="20"/>
          <w:highlight w:val="none"/>
        </w:rPr>
      </w:pPr>
      <w:r>
        <w:rPr>
          <w:rFonts w:ascii="Times New Roman" w:hAnsi="Times New Roman" w:eastAsia="Times New Roman" w:cs="Times New Roman"/>
          <w:spacing w:val="9"/>
          <w:sz w:val="20"/>
          <w:szCs w:val="20"/>
          <w:highlight w:val="none"/>
        </w:rPr>
        <w:t>8</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9"/>
          <w:sz w:val="20"/>
          <w:szCs w:val="20"/>
          <w:highlight w:val="none"/>
        </w:rPr>
        <w:t>．太阳能光伏电站的设备平面布置、电缆走向、所有满足系</w:t>
      </w:r>
      <w:r>
        <w:rPr>
          <w:rFonts w:ascii="宋体" w:hAnsi="宋体" w:eastAsia="宋体" w:cs="宋体"/>
          <w:spacing w:val="8"/>
          <w:sz w:val="20"/>
          <w:szCs w:val="20"/>
          <w:highlight w:val="none"/>
        </w:rPr>
        <w:t>统要求的设备配置（包括</w:t>
      </w:r>
      <w:r>
        <w:rPr>
          <w:rFonts w:ascii="宋体" w:hAnsi="宋体" w:eastAsia="宋体" w:cs="宋体"/>
          <w:spacing w:val="9"/>
          <w:sz w:val="20"/>
          <w:szCs w:val="20"/>
          <w:highlight w:val="none"/>
        </w:rPr>
        <w:t>逆变器、仪表、</w:t>
      </w:r>
    </w:p>
    <w:p w14:paraId="69C6B171">
      <w:pPr>
        <w:spacing w:before="221" w:line="560" w:lineRule="exact"/>
        <w:ind w:right="-58"/>
        <w:rPr>
          <w:rFonts w:ascii="宋体" w:hAnsi="宋体" w:eastAsia="宋体" w:cs="宋体"/>
          <w:sz w:val="20"/>
          <w:szCs w:val="20"/>
          <w:highlight w:val="none"/>
        </w:rPr>
      </w:pPr>
      <w:r>
        <w:rPr>
          <w:rFonts w:ascii="宋体" w:hAnsi="宋体" w:eastAsia="宋体" w:cs="宋体"/>
          <w:spacing w:val="9"/>
          <w:sz w:val="20"/>
          <w:szCs w:val="20"/>
          <w:highlight w:val="none"/>
        </w:rPr>
        <w:t>监控、附件等</w:t>
      </w:r>
      <w:r>
        <w:rPr>
          <w:rFonts w:ascii="宋体" w:hAnsi="宋体" w:eastAsia="宋体" w:cs="宋体"/>
          <w:spacing w:val="17"/>
          <w:sz w:val="20"/>
          <w:szCs w:val="20"/>
          <w:highlight w:val="none"/>
        </w:rPr>
        <w:t>），</w:t>
      </w:r>
      <w:r>
        <w:rPr>
          <w:rFonts w:ascii="宋体" w:hAnsi="宋体" w:eastAsia="宋体" w:cs="宋体"/>
          <w:spacing w:val="9"/>
          <w:sz w:val="20"/>
          <w:szCs w:val="20"/>
          <w:highlight w:val="none"/>
        </w:rPr>
        <w:t>在施工图设计时，按发包方审定的意见做相应的优化调整，并不发生商</w:t>
      </w:r>
      <w:r>
        <w:rPr>
          <w:rFonts w:ascii="宋体" w:hAnsi="宋体" w:eastAsia="宋体" w:cs="宋体"/>
          <w:spacing w:val="4"/>
          <w:sz w:val="20"/>
          <w:szCs w:val="20"/>
          <w:highlight w:val="none"/>
        </w:rPr>
        <w:t>务变动。</w:t>
      </w:r>
    </w:p>
    <w:p w14:paraId="625CEF0C">
      <w:pPr>
        <w:spacing w:before="31" w:line="560" w:lineRule="exact"/>
        <w:ind w:left="4" w:right="-58" w:firstLine="416"/>
        <w:rPr>
          <w:rFonts w:ascii="宋体" w:hAnsi="宋体" w:eastAsia="宋体" w:cs="宋体"/>
          <w:sz w:val="20"/>
          <w:szCs w:val="20"/>
          <w:highlight w:val="none"/>
        </w:rPr>
      </w:pPr>
      <w:r>
        <w:rPr>
          <w:rFonts w:ascii="Times New Roman" w:hAnsi="Times New Roman" w:eastAsia="Times New Roman" w:cs="Times New Roman"/>
          <w:spacing w:val="11"/>
          <w:sz w:val="20"/>
          <w:szCs w:val="20"/>
          <w:highlight w:val="none"/>
        </w:rPr>
        <w:t>9</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11"/>
          <w:sz w:val="20"/>
          <w:szCs w:val="20"/>
          <w:highlight w:val="none"/>
        </w:rPr>
        <w:t>．承包方需充分考虑施工过程中对防水屋面的保护，确保施工过程中满足如下要求：光</w:t>
      </w:r>
      <w:r>
        <w:rPr>
          <w:rFonts w:ascii="宋体" w:hAnsi="宋体" w:eastAsia="宋体" w:cs="宋体"/>
          <w:spacing w:val="10"/>
          <w:sz w:val="20"/>
          <w:szCs w:val="20"/>
          <w:highlight w:val="none"/>
        </w:rPr>
        <w:t>伏系统安装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不能破坏原有的保温防水系统。</w:t>
      </w:r>
    </w:p>
    <w:p w14:paraId="5D7DA9BA">
      <w:pPr>
        <w:spacing w:before="222" w:line="560" w:lineRule="exact"/>
        <w:ind w:right="-58" w:firstLine="432" w:firstLineChars="200"/>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10</w:t>
      </w:r>
      <w:r>
        <w:rPr>
          <w:rFonts w:ascii="Times New Roman" w:hAnsi="Times New Roman" w:eastAsia="Times New Roman" w:cs="Times New Roman"/>
          <w:spacing w:val="-17"/>
          <w:sz w:val="20"/>
          <w:szCs w:val="20"/>
          <w:highlight w:val="none"/>
        </w:rPr>
        <w:t xml:space="preserve"> </w:t>
      </w:r>
      <w:r>
        <w:rPr>
          <w:rFonts w:ascii="宋体" w:hAnsi="宋体" w:eastAsia="宋体" w:cs="宋体"/>
          <w:spacing w:val="8"/>
          <w:sz w:val="20"/>
          <w:szCs w:val="20"/>
          <w:highlight w:val="none"/>
        </w:rPr>
        <w:t>．光伏系统安装位置应考虑屋面检修维护、更换的路线及便利。光伏系统安装后不能影响原有屋面</w:t>
      </w:r>
      <w:r>
        <w:rPr>
          <w:rFonts w:ascii="宋体" w:hAnsi="宋体" w:eastAsia="宋体" w:cs="宋体"/>
          <w:spacing w:val="9"/>
          <w:sz w:val="20"/>
          <w:szCs w:val="20"/>
          <w:highlight w:val="none"/>
        </w:rPr>
        <w:t>消防、通风、采光、防雷等相关系统的运行。光伏系统安装后不能影响原有的屋面排水。</w:t>
      </w:r>
    </w:p>
    <w:p w14:paraId="32BA62B1">
      <w:pPr>
        <w:spacing w:before="223" w:line="560" w:lineRule="exact"/>
        <w:ind w:right="-58" w:firstLine="432" w:firstLineChars="200"/>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11</w:t>
      </w:r>
      <w:r>
        <w:rPr>
          <w:rFonts w:ascii="Times New Roman" w:hAnsi="Times New Roman" w:eastAsia="Times New Roman" w:cs="Times New Roman"/>
          <w:spacing w:val="-20"/>
          <w:sz w:val="20"/>
          <w:szCs w:val="20"/>
          <w:highlight w:val="none"/>
        </w:rPr>
        <w:t xml:space="preserve"> </w:t>
      </w:r>
      <w:r>
        <w:rPr>
          <w:rFonts w:ascii="宋体" w:hAnsi="宋体" w:eastAsia="宋体" w:cs="宋体"/>
          <w:spacing w:val="8"/>
          <w:sz w:val="20"/>
          <w:szCs w:val="20"/>
          <w:highlight w:val="none"/>
        </w:rPr>
        <w:t>．由承包方导致屋面有漏水、破损等情况的，全部由承包方负责修复。承包方须派技术人员赴现场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收资，并为项目设计、建设等负责。对于非屋顶部分，如果业主不提供地勘报告，需由承包方自行完成地</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勘并出具地勘报告。承包方的所有设计需经发包方审核认可。</w:t>
      </w:r>
    </w:p>
    <w:p w14:paraId="3B31FFEB">
      <w:pPr>
        <w:spacing w:before="223" w:line="560" w:lineRule="exact"/>
        <w:ind w:right="-58" w:firstLine="437"/>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12</w:t>
      </w:r>
      <w:r>
        <w:rPr>
          <w:rFonts w:ascii="Times New Roman" w:hAnsi="Times New Roman" w:eastAsia="Times New Roman" w:cs="Times New Roman"/>
          <w:spacing w:val="-17"/>
          <w:sz w:val="20"/>
          <w:szCs w:val="20"/>
          <w:highlight w:val="none"/>
        </w:rPr>
        <w:t xml:space="preserve"> </w:t>
      </w:r>
      <w:r>
        <w:rPr>
          <w:rFonts w:ascii="宋体" w:hAnsi="宋体" w:eastAsia="宋体" w:cs="宋体"/>
          <w:spacing w:val="8"/>
          <w:sz w:val="20"/>
          <w:szCs w:val="20"/>
          <w:highlight w:val="none"/>
        </w:rPr>
        <w:t>．每栋需安装太阳能组件的建构筑物如果没有斜梯可直接上至屋面，则相应的建构筑物需建设一部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爬梯；光伏组件排布设计时，组件阵列前后排间的阴影间距设计符合相关规范。</w:t>
      </w:r>
    </w:p>
    <w:p w14:paraId="33F4FC79">
      <w:pPr>
        <w:spacing w:before="222" w:line="560" w:lineRule="exact"/>
        <w:ind w:left="5" w:right="-58" w:firstLine="431"/>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13</w:t>
      </w:r>
      <w:r>
        <w:rPr>
          <w:rFonts w:ascii="Times New Roman" w:hAnsi="Times New Roman" w:eastAsia="Times New Roman" w:cs="Times New Roman"/>
          <w:spacing w:val="-17"/>
          <w:sz w:val="20"/>
          <w:szCs w:val="20"/>
          <w:highlight w:val="none"/>
        </w:rPr>
        <w:t xml:space="preserve"> </w:t>
      </w:r>
      <w:r>
        <w:rPr>
          <w:rFonts w:ascii="宋体" w:hAnsi="宋体" w:eastAsia="宋体" w:cs="宋体"/>
          <w:spacing w:val="8"/>
          <w:sz w:val="20"/>
          <w:szCs w:val="20"/>
          <w:highlight w:val="none"/>
        </w:rPr>
        <w:t>．承包方必须在光伏组件铺设区域合理优化布置运维通道，以满足日常运维人员在屋面的行走及对</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原有建构筑物的保护。</w:t>
      </w:r>
    </w:p>
    <w:p w14:paraId="5BF80C08">
      <w:pPr>
        <w:spacing w:before="222" w:line="560" w:lineRule="exact"/>
        <w:ind w:right="-58" w:firstLine="436"/>
        <w:rPr>
          <w:rFonts w:ascii="宋体" w:hAnsi="宋体" w:eastAsia="宋体" w:cs="宋体"/>
          <w:sz w:val="20"/>
          <w:szCs w:val="20"/>
          <w:highlight w:val="none"/>
        </w:rPr>
      </w:pPr>
      <w:r>
        <w:rPr>
          <w:rFonts w:ascii="Times New Roman" w:hAnsi="Times New Roman" w:eastAsia="Times New Roman" w:cs="Times New Roman"/>
          <w:spacing w:val="13"/>
          <w:sz w:val="20"/>
          <w:szCs w:val="20"/>
          <w:highlight w:val="none"/>
        </w:rPr>
        <w:t>14</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13"/>
          <w:sz w:val="20"/>
          <w:szCs w:val="20"/>
          <w:highlight w:val="none"/>
        </w:rPr>
        <w:t>．光伏电站并网点及建筑物业主与电网公司关口结算点的电能质量都应</w:t>
      </w:r>
      <w:r>
        <w:rPr>
          <w:rFonts w:ascii="宋体" w:hAnsi="宋体" w:eastAsia="宋体" w:cs="宋体"/>
          <w:spacing w:val="12"/>
          <w:sz w:val="20"/>
          <w:szCs w:val="20"/>
          <w:highlight w:val="none"/>
        </w:rPr>
        <w:t>当时符合当地电网公司要</w:t>
      </w:r>
      <w:r>
        <w:rPr>
          <w:rFonts w:ascii="宋体" w:hAnsi="宋体" w:eastAsia="宋体" w:cs="宋体"/>
          <w:spacing w:val="9"/>
          <w:sz w:val="20"/>
          <w:szCs w:val="20"/>
          <w:highlight w:val="none"/>
        </w:rPr>
        <w:t>求的，且功率因素应不低于</w:t>
      </w:r>
      <w:r>
        <w:rPr>
          <w:rFonts w:ascii="Times New Roman" w:hAnsi="Times New Roman" w:eastAsia="Times New Roman" w:cs="Times New Roman"/>
          <w:spacing w:val="9"/>
          <w:sz w:val="20"/>
          <w:szCs w:val="20"/>
          <w:highlight w:val="none"/>
        </w:rPr>
        <w:t>0.9</w:t>
      </w:r>
      <w:r>
        <w:rPr>
          <w:rFonts w:ascii="宋体" w:hAnsi="宋体" w:eastAsia="宋体" w:cs="宋体"/>
          <w:spacing w:val="9"/>
          <w:sz w:val="20"/>
          <w:szCs w:val="20"/>
          <w:highlight w:val="none"/>
        </w:rPr>
        <w:t>。承包方应在设计阶段充分考虑光伏电站对原有配电系统电能质量方面的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影响并提出应对措施。如果光伏电站并网后，光伏电站并网点功率因素符合当地电网公司要求而建筑物业</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主与电网公司关口结算点的电能质量不符合的，承包方应配置无功补偿装置，确保光伏电站并网点及建筑</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物业主与电网公司关口结算点的电能质量都应当时符合当地电网公司要求的，且功率因素应不低于</w:t>
      </w:r>
      <w:r>
        <w:rPr>
          <w:rFonts w:ascii="Times New Roman" w:hAnsi="Times New Roman" w:eastAsia="Times New Roman" w:cs="Times New Roman"/>
          <w:spacing w:val="9"/>
          <w:sz w:val="20"/>
          <w:szCs w:val="20"/>
          <w:highlight w:val="none"/>
        </w:rPr>
        <w:t>0.9</w:t>
      </w:r>
      <w:r>
        <w:rPr>
          <w:rFonts w:ascii="宋体" w:hAnsi="宋体" w:eastAsia="宋体" w:cs="宋体"/>
          <w:spacing w:val="9"/>
          <w:sz w:val="20"/>
          <w:szCs w:val="20"/>
          <w:highlight w:val="none"/>
        </w:rPr>
        <w:t>。</w:t>
      </w:r>
    </w:p>
    <w:p w14:paraId="33CB2F71">
      <w:pPr>
        <w:spacing w:line="560" w:lineRule="exact"/>
        <w:rPr>
          <w:highlight w:val="none"/>
        </w:rPr>
      </w:pPr>
    </w:p>
    <w:p w14:paraId="098E7644">
      <w:pPr>
        <w:spacing w:line="560" w:lineRule="exact"/>
        <w:rPr>
          <w:highlight w:val="none"/>
        </w:rPr>
      </w:pPr>
      <w:r>
        <w:rPr>
          <w:rFonts w:hint="eastAsia"/>
          <w:highlight w:val="none"/>
        </w:rPr>
        <w:br w:type="page"/>
      </w:r>
    </w:p>
    <w:p w14:paraId="183FB28E">
      <w:pPr>
        <w:pStyle w:val="2"/>
        <w:spacing w:line="560" w:lineRule="exact"/>
        <w:ind w:firstLine="0" w:firstLineChars="0"/>
        <w:jc w:val="center"/>
        <w:rPr>
          <w:rFonts w:ascii="宋体" w:hAnsi="宋体"/>
          <w:b/>
          <w:bCs/>
          <w:sz w:val="28"/>
          <w:szCs w:val="28"/>
          <w:highlight w:val="none"/>
        </w:rPr>
      </w:pPr>
      <w:r>
        <w:rPr>
          <w:rFonts w:hint="eastAsia"/>
          <w:b/>
          <w:bCs/>
          <w:sz w:val="28"/>
          <w:szCs w:val="28"/>
          <w:highlight w:val="none"/>
        </w:rPr>
        <w:t>第二部分</w:t>
      </w:r>
      <w:r>
        <w:rPr>
          <w:rFonts w:hint="eastAsia" w:ascii="宋体" w:hAnsi="宋体"/>
          <w:b/>
          <w:bCs/>
          <w:sz w:val="28"/>
          <w:szCs w:val="28"/>
          <w:highlight w:val="none"/>
        </w:rPr>
        <w:t xml:space="preserve"> 设计要求及规范</w:t>
      </w:r>
    </w:p>
    <w:p w14:paraId="18063FAE">
      <w:pPr>
        <w:keepNext/>
        <w:keepLines/>
        <w:adjustRightInd w:val="0"/>
        <w:snapToGrid w:val="0"/>
        <w:spacing w:line="560" w:lineRule="exact"/>
        <w:ind w:firstLine="422" w:firstLineChars="200"/>
        <w:outlineLvl w:val="3"/>
        <w:rPr>
          <w:rFonts w:ascii="宋体" w:hAnsi="宋体"/>
          <w:b/>
          <w:bCs/>
          <w:szCs w:val="21"/>
          <w:highlight w:val="none"/>
        </w:rPr>
      </w:pPr>
      <w:bookmarkStart w:id="0" w:name="_Toc76720097"/>
      <w:bookmarkStart w:id="1" w:name="_Toc430693432"/>
      <w:r>
        <w:rPr>
          <w:rFonts w:hint="eastAsia" w:ascii="宋体" w:hAnsi="宋体"/>
          <w:b/>
          <w:bCs/>
          <w:szCs w:val="21"/>
          <w:highlight w:val="none"/>
        </w:rPr>
        <w:t>1.</w:t>
      </w:r>
      <w:r>
        <w:rPr>
          <w:rFonts w:ascii="宋体" w:hAnsi="宋体"/>
          <w:b/>
          <w:bCs/>
          <w:szCs w:val="21"/>
          <w:highlight w:val="none"/>
        </w:rPr>
        <w:t>包装</w:t>
      </w:r>
      <w:r>
        <w:rPr>
          <w:rFonts w:hint="eastAsia" w:ascii="宋体" w:hAnsi="宋体"/>
          <w:b/>
          <w:bCs/>
          <w:szCs w:val="21"/>
          <w:highlight w:val="none"/>
        </w:rPr>
        <w:t>和</w:t>
      </w:r>
      <w:r>
        <w:rPr>
          <w:rFonts w:ascii="宋体" w:hAnsi="宋体"/>
          <w:b/>
          <w:bCs/>
          <w:szCs w:val="21"/>
          <w:highlight w:val="none"/>
        </w:rPr>
        <w:t>运输</w:t>
      </w:r>
      <w:bookmarkEnd w:id="0"/>
      <w:bookmarkEnd w:id="1"/>
    </w:p>
    <w:p w14:paraId="4F57249A">
      <w:pPr>
        <w:tabs>
          <w:tab w:val="left" w:pos="425"/>
          <w:tab w:val="left" w:pos="735"/>
          <w:tab w:val="left" w:pos="1560"/>
          <w:tab w:val="left" w:pos="1700"/>
          <w:tab w:val="right" w:pos="8499"/>
        </w:tabs>
        <w:adjustRightInd w:val="0"/>
        <w:snapToGrid w:val="0"/>
        <w:spacing w:line="560" w:lineRule="exact"/>
        <w:ind w:firstLine="422" w:firstLineChars="200"/>
        <w:textAlignment w:val="baseline"/>
        <w:outlineLvl w:val="4"/>
        <w:rPr>
          <w:rFonts w:ascii="宋体" w:hAnsi="宋体" w:cs="Arial"/>
          <w:b/>
          <w:bCs/>
          <w:kern w:val="0"/>
          <w:szCs w:val="21"/>
          <w:highlight w:val="none"/>
        </w:rPr>
      </w:pPr>
      <w:bookmarkStart w:id="2" w:name="_Toc257018596"/>
      <w:bookmarkStart w:id="3" w:name="_Toc257018515"/>
      <w:bookmarkStart w:id="4" w:name="_Toc257129955"/>
      <w:bookmarkStart w:id="5" w:name="_Toc257189966"/>
      <w:bookmarkStart w:id="6" w:name="_Toc257018432"/>
      <w:bookmarkStart w:id="7" w:name="_Toc258280010"/>
      <w:bookmarkStart w:id="8" w:name="_Toc257190529"/>
      <w:bookmarkStart w:id="9" w:name="_Toc249842706"/>
      <w:bookmarkStart w:id="10" w:name="_Toc257132058"/>
      <w:bookmarkStart w:id="11" w:name="_Toc257200836"/>
      <w:bookmarkStart w:id="12" w:name="_Toc258020019"/>
      <w:bookmarkStart w:id="13" w:name="_Toc258020417"/>
      <w:bookmarkStart w:id="14" w:name="_Toc258279950"/>
      <w:bookmarkStart w:id="15" w:name="_Toc258019424"/>
      <w:r>
        <w:rPr>
          <w:rFonts w:ascii="宋体" w:hAnsi="宋体" w:cs="Arial"/>
          <w:b/>
          <w:bCs/>
          <w:kern w:val="0"/>
          <w:szCs w:val="21"/>
          <w:highlight w:val="none"/>
        </w:rPr>
        <w:t>1.</w:t>
      </w:r>
      <w:r>
        <w:rPr>
          <w:rFonts w:hint="eastAsia" w:ascii="宋体" w:hAnsi="宋体" w:cs="Arial"/>
          <w:b/>
          <w:bCs/>
          <w:kern w:val="0"/>
          <w:szCs w:val="21"/>
          <w:highlight w:val="none"/>
        </w:rPr>
        <w:t>1包</w:t>
      </w:r>
      <w:r>
        <w:rPr>
          <w:rFonts w:ascii="宋体" w:hAnsi="宋体" w:cs="Arial"/>
          <w:b/>
          <w:bCs/>
          <w:kern w:val="0"/>
          <w:szCs w:val="21"/>
          <w:highlight w:val="none"/>
        </w:rPr>
        <w:t>装</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97D631B">
      <w:pPr>
        <w:adjustRightInd w:val="0"/>
        <w:snapToGrid w:val="0"/>
        <w:spacing w:line="560" w:lineRule="exact"/>
        <w:ind w:firstLine="420" w:firstLineChars="200"/>
        <w:rPr>
          <w:rFonts w:ascii="宋体" w:hAnsi="宋体"/>
          <w:szCs w:val="21"/>
          <w:highlight w:val="none"/>
        </w:rPr>
      </w:pPr>
      <w:r>
        <w:rPr>
          <w:rFonts w:ascii="宋体" w:hAnsi="宋体"/>
          <w:szCs w:val="21"/>
          <w:highlight w:val="none"/>
        </w:rPr>
        <w:t>（1）设备制造完成并通过</w:t>
      </w:r>
      <w:r>
        <w:rPr>
          <w:rFonts w:hint="eastAsia" w:ascii="宋体" w:hAnsi="宋体"/>
          <w:szCs w:val="21"/>
          <w:highlight w:val="none"/>
        </w:rPr>
        <w:t>相关</w:t>
      </w:r>
      <w:r>
        <w:rPr>
          <w:rFonts w:ascii="宋体" w:hAnsi="宋体"/>
          <w:szCs w:val="21"/>
          <w:highlight w:val="none"/>
        </w:rPr>
        <w:t>试验</w:t>
      </w:r>
      <w:r>
        <w:rPr>
          <w:rFonts w:hint="eastAsia" w:ascii="宋体" w:hAnsi="宋体"/>
          <w:szCs w:val="21"/>
          <w:highlight w:val="none"/>
        </w:rPr>
        <w:t>测试</w:t>
      </w:r>
      <w:r>
        <w:rPr>
          <w:rFonts w:ascii="宋体" w:hAnsi="宋体"/>
          <w:szCs w:val="21"/>
          <w:highlight w:val="none"/>
        </w:rPr>
        <w:t>后应及时包装，否则应得到切实的保护。其包装应符合铁路、公路</w:t>
      </w:r>
      <w:r>
        <w:rPr>
          <w:rFonts w:hint="eastAsia" w:ascii="宋体" w:hAnsi="宋体"/>
          <w:szCs w:val="21"/>
          <w:highlight w:val="none"/>
        </w:rPr>
        <w:t>及</w:t>
      </w:r>
      <w:r>
        <w:rPr>
          <w:rFonts w:ascii="宋体" w:hAnsi="宋体"/>
          <w:szCs w:val="21"/>
          <w:highlight w:val="none"/>
        </w:rPr>
        <w:t>海运部门的有关规定。</w:t>
      </w:r>
    </w:p>
    <w:p w14:paraId="72A67DA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（2）包装箱上应有明显的包装储运图示标志，并应标明发包方的订货号和发货号。</w:t>
      </w:r>
    </w:p>
    <w:p w14:paraId="5C846A6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（3）各种包装应确保各零部件在运输过程中不丢失、不损坏、不受潮和不腐蚀。</w:t>
      </w:r>
    </w:p>
    <w:p w14:paraId="1D876E1D">
      <w:pPr>
        <w:adjustRightInd w:val="0"/>
        <w:snapToGrid w:val="0"/>
        <w:spacing w:line="560" w:lineRule="exact"/>
        <w:ind w:firstLine="422" w:firstLineChars="200"/>
        <w:rPr>
          <w:rFonts w:ascii="宋体" w:hAnsi="宋体" w:eastAsia="宋体" w:cs="Times New Roman"/>
          <w:b/>
          <w:bCs/>
          <w:szCs w:val="21"/>
          <w:highlight w:val="none"/>
        </w:rPr>
      </w:pPr>
      <w:bookmarkStart w:id="16" w:name="_Toc257018516"/>
      <w:bookmarkStart w:id="17" w:name="_Toc257189967"/>
      <w:bookmarkStart w:id="18" w:name="_Toc258020418"/>
      <w:bookmarkStart w:id="19" w:name="_Toc257190530"/>
      <w:bookmarkStart w:id="20" w:name="_Toc249842707"/>
      <w:bookmarkStart w:id="21" w:name="_Toc257129956"/>
      <w:bookmarkStart w:id="22" w:name="_Toc258279951"/>
      <w:bookmarkStart w:id="23" w:name="_Toc257018433"/>
      <w:bookmarkStart w:id="24" w:name="_Toc257132059"/>
      <w:bookmarkStart w:id="25" w:name="_Toc257200837"/>
      <w:bookmarkStart w:id="26" w:name="_Toc258020020"/>
      <w:bookmarkStart w:id="27" w:name="_Toc257018597"/>
      <w:bookmarkStart w:id="28" w:name="_Toc258019425"/>
      <w:bookmarkStart w:id="29" w:name="_Toc258280011"/>
      <w:r>
        <w:rPr>
          <w:rFonts w:hint="eastAsia" w:ascii="宋体" w:hAnsi="宋体" w:eastAsia="宋体" w:cs="Times New Roman"/>
          <w:b/>
          <w:bCs/>
          <w:szCs w:val="21"/>
          <w:highlight w:val="none"/>
        </w:rPr>
        <w:t>1.2</w:t>
      </w:r>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Times New Roman"/>
          <w:b/>
          <w:bCs/>
          <w:szCs w:val="21"/>
          <w:highlight w:val="none"/>
        </w:rPr>
        <w:t>运输</w:t>
      </w:r>
    </w:p>
    <w:p w14:paraId="519B2A2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（1）合同设备在运输时应符合铁路、公路及海运部门的有关规定。</w:t>
      </w:r>
    </w:p>
    <w:p w14:paraId="3238DE6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（2）合同设备的运输应保证其外壳不受任何损伤，内部元件不能发生位移且应保证内部元件性能完好。</w:t>
      </w:r>
    </w:p>
    <w:p w14:paraId="128F155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（3）所有部件经妥善包装或装箱后，在运输过程中尚应采取其它防护措施，以免散失损坏或被盗。</w:t>
      </w:r>
    </w:p>
    <w:p w14:paraId="2FDC3F8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（4）运输中不允许有任何的碰撞和磨损，底部需加缓冲垫防震。</w:t>
      </w:r>
    </w:p>
    <w:p w14:paraId="3EAB231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（5）随产品提供的技术资料应完整无缺。</w:t>
      </w:r>
      <w:bookmarkStart w:id="30" w:name="_Toc260946759"/>
    </w:p>
    <w:p w14:paraId="75F0A42D">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2.光储发电系统设计</w:t>
      </w:r>
    </w:p>
    <w:p w14:paraId="160D4D8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光储发电系统的设计需要体现：设计说明，包括但不限于项目所在地的日照资源、峰值日照时数、设计方位角、设计倾角、恒载取值、活载取值、风荷载取值，彩钢屋面永久性安全爬梯设计、线缆选型及线损计算、桥架及布线设计、逆变器选型、组件串并联计算、设计容量计算、阴影分析、线缆路由设计、维护通道宽度的选择、防雷接地设计、逆变器、变压器的定位、变压器土建基础的设计、监控系统设计、站内保护通信系统设计、网络安全设计等，其中防雷接地设计须满足国家对于光伏发电系统的防雷设计的基本要求，以上需要在项目设计文件中有完整且详细的说明或描述。</w:t>
      </w:r>
    </w:p>
    <w:bookmarkEnd w:id="30"/>
    <w:p w14:paraId="3BF59FD3">
      <w:pPr>
        <w:keepNext/>
        <w:keepLines/>
        <w:adjustRightInd w:val="0"/>
        <w:snapToGrid w:val="0"/>
        <w:spacing w:line="560" w:lineRule="exact"/>
        <w:ind w:left="420" w:leftChars="200"/>
        <w:jc w:val="left"/>
        <w:outlineLvl w:val="2"/>
        <w:rPr>
          <w:rFonts w:ascii="宋体" w:hAnsi="宋体"/>
          <w:b/>
          <w:bCs/>
          <w:szCs w:val="21"/>
          <w:highlight w:val="none"/>
        </w:rPr>
      </w:pPr>
      <w:bookmarkStart w:id="31" w:name="_Toc22517"/>
      <w:bookmarkStart w:id="32" w:name="_Toc8447"/>
      <w:bookmarkStart w:id="33" w:name="_Toc76720098"/>
      <w:r>
        <w:rPr>
          <w:rFonts w:hint="eastAsia" w:ascii="宋体" w:hAnsi="宋体"/>
          <w:b/>
          <w:bCs/>
          <w:szCs w:val="21"/>
          <w:highlight w:val="none"/>
        </w:rPr>
        <w:t>3.</w:t>
      </w:r>
      <w:r>
        <w:rPr>
          <w:rFonts w:ascii="宋体" w:hAnsi="宋体"/>
          <w:b/>
          <w:bCs/>
          <w:szCs w:val="21"/>
          <w:highlight w:val="none"/>
        </w:rPr>
        <w:t>系统接入及环境要求</w:t>
      </w:r>
      <w:bookmarkEnd w:id="31"/>
      <w:bookmarkEnd w:id="32"/>
      <w:bookmarkEnd w:id="33"/>
    </w:p>
    <w:p w14:paraId="2EC8B77D">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投标人可根据各建筑屋顶、地面条件、电房位置、输电线路、水厂消纳条件、水厂区内部电网条件，对子系统的容量分配以及系统配置进行优化，提出更优的方案供招标人选择。各屋顶安装容量可根据招标人的经验及招标人提供的资料进行调整，招标人有权对方案进行修改，承包方应承诺不发生合同价格的调整。</w:t>
      </w:r>
    </w:p>
    <w:p w14:paraId="2918CFE5">
      <w:pPr>
        <w:adjustRightInd w:val="0"/>
        <w:snapToGrid w:val="0"/>
        <w:spacing w:line="560" w:lineRule="exact"/>
        <w:ind w:firstLine="420" w:firstLineChars="200"/>
        <w:rPr>
          <w:rFonts w:ascii="宋体" w:hAnsi="宋体"/>
          <w:szCs w:val="21"/>
          <w:highlight w:val="none"/>
        </w:rPr>
      </w:pPr>
      <w:r>
        <w:rPr>
          <w:rFonts w:ascii="宋体" w:hAnsi="宋体"/>
          <w:szCs w:val="21"/>
          <w:highlight w:val="none"/>
        </w:rPr>
        <w:t>1）系统输出电压：0.</w:t>
      </w:r>
      <w:r>
        <w:rPr>
          <w:rFonts w:hint="eastAsia" w:ascii="宋体" w:hAnsi="宋体"/>
          <w:szCs w:val="21"/>
          <w:highlight w:val="none"/>
        </w:rPr>
        <w:t>8kV/</w:t>
      </w:r>
      <w:r>
        <w:rPr>
          <w:rFonts w:ascii="宋体" w:hAnsi="宋体"/>
          <w:szCs w:val="21"/>
          <w:highlight w:val="none"/>
        </w:rPr>
        <w:t>10</w:t>
      </w:r>
      <w:r>
        <w:rPr>
          <w:rFonts w:hint="eastAsia" w:ascii="宋体" w:hAnsi="宋体"/>
          <w:szCs w:val="21"/>
          <w:highlight w:val="none"/>
        </w:rPr>
        <w:t>k</w:t>
      </w:r>
      <w:r>
        <w:rPr>
          <w:rFonts w:ascii="宋体" w:hAnsi="宋体"/>
          <w:szCs w:val="21"/>
          <w:highlight w:val="none"/>
        </w:rPr>
        <w:t xml:space="preserve">V AC±10％； </w:t>
      </w:r>
    </w:p>
    <w:p w14:paraId="54091FD9">
      <w:pPr>
        <w:adjustRightInd w:val="0"/>
        <w:snapToGrid w:val="0"/>
        <w:spacing w:line="560" w:lineRule="exact"/>
        <w:ind w:firstLine="420" w:firstLineChars="200"/>
        <w:rPr>
          <w:rFonts w:ascii="宋体" w:hAnsi="宋体"/>
          <w:szCs w:val="21"/>
          <w:highlight w:val="none"/>
        </w:rPr>
      </w:pPr>
      <w:r>
        <w:rPr>
          <w:rFonts w:ascii="宋体" w:hAnsi="宋体"/>
          <w:szCs w:val="21"/>
          <w:highlight w:val="none"/>
        </w:rPr>
        <w:t>2）电源频率：50Hz±0.5Hz；</w:t>
      </w:r>
    </w:p>
    <w:p w14:paraId="2CCA64C5">
      <w:pPr>
        <w:adjustRightInd w:val="0"/>
        <w:snapToGrid w:val="0"/>
        <w:spacing w:line="560" w:lineRule="exact"/>
        <w:ind w:firstLine="420" w:firstLineChars="200"/>
        <w:rPr>
          <w:rFonts w:ascii="宋体" w:hAnsi="宋体"/>
          <w:szCs w:val="21"/>
          <w:highlight w:val="none"/>
        </w:rPr>
      </w:pPr>
      <w:r>
        <w:rPr>
          <w:rFonts w:ascii="宋体" w:hAnsi="宋体"/>
          <w:szCs w:val="21"/>
          <w:highlight w:val="none"/>
        </w:rPr>
        <w:t>3）装机发电容</w:t>
      </w:r>
      <w:r>
        <w:rPr>
          <w:rFonts w:ascii="宋体" w:hAnsi="宋体" w:eastAsia="宋体" w:cs="Times New Roman"/>
          <w:szCs w:val="21"/>
          <w:highlight w:val="none"/>
        </w:rPr>
        <w:t>量：</w:t>
      </w:r>
      <w:r>
        <w:rPr>
          <w:rFonts w:hint="eastAsia" w:ascii="宋体" w:hAnsi="宋体" w:eastAsia="宋体" w:cs="Times New Roman"/>
          <w:szCs w:val="21"/>
          <w:highlight w:val="none"/>
        </w:rPr>
        <w:t>以实际排布为准</w:t>
      </w:r>
      <w:r>
        <w:rPr>
          <w:rFonts w:ascii="宋体" w:hAnsi="宋体" w:eastAsia="宋体" w:cs="Times New Roman"/>
          <w:szCs w:val="21"/>
          <w:highlight w:val="none"/>
        </w:rPr>
        <w:t>；</w:t>
      </w:r>
    </w:p>
    <w:p w14:paraId="3A1E7106">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4）系统为并网型光储发电系统，需综合考虑消纳及接入情况，本项目拟设2个并网点。并网接入点位置暂定良田粮库专用配电房。接入方式和接入点位置可根据现场情况调整，以最终接入方案为准。（具体接入设计以供电审批为准）</w:t>
      </w:r>
    </w:p>
    <w:p w14:paraId="51D32AA4">
      <w:pPr>
        <w:adjustRightInd w:val="0"/>
        <w:snapToGrid w:val="0"/>
        <w:spacing w:line="560" w:lineRule="exact"/>
        <w:ind w:firstLine="420" w:firstLineChars="200"/>
        <w:jc w:val="center"/>
        <w:rPr>
          <w:rFonts w:ascii="宋体" w:hAnsi="宋体"/>
          <w:szCs w:val="21"/>
          <w:highlight w:val="none"/>
        </w:rPr>
      </w:pPr>
    </w:p>
    <w:p w14:paraId="37E19187">
      <w:pPr>
        <w:keepNext/>
        <w:keepLines/>
        <w:adjustRightInd w:val="0"/>
        <w:snapToGrid w:val="0"/>
        <w:spacing w:line="560" w:lineRule="exact"/>
        <w:ind w:left="630"/>
        <w:jc w:val="left"/>
        <w:outlineLvl w:val="2"/>
        <w:rPr>
          <w:rFonts w:ascii="宋体" w:hAnsi="宋体"/>
          <w:b/>
          <w:bCs/>
          <w:szCs w:val="21"/>
          <w:highlight w:val="none"/>
        </w:rPr>
      </w:pPr>
      <w:bookmarkStart w:id="34" w:name="_Toc76720099"/>
      <w:bookmarkStart w:id="35" w:name="_Toc13821"/>
      <w:bookmarkStart w:id="36" w:name="_Toc13568"/>
      <w:r>
        <w:rPr>
          <w:rFonts w:hint="eastAsia" w:ascii="宋体" w:hAnsi="宋体"/>
          <w:b/>
          <w:bCs/>
          <w:szCs w:val="21"/>
          <w:highlight w:val="none"/>
        </w:rPr>
        <w:t>4.主</w:t>
      </w:r>
      <w:r>
        <w:rPr>
          <w:rFonts w:ascii="宋体" w:hAnsi="宋体"/>
          <w:b/>
          <w:bCs/>
          <w:szCs w:val="21"/>
          <w:highlight w:val="none"/>
        </w:rPr>
        <w:t>要设备</w:t>
      </w:r>
      <w:bookmarkEnd w:id="34"/>
      <w:bookmarkEnd w:id="35"/>
      <w:bookmarkEnd w:id="36"/>
    </w:p>
    <w:p w14:paraId="7C145D5E">
      <w:pPr>
        <w:adjustRightInd w:val="0"/>
        <w:snapToGrid w:val="0"/>
        <w:spacing w:line="560" w:lineRule="exact"/>
        <w:ind w:firstLine="422" w:firstLineChars="200"/>
        <w:rPr>
          <w:rFonts w:ascii="宋体" w:hAnsi="宋体" w:eastAsia="宋体" w:cs="Times New Roman"/>
          <w:b/>
          <w:bCs/>
          <w:szCs w:val="21"/>
          <w:highlight w:val="none"/>
        </w:rPr>
      </w:pPr>
      <w:bookmarkStart w:id="37" w:name="_Toc11082"/>
      <w:bookmarkStart w:id="38" w:name="_Toc76720100"/>
      <w:bookmarkStart w:id="39" w:name="_Toc24882"/>
      <w:r>
        <w:rPr>
          <w:rFonts w:hint="eastAsia" w:ascii="宋体" w:hAnsi="宋体" w:eastAsia="宋体" w:cs="Times New Roman"/>
          <w:b/>
          <w:bCs/>
          <w:szCs w:val="21"/>
          <w:highlight w:val="none"/>
        </w:rPr>
        <w:t>4.1设备范围</w:t>
      </w:r>
      <w:bookmarkEnd w:id="37"/>
      <w:bookmarkEnd w:id="38"/>
      <w:bookmarkEnd w:id="39"/>
    </w:p>
    <w:p w14:paraId="32DC787E">
      <w:pPr>
        <w:adjustRightInd w:val="0"/>
        <w:snapToGrid w:val="0"/>
        <w:spacing w:line="560" w:lineRule="exact"/>
        <w:ind w:firstLine="420" w:firstLineChars="200"/>
        <w:rPr>
          <w:rFonts w:ascii="宋体" w:hAnsi="宋体"/>
          <w:kern w:val="0"/>
          <w:szCs w:val="21"/>
          <w:highlight w:val="none"/>
        </w:rPr>
      </w:pPr>
      <w:r>
        <w:rPr>
          <w:rFonts w:ascii="宋体" w:hAnsi="宋体"/>
          <w:kern w:val="0"/>
          <w:szCs w:val="21"/>
          <w:highlight w:val="none"/>
        </w:rPr>
        <w:t>本</w:t>
      </w:r>
      <w:r>
        <w:rPr>
          <w:rFonts w:hint="eastAsia" w:ascii="宋体" w:hAnsi="宋体"/>
          <w:kern w:val="0"/>
          <w:szCs w:val="21"/>
          <w:highlight w:val="none"/>
        </w:rPr>
        <w:t>光伏</w:t>
      </w:r>
      <w:r>
        <w:rPr>
          <w:rFonts w:ascii="宋体" w:hAnsi="宋体"/>
          <w:kern w:val="0"/>
          <w:szCs w:val="21"/>
          <w:highlight w:val="none"/>
        </w:rPr>
        <w:t>系统设备主要包括光伏组件、逆变器、</w:t>
      </w:r>
      <w:r>
        <w:rPr>
          <w:rFonts w:hint="eastAsia" w:ascii="宋体" w:hAnsi="宋体"/>
          <w:kern w:val="0"/>
          <w:szCs w:val="21"/>
          <w:highlight w:val="none"/>
        </w:rPr>
        <w:t>汇流设备、箱变（如有</w:t>
      </w:r>
      <w:r>
        <w:rPr>
          <w:rFonts w:ascii="宋体" w:hAnsi="宋体"/>
          <w:kern w:val="0"/>
          <w:szCs w:val="21"/>
          <w:highlight w:val="none"/>
        </w:rPr>
        <w:t>）</w:t>
      </w:r>
      <w:r>
        <w:rPr>
          <w:rFonts w:hint="eastAsia" w:ascii="宋体" w:hAnsi="宋体"/>
          <w:kern w:val="0"/>
          <w:szCs w:val="21"/>
          <w:highlight w:val="none"/>
        </w:rPr>
        <w:t>、高低压开关柜（如有</w:t>
      </w:r>
      <w:r>
        <w:rPr>
          <w:rFonts w:ascii="宋体" w:hAnsi="宋体"/>
          <w:kern w:val="0"/>
          <w:szCs w:val="21"/>
          <w:highlight w:val="none"/>
        </w:rPr>
        <w:t>）</w:t>
      </w:r>
      <w:r>
        <w:rPr>
          <w:rFonts w:hint="eastAsia" w:ascii="宋体" w:hAnsi="宋体"/>
          <w:kern w:val="0"/>
          <w:szCs w:val="21"/>
          <w:highlight w:val="none"/>
        </w:rPr>
        <w:t>、综合自动化（如有），</w:t>
      </w:r>
      <w:r>
        <w:rPr>
          <w:rFonts w:ascii="宋体" w:hAnsi="宋体"/>
          <w:kern w:val="0"/>
          <w:szCs w:val="21"/>
          <w:highlight w:val="none"/>
        </w:rPr>
        <w:t>具体范围</w:t>
      </w:r>
      <w:r>
        <w:rPr>
          <w:rFonts w:hint="eastAsia" w:ascii="宋体" w:hAnsi="宋体"/>
          <w:kern w:val="0"/>
          <w:szCs w:val="21"/>
          <w:highlight w:val="none"/>
        </w:rPr>
        <w:t>如表3-1。</w:t>
      </w:r>
    </w:p>
    <w:p w14:paraId="3D04537A">
      <w:pPr>
        <w:spacing w:line="560" w:lineRule="exact"/>
        <w:ind w:firstLine="420" w:firstLineChars="200"/>
        <w:jc w:val="center"/>
        <w:rPr>
          <w:color w:val="FF0000"/>
          <w:highlight w:val="none"/>
        </w:rPr>
      </w:pPr>
      <w:r>
        <w:rPr>
          <w:rFonts w:hint="eastAsia" w:ascii="宋体" w:hAnsi="宋体"/>
          <w:color w:val="FF0000"/>
          <w:kern w:val="0"/>
          <w:szCs w:val="21"/>
          <w:highlight w:val="none"/>
        </w:rPr>
        <w:t>表4-1 设备范围</w:t>
      </w:r>
    </w:p>
    <w:tbl>
      <w:tblPr>
        <w:tblStyle w:val="8"/>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5574"/>
      </w:tblGrid>
      <w:tr w14:paraId="5964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891D5B4">
            <w:pPr>
              <w:pStyle w:val="2"/>
              <w:spacing w:line="560" w:lineRule="exact"/>
              <w:ind w:firstLine="0" w:firstLineChars="0"/>
              <w:jc w:val="center"/>
              <w:rPr>
                <w:highlight w:val="none"/>
              </w:rPr>
            </w:pPr>
            <w:r>
              <w:rPr>
                <w:rFonts w:hint="eastAsia" w:ascii="宋体" w:hAnsi="宋体" w:cs="宋体"/>
                <w:b/>
                <w:bCs/>
                <w:kern w:val="0"/>
                <w:szCs w:val="21"/>
                <w:highlight w:val="none"/>
              </w:rPr>
              <w:t>序号</w:t>
            </w:r>
          </w:p>
        </w:tc>
        <w:tc>
          <w:tcPr>
            <w:tcW w:w="2268" w:type="dxa"/>
          </w:tcPr>
          <w:p w14:paraId="3B7D8271">
            <w:pPr>
              <w:pStyle w:val="2"/>
              <w:spacing w:line="560" w:lineRule="exact"/>
              <w:ind w:firstLine="0" w:firstLineChars="0"/>
              <w:jc w:val="center"/>
              <w:rPr>
                <w:highlight w:val="none"/>
              </w:rPr>
            </w:pPr>
            <w:r>
              <w:rPr>
                <w:rFonts w:hint="eastAsia" w:ascii="宋体" w:hAnsi="宋体" w:cs="宋体"/>
                <w:b/>
                <w:bCs/>
                <w:kern w:val="0"/>
                <w:szCs w:val="21"/>
                <w:highlight w:val="none"/>
              </w:rPr>
              <w:t>名称</w:t>
            </w:r>
          </w:p>
        </w:tc>
        <w:tc>
          <w:tcPr>
            <w:tcW w:w="5574" w:type="dxa"/>
          </w:tcPr>
          <w:p w14:paraId="4E693409">
            <w:pPr>
              <w:pStyle w:val="2"/>
              <w:spacing w:line="560" w:lineRule="exact"/>
              <w:ind w:firstLine="0" w:firstLineChars="0"/>
              <w:jc w:val="center"/>
              <w:rPr>
                <w:highlight w:val="none"/>
              </w:rPr>
            </w:pPr>
            <w:r>
              <w:rPr>
                <w:rFonts w:hint="eastAsia" w:ascii="宋体" w:hAnsi="宋体" w:cs="宋体"/>
                <w:b/>
                <w:bCs/>
                <w:kern w:val="0"/>
                <w:szCs w:val="21"/>
                <w:highlight w:val="none"/>
              </w:rPr>
              <w:t>型号</w:t>
            </w:r>
          </w:p>
        </w:tc>
      </w:tr>
      <w:tr w14:paraId="3618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5445CE1">
            <w:pPr>
              <w:pStyle w:val="2"/>
              <w:spacing w:line="560" w:lineRule="exact"/>
              <w:ind w:firstLine="0" w:firstLineChars="0"/>
              <w:jc w:val="center"/>
              <w:rPr>
                <w:highlight w:val="none"/>
              </w:rPr>
            </w:pPr>
            <w:r>
              <w:rPr>
                <w:rFonts w:hint="eastAsia"/>
                <w:highlight w:val="none"/>
              </w:rPr>
              <w:t>1</w:t>
            </w:r>
          </w:p>
        </w:tc>
        <w:tc>
          <w:tcPr>
            <w:tcW w:w="2268" w:type="dxa"/>
            <w:vAlign w:val="center"/>
          </w:tcPr>
          <w:p w14:paraId="76E00178">
            <w:pPr>
              <w:pStyle w:val="2"/>
              <w:spacing w:line="560" w:lineRule="exact"/>
              <w:ind w:firstLine="0" w:firstLineChars="0"/>
              <w:rPr>
                <w:highlight w:val="none"/>
              </w:rPr>
            </w:pPr>
            <w:r>
              <w:rPr>
                <w:rFonts w:hint="eastAsia" w:ascii="宋体" w:hAnsi="宋体"/>
                <w:kern w:val="0"/>
                <w:sz w:val="20"/>
                <w:highlight w:val="none"/>
              </w:rPr>
              <w:t>光伏组件</w:t>
            </w:r>
          </w:p>
        </w:tc>
        <w:tc>
          <w:tcPr>
            <w:tcW w:w="5574" w:type="dxa"/>
          </w:tcPr>
          <w:p w14:paraId="49E4091B">
            <w:pPr>
              <w:pStyle w:val="2"/>
              <w:spacing w:line="560" w:lineRule="exact"/>
              <w:ind w:firstLine="0" w:firstLineChars="0"/>
              <w:rPr>
                <w:highlight w:val="none"/>
              </w:rPr>
            </w:pPr>
            <w:r>
              <w:rPr>
                <w:rFonts w:hint="eastAsia" w:ascii="宋体" w:hAnsi="宋体" w:cs="宋体"/>
                <w:kern w:val="0"/>
                <w:szCs w:val="21"/>
                <w:highlight w:val="none"/>
              </w:rPr>
              <w:t>选用双玻双面单晶硅，参照品牌：天合、通威、晶科、（或其他</w:t>
            </w:r>
            <w:r>
              <w:rPr>
                <w:rFonts w:hint="eastAsia" w:ascii="宋体" w:hAnsi="宋体" w:eastAsia="宋体" w:cs="宋体"/>
                <w:kern w:val="0"/>
                <w:szCs w:val="21"/>
                <w:highlight w:val="none"/>
              </w:rPr>
              <w:t>同等（或以上）档次品牌或者生产供应商）</w:t>
            </w:r>
          </w:p>
        </w:tc>
      </w:tr>
      <w:tr w14:paraId="7AA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C44954F">
            <w:pPr>
              <w:pStyle w:val="2"/>
              <w:spacing w:line="560" w:lineRule="exact"/>
              <w:ind w:firstLine="0" w:firstLineChars="0"/>
              <w:jc w:val="center"/>
              <w:rPr>
                <w:highlight w:val="none"/>
              </w:rPr>
            </w:pPr>
            <w:r>
              <w:rPr>
                <w:rFonts w:hint="eastAsia"/>
                <w:highlight w:val="none"/>
              </w:rPr>
              <w:t>2</w:t>
            </w:r>
          </w:p>
        </w:tc>
        <w:tc>
          <w:tcPr>
            <w:tcW w:w="2268" w:type="dxa"/>
            <w:vAlign w:val="center"/>
          </w:tcPr>
          <w:p w14:paraId="223BBCBD">
            <w:pPr>
              <w:pStyle w:val="2"/>
              <w:spacing w:line="560" w:lineRule="exact"/>
              <w:ind w:firstLine="0" w:firstLineChars="0"/>
              <w:rPr>
                <w:rFonts w:ascii="宋体" w:hAnsi="宋体" w:eastAsia="宋体" w:cs="宋体"/>
                <w:kern w:val="0"/>
                <w:szCs w:val="21"/>
                <w:highlight w:val="none"/>
              </w:rPr>
            </w:pPr>
            <w:r>
              <w:rPr>
                <w:rFonts w:hint="eastAsia" w:ascii="宋体" w:hAnsi="宋体" w:cs="宋体"/>
                <w:kern w:val="0"/>
                <w:szCs w:val="21"/>
                <w:highlight w:val="none"/>
              </w:rPr>
              <w:t>高低压开关柜（开关品牌）</w:t>
            </w:r>
          </w:p>
        </w:tc>
        <w:tc>
          <w:tcPr>
            <w:tcW w:w="5574" w:type="dxa"/>
          </w:tcPr>
          <w:p w14:paraId="0D806C5D">
            <w:pPr>
              <w:pStyle w:val="2"/>
              <w:spacing w:line="560" w:lineRule="exact"/>
              <w:ind w:firstLine="0" w:firstLineChars="0"/>
              <w:rPr>
                <w:rFonts w:ascii="宋体" w:hAnsi="宋体" w:cs="宋体"/>
                <w:kern w:val="0"/>
                <w:szCs w:val="21"/>
                <w:highlight w:val="none"/>
              </w:rPr>
            </w:pPr>
            <w:r>
              <w:rPr>
                <w:rFonts w:hint="eastAsia" w:ascii="宋体" w:hAnsi="宋体" w:cs="宋体"/>
                <w:kern w:val="0"/>
                <w:szCs w:val="21"/>
                <w:highlight w:val="none"/>
              </w:rPr>
              <w:t>高低压开关柜（具体按供电局审核通过的图纸）</w:t>
            </w:r>
          </w:p>
          <w:p w14:paraId="6720BB65">
            <w:pPr>
              <w:pStyle w:val="2"/>
              <w:spacing w:line="560" w:lineRule="exact"/>
              <w:ind w:firstLine="0" w:firstLineChars="0"/>
              <w:rPr>
                <w:rFonts w:ascii="宋体" w:hAnsi="宋体" w:cs="宋体"/>
                <w:kern w:val="0"/>
                <w:szCs w:val="21"/>
                <w:highlight w:val="none"/>
              </w:rPr>
            </w:pPr>
            <w:r>
              <w:rPr>
                <w:rFonts w:hint="eastAsia" w:ascii="宋体" w:hAnsi="宋体" w:cs="宋体"/>
                <w:kern w:val="0"/>
                <w:szCs w:val="21"/>
                <w:highlight w:val="none"/>
              </w:rPr>
              <w:t>参照品牌：国瑞、白云电器、爱斯凯（或其他同等（或以上）档次品牌或者生产供应商）</w:t>
            </w:r>
          </w:p>
          <w:p w14:paraId="0A89BBD9">
            <w:pPr>
              <w:pStyle w:val="2"/>
              <w:spacing w:line="560" w:lineRule="exact"/>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高低压柜中的开关品牌要求：常熟、良信、大全</w:t>
            </w:r>
            <w:r>
              <w:rPr>
                <w:rFonts w:hint="eastAsia" w:ascii="宋体" w:hAnsi="宋体" w:cs="宋体"/>
                <w:kern w:val="0"/>
                <w:szCs w:val="21"/>
                <w:highlight w:val="none"/>
              </w:rPr>
              <w:t>（或其他同等（或以上）档次品牌或者生产供应商）</w:t>
            </w:r>
          </w:p>
        </w:tc>
      </w:tr>
      <w:tr w14:paraId="781B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5FCDE7F">
            <w:pPr>
              <w:pStyle w:val="2"/>
              <w:spacing w:line="560" w:lineRule="exact"/>
              <w:ind w:firstLine="0" w:firstLineChars="0"/>
              <w:jc w:val="center"/>
              <w:rPr>
                <w:highlight w:val="none"/>
              </w:rPr>
            </w:pPr>
            <w:r>
              <w:rPr>
                <w:rFonts w:hint="eastAsia"/>
                <w:highlight w:val="none"/>
              </w:rPr>
              <w:t>3</w:t>
            </w:r>
          </w:p>
        </w:tc>
        <w:tc>
          <w:tcPr>
            <w:tcW w:w="2268" w:type="dxa"/>
            <w:vAlign w:val="center"/>
          </w:tcPr>
          <w:p w14:paraId="14627006">
            <w:pPr>
              <w:pStyle w:val="2"/>
              <w:spacing w:line="560" w:lineRule="exact"/>
              <w:ind w:firstLine="0" w:firstLineChars="0"/>
              <w:rPr>
                <w:highlight w:val="none"/>
              </w:rPr>
            </w:pPr>
            <w:r>
              <w:rPr>
                <w:rFonts w:hint="eastAsia" w:ascii="宋体" w:hAnsi="宋体"/>
                <w:kern w:val="0"/>
                <w:sz w:val="20"/>
                <w:szCs w:val="20"/>
                <w:highlight w:val="none"/>
              </w:rPr>
              <w:t>箱变</w:t>
            </w:r>
          </w:p>
        </w:tc>
        <w:tc>
          <w:tcPr>
            <w:tcW w:w="5574" w:type="dxa"/>
          </w:tcPr>
          <w:p w14:paraId="2571B92F">
            <w:pPr>
              <w:widowControl/>
              <w:spacing w:line="560" w:lineRule="exact"/>
              <w:jc w:val="left"/>
              <w:rPr>
                <w:rFonts w:ascii="宋体" w:hAnsi="宋体" w:cs="宋体"/>
                <w:kern w:val="0"/>
                <w:szCs w:val="21"/>
                <w:highlight w:val="none"/>
              </w:rPr>
            </w:pPr>
            <w:r>
              <w:rPr>
                <w:rFonts w:hint="eastAsia" w:ascii="宋体" w:hAnsi="宋体" w:cs="宋体"/>
                <w:kern w:val="0"/>
                <w:szCs w:val="21"/>
                <w:highlight w:val="none"/>
              </w:rPr>
              <w:t>10kV升压箱变（具体型号按供电局审核通过的图纸）</w:t>
            </w:r>
          </w:p>
          <w:p w14:paraId="744BA41B">
            <w:pPr>
              <w:pStyle w:val="2"/>
              <w:spacing w:line="560" w:lineRule="exact"/>
              <w:ind w:firstLine="0" w:firstLineChars="0"/>
              <w:rPr>
                <w:highlight w:val="none"/>
              </w:rPr>
            </w:pPr>
            <w:r>
              <w:rPr>
                <w:rFonts w:hint="eastAsia" w:ascii="宋体" w:hAnsi="宋体" w:cs="宋体"/>
                <w:kern w:val="0"/>
                <w:szCs w:val="21"/>
                <w:highlight w:val="none"/>
              </w:rPr>
              <w:t>参照</w:t>
            </w:r>
            <w:r>
              <w:rPr>
                <w:rFonts w:hint="eastAsia" w:ascii="宋体" w:hAnsi="宋体" w:eastAsia="宋体" w:cs="宋体"/>
                <w:kern w:val="0"/>
                <w:szCs w:val="21"/>
                <w:highlight w:val="none"/>
              </w:rPr>
              <w:t>品牌：顺特电气、特变、</w:t>
            </w:r>
            <w:r>
              <w:rPr>
                <w:rFonts w:hint="eastAsia" w:ascii="宋体" w:hAnsi="宋体" w:cs="宋体"/>
                <w:kern w:val="0"/>
                <w:szCs w:val="21"/>
                <w:highlight w:val="none"/>
              </w:rPr>
              <w:t>广特（或其他</w:t>
            </w:r>
            <w:r>
              <w:rPr>
                <w:rFonts w:hint="eastAsia" w:ascii="宋体" w:hAnsi="宋体" w:eastAsia="宋体" w:cs="宋体"/>
                <w:kern w:val="0"/>
                <w:szCs w:val="21"/>
                <w:highlight w:val="none"/>
              </w:rPr>
              <w:t>同等（或以上）档次品牌或者生产供应商）</w:t>
            </w:r>
          </w:p>
        </w:tc>
      </w:tr>
      <w:tr w14:paraId="37CE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02E5AF">
            <w:pPr>
              <w:pStyle w:val="2"/>
              <w:spacing w:line="560" w:lineRule="exact"/>
              <w:ind w:firstLine="0" w:firstLineChars="0"/>
              <w:jc w:val="center"/>
              <w:rPr>
                <w:highlight w:val="none"/>
              </w:rPr>
            </w:pPr>
            <w:r>
              <w:rPr>
                <w:rFonts w:hint="eastAsia"/>
                <w:highlight w:val="none"/>
              </w:rPr>
              <w:t>4</w:t>
            </w:r>
          </w:p>
        </w:tc>
        <w:tc>
          <w:tcPr>
            <w:tcW w:w="2268" w:type="dxa"/>
            <w:vAlign w:val="center"/>
          </w:tcPr>
          <w:p w14:paraId="1A06C55E">
            <w:pPr>
              <w:pStyle w:val="2"/>
              <w:spacing w:line="560" w:lineRule="exact"/>
              <w:ind w:firstLine="0" w:firstLineChars="0"/>
              <w:rPr>
                <w:highlight w:val="none"/>
              </w:rPr>
            </w:pPr>
            <w:r>
              <w:rPr>
                <w:rFonts w:hint="eastAsia" w:ascii="宋体" w:hAnsi="宋体"/>
                <w:kern w:val="0"/>
                <w:sz w:val="20"/>
                <w:highlight w:val="none"/>
              </w:rPr>
              <w:t>并网逆变器</w:t>
            </w:r>
          </w:p>
        </w:tc>
        <w:tc>
          <w:tcPr>
            <w:tcW w:w="5574" w:type="dxa"/>
          </w:tcPr>
          <w:p w14:paraId="593C9465">
            <w:pPr>
              <w:widowControl/>
              <w:spacing w:line="560" w:lineRule="exact"/>
              <w:jc w:val="left"/>
              <w:rPr>
                <w:rFonts w:ascii="宋体" w:hAnsi="宋体" w:cs="宋体"/>
                <w:kern w:val="0"/>
                <w:szCs w:val="21"/>
                <w:highlight w:val="none"/>
              </w:rPr>
            </w:pPr>
            <w:r>
              <w:rPr>
                <w:rFonts w:hint="eastAsia" w:ascii="宋体" w:hAnsi="宋体" w:cs="宋体"/>
                <w:kern w:val="0"/>
                <w:szCs w:val="21"/>
                <w:highlight w:val="none"/>
              </w:rPr>
              <w:t>具体型号按供电局审核通过的图纸;</w:t>
            </w:r>
          </w:p>
          <w:p w14:paraId="084EA487">
            <w:pPr>
              <w:pStyle w:val="2"/>
              <w:spacing w:line="560" w:lineRule="exact"/>
              <w:ind w:firstLine="0" w:firstLineChars="0"/>
              <w:rPr>
                <w:highlight w:val="none"/>
              </w:rPr>
            </w:pPr>
            <w:r>
              <w:rPr>
                <w:rFonts w:hint="eastAsia" w:ascii="宋体" w:hAnsi="宋体" w:cs="宋体"/>
                <w:kern w:val="0"/>
                <w:szCs w:val="21"/>
                <w:highlight w:val="none"/>
              </w:rPr>
              <w:t>参照品牌：华为、阳光电源、古瑞瓦特（或其他</w:t>
            </w:r>
            <w:r>
              <w:rPr>
                <w:rFonts w:hint="eastAsia" w:ascii="宋体" w:hAnsi="宋体" w:eastAsia="宋体" w:cs="宋体"/>
                <w:kern w:val="0"/>
                <w:szCs w:val="21"/>
                <w:highlight w:val="none"/>
              </w:rPr>
              <w:t>同等（或以上）档次品牌或者生产供应商）</w:t>
            </w:r>
          </w:p>
        </w:tc>
      </w:tr>
      <w:tr w14:paraId="3A0A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E40BC67">
            <w:pPr>
              <w:pStyle w:val="2"/>
              <w:spacing w:line="560" w:lineRule="exact"/>
              <w:ind w:firstLine="0" w:firstLineChars="0"/>
              <w:jc w:val="center"/>
              <w:rPr>
                <w:highlight w:val="none"/>
              </w:rPr>
            </w:pPr>
            <w:r>
              <w:rPr>
                <w:rFonts w:hint="eastAsia"/>
                <w:highlight w:val="none"/>
              </w:rPr>
              <w:t>5</w:t>
            </w:r>
          </w:p>
        </w:tc>
        <w:tc>
          <w:tcPr>
            <w:tcW w:w="2268" w:type="dxa"/>
            <w:vAlign w:val="center"/>
          </w:tcPr>
          <w:p w14:paraId="5F8FD5CA">
            <w:pPr>
              <w:pStyle w:val="2"/>
              <w:spacing w:line="560" w:lineRule="exact"/>
              <w:ind w:firstLine="0" w:firstLineChars="0"/>
              <w:rPr>
                <w:highlight w:val="none"/>
              </w:rPr>
            </w:pPr>
            <w:r>
              <w:rPr>
                <w:rFonts w:hint="eastAsia" w:ascii="宋体" w:hAnsi="宋体"/>
                <w:kern w:val="0"/>
                <w:sz w:val="20"/>
                <w:szCs w:val="20"/>
                <w:highlight w:val="none"/>
              </w:rPr>
              <w:t>光伏电缆</w:t>
            </w:r>
          </w:p>
        </w:tc>
        <w:tc>
          <w:tcPr>
            <w:tcW w:w="5574" w:type="dxa"/>
          </w:tcPr>
          <w:p w14:paraId="55288AD2">
            <w:pPr>
              <w:pStyle w:val="2"/>
              <w:spacing w:line="560" w:lineRule="exact"/>
              <w:ind w:firstLine="0" w:firstLineChars="0"/>
              <w:rPr>
                <w:rFonts w:ascii="宋体" w:hAnsi="宋体" w:eastAsia="宋体" w:cs="宋体"/>
                <w:kern w:val="0"/>
                <w:szCs w:val="21"/>
                <w:highlight w:val="none"/>
              </w:rPr>
            </w:pPr>
            <w:r>
              <w:rPr>
                <w:rFonts w:hint="eastAsia" w:ascii="宋体" w:hAnsi="宋体" w:cs="宋体"/>
                <w:kern w:val="0"/>
                <w:szCs w:val="21"/>
                <w:highlight w:val="none"/>
              </w:rPr>
              <w:t>PV-1*4mm</w:t>
            </w:r>
            <w:r>
              <w:rPr>
                <w:rFonts w:hint="eastAsia" w:ascii="宋体" w:hAnsi="宋体" w:cs="宋体"/>
                <w:kern w:val="0"/>
                <w:szCs w:val="21"/>
                <w:highlight w:val="none"/>
                <w:vertAlign w:val="superscript"/>
              </w:rPr>
              <w:t>2</w:t>
            </w:r>
            <w:r>
              <w:rPr>
                <w:rFonts w:hint="eastAsia" w:ascii="宋体" w:hAnsi="宋体" w:cs="宋体"/>
                <w:kern w:val="0"/>
                <w:szCs w:val="21"/>
                <w:highlight w:val="none"/>
              </w:rPr>
              <w:t xml:space="preserve"> 、 PV-1*6mm</w:t>
            </w:r>
            <w:r>
              <w:rPr>
                <w:rFonts w:hint="eastAsia" w:ascii="宋体" w:hAnsi="宋体" w:cs="宋体"/>
                <w:kern w:val="0"/>
                <w:szCs w:val="21"/>
                <w:highlight w:val="none"/>
                <w:vertAlign w:val="superscript"/>
              </w:rPr>
              <w:t>2</w:t>
            </w:r>
            <w:r>
              <w:rPr>
                <w:rFonts w:hint="eastAsia" w:ascii="宋体" w:hAnsi="宋体" w:cs="宋体"/>
                <w:kern w:val="0"/>
                <w:szCs w:val="21"/>
                <w:highlight w:val="none"/>
              </w:rPr>
              <w:t xml:space="preserve">                      </w:t>
            </w:r>
          </w:p>
          <w:p w14:paraId="512D0204">
            <w:pPr>
              <w:pStyle w:val="2"/>
              <w:spacing w:line="560" w:lineRule="exact"/>
              <w:ind w:firstLine="0" w:firstLineChars="0"/>
              <w:rPr>
                <w:highlight w:val="none"/>
              </w:rPr>
            </w:pPr>
            <w:r>
              <w:rPr>
                <w:rFonts w:hint="eastAsia" w:ascii="宋体" w:hAnsi="宋体" w:cs="宋体"/>
                <w:kern w:val="0"/>
                <w:szCs w:val="21"/>
                <w:highlight w:val="none"/>
              </w:rPr>
              <w:t>参照品牌：广东电缆、远东、珠江（或其他</w:t>
            </w:r>
            <w:r>
              <w:rPr>
                <w:rFonts w:hint="eastAsia" w:ascii="宋体" w:hAnsi="宋体" w:eastAsia="宋体" w:cs="宋体"/>
                <w:kern w:val="0"/>
                <w:szCs w:val="21"/>
                <w:highlight w:val="none"/>
              </w:rPr>
              <w:t>同等（或以上）档次品牌或者生产供应商）</w:t>
            </w:r>
          </w:p>
        </w:tc>
      </w:tr>
      <w:tr w14:paraId="2AFA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FC555B4">
            <w:pPr>
              <w:pStyle w:val="2"/>
              <w:spacing w:line="560" w:lineRule="exact"/>
              <w:ind w:firstLine="0" w:firstLineChars="0"/>
              <w:jc w:val="center"/>
              <w:rPr>
                <w:highlight w:val="none"/>
              </w:rPr>
            </w:pPr>
            <w:r>
              <w:rPr>
                <w:rFonts w:hint="eastAsia"/>
                <w:highlight w:val="none"/>
              </w:rPr>
              <w:t>6</w:t>
            </w:r>
          </w:p>
        </w:tc>
        <w:tc>
          <w:tcPr>
            <w:tcW w:w="2268" w:type="dxa"/>
            <w:vAlign w:val="center"/>
          </w:tcPr>
          <w:p w14:paraId="1DE8371B">
            <w:pPr>
              <w:pStyle w:val="2"/>
              <w:spacing w:line="560" w:lineRule="exact"/>
              <w:ind w:firstLine="0" w:firstLineChars="0"/>
              <w:rPr>
                <w:highlight w:val="none"/>
              </w:rPr>
            </w:pPr>
            <w:r>
              <w:rPr>
                <w:rFonts w:hint="eastAsia" w:ascii="宋体" w:hAnsi="宋体"/>
                <w:kern w:val="0"/>
                <w:sz w:val="20"/>
                <w:szCs w:val="20"/>
                <w:highlight w:val="none"/>
              </w:rPr>
              <w:t>光伏专用接头</w:t>
            </w:r>
          </w:p>
        </w:tc>
        <w:tc>
          <w:tcPr>
            <w:tcW w:w="5574" w:type="dxa"/>
          </w:tcPr>
          <w:p w14:paraId="0231F00A">
            <w:pPr>
              <w:pStyle w:val="2"/>
              <w:spacing w:line="560" w:lineRule="exact"/>
              <w:ind w:firstLine="0" w:firstLineChars="0"/>
              <w:rPr>
                <w:highlight w:val="none"/>
              </w:rPr>
            </w:pPr>
            <w:r>
              <w:rPr>
                <w:rFonts w:hint="eastAsia" w:ascii="宋体" w:hAnsi="宋体" w:cs="宋体"/>
                <w:kern w:val="0"/>
                <w:szCs w:val="21"/>
                <w:highlight w:val="none"/>
              </w:rPr>
              <w:t>MC-4或可兼容产品</w:t>
            </w:r>
          </w:p>
        </w:tc>
      </w:tr>
      <w:tr w14:paraId="1973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9023DA0">
            <w:pPr>
              <w:pStyle w:val="2"/>
              <w:spacing w:line="560" w:lineRule="exact"/>
              <w:ind w:firstLine="0" w:firstLineChars="0"/>
              <w:jc w:val="center"/>
              <w:rPr>
                <w:rFonts w:eastAsia="宋体"/>
                <w:highlight w:val="none"/>
              </w:rPr>
            </w:pPr>
            <w:r>
              <w:rPr>
                <w:rFonts w:hint="eastAsia"/>
                <w:highlight w:val="none"/>
              </w:rPr>
              <w:t>7</w:t>
            </w:r>
          </w:p>
        </w:tc>
        <w:tc>
          <w:tcPr>
            <w:tcW w:w="2268" w:type="dxa"/>
            <w:vAlign w:val="center"/>
          </w:tcPr>
          <w:p w14:paraId="37E27D69">
            <w:pPr>
              <w:pStyle w:val="2"/>
              <w:spacing w:line="560" w:lineRule="exact"/>
              <w:ind w:firstLine="0" w:firstLineChars="0"/>
              <w:rPr>
                <w:highlight w:val="none"/>
              </w:rPr>
            </w:pPr>
            <w:r>
              <w:rPr>
                <w:rFonts w:hint="eastAsia" w:ascii="宋体" w:hAnsi="宋体"/>
                <w:kern w:val="0"/>
                <w:sz w:val="20"/>
                <w:szCs w:val="20"/>
                <w:highlight w:val="none"/>
              </w:rPr>
              <w:t>交流线缆</w:t>
            </w:r>
          </w:p>
        </w:tc>
        <w:tc>
          <w:tcPr>
            <w:tcW w:w="5574" w:type="dxa"/>
          </w:tcPr>
          <w:p w14:paraId="2218F7AC">
            <w:pPr>
              <w:pStyle w:val="2"/>
              <w:spacing w:line="560" w:lineRule="exact"/>
              <w:ind w:firstLine="0" w:firstLineChars="0"/>
              <w:rPr>
                <w:rFonts w:ascii="宋体" w:hAnsi="宋体" w:eastAsia="宋体" w:cs="宋体"/>
                <w:kern w:val="0"/>
                <w:szCs w:val="21"/>
                <w:highlight w:val="none"/>
              </w:rPr>
            </w:pPr>
            <w:r>
              <w:rPr>
                <w:rFonts w:hint="eastAsia" w:ascii="宋体" w:hAnsi="宋体" w:cs="宋体"/>
                <w:kern w:val="0"/>
                <w:szCs w:val="21"/>
                <w:highlight w:val="none"/>
              </w:rPr>
              <w:t xml:space="preserve">具体型号按供电局审核通过的图纸            </w:t>
            </w:r>
          </w:p>
          <w:p w14:paraId="515D8E95">
            <w:pPr>
              <w:pStyle w:val="2"/>
              <w:spacing w:line="560" w:lineRule="exact"/>
              <w:ind w:firstLine="0" w:firstLineChars="0"/>
              <w:rPr>
                <w:highlight w:val="none"/>
              </w:rPr>
            </w:pPr>
            <w:r>
              <w:rPr>
                <w:rFonts w:hint="eastAsia" w:ascii="宋体" w:hAnsi="宋体" w:cs="宋体"/>
                <w:kern w:val="0"/>
                <w:szCs w:val="21"/>
                <w:highlight w:val="none"/>
              </w:rPr>
              <w:t>参照品牌：珠江、南洋、</w:t>
            </w:r>
            <w:r>
              <w:rPr>
                <w:rFonts w:ascii="宋体" w:hAnsi="宋体" w:cs="宋体"/>
                <w:kern w:val="0"/>
                <w:szCs w:val="21"/>
                <w:highlight w:val="none"/>
              </w:rPr>
              <w:t>新兴</w:t>
            </w:r>
            <w:r>
              <w:rPr>
                <w:rFonts w:hint="eastAsia" w:ascii="宋体" w:hAnsi="宋体" w:cs="宋体"/>
                <w:kern w:val="0"/>
                <w:szCs w:val="21"/>
                <w:highlight w:val="none"/>
              </w:rPr>
              <w:t>（或其他</w:t>
            </w:r>
            <w:r>
              <w:rPr>
                <w:rFonts w:hint="eastAsia" w:ascii="宋体" w:hAnsi="宋体" w:eastAsia="宋体" w:cs="宋体"/>
                <w:kern w:val="0"/>
                <w:szCs w:val="21"/>
                <w:highlight w:val="none"/>
              </w:rPr>
              <w:t>同等（或以上）档次品牌或者生产供应商）</w:t>
            </w:r>
          </w:p>
        </w:tc>
      </w:tr>
      <w:tr w14:paraId="6B04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B4BDF2">
            <w:pPr>
              <w:pStyle w:val="2"/>
              <w:spacing w:line="560" w:lineRule="exact"/>
              <w:ind w:firstLine="0" w:firstLineChars="0"/>
              <w:jc w:val="center"/>
              <w:rPr>
                <w:rFonts w:eastAsia="宋体"/>
                <w:highlight w:val="none"/>
              </w:rPr>
            </w:pPr>
            <w:r>
              <w:rPr>
                <w:rFonts w:hint="eastAsia"/>
                <w:highlight w:val="none"/>
              </w:rPr>
              <w:t>8</w:t>
            </w:r>
          </w:p>
        </w:tc>
        <w:tc>
          <w:tcPr>
            <w:tcW w:w="2268" w:type="dxa"/>
            <w:vAlign w:val="center"/>
          </w:tcPr>
          <w:p w14:paraId="41C78CFA">
            <w:pPr>
              <w:pStyle w:val="2"/>
              <w:spacing w:line="560" w:lineRule="exact"/>
              <w:ind w:firstLine="0" w:firstLineChars="0"/>
              <w:rPr>
                <w:highlight w:val="none"/>
              </w:rPr>
            </w:pPr>
            <w:r>
              <w:rPr>
                <w:rFonts w:hint="eastAsia" w:ascii="宋体" w:hAnsi="宋体"/>
                <w:kern w:val="0"/>
                <w:sz w:val="20"/>
                <w:szCs w:val="20"/>
                <w:highlight w:val="none"/>
              </w:rPr>
              <w:t>高压线缆</w:t>
            </w:r>
          </w:p>
        </w:tc>
        <w:tc>
          <w:tcPr>
            <w:tcW w:w="5574" w:type="dxa"/>
          </w:tcPr>
          <w:p w14:paraId="04C0CB28">
            <w:pPr>
              <w:pStyle w:val="2"/>
              <w:spacing w:line="560" w:lineRule="exact"/>
              <w:ind w:firstLine="0" w:firstLineChars="0"/>
              <w:rPr>
                <w:rFonts w:ascii="宋体" w:hAnsi="宋体" w:eastAsia="宋体" w:cs="宋体"/>
                <w:kern w:val="0"/>
                <w:szCs w:val="21"/>
                <w:highlight w:val="none"/>
              </w:rPr>
            </w:pPr>
            <w:r>
              <w:rPr>
                <w:rFonts w:hint="eastAsia" w:ascii="宋体" w:hAnsi="宋体" w:cs="宋体"/>
                <w:kern w:val="0"/>
                <w:szCs w:val="21"/>
                <w:highlight w:val="none"/>
              </w:rPr>
              <w:t xml:space="preserve">具体型号按供电局审核通过的图纸         </w:t>
            </w:r>
          </w:p>
          <w:p w14:paraId="4BA7C2B2">
            <w:pPr>
              <w:pStyle w:val="2"/>
              <w:spacing w:line="560" w:lineRule="exact"/>
              <w:ind w:firstLine="0" w:firstLineChars="0"/>
              <w:rPr>
                <w:highlight w:val="none"/>
              </w:rPr>
            </w:pPr>
            <w:r>
              <w:rPr>
                <w:rFonts w:hint="eastAsia" w:ascii="宋体" w:hAnsi="宋体" w:cs="宋体"/>
                <w:kern w:val="0"/>
                <w:szCs w:val="21"/>
                <w:highlight w:val="none"/>
              </w:rPr>
              <w:t>参照品牌：珠江、南洋、</w:t>
            </w:r>
            <w:r>
              <w:rPr>
                <w:rFonts w:ascii="宋体" w:hAnsi="宋体" w:cs="宋体"/>
                <w:kern w:val="0"/>
                <w:szCs w:val="21"/>
                <w:highlight w:val="none"/>
              </w:rPr>
              <w:t>新兴</w:t>
            </w:r>
            <w:r>
              <w:rPr>
                <w:rFonts w:hint="eastAsia" w:ascii="宋体" w:hAnsi="宋体" w:cs="宋体"/>
                <w:kern w:val="0"/>
                <w:szCs w:val="21"/>
                <w:highlight w:val="none"/>
              </w:rPr>
              <w:t>（或其他</w:t>
            </w:r>
            <w:r>
              <w:rPr>
                <w:rFonts w:hint="eastAsia" w:ascii="宋体" w:hAnsi="宋体" w:eastAsia="宋体" w:cs="宋体"/>
                <w:kern w:val="0"/>
                <w:szCs w:val="21"/>
                <w:highlight w:val="none"/>
              </w:rPr>
              <w:t>同等（或以上）档次品牌或者生产供应商）</w:t>
            </w:r>
          </w:p>
        </w:tc>
      </w:tr>
      <w:tr w14:paraId="0550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36CE780">
            <w:pPr>
              <w:pStyle w:val="2"/>
              <w:spacing w:line="560" w:lineRule="exact"/>
              <w:ind w:firstLine="0" w:firstLineChars="0"/>
              <w:jc w:val="center"/>
              <w:rPr>
                <w:rFonts w:eastAsia="宋体"/>
                <w:highlight w:val="none"/>
              </w:rPr>
            </w:pPr>
            <w:r>
              <w:rPr>
                <w:rFonts w:hint="eastAsia"/>
                <w:highlight w:val="none"/>
              </w:rPr>
              <w:t>9</w:t>
            </w:r>
          </w:p>
        </w:tc>
        <w:tc>
          <w:tcPr>
            <w:tcW w:w="2268" w:type="dxa"/>
            <w:vAlign w:val="center"/>
          </w:tcPr>
          <w:p w14:paraId="348C0B25">
            <w:pPr>
              <w:pStyle w:val="2"/>
              <w:spacing w:line="560" w:lineRule="exact"/>
              <w:ind w:firstLine="0" w:firstLineChars="0"/>
              <w:rPr>
                <w:highlight w:val="none"/>
              </w:rPr>
            </w:pPr>
            <w:r>
              <w:rPr>
                <w:rFonts w:hint="eastAsia" w:ascii="宋体" w:hAnsi="宋体"/>
                <w:kern w:val="0"/>
                <w:sz w:val="20"/>
                <w:szCs w:val="20"/>
                <w:highlight w:val="none"/>
              </w:rPr>
              <w:t>综合自动化</w:t>
            </w:r>
          </w:p>
        </w:tc>
        <w:tc>
          <w:tcPr>
            <w:tcW w:w="5574" w:type="dxa"/>
          </w:tcPr>
          <w:p w14:paraId="1049E2DF">
            <w:pPr>
              <w:pStyle w:val="2"/>
              <w:spacing w:line="560" w:lineRule="exact"/>
              <w:ind w:firstLine="0" w:firstLineChars="0"/>
              <w:rPr>
                <w:rFonts w:ascii="宋体" w:hAnsi="宋体" w:eastAsia="宋体" w:cs="宋体"/>
                <w:kern w:val="0"/>
                <w:szCs w:val="21"/>
                <w:highlight w:val="none"/>
              </w:rPr>
            </w:pPr>
            <w:r>
              <w:rPr>
                <w:rFonts w:hint="eastAsia" w:ascii="宋体" w:hAnsi="宋体" w:cs="宋体"/>
                <w:kern w:val="0"/>
                <w:szCs w:val="21"/>
                <w:highlight w:val="none"/>
              </w:rPr>
              <w:t xml:space="preserve">具体型号按供电局审核通过的图纸         </w:t>
            </w:r>
          </w:p>
          <w:p w14:paraId="3DC431CB">
            <w:pPr>
              <w:pStyle w:val="2"/>
              <w:spacing w:line="560" w:lineRule="exact"/>
              <w:ind w:firstLine="0" w:firstLineChars="0"/>
              <w:rPr>
                <w:highlight w:val="none"/>
              </w:rPr>
            </w:pPr>
            <w:r>
              <w:rPr>
                <w:rFonts w:hint="eastAsia" w:ascii="宋体" w:hAnsi="宋体" w:cs="宋体"/>
                <w:kern w:val="0"/>
                <w:szCs w:val="21"/>
                <w:highlight w:val="none"/>
              </w:rPr>
              <w:t>参照品牌：中电、南瑞、深瑞（或其他</w:t>
            </w:r>
            <w:r>
              <w:rPr>
                <w:rFonts w:hint="eastAsia" w:ascii="宋体" w:hAnsi="宋体" w:eastAsia="宋体" w:cs="宋体"/>
                <w:kern w:val="0"/>
                <w:szCs w:val="21"/>
                <w:highlight w:val="none"/>
              </w:rPr>
              <w:t>同等（或以上）档次品牌或者生产供应商）</w:t>
            </w:r>
          </w:p>
        </w:tc>
      </w:tr>
    </w:tbl>
    <w:p w14:paraId="3BC53EA0">
      <w:pPr>
        <w:pStyle w:val="2"/>
        <w:spacing w:line="560" w:lineRule="exact"/>
        <w:rPr>
          <w:highlight w:val="none"/>
        </w:rPr>
      </w:pPr>
    </w:p>
    <w:p w14:paraId="377193F9">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4.2 光伏组件</w:t>
      </w:r>
    </w:p>
    <w:p w14:paraId="6AC620E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4.2.1外观与结构要求</w:t>
      </w:r>
    </w:p>
    <w:p w14:paraId="64C0389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所有组件表面应进行清洗工序，保证组件的外观满足如下要求：</w:t>
      </w:r>
    </w:p>
    <w:p w14:paraId="2788341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1）电池组件边框整洁、平整、无毛刺、无腐蚀斑点。</w:t>
      </w:r>
    </w:p>
    <w:p w14:paraId="45EE567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2）所提供的组件无开裂、弯曲、不规整或损伤的外表面。</w:t>
      </w:r>
    </w:p>
    <w:p w14:paraId="4F74913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3）组件的电池表面颜色均匀，无明显色差。</w:t>
      </w:r>
    </w:p>
    <w:p w14:paraId="4ADF42C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4）组件的盖板玻璃应整洁、平直、无裂痕。</w:t>
      </w:r>
    </w:p>
    <w:p w14:paraId="3BC76AB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5）组件背面无划伤、碰伤等缺陷。背板无明显皱痕，组件背面无明显凸起或者凹陷。</w:t>
      </w:r>
    </w:p>
    <w:p w14:paraId="3A1D2F1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6）打胶均匀充分，接线盒粘接牢固，表面干净。</w:t>
      </w:r>
    </w:p>
    <w:p w14:paraId="500278C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7）组件的输出连接、互联线及主汇流线无可见的腐蚀。</w:t>
      </w:r>
    </w:p>
    <w:p w14:paraId="7E3EBB2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8）组件的边缘和电池之间不存在连续的气泡或脱层。</w:t>
      </w:r>
    </w:p>
    <w:p w14:paraId="6C76291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9）电池组件的接线装置密封，极性标志准确和明显，与引出线的连接牢固可靠。</w:t>
      </w:r>
    </w:p>
    <w:p w14:paraId="20110E0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4.2.2组件规格</w:t>
      </w:r>
    </w:p>
    <w:p w14:paraId="737FFD3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组件应为单晶硅太阳电池组件，单块正功差（0/+5W），且供应的组件规格应一致。寿命及功率衰减：太阳电池组件的使用寿命不低于25年。第一年衰减≤1%，后续线性衰减 0.4% ，5年运行期内衰减≤2.6%，在10年运行使用期限内输出功率衰减不超过4.6%，25 年共衰减 10.6% 。</w:t>
      </w:r>
    </w:p>
    <w:p w14:paraId="1D278A1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4.2.3组件认证要求</w:t>
      </w:r>
    </w:p>
    <w:p w14:paraId="4FE5434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太阳电池组件作为光伏电站的主要设备，应具有满足国家标准或IEC标准的认证。</w:t>
      </w:r>
    </w:p>
    <w:p w14:paraId="702C5B2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A.组件应通过依据IEC61215和IEC61730的组件性能和安全认证，太阳电池组件型号应经过CQC或TUV认证或同等资质的第三方认证。</w:t>
      </w:r>
    </w:p>
    <w:p w14:paraId="3BA782D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B.</w:t>
      </w:r>
      <w:r>
        <w:rPr>
          <w:rFonts w:hint="eastAsia" w:ascii="宋体" w:hAnsi="宋体" w:cs="Times New Roman"/>
          <w:szCs w:val="21"/>
          <w:highlight w:val="none"/>
        </w:rPr>
        <w:t>组件</w:t>
      </w:r>
      <w:r>
        <w:rPr>
          <w:rFonts w:hint="eastAsia" w:ascii="宋体" w:hAnsi="宋体" w:eastAsia="宋体" w:cs="Times New Roman"/>
          <w:szCs w:val="21"/>
          <w:highlight w:val="none"/>
        </w:rPr>
        <w:t>应具有ISO导则25资质（17025）的专业测试机构出具的符合国家标准（或IEC标准）的完整测试报告（IEC61215和IEC61730）和由国家批准的认证机构出具的认证证书。</w:t>
      </w:r>
    </w:p>
    <w:p w14:paraId="3DED519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C.组件若通过加严环境实验，例如中国质量认证中心编制的《地面用晶体硅光伏组件环境适应性测试》，在同等条件下会优先采用。</w:t>
      </w:r>
    </w:p>
    <w:p w14:paraId="04C67BB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4.2.4载荷要求</w:t>
      </w:r>
    </w:p>
    <w:p w14:paraId="72E9673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承包方所供电池组件需具备受风、雪或覆冰等静载荷的能力，组件机械荷载测试背面大于等于2400Pa，正面大于等于5400Pa。如组件安装场地须有特殊载荷的需要，承包方应提供相应的应对措施及组件加强处理并提供证明文件。</w:t>
      </w:r>
    </w:p>
    <w:p w14:paraId="2CF45A5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4.2.5 强度要求</w:t>
      </w:r>
    </w:p>
    <w:p w14:paraId="40CADCE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承包方所供电池组件需具备一定的抗冰雹的撞击，冰雹实验需满足IEC61215相关规定，如组件安装场地为特殊气候环境（多冰雹），厂家应提供相应的应对措施及组件的加强处理，并提供冰球质量、尺寸及试验速度，使其抗冰雹能力满足组件要求，同时承包方提供组件适应安装的气候条件，并对所供组件的抗冰雹能力加以说明提供证明文件。</w:t>
      </w:r>
    </w:p>
    <w:p w14:paraId="43ACCAB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4.2.6 温度冲击要求</w:t>
      </w:r>
    </w:p>
    <w:p w14:paraId="705A66AD">
      <w:pPr>
        <w:adjustRightInd w:val="0"/>
        <w:snapToGrid w:val="0"/>
        <w:spacing w:line="560" w:lineRule="exact"/>
        <w:ind w:firstLine="420" w:firstLineChars="200"/>
        <w:rPr>
          <w:rFonts w:ascii="宋体" w:hAnsi="宋体" w:cs="Times New Roman"/>
          <w:szCs w:val="21"/>
          <w:highlight w:val="none"/>
        </w:rPr>
      </w:pPr>
      <w:r>
        <w:rPr>
          <w:rFonts w:hint="eastAsia" w:ascii="宋体" w:hAnsi="宋体" w:eastAsia="宋体" w:cs="Times New Roman"/>
          <w:szCs w:val="21"/>
          <w:highlight w:val="none"/>
        </w:rPr>
        <w:t>由于组件安装地点多为昼夜温度变化范围较大，承包方所供电池组件具备能承受温度重复变化而引起的热失配、疲劳和其他应力的较好能力，具备能承受高温、高湿以及随后的低温冲击的能力，具备能承受长期湿气渗透的能力。厂家提供针对组件安装地点来说明所供应组件能满足气候条件的要求以及相应措施。</w:t>
      </w:r>
    </w:p>
    <w:p w14:paraId="2233A622">
      <w:pPr>
        <w:pStyle w:val="2"/>
        <w:spacing w:line="560" w:lineRule="exact"/>
        <w:rPr>
          <w:highlight w:val="none"/>
        </w:rPr>
      </w:pPr>
    </w:p>
    <w:p w14:paraId="5F6731C2">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4.3 逆变器</w:t>
      </w:r>
    </w:p>
    <w:p w14:paraId="774DB00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逆变器全部选用组串式逆变器，逆变器需符合国标《GB/T 37408-2019 光伏发电并网逆变器技术要求》中的规定，选用的逆变器型号必须通过CQC</w:t>
      </w:r>
      <w:r>
        <w:rPr>
          <w:rFonts w:hint="eastAsia" w:ascii="宋体" w:hAnsi="宋体" w:cs="Times New Roman"/>
          <w:szCs w:val="21"/>
          <w:highlight w:val="none"/>
        </w:rPr>
        <w:t>（</w:t>
      </w:r>
      <w:r>
        <w:rPr>
          <w:rFonts w:hint="eastAsia" w:ascii="宋体" w:hAnsi="宋体" w:eastAsia="宋体" w:cs="Times New Roman"/>
          <w:szCs w:val="21"/>
          <w:highlight w:val="none"/>
        </w:rPr>
        <w:t>或CGC</w:t>
      </w:r>
      <w:r>
        <w:rPr>
          <w:rFonts w:hint="eastAsia" w:ascii="宋体" w:hAnsi="宋体" w:cs="Times New Roman"/>
          <w:szCs w:val="21"/>
          <w:highlight w:val="none"/>
        </w:rPr>
        <w:t>）</w:t>
      </w:r>
      <w:r>
        <w:rPr>
          <w:rFonts w:hint="eastAsia" w:ascii="宋体" w:hAnsi="宋体" w:eastAsia="宋体" w:cs="Times New Roman"/>
          <w:szCs w:val="21"/>
          <w:highlight w:val="none"/>
        </w:rPr>
        <w:t>、VDE-AR-N 4105、BDEW并达到“领跑者”要求，</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需提供该型号逆变器的业绩清单和用户证明。</w:t>
      </w:r>
    </w:p>
    <w:p w14:paraId="33AFBCDB">
      <w:pPr>
        <w:autoSpaceDE w:val="0"/>
        <w:autoSpaceDN w:val="0"/>
        <w:adjustRightInd w:val="0"/>
        <w:spacing w:before="156" w:beforeLines="50" w:after="156" w:afterLines="50" w:line="560" w:lineRule="exact"/>
        <w:ind w:right="-20" w:firstLine="420"/>
        <w:jc w:val="left"/>
        <w:rPr>
          <w:rFonts w:ascii="宋体" w:hAnsi="宋体" w:eastAsia="宋体" w:cs="宋体"/>
          <w:b/>
          <w:szCs w:val="21"/>
          <w:highlight w:val="none"/>
        </w:rPr>
      </w:pPr>
      <w:r>
        <w:rPr>
          <w:rFonts w:hint="eastAsia" w:ascii="宋体" w:hAnsi="宋体" w:cs="宋体"/>
          <w:b/>
          <w:sz w:val="24"/>
          <w:highlight w:val="none"/>
        </w:rPr>
        <w:t>4</w:t>
      </w:r>
      <w:r>
        <w:rPr>
          <w:rFonts w:hint="eastAsia" w:ascii="宋体" w:hAnsi="宋体" w:eastAsia="宋体" w:cs="宋体"/>
          <w:b/>
          <w:szCs w:val="21"/>
          <w:highlight w:val="none"/>
        </w:rPr>
        <w:t>.3.1引用标准</w:t>
      </w:r>
    </w:p>
    <w:p w14:paraId="6AF15F7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逆变器，包括工厂由其他厂商购来的设备和配件，都符合该标准和准则的最新版本或修订本，包括投标时生效的任何更正或增补，经特殊说明者除外，</w:t>
      </w:r>
      <w:bookmarkStart w:id="40" w:name="OLE_LINK14"/>
      <w:bookmarkStart w:id="41" w:name="OLE_LINK13"/>
      <w:r>
        <w:rPr>
          <w:rFonts w:hint="eastAsia" w:ascii="宋体" w:hAnsi="宋体" w:eastAsia="宋体" w:cs="Times New Roman"/>
          <w:szCs w:val="21"/>
          <w:highlight w:val="none"/>
        </w:rPr>
        <w:t>包括但不限于以下标准</w:t>
      </w:r>
      <w:bookmarkEnd w:id="40"/>
      <w:bookmarkEnd w:id="41"/>
      <w:r>
        <w:rPr>
          <w:rFonts w:hint="eastAsia" w:ascii="宋体" w:hAnsi="宋体" w:eastAsia="宋体" w:cs="Times New Roman"/>
          <w:szCs w:val="21"/>
          <w:highlight w:val="none"/>
        </w:rPr>
        <w:t>。</w:t>
      </w:r>
    </w:p>
    <w:p w14:paraId="2C1560D0">
      <w:pPr>
        <w:adjustRightInd w:val="0"/>
        <w:snapToGrid w:val="0"/>
        <w:spacing w:line="560" w:lineRule="exact"/>
        <w:ind w:firstLine="420" w:firstLineChars="200"/>
        <w:rPr>
          <w:rFonts w:ascii="宋体" w:hAnsi="宋体" w:eastAsia="宋体" w:cs="Times New Roman"/>
          <w:szCs w:val="21"/>
          <w:highlight w:val="none"/>
        </w:rPr>
      </w:pPr>
      <w:bookmarkStart w:id="42" w:name="OLE_LINK2"/>
      <w:bookmarkStart w:id="43" w:name="OLE_LINK1"/>
      <w:r>
        <w:rPr>
          <w:rFonts w:hint="eastAsia" w:ascii="宋体" w:hAnsi="宋体" w:eastAsia="宋体" w:cs="Times New Roman"/>
          <w:szCs w:val="21"/>
          <w:highlight w:val="none"/>
        </w:rPr>
        <w:t>GB 18479-2001</w:t>
      </w:r>
      <w:bookmarkEnd w:id="42"/>
      <w:bookmarkEnd w:id="43"/>
      <w:r>
        <w:rPr>
          <w:rFonts w:hint="eastAsia" w:ascii="宋体" w:hAnsi="宋体" w:eastAsia="宋体" w:cs="Times New Roman"/>
          <w:szCs w:val="21"/>
          <w:highlight w:val="none"/>
        </w:rPr>
        <w:t xml:space="preserve"> 地面用光伏(PV)发电系统 概述和导则</w:t>
      </w:r>
    </w:p>
    <w:p w14:paraId="338D5529">
      <w:pPr>
        <w:adjustRightInd w:val="0"/>
        <w:snapToGrid w:val="0"/>
        <w:spacing w:line="560" w:lineRule="exact"/>
        <w:ind w:firstLine="420" w:firstLineChars="200"/>
        <w:rPr>
          <w:rFonts w:ascii="宋体" w:hAnsi="宋体" w:eastAsia="宋体" w:cs="Times New Roman"/>
          <w:szCs w:val="21"/>
          <w:highlight w:val="none"/>
        </w:rPr>
      </w:pPr>
      <w:bookmarkStart w:id="44" w:name="OLE_LINK3"/>
      <w:r>
        <w:rPr>
          <w:rFonts w:hint="eastAsia" w:ascii="宋体" w:hAnsi="宋体" w:eastAsia="宋体" w:cs="Times New Roman"/>
          <w:szCs w:val="21"/>
          <w:highlight w:val="none"/>
        </w:rPr>
        <w:t>DL/T 527</w:t>
      </w:r>
      <w:bookmarkEnd w:id="44"/>
      <w:r>
        <w:rPr>
          <w:rFonts w:hint="eastAsia" w:ascii="宋体" w:hAnsi="宋体" w:eastAsia="宋体" w:cs="Times New Roman"/>
          <w:szCs w:val="21"/>
          <w:highlight w:val="none"/>
        </w:rPr>
        <w:t xml:space="preserve"> 静态继电保护装置逆变电源技术条件</w:t>
      </w:r>
    </w:p>
    <w:p w14:paraId="093A599B">
      <w:pPr>
        <w:adjustRightInd w:val="0"/>
        <w:snapToGrid w:val="0"/>
        <w:spacing w:line="560" w:lineRule="exact"/>
        <w:ind w:firstLine="420" w:firstLineChars="200"/>
        <w:rPr>
          <w:rFonts w:ascii="宋体" w:hAnsi="宋体" w:eastAsia="宋体" w:cs="Times New Roman"/>
          <w:szCs w:val="21"/>
          <w:highlight w:val="none"/>
        </w:rPr>
      </w:pPr>
      <w:bookmarkStart w:id="45" w:name="OLE_LINK4"/>
      <w:r>
        <w:rPr>
          <w:rFonts w:hint="eastAsia" w:ascii="宋体" w:hAnsi="宋体" w:eastAsia="宋体" w:cs="Times New Roman"/>
          <w:szCs w:val="21"/>
          <w:highlight w:val="none"/>
        </w:rPr>
        <w:t>GB/T 13384</w:t>
      </w:r>
      <w:bookmarkEnd w:id="45"/>
      <w:r>
        <w:rPr>
          <w:rFonts w:hint="eastAsia" w:ascii="宋体" w:hAnsi="宋体" w:eastAsia="宋体" w:cs="Times New Roman"/>
          <w:szCs w:val="21"/>
          <w:highlight w:val="none"/>
        </w:rPr>
        <w:t>机电产品包装通用技术条件</w:t>
      </w:r>
    </w:p>
    <w:p w14:paraId="3BBD1D1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191-2008 包装储运图示标志</w:t>
      </w:r>
    </w:p>
    <w:p w14:paraId="2567908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14537量度继电器和保护装置的冲击与碰撞试验</w:t>
      </w:r>
    </w:p>
    <w:p w14:paraId="3DAB2308">
      <w:pPr>
        <w:adjustRightInd w:val="0"/>
        <w:snapToGrid w:val="0"/>
        <w:spacing w:line="560" w:lineRule="exact"/>
        <w:ind w:firstLine="420" w:firstLineChars="200"/>
        <w:rPr>
          <w:rFonts w:ascii="宋体" w:hAnsi="宋体" w:eastAsia="宋体" w:cs="Times New Roman"/>
          <w:szCs w:val="21"/>
          <w:highlight w:val="none"/>
        </w:rPr>
      </w:pPr>
      <w:bookmarkStart w:id="46" w:name="OLE_LINK8"/>
      <w:bookmarkStart w:id="47" w:name="OLE_LINK7"/>
      <w:r>
        <w:rPr>
          <w:rFonts w:hint="eastAsia" w:ascii="宋体" w:hAnsi="宋体" w:eastAsia="宋体" w:cs="Times New Roman"/>
          <w:szCs w:val="21"/>
          <w:highlight w:val="none"/>
        </w:rPr>
        <w:t>GB 16836</w:t>
      </w:r>
      <w:bookmarkEnd w:id="46"/>
      <w:bookmarkEnd w:id="47"/>
      <w:r>
        <w:rPr>
          <w:rFonts w:hint="eastAsia" w:ascii="宋体" w:hAnsi="宋体" w:eastAsia="宋体" w:cs="Times New Roman"/>
          <w:szCs w:val="21"/>
          <w:highlight w:val="none"/>
        </w:rPr>
        <w:t>量度继电器和保护装置安全设计的一般要求</w:t>
      </w:r>
    </w:p>
    <w:p w14:paraId="2AD020D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 478 静态继电保护及安全自动装置通用技术条件</w:t>
      </w:r>
    </w:p>
    <w:p w14:paraId="3387B55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19939 光伏系统并网技术要求</w:t>
      </w:r>
    </w:p>
    <w:p w14:paraId="6C07F51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20046 光伏（PV）系统电网接口特性（IEC 61727:2004，MOD）</w:t>
      </w:r>
    </w:p>
    <w:p w14:paraId="458199B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GB/Z 19964 光伏发电站接入电力系统技术规定</w:t>
      </w:r>
    </w:p>
    <w:p w14:paraId="60E1C79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2423.1电工电子产品基本环境试验规程 试验A：低温试验方法</w:t>
      </w:r>
    </w:p>
    <w:p w14:paraId="361F6E4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2423.2 电工电子产品基本环境试验规程 试验B：高温试验方法</w:t>
      </w:r>
    </w:p>
    <w:p w14:paraId="0195A85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2423.9 电工电子产品基本环境试验规程 试验Cb：设备用恒定湿热试验方法</w:t>
      </w:r>
    </w:p>
    <w:p w14:paraId="3BFE5BB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 4208 外壳防护等级（IP代码）（IEC 60529:1998）</w:t>
      </w:r>
    </w:p>
    <w:p w14:paraId="4DD9C79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 3859.2半导体变流器 应用导则 </w:t>
      </w:r>
    </w:p>
    <w:p w14:paraId="300E639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14549 电能质量 公用电网谐波</w:t>
      </w:r>
    </w:p>
    <w:p w14:paraId="46AC885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15543 电能质量 三相电压允许不平衡度</w:t>
      </w:r>
    </w:p>
    <w:p w14:paraId="6AFC4C0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GB/T12325 电能质量 供电电压允许偏差</w:t>
      </w:r>
    </w:p>
    <w:p w14:paraId="765AFCF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GB/T15945 电能质量 电力系统频率允许偏差</w:t>
      </w:r>
    </w:p>
    <w:p w14:paraId="7167D26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19939 太阳能光伏发电系统并网技术要求</w:t>
      </w:r>
    </w:p>
    <w:p w14:paraId="2CDD86F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SJ 11127 光伏（PV）发电系统的过电压保护——导则</w:t>
      </w:r>
    </w:p>
    <w:p w14:paraId="0C19CF3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 20513光伏系统性能监测 测量、数据交换和分析导则</w:t>
      </w:r>
    </w:p>
    <w:p w14:paraId="217220D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 20514光伏系统功率调节器效率测量程序</w:t>
      </w:r>
    </w:p>
    <w:p w14:paraId="4636B5C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 4208 外壳防护等级（IP代码）</w:t>
      </w:r>
    </w:p>
    <w:p w14:paraId="67908D0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GB/T4942.2 低压电器外壳防护等级</w:t>
      </w:r>
    </w:p>
    <w:p w14:paraId="21E5E5D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 3859.2 半导体变流器 应用导则 </w:t>
      </w:r>
    </w:p>
    <w:p w14:paraId="082C067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Q/SPS 22 并网光伏发电专用逆变器技术要求和试验方法</w:t>
      </w:r>
    </w:p>
    <w:p w14:paraId="4C49B2A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NB/T 32004《光伏发电并网逆变器技术规范》</w:t>
      </w:r>
    </w:p>
    <w:p w14:paraId="16EEEAC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电磁兼容性相关标准：EN50081或同级以上标准</w:t>
      </w:r>
    </w:p>
    <w:p w14:paraId="42B2953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EMC相关标准： EN50082或同级以上标准</w:t>
      </w:r>
    </w:p>
    <w:p w14:paraId="2672E71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电网干扰相关标准： EN61000或同级以上标准</w:t>
      </w:r>
    </w:p>
    <w:p w14:paraId="42F3930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电网监控相关标准： UL1741或同级以上标准</w:t>
      </w:r>
    </w:p>
    <w:p w14:paraId="50FA40D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电磁干扰相关标准： GB9254或同级以上标准</w:t>
      </w:r>
    </w:p>
    <w:p w14:paraId="0007393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GB/T14598.9 辐射电磁场干扰试验</w:t>
      </w:r>
    </w:p>
    <w:p w14:paraId="4688873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GB/T14598.14 静电放电试验</w:t>
      </w:r>
    </w:p>
    <w:p w14:paraId="03D37ED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GB/T17626.8 工频磁场抗扰度试验</w:t>
      </w:r>
    </w:p>
    <w:p w14:paraId="6C96208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GB/T14598.3-93 6.0 绝缘试验</w:t>
      </w:r>
    </w:p>
    <w:p w14:paraId="4693A64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JB-T7064 半导体逆变器通用技术条件</w:t>
      </w:r>
    </w:p>
    <w:p w14:paraId="674318B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GB/T 2423.1 </w:t>
      </w:r>
      <w:r>
        <w:rPr>
          <w:rFonts w:hint="eastAsia" w:ascii="宋体" w:hAnsi="宋体" w:eastAsia="宋体" w:cs="Times New Roman"/>
          <w:szCs w:val="21"/>
          <w:highlight w:val="none"/>
        </w:rPr>
        <w:tab/>
      </w:r>
      <w:r>
        <w:rPr>
          <w:rFonts w:hint="eastAsia" w:ascii="宋体" w:hAnsi="宋体" w:eastAsia="宋体" w:cs="Times New Roman"/>
          <w:szCs w:val="21"/>
          <w:highlight w:val="none"/>
        </w:rPr>
        <w:t>电工电子产品环境试验 第2部分：试验方法 试验A：低温（IEC60068－2－1：2007，IDT）</w:t>
      </w:r>
    </w:p>
    <w:p w14:paraId="1467743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GB/T 2423.2 </w:t>
      </w:r>
      <w:r>
        <w:rPr>
          <w:rFonts w:hint="eastAsia" w:ascii="宋体" w:hAnsi="宋体" w:eastAsia="宋体" w:cs="Times New Roman"/>
          <w:szCs w:val="21"/>
          <w:highlight w:val="none"/>
        </w:rPr>
        <w:tab/>
      </w:r>
      <w:r>
        <w:rPr>
          <w:rFonts w:hint="eastAsia" w:ascii="宋体" w:hAnsi="宋体" w:eastAsia="宋体" w:cs="Times New Roman"/>
          <w:szCs w:val="21"/>
          <w:highlight w:val="none"/>
        </w:rPr>
        <w:t>电工电子产品环境试验 第2部分：试验方法 试验B：高温（IEC60068－2－：2007，IDT）</w:t>
      </w:r>
    </w:p>
    <w:p w14:paraId="4CD45F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GB/T 2423.3 </w:t>
      </w:r>
      <w:r>
        <w:rPr>
          <w:rFonts w:hint="eastAsia" w:ascii="宋体" w:hAnsi="宋体" w:eastAsia="宋体" w:cs="Times New Roman"/>
          <w:szCs w:val="21"/>
          <w:highlight w:val="none"/>
        </w:rPr>
        <w:tab/>
      </w:r>
      <w:r>
        <w:rPr>
          <w:rFonts w:hint="eastAsia" w:ascii="宋体" w:hAnsi="宋体" w:eastAsia="宋体" w:cs="Times New Roman"/>
          <w:szCs w:val="21"/>
          <w:highlight w:val="none"/>
        </w:rPr>
        <w:t>电工电子产品环境试验 第2部分：试验方法 试验Cab：恒定湿热试验（IEC60068－2－78：2001，IDT）</w:t>
      </w:r>
    </w:p>
    <w:p w14:paraId="7687886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GB/T 2423.17 </w:t>
      </w:r>
      <w:r>
        <w:rPr>
          <w:rFonts w:hint="eastAsia" w:ascii="宋体" w:hAnsi="宋体" w:eastAsia="宋体" w:cs="Times New Roman"/>
          <w:szCs w:val="21"/>
          <w:highlight w:val="none"/>
        </w:rPr>
        <w:tab/>
      </w:r>
      <w:r>
        <w:rPr>
          <w:rFonts w:hint="eastAsia" w:ascii="宋体" w:hAnsi="宋体" w:eastAsia="宋体" w:cs="Times New Roman"/>
          <w:szCs w:val="21"/>
          <w:highlight w:val="none"/>
        </w:rPr>
        <w:t>电工电子产品环境试验第2部分：试验方法 试验Ka：盐雾</w:t>
      </w:r>
    </w:p>
    <w:p w14:paraId="275F203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 4208 </w:t>
      </w:r>
      <w:r>
        <w:rPr>
          <w:rFonts w:hint="eastAsia" w:ascii="宋体" w:hAnsi="宋体" w:eastAsia="宋体" w:cs="Times New Roman"/>
          <w:szCs w:val="21"/>
          <w:highlight w:val="none"/>
        </w:rPr>
        <w:tab/>
      </w:r>
      <w:r>
        <w:rPr>
          <w:rFonts w:hint="eastAsia" w:ascii="宋体" w:hAnsi="宋体" w:eastAsia="宋体" w:cs="Times New Roman"/>
          <w:szCs w:val="21"/>
          <w:highlight w:val="none"/>
        </w:rPr>
        <w:t>外壳防护等级试验(IEC 60529:2001， IDT)</w:t>
      </w:r>
    </w:p>
    <w:p w14:paraId="7E9D010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GB 9254 </w:t>
      </w:r>
      <w:r>
        <w:rPr>
          <w:rFonts w:hint="eastAsia" w:ascii="宋体" w:hAnsi="宋体" w:eastAsia="宋体" w:cs="Times New Roman"/>
          <w:szCs w:val="21"/>
          <w:highlight w:val="none"/>
        </w:rPr>
        <w:tab/>
      </w:r>
      <w:r>
        <w:rPr>
          <w:rFonts w:hint="eastAsia" w:ascii="宋体" w:hAnsi="宋体" w:eastAsia="宋体" w:cs="Times New Roman"/>
          <w:szCs w:val="21"/>
          <w:highlight w:val="none"/>
        </w:rPr>
        <w:t>信息技术设备的无线电骚扰限值和测量方法</w:t>
      </w:r>
    </w:p>
    <w:p w14:paraId="2321E31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17626.2</w:t>
      </w:r>
      <w:r>
        <w:rPr>
          <w:rFonts w:hint="eastAsia" w:ascii="宋体" w:hAnsi="宋体" w:eastAsia="宋体" w:cs="Times New Roman"/>
          <w:szCs w:val="21"/>
          <w:highlight w:val="none"/>
        </w:rPr>
        <w:tab/>
      </w:r>
      <w:r>
        <w:rPr>
          <w:rFonts w:hint="eastAsia" w:ascii="宋体" w:hAnsi="宋体" w:eastAsia="宋体" w:cs="Times New Roman"/>
          <w:szCs w:val="21"/>
          <w:highlight w:val="none"/>
        </w:rPr>
        <w:t>电磁兼容 试验和测量技术 静电放电抗扰度试验</w:t>
      </w:r>
    </w:p>
    <w:p w14:paraId="372E939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17626.3</w:t>
      </w:r>
      <w:r>
        <w:rPr>
          <w:rFonts w:hint="eastAsia" w:ascii="宋体" w:hAnsi="宋体" w:eastAsia="宋体" w:cs="Times New Roman"/>
          <w:szCs w:val="21"/>
          <w:highlight w:val="none"/>
        </w:rPr>
        <w:tab/>
      </w:r>
      <w:r>
        <w:rPr>
          <w:rFonts w:hint="eastAsia" w:ascii="宋体" w:hAnsi="宋体" w:eastAsia="宋体" w:cs="Times New Roman"/>
          <w:szCs w:val="21"/>
          <w:highlight w:val="none"/>
        </w:rPr>
        <w:t>电磁兼容 试验和测量技术 射频电磁场辐射抗扰度试验</w:t>
      </w:r>
    </w:p>
    <w:p w14:paraId="6C40B30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17626.4</w:t>
      </w:r>
      <w:r>
        <w:rPr>
          <w:rFonts w:hint="eastAsia" w:ascii="宋体" w:hAnsi="宋体" w:eastAsia="宋体" w:cs="Times New Roman"/>
          <w:szCs w:val="21"/>
          <w:highlight w:val="none"/>
        </w:rPr>
        <w:tab/>
      </w:r>
      <w:r>
        <w:rPr>
          <w:rFonts w:hint="eastAsia" w:ascii="宋体" w:hAnsi="宋体" w:eastAsia="宋体" w:cs="Times New Roman"/>
          <w:szCs w:val="21"/>
          <w:highlight w:val="none"/>
        </w:rPr>
        <w:t>电磁兼容 试验和测量技术 电快速瞬变群脉冲抗扰度试验</w:t>
      </w:r>
    </w:p>
    <w:p w14:paraId="367F233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17626.5</w:t>
      </w:r>
      <w:r>
        <w:rPr>
          <w:rFonts w:hint="eastAsia" w:ascii="宋体" w:hAnsi="宋体" w:eastAsia="宋体" w:cs="Times New Roman"/>
          <w:szCs w:val="21"/>
          <w:highlight w:val="none"/>
        </w:rPr>
        <w:tab/>
      </w:r>
      <w:r>
        <w:rPr>
          <w:rFonts w:hint="eastAsia" w:ascii="宋体" w:hAnsi="宋体" w:eastAsia="宋体" w:cs="Times New Roman"/>
          <w:szCs w:val="21"/>
          <w:highlight w:val="none"/>
        </w:rPr>
        <w:t>电磁兼容 试验和测量技术 浪涌（冲击）抗扰度试验</w:t>
      </w:r>
    </w:p>
    <w:p w14:paraId="024C0C0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 17626.11</w:t>
      </w:r>
      <w:r>
        <w:rPr>
          <w:rFonts w:hint="eastAsia" w:ascii="宋体" w:hAnsi="宋体" w:eastAsia="宋体" w:cs="Times New Roman"/>
          <w:szCs w:val="21"/>
          <w:highlight w:val="none"/>
        </w:rPr>
        <w:tab/>
      </w:r>
      <w:r>
        <w:rPr>
          <w:rFonts w:hint="eastAsia" w:ascii="宋体" w:hAnsi="宋体" w:eastAsia="宋体" w:cs="Times New Roman"/>
          <w:szCs w:val="21"/>
          <w:highlight w:val="none"/>
        </w:rPr>
        <w:t>电磁兼容 试验和测量技术 电压暂降、短时中断和电压变化的抗扰度试验</w:t>
      </w:r>
    </w:p>
    <w:p w14:paraId="4872687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 645</w:t>
      </w:r>
      <w:r>
        <w:rPr>
          <w:rFonts w:hint="eastAsia" w:ascii="宋体" w:hAnsi="宋体" w:eastAsia="宋体" w:cs="Times New Roman"/>
          <w:szCs w:val="21"/>
          <w:highlight w:val="none"/>
        </w:rPr>
        <w:tab/>
      </w:r>
      <w:r>
        <w:rPr>
          <w:rFonts w:hint="eastAsia" w:ascii="宋体" w:hAnsi="宋体" w:eastAsia="宋体" w:cs="Times New Roman"/>
          <w:szCs w:val="21"/>
          <w:highlight w:val="none"/>
        </w:rPr>
        <w:t>多功能电能表通信协议</w:t>
      </w:r>
    </w:p>
    <w:p w14:paraId="56E14AD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上述标注以最新版本为准，其它未注标准按国际、部标或行业标准执行。</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应将采用的相应标准和规范的名称及版本在标书中注明。</w:t>
      </w:r>
    </w:p>
    <w:p w14:paraId="5BF64ED4">
      <w:pPr>
        <w:adjustRightInd w:val="0"/>
        <w:snapToGrid w:val="0"/>
        <w:spacing w:line="560" w:lineRule="exact"/>
        <w:ind w:firstLine="420" w:firstLineChars="200"/>
        <w:rPr>
          <w:rFonts w:ascii="宋体" w:hAnsi="宋体" w:eastAsia="宋体" w:cs="Times New Roman"/>
          <w:szCs w:val="21"/>
          <w:highlight w:val="none"/>
        </w:rPr>
      </w:pPr>
      <w:bookmarkStart w:id="48" w:name="_Toc26167"/>
      <w:bookmarkStart w:id="49" w:name="_Toc78411473"/>
      <w:bookmarkStart w:id="50" w:name="_Toc15898"/>
      <w:bookmarkStart w:id="51" w:name="_Toc999"/>
      <w:r>
        <w:rPr>
          <w:rFonts w:hint="eastAsia" w:ascii="宋体" w:hAnsi="宋体" w:eastAsia="宋体" w:cs="Times New Roman"/>
          <w:szCs w:val="21"/>
          <w:highlight w:val="none"/>
        </w:rPr>
        <w:t>4.3.2 品牌和质量要求</w:t>
      </w:r>
      <w:bookmarkEnd w:id="48"/>
      <w:bookmarkEnd w:id="49"/>
      <w:bookmarkEnd w:id="50"/>
      <w:bookmarkEnd w:id="51"/>
    </w:p>
    <w:p w14:paraId="184B48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所选组串式逆变器品牌的质量和可靠性必须优于或相当于下列品牌：</w:t>
      </w:r>
      <w:r>
        <w:rPr>
          <w:rFonts w:hint="eastAsia" w:ascii="宋体" w:hAnsi="宋体" w:cs="宋体"/>
          <w:kern w:val="0"/>
          <w:szCs w:val="21"/>
          <w:highlight w:val="none"/>
        </w:rPr>
        <w:t>华为、阳光电源、古瑞瓦特（或其他同等（或以上）档次品牌或者生产供应商）。</w:t>
      </w:r>
    </w:p>
    <w:p w14:paraId="6907BAD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提供项目的逆变器，鼓励采用技术领先、可靠性高、安全性高、有利于提升系统发电量的产品。组串式并网逆变器要求质保不低于5年</w:t>
      </w:r>
      <w:r>
        <w:rPr>
          <w:rFonts w:hint="eastAsia" w:ascii="宋体" w:hAnsi="宋体" w:cs="Times New Roman"/>
          <w:szCs w:val="21"/>
          <w:highlight w:val="none"/>
        </w:rPr>
        <w:t>（厂家提供的质保期、续保期年限之和不低于5年）</w:t>
      </w:r>
      <w:r>
        <w:rPr>
          <w:rFonts w:hint="eastAsia" w:ascii="宋体" w:hAnsi="宋体" w:eastAsia="宋体" w:cs="Times New Roman"/>
          <w:szCs w:val="21"/>
          <w:highlight w:val="none"/>
        </w:rPr>
        <w:t>。</w:t>
      </w:r>
    </w:p>
    <w:p w14:paraId="43029C7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逆变器品质是评价</w:t>
      </w:r>
      <w:r>
        <w:rPr>
          <w:rFonts w:hint="eastAsia" w:ascii="宋体" w:hAnsi="宋体" w:cs="Times New Roman"/>
          <w:szCs w:val="21"/>
          <w:highlight w:val="none"/>
        </w:rPr>
        <w:t>投标人</w:t>
      </w:r>
      <w:r>
        <w:rPr>
          <w:rFonts w:hint="eastAsia" w:ascii="宋体" w:hAnsi="宋体" w:eastAsia="宋体" w:cs="Times New Roman"/>
          <w:szCs w:val="21"/>
          <w:highlight w:val="none"/>
        </w:rPr>
        <w:t>案的重要因素，</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如果中标，不得在</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甲方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招标人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确认前更改逆变器品牌和型号。</w:t>
      </w:r>
    </w:p>
    <w:p w14:paraId="13CD9B21">
      <w:pPr>
        <w:adjustRightInd w:val="0"/>
        <w:snapToGrid w:val="0"/>
        <w:spacing w:line="560" w:lineRule="exact"/>
        <w:ind w:firstLine="420" w:firstLineChars="200"/>
        <w:rPr>
          <w:rFonts w:ascii="宋体" w:hAnsi="宋体" w:eastAsia="宋体" w:cs="Times New Roman"/>
          <w:szCs w:val="21"/>
          <w:highlight w:val="none"/>
        </w:rPr>
      </w:pPr>
      <w:bookmarkStart w:id="52" w:name="_Toc78411474"/>
      <w:bookmarkStart w:id="53" w:name="_Toc21385"/>
      <w:bookmarkStart w:id="54" w:name="_Toc15619"/>
      <w:bookmarkStart w:id="55" w:name="_Toc15383"/>
      <w:r>
        <w:rPr>
          <w:rFonts w:hint="eastAsia" w:ascii="宋体" w:hAnsi="宋体" w:eastAsia="宋体" w:cs="Times New Roman"/>
          <w:szCs w:val="21"/>
          <w:highlight w:val="none"/>
        </w:rPr>
        <w:t>4.3.3性能要求</w:t>
      </w:r>
      <w:bookmarkEnd w:id="52"/>
      <w:bookmarkEnd w:id="53"/>
      <w:bookmarkEnd w:id="54"/>
      <w:bookmarkEnd w:id="55"/>
    </w:p>
    <w:p w14:paraId="09A1308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4.3.1.1过载</w:t>
      </w:r>
    </w:p>
    <w:p w14:paraId="462E4B3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具备110%以上过载能力，能承受长期过载。</w:t>
      </w:r>
    </w:p>
    <w:p w14:paraId="53E6625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4.3.1.2效率</w:t>
      </w:r>
    </w:p>
    <w:p w14:paraId="6361A69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最大效率≥99%，</w:t>
      </w:r>
      <w:r>
        <w:rPr>
          <w:rFonts w:hint="eastAsia" w:ascii="宋体" w:hAnsi="宋体" w:cs="Times New Roman"/>
          <w:szCs w:val="21"/>
          <w:highlight w:val="none"/>
        </w:rPr>
        <w:t>中国</w:t>
      </w:r>
      <w:r>
        <w:rPr>
          <w:rFonts w:hint="eastAsia" w:ascii="宋体" w:hAnsi="宋体" w:eastAsia="宋体" w:cs="Times New Roman"/>
          <w:szCs w:val="21"/>
          <w:highlight w:val="none"/>
        </w:rPr>
        <w:t>效率大于等于98.4%，需提供认证证书。</w:t>
      </w:r>
    </w:p>
    <w:p w14:paraId="6D927A7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应提交第三方验证的常温、高温运行条件下的逆变器转换效率曲线（每10%一个点）。</w:t>
      </w:r>
    </w:p>
    <w:p w14:paraId="2EFE2D5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应提供每种型号逆变器不同带载率情况下的效率曲线（每10%一个点）。</w:t>
      </w:r>
    </w:p>
    <w:p w14:paraId="07D0A626">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如逆变器2年内年运行效率值低于97.5%的，投标人必须免费更换为满足要求的逆变器，期间造成发电损失的，投标人应按2倍于发电量损失来赔偿招标人：</w:t>
      </w:r>
    </w:p>
    <w:p w14:paraId="5A7E7736">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发电量损失=当地峰值电价*（η0/η1-1）*运行期实际发电量；</w:t>
      </w:r>
    </w:p>
    <w:p w14:paraId="6797B13B">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其中：</w:t>
      </w:r>
    </w:p>
    <w:p w14:paraId="353F1459">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η1为交流功率/直流功率曲线顶部平段部分的拟合值（有资质第三方单位现场进行效率检测，检测单位需得到双方认可，若监测不合格检测费用由投标方承担，若监测合格，监测费用由招标方承担）；</w:t>
      </w:r>
    </w:p>
    <w:p w14:paraId="1209DB4B">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η0为欧洲效率。</w:t>
      </w:r>
    </w:p>
    <w:p w14:paraId="24BE2FF9">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第3-10年实际运行效率值低于97%的，投标人必须免费更换成满足要求的逆变器，造成发电损失的，投标人应按2倍于发电量损失来赔偿招标方，</w:t>
      </w:r>
    </w:p>
    <w:p w14:paraId="09EC2E48">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发电量损失=当地峰值电价*（η0/η1-1）*运行期实际发电量；</w:t>
      </w:r>
    </w:p>
    <w:p w14:paraId="42087481">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其中：</w:t>
      </w:r>
    </w:p>
    <w:p w14:paraId="05610889">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η1为交流功率/直流功率曲线顶部平段部分的拟合值（有资质第三方单位现场进行效率检测，检测单位需得到双方认可，若监测不合格检测费用由投标方承担，若监测合格，监测费用由招标方承担）；</w:t>
      </w:r>
    </w:p>
    <w:p w14:paraId="4AFBA695">
      <w:pPr>
        <w:adjustRightInd w:val="0"/>
        <w:snapToGrid w:val="0"/>
        <w:spacing w:line="560" w:lineRule="exact"/>
        <w:ind w:firstLine="420" w:firstLineChars="200"/>
        <w:rPr>
          <w:rFonts w:ascii="宋体" w:hAnsi="宋体"/>
          <w:szCs w:val="21"/>
          <w:highlight w:val="none"/>
        </w:rPr>
      </w:pPr>
      <w:r>
        <w:rPr>
          <w:rFonts w:hint="eastAsia" w:ascii="宋体" w:hAnsi="宋体"/>
          <w:szCs w:val="21"/>
          <w:highlight w:val="none"/>
        </w:rPr>
        <w:t>η0为欧洲效率。</w:t>
      </w:r>
    </w:p>
    <w:p w14:paraId="69281EC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szCs w:val="21"/>
          <w:highlight w:val="none"/>
        </w:rPr>
        <w:t>并且，该逆变器品牌1年内不得进入合格供应商范围。以上电量差额赔偿期自上次性能检测合格日起，不合格的，自发电计量日起</w:t>
      </w:r>
      <w:r>
        <w:rPr>
          <w:rFonts w:hint="eastAsia" w:ascii="宋体" w:hAnsi="宋体" w:eastAsia="宋体" w:cs="Times New Roman"/>
          <w:szCs w:val="21"/>
          <w:highlight w:val="none"/>
        </w:rPr>
        <w:t>。</w:t>
      </w:r>
    </w:p>
    <w:p w14:paraId="3AA8E3A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4.3.1.3电能质量</w:t>
      </w:r>
    </w:p>
    <w:p w14:paraId="13479B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逆变器在10%额定功率及以上电流总谐波畸变率≤3%；交流输出三相电压的允许偏差不超过额定电压的±7%；直流分量不超过其交流额定值的0.5%。</w:t>
      </w:r>
    </w:p>
    <w:p w14:paraId="44B9435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应提供每种型号逆变器不同带载率情况下的总电流谐波畸变率曲线（每10%一个点）。</w:t>
      </w:r>
    </w:p>
    <w:p w14:paraId="456054E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按照CNCA/CTS0004:2009；IEC62109-1；IEC62109-2；BDEW2008；GB/T19964认证及并网技术规范要求，通过国家批准认证机构的认证。逆变器输出功率大于其额定功率的50%时，功率因数应不小于0.98，输出有功功率在20%-50%之间时，功率因数不小于0.95，逆变器具备无功补偿功能，保证并网点发电、用电功率因数在超前0.8～滞后0.8区间内连续可调。同时逆变器功率因数必须满足电网公司要求。</w:t>
      </w:r>
    </w:p>
    <w:p w14:paraId="34EA398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4.3.1.4保护功能</w:t>
      </w:r>
    </w:p>
    <w:p w14:paraId="71E5805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具有电网过/欠压保护、过/欠频保护、防孤岛保护、恢复并网保护、过流保护、极性反接保护、过载保护功能、Anti-PID功能，具备远程操作功能。</w:t>
      </w:r>
    </w:p>
    <w:p w14:paraId="2D036C2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4.3.1.5 MPPT</w:t>
      </w:r>
    </w:p>
    <w:p w14:paraId="0CD2EDC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逆变器应具有较高的MPPT效率，静态MPPT效率不低于99.8%，动态MPPT效率不低于99%。每个MPPT模块的接入组串数不能超过2路。禁止采用Y型端子增加逆变器接入容量。</w:t>
      </w:r>
    </w:p>
    <w:p w14:paraId="0C28355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逆变器应能检测到输入MPPT模块的每一路组串的电压、电流，检测精度不低于0.5%。</w:t>
      </w:r>
    </w:p>
    <w:p w14:paraId="6BD63D1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4.3.1.6 PID</w:t>
      </w:r>
    </w:p>
    <w:p w14:paraId="4956DD1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必须具备抗PID功能（防PID功能模块可集成在逆变器内或者预装在单独的智能通讯柜内），以满足光伏发电系统抗PID性能的要求，采用抗PID功能后不得影响原有系统的效率、正常运行、安全及寿命。抗PID方案可采用虚拟接地、虚拟接地+夜间反向充电防PID方案、夜间反向充电防PID方案中一种，最终方案须得到</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甲方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招标人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 xml:space="preserve">确认； </w:t>
      </w:r>
    </w:p>
    <w:p w14:paraId="3688CEB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（1）采用夜间反向充电防PID方案，应通过设计有效的避免因抗PID设计造成的直流侧或交流侧电压抬升对设备及元器件影响。</w:t>
      </w:r>
    </w:p>
    <w:p w14:paraId="5E93F10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（2）采用负极虚拟接地方案。应通过设计有效的避免因抗PID设计造成的直流侧或交流侧电压抬升对设备及元器件影响及保证人身安全，升压变压器低压侧的防雷电压等级须相应提高。</w:t>
      </w:r>
    </w:p>
    <w:p w14:paraId="16D3BB8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抗PID模块的运行监测模块必须具备通信能力，由逆变器数据采集器点表或逆变器本体点表统一上送数据。当直流线缆绝缘异常或发生接地时候，组串式逆变器监控模块能发出直流接地告警、绝缘阻抗、绝缘阻抗低告警、直流接地保护跳闸等告警信号并将信号上送至监控系统。</w:t>
      </w:r>
    </w:p>
    <w:p w14:paraId="4660AAA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为了保证工程应用中PID装置与其他设备通信时的抗干扰能力及可靠性，PID装置自带通信端口需具有一定的泄放浪涌电流能力（差模1.5kV，共模4kV(10/700us/25Ω)），需提供厂家测试报告。</w:t>
      </w:r>
    </w:p>
    <w:p w14:paraId="5915D6A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PID模块中与光伏方阵负极或正极有电气连接的接口要具有抗浪涌电压的能力。另外，与该接口有电气连通部分的元器件耐压设计必须按照该系统光伏方阵最大开路电压来设计，PID装置内部的电气间隙和爬电距离要满足光伏方阵开路电压下工作的安全要求，以上要求需要提供设备生产厂家相关设计技术证明及测试文件。</w:t>
      </w:r>
    </w:p>
    <w:p w14:paraId="5A11E24A">
      <w:pPr>
        <w:adjustRightInd w:val="0"/>
        <w:snapToGrid w:val="0"/>
        <w:spacing w:line="560" w:lineRule="exact"/>
        <w:ind w:firstLine="420" w:firstLineChars="200"/>
        <w:rPr>
          <w:rFonts w:ascii="宋体" w:hAnsi="宋体" w:eastAsia="宋体" w:cs="Times New Roman"/>
          <w:szCs w:val="21"/>
          <w:highlight w:val="none"/>
        </w:rPr>
      </w:pPr>
      <w:bookmarkStart w:id="56" w:name="_Toc28693"/>
      <w:bookmarkStart w:id="57" w:name="_Toc78411479"/>
      <w:bookmarkStart w:id="58" w:name="_Toc18792"/>
      <w:bookmarkStart w:id="59" w:name="_Toc13961"/>
      <w:r>
        <w:rPr>
          <w:rFonts w:hint="eastAsia" w:ascii="宋体" w:hAnsi="宋体" w:eastAsia="宋体" w:cs="Times New Roman"/>
          <w:szCs w:val="21"/>
          <w:highlight w:val="none"/>
        </w:rPr>
        <w:t>4.3.1.7 运行条件及防护等级</w:t>
      </w:r>
      <w:bookmarkEnd w:id="56"/>
      <w:bookmarkEnd w:id="57"/>
      <w:bookmarkEnd w:id="58"/>
      <w:bookmarkEnd w:id="59"/>
    </w:p>
    <w:p w14:paraId="6B3BF0A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在环境温度为-25℃～+60℃，月平均相对湿度≤99%，海拔高度≤4000米情况下能正常使用，不降额，逆变器外壳、箱体保证寿命25年，必须由原厂生产，逆变器整机保护等级不低于IP66。</w:t>
      </w:r>
    </w:p>
    <w:p w14:paraId="033699D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逆变器箱体须具备防盐雾腐蚀措施，具备防盐雾腐蚀功能，确保箱体内部25年内无任何腐蚀现象。</w:t>
      </w:r>
    </w:p>
    <w:p w14:paraId="4F86D6E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4.3.1.8 信息与接口</w:t>
      </w:r>
    </w:p>
    <w:p w14:paraId="0AE4967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逆变器应通过通讯方式与光伏监控系统之间实现遥控、遥测、遥信、遥调功能，方便项目的运维与监控。信号应包含但不限于下表所示：</w:t>
      </w:r>
    </w:p>
    <w:tbl>
      <w:tblPr>
        <w:tblStyle w:val="8"/>
        <w:tblW w:w="7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5419"/>
      </w:tblGrid>
      <w:tr w14:paraId="5DE2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60" w:type="dxa"/>
            <w:vAlign w:val="center"/>
          </w:tcPr>
          <w:p w14:paraId="470D2FD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项目</w:t>
            </w:r>
          </w:p>
        </w:tc>
        <w:tc>
          <w:tcPr>
            <w:tcW w:w="5419" w:type="dxa"/>
            <w:vAlign w:val="center"/>
          </w:tcPr>
          <w:p w14:paraId="659EDA1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参数</w:t>
            </w:r>
          </w:p>
        </w:tc>
      </w:tr>
      <w:tr w14:paraId="0EEE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vAlign w:val="center"/>
          </w:tcPr>
          <w:p w14:paraId="6F10FA2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遥控信息</w:t>
            </w:r>
          </w:p>
        </w:tc>
        <w:tc>
          <w:tcPr>
            <w:tcW w:w="5419" w:type="dxa"/>
            <w:vAlign w:val="center"/>
          </w:tcPr>
          <w:p w14:paraId="35606A8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开关机遥控</w:t>
            </w:r>
          </w:p>
        </w:tc>
      </w:tr>
      <w:tr w14:paraId="4D1F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vAlign w:val="center"/>
          </w:tcPr>
          <w:p w14:paraId="2270727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遥信信息</w:t>
            </w:r>
          </w:p>
        </w:tc>
        <w:tc>
          <w:tcPr>
            <w:tcW w:w="5419" w:type="dxa"/>
            <w:vAlign w:val="center"/>
          </w:tcPr>
          <w:p w14:paraId="320C047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逆变器停机状态、并网状态、闭锁状态、烟感报警状态、交直流防雷故障报警状态、直流侧异常报警状态、交流侧异常报警状态、电网侧异常报警状态、逆变器本体过热报警状态、孤岛保护状态等</w:t>
            </w:r>
          </w:p>
        </w:tc>
      </w:tr>
      <w:tr w14:paraId="3AA5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vAlign w:val="center"/>
          </w:tcPr>
          <w:p w14:paraId="7757236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遥测信息</w:t>
            </w:r>
          </w:p>
        </w:tc>
        <w:tc>
          <w:tcPr>
            <w:tcW w:w="5419" w:type="dxa"/>
            <w:vAlign w:val="center"/>
          </w:tcPr>
          <w:p w14:paraId="296B72F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直流电压、直流电流、直流输入功率、交流电压、交流电流、功率因数、频率、有功功率、无功功率、视在功率、逆变器机柜及环境温度、日发电量、月累计发电量、总累计发电量、时钟等</w:t>
            </w:r>
          </w:p>
        </w:tc>
      </w:tr>
      <w:tr w14:paraId="0E57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vAlign w:val="center"/>
          </w:tcPr>
          <w:p w14:paraId="61311A6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遥调信息</w:t>
            </w:r>
          </w:p>
        </w:tc>
        <w:tc>
          <w:tcPr>
            <w:tcW w:w="5419" w:type="dxa"/>
            <w:vAlign w:val="center"/>
          </w:tcPr>
          <w:p w14:paraId="0FA0E7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功率因数遥调、有功功率遥调、无功功率遥调</w:t>
            </w:r>
          </w:p>
        </w:tc>
      </w:tr>
    </w:tbl>
    <w:p w14:paraId="0B77F8F0">
      <w:pPr>
        <w:adjustRightInd w:val="0"/>
        <w:snapToGrid w:val="0"/>
        <w:spacing w:line="560" w:lineRule="exact"/>
        <w:ind w:firstLine="420" w:firstLineChars="200"/>
        <w:rPr>
          <w:rFonts w:ascii="宋体" w:hAnsi="宋体" w:eastAsia="宋体" w:cs="Times New Roman"/>
          <w:szCs w:val="21"/>
          <w:highlight w:val="none"/>
        </w:rPr>
      </w:pPr>
    </w:p>
    <w:p w14:paraId="57923C3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需要具备自动化系统接口功能（组串式逆变器自身具备且必须配置集群化组串式数据采集器）；逆变器的各类输入输出接口不应与控制单元集成在同一主板上（接口线路产生的故障不能影响主板），接口板应易拆卸易安装，适合运维人员进行更换。</w:t>
      </w:r>
    </w:p>
    <w:p w14:paraId="36EE21B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要具备远程对时功能，其直、交流取数需满足时钟同步的要求，直、交流测量值必须准确无误地传到监控系统。如逆变器提供的交直流数据与第三方机构检测的数据存在差异的，生产厂家必须免费整改至正确值。</w:t>
      </w:r>
    </w:p>
    <w:p w14:paraId="31B58A8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逆变器或采集器必须开放与光伏监控后台兼容的协议和接口。逆变器数采具备与监控系统兼容的通信协议和接口（以太网），可以实现对数采所接的逆变器进行集群有功\无功控制。</w:t>
      </w:r>
    </w:p>
    <w:p w14:paraId="4EF7E28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每一路直流组串输入的绝缘故障、接地故障必须有明确的软报文告警上送至自动化监控系统，该组串式逆变器智能通讯模块须具备支路电流分析功能，具备上送支路电流低于整箱支路平均电流值20%的各支路遥信告警（可自动识别是否已安装组件，未安装组件的支路不纳入智能告警，越限告警功能的阈值初始化为20%）。</w:t>
      </w:r>
    </w:p>
    <w:p w14:paraId="42D7DDB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4.3.1.9 试验与报告</w:t>
      </w:r>
    </w:p>
    <w:p w14:paraId="46D95D0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每台逆变器需提供出厂试验报告及型式试验报告。报告内容至少包括并不限于下面内容：</w:t>
      </w:r>
    </w:p>
    <w:p w14:paraId="4DEEDAB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表 </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SEQ 表 \* ARABIC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10</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：逆变器测试内容一览表</w:t>
      </w:r>
    </w:p>
    <w:tbl>
      <w:tblPr>
        <w:tblStyle w:val="8"/>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160"/>
        <w:gridCol w:w="4949"/>
      </w:tblGrid>
      <w:tr w14:paraId="6561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331" w:type="dxa"/>
            <w:vAlign w:val="center"/>
          </w:tcPr>
          <w:p w14:paraId="007A30E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2160" w:type="dxa"/>
            <w:vAlign w:val="center"/>
          </w:tcPr>
          <w:p w14:paraId="23033B4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项目</w:t>
            </w:r>
          </w:p>
        </w:tc>
        <w:tc>
          <w:tcPr>
            <w:tcW w:w="4949" w:type="dxa"/>
            <w:vAlign w:val="center"/>
          </w:tcPr>
          <w:p w14:paraId="38EA7AE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技术要求</w:t>
            </w:r>
          </w:p>
        </w:tc>
      </w:tr>
      <w:tr w14:paraId="302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52FCAAC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2160" w:type="dxa"/>
            <w:vAlign w:val="center"/>
          </w:tcPr>
          <w:p w14:paraId="08495A3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低温工作测试</w:t>
            </w:r>
          </w:p>
        </w:tc>
        <w:tc>
          <w:tcPr>
            <w:tcW w:w="4949" w:type="dxa"/>
            <w:vAlign w:val="center"/>
          </w:tcPr>
          <w:p w14:paraId="188FD2C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-25℃额定负载下保持6h后，逆变器能正常工作</w:t>
            </w:r>
          </w:p>
        </w:tc>
      </w:tr>
      <w:tr w14:paraId="4ACE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534FD61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2160" w:type="dxa"/>
            <w:vAlign w:val="center"/>
          </w:tcPr>
          <w:p w14:paraId="2FC7680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高温工作测试</w:t>
            </w:r>
          </w:p>
        </w:tc>
        <w:tc>
          <w:tcPr>
            <w:tcW w:w="4949" w:type="dxa"/>
            <w:vAlign w:val="center"/>
          </w:tcPr>
          <w:p w14:paraId="52A7F42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60℃额定负载下保持6h后，逆变器能正常工作</w:t>
            </w:r>
          </w:p>
        </w:tc>
      </w:tr>
      <w:tr w14:paraId="5DF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217A1C6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2160" w:type="dxa"/>
            <w:vAlign w:val="center"/>
          </w:tcPr>
          <w:p w14:paraId="41BFC0B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恒定湿热测试</w:t>
            </w:r>
          </w:p>
        </w:tc>
        <w:tc>
          <w:tcPr>
            <w:tcW w:w="4949" w:type="dxa"/>
            <w:vAlign w:val="center"/>
          </w:tcPr>
          <w:p w14:paraId="40DF004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55℃，85%RH条件下，20小时满载，4小时空载为一个循环，进行20个循环后，逆变器绝缘耐压满足要求，电能质量满足要求</w:t>
            </w:r>
          </w:p>
        </w:tc>
      </w:tr>
      <w:tr w14:paraId="32ED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1E9E8A5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2160" w:type="dxa"/>
            <w:vAlign w:val="center"/>
          </w:tcPr>
          <w:p w14:paraId="29A0A3D6">
            <w:pPr>
              <w:adjustRightInd w:val="0"/>
              <w:snapToGrid w:val="0"/>
              <w:spacing w:line="560" w:lineRule="exact"/>
              <w:rPr>
                <w:rFonts w:ascii="宋体" w:hAnsi="宋体" w:eastAsia="宋体" w:cs="Times New Roman"/>
                <w:szCs w:val="21"/>
                <w:highlight w:val="none"/>
              </w:rPr>
            </w:pPr>
            <w:r>
              <w:rPr>
                <w:rFonts w:hint="eastAsia" w:ascii="宋体" w:hAnsi="宋体" w:eastAsia="宋体" w:cs="Times New Roman"/>
                <w:szCs w:val="21"/>
                <w:highlight w:val="none"/>
              </w:rPr>
              <w:t>HALT加速老化测试</w:t>
            </w:r>
          </w:p>
        </w:tc>
        <w:tc>
          <w:tcPr>
            <w:tcW w:w="4949" w:type="dxa"/>
            <w:vAlign w:val="center"/>
          </w:tcPr>
          <w:p w14:paraId="6B79040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逆变器绝缘耐压满足要求，电能质量满足要求</w:t>
            </w:r>
          </w:p>
        </w:tc>
      </w:tr>
      <w:tr w14:paraId="3CE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49D9177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w:t>
            </w:r>
          </w:p>
        </w:tc>
        <w:tc>
          <w:tcPr>
            <w:tcW w:w="2160" w:type="dxa"/>
            <w:vAlign w:val="center"/>
          </w:tcPr>
          <w:p w14:paraId="75D76042">
            <w:pPr>
              <w:adjustRightInd w:val="0"/>
              <w:snapToGrid w:val="0"/>
              <w:spacing w:line="560" w:lineRule="exact"/>
              <w:rPr>
                <w:rFonts w:ascii="宋体" w:hAnsi="宋体" w:eastAsia="宋体" w:cs="Times New Roman"/>
                <w:szCs w:val="21"/>
                <w:highlight w:val="none"/>
              </w:rPr>
            </w:pPr>
            <w:r>
              <w:rPr>
                <w:rFonts w:hint="eastAsia" w:ascii="宋体" w:hAnsi="宋体" w:eastAsia="宋体" w:cs="Times New Roman"/>
                <w:szCs w:val="21"/>
                <w:highlight w:val="none"/>
              </w:rPr>
              <w:t>最低短路容量比（SCR）的运行能力</w:t>
            </w:r>
          </w:p>
        </w:tc>
        <w:tc>
          <w:tcPr>
            <w:tcW w:w="4949" w:type="dxa"/>
            <w:vAlign w:val="center"/>
          </w:tcPr>
          <w:p w14:paraId="68887BC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保持正常运行且无震荡现象发生，谐波电流分量应满足GB/T 14549规定的要求</w:t>
            </w:r>
          </w:p>
        </w:tc>
      </w:tr>
      <w:tr w14:paraId="2F9B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78D1AD1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w:t>
            </w:r>
          </w:p>
        </w:tc>
        <w:tc>
          <w:tcPr>
            <w:tcW w:w="2160" w:type="dxa"/>
            <w:vAlign w:val="center"/>
          </w:tcPr>
          <w:p w14:paraId="45B7F153">
            <w:pPr>
              <w:adjustRightInd w:val="0"/>
              <w:snapToGrid w:val="0"/>
              <w:spacing w:line="560" w:lineRule="exact"/>
              <w:rPr>
                <w:rFonts w:ascii="宋体" w:hAnsi="宋体" w:eastAsia="宋体" w:cs="Times New Roman"/>
                <w:szCs w:val="21"/>
                <w:highlight w:val="none"/>
              </w:rPr>
            </w:pPr>
            <w:r>
              <w:rPr>
                <w:rFonts w:hint="eastAsia" w:ascii="宋体" w:hAnsi="宋体" w:eastAsia="宋体" w:cs="Times New Roman"/>
                <w:szCs w:val="21"/>
                <w:highlight w:val="none"/>
              </w:rPr>
              <w:t>最低短路容量比（SCR）下的低电压穿越性能</w:t>
            </w:r>
          </w:p>
        </w:tc>
        <w:tc>
          <w:tcPr>
            <w:tcW w:w="4949" w:type="dxa"/>
            <w:vAlign w:val="center"/>
          </w:tcPr>
          <w:p w14:paraId="20598E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逆变器不脱网，且有功功率和动态无功能力满足标准GB/T 37408的要求</w:t>
            </w:r>
          </w:p>
        </w:tc>
      </w:tr>
      <w:tr w14:paraId="7EF1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1" w:type="dxa"/>
            <w:vAlign w:val="center"/>
          </w:tcPr>
          <w:p w14:paraId="16E46B6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w:t>
            </w:r>
          </w:p>
        </w:tc>
        <w:tc>
          <w:tcPr>
            <w:tcW w:w="2160" w:type="dxa"/>
            <w:vAlign w:val="center"/>
          </w:tcPr>
          <w:p w14:paraId="6225B781">
            <w:pPr>
              <w:adjustRightInd w:val="0"/>
              <w:snapToGrid w:val="0"/>
              <w:spacing w:line="560" w:lineRule="exact"/>
              <w:rPr>
                <w:rFonts w:ascii="宋体" w:hAnsi="宋体" w:eastAsia="宋体" w:cs="Times New Roman"/>
                <w:szCs w:val="21"/>
                <w:highlight w:val="none"/>
              </w:rPr>
            </w:pPr>
            <w:r>
              <w:rPr>
                <w:rFonts w:hint="eastAsia" w:ascii="宋体" w:hAnsi="宋体" w:eastAsia="宋体" w:cs="Times New Roman"/>
                <w:szCs w:val="21"/>
                <w:highlight w:val="none"/>
              </w:rPr>
              <w:t>最低短路容量比（SCR）下的高电压穿越性能</w:t>
            </w:r>
          </w:p>
        </w:tc>
        <w:tc>
          <w:tcPr>
            <w:tcW w:w="4949" w:type="dxa"/>
            <w:vAlign w:val="center"/>
          </w:tcPr>
          <w:p w14:paraId="083C125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逆变器不脱网，且有功功率和动态无功能力满足标准</w:t>
            </w:r>
            <w:bookmarkStart w:id="60" w:name="OLE_LINK10"/>
            <w:bookmarkStart w:id="61" w:name="OLE_LINK9"/>
            <w:r>
              <w:rPr>
                <w:rFonts w:hint="eastAsia" w:ascii="宋体" w:hAnsi="宋体" w:eastAsia="宋体" w:cs="Times New Roman"/>
                <w:szCs w:val="21"/>
                <w:highlight w:val="none"/>
              </w:rPr>
              <w:t>GB/T 37408</w:t>
            </w:r>
            <w:bookmarkEnd w:id="60"/>
            <w:bookmarkEnd w:id="61"/>
            <w:r>
              <w:rPr>
                <w:rFonts w:hint="eastAsia" w:ascii="宋体" w:hAnsi="宋体" w:eastAsia="宋体" w:cs="Times New Roman"/>
                <w:szCs w:val="21"/>
                <w:highlight w:val="none"/>
              </w:rPr>
              <w:t>的要求</w:t>
            </w:r>
          </w:p>
        </w:tc>
      </w:tr>
    </w:tbl>
    <w:p w14:paraId="4127EE4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负责现场逆变器交接试验，试验应同时参考</w:t>
      </w:r>
      <w:bookmarkStart w:id="62" w:name="OLE_LINK11"/>
      <w:r>
        <w:rPr>
          <w:rFonts w:hint="eastAsia" w:ascii="宋体" w:hAnsi="宋体" w:eastAsia="宋体" w:cs="Times New Roman"/>
          <w:szCs w:val="21"/>
          <w:highlight w:val="none"/>
        </w:rPr>
        <w:t>GB/T 30427-2013</w:t>
      </w:r>
      <w:bookmarkEnd w:id="62"/>
      <w:r>
        <w:rPr>
          <w:rFonts w:hint="eastAsia" w:ascii="宋体" w:hAnsi="宋体" w:eastAsia="宋体" w:cs="Times New Roman"/>
          <w:szCs w:val="21"/>
          <w:highlight w:val="none"/>
        </w:rPr>
        <w:t>《并网光伏发电专用逆变器技术要求和试验方法》、NB/T32004-2018《光伏发电并网逆变器技术规范》。项目发电并网后需出具相关的第三方性能试验测试报告。</w:t>
      </w:r>
    </w:p>
    <w:p w14:paraId="01023D4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如逆变器具有直流拉弧检测及关断功能的应提供户外实证报告，以表明产品的功能完整性</w:t>
      </w:r>
    </w:p>
    <w:p w14:paraId="4CF56EB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4.3.1.10 其他</w:t>
      </w:r>
    </w:p>
    <w:p w14:paraId="1B8DDBA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逆变器应具有IV扫描功能，覆盖每个组串，扫描数据能做到精准故障定位和故障类型分析，并把扫描结果数据通过逆变器数据采集器发至光伏监控后台。</w:t>
      </w:r>
    </w:p>
    <w:p w14:paraId="017AF23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逆变器应具备夜间无功功率补偿功能，满足补偿光伏系统夜间无功功率需求。</w:t>
      </w:r>
    </w:p>
    <w:p w14:paraId="4FFD2E6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逆变器应具备实时监测并网点有功/无功功率，并根据设定功率因数值，自动调节逆变器的有功\无功输出的功能，确保并网点的功率因数满足电网公司考核要求。</w:t>
      </w:r>
    </w:p>
    <w:p w14:paraId="5C34684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逆变器组串输入端短路保护采用熔丝保护方式时要保证设备年故障率不应高于1%，同时要求保证组串在接反、互相反灌电流等任何情况下不能发生火灾，由于使用熔丝造成的一切后果均由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担责，并承担所有损失的赔偿，同时由于熔丝故障造成的发电量损失由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承担赔偿，按1元/kWh的标准电价赔偿。</w:t>
      </w:r>
    </w:p>
    <w:p w14:paraId="24DA2FF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为了保证工程应用中组串式逆变器与其他设备的通信的抗干扰能力及可靠性，逆变器自带通信端口具有一定的防浪涌电流能力（差模1.5kV，共模4kV(10/700us/25Ω），需提供厂家测试报告。</w:t>
      </w:r>
    </w:p>
    <w:p w14:paraId="1E122F4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组串式逆变器每一路直流组串输入的绝缘故障、接地故障必须有明确的软报文告警上送至自动化监控系统，该组串式逆变器智能通讯模块须具备支路电流对比分析功能，具备上送支路电流低于整箱支路平均电流值20%(阈值可设)的各支路遥信告警（可自动识别是否已接入组串，未接入组串的支路不纳入智能告警）。</w:t>
      </w:r>
    </w:p>
    <w:tbl>
      <w:tblPr>
        <w:tblStyle w:val="8"/>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3960"/>
        <w:gridCol w:w="988"/>
        <w:gridCol w:w="2863"/>
      </w:tblGrid>
      <w:tr w14:paraId="6849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trPr>
        <w:tc>
          <w:tcPr>
            <w:tcW w:w="720" w:type="dxa"/>
            <w:vAlign w:val="center"/>
          </w:tcPr>
          <w:p w14:paraId="7B673D7B">
            <w:pPr>
              <w:adjustRightInd w:val="0"/>
              <w:snapToGrid w:val="0"/>
              <w:spacing w:line="560" w:lineRule="exact"/>
              <w:ind w:firstLine="210" w:firstLineChars="100"/>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3960" w:type="dxa"/>
            <w:vAlign w:val="center"/>
          </w:tcPr>
          <w:p w14:paraId="57BB6074">
            <w:pPr>
              <w:adjustRightInd w:val="0"/>
              <w:snapToGrid w:val="0"/>
              <w:spacing w:line="560" w:lineRule="exact"/>
              <w:ind w:firstLine="1050" w:firstLineChars="500"/>
              <w:rPr>
                <w:rFonts w:ascii="宋体" w:hAnsi="宋体" w:eastAsia="宋体" w:cs="Times New Roman"/>
                <w:szCs w:val="21"/>
                <w:highlight w:val="none"/>
              </w:rPr>
            </w:pPr>
            <w:r>
              <w:rPr>
                <w:rFonts w:hint="eastAsia" w:ascii="宋体" w:hAnsi="宋体" w:eastAsia="宋体" w:cs="Times New Roman"/>
                <w:szCs w:val="21"/>
                <w:highlight w:val="none"/>
              </w:rPr>
              <w:t>项  目  名  称</w:t>
            </w:r>
          </w:p>
        </w:tc>
        <w:tc>
          <w:tcPr>
            <w:tcW w:w="988" w:type="dxa"/>
            <w:vAlign w:val="center"/>
          </w:tcPr>
          <w:p w14:paraId="0E391D31">
            <w:pPr>
              <w:adjustRightInd w:val="0"/>
              <w:snapToGrid w:val="0"/>
              <w:spacing w:line="560" w:lineRule="exact"/>
              <w:ind w:firstLine="210" w:firstLineChars="100"/>
              <w:rPr>
                <w:rFonts w:ascii="宋体" w:hAnsi="宋体" w:eastAsia="宋体" w:cs="Times New Roman"/>
                <w:szCs w:val="21"/>
                <w:highlight w:val="none"/>
              </w:rPr>
            </w:pPr>
            <w:r>
              <w:rPr>
                <w:rFonts w:hint="eastAsia" w:ascii="宋体" w:hAnsi="宋体" w:eastAsia="宋体" w:cs="Times New Roman"/>
                <w:szCs w:val="21"/>
                <w:highlight w:val="none"/>
              </w:rPr>
              <w:t>单 位</w:t>
            </w:r>
          </w:p>
        </w:tc>
        <w:tc>
          <w:tcPr>
            <w:tcW w:w="2863" w:type="dxa"/>
            <w:vAlign w:val="center"/>
          </w:tcPr>
          <w:p w14:paraId="38D20105">
            <w:pPr>
              <w:adjustRightInd w:val="0"/>
              <w:snapToGrid w:val="0"/>
              <w:spacing w:line="560" w:lineRule="exact"/>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数  据</w:t>
            </w:r>
          </w:p>
        </w:tc>
      </w:tr>
      <w:tr w14:paraId="4915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3F16AFD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3960" w:type="dxa"/>
            <w:vAlign w:val="center"/>
          </w:tcPr>
          <w:p w14:paraId="07AAB55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品牌</w:t>
            </w:r>
          </w:p>
        </w:tc>
        <w:tc>
          <w:tcPr>
            <w:tcW w:w="988" w:type="dxa"/>
            <w:vAlign w:val="center"/>
          </w:tcPr>
          <w:p w14:paraId="45E99E1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5960E510">
            <w:pPr>
              <w:adjustRightInd w:val="0"/>
              <w:snapToGrid w:val="0"/>
              <w:spacing w:line="560" w:lineRule="exact"/>
              <w:ind w:firstLine="420" w:firstLineChars="200"/>
              <w:rPr>
                <w:rFonts w:ascii="宋体" w:hAnsi="宋体" w:eastAsia="宋体" w:cs="Times New Roman"/>
                <w:szCs w:val="21"/>
                <w:highlight w:val="none"/>
              </w:rPr>
            </w:pPr>
          </w:p>
        </w:tc>
      </w:tr>
      <w:tr w14:paraId="5CC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FA3A49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3960" w:type="dxa"/>
            <w:vAlign w:val="center"/>
          </w:tcPr>
          <w:p w14:paraId="10F1B4C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制造厂家及产地</w:t>
            </w:r>
          </w:p>
        </w:tc>
        <w:tc>
          <w:tcPr>
            <w:tcW w:w="988" w:type="dxa"/>
            <w:vAlign w:val="center"/>
          </w:tcPr>
          <w:p w14:paraId="5EF4A2B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774CC3C9">
            <w:pPr>
              <w:adjustRightInd w:val="0"/>
              <w:snapToGrid w:val="0"/>
              <w:spacing w:line="560" w:lineRule="exact"/>
              <w:ind w:firstLine="420" w:firstLineChars="200"/>
              <w:rPr>
                <w:rFonts w:ascii="宋体" w:hAnsi="宋体" w:eastAsia="宋体" w:cs="Times New Roman"/>
                <w:szCs w:val="21"/>
                <w:highlight w:val="none"/>
              </w:rPr>
            </w:pPr>
          </w:p>
        </w:tc>
      </w:tr>
      <w:tr w14:paraId="5C57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57EDA91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3960" w:type="dxa"/>
            <w:vAlign w:val="center"/>
          </w:tcPr>
          <w:p w14:paraId="0A3B14A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逆变器型号</w:t>
            </w:r>
          </w:p>
        </w:tc>
        <w:tc>
          <w:tcPr>
            <w:tcW w:w="988" w:type="dxa"/>
            <w:vAlign w:val="center"/>
          </w:tcPr>
          <w:p w14:paraId="78885C8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53F733AB">
            <w:pPr>
              <w:adjustRightInd w:val="0"/>
              <w:snapToGrid w:val="0"/>
              <w:spacing w:line="560" w:lineRule="exact"/>
              <w:ind w:firstLine="420" w:firstLineChars="200"/>
              <w:rPr>
                <w:rFonts w:ascii="宋体" w:hAnsi="宋体" w:eastAsia="宋体" w:cs="Times New Roman"/>
                <w:szCs w:val="21"/>
                <w:highlight w:val="none"/>
              </w:rPr>
            </w:pPr>
          </w:p>
        </w:tc>
      </w:tr>
      <w:tr w14:paraId="38E4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19F925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3960" w:type="dxa"/>
            <w:vAlign w:val="center"/>
          </w:tcPr>
          <w:p w14:paraId="0A87160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·最大效率（需精确到小数点后1位）</w:t>
            </w:r>
          </w:p>
        </w:tc>
        <w:tc>
          <w:tcPr>
            <w:tcW w:w="988" w:type="dxa"/>
            <w:vAlign w:val="center"/>
          </w:tcPr>
          <w:p w14:paraId="2091E4F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59A5E775">
            <w:pPr>
              <w:adjustRightInd w:val="0"/>
              <w:snapToGrid w:val="0"/>
              <w:spacing w:line="560" w:lineRule="exact"/>
              <w:ind w:firstLine="420" w:firstLineChars="200"/>
              <w:rPr>
                <w:rFonts w:ascii="宋体" w:hAnsi="宋体" w:eastAsia="宋体" w:cs="Times New Roman"/>
                <w:szCs w:val="21"/>
                <w:highlight w:val="none"/>
              </w:rPr>
            </w:pPr>
          </w:p>
        </w:tc>
      </w:tr>
      <w:tr w14:paraId="2CFE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3851EA2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w:t>
            </w:r>
          </w:p>
        </w:tc>
        <w:tc>
          <w:tcPr>
            <w:tcW w:w="3960" w:type="dxa"/>
            <w:vAlign w:val="center"/>
          </w:tcPr>
          <w:p w14:paraId="3C0C08A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·欧洲效率（需精确到小数点后1位）</w:t>
            </w:r>
          </w:p>
        </w:tc>
        <w:tc>
          <w:tcPr>
            <w:tcW w:w="988" w:type="dxa"/>
            <w:vAlign w:val="center"/>
          </w:tcPr>
          <w:p w14:paraId="796A605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0C74FEAD">
            <w:pPr>
              <w:adjustRightInd w:val="0"/>
              <w:snapToGrid w:val="0"/>
              <w:spacing w:line="560" w:lineRule="exact"/>
              <w:ind w:firstLine="420" w:firstLineChars="200"/>
              <w:rPr>
                <w:rFonts w:ascii="宋体" w:hAnsi="宋体" w:eastAsia="宋体" w:cs="Times New Roman"/>
                <w:szCs w:val="21"/>
                <w:highlight w:val="none"/>
              </w:rPr>
            </w:pPr>
          </w:p>
        </w:tc>
      </w:tr>
      <w:tr w14:paraId="7BF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72B855D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w:t>
            </w:r>
          </w:p>
        </w:tc>
        <w:tc>
          <w:tcPr>
            <w:tcW w:w="3960" w:type="dxa"/>
            <w:vAlign w:val="center"/>
          </w:tcPr>
          <w:p w14:paraId="5602534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·待机损耗/夜间功耗</w:t>
            </w:r>
          </w:p>
        </w:tc>
        <w:tc>
          <w:tcPr>
            <w:tcW w:w="988" w:type="dxa"/>
            <w:vAlign w:val="center"/>
          </w:tcPr>
          <w:p w14:paraId="75FC09F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w:t>
            </w:r>
          </w:p>
        </w:tc>
        <w:tc>
          <w:tcPr>
            <w:tcW w:w="2863" w:type="dxa"/>
            <w:vAlign w:val="center"/>
          </w:tcPr>
          <w:p w14:paraId="271C594E">
            <w:pPr>
              <w:adjustRightInd w:val="0"/>
              <w:snapToGrid w:val="0"/>
              <w:spacing w:line="560" w:lineRule="exact"/>
              <w:ind w:firstLine="420" w:firstLineChars="200"/>
              <w:rPr>
                <w:rFonts w:ascii="宋体" w:hAnsi="宋体" w:eastAsia="宋体" w:cs="Times New Roman"/>
                <w:szCs w:val="21"/>
                <w:highlight w:val="none"/>
              </w:rPr>
            </w:pPr>
          </w:p>
        </w:tc>
      </w:tr>
      <w:tr w14:paraId="1C59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1E1ED92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w:t>
            </w:r>
          </w:p>
        </w:tc>
        <w:tc>
          <w:tcPr>
            <w:tcW w:w="3960" w:type="dxa"/>
            <w:vAlign w:val="center"/>
          </w:tcPr>
          <w:p w14:paraId="2EF3FA6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·最大输入电压</w:t>
            </w:r>
          </w:p>
        </w:tc>
        <w:tc>
          <w:tcPr>
            <w:tcW w:w="988" w:type="dxa"/>
            <w:vAlign w:val="center"/>
          </w:tcPr>
          <w:p w14:paraId="711F3D9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V</w:t>
            </w:r>
          </w:p>
        </w:tc>
        <w:tc>
          <w:tcPr>
            <w:tcW w:w="2863" w:type="dxa"/>
            <w:vAlign w:val="center"/>
          </w:tcPr>
          <w:p w14:paraId="7D061D84">
            <w:pPr>
              <w:adjustRightInd w:val="0"/>
              <w:snapToGrid w:val="0"/>
              <w:spacing w:line="560" w:lineRule="exact"/>
              <w:ind w:firstLine="420" w:firstLineChars="200"/>
              <w:rPr>
                <w:rFonts w:ascii="宋体" w:hAnsi="宋体" w:eastAsia="宋体" w:cs="Times New Roman"/>
                <w:szCs w:val="21"/>
                <w:highlight w:val="none"/>
              </w:rPr>
            </w:pPr>
          </w:p>
        </w:tc>
      </w:tr>
      <w:tr w14:paraId="0257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3B6C25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w:t>
            </w:r>
          </w:p>
        </w:tc>
        <w:tc>
          <w:tcPr>
            <w:tcW w:w="3960" w:type="dxa"/>
            <w:vAlign w:val="center"/>
          </w:tcPr>
          <w:p w14:paraId="257697C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·MPPT电压范围</w:t>
            </w:r>
          </w:p>
        </w:tc>
        <w:tc>
          <w:tcPr>
            <w:tcW w:w="988" w:type="dxa"/>
            <w:vAlign w:val="center"/>
          </w:tcPr>
          <w:p w14:paraId="7A42046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V</w:t>
            </w:r>
          </w:p>
        </w:tc>
        <w:tc>
          <w:tcPr>
            <w:tcW w:w="2863" w:type="dxa"/>
            <w:vAlign w:val="center"/>
          </w:tcPr>
          <w:p w14:paraId="06732BE2">
            <w:pPr>
              <w:adjustRightInd w:val="0"/>
              <w:snapToGrid w:val="0"/>
              <w:spacing w:line="560" w:lineRule="exact"/>
              <w:ind w:firstLine="420" w:firstLineChars="200"/>
              <w:rPr>
                <w:rFonts w:ascii="宋体" w:hAnsi="宋体" w:eastAsia="宋体" w:cs="Times New Roman"/>
                <w:szCs w:val="21"/>
                <w:highlight w:val="none"/>
              </w:rPr>
            </w:pPr>
          </w:p>
        </w:tc>
      </w:tr>
      <w:tr w14:paraId="547F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51003B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w:t>
            </w:r>
          </w:p>
        </w:tc>
        <w:tc>
          <w:tcPr>
            <w:tcW w:w="3960" w:type="dxa"/>
            <w:vAlign w:val="center"/>
          </w:tcPr>
          <w:p w14:paraId="598B543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MPPT跟踪路数</w:t>
            </w:r>
          </w:p>
        </w:tc>
        <w:tc>
          <w:tcPr>
            <w:tcW w:w="988" w:type="dxa"/>
            <w:vAlign w:val="center"/>
          </w:tcPr>
          <w:p w14:paraId="1C1E4C4A">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6A3F527C">
            <w:pPr>
              <w:adjustRightInd w:val="0"/>
              <w:snapToGrid w:val="0"/>
              <w:spacing w:line="560" w:lineRule="exact"/>
              <w:ind w:firstLine="420" w:firstLineChars="200"/>
              <w:rPr>
                <w:rFonts w:ascii="宋体" w:hAnsi="宋体" w:eastAsia="宋体" w:cs="Times New Roman"/>
                <w:szCs w:val="21"/>
                <w:highlight w:val="none"/>
              </w:rPr>
            </w:pPr>
          </w:p>
        </w:tc>
      </w:tr>
      <w:tr w14:paraId="1BA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169F8D2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w:t>
            </w:r>
          </w:p>
        </w:tc>
        <w:tc>
          <w:tcPr>
            <w:tcW w:w="3960" w:type="dxa"/>
            <w:vAlign w:val="center"/>
          </w:tcPr>
          <w:p w14:paraId="23282D0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·输出电压</w:t>
            </w:r>
          </w:p>
        </w:tc>
        <w:tc>
          <w:tcPr>
            <w:tcW w:w="988" w:type="dxa"/>
            <w:vAlign w:val="center"/>
          </w:tcPr>
          <w:p w14:paraId="6BC4EB9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V</w:t>
            </w:r>
          </w:p>
        </w:tc>
        <w:tc>
          <w:tcPr>
            <w:tcW w:w="2863" w:type="dxa"/>
            <w:vAlign w:val="center"/>
          </w:tcPr>
          <w:p w14:paraId="74930C7E">
            <w:pPr>
              <w:adjustRightInd w:val="0"/>
              <w:snapToGrid w:val="0"/>
              <w:spacing w:line="560" w:lineRule="exact"/>
              <w:ind w:firstLine="420" w:firstLineChars="200"/>
              <w:rPr>
                <w:rFonts w:ascii="宋体" w:hAnsi="宋体" w:eastAsia="宋体" w:cs="Times New Roman"/>
                <w:szCs w:val="21"/>
                <w:highlight w:val="none"/>
              </w:rPr>
            </w:pPr>
          </w:p>
        </w:tc>
      </w:tr>
      <w:tr w14:paraId="3416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890ED1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11</w:t>
            </w:r>
          </w:p>
        </w:tc>
        <w:tc>
          <w:tcPr>
            <w:tcW w:w="3960" w:type="dxa"/>
            <w:vAlign w:val="center"/>
          </w:tcPr>
          <w:p w14:paraId="1E11D91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·输出频率</w:t>
            </w:r>
          </w:p>
        </w:tc>
        <w:tc>
          <w:tcPr>
            <w:tcW w:w="988" w:type="dxa"/>
            <w:vAlign w:val="center"/>
          </w:tcPr>
          <w:p w14:paraId="52CD553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Hz</w:t>
            </w:r>
          </w:p>
        </w:tc>
        <w:tc>
          <w:tcPr>
            <w:tcW w:w="2863" w:type="dxa"/>
            <w:vAlign w:val="center"/>
          </w:tcPr>
          <w:p w14:paraId="740CB927">
            <w:pPr>
              <w:adjustRightInd w:val="0"/>
              <w:snapToGrid w:val="0"/>
              <w:spacing w:line="560" w:lineRule="exact"/>
              <w:ind w:firstLine="420" w:firstLineChars="200"/>
              <w:rPr>
                <w:rFonts w:ascii="宋体" w:hAnsi="宋体" w:eastAsia="宋体" w:cs="Times New Roman"/>
                <w:szCs w:val="21"/>
                <w:highlight w:val="none"/>
              </w:rPr>
            </w:pPr>
          </w:p>
        </w:tc>
      </w:tr>
      <w:tr w14:paraId="5B06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485CB75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12</w:t>
            </w:r>
          </w:p>
        </w:tc>
        <w:tc>
          <w:tcPr>
            <w:tcW w:w="3960" w:type="dxa"/>
            <w:vAlign w:val="center"/>
          </w:tcPr>
          <w:p w14:paraId="473B60D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·功率因数</w:t>
            </w:r>
          </w:p>
        </w:tc>
        <w:tc>
          <w:tcPr>
            <w:tcW w:w="988" w:type="dxa"/>
            <w:vAlign w:val="center"/>
          </w:tcPr>
          <w:p w14:paraId="0D654448">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0C39D623">
            <w:pPr>
              <w:adjustRightInd w:val="0"/>
              <w:snapToGrid w:val="0"/>
              <w:spacing w:line="560" w:lineRule="exact"/>
              <w:ind w:firstLine="420" w:firstLineChars="200"/>
              <w:rPr>
                <w:rFonts w:ascii="宋体" w:hAnsi="宋体" w:eastAsia="宋体" w:cs="Times New Roman"/>
                <w:szCs w:val="21"/>
                <w:highlight w:val="none"/>
              </w:rPr>
            </w:pPr>
          </w:p>
        </w:tc>
      </w:tr>
      <w:tr w14:paraId="7FB9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7264D08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13</w:t>
            </w:r>
          </w:p>
        </w:tc>
        <w:tc>
          <w:tcPr>
            <w:tcW w:w="3960" w:type="dxa"/>
            <w:vAlign w:val="center"/>
          </w:tcPr>
          <w:p w14:paraId="358F88E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·总电流波形畸变率</w:t>
            </w:r>
          </w:p>
        </w:tc>
        <w:tc>
          <w:tcPr>
            <w:tcW w:w="988" w:type="dxa"/>
            <w:vAlign w:val="center"/>
          </w:tcPr>
          <w:p w14:paraId="5115864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863" w:type="dxa"/>
            <w:vAlign w:val="center"/>
          </w:tcPr>
          <w:p w14:paraId="4946D8B3">
            <w:pPr>
              <w:adjustRightInd w:val="0"/>
              <w:snapToGrid w:val="0"/>
              <w:spacing w:line="560" w:lineRule="exact"/>
              <w:ind w:firstLine="420" w:firstLineChars="200"/>
              <w:rPr>
                <w:rFonts w:ascii="宋体" w:hAnsi="宋体" w:eastAsia="宋体" w:cs="Times New Roman"/>
                <w:szCs w:val="21"/>
                <w:highlight w:val="none"/>
                <w:lang w:val="zh-CN"/>
              </w:rPr>
            </w:pPr>
          </w:p>
        </w:tc>
      </w:tr>
      <w:tr w14:paraId="7FB2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3D59EDA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14</w:t>
            </w:r>
          </w:p>
        </w:tc>
        <w:tc>
          <w:tcPr>
            <w:tcW w:w="3960" w:type="dxa"/>
            <w:vAlign w:val="center"/>
          </w:tcPr>
          <w:p w14:paraId="6C88177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·电气绝缘性能</w:t>
            </w:r>
          </w:p>
        </w:tc>
        <w:tc>
          <w:tcPr>
            <w:tcW w:w="988" w:type="dxa"/>
            <w:vAlign w:val="center"/>
          </w:tcPr>
          <w:p w14:paraId="122C2CB2">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4CA968F0">
            <w:pPr>
              <w:adjustRightInd w:val="0"/>
              <w:snapToGrid w:val="0"/>
              <w:spacing w:line="560" w:lineRule="exact"/>
              <w:ind w:firstLine="420" w:firstLineChars="200"/>
              <w:rPr>
                <w:rFonts w:ascii="宋体" w:hAnsi="宋体" w:eastAsia="宋体" w:cs="Times New Roman"/>
                <w:szCs w:val="21"/>
                <w:highlight w:val="none"/>
                <w:lang w:val="zh-CN"/>
              </w:rPr>
            </w:pPr>
          </w:p>
        </w:tc>
      </w:tr>
      <w:tr w14:paraId="7BF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5D5F18F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15</w:t>
            </w:r>
          </w:p>
        </w:tc>
        <w:tc>
          <w:tcPr>
            <w:tcW w:w="3960" w:type="dxa"/>
            <w:vAlign w:val="center"/>
          </w:tcPr>
          <w:p w14:paraId="67AEE7D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－直流输入对地</w:t>
            </w:r>
          </w:p>
        </w:tc>
        <w:tc>
          <w:tcPr>
            <w:tcW w:w="988" w:type="dxa"/>
            <w:vAlign w:val="center"/>
          </w:tcPr>
          <w:p w14:paraId="71143F0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V</w:t>
            </w:r>
          </w:p>
        </w:tc>
        <w:tc>
          <w:tcPr>
            <w:tcW w:w="2863" w:type="dxa"/>
            <w:vAlign w:val="center"/>
          </w:tcPr>
          <w:p w14:paraId="557382E6">
            <w:pPr>
              <w:adjustRightInd w:val="0"/>
              <w:snapToGrid w:val="0"/>
              <w:spacing w:line="560" w:lineRule="exact"/>
              <w:ind w:firstLine="420" w:firstLineChars="200"/>
              <w:rPr>
                <w:rFonts w:ascii="宋体" w:hAnsi="宋体" w:eastAsia="宋体" w:cs="Times New Roman"/>
                <w:szCs w:val="21"/>
                <w:highlight w:val="none"/>
              </w:rPr>
            </w:pPr>
          </w:p>
        </w:tc>
      </w:tr>
      <w:tr w14:paraId="39AD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3CD186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16</w:t>
            </w:r>
          </w:p>
        </w:tc>
        <w:tc>
          <w:tcPr>
            <w:tcW w:w="3960" w:type="dxa"/>
            <w:vAlign w:val="center"/>
          </w:tcPr>
          <w:p w14:paraId="30079DA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－直流与交流之间</w:t>
            </w:r>
          </w:p>
        </w:tc>
        <w:tc>
          <w:tcPr>
            <w:tcW w:w="988" w:type="dxa"/>
            <w:vAlign w:val="center"/>
          </w:tcPr>
          <w:p w14:paraId="4BC0862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V</w:t>
            </w:r>
          </w:p>
        </w:tc>
        <w:tc>
          <w:tcPr>
            <w:tcW w:w="2863" w:type="dxa"/>
            <w:vAlign w:val="center"/>
          </w:tcPr>
          <w:p w14:paraId="54AD969B">
            <w:pPr>
              <w:adjustRightInd w:val="0"/>
              <w:snapToGrid w:val="0"/>
              <w:spacing w:line="560" w:lineRule="exact"/>
              <w:ind w:firstLine="420" w:firstLineChars="200"/>
              <w:rPr>
                <w:rFonts w:ascii="宋体" w:hAnsi="宋体" w:eastAsia="宋体" w:cs="Times New Roman"/>
                <w:szCs w:val="21"/>
                <w:highlight w:val="none"/>
              </w:rPr>
            </w:pPr>
          </w:p>
        </w:tc>
      </w:tr>
      <w:tr w14:paraId="224D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0543D9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17</w:t>
            </w:r>
          </w:p>
        </w:tc>
        <w:tc>
          <w:tcPr>
            <w:tcW w:w="3960" w:type="dxa"/>
            <w:vAlign w:val="center"/>
          </w:tcPr>
          <w:p w14:paraId="013C5E2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·噪声</w:t>
            </w:r>
          </w:p>
        </w:tc>
        <w:tc>
          <w:tcPr>
            <w:tcW w:w="988" w:type="dxa"/>
            <w:vAlign w:val="center"/>
          </w:tcPr>
          <w:p w14:paraId="05004CB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dB</w:t>
            </w:r>
          </w:p>
        </w:tc>
        <w:tc>
          <w:tcPr>
            <w:tcW w:w="2863" w:type="dxa"/>
            <w:vAlign w:val="center"/>
          </w:tcPr>
          <w:p w14:paraId="616B9388">
            <w:pPr>
              <w:adjustRightInd w:val="0"/>
              <w:snapToGrid w:val="0"/>
              <w:spacing w:line="560" w:lineRule="exact"/>
              <w:ind w:firstLine="420" w:firstLineChars="200"/>
              <w:rPr>
                <w:rFonts w:ascii="宋体" w:hAnsi="宋体" w:eastAsia="宋体" w:cs="Times New Roman"/>
                <w:szCs w:val="21"/>
                <w:highlight w:val="none"/>
              </w:rPr>
            </w:pPr>
          </w:p>
        </w:tc>
      </w:tr>
      <w:tr w14:paraId="5FE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78A9E9F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18</w:t>
            </w:r>
          </w:p>
        </w:tc>
        <w:tc>
          <w:tcPr>
            <w:tcW w:w="3960" w:type="dxa"/>
            <w:vAlign w:val="center"/>
          </w:tcPr>
          <w:p w14:paraId="195F985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·进出线方式</w:t>
            </w:r>
          </w:p>
        </w:tc>
        <w:tc>
          <w:tcPr>
            <w:tcW w:w="988" w:type="dxa"/>
            <w:vAlign w:val="center"/>
          </w:tcPr>
          <w:p w14:paraId="5DFB2773">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6F8BC0D0">
            <w:pPr>
              <w:adjustRightInd w:val="0"/>
              <w:snapToGrid w:val="0"/>
              <w:spacing w:line="560" w:lineRule="exact"/>
              <w:ind w:firstLine="420" w:firstLineChars="200"/>
              <w:rPr>
                <w:rFonts w:ascii="宋体" w:hAnsi="宋体" w:eastAsia="宋体" w:cs="Times New Roman"/>
                <w:szCs w:val="21"/>
                <w:highlight w:val="none"/>
              </w:rPr>
            </w:pPr>
          </w:p>
        </w:tc>
      </w:tr>
      <w:tr w14:paraId="7A64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17DAA30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19</w:t>
            </w:r>
          </w:p>
        </w:tc>
        <w:tc>
          <w:tcPr>
            <w:tcW w:w="3960" w:type="dxa"/>
            <w:vAlign w:val="center"/>
          </w:tcPr>
          <w:p w14:paraId="23A86D4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·无故障连续运行时间</w:t>
            </w:r>
          </w:p>
        </w:tc>
        <w:tc>
          <w:tcPr>
            <w:tcW w:w="988" w:type="dxa"/>
            <w:vAlign w:val="center"/>
          </w:tcPr>
          <w:p w14:paraId="5EBC602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年</w:t>
            </w:r>
          </w:p>
        </w:tc>
        <w:tc>
          <w:tcPr>
            <w:tcW w:w="2863" w:type="dxa"/>
            <w:vAlign w:val="center"/>
          </w:tcPr>
          <w:p w14:paraId="7C04915D">
            <w:pPr>
              <w:adjustRightInd w:val="0"/>
              <w:snapToGrid w:val="0"/>
              <w:spacing w:line="560" w:lineRule="exact"/>
              <w:ind w:firstLine="420" w:firstLineChars="200"/>
              <w:rPr>
                <w:rFonts w:ascii="宋体" w:hAnsi="宋体" w:eastAsia="宋体" w:cs="Times New Roman"/>
                <w:szCs w:val="21"/>
                <w:highlight w:val="none"/>
                <w:lang w:val="zh-CN"/>
              </w:rPr>
            </w:pPr>
          </w:p>
        </w:tc>
      </w:tr>
      <w:tr w14:paraId="276C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0FF583C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20</w:t>
            </w:r>
          </w:p>
        </w:tc>
        <w:tc>
          <w:tcPr>
            <w:tcW w:w="3960" w:type="dxa"/>
            <w:vAlign w:val="center"/>
          </w:tcPr>
          <w:p w14:paraId="3F1030E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·使用寿命</w:t>
            </w:r>
          </w:p>
        </w:tc>
        <w:tc>
          <w:tcPr>
            <w:tcW w:w="988" w:type="dxa"/>
            <w:vAlign w:val="center"/>
          </w:tcPr>
          <w:p w14:paraId="7DC78B3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年</w:t>
            </w:r>
          </w:p>
        </w:tc>
        <w:tc>
          <w:tcPr>
            <w:tcW w:w="2863" w:type="dxa"/>
            <w:vAlign w:val="center"/>
          </w:tcPr>
          <w:p w14:paraId="1C69008A">
            <w:pPr>
              <w:adjustRightInd w:val="0"/>
              <w:snapToGrid w:val="0"/>
              <w:spacing w:line="560" w:lineRule="exact"/>
              <w:ind w:firstLine="420" w:firstLineChars="200"/>
              <w:rPr>
                <w:rFonts w:ascii="宋体" w:hAnsi="宋体" w:eastAsia="宋体" w:cs="Times New Roman"/>
                <w:szCs w:val="21"/>
                <w:highlight w:val="none"/>
                <w:lang w:val="zh-CN"/>
              </w:rPr>
            </w:pPr>
          </w:p>
        </w:tc>
      </w:tr>
      <w:tr w14:paraId="56CD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2996483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3960" w:type="dxa"/>
            <w:vAlign w:val="center"/>
          </w:tcPr>
          <w:p w14:paraId="61F5346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外形尺寸</w:t>
            </w:r>
          </w:p>
        </w:tc>
        <w:tc>
          <w:tcPr>
            <w:tcW w:w="988" w:type="dxa"/>
            <w:vAlign w:val="center"/>
          </w:tcPr>
          <w:p w14:paraId="1517FD84">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626341C0">
            <w:pPr>
              <w:adjustRightInd w:val="0"/>
              <w:snapToGrid w:val="0"/>
              <w:spacing w:line="560" w:lineRule="exact"/>
              <w:ind w:firstLine="420" w:firstLineChars="200"/>
              <w:rPr>
                <w:rFonts w:ascii="宋体" w:hAnsi="宋体" w:eastAsia="宋体" w:cs="Times New Roman"/>
                <w:szCs w:val="21"/>
                <w:highlight w:val="none"/>
                <w:lang w:val="zh-CN"/>
              </w:rPr>
            </w:pPr>
          </w:p>
        </w:tc>
      </w:tr>
      <w:tr w14:paraId="0143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20" w:type="dxa"/>
            <w:vAlign w:val="center"/>
          </w:tcPr>
          <w:p w14:paraId="6E1D088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22</w:t>
            </w:r>
          </w:p>
        </w:tc>
        <w:tc>
          <w:tcPr>
            <w:tcW w:w="3960" w:type="dxa"/>
            <w:vAlign w:val="center"/>
          </w:tcPr>
          <w:p w14:paraId="45DC656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重量</w:t>
            </w:r>
          </w:p>
        </w:tc>
        <w:tc>
          <w:tcPr>
            <w:tcW w:w="988" w:type="dxa"/>
            <w:vAlign w:val="center"/>
          </w:tcPr>
          <w:p w14:paraId="37A8E5E0">
            <w:pPr>
              <w:adjustRightInd w:val="0"/>
              <w:snapToGrid w:val="0"/>
              <w:spacing w:line="560" w:lineRule="exact"/>
              <w:ind w:firstLine="420" w:firstLineChars="200"/>
              <w:rPr>
                <w:rFonts w:ascii="宋体" w:hAnsi="宋体" w:eastAsia="宋体" w:cs="Times New Roman"/>
                <w:szCs w:val="21"/>
                <w:highlight w:val="none"/>
              </w:rPr>
            </w:pPr>
          </w:p>
        </w:tc>
        <w:tc>
          <w:tcPr>
            <w:tcW w:w="2863" w:type="dxa"/>
            <w:vAlign w:val="center"/>
          </w:tcPr>
          <w:p w14:paraId="0377C2A0">
            <w:pPr>
              <w:adjustRightInd w:val="0"/>
              <w:snapToGrid w:val="0"/>
              <w:spacing w:line="560" w:lineRule="exact"/>
              <w:ind w:firstLine="420" w:firstLineChars="200"/>
              <w:rPr>
                <w:rFonts w:ascii="宋体" w:hAnsi="宋体" w:eastAsia="宋体" w:cs="Times New Roman"/>
                <w:szCs w:val="21"/>
                <w:highlight w:val="none"/>
                <w:lang w:val="zh-CN"/>
              </w:rPr>
            </w:pPr>
          </w:p>
        </w:tc>
      </w:tr>
    </w:tbl>
    <w:p w14:paraId="3F17B70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4.3.1.11逆变器主要性能参数表（由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填写）</w:t>
      </w:r>
    </w:p>
    <w:p w14:paraId="38DBF8E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表 </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SEQ 表 \* ARABIC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11</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：光伏逆变器主要性能参数表</w:t>
      </w:r>
    </w:p>
    <w:p w14:paraId="3C9A3EF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注：包括但不限于表中的项目。</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应按备选品牌分别填报。</w:t>
      </w:r>
    </w:p>
    <w:p w14:paraId="75F57D44">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4.4 箱变及高低压配电柜</w:t>
      </w:r>
    </w:p>
    <w:p w14:paraId="4DB6ED2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4.4.1 箱变技术要求</w:t>
      </w:r>
    </w:p>
    <w:p w14:paraId="7BB085F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4.4.1.1 引用标准</w:t>
      </w:r>
      <w:r>
        <w:rPr>
          <w:rFonts w:hint="eastAsia" w:ascii="宋体" w:hAnsi="宋体" w:eastAsia="宋体" w:cs="Times New Roman"/>
          <w:szCs w:val="21"/>
          <w:highlight w:val="none"/>
        </w:rPr>
        <w:t>包括但不限于以下标准</w:t>
      </w:r>
    </w:p>
    <w:p w14:paraId="276B3D6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DL/T5376～35kV箱式变电站订货技术条件</w:t>
      </w:r>
    </w:p>
    <w:p w14:paraId="4893A5C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DL/T537</w:t>
      </w:r>
      <w:r>
        <w:rPr>
          <w:rFonts w:hint="eastAsia" w:ascii="宋体" w:hAnsi="宋体" w:eastAsia="宋体" w:cs="Times New Roman"/>
          <w:szCs w:val="21"/>
          <w:highlight w:val="none"/>
        </w:rPr>
        <w:tab/>
      </w:r>
      <w:r>
        <w:rPr>
          <w:rFonts w:hint="eastAsia" w:ascii="宋体" w:hAnsi="宋体" w:eastAsia="宋体" w:cs="Times New Roman"/>
          <w:szCs w:val="21"/>
          <w:highlight w:val="none"/>
        </w:rPr>
        <w:t>高压/低压预装箱式变电站选用导则</w:t>
      </w:r>
    </w:p>
    <w:p w14:paraId="393360F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GB311.1～311.6高压输电设备的绝缘配合,高电压试验技术</w:t>
      </w:r>
    </w:p>
    <w:p w14:paraId="1E86EDA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GB38043～63kV交流高压负荷开关</w:t>
      </w:r>
    </w:p>
    <w:p w14:paraId="7812990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GB11022高压开关设备通用技术条件</w:t>
      </w:r>
    </w:p>
    <w:p w14:paraId="5F79E91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GB1094.1电力变压器第1部分总则</w:t>
      </w:r>
    </w:p>
    <w:p w14:paraId="76B8E34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GB1094.2电力变压器第2部分温升</w:t>
      </w:r>
    </w:p>
    <w:p w14:paraId="170B8F1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GB1094.3电力变压器第3部分绝缘水平和绝缘试验</w:t>
      </w:r>
    </w:p>
    <w:p w14:paraId="134EB31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GB1094.5电力变压器第5部分承受短路能力</w:t>
      </w:r>
    </w:p>
    <w:p w14:paraId="1DDE5DA4">
      <w:pPr>
        <w:adjustRightInd w:val="0"/>
        <w:snapToGrid w:val="0"/>
        <w:spacing w:line="560" w:lineRule="exact"/>
        <w:ind w:firstLine="420" w:firstLineChars="200"/>
        <w:rPr>
          <w:rFonts w:ascii="宋体" w:hAnsi="宋体" w:eastAsia="宋体" w:cs="Times New Roman"/>
          <w:szCs w:val="21"/>
          <w:highlight w:val="none"/>
        </w:rPr>
      </w:pPr>
      <w:bookmarkStart w:id="63" w:name="OLE_LINK12"/>
      <w:r>
        <w:rPr>
          <w:rFonts w:hint="eastAsia" w:ascii="宋体" w:hAnsi="宋体" w:eastAsia="宋体" w:cs="Times New Roman"/>
          <w:szCs w:val="21"/>
          <w:highlight w:val="none"/>
        </w:rPr>
        <w:t>GB/T6451</w:t>
      </w:r>
      <w:bookmarkEnd w:id="63"/>
      <w:r>
        <w:rPr>
          <w:rFonts w:hint="eastAsia" w:ascii="宋体" w:hAnsi="宋体" w:eastAsia="宋体" w:cs="Times New Roman"/>
          <w:szCs w:val="21"/>
          <w:highlight w:val="none"/>
        </w:rPr>
        <w:t>三相油浸式电力变压器技术参数和要求</w:t>
      </w:r>
    </w:p>
    <w:p w14:paraId="07C951F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GB7328变压器和电抗器的声级测量</w:t>
      </w:r>
    </w:p>
    <w:p w14:paraId="427BD75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GB16926交流高压负荷开关熔断器组合电器</w:t>
      </w:r>
    </w:p>
    <w:p w14:paraId="1D36872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GB7251低压成套开关设备和控制设备</w:t>
      </w:r>
    </w:p>
    <w:p w14:paraId="3373FDC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GB13539低压熔断器</w:t>
      </w:r>
    </w:p>
    <w:p w14:paraId="4F2250C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GB1208电流互感器</w:t>
      </w:r>
    </w:p>
    <w:p w14:paraId="39CFB9C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DL478静态继电保护及安全自动装置通用技术条件</w:t>
      </w:r>
    </w:p>
    <w:p w14:paraId="440B111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SDJ9电测量仪表装置设计技术规程</w:t>
      </w:r>
    </w:p>
    <w:p w14:paraId="0DD9B6E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GB2681电工成套装置中的导线颜色</w:t>
      </w:r>
    </w:p>
    <w:p w14:paraId="4AEB211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GB4208外壳防护等级分类</w:t>
      </w:r>
    </w:p>
    <w:p w14:paraId="2FE5FFF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GB2706交流高压电器动热稳定试验方法</w:t>
      </w:r>
    </w:p>
    <w:p w14:paraId="6AE75B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GB/T17467高压/低压预装式变电站</w:t>
      </w:r>
    </w:p>
    <w:p w14:paraId="7AF6D32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GB50150电气装置安装工程电气设备交接试验标准</w:t>
      </w:r>
    </w:p>
    <w:p w14:paraId="49E8EFB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GB6451.1～6451.5-95《三相油浸式电力变压器技术参数及要求》</w:t>
      </w:r>
    </w:p>
    <w:p w14:paraId="24D7EDA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GB311.1～311.6—83《高压输变电设备的绝缘配合高电压试验技术》</w:t>
      </w:r>
    </w:p>
    <w:p w14:paraId="435A7EA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GB5582《高压电力设备外绝缘污秽等级》</w:t>
      </w:r>
    </w:p>
    <w:p w14:paraId="7747548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GB/T15164-94《油浸式电力变压器负载导则》</w:t>
      </w:r>
    </w:p>
    <w:p w14:paraId="454C7B0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GB7328《变压器和电抗器声级测量》</w:t>
      </w:r>
    </w:p>
    <w:p w14:paraId="5C2EC74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GB763《交流高压电器在长期工作时的发热》</w:t>
      </w:r>
    </w:p>
    <w:p w14:paraId="2106099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GB2706《高压电器动热稳定》</w:t>
      </w:r>
    </w:p>
    <w:p w14:paraId="53E31B4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GB2536《变压器油》</w:t>
      </w:r>
    </w:p>
    <w:p w14:paraId="1A3A49A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JB3268-83《有载分接开关》及相关IEC标准</w:t>
      </w:r>
    </w:p>
    <w:p w14:paraId="104BE0B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GB191《包装储运标志》</w:t>
      </w:r>
    </w:p>
    <w:p w14:paraId="0E0D7BB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GB/T7354局部放电测量</w:t>
      </w:r>
    </w:p>
    <w:p w14:paraId="6845565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GB11604高压电气设备无线电干扰测试方法</w:t>
      </w:r>
    </w:p>
    <w:p w14:paraId="6E43AD7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GB/T16434高压架空线路和发电厂、变电所环境污区分级及外绝缘选择标准</w:t>
      </w:r>
    </w:p>
    <w:p w14:paraId="3B4EF1F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GB/T16927.1高压试验技术：第一部分：一般试验要求</w:t>
      </w:r>
    </w:p>
    <w:p w14:paraId="746291C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GB/T16927.2高压试验技术：第二部分：测量系统</w:t>
      </w:r>
    </w:p>
    <w:p w14:paraId="7520939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GB10230有载分接开关</w:t>
      </w:r>
    </w:p>
    <w:p w14:paraId="2119238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GB/T5582高压电力设备外绝缘污秽等级</w:t>
      </w:r>
    </w:p>
    <w:p w14:paraId="7779BD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GB/T6451三相油浸式电力变压器技术参数和要求</w:t>
      </w:r>
    </w:p>
    <w:p w14:paraId="67ED6DE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GB/T13499电力变压器应用导则</w:t>
      </w:r>
    </w:p>
    <w:p w14:paraId="370B1B8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GB/T17468电力变压器选用导则</w:t>
      </w:r>
    </w:p>
    <w:p w14:paraId="255B8C6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4.4.1.2 技术要求</w:t>
      </w:r>
    </w:p>
    <w:p w14:paraId="515760E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（1）必须采用全新的电工铜（铜纯度必须在99.5%以上）铜绕组变压器。</w:t>
      </w:r>
    </w:p>
    <w:p w14:paraId="3CCFD73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（2）箱变箱体的防腐必须考虑室外风沙侵蚀及高温极端天气影响，确保25年使用寿命。</w:t>
      </w:r>
    </w:p>
    <w:p w14:paraId="0EB81E2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（3）箱变的外观设计要体现出美观、大方、颜色和谐、尽可能同光伏发电场区的环境相适应，颜色在中标后签订技术协议时确定。</w:t>
      </w:r>
    </w:p>
    <w:p w14:paraId="1AFF69D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（4）箱变的外观应设有“高压危险，请勿靠近”的标志，明显耐久、不可拆卸的铭牌。</w:t>
      </w:r>
    </w:p>
    <w:p w14:paraId="378E456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（5）箱变的门锁应采用防锈、防撬、专用挂锁。（通用电力机械挂锁）。</w:t>
      </w:r>
    </w:p>
    <w:p w14:paraId="30C2149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（6）箱式变电站的结构应保证工作人员的安全和便于运行、维护、检查、监视、检修和试验。</w:t>
      </w:r>
    </w:p>
    <w:p w14:paraId="30BC2D9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箱体必须防腐蚀、防尘、防潮、防凝露（加装隔热防护层，避免太阳暴晒下柜内温度急剧升高，影响电气设备的正常运行）。箱体必须都采用2.5mm厚度以上的热镀锌钢板、镀铝镁锌钢板或不锈钢板制作，箱体保证在正常环境温度下运行时，所有的电器设备的温度不超过其最高允许温升。箱体内设驱潮装置或抽湿机，保证内部元件不发生凝露。装置内部采用钢板及阻燃绝缘隔板严密分割成开关站、变压器室、低压室，高、低压室防护等级为IP54。箱变的冷却控制器（含温度测控）须设置在门边，满足运维人员巡检及手动启动冷却器安全操作距离要求。</w:t>
      </w:r>
    </w:p>
    <w:p w14:paraId="7F57B1A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箱体的顶部须采用SUS304及以上不锈钢材质，其他箱体材料可为SUS304及以上不锈钢或热镀锌钢；热镀锌钢防腐采用喷环氧富锌底漆防腐，不可选择简单的防腐处理，箱变所有门轴采用不锈钢材料（或镀镍产品）制作，金属材料经防腐处理后表面覆盖层应有牢固的附着力，并均匀一致。所有的防腐必须有耐腐蚀处理，应确保箱变的外壳及内部结构件25年不生锈。</w:t>
      </w:r>
    </w:p>
    <w:p w14:paraId="6A88E64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箱体的高压室和低压室必须密封处理，所采用的密封条必须是长寿命（10年以上）、高弹性产品，以确保箱体的防尘、防潮、防凝露。高压和低压的进出线电缆孔采用绝缘帽，并方便于密封。（电缆室穿线底板采用铝板或不锈钢板，防止产生电场应力对电缆造成破坏。高压电缆室穿线底板中间部位设置便于电缆穿过的穿线孔，穿线孔纵向排列，达到接线电缆相序不交叉的目的）。高压室和低压室温升达不到要求需安装高温排风装置，在环境温度高于45℃时自动启动排风装置，排风口应具有防尘措施。</w:t>
      </w:r>
    </w:p>
    <w:p w14:paraId="0FA0250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箱体外壳应有足够的机械强度，在起吊、运输和安装时不会变形或损伤；设计的外壳形状应不易积尘、积水；尽量少用外露紧固件，以免螺钉穿通外壳使水导入壳内；对穿通外壳的孔，均应采取相应的密封措施；外壳的盖和座若采用铰链联结，应将铰链设计在外壳的内侧，制成暗铰链。外壳应防水、防震、防腐、防尘。金属构件应有防锈处理和喷涂防护层。</w:t>
      </w:r>
    </w:p>
    <w:p w14:paraId="6699AF4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（11）箱体顶盖应有明显的散水坡度，不应小于5°，顶盖边沿应设有防雨和滴水檐。</w:t>
      </w:r>
    </w:p>
    <w:p w14:paraId="4B4A968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（12）柜内二次配线：采用乙烯树脂绝缘电线、铜芯，可动部分过渡柔软，并能承受住挠曲而不致疲劳损伤，柜内所有配线两端均有打印的线号。电流回路线芯不小于2.5mm2。</w:t>
      </w:r>
    </w:p>
    <w:p w14:paraId="234E017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（13）变压器的噪音水平在箱变外壳外0.3m不应大于50dB（冷却器和排风机都打开条件）。</w:t>
      </w:r>
    </w:p>
    <w:p w14:paraId="3978551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（14）接地壳体内部设接地铜排，壳体内所有需要接地的设备及外壳均应与铜排可靠连接。门及在正常运行条件下可抽出部分应保证在打开或隔离位置时仍可靠接地。</w:t>
      </w:r>
    </w:p>
    <w:p w14:paraId="143DE60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（15）高压室内门加装电磁锁，当高压侧带电时高压室内门不能打开。</w:t>
      </w:r>
    </w:p>
    <w:p w14:paraId="458AA96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（16）变压器低压侧内有测量三相电压、测量三相电流的回路，电流测量值转换为模拟信号；并将电压电流测量信号引至低压仓内的接线端子排上。低压侧配置数字式电流、电压表。</w:t>
      </w:r>
    </w:p>
    <w:p w14:paraId="79212E8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（17）组合式变压器进出线方式</w:t>
      </w:r>
    </w:p>
    <w:p w14:paraId="080C66A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由承包方根据实际接线情况确定，但要经建设单位确认。</w:t>
      </w:r>
    </w:p>
    <w:p w14:paraId="4E7B934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1）箱体门应附有主回路线路图、控制线路图、操作程序及注意事项。</w:t>
      </w:r>
    </w:p>
    <w:p w14:paraId="5F22029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2）母线宜采用绝缘母线，并设有安全防护措施。</w:t>
      </w:r>
    </w:p>
    <w:p w14:paraId="15AF78B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3）进出线应考虑电缆的安装位置和便于进行试验。</w:t>
      </w:r>
    </w:p>
    <w:p w14:paraId="6D37955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4）箱式变电站内部电气设备的装设位置应易于观察、操作及安全地更换。</w:t>
      </w:r>
    </w:p>
    <w:p w14:paraId="213EE05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5）变压器应装设温度计。</w:t>
      </w:r>
    </w:p>
    <w:p w14:paraId="62F2D33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6）高压室安装带电显示器，并设有安全防护装置。</w:t>
      </w:r>
    </w:p>
    <w:p w14:paraId="70832D7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7）高压室、低压室均有2个以上排风扇，并设有防雨罩。</w:t>
      </w:r>
    </w:p>
    <w:p w14:paraId="52CBCA1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8）箱变的高压柜具备可替换性，当设备故障时可用其他厂家设备替换；选用参照或相当于短名单品牌产品，实现就地/远控功能。</w:t>
      </w:r>
    </w:p>
    <w:p w14:paraId="0C0AB2E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9）箱变高压侧开关操作电源及现场监控装置电源宜取自厂用电母线（大UPS+小母线），或者配备UPS，满足远控操作、监控取电要求。</w:t>
      </w:r>
    </w:p>
    <w:p w14:paraId="5D9159A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箱式变压器尽量与预装式逆变房外形和颜色保持一致，具体由二次设备、高压柜、升压变压器、低压配电屏、通讯装置、内部连接线及外壳等几部分组成。低压配电屏、高压柜、变压器及其他各部分分别安装在相互独立的隔室内。</w:t>
      </w:r>
    </w:p>
    <w:p w14:paraId="2C6BD4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11）箱式变压器具有高压开关；高、低压均采用电缆进出线。</w:t>
      </w:r>
    </w:p>
    <w:p w14:paraId="24BB861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12）全部绕组均应采用铜导线或铜箔，铜导线优先采用半硬铜导线。树脂绝缘材料采用进口材料，采用耐热、高密度、灰分低的绝缘材料作为匝间绝缘，确保绕组内不发生局部放电和绝缘击穿。</w:t>
      </w:r>
    </w:p>
    <w:p w14:paraId="3BDC50A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13）10kV箱式变压器由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投标方</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采购和提供，</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投标方</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按照</w:t>
      </w:r>
      <w:r>
        <w:rPr>
          <w:rFonts w:hint="eastAsia" w:ascii="宋体" w:hAnsi="宋体" w:cs="Times New Roman"/>
          <w:szCs w:val="21"/>
          <w:highlight w:val="none"/>
        </w:rPr>
        <w:t>人</w:t>
      </w:r>
      <w:r>
        <w:rPr>
          <w:rFonts w:hint="eastAsia" w:ascii="宋体" w:hAnsi="宋体" w:eastAsia="宋体" w:cs="Times New Roman"/>
          <w:szCs w:val="21"/>
          <w:highlight w:val="none"/>
        </w:rPr>
        <w:t>技术要求完成10kV箱式变压器的现场保管、安装、接线、调试等工作。</w:t>
      </w:r>
    </w:p>
    <w:p w14:paraId="6FEA70D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14）箱变应配备智能测控装置</w:t>
      </w:r>
    </w:p>
    <w:p w14:paraId="4B155EFF">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 xml:space="preserve">4.5 </w:t>
      </w:r>
      <w:bookmarkStart w:id="64" w:name="_Toc19202"/>
      <w:bookmarkStart w:id="65" w:name="_Toc147849559"/>
      <w:bookmarkStart w:id="66" w:name="_Toc14288"/>
      <w:r>
        <w:rPr>
          <w:rFonts w:hint="eastAsia" w:ascii="宋体" w:hAnsi="宋体" w:eastAsia="宋体" w:cs="Times New Roman"/>
          <w:b/>
          <w:bCs/>
          <w:szCs w:val="21"/>
          <w:highlight w:val="none"/>
        </w:rPr>
        <w:t>电缆</w:t>
      </w:r>
      <w:bookmarkEnd w:id="64"/>
      <w:bookmarkEnd w:id="65"/>
      <w:bookmarkEnd w:id="66"/>
    </w:p>
    <w:p w14:paraId="57D6EAE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4.5.1 引用标准包括但不限于以下标准</w:t>
      </w:r>
    </w:p>
    <w:p w14:paraId="7392B38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GB/T2900.10电工术语电缆（IEC60050(461):1984,IDT）</w:t>
      </w:r>
    </w:p>
    <w:p w14:paraId="3DC2E0A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GB/T12706.1额定电压1kV(Um=1.2kV)到35kV(Um=40.5kV)挤包绝缘电力电缆及附件第1部分：额定电压1kV(Um=1.2kV)和3kV(Um=3.6kV)电缆</w:t>
      </w:r>
    </w:p>
    <w:p w14:paraId="3B72476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GB/T9330塑料绝缘控制电缆</w:t>
      </w:r>
    </w:p>
    <w:p w14:paraId="2A6B2F1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GB/T2423.17电工电子产品试验第2部分：试验方法试验Ka：盐雾</w:t>
      </w:r>
    </w:p>
    <w:p w14:paraId="49BFB5F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UL1581.1200电线电缆和软线参考标准</w:t>
      </w:r>
    </w:p>
    <w:p w14:paraId="3D2BA41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GB/T3956电缆的导体</w:t>
      </w:r>
    </w:p>
    <w:p w14:paraId="198D7CB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GB/T6995.3电线电缆识别标志第3部分电线电缆识别标志(IEC60227:1979)</w:t>
      </w:r>
    </w:p>
    <w:p w14:paraId="7CA69D0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GB/T18380.1电缆在火焰条件下的燃烧试验第1部分:单根绝缘电线或电缆的垂直燃烧试验方法</w:t>
      </w:r>
    </w:p>
    <w:p w14:paraId="796210C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JB/T8137电线电缆交货盘</w:t>
      </w:r>
    </w:p>
    <w:p w14:paraId="27BB1AA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GB/T19216在火焰条件下电缆或光缆的线路完整性试验</w:t>
      </w:r>
    </w:p>
    <w:p w14:paraId="0BD6E35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（2）低压交流动力电缆应至少满足以下要求:</w:t>
      </w:r>
    </w:p>
    <w:p w14:paraId="1927C4A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GB/T2951.1电缆绝缘和护套材料通用试验方法第1部分：通用试验方法</w:t>
      </w:r>
    </w:p>
    <w:p w14:paraId="77CBE95B">
      <w:pPr>
        <w:adjustRightInd w:val="0"/>
        <w:snapToGrid w:val="0"/>
        <w:spacing w:line="560" w:lineRule="exact"/>
        <w:ind w:firstLine="420" w:firstLineChars="200"/>
        <w:rPr>
          <w:rFonts w:ascii="宋体" w:hAnsi="宋体" w:eastAsia="宋体" w:cs="Times New Roman"/>
          <w:szCs w:val="21"/>
          <w:highlight w:val="none"/>
        </w:rPr>
      </w:pPr>
      <w:r>
        <w:rPr>
          <w:highlight w:val="none"/>
        </w:rPr>
        <w:fldChar w:fldCharType="begin"/>
      </w:r>
      <w:r>
        <w:rPr>
          <w:highlight w:val="none"/>
        </w:rPr>
        <w:instrText xml:space="preserve"> HYPERLINK "http://www.bzjsw.com/ziyuanxiazai/biaozhunxiazai/guojiabiaozhun/2009-5-7/112770.html" \t "F:/新能源/20231212/_blank" </w:instrText>
      </w:r>
      <w:r>
        <w:rPr>
          <w:highlight w:val="none"/>
        </w:rPr>
        <w:fldChar w:fldCharType="separate"/>
      </w:r>
      <w:r>
        <w:rPr>
          <w:rFonts w:hint="eastAsia" w:ascii="宋体" w:hAnsi="宋体" w:eastAsia="宋体" w:cs="Times New Roman"/>
          <w:szCs w:val="21"/>
          <w:highlight w:val="none"/>
        </w:rPr>
        <w:t>GB/T2952.1电缆外护层第1部分：总则</w:t>
      </w:r>
      <w:r>
        <w:rPr>
          <w:rFonts w:hint="eastAsia" w:ascii="宋体" w:hAnsi="宋体" w:eastAsia="宋体" w:cs="Times New Roman"/>
          <w:szCs w:val="21"/>
          <w:highlight w:val="none"/>
        </w:rPr>
        <w:fldChar w:fldCharType="end"/>
      </w:r>
    </w:p>
    <w:p w14:paraId="121017F9">
      <w:pPr>
        <w:adjustRightInd w:val="0"/>
        <w:snapToGrid w:val="0"/>
        <w:spacing w:line="560" w:lineRule="exact"/>
        <w:ind w:firstLine="420" w:firstLineChars="200"/>
        <w:rPr>
          <w:rFonts w:ascii="宋体" w:hAnsi="宋体" w:eastAsia="宋体" w:cs="Times New Roman"/>
          <w:szCs w:val="21"/>
          <w:highlight w:val="none"/>
        </w:rPr>
      </w:pPr>
      <w:r>
        <w:rPr>
          <w:highlight w:val="none"/>
        </w:rPr>
        <w:fldChar w:fldCharType="begin"/>
      </w:r>
      <w:r>
        <w:rPr>
          <w:highlight w:val="none"/>
        </w:rPr>
        <w:instrText xml:space="preserve"> HYPERLINK "http://www.bzjsw.com/ziyuanxiazai/biaozhunxiazai/guojiabiaozhun/2009-4-18/112445.html" \t "F:/新能源/20231212/_blank" </w:instrText>
      </w:r>
      <w:r>
        <w:rPr>
          <w:highlight w:val="none"/>
        </w:rPr>
        <w:fldChar w:fldCharType="separate"/>
      </w:r>
      <w:r>
        <w:rPr>
          <w:rFonts w:hint="eastAsia" w:ascii="宋体" w:hAnsi="宋体" w:eastAsia="宋体" w:cs="Times New Roman"/>
          <w:szCs w:val="21"/>
          <w:highlight w:val="none"/>
        </w:rPr>
        <w:t>GB/T2952.2电缆外护层第2部分：金属套电缆外护层</w:t>
      </w:r>
      <w:r>
        <w:rPr>
          <w:rFonts w:hint="eastAsia" w:ascii="宋体" w:hAnsi="宋体" w:eastAsia="宋体" w:cs="Times New Roman"/>
          <w:szCs w:val="21"/>
          <w:highlight w:val="none"/>
        </w:rPr>
        <w:fldChar w:fldCharType="end"/>
      </w:r>
    </w:p>
    <w:p w14:paraId="57AD29DB">
      <w:pPr>
        <w:adjustRightInd w:val="0"/>
        <w:snapToGrid w:val="0"/>
        <w:spacing w:line="560" w:lineRule="exact"/>
        <w:ind w:firstLine="420" w:firstLineChars="200"/>
        <w:rPr>
          <w:rFonts w:ascii="宋体" w:hAnsi="宋体" w:eastAsia="宋体" w:cs="Times New Roman"/>
          <w:szCs w:val="21"/>
          <w:highlight w:val="none"/>
        </w:rPr>
      </w:pPr>
      <w:r>
        <w:rPr>
          <w:highlight w:val="none"/>
        </w:rPr>
        <w:fldChar w:fldCharType="begin"/>
      </w:r>
      <w:r>
        <w:rPr>
          <w:highlight w:val="none"/>
        </w:rPr>
        <w:instrText xml:space="preserve"> HYPERLINK "http://www.bzjsw.com/ziyuanxiazai/biaozhunxiazai/guojiabiaozhun/2009-5-7/112771.html" \t "F:/新能源/20231212/_blank" </w:instrText>
      </w:r>
      <w:r>
        <w:rPr>
          <w:highlight w:val="none"/>
        </w:rPr>
        <w:fldChar w:fldCharType="separate"/>
      </w:r>
      <w:r>
        <w:rPr>
          <w:rFonts w:hint="eastAsia" w:ascii="宋体" w:hAnsi="宋体" w:eastAsia="宋体" w:cs="Times New Roman"/>
          <w:szCs w:val="21"/>
          <w:highlight w:val="none"/>
        </w:rPr>
        <w:t>GB/T2952.3电缆外护层第3部分：非金属套电缆通用外护层</w:t>
      </w:r>
      <w:r>
        <w:rPr>
          <w:rFonts w:hint="eastAsia" w:ascii="宋体" w:hAnsi="宋体" w:eastAsia="宋体" w:cs="Times New Roman"/>
          <w:szCs w:val="21"/>
          <w:highlight w:val="none"/>
        </w:rPr>
        <w:fldChar w:fldCharType="end"/>
      </w:r>
    </w:p>
    <w:p w14:paraId="3A69F57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GB/T3048.8</w:t>
      </w:r>
      <w:r>
        <w:rPr>
          <w:highlight w:val="none"/>
        </w:rPr>
        <w:fldChar w:fldCharType="begin"/>
      </w:r>
      <w:r>
        <w:rPr>
          <w:highlight w:val="none"/>
        </w:rPr>
        <w:instrText xml:space="preserve"> HYPERLINK "javascript:GetBzMxAndShow(" </w:instrText>
      </w:r>
      <w:r>
        <w:rPr>
          <w:highlight w:val="none"/>
        </w:rPr>
        <w:fldChar w:fldCharType="separate"/>
      </w:r>
      <w:r>
        <w:rPr>
          <w:rFonts w:hint="eastAsia" w:ascii="宋体" w:hAnsi="宋体" w:eastAsia="宋体" w:cs="Times New Roman"/>
          <w:szCs w:val="21"/>
          <w:highlight w:val="none"/>
        </w:rPr>
        <w:t>电线电缆电性能试验方法第8部分：交流电压试验</w:t>
      </w:r>
      <w:r>
        <w:rPr>
          <w:rFonts w:hint="eastAsia" w:ascii="宋体" w:hAnsi="宋体" w:eastAsia="宋体" w:cs="Times New Roman"/>
          <w:szCs w:val="21"/>
          <w:highlight w:val="none"/>
        </w:rPr>
        <w:fldChar w:fldCharType="end"/>
      </w:r>
    </w:p>
    <w:p w14:paraId="6DDCBF6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GB/T3956电缆的导体</w:t>
      </w:r>
    </w:p>
    <w:p w14:paraId="4F57370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GB/T6995.3电线电缆识别标志方法第3部分：电线电缆识别标志</w:t>
      </w:r>
    </w:p>
    <w:p w14:paraId="5E38E7C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GB/T12706.1额定电压1kV(Um=1.2kV)～35kV(Um=40.5kV)挤包绝缘电力电缆及附件第1部分：额定电压1kV(Um=1.2kV)和3kV(Um=3.6kV)电缆</w:t>
      </w:r>
    </w:p>
    <w:p w14:paraId="6B9303C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GB/T18380.3</w:t>
      </w:r>
      <w:r>
        <w:rPr>
          <w:highlight w:val="none"/>
        </w:rPr>
        <w:fldChar w:fldCharType="begin"/>
      </w:r>
      <w:r>
        <w:rPr>
          <w:highlight w:val="none"/>
        </w:rPr>
        <w:instrText xml:space="preserve"> HYPERLINK "javascript:GetBzMxAndShow(" </w:instrText>
      </w:r>
      <w:r>
        <w:rPr>
          <w:highlight w:val="none"/>
        </w:rPr>
        <w:fldChar w:fldCharType="separate"/>
      </w:r>
      <w:r>
        <w:rPr>
          <w:rFonts w:hint="eastAsia" w:ascii="宋体" w:hAnsi="宋体" w:eastAsia="宋体" w:cs="Times New Roman"/>
          <w:szCs w:val="21"/>
          <w:highlight w:val="none"/>
        </w:rPr>
        <w:t>电缆在火焰条件下的燃烧试验第3部分：成束电线或电缆的燃烧试验方法</w:t>
      </w:r>
      <w:r>
        <w:rPr>
          <w:rFonts w:hint="eastAsia" w:ascii="宋体" w:hAnsi="宋体" w:eastAsia="宋体" w:cs="Times New Roman"/>
          <w:szCs w:val="21"/>
          <w:highlight w:val="none"/>
        </w:rPr>
        <w:fldChar w:fldCharType="end"/>
      </w:r>
    </w:p>
    <w:p w14:paraId="7D7915A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GB/T19216.21在火焰条件下电缆或光缆的线路完整性试验第21部分：试验步骤和要求额定电压0.6/1.0kV及以下电缆</w:t>
      </w:r>
    </w:p>
    <w:p w14:paraId="5A1FDE6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GB/T19666阻燃和耐火电线电缆通则</w:t>
      </w:r>
    </w:p>
    <w:p w14:paraId="7170C2E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GB50217电力工程电缆设计规范</w:t>
      </w:r>
    </w:p>
    <w:p w14:paraId="3D0D566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GB50054低压配电设计规范</w:t>
      </w:r>
    </w:p>
    <w:p w14:paraId="7F36A9A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JB/T8137电线电缆交货盘</w:t>
      </w:r>
    </w:p>
    <w:p w14:paraId="6AE76FF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GA306.1阻燃及耐火电缆塑料绝缘阻燃及耐火电缆分级和要求第1部分：阻燃电缆</w:t>
      </w:r>
    </w:p>
    <w:p w14:paraId="5206FF5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GA306.2阻燃及耐火电缆塑料绝缘阻燃及耐火电缆分级和要求第2部分：耐火电缆</w:t>
      </w:r>
    </w:p>
    <w:p w14:paraId="09CA6E4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（3）10kV动力电缆至少应满足以下标准要求：</w:t>
      </w:r>
    </w:p>
    <w:p w14:paraId="0247C62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IEC60287</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电缆载流量计算</w:t>
      </w:r>
    </w:p>
    <w:p w14:paraId="0B65DC0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IEC60332</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电缆在火焰条件下的燃烧试验</w:t>
      </w:r>
    </w:p>
    <w:p w14:paraId="62309A0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IEC60502-2</w:t>
      </w:r>
      <w:r>
        <w:rPr>
          <w:rFonts w:hint="eastAsia" w:ascii="宋体" w:hAnsi="宋体" w:eastAsia="宋体" w:cs="Times New Roman"/>
          <w:szCs w:val="21"/>
          <w:highlight w:val="none"/>
        </w:rPr>
        <w:tab/>
      </w:r>
      <w:r>
        <w:rPr>
          <w:rFonts w:hint="eastAsia" w:ascii="宋体" w:hAnsi="宋体" w:eastAsia="宋体" w:cs="Times New Roman"/>
          <w:szCs w:val="21"/>
          <w:highlight w:val="none"/>
        </w:rPr>
        <w:t>额定电压1～30kV挤包绝缘电力电缆及其附件第二部分：额定电压6～30kV电缆</w:t>
      </w:r>
    </w:p>
    <w:p w14:paraId="4DE0D6A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GB/T311.1</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高压输变电设备的绝缘配合</w:t>
      </w:r>
    </w:p>
    <w:p w14:paraId="1D24B22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GB/T311.2</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绝缘配合第2部分:高压输变电设备的绝缘配合使用导则</w:t>
      </w:r>
    </w:p>
    <w:p w14:paraId="205EF5C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GB/T2951</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电缆绝缘和护套材料通用试验方法</w:t>
      </w:r>
    </w:p>
    <w:p w14:paraId="366FC08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GB/T2951.38</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电线电缆白蚁试验方法</w:t>
      </w:r>
    </w:p>
    <w:p w14:paraId="753522E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GB/T2952.1～2</w:t>
      </w:r>
      <w:r>
        <w:rPr>
          <w:rFonts w:hint="eastAsia" w:ascii="宋体" w:hAnsi="宋体" w:eastAsia="宋体" w:cs="Times New Roman"/>
          <w:szCs w:val="21"/>
          <w:highlight w:val="none"/>
        </w:rPr>
        <w:tab/>
      </w:r>
      <w:r>
        <w:rPr>
          <w:rFonts w:hint="eastAsia" w:ascii="宋体" w:hAnsi="宋体" w:eastAsia="宋体" w:cs="Times New Roman"/>
          <w:szCs w:val="21"/>
          <w:highlight w:val="none"/>
        </w:rPr>
        <w:t>电缆外护层</w:t>
      </w:r>
    </w:p>
    <w:p w14:paraId="1E8DE40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GB/T3048.4</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电线电缆电性能试验方法导体直流电阻试验</w:t>
      </w:r>
    </w:p>
    <w:p w14:paraId="67FDBD6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GB/T3048.8</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电线电缆电性能试验方法交流电压试验</w:t>
      </w:r>
    </w:p>
    <w:p w14:paraId="27FA33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GB/T3048.11</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电线电缆电性能试验方法介质损失角正切试验</w:t>
      </w:r>
    </w:p>
    <w:p w14:paraId="2BD34C9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GB/T3048.12</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电线电缆电性能试验方法局部放电试验</w:t>
      </w:r>
    </w:p>
    <w:p w14:paraId="57F7AFD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GB/T3048.13</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电线电缆冲击电压试验方法</w:t>
      </w:r>
    </w:p>
    <w:p w14:paraId="6AE94E5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GB/T3048.14</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电线电缆直流电压试验方法</w:t>
      </w:r>
    </w:p>
    <w:p w14:paraId="4031673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GB/T3953</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电工圆铜线</w:t>
      </w:r>
    </w:p>
    <w:p w14:paraId="2F1E762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GB/T3956</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电缆的导体</w:t>
      </w:r>
    </w:p>
    <w:p w14:paraId="0E4DBA9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GB/T6995.1～5</w:t>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电线电缆识别标志</w:t>
      </w:r>
    </w:p>
    <w:p w14:paraId="112BB27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GB/T16927.1</w:t>
      </w:r>
      <w:r>
        <w:rPr>
          <w:rFonts w:hint="eastAsia" w:ascii="宋体" w:hAnsi="宋体" w:eastAsia="宋体" w:cs="Times New Roman"/>
          <w:szCs w:val="21"/>
          <w:highlight w:val="none"/>
        </w:rPr>
        <w:tab/>
      </w:r>
      <w:r>
        <w:rPr>
          <w:rFonts w:hint="eastAsia" w:ascii="宋体" w:hAnsi="宋体" w:eastAsia="宋体" w:cs="Times New Roman"/>
          <w:szCs w:val="21"/>
          <w:highlight w:val="none"/>
        </w:rPr>
        <w:t>高电压试验技术第1部分：一般试验要求</w:t>
      </w:r>
    </w:p>
    <w:p w14:paraId="4F1B9B2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GB/T19666</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阻燃和耐火电线电缆通则</w:t>
      </w:r>
    </w:p>
    <w:p w14:paraId="08B9C7D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GB/T17650.2</w:t>
      </w:r>
      <w:r>
        <w:rPr>
          <w:rFonts w:hint="eastAsia" w:ascii="宋体" w:hAnsi="宋体" w:eastAsia="宋体" w:cs="Times New Roman"/>
          <w:szCs w:val="21"/>
          <w:highlight w:val="none"/>
        </w:rPr>
        <w:tab/>
      </w:r>
      <w:r>
        <w:rPr>
          <w:rFonts w:hint="eastAsia" w:ascii="宋体" w:hAnsi="宋体" w:eastAsia="宋体" w:cs="Times New Roman"/>
          <w:szCs w:val="21"/>
          <w:highlight w:val="none"/>
        </w:rPr>
        <w:t>取自电缆或光缆的材料燃烧时释放气体的试验方法</w:t>
      </w:r>
    </w:p>
    <w:p w14:paraId="26B386C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GB/T17651.2</w:t>
      </w:r>
      <w:r>
        <w:rPr>
          <w:rFonts w:hint="eastAsia" w:ascii="宋体" w:hAnsi="宋体" w:eastAsia="宋体" w:cs="Times New Roman"/>
          <w:szCs w:val="21"/>
          <w:highlight w:val="none"/>
        </w:rPr>
        <w:tab/>
      </w:r>
      <w:r>
        <w:rPr>
          <w:rFonts w:hint="eastAsia" w:ascii="宋体" w:hAnsi="宋体" w:eastAsia="宋体" w:cs="Times New Roman"/>
          <w:szCs w:val="21"/>
          <w:highlight w:val="none"/>
        </w:rPr>
        <w:t>电缆或光缆的特定条件下燃烧的烟密度测定</w:t>
      </w:r>
    </w:p>
    <w:p w14:paraId="5182B28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GB/T18380</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电缆在火焰条件下的燃烧试验</w:t>
      </w:r>
    </w:p>
    <w:p w14:paraId="528821E9">
      <w:pPr>
        <w:adjustRightInd w:val="0"/>
        <w:snapToGrid w:val="0"/>
        <w:spacing w:line="560" w:lineRule="exact"/>
        <w:ind w:left="1680" w:leftChars="200" w:hanging="1260" w:hangingChars="600"/>
        <w:rPr>
          <w:rFonts w:ascii="宋体" w:hAnsi="宋体" w:eastAsia="宋体" w:cs="Times New Roman"/>
          <w:szCs w:val="21"/>
          <w:highlight w:val="none"/>
        </w:rPr>
      </w:pPr>
      <w:r>
        <w:rPr>
          <w:rFonts w:hint="eastAsia" w:ascii="宋体" w:hAnsi="宋体" w:eastAsia="宋体" w:cs="Times New Roman"/>
          <w:szCs w:val="21"/>
          <w:highlight w:val="none"/>
        </w:rPr>
        <w:t>GB/T12706.2</w:t>
      </w:r>
      <w:r>
        <w:rPr>
          <w:rFonts w:hint="eastAsia" w:ascii="宋体" w:hAnsi="宋体" w:eastAsia="宋体" w:cs="Times New Roman"/>
          <w:szCs w:val="21"/>
          <w:highlight w:val="none"/>
        </w:rPr>
        <w:tab/>
      </w:r>
      <w:r>
        <w:rPr>
          <w:rFonts w:hint="eastAsia" w:ascii="宋体" w:hAnsi="宋体" w:eastAsia="宋体" w:cs="Times New Roman"/>
          <w:szCs w:val="21"/>
          <w:highlight w:val="none"/>
        </w:rPr>
        <w:t>额定电压1kV(Um=1.2kV)～35kV(Um=40.5kV)挤包绝缘电力电缆及附件第二部分：额定电压6kV(Um=7.2kV)～30kV(Um=36kV)电缆</w:t>
      </w:r>
    </w:p>
    <w:p w14:paraId="46D76E5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DL/T401</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高压电缆选用导则</w:t>
      </w:r>
    </w:p>
    <w:p w14:paraId="5677AD1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DL/T5221</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城市电力电缆线路设计技术规定</w:t>
      </w:r>
    </w:p>
    <w:p w14:paraId="259AEA4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JB5268.2</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电缆金属套铅套</w:t>
      </w:r>
    </w:p>
    <w:p w14:paraId="294F362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JB/T8137.4</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电线电缆交货盘型钢复合结构交货盘</w:t>
      </w:r>
    </w:p>
    <w:p w14:paraId="4FD414D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JB/T10181.1～6</w:t>
      </w:r>
      <w:r>
        <w:rPr>
          <w:rFonts w:hint="eastAsia" w:ascii="宋体" w:hAnsi="宋体" w:eastAsia="宋体" w:cs="Times New Roman"/>
          <w:szCs w:val="21"/>
          <w:highlight w:val="none"/>
        </w:rPr>
        <w:tab/>
      </w:r>
      <w:r>
        <w:rPr>
          <w:rFonts w:hint="eastAsia" w:ascii="宋体" w:hAnsi="宋体" w:eastAsia="宋体" w:cs="Times New Roman"/>
          <w:szCs w:val="21"/>
          <w:highlight w:val="none"/>
        </w:rPr>
        <w:t>电缆载流量计算</w:t>
      </w:r>
    </w:p>
    <w:p w14:paraId="7EC6F14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YB/T024</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铠装电缆用钢带</w:t>
      </w:r>
    </w:p>
    <w:p w14:paraId="1E047B3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SH0001</w:t>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ab/>
      </w:r>
      <w:r>
        <w:rPr>
          <w:rFonts w:hint="eastAsia" w:ascii="宋体" w:hAnsi="宋体" w:eastAsia="宋体" w:cs="Times New Roman"/>
          <w:szCs w:val="21"/>
          <w:highlight w:val="none"/>
        </w:rPr>
        <w:t>电缆沥青</w:t>
      </w:r>
    </w:p>
    <w:p w14:paraId="54F353B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Q/CSG10012 中国南方电网城市配电网技术导则</w:t>
      </w:r>
    </w:p>
    <w:p w14:paraId="4009926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Q/CSG107031 10kV及以下配电网装备技术导则</w:t>
      </w:r>
    </w:p>
    <w:p w14:paraId="76E79C1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南方电网公司10kV线路电缆技术规范</w:t>
      </w:r>
    </w:p>
    <w:p w14:paraId="09CF5C9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10kV电缆选型还应该满足南方电网10kV配网工程典型设计的要求。</w:t>
      </w:r>
    </w:p>
    <w:p w14:paraId="14C91C8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4.5.2 电力电缆</w:t>
      </w:r>
    </w:p>
    <w:p w14:paraId="755951B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（1）供配电电缆允许载流量不小于供电线路的计算电流；</w:t>
      </w:r>
    </w:p>
    <w:p w14:paraId="6990683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（2）供电距离较远、输送容量较大的供配电线路，校验正常和异常运行情况下用电设备受电端电压偏差，不得超过允许值；</w:t>
      </w:r>
    </w:p>
    <w:p w14:paraId="19970B5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（3）电缆截面满足允许温升、电压损失、机械强度等要求，电缆线路还在最大短路电流作用时间产生的热效，满足热稳定条件；</w:t>
      </w:r>
    </w:p>
    <w:p w14:paraId="16D0B35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低压导线与电缆截面的选择，按通过线路的半小时最大计算负荷电流、经济电流密度及敷设条件校正系数选择，按允许电压降进行校验。还需要与线路保护装置配合，电缆的载流量大于出线断路器的整定值。</w:t>
      </w:r>
    </w:p>
    <w:p w14:paraId="659D7F7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对于10kV等中压常用电缆按短路电流热稳定条件和持续工作电流确定允许最小缆芯截面时，按下列使用条件差异影响计入校正系数所确定的允许载流量：环境温度差异、直埋敷设时土壤热阻系数差异、电缆多根并列的影响、户外架空敷设无遮阳时的日照影响。</w:t>
      </w:r>
    </w:p>
    <w:p w14:paraId="6886B93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（6）10KV动力电缆采用阻燃交联聚乙烯绝缘聚氯乙烯护套铜芯铠装电力电缆（ZR-YJV22-8.7/15kV）。最小截面满足相关标准热稳定、动稳定的要求，最大截面不大于240 mm2。</w:t>
      </w:r>
    </w:p>
    <w:p w14:paraId="00087C2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（7）0.4KV动力电缆采用阻燃交联聚乙烯绝缘聚氯乙烯护套铜芯铠装电力电缆（ZR-YJV22-0.6/1kV）。电缆最小截面4mm2。最小截面满足相关标准热稳定、动稳定的要求且大于等于4mm2，最大截面不大于240 mm2。</w:t>
      </w:r>
    </w:p>
    <w:p w14:paraId="643ADF1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（8）控制电缆采用阻燃控制电缆(ZR-KVVP22-0.45/0.75kV)。控制电缆最小导体截面为1.5mm2。</w:t>
      </w:r>
    </w:p>
    <w:p w14:paraId="6903F6E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4.5.3 光伏线缆</w:t>
      </w:r>
    </w:p>
    <w:p w14:paraId="39CDB0B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（1）光伏电缆应至少满足以下标准要求，寿命不低于25年：</w:t>
      </w:r>
    </w:p>
    <w:p w14:paraId="67439AC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（2）光伏专用电缆要求能在恶劣环境条件下使用，具备抗臭氧、抗紫外线、耐酸碱、耐高温、耐严寒、耐凹痕、无卤、阻燃等特性。</w:t>
      </w:r>
    </w:p>
    <w:p w14:paraId="694CB06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光伏专用电缆应具有良好的耐紫外线，抵御恶劣气候环境和经受机械冲击;②具备良好的抗臭氧和耐化学腐蚀特性;③承受温差变化大，一般从-40℃～120℃，最高温度甚至超过150℃,通常-40℃-90℃;④具备良好耐湿热(90℃，85%湿度，1000h)性能;⑤良好低温卷绕和低温弯曲性能;⑥具备阻燃性能和低烟无卤性能;⑦通过耐凹痕、热收缩、动态穿透试验;⑧较长使用寿命，120℃工作条件下，要求正常使用寿命超过25年。</w:t>
      </w:r>
    </w:p>
    <w:p w14:paraId="69ED567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（4）光伏专用电缆具有UL或TUV认证；</w:t>
      </w:r>
    </w:p>
    <w:p w14:paraId="57F1255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（5）交直流电力电缆需满足耐候，阻燃及耐机械冲击要求。</w:t>
      </w:r>
    </w:p>
    <w:p w14:paraId="53AE3BC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所有电缆需采用多股铜芯电缆。</w:t>
      </w:r>
    </w:p>
    <w:p w14:paraId="13855A0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（6）组件引出线电缆</w:t>
      </w:r>
    </w:p>
    <w:p w14:paraId="673005F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1）每块太阳电池组件应带有正负出线、正负极连接头和旁路二极管。</w:t>
      </w:r>
    </w:p>
    <w:p w14:paraId="39F1E03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太阳电池组件自带的电缆满足抗紫外线、抗老化、抗高温、防腐蚀和阻燃等性能要求，选用双绝缘防紫外线阻燃铜芯电缆，电缆性能符合GB/T18950-2003性能测试的要求，应满足系统电压，载流能力，潮湿位置、温度和耐日照的要求。</w:t>
      </w:r>
    </w:p>
    <w:p w14:paraId="3848A5A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3）电缆规格为截面面积不小于4mm2，正负极引出线电缆长度均不小于产品规定的尺寸要求。</w:t>
      </w:r>
    </w:p>
    <w:p w14:paraId="3830810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4）太阳电池组件使用工业防水耐温快速接插件，接插件防锈、防腐蚀等性能要求，并满足符合相关国家和行业规范规程，满足不少于25年室外使用的要求，应具备TUV认证。</w:t>
      </w:r>
    </w:p>
    <w:p w14:paraId="50B2D89F">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4.6 运维通道</w:t>
      </w:r>
    </w:p>
    <w:p w14:paraId="759CD24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光伏组件排布设计时，必须每排组件留一个通道，每排组件之间留不小于150mm通道；体现到排布形式，具体如下：</w:t>
      </w:r>
    </w:p>
    <w:p w14:paraId="1523BBEF">
      <w:pPr>
        <w:adjustRightInd w:val="0"/>
        <w:snapToGrid w:val="0"/>
        <w:spacing w:line="5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混凝土屋顶运维通道设计原则：组件阵列之间需要预留防阴影遮挡间距，避免前排遮挡后排方阵组件。并且要保证前后排间距不小于0.5米的运维通道，见下图；屋顶四周考虑女儿墙阴影及维护通道。单屋面各运维通道、水管、线槽等统一布置，线槽应和运维通道布置在一起。</w:t>
      </w:r>
    </w:p>
    <w:p w14:paraId="07D90A5B">
      <w:pPr>
        <w:bidi w:val="0"/>
      </w:pPr>
      <w:r>
        <w:rPr>
          <w:highlight w:val="none"/>
        </w:rPr>
        <w:drawing>
          <wp:inline distT="0" distB="0" distL="114300" distR="114300">
            <wp:extent cx="3082925" cy="2458720"/>
            <wp:effectExtent l="0" t="0" r="17780" b="3175"/>
            <wp:docPr id="1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1"/>
                    <pic:cNvPicPr>
                      <a:picLocks noChangeAspect="1"/>
                    </pic:cNvPicPr>
                  </pic:nvPicPr>
                  <pic:blipFill>
                    <a:blip r:embed="rId5"/>
                    <a:stretch>
                      <a:fillRect/>
                    </a:stretch>
                  </pic:blipFill>
                  <pic:spPr>
                    <a:xfrm rot="5400000">
                      <a:off x="0" y="0"/>
                      <a:ext cx="3082925" cy="2458720"/>
                    </a:xfrm>
                    <a:prstGeom prst="rect">
                      <a:avLst/>
                    </a:prstGeom>
                    <a:noFill/>
                    <a:ln>
                      <a:noFill/>
                    </a:ln>
                  </pic:spPr>
                </pic:pic>
              </a:graphicData>
            </a:graphic>
          </wp:inline>
        </w:drawing>
      </w:r>
      <w:bookmarkStart w:id="131" w:name="_GoBack"/>
      <w:bookmarkEnd w:id="131"/>
    </w:p>
    <w:p w14:paraId="2D823AFB">
      <w:pPr>
        <w:adjustRightInd w:val="0"/>
        <w:snapToGrid w:val="0"/>
        <w:spacing w:line="560" w:lineRule="exact"/>
        <w:ind w:firstLine="420" w:firstLineChars="200"/>
        <w:jc w:val="center"/>
        <w:rPr>
          <w:szCs w:val="21"/>
          <w:highlight w:val="none"/>
        </w:rPr>
      </w:pPr>
    </w:p>
    <w:p w14:paraId="73B8674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光伏组件排布设计时，组件阵列前后排间的阴影间距设计符合相关规范。东西相邻平行串组件之间每30-40米需要预留一个运维通道，运维通道间距不小于1米。女儿墙与组件阵列间运维通道间距不小于1米，同时女儿墙阴影范围要符合规范要求。</w:t>
      </w:r>
    </w:p>
    <w:p w14:paraId="7B4D32B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（3）运维通道采用防滑花纹板，通过螺栓固定铝合金压块方式安装（可参考光伏组件安装方式）</w:t>
      </w:r>
    </w:p>
    <w:p w14:paraId="7F745716">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4.7 清洗系统</w:t>
      </w:r>
    </w:p>
    <w:p w14:paraId="69F440E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考虑到后期清洗，每个光伏屋面需设计上水冲洗系统，要求在组件排布位置安装水龙头，并配置相应的计量水表。用水取自附近水源点；取水点应设置增压泵，出口压力可调节，最小出口压力要保证三个终端同时开启时冲洗压力大于0.2MPa，泵入口设置可拆卸式滤网保证冲洗水不含杂质。</w:t>
      </w:r>
    </w:p>
    <w:p w14:paraId="1CA5300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4.7.1布置原则</w:t>
      </w:r>
    </w:p>
    <w:p w14:paraId="23BEF1E7">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水管拖长不超过25米且不能放在组件板上，只能走通道。以南、北两屋面，屋面边缘和气楼边上均有东西走向运维通道，南北方向每隔8块组件有运维通道为例，在各屋面光伏方阵南北两通道（在屋面边缘和气楼边上，实际是东西走向）之间的距离在不超过25米的情况下，在气楼边上的通道与南北走向每个通道交汇处留一水龙头；如果各屋面光伏方阵南北两通道之间的距离在超过25米的情况下，应在南北两通道每隔10米处留一水龙头。</w:t>
      </w:r>
    </w:p>
    <w:p w14:paraId="2456380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其他方向的规则屋面参照上述方法，确保水管拖长不超过25米。</w:t>
      </w:r>
    </w:p>
    <w:p w14:paraId="0F93F7E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对于不规则屋顶，请按照水管拖长不超过25米且不能放在组件板上，只能以沿通道布置的原则来布置水龙头。</w:t>
      </w:r>
    </w:p>
    <w:p w14:paraId="056E60B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4.7.2 材质要求</w:t>
      </w:r>
    </w:p>
    <w:p w14:paraId="105F721E">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所有的冲洗水管需采用</w:t>
      </w:r>
      <w:r>
        <w:rPr>
          <w:rFonts w:hint="eastAsia" w:ascii="宋体" w:hAnsi="宋体" w:cs="Times New Roman"/>
          <w:szCs w:val="21"/>
          <w:highlight w:val="none"/>
        </w:rPr>
        <w:t>镀锌钢塑管</w:t>
      </w:r>
      <w:r>
        <w:rPr>
          <w:rFonts w:hint="eastAsia" w:ascii="宋体" w:hAnsi="宋体" w:eastAsia="宋体" w:cs="Times New Roman"/>
          <w:szCs w:val="21"/>
          <w:highlight w:val="none"/>
        </w:rPr>
        <w:t>，管径需根据水压、出水量设计；所有的水龙头的材质也应与冲洗水管材质相一致；水龙头需有接外接水管卡口；所有的水管必须进行可靠的固定，不得出现松动、滑落、下挠等情况；冲水系统材质需满足25年使用要求。</w:t>
      </w:r>
    </w:p>
    <w:p w14:paraId="5A0C9C64">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 xml:space="preserve">4.8 </w:t>
      </w:r>
      <w:bookmarkStart w:id="67" w:name="_Toc78411759"/>
      <w:bookmarkStart w:id="68" w:name="_Toc9913"/>
      <w:bookmarkStart w:id="69" w:name="_Toc493659302"/>
      <w:bookmarkStart w:id="70" w:name="_Toc11971"/>
      <w:bookmarkStart w:id="71" w:name="_Toc14863"/>
      <w:bookmarkStart w:id="72" w:name="_Toc30474"/>
      <w:r>
        <w:rPr>
          <w:rFonts w:hint="eastAsia" w:ascii="宋体" w:hAnsi="宋体" w:eastAsia="宋体" w:cs="Times New Roman"/>
          <w:b/>
          <w:bCs/>
          <w:szCs w:val="21"/>
          <w:highlight w:val="none"/>
        </w:rPr>
        <w:t>安全及保护配置</w:t>
      </w:r>
      <w:bookmarkEnd w:id="67"/>
      <w:bookmarkEnd w:id="68"/>
      <w:bookmarkEnd w:id="69"/>
      <w:bookmarkEnd w:id="70"/>
      <w:bookmarkEnd w:id="71"/>
      <w:bookmarkEnd w:id="72"/>
    </w:p>
    <w:p w14:paraId="192D2F9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本分布式光伏系统的安全与保护须符合《分布式光伏发电系统接入电网技术规范》（Q/CSG1211001）和《光伏发电并网技术标准》（Q/CSG1211006）的要求。</w:t>
      </w:r>
    </w:p>
    <w:p w14:paraId="3115BCB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在施工设计阶段，</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需提供继电保护、电能质量监测、测控整定计算书。</w:t>
      </w:r>
      <w:bookmarkStart w:id="73" w:name="_Toc493659303"/>
    </w:p>
    <w:p w14:paraId="2D95D628">
      <w:pPr>
        <w:adjustRightInd w:val="0"/>
        <w:snapToGrid w:val="0"/>
        <w:spacing w:line="560" w:lineRule="exact"/>
        <w:ind w:firstLine="422" w:firstLineChars="200"/>
        <w:rPr>
          <w:rFonts w:ascii="宋体" w:hAnsi="宋体" w:eastAsia="宋体" w:cs="Times New Roman"/>
          <w:b/>
          <w:bCs/>
          <w:szCs w:val="21"/>
          <w:highlight w:val="none"/>
        </w:rPr>
      </w:pPr>
      <w:bookmarkStart w:id="74" w:name="_Toc26917"/>
      <w:bookmarkStart w:id="75" w:name="_Toc26890"/>
      <w:bookmarkStart w:id="76" w:name="_Toc78411760"/>
      <w:bookmarkStart w:id="77" w:name="_Toc18753"/>
      <w:bookmarkStart w:id="78" w:name="_Toc32046"/>
      <w:r>
        <w:rPr>
          <w:rFonts w:hint="eastAsia" w:ascii="宋体" w:hAnsi="宋体" w:eastAsia="宋体" w:cs="Times New Roman"/>
          <w:b/>
          <w:bCs/>
          <w:szCs w:val="21"/>
          <w:highlight w:val="none"/>
        </w:rPr>
        <w:t>4.9电能计量</w:t>
      </w:r>
      <w:bookmarkEnd w:id="73"/>
      <w:bookmarkEnd w:id="74"/>
      <w:bookmarkEnd w:id="75"/>
      <w:bookmarkEnd w:id="76"/>
      <w:bookmarkEnd w:id="77"/>
      <w:bookmarkEnd w:id="78"/>
    </w:p>
    <w:p w14:paraId="3F6B517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本分布式光伏系统的电能计量设置须符合《分布式光伏发电系统接入电网技术规范》（Q/CSG1211001）和《光伏发电并网技术标准》（Q/CSG1211006）的要求。发电电表及上网电表的发电数据需接入监控系统</w:t>
      </w:r>
      <w:r>
        <w:rPr>
          <w:rFonts w:hint="eastAsia" w:ascii="宋体" w:hAnsi="宋体" w:cs="Times New Roman"/>
          <w:szCs w:val="21"/>
          <w:highlight w:val="none"/>
        </w:rPr>
        <w:t>，具体接入数据以南方电网需求为准。</w:t>
      </w:r>
    </w:p>
    <w:p w14:paraId="35D9A8D9">
      <w:pPr>
        <w:pStyle w:val="2"/>
        <w:spacing w:line="560" w:lineRule="exact"/>
        <w:ind w:firstLine="422"/>
        <w:rPr>
          <w:rFonts w:ascii="宋体" w:hAnsi="宋体" w:eastAsia="宋体" w:cs="Times New Roman"/>
          <w:b/>
          <w:bCs/>
          <w:szCs w:val="21"/>
          <w:highlight w:val="none"/>
        </w:rPr>
      </w:pPr>
      <w:bookmarkStart w:id="79" w:name="_Toc2702"/>
      <w:bookmarkStart w:id="80" w:name="_Toc3098"/>
      <w:bookmarkStart w:id="81" w:name="_Toc1265"/>
      <w:bookmarkStart w:id="82" w:name="_Toc28490"/>
      <w:bookmarkStart w:id="83" w:name="_Toc25237"/>
      <w:bookmarkStart w:id="84" w:name="_Toc9655"/>
      <w:bookmarkStart w:id="85" w:name="_Toc27295"/>
      <w:bookmarkStart w:id="86" w:name="_Toc11255"/>
      <w:bookmarkStart w:id="87" w:name="_Toc9018"/>
      <w:bookmarkStart w:id="88" w:name="_Toc19002"/>
      <w:bookmarkStart w:id="89" w:name="_Toc8595"/>
      <w:bookmarkStart w:id="90" w:name="_Toc349500018"/>
      <w:bookmarkStart w:id="91" w:name="_Toc28931"/>
      <w:bookmarkStart w:id="92" w:name="_Toc26962"/>
      <w:bookmarkStart w:id="93" w:name="_Toc360886987"/>
      <w:bookmarkStart w:id="94" w:name="_Toc10616"/>
      <w:bookmarkStart w:id="95" w:name="_Toc8168"/>
      <w:bookmarkStart w:id="96" w:name="_Toc31073"/>
      <w:bookmarkStart w:id="97" w:name="_Toc234894769"/>
      <w:r>
        <w:rPr>
          <w:rFonts w:hint="eastAsia" w:ascii="宋体" w:hAnsi="宋体" w:eastAsia="宋体" w:cs="Times New Roman"/>
          <w:b/>
          <w:bCs/>
          <w:szCs w:val="21"/>
          <w:highlight w:val="none"/>
        </w:rPr>
        <w:t>4.10 视频监控</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B73AE5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监控室及光伏组件安装区域采用视频监控系统监控设备。屋顶、设备区和监控室需安装能调节距离的高清视频摄像头，每个屋顶、户外低压配室和监控室的所有设备均在监控范围内。视频监控系统和摄像头应具备红外检测、夜视、入侵报警和跟踪的功能。</w:t>
      </w:r>
    </w:p>
    <w:p w14:paraId="07A9315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采用高清网络摄像机，室内高速枪型摄像机，室外高速球型摄像机的模式；室内摄像头采用至少200万像素高清摄像头，图像分辨率达到1920*1080以上；室外摄像头采用至少400万像素高清摄像头，图像分辨率达到2560x1440以上；,能够分辨出设备的外观及运行状态、识别出人员车辆等，使用先进的压缩编码技术，视频图像直接在前端进行压缩，通过网络传输回变电站监控室，避免外界电磁场对图像的影响。视频监控系统能存储不少于90天的数据。</w:t>
      </w:r>
    </w:p>
    <w:p w14:paraId="3BC09DF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监控点设置应能够覆盖所有需要监控的光伏区设备、箱变、开关站、并网点，监控点安装位置应合理，便于前期安装与后期维护，与电气设备留有足够的安全距离，保证人员设备的安全。摄像机安装位置根据光伏区设备、逆变器及升压站布局合理设计，实现无死角监控。</w:t>
      </w:r>
    </w:p>
    <w:p w14:paraId="0D0CAAE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3）系统既支持全景展示又能进行细节展示，对于重要设备还具有从多个摄像机进行多角度监视的功能。</w:t>
      </w:r>
    </w:p>
    <w:p w14:paraId="0B66570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4）系统的展示方式采用设备区辅以电子地图和一次接线图2种监控选择方式，操作人员不需了解摄像机的位置与型式，只需选择目标区域或设备，就可调出相关的图像。</w:t>
      </w:r>
    </w:p>
    <w:p w14:paraId="4C70653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5）在本地及远端的视频监控工作站上可以可实时监视同一光伏站多路实时图像信息并实现一机同屏同时监视；并能够通过鼠标在画面上控制每个摄像机的旋转、变倍，其他摄像机不受影响。</w:t>
      </w:r>
    </w:p>
    <w:p w14:paraId="56F26AB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轮巡，即系统具备视频自动巡视功能，在可设定的间隔时间内对前端监控点进行图像巡检，参与轮巡的对象可以任意设定，包括不同变电站的图像、同一变电站的不同摄像机、同一摄像机的不同预置位等，轮巡间隔时间可设置。</w:t>
      </w:r>
    </w:p>
    <w:p w14:paraId="2FE6AB88">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7）实时图像自动复位，即可对变电站内可旋转的摄像机设定默认监视位置，正常状态下摄像机保持默认位置；在控制完成后自动恢复到默认监视位置。</w:t>
      </w:r>
    </w:p>
    <w:p w14:paraId="0972FAC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8）投标方需要提供针对本项目的原厂授权书以及售后服务承诺函，视频监控系统及配套设备要求选择参照以下品牌：海康、大华、宇视</w:t>
      </w:r>
      <w:r>
        <w:rPr>
          <w:rFonts w:hint="eastAsia"/>
          <w:highlight w:val="none"/>
        </w:rPr>
        <w:t>（或其他同等（或以上）档次品牌或者生产供应商）</w:t>
      </w:r>
      <w:r>
        <w:rPr>
          <w:rFonts w:hint="eastAsia" w:ascii="宋体" w:hAnsi="宋体" w:eastAsia="宋体" w:cs="Times New Roman"/>
          <w:szCs w:val="21"/>
          <w:highlight w:val="none"/>
        </w:rPr>
        <w:t>。</w:t>
      </w:r>
    </w:p>
    <w:p w14:paraId="25C3B17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9）按照</w:t>
      </w:r>
      <w:r>
        <w:rPr>
          <w:rFonts w:hint="eastAsia" w:ascii="宋体" w:hAnsi="宋体" w:cs="Times New Roman"/>
          <w:szCs w:val="21"/>
          <w:highlight w:val="none"/>
        </w:rPr>
        <w:t>招标人</w:t>
      </w:r>
      <w:r>
        <w:rPr>
          <w:rFonts w:hint="eastAsia" w:ascii="宋体" w:hAnsi="宋体" w:eastAsia="宋体" w:cs="Times New Roman"/>
          <w:szCs w:val="21"/>
          <w:highlight w:val="none"/>
        </w:rPr>
        <w:t>施工安全智能监管的要求，在各阶段作业前须布置部分视频监控，可对各阶段的全部工作面实施远程及录像监控，后期这部分设备转为设备视频监控。</w:t>
      </w:r>
    </w:p>
    <w:p w14:paraId="2136FB3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10）视频监控系统信息需通过本期工程新建IPsec VPN隧道上传至对侧（</w:t>
      </w:r>
      <w:r>
        <w:rPr>
          <w:rFonts w:hint="eastAsia" w:ascii="宋体" w:hAnsi="宋体" w:cs="Times New Roman"/>
          <w:szCs w:val="21"/>
          <w:highlight w:val="none"/>
        </w:rPr>
        <w:t>招标人</w:t>
      </w:r>
      <w:r>
        <w:rPr>
          <w:rFonts w:hint="eastAsia" w:ascii="宋体" w:hAnsi="宋体" w:eastAsia="宋体" w:cs="Times New Roman"/>
          <w:szCs w:val="21"/>
          <w:highlight w:val="none"/>
        </w:rPr>
        <w:t>指定地方）的远程终端。</w:t>
      </w:r>
    </w:p>
    <w:p w14:paraId="7995C1CA">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4.11 消防系统</w:t>
      </w:r>
    </w:p>
    <w:p w14:paraId="71E126A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4.11.1 引用标准包括但不限于以下标准，</w:t>
      </w:r>
    </w:p>
    <w:p w14:paraId="348A82E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（1）GB50016《建筑设计防火规范》</w:t>
      </w:r>
    </w:p>
    <w:p w14:paraId="73CEDA8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bookmarkStart w:id="98" w:name="OLE_LINK16"/>
      <w:bookmarkStart w:id="99" w:name="OLE_LINK15"/>
      <w:r>
        <w:rPr>
          <w:rFonts w:hint="eastAsia" w:ascii="宋体" w:hAnsi="宋体" w:eastAsia="宋体" w:cs="Times New Roman"/>
          <w:szCs w:val="21"/>
          <w:highlight w:val="none"/>
        </w:rPr>
        <w:t>GB50140</w:t>
      </w:r>
      <w:bookmarkEnd w:id="98"/>
      <w:bookmarkEnd w:id="99"/>
      <w:r>
        <w:rPr>
          <w:rFonts w:hint="eastAsia" w:ascii="宋体" w:hAnsi="宋体" w:eastAsia="宋体" w:cs="Times New Roman"/>
          <w:szCs w:val="21"/>
          <w:highlight w:val="none"/>
        </w:rPr>
        <w:t>《建筑灭火器配置设计规范》</w:t>
      </w:r>
    </w:p>
    <w:p w14:paraId="6D77D24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（3）GB50229《火力发电厂与变电所设计防火标准》</w:t>
      </w:r>
    </w:p>
    <w:p w14:paraId="5B869BE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bookmarkStart w:id="100" w:name="OLE_LINK17"/>
      <w:bookmarkStart w:id="101" w:name="OLE_LINK18"/>
      <w:r>
        <w:rPr>
          <w:rFonts w:hint="eastAsia" w:ascii="宋体" w:hAnsi="宋体" w:eastAsia="宋体" w:cs="Times New Roman"/>
          <w:szCs w:val="21"/>
          <w:highlight w:val="none"/>
        </w:rPr>
        <w:t>GB50217</w:t>
      </w:r>
      <w:bookmarkEnd w:id="100"/>
      <w:bookmarkEnd w:id="101"/>
      <w:r>
        <w:rPr>
          <w:rFonts w:hint="eastAsia" w:ascii="宋体" w:hAnsi="宋体" w:eastAsia="宋体" w:cs="Times New Roman"/>
          <w:szCs w:val="21"/>
          <w:highlight w:val="none"/>
        </w:rPr>
        <w:t>《</w:t>
      </w:r>
      <w:bookmarkStart w:id="102" w:name="_Hlk201564871"/>
      <w:r>
        <w:rPr>
          <w:rFonts w:hint="eastAsia" w:ascii="宋体" w:hAnsi="宋体" w:eastAsia="宋体" w:cs="Times New Roman"/>
          <w:szCs w:val="21"/>
          <w:highlight w:val="none"/>
        </w:rPr>
        <w:t>电力工程电缆设计规范</w:t>
      </w:r>
      <w:bookmarkEnd w:id="102"/>
      <w:r>
        <w:rPr>
          <w:rFonts w:hint="eastAsia" w:ascii="宋体" w:hAnsi="宋体" w:eastAsia="宋体" w:cs="Times New Roman"/>
          <w:szCs w:val="21"/>
          <w:highlight w:val="none"/>
        </w:rPr>
        <w:t>》</w:t>
      </w:r>
    </w:p>
    <w:p w14:paraId="59D0DC8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（5）DL5027-《电力设备典型消防规程》</w:t>
      </w:r>
    </w:p>
    <w:p w14:paraId="17805E3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（6）GB50222《建筑内部装修设计防火规范》</w:t>
      </w:r>
    </w:p>
    <w:p w14:paraId="167AEDA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w:t>
      </w:r>
      <w:bookmarkStart w:id="103" w:name="OLE_LINK20"/>
      <w:bookmarkStart w:id="104" w:name="OLE_LINK19"/>
      <w:r>
        <w:rPr>
          <w:rFonts w:hint="eastAsia" w:ascii="宋体" w:hAnsi="宋体" w:eastAsia="宋体" w:cs="Times New Roman"/>
          <w:szCs w:val="21"/>
          <w:highlight w:val="none"/>
        </w:rPr>
        <w:t>GB50116</w:t>
      </w:r>
      <w:bookmarkEnd w:id="103"/>
      <w:bookmarkEnd w:id="104"/>
      <w:r>
        <w:rPr>
          <w:rFonts w:hint="eastAsia" w:ascii="宋体" w:hAnsi="宋体" w:eastAsia="宋体" w:cs="Times New Roman"/>
          <w:szCs w:val="21"/>
          <w:highlight w:val="none"/>
        </w:rPr>
        <w:t>《火灾自动报警系统设计规范》</w:t>
      </w:r>
    </w:p>
    <w:p w14:paraId="5E9FA29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（8）2019年《中华人民共和国消防法》修订版</w:t>
      </w:r>
    </w:p>
    <w:p w14:paraId="0D6C161E">
      <w:pPr>
        <w:pStyle w:val="2"/>
        <w:rPr>
          <w:rFonts w:eastAsia="宋体"/>
          <w:highlight w:val="none"/>
        </w:rPr>
      </w:pPr>
      <w:r>
        <w:rPr>
          <w:rFonts w:hint="eastAsia" w:ascii="宋体" w:hAnsi="宋体" w:eastAsia="宋体" w:cs="Times New Roman"/>
          <w:szCs w:val="21"/>
          <w:highlight w:val="none"/>
        </w:rPr>
        <w:t>以上标准以最新版本为准。</w:t>
      </w:r>
    </w:p>
    <w:p w14:paraId="2624A834">
      <w:pPr>
        <w:adjustRightInd w:val="0"/>
        <w:snapToGrid w:val="0"/>
        <w:spacing w:line="560" w:lineRule="exact"/>
        <w:ind w:firstLine="420" w:firstLineChars="200"/>
        <w:rPr>
          <w:rFonts w:ascii="宋体" w:hAnsi="宋体" w:eastAsia="宋体" w:cs="Times New Roman"/>
          <w:szCs w:val="21"/>
          <w:highlight w:val="none"/>
        </w:rPr>
      </w:pPr>
      <w:bookmarkStart w:id="105" w:name="_Toc31639"/>
      <w:bookmarkStart w:id="106" w:name="_Toc23223"/>
      <w:bookmarkStart w:id="107" w:name="_Toc2166"/>
      <w:bookmarkStart w:id="108" w:name="_Toc27974"/>
      <w:bookmarkStart w:id="109" w:name="_Toc21302"/>
      <w:bookmarkStart w:id="110" w:name="_Toc13166"/>
      <w:bookmarkStart w:id="111" w:name="_Toc5906"/>
      <w:bookmarkStart w:id="112" w:name="_Toc17345"/>
      <w:bookmarkStart w:id="113" w:name="_Toc23451"/>
      <w:bookmarkStart w:id="114" w:name="_Toc5525"/>
      <w:bookmarkStart w:id="115" w:name="_Toc24934"/>
      <w:bookmarkStart w:id="116" w:name="_Toc13182"/>
      <w:bookmarkStart w:id="117" w:name="_Toc3646"/>
      <w:bookmarkStart w:id="118" w:name="_Toc7144"/>
      <w:bookmarkStart w:id="119" w:name="_Toc9161"/>
      <w:bookmarkStart w:id="120" w:name="_Toc16143"/>
      <w:bookmarkStart w:id="121" w:name="_Toc18111"/>
      <w:bookmarkStart w:id="122" w:name="_Toc17956"/>
      <w:r>
        <w:rPr>
          <w:rFonts w:hint="eastAsia" w:ascii="宋体" w:hAnsi="宋体" w:eastAsia="宋体" w:cs="Times New Roman"/>
          <w:szCs w:val="21"/>
          <w:highlight w:val="none"/>
        </w:rPr>
        <w:t>4.11.2</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宋体" w:hAnsi="宋体" w:eastAsia="宋体" w:cs="Times New Roman"/>
          <w:szCs w:val="21"/>
          <w:highlight w:val="none"/>
        </w:rPr>
        <w:t>技术要求</w:t>
      </w:r>
    </w:p>
    <w:p w14:paraId="02E47A5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本工程消防设计贯彻“预防为主，防消结合”的设计原则，针对工程的具体情况，积级采用先进的防火技术，做到保障安全，使用方便，经济合理。</w:t>
      </w:r>
    </w:p>
    <w:p w14:paraId="44FD0A5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（1）贯彻“预防为主、防消结合”的消防工作方针，做到防患于未“燃”。严格按照规程规范的要求设计，采取“一防、二断、三灭、四排”的综合消防技术措施。</w:t>
      </w:r>
    </w:p>
    <w:p w14:paraId="3C95DAF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（2）工程消防设计与总平面布置统筹考虑，保证消防车道、防火间距、安全出口等各项要求。</w:t>
      </w:r>
    </w:p>
    <w:p w14:paraId="372970A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（3）光伏电站要结合原有建筑消防设施来满足消防要求。</w:t>
      </w:r>
    </w:p>
    <w:p w14:paraId="7250989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针对不同建（构）筑物和设施，采取多种消防措施。在工艺设计、设备及材料选用、平面布置、消防通道均按照有关消防规定执行。本工程主要为原有建筑的附属设施，需按照规范配备消防用具。电站安装为建筑屋顶上，可与原建筑消火栓的消防给水系统配合使用。</w:t>
      </w:r>
    </w:p>
    <w:p w14:paraId="1A534C4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对设有电气仪表设备的房间，考虑采用移动式气体灭火器作为主要灭火手段。</w:t>
      </w:r>
    </w:p>
    <w:p w14:paraId="5F704DB5">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在每个发电单元附近配置干粉灭火器，用于发电单元电气设备的灭火。</w:t>
      </w:r>
    </w:p>
    <w:p w14:paraId="11DB0E6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cs="Times New Roman"/>
          <w:szCs w:val="21"/>
          <w:highlight w:val="none"/>
        </w:rPr>
        <w:t>二次舱</w:t>
      </w:r>
      <w:r>
        <w:rPr>
          <w:rFonts w:hint="eastAsia" w:ascii="宋体" w:hAnsi="宋体" w:eastAsia="宋体" w:cs="Times New Roman"/>
          <w:szCs w:val="21"/>
          <w:highlight w:val="none"/>
        </w:rPr>
        <w:t>设置火灾报警系统及喷淋灭火系统，投标方负责配置探头、喷淋头及管线，接入厂区现有的报警系统及喷淋灭火系统。室外使用的消防电子产品必须具有防尘功能和防水功能或装设防尘、防水措施。室内应配置手动火灾报警（警铃）。</w:t>
      </w:r>
    </w:p>
    <w:p w14:paraId="6CF3D4F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消防报警系统是独立设置或接入建设地业主原消防系统等，都必须放置于建设地业主的消防值班室。消防报警系统优先考虑接入建设地业主原消防报警系统。项目的新增预装式10kV开关站及主控室设置复合型感烟感温火灾探测器，并将警示信号传送至主控室。</w:t>
      </w:r>
    </w:p>
    <w:p w14:paraId="1D46E85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灭火器采用手提式磷酸铵盐干粉灭火器（充装规格4Kg，MF/ABC4)，灭火器箱须采用不薄于2mm的SUS304材料，灭火器材编号及标签制作按规范要求由承包方负责。</w:t>
      </w:r>
    </w:p>
    <w:p w14:paraId="724FCF23">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（4）消防的报验收工作由承包方负责，承包方确保消防通过政府消防部门的验收。</w:t>
      </w:r>
    </w:p>
    <w:p w14:paraId="469DAE11">
      <w:pPr>
        <w:adjustRightInd w:val="0"/>
        <w:snapToGrid w:val="0"/>
        <w:spacing w:line="56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4.12防雷接地要求</w:t>
      </w:r>
    </w:p>
    <w:p w14:paraId="1FB29CD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防雷接地设计及施工应满足国家、行业及地方气象部门要求的竣工所有检查、试验及验收：</w:t>
      </w:r>
    </w:p>
    <w:p w14:paraId="5AE64DE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（1）设计文件，及其相关审批、核准、备案要求：满足国家行业、地区和气象部门要求。</w:t>
      </w:r>
    </w:p>
    <w:p w14:paraId="0EE3DC0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（2）竣工文件和工程的其他记录满足国家行业、地区和气象部门要求及</w:t>
      </w:r>
      <w:r>
        <w:rPr>
          <w:rFonts w:hint="eastAsia" w:ascii="宋体" w:hAnsi="宋体" w:cs="Times New Roman"/>
          <w:szCs w:val="21"/>
          <w:highlight w:val="none"/>
        </w:rPr>
        <w:t>招标人</w:t>
      </w:r>
      <w:r>
        <w:rPr>
          <w:rFonts w:hint="eastAsia" w:ascii="宋体" w:hAnsi="宋体" w:eastAsia="宋体" w:cs="Times New Roman"/>
          <w:szCs w:val="21"/>
          <w:highlight w:val="none"/>
        </w:rPr>
        <w:t>要求。</w:t>
      </w:r>
    </w:p>
    <w:p w14:paraId="6796F0FE">
      <w:pPr>
        <w:adjustRightInd w:val="0"/>
        <w:snapToGrid w:val="0"/>
        <w:spacing w:line="560" w:lineRule="exact"/>
        <w:ind w:firstLine="422" w:firstLineChars="200"/>
        <w:rPr>
          <w:rFonts w:ascii="宋体" w:hAnsi="宋体" w:eastAsia="宋体" w:cs="Times New Roman"/>
          <w:b/>
          <w:bCs/>
          <w:szCs w:val="21"/>
          <w:highlight w:val="none"/>
        </w:rPr>
      </w:pPr>
      <w:bookmarkStart w:id="123" w:name="_Toc10314"/>
      <w:bookmarkStart w:id="124" w:name="_Toc13601"/>
      <w:bookmarkStart w:id="125" w:name="_Toc32068"/>
      <w:bookmarkStart w:id="126" w:name="_Toc360886973"/>
      <w:bookmarkStart w:id="127" w:name="_Toc78411469"/>
      <w:bookmarkStart w:id="128" w:name="_Toc18433"/>
      <w:bookmarkStart w:id="129" w:name="_Toc493659283"/>
      <w:bookmarkStart w:id="130" w:name="_Toc349500004"/>
      <w:r>
        <w:rPr>
          <w:rFonts w:hint="eastAsia" w:ascii="宋体" w:hAnsi="宋体" w:eastAsia="宋体" w:cs="Times New Roman"/>
          <w:b/>
          <w:bCs/>
          <w:szCs w:val="21"/>
          <w:highlight w:val="none"/>
        </w:rPr>
        <w:t>4.13 光伏组件支架</w:t>
      </w:r>
      <w:bookmarkEnd w:id="123"/>
      <w:bookmarkEnd w:id="124"/>
      <w:bookmarkEnd w:id="125"/>
      <w:bookmarkEnd w:id="126"/>
      <w:bookmarkEnd w:id="127"/>
      <w:bookmarkEnd w:id="128"/>
      <w:bookmarkEnd w:id="129"/>
      <w:bookmarkEnd w:id="130"/>
    </w:p>
    <w:p w14:paraId="1204A381">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4.13.1 执行标准和规范包括但不限于以下标准</w:t>
      </w:r>
    </w:p>
    <w:p w14:paraId="01CECBD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（1）《建筑结构荷载规范》；</w:t>
      </w:r>
    </w:p>
    <w:p w14:paraId="3BC594EB">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（2）《钢结构设计标准》；</w:t>
      </w:r>
    </w:p>
    <w:p w14:paraId="0A71211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（3）《冷弯薄壁型钢结构技术规范》；</w:t>
      </w:r>
    </w:p>
    <w:p w14:paraId="0EA739A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（4）《门式刚架轻型房屋钢结构技术规范》</w:t>
      </w:r>
    </w:p>
    <w:p w14:paraId="14036159">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（5）《建筑抗震设计规范》</w:t>
      </w:r>
    </w:p>
    <w:p w14:paraId="0C93185C">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（6）《钢结构工程施工质量验收规范》</w:t>
      </w:r>
    </w:p>
    <w:p w14:paraId="0AB1331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（7）《钢结构焊接规范》</w:t>
      </w:r>
    </w:p>
    <w:p w14:paraId="13B60D6D">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（8）《钢结构高强度螺栓连接的设计、施工及验收规程》</w:t>
      </w:r>
    </w:p>
    <w:p w14:paraId="7D394F7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（9）《涂装前钢材表面锈蚀等级和除锈等级》</w:t>
      </w:r>
    </w:p>
    <w:p w14:paraId="4D6EDEBA">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（10）《建筑钢结构防火技术规范》</w:t>
      </w:r>
    </w:p>
    <w:p w14:paraId="6C48EF8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（11）《工业建筑防腐蚀设计标准》</w:t>
      </w:r>
    </w:p>
    <w:p w14:paraId="7453734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4.13.2 技术要求</w:t>
      </w:r>
    </w:p>
    <w:p w14:paraId="651BB310">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屋面光伏支架系统应至少包括支座、夹具、联接件、导轨等组成部分，</w:t>
      </w:r>
    </w:p>
    <w:p w14:paraId="25428A1F">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支架系统应满足10年内可拆卸再利用和25年内安全使用的要求。支架须满足防腐、防盐雾的功能，防腐膜致密，其厚度至少是国家、地方或行业标准的1.5倍。</w:t>
      </w:r>
    </w:p>
    <w:p w14:paraId="00299A0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支架采用强度不低于Q235B的钢材，钢材须经热渗锌、热镀锌或镀锌铝镁处理。热镀锌或热渗锌锌层厚度不小于75um，或者镀锌铝镁双面镀层重量3mm厚以下构件不少于275g/m2；3mm以上构件不小于350g/m2（镀层重量重“铝”的含量不低于6%，镁的含量不低于3%），提供第三方检测报告；防腐使用年限不低于30年。</w:t>
      </w:r>
    </w:p>
    <w:p w14:paraId="52CE0FC4">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所有电气紧固件和结构紧固件满足防锈和防腐蚀要求，应采用热渗锌、热镀锌或镀锌铝镁工艺。热渗锌或热镀锌厚度不低于75um，或者镀锌铝镁双面镀层重量3mm厚以下构件不少于275g/m2，3mm以上构件不小于310g/m2（镀层重量中“铝”的含量不低于6%，镁的含量不低于3%），使用年限不低于30年；所有施工造成的原有防腐防锈层损坏，</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需采取等级相当的防腐处理，所有的紧固件、连接件应做二次防腐，刷防锈漆。</w:t>
      </w:r>
    </w:p>
    <w:p w14:paraId="2BCA83E6">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项目建设期间，</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邀请第三方对光伏系统的支架系统进行拉拔力或风揭力等测试，确保满足设计要求。</w:t>
      </w:r>
    </w:p>
    <w:p w14:paraId="7EF13272">
      <w:pPr>
        <w:adjustRightInd w:val="0"/>
        <w:snapToGrid w:val="0"/>
        <w:spacing w:line="5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在进行光伏支架安装前，应在每个屋面选取不少于三个区域进行支架的试装，试装完确定屋面梁和板没有裂缝后经</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甲方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招标人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同意方可进行大面积的支架安装；否则出现屋面梁和板有裂缝的，由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按照</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甲方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招标人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要求无条件进行整改。</w:t>
      </w:r>
    </w:p>
    <w:p w14:paraId="4E7D9764">
      <w:pPr>
        <w:adjustRightInd w:val="0"/>
        <w:snapToGrid w:val="0"/>
        <w:spacing w:line="560" w:lineRule="exact"/>
        <w:ind w:firstLine="420" w:firstLineChars="200"/>
        <w:rPr>
          <w:rFonts w:ascii="宋体" w:hAnsi="宋体"/>
          <w:bCs/>
          <w:szCs w:val="21"/>
          <w:highlight w:val="none"/>
        </w:rPr>
      </w:pP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应在投标文件中提供详细的支架安装方案及其相对应的必要</w:t>
      </w:r>
      <w:bookmarkEnd w:id="97"/>
      <w:r>
        <w:rPr>
          <w:rFonts w:hint="eastAsia" w:ascii="宋体" w:hAnsi="宋体" w:eastAsia="宋体" w:cs="Times New Roman"/>
          <w:szCs w:val="21"/>
          <w:highlight w:val="none"/>
        </w:rPr>
        <w:t>技术方案，并对屋面原结构及支架结构受力做专题论证报告，报告应由具备资质的第三方机构出具，报告结论需明确该结构设计是否符合结构安全要求，并确定是否需要采用加固措施。如需加固，结构加固费用包含在总价中，否则加固费用由</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DOCPROPERTY 乙方 \* MERGEFORMAT </w:instrText>
      </w:r>
      <w:r>
        <w:rPr>
          <w:rFonts w:hint="eastAsia" w:ascii="宋体" w:hAnsi="宋体" w:eastAsia="宋体" w:cs="Times New Roman"/>
          <w:szCs w:val="21"/>
          <w:highlight w:val="none"/>
        </w:rPr>
        <w:fldChar w:fldCharType="separate"/>
      </w:r>
      <w:r>
        <w:rPr>
          <w:rFonts w:hint="eastAsia" w:ascii="宋体" w:hAnsi="宋体" w:cs="Times New Roman"/>
          <w:szCs w:val="21"/>
          <w:highlight w:val="none"/>
        </w:rPr>
        <w:t>投标人</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自行承担。</w:t>
      </w:r>
    </w:p>
    <w:p w14:paraId="6299E835">
      <w:pPr>
        <w:spacing w:line="560" w:lineRule="exact"/>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E7C0">
    <w:pPr>
      <w:spacing w:line="168" w:lineRule="auto"/>
      <w:ind w:left="4690"/>
      <w:rPr>
        <w:rFonts w:ascii="Calibri" w:hAnsi="Calibri" w:eastAsia="Calibri" w:cs="Calibri"/>
        <w:sz w:val="18"/>
        <w:szCs w:val="18"/>
      </w:rPr>
    </w:pPr>
    <w:r>
      <w:rPr>
        <w:rFonts w:ascii="Calibri" w:hAnsi="Calibri" w:eastAsia="Calibri" w:cs="Calibri"/>
        <w:spacing w:val="-6"/>
        <w:sz w:val="18"/>
        <w:szCs w:val="18"/>
      </w:rPr>
      <w:t>145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18696a2d-8c66-4778-b3d4-8c73c2605a83"/>
  </w:docVars>
  <w:rsids>
    <w:rsidRoot w:val="00C131F7"/>
    <w:rsid w:val="000B5A82"/>
    <w:rsid w:val="00146966"/>
    <w:rsid w:val="00231881"/>
    <w:rsid w:val="00393F4A"/>
    <w:rsid w:val="004F4DE2"/>
    <w:rsid w:val="005569AB"/>
    <w:rsid w:val="00967060"/>
    <w:rsid w:val="00A11A41"/>
    <w:rsid w:val="00AF1F5F"/>
    <w:rsid w:val="00B248A7"/>
    <w:rsid w:val="00B445C5"/>
    <w:rsid w:val="00B709B1"/>
    <w:rsid w:val="00C131F7"/>
    <w:rsid w:val="00CF3951"/>
    <w:rsid w:val="00E80A1A"/>
    <w:rsid w:val="061C18F8"/>
    <w:rsid w:val="0BE573E2"/>
    <w:rsid w:val="0E1F5317"/>
    <w:rsid w:val="0E371C96"/>
    <w:rsid w:val="14B678E1"/>
    <w:rsid w:val="168F09D4"/>
    <w:rsid w:val="18491BE4"/>
    <w:rsid w:val="25FA37A2"/>
    <w:rsid w:val="2E505623"/>
    <w:rsid w:val="30D60EBE"/>
    <w:rsid w:val="37DC254A"/>
    <w:rsid w:val="452217DE"/>
    <w:rsid w:val="4A6C4A5E"/>
    <w:rsid w:val="520172EC"/>
    <w:rsid w:val="53986FA1"/>
    <w:rsid w:val="55E62245"/>
    <w:rsid w:val="67051AEA"/>
    <w:rsid w:val="7825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批注框文本 Char"/>
    <w:basedOn w:val="9"/>
    <w:link w:val="4"/>
    <w:qFormat/>
    <w:uiPriority w:val="0"/>
    <w:rPr>
      <w:kern w:val="2"/>
      <w:sz w:val="18"/>
      <w:szCs w:val="18"/>
    </w:rPr>
  </w:style>
  <w:style w:type="character" w:customStyle="1" w:styleId="14">
    <w:name w:val="批注文字 Char"/>
    <w:basedOn w:val="9"/>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18973</Words>
  <Characters>21539</Characters>
  <Lines>40</Lines>
  <Paragraphs>47</Paragraphs>
  <TotalTime>1</TotalTime>
  <ScaleCrop>false</ScaleCrop>
  <LinksUpToDate>false</LinksUpToDate>
  <CharactersWithSpaces>21867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2025-04-28T09:24:00Z</dcterms:created>
  <dc:creator>wang</dc:creator>
  <cp:lastModifiedBy>An</cp:lastModifiedBy>
  <dcterms:modified xsi:type="dcterms:W3CDTF">2025-06-27T08:38:49Z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764DC50352AB4961AF6D97C620BA4B99</vt:lpwstr>
  </property>
  <property fmtid="{D5CDD505-2E9C-101B-9397-08002B2CF9AE}" pid="4" name="KSOTemplateDocerSaveRecord">
    <vt:lpwstr>eyJoZGlkIjoiMDEwYzI2ZTI4MDA0ODg3MjA0ZTYxNTVhYzAzYTY5OTkiLCJ1c2VySWQiOiIzNjQxMjMwNTgifQ==</vt:lpwstr>
  </property>
</Properties>
</file>