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6C239E">
      <w:pPr>
        <w:pStyle w:val="472"/>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lang w:val="en-US" w:eastAsia="zh-CN"/>
        </w:rPr>
        <w:t>良田粮库</w:t>
      </w:r>
      <w:r>
        <w:rPr>
          <w:rFonts w:hint="eastAsia" w:ascii="宋体" w:hAnsi="宋体" w:eastAsia="宋体" w:cs="宋体"/>
          <w:color w:val="auto"/>
          <w:sz w:val="44"/>
          <w:szCs w:val="44"/>
          <w:highlight w:val="none"/>
        </w:rPr>
        <w:t>分布式光</w:t>
      </w:r>
      <w:r>
        <w:rPr>
          <w:rFonts w:hint="eastAsia" w:ascii="宋体" w:hAnsi="宋体" w:eastAsia="宋体" w:cs="宋体"/>
          <w:color w:val="auto"/>
          <w:sz w:val="44"/>
          <w:szCs w:val="44"/>
          <w:highlight w:val="none"/>
          <w:lang w:val="en-US" w:eastAsia="zh-CN"/>
        </w:rPr>
        <w:t>储</w:t>
      </w:r>
      <w:r>
        <w:rPr>
          <w:rFonts w:hint="eastAsia" w:ascii="宋体" w:hAnsi="宋体" w:eastAsia="宋体" w:cs="宋体"/>
          <w:color w:val="auto"/>
          <w:sz w:val="44"/>
          <w:szCs w:val="44"/>
          <w:highlight w:val="none"/>
        </w:rPr>
        <w:t>项目</w:t>
      </w:r>
    </w:p>
    <w:p w14:paraId="2784EC80">
      <w:pPr>
        <w:pStyle w:val="472"/>
        <w:rPr>
          <w:rFonts w:ascii="方正小标宋简体" w:hAnsi="方正小标宋简体" w:eastAsia="方正小标宋简体" w:cs="方正小标宋简体"/>
          <w:color w:val="auto"/>
          <w:sz w:val="48"/>
          <w:szCs w:val="48"/>
          <w:highlight w:val="none"/>
        </w:rPr>
      </w:pPr>
      <w:r>
        <w:rPr>
          <w:rFonts w:hint="eastAsia" w:ascii="宋体" w:hAnsi="宋体" w:eastAsia="宋体" w:cs="宋体"/>
          <w:color w:val="auto"/>
          <w:sz w:val="44"/>
          <w:szCs w:val="44"/>
          <w:highlight w:val="none"/>
        </w:rPr>
        <w:t>EPC总承包合同</w:t>
      </w:r>
    </w:p>
    <w:p w14:paraId="6DFF606E">
      <w:pPr>
        <w:pStyle w:val="472"/>
        <w:rPr>
          <w:rFonts w:ascii="华文中宋" w:hAnsi="华文中宋" w:eastAsia="华文中宋"/>
          <w:b w:val="0"/>
          <w:bCs/>
          <w:color w:val="auto"/>
          <w:sz w:val="52"/>
          <w:szCs w:val="52"/>
          <w:highlight w:val="none"/>
        </w:rPr>
      </w:pPr>
    </w:p>
    <w:p w14:paraId="3A55F57D">
      <w:pPr>
        <w:pStyle w:val="472"/>
        <w:rPr>
          <w:rFonts w:ascii="华文中宋" w:hAnsi="华文中宋" w:eastAsia="华文中宋"/>
          <w:color w:val="auto"/>
          <w:sz w:val="40"/>
          <w:szCs w:val="40"/>
          <w:highlight w:val="none"/>
        </w:rPr>
      </w:pPr>
    </w:p>
    <w:p w14:paraId="0847DDB0">
      <w:pPr>
        <w:pStyle w:val="472"/>
        <w:rPr>
          <w:rFonts w:ascii="华文中宋" w:hAnsi="华文中宋" w:eastAsia="华文中宋"/>
          <w:color w:val="auto"/>
          <w:sz w:val="40"/>
          <w:szCs w:val="40"/>
          <w:highlight w:val="none"/>
        </w:rPr>
      </w:pPr>
    </w:p>
    <w:p w14:paraId="10FE9562">
      <w:pPr>
        <w:rPr>
          <w:rFonts w:ascii="华文中宋" w:hAnsi="华文中宋" w:eastAsia="华文中宋"/>
          <w:color w:val="auto"/>
          <w:sz w:val="40"/>
          <w:szCs w:val="40"/>
          <w:highlight w:val="none"/>
        </w:rPr>
      </w:pPr>
    </w:p>
    <w:p w14:paraId="6DA17051">
      <w:pPr>
        <w:pStyle w:val="2"/>
        <w:ind w:firstLine="800"/>
        <w:rPr>
          <w:rFonts w:ascii="华文中宋" w:hAnsi="华文中宋" w:eastAsia="华文中宋"/>
          <w:color w:val="auto"/>
          <w:sz w:val="40"/>
          <w:szCs w:val="40"/>
          <w:highlight w:val="none"/>
        </w:rPr>
      </w:pPr>
    </w:p>
    <w:p w14:paraId="4E390C38">
      <w:pPr>
        <w:pStyle w:val="2"/>
        <w:ind w:firstLine="800"/>
        <w:rPr>
          <w:rFonts w:ascii="华文中宋" w:hAnsi="华文中宋" w:eastAsia="华文中宋"/>
          <w:color w:val="auto"/>
          <w:sz w:val="40"/>
          <w:szCs w:val="40"/>
          <w:highlight w:val="none"/>
        </w:rPr>
      </w:pPr>
    </w:p>
    <w:p w14:paraId="01F5CDEA">
      <w:pPr>
        <w:pStyle w:val="2"/>
        <w:ind w:left="2913" w:leftChars="607" w:hanging="1638" w:hangingChars="512"/>
        <w:rPr>
          <w:rFonts w:hint="eastAsia" w:ascii="宋体" w:hAnsi="宋体" w:eastAsia="宋体"/>
          <w:color w:val="auto"/>
          <w:sz w:val="32"/>
          <w:szCs w:val="32"/>
          <w:highlight w:val="none"/>
          <w:lang w:eastAsia="zh-CN"/>
        </w:rPr>
      </w:pPr>
      <w:r>
        <w:rPr>
          <w:rFonts w:hint="eastAsia" w:ascii="宋体" w:hAnsi="宋体"/>
          <w:color w:val="auto"/>
          <w:sz w:val="32"/>
          <w:szCs w:val="32"/>
          <w:highlight w:val="none"/>
        </w:rPr>
        <w:t>工程名称：</w:t>
      </w:r>
      <w:r>
        <w:rPr>
          <w:rFonts w:hint="eastAsia" w:ascii="宋体" w:hAnsi="宋体"/>
          <w:color w:val="auto"/>
          <w:sz w:val="32"/>
          <w:szCs w:val="32"/>
          <w:highlight w:val="none"/>
          <w:u w:val="single"/>
          <w:lang w:val="en-US" w:eastAsia="zh-CN"/>
        </w:rPr>
        <w:t>良田粮库</w:t>
      </w:r>
      <w:r>
        <w:rPr>
          <w:rFonts w:hint="eastAsia" w:ascii="宋体" w:hAnsi="宋体"/>
          <w:color w:val="auto"/>
          <w:sz w:val="32"/>
          <w:szCs w:val="32"/>
          <w:highlight w:val="none"/>
          <w:u w:val="single"/>
          <w:lang w:eastAsia="zh-CN"/>
        </w:rPr>
        <w:t>分布式光</w:t>
      </w:r>
      <w:r>
        <w:rPr>
          <w:rFonts w:hint="eastAsia" w:ascii="宋体" w:hAnsi="宋体"/>
          <w:color w:val="auto"/>
          <w:sz w:val="32"/>
          <w:szCs w:val="32"/>
          <w:highlight w:val="none"/>
          <w:u w:val="single"/>
          <w:lang w:val="en-US" w:eastAsia="zh-CN"/>
        </w:rPr>
        <w:t>储</w:t>
      </w:r>
      <w:r>
        <w:rPr>
          <w:rFonts w:hint="eastAsia" w:ascii="宋体" w:hAnsi="宋体"/>
          <w:color w:val="auto"/>
          <w:sz w:val="32"/>
          <w:szCs w:val="32"/>
          <w:highlight w:val="none"/>
          <w:u w:val="single"/>
          <w:lang w:eastAsia="zh-CN"/>
        </w:rPr>
        <w:t xml:space="preserve">项目EPC总承包 </w:t>
      </w:r>
    </w:p>
    <w:p w14:paraId="6E2BFF5A">
      <w:pPr>
        <w:rPr>
          <w:color w:val="auto"/>
          <w:highlight w:val="none"/>
        </w:rPr>
      </w:pPr>
    </w:p>
    <w:p w14:paraId="2DF7241E">
      <w:pPr>
        <w:spacing w:line="360" w:lineRule="auto"/>
        <w:ind w:firstLine="1280" w:firstLineChars="400"/>
        <w:rPr>
          <w:rFonts w:hint="default" w:ascii="宋体" w:hAnsi="宋体" w:eastAsia="宋体"/>
          <w:color w:val="auto"/>
          <w:sz w:val="32"/>
          <w:szCs w:val="32"/>
          <w:highlight w:val="none"/>
          <w:lang w:val="en-US" w:eastAsia="zh-CN"/>
        </w:rPr>
      </w:pPr>
      <w:r>
        <w:rPr>
          <w:rFonts w:hint="eastAsia" w:ascii="宋体" w:hAnsi="宋体"/>
          <w:color w:val="auto"/>
          <w:sz w:val="32"/>
          <w:szCs w:val="32"/>
          <w:highlight w:val="none"/>
        </w:rPr>
        <w:t>甲方（发包方）：</w:t>
      </w:r>
      <w:r>
        <w:rPr>
          <w:rFonts w:hint="eastAsia" w:ascii="宋体" w:hAnsi="宋体"/>
          <w:color w:val="auto"/>
          <w:sz w:val="32"/>
          <w:szCs w:val="32"/>
          <w:highlight w:val="none"/>
          <w:u w:val="single"/>
          <w:lang w:val="en-US" w:eastAsia="zh-CN"/>
        </w:rPr>
        <w:t xml:space="preserve"> 广州白云新能源科技有限公司 </w:t>
      </w:r>
    </w:p>
    <w:p w14:paraId="2CD5D7DD">
      <w:pPr>
        <w:spacing w:line="360" w:lineRule="auto"/>
        <w:rPr>
          <w:rFonts w:ascii="宋体" w:hAnsi="宋体"/>
          <w:color w:val="auto"/>
          <w:sz w:val="32"/>
          <w:szCs w:val="32"/>
          <w:highlight w:val="none"/>
        </w:rPr>
      </w:pPr>
      <w:r>
        <w:rPr>
          <w:rFonts w:hint="eastAsia" w:ascii="宋体" w:hAnsi="宋体"/>
          <w:color w:val="auto"/>
          <w:sz w:val="32"/>
          <w:szCs w:val="32"/>
          <w:highlight w:val="none"/>
        </w:rPr>
        <w:t xml:space="preserve">        乙方（承包方）：</w:t>
      </w:r>
      <w:r>
        <w:rPr>
          <w:rFonts w:hint="eastAsia" w:ascii="宋体" w:hAnsi="宋体"/>
          <w:color w:val="auto"/>
          <w:sz w:val="32"/>
          <w:szCs w:val="32"/>
          <w:highlight w:val="none"/>
          <w:u w:val="single"/>
        </w:rPr>
        <w:t xml:space="preserve">                       </w:t>
      </w:r>
    </w:p>
    <w:p w14:paraId="039C82F8">
      <w:pPr>
        <w:spacing w:line="360" w:lineRule="auto"/>
        <w:rPr>
          <w:rFonts w:ascii="宋体" w:hAnsi="宋体"/>
          <w:color w:val="auto"/>
          <w:sz w:val="32"/>
          <w:szCs w:val="32"/>
          <w:highlight w:val="none"/>
          <w:u w:val="single"/>
        </w:rPr>
      </w:pPr>
      <w:r>
        <w:rPr>
          <w:rFonts w:hint="eastAsia" w:ascii="宋体" w:hAnsi="宋体"/>
          <w:color w:val="auto"/>
          <w:sz w:val="32"/>
          <w:szCs w:val="32"/>
          <w:highlight w:val="none"/>
        </w:rPr>
        <w:t xml:space="preserve">        签  约  地  点：</w:t>
      </w:r>
      <w:r>
        <w:rPr>
          <w:rFonts w:hint="eastAsia" w:ascii="宋体" w:hAnsi="宋体"/>
          <w:color w:val="auto"/>
          <w:sz w:val="32"/>
          <w:szCs w:val="32"/>
          <w:highlight w:val="none"/>
          <w:u w:val="single"/>
        </w:rPr>
        <w:t xml:space="preserve">     </w:t>
      </w:r>
      <w:r>
        <w:rPr>
          <w:rFonts w:hint="eastAsia" w:ascii="宋体" w:hAnsi="宋体"/>
          <w:color w:val="auto"/>
          <w:sz w:val="32"/>
          <w:szCs w:val="32"/>
          <w:highlight w:val="none"/>
          <w:u w:val="single"/>
          <w:lang w:val="en-US" w:eastAsia="zh-CN"/>
        </w:rPr>
        <w:t>广州</w:t>
      </w:r>
      <w:r>
        <w:rPr>
          <w:rFonts w:hint="eastAsia" w:ascii="宋体" w:hAnsi="宋体"/>
          <w:color w:val="auto"/>
          <w:sz w:val="32"/>
          <w:szCs w:val="32"/>
          <w:highlight w:val="none"/>
          <w:u w:val="single"/>
        </w:rPr>
        <w:t>市</w:t>
      </w:r>
      <w:r>
        <w:rPr>
          <w:rFonts w:hint="eastAsia" w:ascii="宋体" w:hAnsi="宋体"/>
          <w:color w:val="auto"/>
          <w:sz w:val="32"/>
          <w:szCs w:val="32"/>
          <w:highlight w:val="none"/>
          <w:u w:val="single"/>
          <w:lang w:val="en-US" w:eastAsia="zh-CN"/>
        </w:rPr>
        <w:t>白云区</w:t>
      </w:r>
      <w:r>
        <w:rPr>
          <w:rFonts w:hint="eastAsia" w:ascii="宋体" w:hAnsi="宋体"/>
          <w:color w:val="auto"/>
          <w:sz w:val="32"/>
          <w:szCs w:val="32"/>
          <w:highlight w:val="none"/>
          <w:u w:val="single"/>
        </w:rPr>
        <w:t xml:space="preserve">            </w:t>
      </w:r>
    </w:p>
    <w:p w14:paraId="4C39BA5B">
      <w:pPr>
        <w:widowControl/>
        <w:jc w:val="left"/>
        <w:rPr>
          <w:rFonts w:ascii="宋体" w:hAnsi="宋体"/>
          <w:color w:val="auto"/>
          <w:sz w:val="32"/>
          <w:szCs w:val="32"/>
          <w:highlight w:val="none"/>
          <w:u w:val="single"/>
        </w:rPr>
      </w:pPr>
      <w:r>
        <w:rPr>
          <w:rFonts w:hint="eastAsia" w:ascii="宋体" w:hAnsi="宋体"/>
          <w:color w:val="auto"/>
          <w:sz w:val="32"/>
          <w:szCs w:val="32"/>
          <w:highlight w:val="none"/>
        </w:rPr>
        <w:t xml:space="preserve">        签  约  时  间：</w:t>
      </w:r>
      <w:r>
        <w:rPr>
          <w:rFonts w:hint="eastAsia" w:ascii="宋体" w:hAnsi="宋体"/>
          <w:color w:val="auto"/>
          <w:sz w:val="32"/>
          <w:szCs w:val="32"/>
          <w:highlight w:val="none"/>
          <w:u w:val="single"/>
        </w:rPr>
        <w:t xml:space="preserve">      年  月     日</w:t>
      </w:r>
    </w:p>
    <w:p w14:paraId="194FC215">
      <w:pPr>
        <w:pStyle w:val="5"/>
        <w:rPr>
          <w:color w:val="auto"/>
          <w:highlight w:val="none"/>
        </w:rPr>
      </w:pPr>
    </w:p>
    <w:p w14:paraId="434286BC">
      <w:pPr>
        <w:pStyle w:val="473"/>
        <w:keepNext w:val="0"/>
        <w:keepLines w:val="0"/>
        <w:pageBreakBefore w:val="0"/>
        <w:widowControl/>
        <w:wordWrap/>
        <w:overflowPunct/>
        <w:topLinePunct w:val="0"/>
        <w:bidi w:val="0"/>
        <w:adjustRightInd w:val="0"/>
        <w:snapToGrid w:val="0"/>
        <w:spacing w:before="0" w:after="0" w:line="360" w:lineRule="auto"/>
        <w:ind w:left="0" w:leftChars="0" w:firstLine="0" w:firstLineChars="0"/>
        <w:textAlignment w:val="auto"/>
        <w:rPr>
          <w:rFonts w:cs="宋体"/>
          <w:color w:val="auto"/>
          <w:sz w:val="32"/>
          <w:szCs w:val="32"/>
          <w:highlight w:val="none"/>
        </w:rPr>
      </w:pPr>
      <w:bookmarkStart w:id="0" w:name="_Toc54862164"/>
      <w:bookmarkStart w:id="1" w:name="_Toc80633138"/>
      <w:bookmarkStart w:id="2" w:name="_Toc76719881"/>
      <w:r>
        <w:rPr>
          <w:rFonts w:hint="eastAsia" w:cs="宋体"/>
          <w:color w:val="auto"/>
          <w:sz w:val="32"/>
          <w:szCs w:val="32"/>
          <w:highlight w:val="none"/>
        </w:rPr>
        <w:br w:type="page"/>
      </w:r>
      <w:bookmarkStart w:id="3" w:name="_Toc21970"/>
      <w:bookmarkStart w:id="4" w:name="_Toc6075"/>
      <w:bookmarkStart w:id="5" w:name="_Toc26596"/>
      <w:r>
        <w:rPr>
          <w:rFonts w:hint="eastAsia" w:cs="宋体"/>
          <w:color w:val="auto"/>
          <w:sz w:val="32"/>
          <w:szCs w:val="32"/>
          <w:highlight w:val="none"/>
        </w:rPr>
        <w:t>第一部分 合同协议书</w:t>
      </w:r>
      <w:bookmarkEnd w:id="0"/>
      <w:bookmarkEnd w:id="1"/>
      <w:bookmarkEnd w:id="2"/>
      <w:bookmarkEnd w:id="3"/>
      <w:bookmarkEnd w:id="4"/>
      <w:bookmarkEnd w:id="5"/>
    </w:p>
    <w:p w14:paraId="10B93D5E">
      <w:pPr>
        <w:keepNext w:val="0"/>
        <w:keepLines w:val="0"/>
        <w:pageBreakBefore w:val="0"/>
        <w:wordWrap/>
        <w:overflowPunct/>
        <w:topLinePunct w:val="0"/>
        <w:bidi w:val="0"/>
        <w:adjustRightInd w:val="0"/>
        <w:snapToGrid w:val="0"/>
        <w:spacing w:line="360" w:lineRule="auto"/>
        <w:ind w:left="0" w:leftChars="0" w:firstLine="0" w:firstLineChars="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发包人（全称）：</w:t>
      </w:r>
      <w:r>
        <w:rPr>
          <w:rFonts w:hint="eastAsia" w:ascii="宋体" w:hAnsi="宋体" w:eastAsia="宋体" w:cs="宋体"/>
          <w:color w:val="auto"/>
          <w:sz w:val="21"/>
          <w:szCs w:val="21"/>
          <w:highlight w:val="none"/>
          <w:u w:val="single"/>
        </w:rPr>
        <w:t xml:space="preserve"> 广州白云新能源科技有限公司</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0A107F12">
      <w:pPr>
        <w:keepNext w:val="0"/>
        <w:keepLines w:val="0"/>
        <w:pageBreakBefore w:val="0"/>
        <w:wordWrap/>
        <w:overflowPunct/>
        <w:topLinePunct w:val="0"/>
        <w:bidi w:val="0"/>
        <w:adjustRightInd w:val="0"/>
        <w:snapToGrid w:val="0"/>
        <w:spacing w:line="360" w:lineRule="auto"/>
        <w:ind w:left="0" w:leftChars="0" w:firstLine="0" w:firstLineChars="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承包人（全称）：</w:t>
      </w:r>
      <w:r>
        <w:rPr>
          <w:rFonts w:hint="eastAsia" w:ascii="宋体" w:hAnsi="宋体" w:eastAsia="宋体" w:cs="宋体"/>
          <w:color w:val="auto"/>
          <w:sz w:val="21"/>
          <w:szCs w:val="21"/>
          <w:highlight w:val="none"/>
          <w:u w:val="single"/>
        </w:rPr>
        <w:t xml:space="preserve">                                </w:t>
      </w:r>
    </w:p>
    <w:p w14:paraId="674363B7">
      <w:pPr>
        <w:keepNext w:val="0"/>
        <w:keepLines w:val="0"/>
        <w:pageBreakBefore w:val="0"/>
        <w:wordWrap/>
        <w:overflowPunct/>
        <w:topLinePunct w:val="0"/>
        <w:bidi w:val="0"/>
        <w:adjustRightInd w:val="0"/>
        <w:snapToGrid w:val="0"/>
        <w:spacing w:line="360" w:lineRule="auto"/>
        <w:ind w:left="0" w:lef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根据《中华人民共和国民法典》、《中华人民共和国建筑法》及有关法律规定，遵循平等、自愿、公平和诚实信用的原则，双方就</w:t>
      </w:r>
      <w:r>
        <w:rPr>
          <w:rFonts w:hint="eastAsia" w:ascii="宋体" w:hAnsi="宋体" w:cs="宋体"/>
          <w:color w:val="auto"/>
          <w:sz w:val="21"/>
          <w:szCs w:val="21"/>
          <w:highlight w:val="none"/>
          <w:u w:val="single"/>
          <w:lang w:val="en-US" w:eastAsia="zh-CN"/>
        </w:rPr>
        <w:t>良田粮库</w:t>
      </w:r>
      <w:r>
        <w:rPr>
          <w:rFonts w:hint="eastAsia" w:ascii="宋体" w:hAnsi="宋体" w:cs="宋体"/>
          <w:color w:val="auto"/>
          <w:sz w:val="21"/>
          <w:szCs w:val="21"/>
          <w:highlight w:val="none"/>
          <w:u w:val="single"/>
          <w:lang w:eastAsia="zh-CN"/>
        </w:rPr>
        <w:t>分布式光储项目</w:t>
      </w:r>
      <w:r>
        <w:rPr>
          <w:rFonts w:hint="eastAsia" w:ascii="宋体" w:hAnsi="宋体" w:eastAsia="宋体" w:cs="宋体"/>
          <w:color w:val="auto"/>
          <w:sz w:val="21"/>
          <w:szCs w:val="21"/>
          <w:highlight w:val="none"/>
          <w:u w:val="single"/>
          <w:lang w:eastAsia="zh-CN"/>
        </w:rPr>
        <w:t>EPC总承包</w:t>
      </w:r>
      <w:r>
        <w:rPr>
          <w:rFonts w:hint="eastAsia" w:ascii="宋体" w:hAnsi="宋体" w:eastAsia="宋体" w:cs="宋体"/>
          <w:color w:val="auto"/>
          <w:sz w:val="21"/>
          <w:szCs w:val="21"/>
          <w:highlight w:val="none"/>
        </w:rPr>
        <w:t>及有关事项协商一致，共同达成如下协议：</w:t>
      </w:r>
    </w:p>
    <w:p w14:paraId="48D87B15">
      <w:pPr>
        <w:pStyle w:val="474"/>
        <w:keepNext w:val="0"/>
        <w:keepLines w:val="0"/>
        <w:pageBreakBefore w:val="0"/>
        <w:numPr>
          <w:ilvl w:val="0"/>
          <w:numId w:val="0"/>
        </w:numPr>
        <w:wordWrap/>
        <w:overflowPunct/>
        <w:topLinePunct w:val="0"/>
        <w:bidi w:val="0"/>
        <w:adjustRightInd w:val="0"/>
        <w:snapToGrid w:val="0"/>
        <w:spacing w:line="360" w:lineRule="auto"/>
        <w:ind w:left="0" w:leftChars="0" w:firstLine="0" w:firstLineChars="0"/>
        <w:textAlignment w:val="auto"/>
        <w:rPr>
          <w:rFonts w:hint="eastAsia" w:ascii="宋体" w:hAnsi="宋体" w:eastAsia="宋体" w:cs="宋体"/>
          <w:b/>
          <w:bCs w:val="0"/>
          <w:color w:val="auto"/>
          <w:sz w:val="21"/>
          <w:szCs w:val="21"/>
          <w:highlight w:val="none"/>
        </w:rPr>
      </w:pPr>
      <w:bookmarkStart w:id="6" w:name="_Toc80633139"/>
      <w:bookmarkStart w:id="7" w:name="_Toc12286"/>
      <w:bookmarkStart w:id="8" w:name="_Toc76719882"/>
      <w:bookmarkStart w:id="9" w:name="_Toc54862165"/>
      <w:r>
        <w:rPr>
          <w:rFonts w:hint="eastAsia" w:ascii="宋体" w:hAnsi="宋体" w:eastAsia="宋体" w:cs="宋体"/>
          <w:b/>
          <w:bCs w:val="0"/>
          <w:color w:val="auto"/>
          <w:sz w:val="21"/>
          <w:szCs w:val="21"/>
          <w:highlight w:val="none"/>
        </w:rPr>
        <w:t>一、工程概况</w:t>
      </w:r>
      <w:bookmarkEnd w:id="6"/>
      <w:bookmarkEnd w:id="7"/>
      <w:bookmarkEnd w:id="8"/>
      <w:bookmarkEnd w:id="9"/>
    </w:p>
    <w:p w14:paraId="44A477AE">
      <w:pPr>
        <w:keepNext w:val="0"/>
        <w:keepLines w:val="0"/>
        <w:pageBreakBefore w:val="0"/>
        <w:numPr>
          <w:ilvl w:val="0"/>
          <w:numId w:val="4"/>
        </w:numPr>
        <w:wordWrap/>
        <w:overflowPunct/>
        <w:topLinePunct w:val="0"/>
        <w:bidi w:val="0"/>
        <w:adjustRightInd w:val="0"/>
        <w:snapToGrid w:val="0"/>
        <w:spacing w:line="360" w:lineRule="auto"/>
        <w:ind w:left="425" w:leftChars="0" w:hanging="425"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工程名称：</w:t>
      </w:r>
      <w:r>
        <w:rPr>
          <w:rFonts w:hint="eastAsia" w:ascii="宋体" w:hAnsi="宋体" w:cs="宋体"/>
          <w:color w:val="auto"/>
          <w:sz w:val="21"/>
          <w:szCs w:val="21"/>
          <w:highlight w:val="none"/>
          <w:u w:val="single"/>
          <w:lang w:val="en-US" w:eastAsia="zh-CN"/>
        </w:rPr>
        <w:t>良田粮库</w:t>
      </w:r>
      <w:r>
        <w:rPr>
          <w:rFonts w:hint="eastAsia" w:ascii="宋体" w:hAnsi="宋体" w:cs="宋体"/>
          <w:color w:val="auto"/>
          <w:sz w:val="21"/>
          <w:szCs w:val="21"/>
          <w:highlight w:val="none"/>
          <w:u w:val="single"/>
          <w:lang w:eastAsia="zh-CN"/>
        </w:rPr>
        <w:t>分布式光储项目</w:t>
      </w:r>
      <w:r>
        <w:rPr>
          <w:rFonts w:hint="eastAsia" w:ascii="宋体" w:hAnsi="宋体" w:eastAsia="宋体" w:cs="宋体"/>
          <w:color w:val="auto"/>
          <w:sz w:val="21"/>
          <w:szCs w:val="21"/>
          <w:highlight w:val="none"/>
          <w:u w:val="single"/>
          <w:lang w:eastAsia="zh-CN"/>
        </w:rPr>
        <w:t>EPC总承包</w:t>
      </w:r>
      <w:r>
        <w:rPr>
          <w:rFonts w:hint="eastAsia" w:ascii="宋体" w:hAnsi="宋体" w:eastAsia="宋体" w:cs="宋体"/>
          <w:color w:val="auto"/>
          <w:sz w:val="21"/>
          <w:szCs w:val="21"/>
          <w:highlight w:val="none"/>
        </w:rPr>
        <w:t xml:space="preserve"> 。</w:t>
      </w:r>
    </w:p>
    <w:p w14:paraId="16D30F42">
      <w:pPr>
        <w:keepNext w:val="0"/>
        <w:keepLines w:val="0"/>
        <w:pageBreakBefore w:val="0"/>
        <w:numPr>
          <w:ilvl w:val="0"/>
          <w:numId w:val="4"/>
        </w:numPr>
        <w:wordWrap/>
        <w:overflowPunct/>
        <w:topLinePunct w:val="0"/>
        <w:bidi w:val="0"/>
        <w:adjustRightInd w:val="0"/>
        <w:snapToGrid w:val="0"/>
        <w:spacing w:line="360" w:lineRule="auto"/>
        <w:ind w:left="425" w:leftChars="0" w:hanging="425"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工程地点：</w:t>
      </w:r>
      <w:r>
        <w:rPr>
          <w:rFonts w:hint="eastAsia" w:ascii="宋体" w:hAnsi="宋体" w:eastAsia="宋体"/>
          <w:color w:val="auto"/>
          <w:highlight w:val="none"/>
          <w:u w:val="single"/>
        </w:rPr>
        <w:t>广州市白云区钟落潭镇良田村、梅田村(综保围网区外北侧-2地块)</w:t>
      </w:r>
      <w:r>
        <w:rPr>
          <w:rFonts w:hint="eastAsia" w:ascii="宋体" w:hAnsi="宋体" w:eastAsia="宋体" w:cs="宋体"/>
          <w:color w:val="auto"/>
          <w:sz w:val="21"/>
          <w:szCs w:val="21"/>
          <w:highlight w:val="none"/>
          <w:u w:val="single"/>
        </w:rPr>
        <w:t>。</w:t>
      </w:r>
    </w:p>
    <w:p w14:paraId="55649C6E">
      <w:pPr>
        <w:keepNext w:val="0"/>
        <w:keepLines w:val="0"/>
        <w:pageBreakBefore w:val="0"/>
        <w:numPr>
          <w:ilvl w:val="0"/>
          <w:numId w:val="4"/>
        </w:numPr>
        <w:wordWrap/>
        <w:overflowPunct/>
        <w:topLinePunct w:val="0"/>
        <w:bidi w:val="0"/>
        <w:adjustRightInd w:val="0"/>
        <w:snapToGrid w:val="0"/>
        <w:spacing w:line="360" w:lineRule="auto"/>
        <w:ind w:left="425" w:leftChars="0" w:hanging="425"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资金来源：</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自筹资金</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rPr>
        <w:tab/>
      </w:r>
    </w:p>
    <w:p w14:paraId="4E5AF758">
      <w:pPr>
        <w:keepNext w:val="0"/>
        <w:keepLines w:val="0"/>
        <w:pageBreakBefore w:val="0"/>
        <w:numPr>
          <w:ilvl w:val="0"/>
          <w:numId w:val="4"/>
        </w:numPr>
        <w:wordWrap/>
        <w:overflowPunct/>
        <w:topLinePunct w:val="0"/>
        <w:bidi w:val="0"/>
        <w:adjustRightInd w:val="0"/>
        <w:snapToGrid w:val="0"/>
        <w:spacing w:line="360" w:lineRule="auto"/>
        <w:ind w:left="425" w:leftChars="0" w:hanging="425" w:firstLineChars="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工程内容及规模：</w:t>
      </w:r>
      <w:r>
        <w:rPr>
          <w:rFonts w:hint="eastAsia" w:ascii="宋体" w:hAnsi="宋体" w:eastAsia="宋体" w:cs="宋体"/>
          <w:color w:val="auto"/>
          <w:sz w:val="21"/>
          <w:szCs w:val="21"/>
          <w:highlight w:val="none"/>
          <w:lang w:val="en-US" w:eastAsia="zh-CN"/>
        </w:rPr>
        <w:t>本项目拟在</w:t>
      </w:r>
      <w:r>
        <w:rPr>
          <w:rFonts w:hint="eastAsia" w:ascii="宋体" w:hAnsi="宋体" w:cs="宋体"/>
          <w:color w:val="auto"/>
          <w:sz w:val="21"/>
          <w:szCs w:val="21"/>
          <w:highlight w:val="none"/>
          <w:lang w:val="en-US" w:eastAsia="zh-CN"/>
        </w:rPr>
        <w:t>良田粮库</w:t>
      </w:r>
      <w:r>
        <w:rPr>
          <w:rFonts w:hint="eastAsia" w:ascii="宋体" w:hAnsi="宋体" w:eastAsia="宋体" w:cs="宋体"/>
          <w:color w:val="auto"/>
          <w:sz w:val="21"/>
          <w:szCs w:val="21"/>
          <w:highlight w:val="none"/>
          <w:lang w:val="en-US" w:eastAsia="zh-CN"/>
        </w:rPr>
        <w:t>散装楼房仓 A 仓、B 仓、C 仓、附属用房、一站式中心及综合服务楼屋顶及综合服务楼旁停车场建设光伏电站，（其中A、B、C 仓屋面大部分为彩钢瓦隔热层结构，其他为普通屋面）。同时，为提高可再生能源的渗透率，减少高峰时段电网用电紧张，本项目拟建设采用新型高效储能技术建设储能系统一套，0~8 时充电，没有光伏电的时段放电模式，一充一放实现套利，获得经济效益，并为库区提供备用电源。项目建设规划</w:t>
      </w:r>
      <w:r>
        <w:rPr>
          <w:rFonts w:hint="eastAsia" w:ascii="宋体" w:hAnsi="宋体" w:cs="宋体"/>
          <w:color w:val="auto"/>
          <w:sz w:val="21"/>
          <w:szCs w:val="21"/>
          <w:highlight w:val="none"/>
          <w:lang w:val="en-US" w:eastAsia="zh-CN"/>
        </w:rPr>
        <w:t>光伏建设</w:t>
      </w:r>
      <w:r>
        <w:rPr>
          <w:rFonts w:hint="eastAsia" w:ascii="宋体" w:hAnsi="宋体" w:eastAsia="宋体" w:cs="宋体"/>
          <w:color w:val="auto"/>
          <w:sz w:val="21"/>
          <w:szCs w:val="21"/>
          <w:highlight w:val="none"/>
          <w:lang w:val="en-US" w:eastAsia="zh-CN"/>
        </w:rPr>
        <w:t>总容量</w:t>
      </w:r>
      <w:r>
        <w:rPr>
          <w:rFonts w:hint="eastAsia" w:ascii="宋体" w:hAnsi="宋体" w:cs="宋体"/>
          <w:color w:val="auto"/>
          <w:sz w:val="21"/>
          <w:szCs w:val="21"/>
          <w:highlight w:val="none"/>
          <w:lang w:val="en-US" w:eastAsia="zh-CN"/>
        </w:rPr>
        <w:t>约</w:t>
      </w:r>
      <w:r>
        <w:rPr>
          <w:rFonts w:hint="eastAsia" w:ascii="宋体" w:hAnsi="宋体" w:eastAsia="宋体" w:cs="宋体"/>
          <w:color w:val="auto"/>
          <w:sz w:val="21"/>
          <w:szCs w:val="21"/>
          <w:highlight w:val="none"/>
          <w:lang w:val="en-US" w:eastAsia="zh-CN"/>
        </w:rPr>
        <w:t>为</w:t>
      </w:r>
      <w:r>
        <w:rPr>
          <w:rFonts w:hint="eastAsia" w:ascii="宋体" w:hAnsi="宋体" w:cs="宋体"/>
          <w:color w:val="auto"/>
          <w:sz w:val="21"/>
          <w:szCs w:val="21"/>
          <w:highlight w:val="none"/>
          <w:lang w:val="en-US" w:eastAsia="zh-CN"/>
        </w:rPr>
        <w:t>1.3</w:t>
      </w:r>
      <w:r>
        <w:rPr>
          <w:rFonts w:hint="eastAsia" w:ascii="宋体" w:hAnsi="宋体" w:eastAsia="宋体" w:cs="宋体"/>
          <w:color w:val="auto"/>
          <w:sz w:val="21"/>
          <w:szCs w:val="21"/>
          <w:highlight w:val="none"/>
          <w:lang w:val="en-US" w:eastAsia="zh-CN"/>
        </w:rPr>
        <w:t>兆瓦（最终以实际光伏组件安装容量为准）</w:t>
      </w:r>
      <w:r>
        <w:rPr>
          <w:rFonts w:hint="eastAsia" w:ascii="宋体" w:hAnsi="宋体" w:cs="宋体"/>
          <w:color w:val="auto"/>
          <w:sz w:val="21"/>
          <w:szCs w:val="21"/>
          <w:highlight w:val="none"/>
          <w:lang w:val="en-US" w:eastAsia="zh-CN"/>
        </w:rPr>
        <w:t>；同步建设先进储能</w:t>
      </w:r>
      <w:r>
        <w:rPr>
          <w:rFonts w:hint="eastAsia" w:ascii="宋体" w:hAnsi="宋体" w:eastAsia="宋体" w:cs="宋体"/>
          <w:color w:val="auto"/>
          <w:sz w:val="21"/>
          <w:szCs w:val="21"/>
          <w:highlight w:val="none"/>
          <w:lang w:val="en-US" w:eastAsia="zh-CN"/>
        </w:rPr>
        <w:t>0.216MW/0.43MWh</w:t>
      </w:r>
      <w:r>
        <w:rPr>
          <w:rFonts w:hint="eastAsia" w:ascii="宋体" w:hAnsi="宋体" w:cs="宋体"/>
          <w:color w:val="auto"/>
          <w:sz w:val="21"/>
          <w:szCs w:val="21"/>
          <w:highlight w:val="none"/>
          <w:lang w:val="en-US" w:eastAsia="zh-CN"/>
        </w:rPr>
        <w:t>；改造厂区内路灯为光伏路灯共计50盏（含备件）</w:t>
      </w:r>
      <w:r>
        <w:rPr>
          <w:rFonts w:hint="eastAsia" w:ascii="宋体" w:hAnsi="宋体" w:eastAsia="宋体" w:cs="宋体"/>
          <w:color w:val="auto"/>
          <w:sz w:val="21"/>
          <w:szCs w:val="21"/>
          <w:highlight w:val="none"/>
          <w:lang w:val="en-US" w:eastAsia="zh-CN"/>
        </w:rPr>
        <w:t>。包括光</w:t>
      </w:r>
      <w:r>
        <w:rPr>
          <w:rFonts w:hint="eastAsia" w:ascii="宋体" w:hAnsi="宋体" w:cs="宋体"/>
          <w:color w:val="auto"/>
          <w:sz w:val="21"/>
          <w:szCs w:val="21"/>
          <w:highlight w:val="none"/>
          <w:lang w:val="en-US" w:eastAsia="zh-CN"/>
        </w:rPr>
        <w:t>储</w:t>
      </w:r>
      <w:r>
        <w:rPr>
          <w:rFonts w:hint="eastAsia" w:ascii="宋体" w:hAnsi="宋体" w:eastAsia="宋体" w:cs="宋体"/>
          <w:color w:val="auto"/>
          <w:sz w:val="21"/>
          <w:szCs w:val="21"/>
          <w:highlight w:val="none"/>
          <w:lang w:val="en-US" w:eastAsia="zh-CN"/>
        </w:rPr>
        <w:t>系统及相应的配套并网设施，组件为N型</w:t>
      </w:r>
      <w:r>
        <w:rPr>
          <w:rFonts w:hint="eastAsia" w:ascii="宋体" w:hAnsi="宋体" w:eastAsia="宋体" w:cs="宋体"/>
          <w:color w:val="auto"/>
          <w:sz w:val="21"/>
          <w:szCs w:val="21"/>
          <w:highlight w:val="none"/>
        </w:rPr>
        <w:t>单晶双玻</w:t>
      </w:r>
      <w:r>
        <w:rPr>
          <w:rFonts w:hint="eastAsia" w:ascii="宋体" w:hAnsi="宋体" w:eastAsia="宋体" w:cs="宋体"/>
          <w:color w:val="auto"/>
          <w:sz w:val="21"/>
          <w:szCs w:val="21"/>
          <w:highlight w:val="none"/>
          <w:lang w:eastAsia="zh-CN"/>
        </w:rPr>
        <w:t>不低于</w:t>
      </w:r>
      <w:r>
        <w:rPr>
          <w:rFonts w:hint="eastAsia" w:ascii="宋体" w:hAnsi="宋体" w:cs="宋体"/>
          <w:color w:val="auto"/>
          <w:sz w:val="21"/>
          <w:szCs w:val="21"/>
          <w:highlight w:val="none"/>
          <w:lang w:val="en-US" w:eastAsia="zh-CN"/>
        </w:rPr>
        <w:t>63</w:t>
      </w:r>
      <w:r>
        <w:rPr>
          <w:rFonts w:hint="eastAsia" w:ascii="宋体" w:hAnsi="宋体" w:eastAsia="宋体" w:cs="宋体"/>
          <w:color w:val="auto"/>
          <w:sz w:val="21"/>
          <w:szCs w:val="21"/>
          <w:highlight w:val="none"/>
        </w:rPr>
        <w:t>0Wp光伏组件</w:t>
      </w:r>
      <w:r>
        <w:rPr>
          <w:rFonts w:hint="eastAsia" w:ascii="宋体" w:hAnsi="宋体" w:cs="宋体"/>
          <w:color w:val="auto"/>
          <w:highlight w:val="none"/>
          <w:u w:val="none"/>
          <w:lang w:eastAsia="zh-CN"/>
        </w:rPr>
        <w:t>。</w:t>
      </w:r>
    </w:p>
    <w:p w14:paraId="28D41C3D">
      <w:pPr>
        <w:numPr>
          <w:ilvl w:val="0"/>
          <w:numId w:val="4"/>
        </w:numPr>
        <w:adjustRightInd w:val="0"/>
        <w:snapToGrid w:val="0"/>
        <w:spacing w:line="360" w:lineRule="auto"/>
        <w:ind w:left="425" w:hanging="425" w:firstLineChars="0"/>
        <w:rPr>
          <w:rFonts w:hint="eastAsia"/>
          <w:color w:val="auto"/>
          <w:highlight w:val="none"/>
          <w:lang w:val="en-US" w:eastAsia="zh-CN"/>
        </w:rPr>
      </w:pPr>
      <w:r>
        <w:rPr>
          <w:rFonts w:hint="eastAsia" w:ascii="宋体" w:hAnsi="宋体" w:eastAsia="宋体" w:cs="宋体"/>
          <w:color w:val="auto"/>
          <w:sz w:val="21"/>
          <w:szCs w:val="21"/>
          <w:highlight w:val="none"/>
        </w:rPr>
        <w:t>工程承包范围：</w:t>
      </w:r>
      <w:r>
        <w:rPr>
          <w:rFonts w:hint="eastAsia" w:ascii="宋体" w:hAnsi="宋体" w:cs="宋体"/>
          <w:color w:val="auto"/>
          <w:szCs w:val="21"/>
          <w:highlight w:val="none"/>
          <w:u w:val="single"/>
          <w:lang w:val="en-US" w:eastAsia="zh-CN"/>
        </w:rPr>
        <w:t>良田粮库</w:t>
      </w:r>
      <w:r>
        <w:rPr>
          <w:rFonts w:hint="eastAsia" w:ascii="宋体" w:hAnsi="宋体" w:cs="宋体"/>
          <w:color w:val="auto"/>
          <w:szCs w:val="21"/>
          <w:highlight w:val="none"/>
          <w:u w:val="single"/>
          <w:lang w:eastAsia="zh-CN"/>
        </w:rPr>
        <w:t>分布式光储项目</w:t>
      </w:r>
      <w:r>
        <w:rPr>
          <w:rFonts w:hint="eastAsia" w:ascii="宋体" w:hAnsi="宋体" w:eastAsia="宋体" w:cs="宋体"/>
          <w:color w:val="auto"/>
          <w:szCs w:val="21"/>
          <w:highlight w:val="none"/>
          <w:u w:val="single"/>
        </w:rPr>
        <w:t>EPC总承包</w:t>
      </w:r>
      <w:r>
        <w:rPr>
          <w:rFonts w:hint="eastAsia" w:ascii="宋体" w:hAnsi="宋体" w:cs="宋体"/>
          <w:color w:val="auto"/>
          <w:szCs w:val="21"/>
          <w:highlight w:val="none"/>
          <w:u w:val="single"/>
        </w:rPr>
        <w:t>，</w:t>
      </w:r>
      <w:r>
        <w:rPr>
          <w:rFonts w:hint="eastAsia" w:ascii="宋体" w:hAnsi="宋体" w:cs="宋体"/>
          <w:i w:val="0"/>
          <w:iCs w:val="0"/>
          <w:color w:val="auto"/>
          <w:sz w:val="21"/>
          <w:szCs w:val="21"/>
          <w:highlight w:val="none"/>
          <w:u w:val="none"/>
          <w:lang w:val="en-US" w:eastAsia="zh-CN"/>
        </w:rPr>
        <w:t>具体包括但不限于以下内容</w:t>
      </w:r>
      <w:r>
        <w:rPr>
          <w:rFonts w:hint="eastAsia" w:ascii="宋体" w:hAnsi="宋体" w:eastAsia="宋体" w:cs="宋体"/>
          <w:i w:val="0"/>
          <w:iCs w:val="0"/>
          <w:color w:val="auto"/>
          <w:sz w:val="21"/>
          <w:szCs w:val="21"/>
          <w:highlight w:val="none"/>
          <w:u w:val="none"/>
        </w:rPr>
        <w:t>：</w:t>
      </w:r>
      <w:r>
        <w:rPr>
          <w:rFonts w:hint="eastAsia" w:ascii="宋体" w:hAnsi="宋体" w:cs="宋体"/>
          <w:i w:val="0"/>
          <w:iCs w:val="0"/>
          <w:color w:val="auto"/>
          <w:sz w:val="21"/>
          <w:szCs w:val="21"/>
          <w:highlight w:val="none"/>
          <w:u w:val="none"/>
          <w:lang w:eastAsia="zh-CN"/>
        </w:rPr>
        <w:t>（</w:t>
      </w:r>
      <w:r>
        <w:rPr>
          <w:rFonts w:hint="eastAsia" w:ascii="宋体" w:hAnsi="宋体" w:cs="宋体"/>
          <w:i w:val="0"/>
          <w:iCs w:val="0"/>
          <w:color w:val="auto"/>
          <w:sz w:val="21"/>
          <w:szCs w:val="21"/>
          <w:highlight w:val="none"/>
          <w:u w:val="none"/>
          <w:lang w:val="en-US" w:eastAsia="zh-CN"/>
        </w:rPr>
        <w:t>一</w:t>
      </w:r>
      <w:r>
        <w:rPr>
          <w:rFonts w:hint="eastAsia" w:ascii="宋体" w:hAnsi="宋体" w:cs="宋体"/>
          <w:i w:val="0"/>
          <w:iCs w:val="0"/>
          <w:color w:val="auto"/>
          <w:sz w:val="21"/>
          <w:szCs w:val="21"/>
          <w:highlight w:val="none"/>
          <w:u w:val="none"/>
          <w:lang w:eastAsia="zh-CN"/>
        </w:rPr>
        <w:t>）</w:t>
      </w:r>
      <w:r>
        <w:rPr>
          <w:rFonts w:hint="eastAsia" w:ascii="宋体" w:hAnsi="宋体" w:cs="宋体"/>
          <w:color w:val="auto"/>
          <w:highlight w:val="none"/>
          <w:u w:val="none"/>
        </w:rPr>
        <w:t>分布式</w:t>
      </w:r>
      <w:r>
        <w:rPr>
          <w:rFonts w:hint="eastAsia" w:ascii="宋体" w:hAnsi="宋体" w:cs="宋体"/>
          <w:color w:val="auto"/>
          <w:highlight w:val="none"/>
          <w:u w:val="none"/>
          <w:lang w:val="en-US" w:eastAsia="zh-CN"/>
        </w:rPr>
        <w:t>光伏及储能</w:t>
      </w:r>
      <w:r>
        <w:rPr>
          <w:rFonts w:hint="eastAsia" w:ascii="宋体" w:hAnsi="宋体" w:cs="宋体"/>
          <w:color w:val="auto"/>
          <w:szCs w:val="21"/>
          <w:highlight w:val="none"/>
          <w:u w:val="none"/>
        </w:rPr>
        <w:t>至并网点的全部工程设计、设备材料采购供应（含光伏组件</w:t>
      </w:r>
      <w:r>
        <w:rPr>
          <w:rFonts w:hint="eastAsia" w:ascii="宋体" w:hAnsi="宋体" w:cs="宋体"/>
          <w:color w:val="auto"/>
          <w:szCs w:val="21"/>
          <w:highlight w:val="none"/>
          <w:u w:val="none"/>
          <w:lang w:val="en-US" w:eastAsia="zh-CN"/>
        </w:rPr>
        <w:t>/储能设备/光伏路灯</w:t>
      </w:r>
      <w:r>
        <w:rPr>
          <w:rFonts w:hint="eastAsia" w:ascii="宋体" w:hAnsi="宋体" w:cs="宋体"/>
          <w:color w:val="auto"/>
          <w:szCs w:val="21"/>
          <w:highlight w:val="none"/>
          <w:u w:val="none"/>
        </w:rPr>
        <w:t>）</w:t>
      </w:r>
      <w:r>
        <w:rPr>
          <w:rFonts w:hint="eastAsia" w:ascii="宋体" w:hAnsi="宋体" w:cs="宋体"/>
          <w:color w:val="auto"/>
          <w:szCs w:val="21"/>
          <w:highlight w:val="none"/>
          <w:u w:val="none"/>
          <w:lang w:eastAsia="zh-CN"/>
        </w:rPr>
        <w:t>、</w:t>
      </w:r>
      <w:r>
        <w:rPr>
          <w:rFonts w:hint="eastAsia" w:ascii="宋体" w:hAnsi="宋体" w:cs="宋体"/>
          <w:color w:val="auto"/>
          <w:szCs w:val="21"/>
          <w:highlight w:val="none"/>
          <w:u w:val="none"/>
        </w:rPr>
        <w:t>工程施工</w:t>
      </w:r>
      <w:r>
        <w:rPr>
          <w:rFonts w:hint="eastAsia" w:ascii="宋体" w:hAnsi="宋体" w:cs="宋体"/>
          <w:color w:val="auto"/>
          <w:szCs w:val="21"/>
          <w:highlight w:val="none"/>
          <w:u w:val="none"/>
          <w:lang w:eastAsia="zh-CN"/>
        </w:rPr>
        <w:t>（含屋面修复、补漏（如有漏水））</w:t>
      </w:r>
      <w:r>
        <w:rPr>
          <w:rFonts w:hint="eastAsia" w:ascii="宋体" w:hAnsi="宋体" w:cs="宋体"/>
          <w:color w:val="auto"/>
          <w:szCs w:val="21"/>
          <w:highlight w:val="none"/>
          <w:u w:val="none"/>
        </w:rPr>
        <w:t>、组件支架安装施工、供电网络附属工程（包括但不限于高压接入电柜、光伏发电站</w:t>
      </w:r>
      <w:r>
        <w:rPr>
          <w:rFonts w:hint="eastAsia" w:ascii="宋体" w:hAnsi="宋体" w:cs="宋体"/>
          <w:color w:val="auto"/>
          <w:szCs w:val="21"/>
          <w:highlight w:val="none"/>
          <w:u w:val="none"/>
          <w:lang w:eastAsia="zh-CN"/>
        </w:rPr>
        <w:t>、</w:t>
      </w:r>
      <w:r>
        <w:rPr>
          <w:rFonts w:hint="eastAsia" w:ascii="宋体" w:hAnsi="宋体" w:cs="宋体"/>
          <w:color w:val="auto"/>
          <w:szCs w:val="21"/>
          <w:highlight w:val="none"/>
          <w:u w:val="none"/>
          <w:lang w:val="en-US" w:eastAsia="zh-CN"/>
        </w:rPr>
        <w:t>储能设备</w:t>
      </w:r>
      <w:r>
        <w:rPr>
          <w:rFonts w:hint="eastAsia" w:ascii="宋体" w:hAnsi="宋体" w:cs="宋体"/>
          <w:color w:val="auto"/>
          <w:szCs w:val="21"/>
          <w:highlight w:val="none"/>
          <w:u w:val="none"/>
        </w:rPr>
        <w:t>到电房的高压线路及铺设、更换双向计量关口电表费用</w:t>
      </w:r>
      <w:r>
        <w:rPr>
          <w:rFonts w:hint="eastAsia" w:ascii="宋体" w:hAnsi="宋体" w:cs="宋体"/>
          <w:color w:val="auto"/>
          <w:szCs w:val="21"/>
          <w:highlight w:val="none"/>
          <w:u w:val="none"/>
          <w:lang w:val="en-US" w:eastAsia="zh-CN"/>
        </w:rPr>
        <w:t>等</w:t>
      </w:r>
      <w:r>
        <w:rPr>
          <w:rFonts w:hint="eastAsia" w:ascii="宋体" w:hAnsi="宋体" w:cs="宋体"/>
          <w:color w:val="auto"/>
          <w:szCs w:val="21"/>
          <w:highlight w:val="none"/>
          <w:u w:val="none"/>
        </w:rPr>
        <w:t>）、高低压并网工程、消防、防雷工程施工、工程质量及工期控制、工程管理、培训、调试、试运行直至验收交付生产、以及在质保期内的消缺等全过程的工作。</w:t>
      </w:r>
      <w:r>
        <w:rPr>
          <w:rFonts w:hint="eastAsia" w:ascii="宋体" w:hAnsi="宋体" w:cs="宋体"/>
          <w:color w:val="auto"/>
          <w:szCs w:val="21"/>
          <w:highlight w:val="none"/>
          <w:u w:val="none"/>
          <w:lang w:eastAsia="zh-CN"/>
        </w:rPr>
        <w:t>本工程为</w:t>
      </w:r>
      <w:r>
        <w:rPr>
          <w:rFonts w:hint="eastAsia" w:ascii="宋体" w:hAnsi="宋体" w:cs="宋体"/>
          <w:color w:val="auto"/>
          <w:szCs w:val="21"/>
          <w:highlight w:val="none"/>
          <w:u w:val="none"/>
          <w:lang w:val="en-US" w:eastAsia="zh-CN"/>
        </w:rPr>
        <w:t>EPC交锁匙工程，中标人需负责招标范围内所需要的一切手续办理（含并网接入审批），即便在招标范围内没有载明，但实际证明是确保项目发电运行所必须的，则需纳入设计、采购、施工及提供服务范围。</w:t>
      </w:r>
      <w:r>
        <w:rPr>
          <w:rFonts w:hint="eastAsia" w:ascii="宋体" w:hAnsi="宋体" w:cs="宋体"/>
          <w:color w:val="auto"/>
          <w:szCs w:val="21"/>
          <w:highlight w:val="none"/>
          <w:u w:val="none"/>
        </w:rPr>
        <w:t>接入方案以供电局批复为准</w:t>
      </w:r>
      <w:r>
        <w:rPr>
          <w:rFonts w:hint="eastAsia" w:ascii="宋体" w:hAnsi="宋体" w:cs="宋体"/>
          <w:color w:val="auto"/>
          <w:szCs w:val="21"/>
          <w:highlight w:val="none"/>
          <w:u w:val="none"/>
          <w:lang w:eastAsia="zh-CN"/>
        </w:rPr>
        <w:t>。</w:t>
      </w:r>
      <w:r>
        <w:rPr>
          <w:rFonts w:hint="eastAsia" w:ascii="宋体" w:hAnsi="宋体" w:cs="宋体"/>
          <w:color w:val="auto"/>
          <w:szCs w:val="21"/>
          <w:highlight w:val="none"/>
          <w:u w:val="none"/>
          <w:lang w:val="en-US" w:eastAsia="zh-CN"/>
        </w:rPr>
        <w:t>（二）如在施工过程中对原建构筑物有所破坏的，中标人必须对原建构筑物按发包人要求进行修复，相关费用已包含在报价中。</w:t>
      </w:r>
      <w:r>
        <w:rPr>
          <w:rFonts w:hint="eastAsia"/>
          <w:color w:val="auto"/>
          <w:highlight w:val="none"/>
          <w:lang w:val="en-US" w:eastAsia="zh-CN"/>
        </w:rPr>
        <w:t xml:space="preserve">具体包括但不限于以下各项： </w:t>
      </w:r>
    </w:p>
    <w:p w14:paraId="677F1C85">
      <w:pPr>
        <w:numPr>
          <w:ilvl w:val="0"/>
          <w:numId w:val="5"/>
        </w:numPr>
        <w:adjustRightInd w:val="0"/>
        <w:snapToGrid w:val="0"/>
        <w:spacing w:line="360" w:lineRule="auto"/>
        <w:ind w:leftChars="0" w:firstLine="420" w:firstLineChars="200"/>
        <w:jc w:val="both"/>
        <w:rPr>
          <w:rFonts w:hint="eastAsia"/>
          <w:color w:val="auto"/>
          <w:highlight w:val="none"/>
          <w:lang w:val="en-US" w:eastAsia="zh-CN"/>
        </w:rPr>
      </w:pPr>
      <w:r>
        <w:rPr>
          <w:rFonts w:hint="eastAsia"/>
          <w:color w:val="auto"/>
          <w:highlight w:val="none"/>
          <w:lang w:val="en-US" w:eastAsia="zh-CN"/>
        </w:rPr>
        <w:t>根据接入系统意见函的要求建设规划容量的分布式光储项目，建设满足接入系统意见函及设</w:t>
      </w:r>
    </w:p>
    <w:p w14:paraId="15E8F885">
      <w:pPr>
        <w:numPr>
          <w:ilvl w:val="0"/>
          <w:numId w:val="0"/>
        </w:numPr>
        <w:adjustRightInd w:val="0"/>
        <w:snapToGrid w:val="0"/>
        <w:spacing w:line="360" w:lineRule="auto"/>
        <w:ind w:firstLine="420" w:firstLineChars="200"/>
        <w:jc w:val="both"/>
        <w:rPr>
          <w:rFonts w:hint="eastAsia"/>
          <w:color w:val="auto"/>
          <w:highlight w:val="none"/>
          <w:lang w:val="en-US" w:eastAsia="zh-CN"/>
        </w:rPr>
      </w:pPr>
      <w:r>
        <w:rPr>
          <w:rFonts w:hint="eastAsia"/>
          <w:color w:val="auto"/>
          <w:highlight w:val="none"/>
          <w:lang w:val="en-US" w:eastAsia="zh-CN"/>
        </w:rPr>
        <w:t xml:space="preserve">备改造要求的电力送出工程。 </w:t>
      </w:r>
    </w:p>
    <w:p w14:paraId="2D21C013">
      <w:pPr>
        <w:pStyle w:val="2"/>
        <w:numPr>
          <w:ilvl w:val="0"/>
          <w:numId w:val="5"/>
        </w:numPr>
        <w:spacing w:line="360" w:lineRule="auto"/>
        <w:ind w:left="0" w:leftChars="0" w:firstLine="420" w:firstLineChars="200"/>
        <w:jc w:val="both"/>
        <w:rPr>
          <w:rFonts w:hint="eastAsia"/>
          <w:color w:val="auto"/>
          <w:highlight w:val="none"/>
          <w:lang w:val="en-US" w:eastAsia="zh-CN"/>
        </w:rPr>
      </w:pPr>
      <w:r>
        <w:rPr>
          <w:rFonts w:hint="eastAsia"/>
          <w:color w:val="auto"/>
          <w:highlight w:val="none"/>
          <w:lang w:val="en-US" w:eastAsia="zh-CN"/>
        </w:rPr>
        <w:t>工程设计（包光储电站工程施工图设计（包括但不限于光伏电站发电系统设计、储能系统、</w:t>
      </w:r>
    </w:p>
    <w:p w14:paraId="302F966A">
      <w:pPr>
        <w:pStyle w:val="2"/>
        <w:numPr>
          <w:ilvl w:val="0"/>
          <w:numId w:val="0"/>
        </w:numPr>
        <w:spacing w:line="360" w:lineRule="auto"/>
        <w:ind w:firstLine="420" w:firstLineChars="200"/>
        <w:jc w:val="both"/>
        <w:rPr>
          <w:rFonts w:hint="eastAsia"/>
          <w:color w:val="auto"/>
          <w:highlight w:val="none"/>
          <w:lang w:val="en-US" w:eastAsia="zh-CN"/>
        </w:rPr>
      </w:pPr>
      <w:r>
        <w:rPr>
          <w:rFonts w:hint="eastAsia"/>
          <w:color w:val="auto"/>
          <w:highlight w:val="none"/>
          <w:lang w:val="en-US" w:eastAsia="zh-CN"/>
        </w:rPr>
        <w:t>光伏路灯系统、消防设计、水暖设计（如需要）、土建设计、加固设计（如需要）等），出具荷载报</w:t>
      </w:r>
    </w:p>
    <w:p w14:paraId="7E8655B0">
      <w:pPr>
        <w:pStyle w:val="2"/>
        <w:numPr>
          <w:ilvl w:val="0"/>
          <w:numId w:val="0"/>
        </w:numPr>
        <w:spacing w:line="360" w:lineRule="auto"/>
        <w:ind w:firstLine="420" w:firstLineChars="200"/>
        <w:jc w:val="both"/>
        <w:rPr>
          <w:rFonts w:hint="eastAsia"/>
          <w:color w:val="auto"/>
          <w:highlight w:val="none"/>
          <w:lang w:val="en-US" w:eastAsia="zh-CN"/>
        </w:rPr>
      </w:pPr>
      <w:r>
        <w:rPr>
          <w:rFonts w:hint="eastAsia"/>
          <w:color w:val="auto"/>
          <w:highlight w:val="none"/>
          <w:lang w:val="en-US" w:eastAsia="zh-CN"/>
        </w:rPr>
        <w:t>告（即结构校核，费用已包含在设计费），预算书编制、竣工图和竣工文件编制。</w:t>
      </w:r>
    </w:p>
    <w:p w14:paraId="4CE4064F">
      <w:pPr>
        <w:pStyle w:val="2"/>
        <w:spacing w:line="360" w:lineRule="auto"/>
        <w:ind w:left="420" w:leftChars="200" w:firstLine="0" w:firstLineChars="0"/>
        <w:jc w:val="both"/>
        <w:rPr>
          <w:rFonts w:hint="eastAsia"/>
          <w:color w:val="auto"/>
          <w:highlight w:val="none"/>
        </w:rPr>
      </w:pPr>
      <w:r>
        <w:rPr>
          <w:rFonts w:hint="eastAsia"/>
          <w:color w:val="auto"/>
          <w:highlight w:val="none"/>
          <w:lang w:val="en-US" w:eastAsia="zh-CN"/>
        </w:rPr>
        <w:t>（3）承包人必须按发包人提供的初步设计文件和《用户需求书》进行施工图深化设计，并满足相关技术和规范要求。</w:t>
      </w:r>
    </w:p>
    <w:p w14:paraId="7E01A5C7">
      <w:pPr>
        <w:pStyle w:val="2"/>
        <w:spacing w:line="360" w:lineRule="auto"/>
        <w:ind w:left="420" w:leftChars="200" w:firstLine="0" w:firstLineChars="0"/>
        <w:jc w:val="both"/>
        <w:rPr>
          <w:rFonts w:hint="eastAsia"/>
          <w:color w:val="auto"/>
          <w:highlight w:val="none"/>
        </w:rPr>
      </w:pPr>
      <w:r>
        <w:rPr>
          <w:rFonts w:hint="eastAsia"/>
          <w:color w:val="auto"/>
          <w:highlight w:val="none"/>
          <w:lang w:val="en-US" w:eastAsia="zh-CN"/>
        </w:rPr>
        <w:t>（4）满足工程需要的工程设备材料采购、运输、卸货、验货、保管及二次搬运等。</w:t>
      </w:r>
    </w:p>
    <w:p w14:paraId="11DD8CEF">
      <w:pPr>
        <w:pStyle w:val="2"/>
        <w:spacing w:line="360" w:lineRule="auto"/>
        <w:ind w:left="420" w:leftChars="200" w:firstLine="0" w:firstLineChars="0"/>
        <w:jc w:val="both"/>
        <w:rPr>
          <w:rFonts w:hint="eastAsia"/>
          <w:color w:val="auto"/>
          <w:highlight w:val="none"/>
        </w:rPr>
      </w:pPr>
      <w:r>
        <w:rPr>
          <w:rFonts w:hint="eastAsia"/>
          <w:color w:val="auto"/>
          <w:highlight w:val="none"/>
          <w:lang w:val="en-US" w:eastAsia="zh-CN"/>
        </w:rPr>
        <w:t xml:space="preserve">（5）本项目所有土建、安装工程,包括但不限于光伏组件（含支架）、储能柜、汇流箱、逆变器、低压交流开关柜（盘）、电能计量和电能质量监测装置、继电保护和安全自动装置、自动化和通信设备（含传输通道）、自动电压控制（AVC）、自动发电控制（AGC）、太阳能资源实时监测系统、计算机监控系统、视频监控系统、安防报警系统、火灾报警系统、环境监控装置、电缆和光缆、消防系统、照明和暖通系统、防雷接地等所有设备安装、调试、试验及设备基础、配电房及进厂道路施工、设备标志牌/警示牌、宣传栏设计施工（按甲方技术要求）等，包括施工用水和生产运营用水的施工。 </w:t>
      </w:r>
    </w:p>
    <w:p w14:paraId="43B15E75">
      <w:pPr>
        <w:pStyle w:val="2"/>
        <w:spacing w:line="360" w:lineRule="auto"/>
        <w:ind w:left="420" w:leftChars="200" w:firstLine="0" w:firstLineChars="0"/>
        <w:jc w:val="both"/>
        <w:rPr>
          <w:rFonts w:hint="eastAsia"/>
          <w:color w:val="auto"/>
          <w:highlight w:val="none"/>
          <w:lang w:val="en-US" w:eastAsia="zh-CN"/>
        </w:rPr>
      </w:pPr>
      <w:r>
        <w:rPr>
          <w:rFonts w:hint="eastAsia"/>
          <w:color w:val="auto"/>
          <w:highlight w:val="none"/>
          <w:lang w:val="en-US" w:eastAsia="zh-CN"/>
        </w:rPr>
        <w:t>（6）系统调试包括但不限于站内电气一、二次设备、计算机监控系统和通讯系统的分系统调试。</w:t>
      </w:r>
    </w:p>
    <w:p w14:paraId="118032CE">
      <w:pPr>
        <w:pStyle w:val="2"/>
        <w:spacing w:line="360" w:lineRule="auto"/>
        <w:ind w:left="420" w:leftChars="200" w:firstLine="0" w:firstLineChars="0"/>
        <w:jc w:val="both"/>
        <w:rPr>
          <w:rFonts w:hint="eastAsia"/>
          <w:color w:val="auto"/>
          <w:highlight w:val="none"/>
          <w:lang w:val="en-US" w:eastAsia="zh-CN"/>
        </w:rPr>
      </w:pPr>
      <w:r>
        <w:rPr>
          <w:rFonts w:hint="eastAsia"/>
          <w:color w:val="auto"/>
          <w:highlight w:val="none"/>
          <w:lang w:val="en-US" w:eastAsia="zh-CN"/>
        </w:rPr>
        <w:t xml:space="preserve">（7）光伏电站监控后台的设备采购、安装与调试，本地视频监控的设备采购、安装与调试、视频信号接入本次新建能源管理平台的设备采购、安装与调试。 </w:t>
      </w:r>
    </w:p>
    <w:p w14:paraId="5CE8AD6B">
      <w:pPr>
        <w:pStyle w:val="2"/>
        <w:spacing w:line="360" w:lineRule="auto"/>
        <w:ind w:left="420" w:leftChars="200" w:firstLine="0" w:firstLineChars="0"/>
        <w:jc w:val="both"/>
        <w:rPr>
          <w:rFonts w:hint="eastAsia"/>
          <w:color w:val="auto"/>
          <w:highlight w:val="none"/>
          <w:lang w:val="en-US" w:eastAsia="zh-CN"/>
        </w:rPr>
      </w:pPr>
      <w:r>
        <w:rPr>
          <w:rFonts w:hint="eastAsia"/>
          <w:color w:val="auto"/>
          <w:highlight w:val="none"/>
          <w:lang w:val="en-US" w:eastAsia="zh-CN"/>
        </w:rPr>
        <w:t xml:space="preserve">（8）后台数据接入本次新建能源管理平台的设备采购、安装与调试。 </w:t>
      </w:r>
    </w:p>
    <w:p w14:paraId="04B635D4">
      <w:pPr>
        <w:pStyle w:val="2"/>
        <w:spacing w:line="360" w:lineRule="auto"/>
        <w:ind w:left="420" w:leftChars="200" w:firstLine="0" w:firstLineChars="0"/>
        <w:jc w:val="both"/>
        <w:rPr>
          <w:rFonts w:hint="eastAsia"/>
          <w:color w:val="auto"/>
          <w:highlight w:val="none"/>
          <w:lang w:val="en-US" w:eastAsia="zh-CN"/>
        </w:rPr>
      </w:pPr>
      <w:r>
        <w:rPr>
          <w:rFonts w:hint="eastAsia"/>
          <w:color w:val="auto"/>
          <w:highlight w:val="none"/>
          <w:lang w:val="en-US" w:eastAsia="zh-CN"/>
        </w:rPr>
        <w:t xml:space="preserve">（9）通过电站验收(包括工程质量监督检查、工程验收、并网验收、竣工验收等)，办理竣工手续，以及项目性能试验验收。对光伏组件到现场后进行第三方抽检。 </w:t>
      </w:r>
    </w:p>
    <w:p w14:paraId="02CB5141">
      <w:pPr>
        <w:pStyle w:val="2"/>
        <w:keepNext w:val="0"/>
        <w:keepLines w:val="0"/>
        <w:pageBreakBefore w:val="0"/>
        <w:wordWrap/>
        <w:overflowPunct/>
        <w:topLinePunct w:val="0"/>
        <w:bidi w:val="0"/>
        <w:adjustRightInd w:val="0"/>
        <w:snapToGrid w:val="0"/>
        <w:spacing w:line="360" w:lineRule="auto"/>
        <w:ind w:left="420" w:leftChars="200" w:firstLine="0" w:firstLineChars="0"/>
        <w:jc w:val="both"/>
        <w:textAlignment w:val="auto"/>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（10）为建设单位培训电站运维人员，提供项目运行所需的工器具和2年（其中组件</w:t>
      </w:r>
      <w:r>
        <w:rPr>
          <w:rFonts w:hint="eastAsia" w:cs="Times New Roman"/>
          <w:color w:val="auto"/>
          <w:highlight w:val="none"/>
          <w:lang w:val="en-US" w:eastAsia="zh-CN"/>
        </w:rPr>
        <w:t>10</w:t>
      </w:r>
      <w:r>
        <w:rPr>
          <w:rFonts w:hint="eastAsia" w:ascii="Times New Roman" w:hAnsi="Times New Roman" w:eastAsia="宋体" w:cs="Times New Roman"/>
          <w:color w:val="auto"/>
          <w:highlight w:val="none"/>
          <w:lang w:val="en-US" w:eastAsia="zh-CN"/>
        </w:rPr>
        <w:t>年，逆变器</w:t>
      </w:r>
      <w:r>
        <w:rPr>
          <w:rFonts w:hint="eastAsia" w:cs="Times New Roman"/>
          <w:color w:val="auto"/>
          <w:highlight w:val="none"/>
          <w:lang w:val="en-US" w:eastAsia="zh-CN"/>
        </w:rPr>
        <w:t>5</w:t>
      </w:r>
      <w:r>
        <w:rPr>
          <w:rFonts w:hint="eastAsia" w:ascii="Times New Roman" w:hAnsi="Times New Roman" w:eastAsia="宋体" w:cs="Times New Roman"/>
          <w:color w:val="auto"/>
          <w:highlight w:val="none"/>
          <w:lang w:val="en-US" w:eastAsia="zh-CN"/>
        </w:rPr>
        <w:t>年）质保期内的备品、备件，光伏组件备品按不低于</w:t>
      </w:r>
      <w:r>
        <w:rPr>
          <w:rFonts w:hint="eastAsia" w:cs="Times New Roman"/>
          <w:color w:val="auto"/>
          <w:highlight w:val="none"/>
          <w:lang w:val="en-US" w:eastAsia="zh-CN"/>
        </w:rPr>
        <w:t>2</w:t>
      </w:r>
      <w:r>
        <w:rPr>
          <w:rFonts w:hint="eastAsia" w:ascii="Times New Roman" w:hAnsi="Times New Roman" w:eastAsia="宋体" w:cs="Times New Roman"/>
          <w:color w:val="auto"/>
          <w:highlight w:val="none"/>
          <w:lang w:val="en-US" w:eastAsia="zh-CN"/>
        </w:rPr>
        <w:t>块/1MW标准提供，提供电站运行后技术服务和设备保修（质保期内免费）。以及相关技术资料的提供。</w:t>
      </w:r>
    </w:p>
    <w:p w14:paraId="2A33AA69">
      <w:pPr>
        <w:pStyle w:val="474"/>
        <w:keepNext w:val="0"/>
        <w:keepLines w:val="0"/>
        <w:pageBreakBefore w:val="0"/>
        <w:numPr>
          <w:ilvl w:val="0"/>
          <w:numId w:val="6"/>
        </w:numPr>
        <w:wordWrap/>
        <w:overflowPunct/>
        <w:topLinePunct w:val="0"/>
        <w:bidi w:val="0"/>
        <w:adjustRightInd w:val="0"/>
        <w:snapToGrid w:val="0"/>
        <w:spacing w:line="360" w:lineRule="auto"/>
        <w:ind w:left="0" w:leftChars="0" w:firstLine="0" w:firstLineChars="0"/>
        <w:textAlignment w:val="auto"/>
        <w:rPr>
          <w:rFonts w:hint="eastAsia" w:ascii="宋体" w:hAnsi="宋体" w:eastAsia="宋体" w:cs="宋体"/>
          <w:b/>
          <w:bCs w:val="0"/>
          <w:color w:val="auto"/>
          <w:sz w:val="21"/>
          <w:szCs w:val="21"/>
          <w:highlight w:val="none"/>
        </w:rPr>
      </w:pPr>
      <w:bookmarkStart w:id="10" w:name="_Toc80633140"/>
      <w:bookmarkStart w:id="11" w:name="_Toc13534"/>
      <w:bookmarkStart w:id="12" w:name="_Toc54862166"/>
      <w:bookmarkStart w:id="13" w:name="_Toc76719883"/>
      <w:bookmarkStart w:id="14" w:name="OLE_LINK4"/>
      <w:r>
        <w:rPr>
          <w:rFonts w:hint="eastAsia" w:ascii="宋体" w:hAnsi="宋体" w:eastAsia="宋体" w:cs="宋体"/>
          <w:b/>
          <w:bCs w:val="0"/>
          <w:color w:val="auto"/>
          <w:sz w:val="21"/>
          <w:szCs w:val="21"/>
          <w:highlight w:val="none"/>
        </w:rPr>
        <w:t>合同工期</w:t>
      </w:r>
      <w:bookmarkEnd w:id="10"/>
      <w:bookmarkEnd w:id="11"/>
      <w:bookmarkEnd w:id="12"/>
      <w:bookmarkEnd w:id="13"/>
    </w:p>
    <w:bookmarkEnd w:id="14"/>
    <w:p w14:paraId="0BF84FAA">
      <w:pPr>
        <w:numPr>
          <w:ilvl w:val="0"/>
          <w:numId w:val="0"/>
        </w:numPr>
        <w:ind w:firstLine="420" w:firstLineChars="200"/>
        <w:rPr>
          <w:rFonts w:hint="default" w:eastAsia="宋体"/>
          <w:color w:val="auto"/>
          <w:highlight w:val="none"/>
          <w:lang w:val="en-US" w:eastAsia="zh-CN"/>
        </w:rPr>
      </w:pPr>
      <w:bookmarkStart w:id="15" w:name="OLE_LINK2"/>
      <w:r>
        <w:rPr>
          <w:rFonts w:hint="eastAsia"/>
          <w:color w:val="auto"/>
          <w:highlight w:val="none"/>
          <w:lang w:val="en-US" w:eastAsia="zh-CN"/>
        </w:rPr>
        <w:t>合同总工期：为</w:t>
      </w:r>
      <w:r>
        <w:rPr>
          <w:rFonts w:hint="eastAsia"/>
          <w:color w:val="auto"/>
          <w:highlight w:val="none"/>
          <w:u w:val="single"/>
          <w:lang w:val="en-US" w:eastAsia="zh-CN"/>
        </w:rPr>
        <w:t xml:space="preserve"> 60 </w:t>
      </w:r>
      <w:r>
        <w:rPr>
          <w:rFonts w:hint="eastAsia"/>
          <w:color w:val="auto"/>
          <w:highlight w:val="none"/>
          <w:lang w:val="en-US" w:eastAsia="zh-CN"/>
        </w:rPr>
        <w:t>个日历天</w:t>
      </w:r>
      <w:bookmarkEnd w:id="15"/>
    </w:p>
    <w:p w14:paraId="5A117610">
      <w:pPr>
        <w:keepNext w:val="0"/>
        <w:keepLines w:val="0"/>
        <w:pageBreakBefore w:val="0"/>
        <w:widowControl/>
        <w:wordWrap/>
        <w:overflowPunct/>
        <w:topLinePunct w:val="0"/>
        <w:bidi w:val="0"/>
        <w:adjustRightInd w:val="0"/>
        <w:snapToGrid w:val="0"/>
        <w:spacing w:line="360" w:lineRule="auto"/>
        <w:ind w:left="0" w:leftChars="0" w:firstLine="420" w:firstLineChars="200"/>
        <w:jc w:val="left"/>
        <w:textAlignment w:val="auto"/>
        <w:rPr>
          <w:rFonts w:hint="eastAsia"/>
          <w:color w:val="auto"/>
          <w:highlight w:val="none"/>
        </w:rPr>
      </w:pPr>
      <w:bookmarkStart w:id="16" w:name="_Toc54862167"/>
      <w:r>
        <w:rPr>
          <w:rFonts w:hint="eastAsia" w:ascii="宋体" w:hAnsi="宋体" w:eastAsia="宋体" w:cs="宋体"/>
          <w:bCs/>
          <w:color w:val="auto"/>
          <w:kern w:val="0"/>
          <w:sz w:val="21"/>
          <w:szCs w:val="21"/>
          <w:highlight w:val="none"/>
        </w:rPr>
        <w:t>开工日期：</w:t>
      </w:r>
      <w:r>
        <w:rPr>
          <w:rFonts w:hint="default" w:ascii="Times New Roman" w:hAnsi="Times New Roman" w:eastAsia="宋体" w:cs="Times New Roman"/>
          <w:bCs/>
          <w:color w:val="auto"/>
          <w:kern w:val="0"/>
          <w:sz w:val="21"/>
          <w:szCs w:val="21"/>
          <w:highlight w:val="none"/>
          <w:u w:val="single"/>
        </w:rPr>
        <w:t>202</w:t>
      </w:r>
      <w:r>
        <w:rPr>
          <w:rFonts w:hint="default" w:ascii="Times New Roman" w:hAnsi="Times New Roman" w:cs="Times New Roman"/>
          <w:bCs/>
          <w:color w:val="auto"/>
          <w:kern w:val="0"/>
          <w:sz w:val="21"/>
          <w:szCs w:val="21"/>
          <w:highlight w:val="none"/>
          <w:u w:val="single"/>
          <w:lang w:val="en-US" w:eastAsia="zh-CN"/>
        </w:rPr>
        <w:t>5</w:t>
      </w:r>
      <w:r>
        <w:rPr>
          <w:rFonts w:hint="eastAsia" w:ascii="宋体" w:hAnsi="宋体" w:eastAsia="宋体" w:cs="宋体"/>
          <w:bCs/>
          <w:color w:val="auto"/>
          <w:kern w:val="0"/>
          <w:sz w:val="21"/>
          <w:szCs w:val="21"/>
          <w:highlight w:val="none"/>
          <w:u w:val="single"/>
        </w:rPr>
        <w:t>年    月     日</w:t>
      </w:r>
      <w:r>
        <w:rPr>
          <w:rFonts w:hint="eastAsia" w:ascii="宋体" w:hAnsi="宋体" w:eastAsia="宋体" w:cs="宋体"/>
          <w:bCs/>
          <w:color w:val="auto"/>
          <w:kern w:val="0"/>
          <w:sz w:val="21"/>
          <w:szCs w:val="21"/>
          <w:highlight w:val="none"/>
        </w:rPr>
        <w:t>。（以发包人下达开工令之日起）</w:t>
      </w:r>
    </w:p>
    <w:p w14:paraId="43CD9E7D">
      <w:pPr>
        <w:keepNext w:val="0"/>
        <w:keepLines w:val="0"/>
        <w:pageBreakBefore w:val="0"/>
        <w:widowControl/>
        <w:numPr>
          <w:ilvl w:val="0"/>
          <w:numId w:val="0"/>
        </w:numPr>
        <w:wordWrap/>
        <w:overflowPunct/>
        <w:topLinePunct w:val="0"/>
        <w:bidi w:val="0"/>
        <w:adjustRightInd w:val="0"/>
        <w:snapToGrid w:val="0"/>
        <w:spacing w:line="360" w:lineRule="auto"/>
        <w:ind w:leftChars="0" w:firstLine="420" w:firstLineChars="200"/>
        <w:jc w:val="left"/>
        <w:textAlignment w:val="auto"/>
        <w:rPr>
          <w:rFonts w:hint="eastAsia" w:ascii="宋体" w:hAnsi="宋体" w:eastAsia="宋体" w:cs="宋体"/>
          <w:bCs/>
          <w:color w:val="auto"/>
          <w:kern w:val="0"/>
          <w:sz w:val="21"/>
          <w:szCs w:val="21"/>
          <w:highlight w:val="none"/>
        </w:rPr>
      </w:pPr>
      <w:r>
        <w:rPr>
          <w:rFonts w:hint="eastAsia" w:ascii="宋体" w:hAnsi="宋体" w:cs="宋体"/>
          <w:bCs/>
          <w:color w:val="auto"/>
          <w:kern w:val="0"/>
          <w:sz w:val="21"/>
          <w:szCs w:val="21"/>
          <w:highlight w:val="none"/>
          <w:lang w:val="en-US" w:eastAsia="zh-CN"/>
        </w:rPr>
        <w:t>1.</w:t>
      </w:r>
      <w:r>
        <w:rPr>
          <w:rFonts w:hint="eastAsia" w:ascii="宋体" w:hAnsi="宋体" w:eastAsia="宋体" w:cs="宋体"/>
          <w:bCs/>
          <w:color w:val="auto"/>
          <w:kern w:val="0"/>
          <w:sz w:val="21"/>
          <w:szCs w:val="21"/>
          <w:highlight w:val="none"/>
        </w:rPr>
        <w:t>设计周期要求：</w:t>
      </w:r>
      <w:r>
        <w:rPr>
          <w:rFonts w:hint="eastAsia" w:ascii="宋体" w:hAnsi="宋体" w:cs="宋体"/>
          <w:color w:val="auto"/>
          <w:kern w:val="0"/>
          <w:sz w:val="21"/>
          <w:szCs w:val="21"/>
          <w:highlight w:val="none"/>
          <w:lang w:eastAsia="zh-CN" w:bidi="ar"/>
        </w:rPr>
        <w:t>合同签订生效之日起</w:t>
      </w:r>
      <w:r>
        <w:rPr>
          <w:rFonts w:hint="default" w:ascii="Times New Roman" w:hAnsi="Times New Roman" w:cs="Times New Roman"/>
          <w:color w:val="auto"/>
          <w:kern w:val="0"/>
          <w:sz w:val="21"/>
          <w:szCs w:val="21"/>
          <w:highlight w:val="none"/>
          <w:lang w:eastAsia="zh-CN" w:bidi="ar"/>
        </w:rPr>
        <w:t>1</w:t>
      </w:r>
      <w:r>
        <w:rPr>
          <w:rFonts w:hint="default" w:ascii="Times New Roman" w:hAnsi="Times New Roman" w:cs="Times New Roman"/>
          <w:color w:val="auto"/>
          <w:kern w:val="0"/>
          <w:sz w:val="21"/>
          <w:szCs w:val="21"/>
          <w:highlight w:val="none"/>
          <w:lang w:val="en-US" w:eastAsia="zh-CN" w:bidi="ar"/>
        </w:rPr>
        <w:t>0</w:t>
      </w:r>
      <w:r>
        <w:rPr>
          <w:rFonts w:hint="eastAsia" w:ascii="宋体" w:hAnsi="宋体" w:cs="宋体"/>
          <w:color w:val="auto"/>
          <w:kern w:val="0"/>
          <w:sz w:val="21"/>
          <w:szCs w:val="21"/>
          <w:highlight w:val="none"/>
          <w:lang w:eastAsia="zh-CN" w:bidi="ar"/>
        </w:rPr>
        <w:t>个日历天内完成施工图设计并提交施工图设计成果（含预算书、荷载报告（即结构校核））</w:t>
      </w:r>
      <w:r>
        <w:rPr>
          <w:rFonts w:hint="eastAsia" w:ascii="宋体" w:hAnsi="宋体" w:cs="宋体"/>
          <w:bCs/>
          <w:color w:val="auto"/>
          <w:kern w:val="0"/>
          <w:szCs w:val="21"/>
          <w:highlight w:val="none"/>
        </w:rPr>
        <w:t>；</w:t>
      </w:r>
    </w:p>
    <w:p w14:paraId="5E9AB73D">
      <w:pPr>
        <w:pStyle w:val="2"/>
        <w:ind w:left="0" w:leftChars="0" w:firstLine="420" w:firstLineChars="200"/>
        <w:jc w:val="left"/>
        <w:rPr>
          <w:rFonts w:hint="eastAsia" w:ascii="宋体" w:hAnsi="宋体" w:cs="宋体"/>
          <w:color w:val="auto"/>
          <w:kern w:val="0"/>
          <w:szCs w:val="21"/>
          <w:highlight w:val="none"/>
          <w:lang w:eastAsia="zh-CN" w:bidi="ar"/>
        </w:rPr>
      </w:pPr>
      <w:r>
        <w:rPr>
          <w:rFonts w:hint="eastAsia" w:ascii="宋体" w:hAnsi="宋体" w:cs="宋体"/>
          <w:bCs/>
          <w:color w:val="auto"/>
          <w:kern w:val="0"/>
          <w:sz w:val="21"/>
          <w:szCs w:val="21"/>
          <w:highlight w:val="none"/>
          <w:lang w:val="en-US" w:eastAsia="zh-CN"/>
        </w:rPr>
        <w:t>2.</w:t>
      </w:r>
      <w:r>
        <w:rPr>
          <w:rFonts w:hint="eastAsia" w:ascii="宋体" w:hAnsi="宋体" w:eastAsia="宋体" w:cs="宋体"/>
          <w:bCs/>
          <w:color w:val="auto"/>
          <w:kern w:val="0"/>
          <w:sz w:val="21"/>
          <w:szCs w:val="21"/>
          <w:highlight w:val="none"/>
        </w:rPr>
        <w:t>施工工期要求：</w:t>
      </w:r>
      <w:r>
        <w:rPr>
          <w:rFonts w:hint="eastAsia" w:ascii="宋体" w:hAnsi="宋体" w:cs="宋体"/>
          <w:color w:val="auto"/>
          <w:kern w:val="0"/>
          <w:szCs w:val="21"/>
          <w:highlight w:val="none"/>
          <w:lang w:val="en-US" w:eastAsia="zh-CN" w:bidi="ar"/>
        </w:rPr>
        <w:t>施工图经发包人确认</w:t>
      </w:r>
      <w:r>
        <w:rPr>
          <w:rFonts w:hint="eastAsia" w:ascii="宋体" w:hAnsi="宋体" w:cs="宋体"/>
          <w:color w:val="auto"/>
          <w:kern w:val="0"/>
          <w:szCs w:val="21"/>
          <w:highlight w:val="none"/>
          <w:lang w:bidi="ar"/>
        </w:rPr>
        <w:t>后</w:t>
      </w:r>
      <w:r>
        <w:rPr>
          <w:rFonts w:hint="eastAsia" w:ascii="宋体" w:hAnsi="宋体" w:cs="宋体"/>
          <w:color w:val="auto"/>
          <w:kern w:val="0"/>
          <w:szCs w:val="21"/>
          <w:highlight w:val="none"/>
          <w:lang w:val="en-US" w:eastAsia="zh-CN" w:bidi="ar"/>
        </w:rPr>
        <w:t>50</w:t>
      </w:r>
      <w:bookmarkStart w:id="17" w:name="OLE_LINK3"/>
      <w:r>
        <w:rPr>
          <w:rFonts w:hint="eastAsia" w:ascii="宋体" w:hAnsi="宋体" w:cs="宋体"/>
          <w:color w:val="auto"/>
          <w:kern w:val="0"/>
          <w:szCs w:val="21"/>
          <w:highlight w:val="none"/>
          <w:lang w:bidi="ar"/>
        </w:rPr>
        <w:t>个日历天内</w:t>
      </w:r>
      <w:bookmarkEnd w:id="17"/>
      <w:r>
        <w:rPr>
          <w:rFonts w:hint="eastAsia" w:ascii="宋体" w:hAnsi="宋体" w:cs="宋体"/>
          <w:color w:val="auto"/>
          <w:kern w:val="0"/>
          <w:szCs w:val="21"/>
          <w:highlight w:val="none"/>
          <w:lang w:bidi="ar"/>
        </w:rPr>
        <w:t>完成所有工程施工</w:t>
      </w:r>
      <w:r>
        <w:rPr>
          <w:rFonts w:hint="eastAsia" w:ascii="宋体" w:hAnsi="宋体" w:cs="宋体"/>
          <w:color w:val="auto"/>
          <w:kern w:val="0"/>
          <w:szCs w:val="21"/>
          <w:highlight w:val="none"/>
          <w:lang w:eastAsia="zh-CN" w:bidi="ar"/>
        </w:rPr>
        <w:t>；</w:t>
      </w:r>
    </w:p>
    <w:p w14:paraId="604EF9A7">
      <w:pPr>
        <w:pStyle w:val="474"/>
        <w:keepNext w:val="0"/>
        <w:keepLines w:val="0"/>
        <w:pageBreakBefore w:val="0"/>
        <w:numPr>
          <w:ilvl w:val="0"/>
          <w:numId w:val="0"/>
        </w:numPr>
        <w:wordWrap/>
        <w:overflowPunct/>
        <w:topLinePunct w:val="0"/>
        <w:bidi w:val="0"/>
        <w:adjustRightInd w:val="0"/>
        <w:snapToGrid w:val="0"/>
        <w:spacing w:line="360" w:lineRule="auto"/>
        <w:ind w:leftChars="0"/>
        <w:textAlignment w:val="auto"/>
        <w:rPr>
          <w:rFonts w:hint="eastAsia" w:ascii="宋体" w:hAnsi="宋体" w:cs="宋体"/>
          <w:color w:val="auto"/>
          <w:kern w:val="0"/>
          <w:szCs w:val="21"/>
          <w:highlight w:val="none"/>
          <w:lang w:val="en-US" w:eastAsia="zh-CN" w:bidi="ar"/>
        </w:rPr>
      </w:pPr>
      <w:r>
        <w:rPr>
          <w:rFonts w:hint="eastAsia" w:cs="宋体"/>
          <w:b/>
          <w:bCs w:val="0"/>
          <w:color w:val="auto"/>
          <w:sz w:val="21"/>
          <w:szCs w:val="21"/>
          <w:highlight w:val="none"/>
          <w:lang w:val="en-US" w:eastAsia="zh-CN"/>
        </w:rPr>
        <w:t>三、</w:t>
      </w:r>
      <w:r>
        <w:rPr>
          <w:rFonts w:hint="eastAsia" w:ascii="宋体" w:hAnsi="宋体" w:cs="宋体"/>
          <w:b/>
          <w:bCs w:val="0"/>
          <w:color w:val="auto"/>
          <w:sz w:val="21"/>
          <w:szCs w:val="21"/>
          <w:highlight w:val="none"/>
          <w:lang w:val="en-US" w:eastAsia="zh-CN"/>
        </w:rPr>
        <w:t>并网验收</w:t>
      </w:r>
    </w:p>
    <w:p w14:paraId="7A9F928C">
      <w:pPr>
        <w:pStyle w:val="2"/>
        <w:ind w:left="0" w:leftChars="0" w:firstLine="420" w:firstLineChars="200"/>
        <w:jc w:val="left"/>
        <w:rPr>
          <w:rFonts w:hint="eastAsia" w:ascii="宋体" w:hAnsi="宋体" w:cs="宋体"/>
          <w:bCs/>
          <w:color w:val="auto"/>
          <w:kern w:val="0"/>
          <w:szCs w:val="21"/>
          <w:highlight w:val="none"/>
        </w:rPr>
      </w:pPr>
      <w:r>
        <w:rPr>
          <w:rFonts w:hint="eastAsia" w:ascii="宋体" w:hAnsi="宋体" w:cs="宋体"/>
          <w:color w:val="auto"/>
          <w:kern w:val="0"/>
          <w:szCs w:val="21"/>
          <w:highlight w:val="none"/>
          <w:lang w:val="en-US" w:eastAsia="zh-CN" w:bidi="ar"/>
        </w:rPr>
        <w:t>施工完成后30</w:t>
      </w:r>
      <w:r>
        <w:rPr>
          <w:rFonts w:hint="eastAsia" w:ascii="宋体" w:hAnsi="宋体" w:cs="宋体"/>
          <w:color w:val="auto"/>
          <w:kern w:val="0"/>
          <w:szCs w:val="21"/>
          <w:highlight w:val="none"/>
          <w:lang w:bidi="ar"/>
        </w:rPr>
        <w:t>个日历天内通过供电部门的并网验收</w:t>
      </w:r>
      <w:r>
        <w:rPr>
          <w:rFonts w:hint="eastAsia" w:ascii="宋体" w:hAnsi="宋体" w:cs="宋体"/>
          <w:bCs/>
          <w:color w:val="auto"/>
          <w:kern w:val="0"/>
          <w:szCs w:val="21"/>
          <w:highlight w:val="none"/>
        </w:rPr>
        <w:t>。</w:t>
      </w:r>
    </w:p>
    <w:p w14:paraId="58AD0A2C">
      <w:pPr>
        <w:pStyle w:val="2"/>
        <w:jc w:val="left"/>
        <w:rPr>
          <w:rFonts w:hint="eastAsia" w:ascii="宋体" w:hAnsi="宋体" w:eastAsia="宋体" w:cs="宋体"/>
          <w:color w:val="auto"/>
          <w:kern w:val="0"/>
          <w:sz w:val="21"/>
          <w:szCs w:val="21"/>
          <w:highlight w:val="none"/>
        </w:rPr>
      </w:pPr>
    </w:p>
    <w:p w14:paraId="58CC3309">
      <w:pPr>
        <w:pStyle w:val="474"/>
        <w:keepNext w:val="0"/>
        <w:keepLines w:val="0"/>
        <w:pageBreakBefore w:val="0"/>
        <w:numPr>
          <w:ilvl w:val="0"/>
          <w:numId w:val="0"/>
        </w:numPr>
        <w:wordWrap/>
        <w:overflowPunct/>
        <w:topLinePunct w:val="0"/>
        <w:bidi w:val="0"/>
        <w:adjustRightInd w:val="0"/>
        <w:snapToGrid w:val="0"/>
        <w:spacing w:line="360" w:lineRule="auto"/>
        <w:ind w:leftChars="0"/>
        <w:textAlignment w:val="auto"/>
        <w:rPr>
          <w:rFonts w:hint="eastAsia" w:ascii="宋体" w:hAnsi="宋体" w:eastAsia="宋体" w:cs="宋体"/>
          <w:b/>
          <w:bCs w:val="0"/>
          <w:color w:val="auto"/>
          <w:sz w:val="21"/>
          <w:szCs w:val="21"/>
          <w:highlight w:val="none"/>
        </w:rPr>
      </w:pPr>
      <w:bookmarkStart w:id="18" w:name="_Toc80633141"/>
      <w:bookmarkStart w:id="19" w:name="_Toc31224"/>
      <w:bookmarkStart w:id="20" w:name="_Toc76719884"/>
      <w:r>
        <w:rPr>
          <w:rFonts w:hint="eastAsia" w:cs="宋体"/>
          <w:b/>
          <w:bCs w:val="0"/>
          <w:color w:val="auto"/>
          <w:sz w:val="21"/>
          <w:szCs w:val="21"/>
          <w:highlight w:val="none"/>
          <w:lang w:val="en-US" w:eastAsia="zh-CN"/>
        </w:rPr>
        <w:t>四</w:t>
      </w:r>
      <w:r>
        <w:rPr>
          <w:rFonts w:hint="eastAsia" w:ascii="宋体" w:hAnsi="宋体" w:eastAsia="宋体" w:cs="宋体"/>
          <w:b/>
          <w:bCs w:val="0"/>
          <w:color w:val="auto"/>
          <w:sz w:val="21"/>
          <w:szCs w:val="21"/>
          <w:highlight w:val="none"/>
        </w:rPr>
        <w:t>、质量标准</w:t>
      </w:r>
      <w:bookmarkEnd w:id="16"/>
      <w:bookmarkEnd w:id="18"/>
      <w:bookmarkEnd w:id="19"/>
      <w:bookmarkEnd w:id="20"/>
    </w:p>
    <w:p w14:paraId="31AFDB29">
      <w:pPr>
        <w:pStyle w:val="475"/>
        <w:keepNext w:val="0"/>
        <w:keepLines w:val="0"/>
        <w:pageBreakBefore w:val="0"/>
        <w:widowControl w:val="0"/>
        <w:numPr>
          <w:ilvl w:val="0"/>
          <w:numId w:val="7"/>
        </w:numPr>
        <w:wordWrap/>
        <w:overflowPunct/>
        <w:topLinePunct w:val="0"/>
        <w:bidi w:val="0"/>
        <w:adjustRightInd w:val="0"/>
        <w:snapToGrid w:val="0"/>
        <w:spacing w:line="360" w:lineRule="auto"/>
        <w:ind w:left="425" w:leftChars="0" w:hanging="425"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工程设计要求的质量标准：</w:t>
      </w:r>
      <w:r>
        <w:rPr>
          <w:rFonts w:hint="eastAsia" w:ascii="宋体" w:hAnsi="宋体" w:cs="宋体"/>
          <w:color w:val="auto"/>
          <w:highlight w:val="none"/>
        </w:rPr>
        <w:t>本工程的设计过程和成果均必须符合国家、广东省、</w:t>
      </w:r>
      <w:r>
        <w:rPr>
          <w:rFonts w:hint="eastAsia" w:ascii="宋体" w:hAnsi="宋体" w:cs="宋体"/>
          <w:color w:val="auto"/>
          <w:highlight w:val="none"/>
          <w:lang w:val="en-US" w:eastAsia="zh-CN"/>
        </w:rPr>
        <w:t>广州</w:t>
      </w:r>
      <w:r>
        <w:rPr>
          <w:rFonts w:hint="eastAsia" w:ascii="宋体" w:hAnsi="宋体" w:cs="宋体"/>
          <w:color w:val="auto"/>
          <w:highlight w:val="none"/>
        </w:rPr>
        <w:t>市颁布的有关工程设计方面的现行标准、规范、规程、定额、办法，满足工程预结算编制或施工的需要，并符合项目批准文件、城乡规划及专业规划、工程建设强制性标准的规定以及国家规定的建设工程设计深度要求。在设计过程中，如果国家或有关部门颁发了新的技术标准或规范，应采用新的标准或规范进行设计</w:t>
      </w:r>
      <w:r>
        <w:rPr>
          <w:rFonts w:hint="eastAsia" w:ascii="宋体" w:hAnsi="宋体" w:eastAsia="宋体" w:cs="宋体"/>
          <w:color w:val="auto"/>
          <w:sz w:val="21"/>
          <w:szCs w:val="21"/>
          <w:highlight w:val="none"/>
        </w:rPr>
        <w:t>。</w:t>
      </w:r>
    </w:p>
    <w:p w14:paraId="0910B338">
      <w:pPr>
        <w:pStyle w:val="475"/>
        <w:keepNext w:val="0"/>
        <w:keepLines w:val="0"/>
        <w:pageBreakBefore w:val="0"/>
        <w:widowControl w:val="0"/>
        <w:numPr>
          <w:ilvl w:val="0"/>
          <w:numId w:val="7"/>
        </w:numPr>
        <w:wordWrap/>
        <w:overflowPunct/>
        <w:topLinePunct w:val="0"/>
        <w:bidi w:val="0"/>
        <w:adjustRightInd w:val="0"/>
        <w:snapToGrid w:val="0"/>
        <w:spacing w:line="360" w:lineRule="auto"/>
        <w:ind w:left="425" w:leftChars="0" w:hanging="425" w:firstLineChars="0"/>
        <w:textAlignment w:val="auto"/>
        <w:rPr>
          <w:rFonts w:hint="eastAsia" w:ascii="宋体" w:hAnsi="宋体" w:eastAsia="宋体" w:cs="宋体"/>
          <w:b w:val="0"/>
          <w:color w:val="auto"/>
          <w:sz w:val="21"/>
          <w:szCs w:val="21"/>
          <w:highlight w:val="none"/>
        </w:rPr>
      </w:pPr>
      <w:r>
        <w:rPr>
          <w:rFonts w:hint="eastAsia" w:ascii="宋体" w:hAnsi="宋体" w:eastAsia="宋体" w:cs="宋体"/>
          <w:color w:val="auto"/>
          <w:sz w:val="21"/>
          <w:szCs w:val="21"/>
          <w:highlight w:val="none"/>
        </w:rPr>
        <w:t>施工总承包要求的质量标准：</w:t>
      </w:r>
      <w:r>
        <w:rPr>
          <w:rFonts w:hint="eastAsia" w:ascii="宋体" w:hAnsi="宋体" w:cs="宋体"/>
          <w:color w:val="auto"/>
          <w:highlight w:val="none"/>
        </w:rPr>
        <w:t>执行国家、省或行业现行的工程建设质量验收标准及规范，须达到合格标准，并通过当地相关供电部门的并网验收。</w:t>
      </w:r>
      <w:bookmarkStart w:id="21" w:name="_Toc54862168"/>
    </w:p>
    <w:p w14:paraId="725E2E10">
      <w:pPr>
        <w:pStyle w:val="474"/>
        <w:keepNext w:val="0"/>
        <w:keepLines w:val="0"/>
        <w:pageBreakBefore w:val="0"/>
        <w:numPr>
          <w:ilvl w:val="0"/>
          <w:numId w:val="0"/>
        </w:numPr>
        <w:wordWrap/>
        <w:overflowPunct/>
        <w:topLinePunct w:val="0"/>
        <w:bidi w:val="0"/>
        <w:adjustRightInd w:val="0"/>
        <w:snapToGrid w:val="0"/>
        <w:spacing w:line="360" w:lineRule="auto"/>
        <w:ind w:left="0" w:leftChars="0" w:firstLine="0" w:firstLineChars="0"/>
        <w:textAlignment w:val="auto"/>
        <w:rPr>
          <w:rFonts w:hint="eastAsia" w:ascii="宋体" w:hAnsi="宋体" w:eastAsia="宋体" w:cs="宋体"/>
          <w:b/>
          <w:bCs w:val="0"/>
          <w:color w:val="auto"/>
          <w:sz w:val="21"/>
          <w:szCs w:val="21"/>
          <w:highlight w:val="none"/>
        </w:rPr>
      </w:pPr>
      <w:bookmarkStart w:id="22" w:name="_Toc14700"/>
      <w:bookmarkStart w:id="23" w:name="_Toc76719885"/>
      <w:bookmarkStart w:id="24" w:name="_Toc80633142"/>
      <w:r>
        <w:rPr>
          <w:rFonts w:hint="eastAsia" w:cs="宋体"/>
          <w:b/>
          <w:bCs w:val="0"/>
          <w:color w:val="auto"/>
          <w:sz w:val="21"/>
          <w:szCs w:val="21"/>
          <w:highlight w:val="none"/>
          <w:lang w:val="en-US" w:eastAsia="zh-CN"/>
        </w:rPr>
        <w:t>五</w:t>
      </w:r>
      <w:r>
        <w:rPr>
          <w:rFonts w:hint="eastAsia" w:ascii="宋体" w:hAnsi="宋体" w:eastAsia="宋体" w:cs="宋体"/>
          <w:b/>
          <w:bCs w:val="0"/>
          <w:color w:val="auto"/>
          <w:sz w:val="21"/>
          <w:szCs w:val="21"/>
          <w:highlight w:val="none"/>
        </w:rPr>
        <w:t>、</w:t>
      </w:r>
      <w:bookmarkEnd w:id="21"/>
      <w:r>
        <w:rPr>
          <w:rFonts w:hint="eastAsia" w:ascii="宋体" w:hAnsi="宋体" w:eastAsia="宋体" w:cs="宋体"/>
          <w:b/>
          <w:bCs w:val="0"/>
          <w:color w:val="auto"/>
          <w:sz w:val="21"/>
          <w:szCs w:val="21"/>
          <w:highlight w:val="none"/>
        </w:rPr>
        <w:t>合同金额</w:t>
      </w:r>
      <w:bookmarkEnd w:id="22"/>
      <w:bookmarkEnd w:id="23"/>
      <w:bookmarkEnd w:id="24"/>
    </w:p>
    <w:p w14:paraId="33198BCB">
      <w:pPr>
        <w:keepNext w:val="0"/>
        <w:keepLines w:val="0"/>
        <w:pageBreakBefore w:val="0"/>
        <w:numPr>
          <w:ilvl w:val="0"/>
          <w:numId w:val="8"/>
        </w:numPr>
        <w:kinsoku w:val="0"/>
        <w:wordWrap/>
        <w:overflowPunct/>
        <w:topLinePunct w:val="0"/>
        <w:bidi w:val="0"/>
        <w:adjustRightInd w:val="0"/>
        <w:snapToGrid w:val="0"/>
        <w:spacing w:line="360" w:lineRule="auto"/>
        <w:ind w:left="425" w:leftChars="0" w:hanging="425" w:firstLineChars="0"/>
        <w:jc w:val="left"/>
        <w:textAlignment w:val="auto"/>
        <w:rPr>
          <w:rFonts w:hint="eastAsia" w:ascii="宋体" w:hAnsi="宋体" w:eastAsia="宋体" w:cs="宋体"/>
          <w:bCs/>
          <w:color w:val="auto"/>
          <w:kern w:val="0"/>
          <w:sz w:val="21"/>
          <w:szCs w:val="21"/>
          <w:highlight w:val="none"/>
        </w:rPr>
      </w:pPr>
      <w:r>
        <w:rPr>
          <w:rFonts w:hint="eastAsia" w:ascii="宋体" w:hAnsi="宋体" w:eastAsia="宋体" w:cs="宋体"/>
          <w:color w:val="auto"/>
          <w:kern w:val="0"/>
          <w:sz w:val="21"/>
          <w:szCs w:val="21"/>
          <w:highlight w:val="none"/>
        </w:rPr>
        <w:t>合同</w:t>
      </w:r>
      <w:r>
        <w:rPr>
          <w:rFonts w:hint="eastAsia" w:ascii="宋体" w:hAnsi="宋体" w:cs="宋体"/>
          <w:color w:val="auto"/>
          <w:kern w:val="0"/>
          <w:sz w:val="21"/>
          <w:szCs w:val="21"/>
          <w:highlight w:val="none"/>
          <w:lang w:eastAsia="zh-CN"/>
        </w:rPr>
        <w:t>暂定</w:t>
      </w:r>
      <w:r>
        <w:rPr>
          <w:rFonts w:hint="eastAsia" w:ascii="宋体" w:hAnsi="宋体" w:eastAsia="宋体" w:cs="宋体"/>
          <w:color w:val="auto"/>
          <w:kern w:val="0"/>
          <w:sz w:val="21"/>
          <w:szCs w:val="21"/>
          <w:highlight w:val="none"/>
        </w:rPr>
        <w:t>总价为：</w:t>
      </w:r>
      <w:r>
        <w:rPr>
          <w:rFonts w:hint="eastAsia"/>
          <w:color w:val="auto"/>
          <w:highlight w:val="none"/>
          <w:lang w:val="en-US" w:eastAsia="zh-CN"/>
        </w:rPr>
        <w:t>¥</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元（大写：人民币</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55E0973D">
      <w:pPr>
        <w:keepNext w:val="0"/>
        <w:keepLines w:val="0"/>
        <w:pageBreakBefore w:val="0"/>
        <w:widowControl w:val="0"/>
        <w:numPr>
          <w:ilvl w:val="0"/>
          <w:numId w:val="0"/>
        </w:numPr>
        <w:kinsoku w:val="0"/>
        <w:wordWrap/>
        <w:overflowPunct/>
        <w:topLinePunct w:val="0"/>
        <w:autoSpaceDE/>
        <w:autoSpaceDN/>
        <w:bidi w:val="0"/>
        <w:adjustRightInd w:val="0"/>
        <w:snapToGrid w:val="0"/>
        <w:spacing w:line="360" w:lineRule="auto"/>
        <w:ind w:leftChars="0" w:firstLine="420" w:firstLineChars="200"/>
        <w:jc w:val="left"/>
        <w:textAlignment w:val="auto"/>
        <w:rPr>
          <w:rFonts w:hint="eastAsia"/>
          <w:color w:val="auto"/>
          <w:highlight w:val="none"/>
        </w:rPr>
      </w:pPr>
      <w:r>
        <w:rPr>
          <w:rFonts w:hint="eastAsia"/>
          <w:color w:val="auto"/>
          <w:highlight w:val="none"/>
          <w:lang w:val="en-US" w:eastAsia="zh-CN"/>
        </w:rPr>
        <w:t>1.1光伏系统综合单价¥</w:t>
      </w:r>
      <w:r>
        <w:rPr>
          <w:rFonts w:hint="eastAsia" w:ascii="宋体" w:hAnsi="宋体" w:eastAsia="宋体" w:cs="宋体"/>
          <w:color w:val="auto"/>
          <w:kern w:val="0"/>
          <w:sz w:val="21"/>
          <w:szCs w:val="21"/>
          <w:highlight w:val="none"/>
          <w:u w:val="single"/>
        </w:rPr>
        <w:t xml:space="preserve">      </w:t>
      </w:r>
      <w:r>
        <w:rPr>
          <w:rFonts w:hint="eastAsia"/>
          <w:color w:val="auto"/>
          <w:highlight w:val="none"/>
          <w:lang w:val="en-US" w:eastAsia="zh-CN"/>
        </w:rPr>
        <w:t>元/瓦（人民币大写：     ）（含税）。</w:t>
      </w:r>
    </w:p>
    <w:p w14:paraId="0513278A">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highlight w:val="none"/>
          <w:lang w:val="en-US" w:eastAsia="zh-CN"/>
        </w:rPr>
      </w:pPr>
      <w:r>
        <w:rPr>
          <w:rFonts w:hint="eastAsia"/>
          <w:color w:val="auto"/>
          <w:highlight w:val="none"/>
          <w:lang w:val="en-US" w:eastAsia="zh-CN"/>
        </w:rPr>
        <w:t>1.2储能系统综合单价¥</w:t>
      </w:r>
      <w:r>
        <w:rPr>
          <w:rFonts w:hint="eastAsia" w:ascii="宋体" w:hAnsi="宋体" w:eastAsia="宋体" w:cs="宋体"/>
          <w:color w:val="auto"/>
          <w:kern w:val="0"/>
          <w:sz w:val="21"/>
          <w:szCs w:val="21"/>
          <w:highlight w:val="none"/>
          <w:u w:val="single"/>
        </w:rPr>
        <w:t xml:space="preserve">      </w:t>
      </w:r>
      <w:r>
        <w:rPr>
          <w:rFonts w:hint="eastAsia"/>
          <w:color w:val="auto"/>
          <w:highlight w:val="none"/>
          <w:lang w:val="en-US" w:eastAsia="zh-CN"/>
        </w:rPr>
        <w:t>元/wh（人民币大写：     ）</w:t>
      </w:r>
    </w:p>
    <w:p w14:paraId="768ACF2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b w:val="0"/>
          <w:bCs w:val="0"/>
          <w:color w:val="auto"/>
          <w:highlight w:val="none"/>
          <w:lang w:val="en-US"/>
        </w:rPr>
      </w:pPr>
      <w:r>
        <w:rPr>
          <w:rFonts w:hint="eastAsia"/>
          <w:b w:val="0"/>
          <w:bCs w:val="0"/>
          <w:color w:val="auto"/>
          <w:highlight w:val="none"/>
          <w:lang w:val="en-US" w:eastAsia="zh-CN"/>
        </w:rPr>
        <w:t>1.3路灯改造单价¥</w:t>
      </w:r>
      <w:r>
        <w:rPr>
          <w:rFonts w:hint="eastAsia" w:ascii="宋体" w:hAnsi="宋体" w:eastAsia="宋体" w:cs="宋体"/>
          <w:b w:val="0"/>
          <w:bCs w:val="0"/>
          <w:color w:val="auto"/>
          <w:kern w:val="0"/>
          <w:sz w:val="21"/>
          <w:szCs w:val="21"/>
          <w:highlight w:val="none"/>
          <w:u w:val="single"/>
        </w:rPr>
        <w:t xml:space="preserve">      </w:t>
      </w:r>
      <w:r>
        <w:rPr>
          <w:rFonts w:hint="eastAsia" w:ascii="宋体" w:hAnsi="宋体" w:eastAsia="宋体" w:cs="宋体"/>
          <w:b w:val="0"/>
          <w:bCs w:val="0"/>
          <w:color w:val="auto"/>
          <w:kern w:val="0"/>
          <w:sz w:val="21"/>
          <w:szCs w:val="21"/>
          <w:highlight w:val="none"/>
        </w:rPr>
        <w:t>元（大写：人民币</w:t>
      </w:r>
      <w:r>
        <w:rPr>
          <w:rFonts w:hint="eastAsia" w:ascii="宋体" w:hAnsi="宋体" w:eastAsia="宋体" w:cs="宋体"/>
          <w:b w:val="0"/>
          <w:bCs w:val="0"/>
          <w:color w:val="auto"/>
          <w:kern w:val="0"/>
          <w:sz w:val="21"/>
          <w:szCs w:val="21"/>
          <w:highlight w:val="none"/>
          <w:u w:val="single"/>
        </w:rPr>
        <w:t xml:space="preserve">     </w:t>
      </w:r>
      <w:r>
        <w:rPr>
          <w:rFonts w:hint="eastAsia" w:ascii="宋体" w:hAnsi="宋体" w:eastAsia="宋体" w:cs="宋体"/>
          <w:b w:val="0"/>
          <w:bCs w:val="0"/>
          <w:color w:val="auto"/>
          <w:kern w:val="0"/>
          <w:sz w:val="21"/>
          <w:szCs w:val="21"/>
          <w:highlight w:val="none"/>
        </w:rPr>
        <w:t>）。</w:t>
      </w:r>
    </w:p>
    <w:p w14:paraId="10C0D131">
      <w:pPr>
        <w:pStyle w:val="2"/>
        <w:spacing w:line="360" w:lineRule="auto"/>
        <w:rPr>
          <w:rFonts w:hint="eastAsia"/>
          <w:color w:val="auto"/>
          <w:highlight w:val="none"/>
          <w:lang w:val="en-US" w:eastAsia="zh-CN"/>
        </w:rPr>
      </w:pPr>
    </w:p>
    <w:p w14:paraId="04F5DB49">
      <w:pPr>
        <w:pStyle w:val="2"/>
        <w:numPr>
          <w:ilvl w:val="0"/>
          <w:numId w:val="8"/>
        </w:numPr>
        <w:spacing w:line="360" w:lineRule="auto"/>
        <w:ind w:left="425" w:leftChars="0" w:hanging="425" w:firstLineChars="0"/>
        <w:rPr>
          <w:rFonts w:hint="eastAsia"/>
          <w:color w:val="auto"/>
          <w:highlight w:val="none"/>
        </w:rPr>
      </w:pPr>
      <w:r>
        <w:rPr>
          <w:rFonts w:hint="eastAsia"/>
          <w:color w:val="auto"/>
          <w:highlight w:val="none"/>
          <w:lang w:val="en-US" w:eastAsia="zh-CN"/>
        </w:rPr>
        <w:t>本项目光伏系统以固定每瓦单价包干的承包方式完成，光伏系统最终以实际通过验收的</w:t>
      </w:r>
      <w:r>
        <w:rPr>
          <w:rFonts w:hint="eastAsia" w:ascii="宋体" w:hAnsi="宋体" w:eastAsia="宋体" w:cs="宋体"/>
          <w:color w:val="auto"/>
          <w:sz w:val="21"/>
          <w:szCs w:val="21"/>
          <w:highlight w:val="none"/>
          <w:lang w:val="en-US" w:eastAsia="zh-CN"/>
        </w:rPr>
        <w:t>光伏组件安装</w:t>
      </w:r>
      <w:r>
        <w:rPr>
          <w:rFonts w:hint="eastAsia"/>
          <w:color w:val="auto"/>
          <w:highlight w:val="none"/>
          <w:lang w:val="en-US" w:eastAsia="zh-CN"/>
        </w:rPr>
        <w:t>容量进行结算；储能系统以固定单价包干的承包方式完成，最终以实际通过验收</w:t>
      </w:r>
      <w:r>
        <w:rPr>
          <w:rFonts w:hint="eastAsia"/>
          <w:color w:val="auto"/>
          <w:highlight w:val="none"/>
          <w:u w:val="single"/>
          <w:lang w:val="en-US" w:eastAsia="zh-CN"/>
        </w:rPr>
        <w:t>储能系统并网</w:t>
      </w:r>
      <w:r>
        <w:rPr>
          <w:rFonts w:hint="eastAsia"/>
          <w:color w:val="auto"/>
          <w:highlight w:val="none"/>
          <w:lang w:val="en-US" w:eastAsia="zh-CN"/>
        </w:rPr>
        <w:t>容量进行结算；厂区内路灯改造价格不超过预算价格，以实际竣工验收数量为准，含备品，</w:t>
      </w:r>
      <w:r>
        <w:rPr>
          <w:rFonts w:hint="eastAsia"/>
          <w:color w:val="auto"/>
          <w:highlight w:val="none"/>
          <w:lang w:val="en-US" w:eastAsia="zh-CN"/>
        </w:rPr>
        <w:t>路灯改造价的支付参照合同第三部分 专用条款 第13条约定 “项目竣工验收合格且竣工结算审核通过后”支付。</w:t>
      </w:r>
    </w:p>
    <w:p w14:paraId="37CE25E7">
      <w:pPr>
        <w:keepNext w:val="0"/>
        <w:keepLines w:val="0"/>
        <w:pageBreakBefore w:val="0"/>
        <w:numPr>
          <w:ilvl w:val="0"/>
          <w:numId w:val="8"/>
        </w:numPr>
        <w:wordWrap/>
        <w:overflowPunct/>
        <w:topLinePunct w:val="0"/>
        <w:bidi w:val="0"/>
        <w:spacing w:line="360" w:lineRule="auto"/>
        <w:ind w:left="425" w:leftChars="0" w:hanging="425"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除合同约定的情况（详见专用条款）外，合同</w:t>
      </w:r>
      <w:r>
        <w:rPr>
          <w:rFonts w:hint="eastAsia" w:ascii="宋体" w:hAnsi="宋体" w:cs="宋体"/>
          <w:color w:val="auto"/>
          <w:sz w:val="21"/>
          <w:szCs w:val="21"/>
          <w:highlight w:val="none"/>
          <w:lang w:eastAsia="zh-CN"/>
        </w:rPr>
        <w:t>综合单价</w:t>
      </w:r>
      <w:r>
        <w:rPr>
          <w:rFonts w:hint="eastAsia" w:ascii="宋体" w:hAnsi="宋体" w:eastAsia="宋体" w:cs="宋体"/>
          <w:color w:val="auto"/>
          <w:sz w:val="21"/>
          <w:szCs w:val="21"/>
          <w:highlight w:val="none"/>
        </w:rPr>
        <w:t>不作调整。</w:t>
      </w:r>
    </w:p>
    <w:p w14:paraId="4D0EF483">
      <w:pPr>
        <w:pStyle w:val="2"/>
        <w:keepNext w:val="0"/>
        <w:keepLines w:val="0"/>
        <w:pageBreakBefore w:val="0"/>
        <w:wordWrap/>
        <w:overflowPunct/>
        <w:topLinePunct w:val="0"/>
        <w:bidi w:val="0"/>
        <w:spacing w:line="360" w:lineRule="auto"/>
        <w:ind w:left="0" w:leftChars="0" w:firstLine="0" w:firstLineChars="0"/>
        <w:textAlignment w:val="auto"/>
        <w:rPr>
          <w:rFonts w:hint="eastAsia" w:ascii="宋体" w:hAnsi="宋体" w:eastAsia="宋体" w:cs="宋体"/>
          <w:color w:val="auto"/>
          <w:sz w:val="21"/>
          <w:szCs w:val="21"/>
          <w:highlight w:val="none"/>
        </w:rPr>
      </w:pPr>
    </w:p>
    <w:p w14:paraId="2A3150C1">
      <w:pPr>
        <w:pStyle w:val="474"/>
        <w:keepNext w:val="0"/>
        <w:keepLines w:val="0"/>
        <w:pageBreakBefore w:val="0"/>
        <w:numPr>
          <w:ilvl w:val="0"/>
          <w:numId w:val="0"/>
        </w:numPr>
        <w:wordWrap/>
        <w:overflowPunct/>
        <w:topLinePunct w:val="0"/>
        <w:bidi w:val="0"/>
        <w:adjustRightInd w:val="0"/>
        <w:snapToGrid w:val="0"/>
        <w:spacing w:line="360" w:lineRule="auto"/>
        <w:ind w:left="0" w:leftChars="0" w:firstLine="0" w:firstLineChars="0"/>
        <w:textAlignment w:val="auto"/>
        <w:rPr>
          <w:rFonts w:hint="eastAsia" w:ascii="宋体" w:hAnsi="宋体" w:eastAsia="宋体" w:cs="宋体"/>
          <w:b/>
          <w:bCs w:val="0"/>
          <w:color w:val="auto"/>
          <w:sz w:val="21"/>
          <w:szCs w:val="21"/>
          <w:highlight w:val="none"/>
        </w:rPr>
      </w:pPr>
      <w:bookmarkStart w:id="25" w:name="_Toc54862169"/>
      <w:bookmarkStart w:id="26" w:name="_Toc76719886"/>
      <w:bookmarkStart w:id="27" w:name="_Toc80633143"/>
      <w:bookmarkStart w:id="28" w:name="_Toc28920"/>
      <w:r>
        <w:rPr>
          <w:rFonts w:hint="eastAsia" w:cs="宋体"/>
          <w:b/>
          <w:bCs w:val="0"/>
          <w:color w:val="auto"/>
          <w:sz w:val="21"/>
          <w:szCs w:val="21"/>
          <w:highlight w:val="none"/>
          <w:lang w:val="en-US" w:eastAsia="zh-CN"/>
        </w:rPr>
        <w:t>六</w:t>
      </w:r>
      <w:r>
        <w:rPr>
          <w:rFonts w:hint="eastAsia" w:ascii="宋体" w:hAnsi="宋体" w:eastAsia="宋体" w:cs="宋体"/>
          <w:b/>
          <w:bCs w:val="0"/>
          <w:color w:val="auto"/>
          <w:sz w:val="21"/>
          <w:szCs w:val="21"/>
          <w:highlight w:val="none"/>
        </w:rPr>
        <w:t>、工程总承包项目经理</w:t>
      </w:r>
      <w:bookmarkEnd w:id="25"/>
      <w:r>
        <w:rPr>
          <w:rFonts w:hint="eastAsia" w:ascii="宋体" w:hAnsi="宋体" w:eastAsia="宋体" w:cs="宋体"/>
          <w:b/>
          <w:bCs w:val="0"/>
          <w:color w:val="auto"/>
          <w:sz w:val="21"/>
          <w:szCs w:val="21"/>
          <w:highlight w:val="none"/>
        </w:rPr>
        <w:t>（即本工程的项目负责人）</w:t>
      </w:r>
      <w:bookmarkEnd w:id="26"/>
      <w:bookmarkEnd w:id="27"/>
      <w:bookmarkEnd w:id="28"/>
    </w:p>
    <w:p w14:paraId="5DFD2684">
      <w:pPr>
        <w:keepNext w:val="0"/>
        <w:keepLines w:val="0"/>
        <w:pageBreakBefore w:val="0"/>
        <w:wordWrap/>
        <w:overflowPunct/>
        <w:topLinePunct w:val="0"/>
        <w:bidi w:val="0"/>
        <w:adjustRightInd w:val="0"/>
        <w:snapToGrid w:val="0"/>
        <w:spacing w:line="360" w:lineRule="auto"/>
        <w:ind w:left="0" w:lef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工程总承包项目经理：</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668F6C8E">
      <w:pPr>
        <w:pStyle w:val="474"/>
        <w:keepNext w:val="0"/>
        <w:keepLines w:val="0"/>
        <w:pageBreakBefore w:val="0"/>
        <w:numPr>
          <w:ilvl w:val="0"/>
          <w:numId w:val="0"/>
        </w:numPr>
        <w:wordWrap/>
        <w:overflowPunct/>
        <w:topLinePunct w:val="0"/>
        <w:bidi w:val="0"/>
        <w:adjustRightInd w:val="0"/>
        <w:snapToGrid w:val="0"/>
        <w:spacing w:line="360" w:lineRule="auto"/>
        <w:ind w:left="0" w:leftChars="0" w:firstLine="0" w:firstLineChars="0"/>
        <w:textAlignment w:val="auto"/>
        <w:rPr>
          <w:rFonts w:hint="eastAsia" w:ascii="宋体" w:hAnsi="宋体" w:eastAsia="宋体" w:cs="宋体"/>
          <w:b/>
          <w:bCs w:val="0"/>
          <w:color w:val="auto"/>
          <w:sz w:val="21"/>
          <w:szCs w:val="21"/>
          <w:highlight w:val="none"/>
        </w:rPr>
      </w:pPr>
      <w:bookmarkStart w:id="29" w:name="_Toc76719887"/>
      <w:bookmarkStart w:id="30" w:name="_Toc54862170"/>
      <w:bookmarkStart w:id="31" w:name="_Toc16908"/>
      <w:bookmarkStart w:id="32" w:name="_Toc80633144"/>
      <w:r>
        <w:rPr>
          <w:rFonts w:hint="eastAsia" w:cs="宋体"/>
          <w:b/>
          <w:bCs w:val="0"/>
          <w:color w:val="auto"/>
          <w:sz w:val="21"/>
          <w:szCs w:val="21"/>
          <w:highlight w:val="none"/>
          <w:lang w:val="en-US" w:eastAsia="zh-CN"/>
        </w:rPr>
        <w:t>七</w:t>
      </w:r>
      <w:r>
        <w:rPr>
          <w:rFonts w:hint="eastAsia" w:ascii="宋体" w:hAnsi="宋体" w:eastAsia="宋体" w:cs="宋体"/>
          <w:b/>
          <w:bCs w:val="0"/>
          <w:color w:val="auto"/>
          <w:sz w:val="21"/>
          <w:szCs w:val="21"/>
          <w:highlight w:val="none"/>
        </w:rPr>
        <w:t>、合同文件构成</w:t>
      </w:r>
      <w:bookmarkEnd w:id="29"/>
      <w:bookmarkEnd w:id="30"/>
      <w:bookmarkEnd w:id="31"/>
      <w:bookmarkEnd w:id="32"/>
    </w:p>
    <w:p w14:paraId="01FD5611">
      <w:pPr>
        <w:keepNext w:val="0"/>
        <w:keepLines w:val="0"/>
        <w:pageBreakBefore w:val="0"/>
        <w:wordWrap/>
        <w:overflowPunct/>
        <w:topLinePunct w:val="0"/>
        <w:bidi w:val="0"/>
        <w:adjustRightInd w:val="0"/>
        <w:snapToGrid w:val="0"/>
        <w:spacing w:line="360" w:lineRule="auto"/>
        <w:ind w:left="0" w:lef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本协议书与下列文件一起构成合同文件： </w:t>
      </w:r>
    </w:p>
    <w:p w14:paraId="625571DA">
      <w:pPr>
        <w:keepNext w:val="0"/>
        <w:keepLines w:val="0"/>
        <w:pageBreakBefore w:val="0"/>
        <w:wordWrap/>
        <w:overflowPunct/>
        <w:topLinePunct w:val="0"/>
        <w:bidi w:val="0"/>
        <w:adjustRightInd w:val="0"/>
        <w:snapToGrid w:val="0"/>
        <w:spacing w:line="360" w:lineRule="auto"/>
        <w:ind w:left="0" w:lef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中标通知书（如果有）；</w:t>
      </w:r>
    </w:p>
    <w:p w14:paraId="6981646B">
      <w:pPr>
        <w:keepNext w:val="0"/>
        <w:keepLines w:val="0"/>
        <w:pageBreakBefore w:val="0"/>
        <w:wordWrap/>
        <w:overflowPunct/>
        <w:topLinePunct w:val="0"/>
        <w:bidi w:val="0"/>
        <w:adjustRightInd w:val="0"/>
        <w:snapToGrid w:val="0"/>
        <w:spacing w:line="360" w:lineRule="auto"/>
        <w:ind w:left="0" w:lef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投标函及投标函附录（如果有）；</w:t>
      </w:r>
    </w:p>
    <w:p w14:paraId="62F1ECDC">
      <w:pPr>
        <w:keepNext w:val="0"/>
        <w:keepLines w:val="0"/>
        <w:pageBreakBefore w:val="0"/>
        <w:wordWrap/>
        <w:overflowPunct/>
        <w:topLinePunct w:val="0"/>
        <w:bidi w:val="0"/>
        <w:adjustRightInd w:val="0"/>
        <w:snapToGrid w:val="0"/>
        <w:spacing w:line="360" w:lineRule="auto"/>
        <w:ind w:left="0" w:lef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 专用合同条件及《发包人要求》等附件；</w:t>
      </w:r>
    </w:p>
    <w:p w14:paraId="371FD32C">
      <w:pPr>
        <w:keepNext w:val="0"/>
        <w:keepLines w:val="0"/>
        <w:pageBreakBefore w:val="0"/>
        <w:wordWrap/>
        <w:overflowPunct/>
        <w:topLinePunct w:val="0"/>
        <w:bidi w:val="0"/>
        <w:adjustRightInd w:val="0"/>
        <w:snapToGrid w:val="0"/>
        <w:spacing w:line="360" w:lineRule="auto"/>
        <w:ind w:left="0" w:lef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 通用合同条件；</w:t>
      </w:r>
    </w:p>
    <w:p w14:paraId="2B014B9D">
      <w:pPr>
        <w:keepNext w:val="0"/>
        <w:keepLines w:val="0"/>
        <w:pageBreakBefore w:val="0"/>
        <w:wordWrap/>
        <w:overflowPunct/>
        <w:topLinePunct w:val="0"/>
        <w:bidi w:val="0"/>
        <w:adjustRightInd w:val="0"/>
        <w:snapToGrid w:val="0"/>
        <w:spacing w:line="360" w:lineRule="auto"/>
        <w:ind w:left="0" w:leftChars="0"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 xml:space="preserve">（5） 承包人建议书； </w:t>
      </w:r>
    </w:p>
    <w:p w14:paraId="645D7181">
      <w:pPr>
        <w:keepNext w:val="0"/>
        <w:keepLines w:val="0"/>
        <w:pageBreakBefore w:val="0"/>
        <w:wordWrap/>
        <w:overflowPunct/>
        <w:topLinePunct w:val="0"/>
        <w:bidi w:val="0"/>
        <w:adjustRightInd w:val="0"/>
        <w:snapToGrid w:val="0"/>
        <w:spacing w:line="360" w:lineRule="auto"/>
        <w:ind w:left="0" w:lef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 价格清单；</w:t>
      </w:r>
    </w:p>
    <w:p w14:paraId="37C20CE5">
      <w:pPr>
        <w:keepNext w:val="0"/>
        <w:keepLines w:val="0"/>
        <w:pageBreakBefore w:val="0"/>
        <w:wordWrap/>
        <w:overflowPunct/>
        <w:topLinePunct w:val="0"/>
        <w:bidi w:val="0"/>
        <w:adjustRightInd w:val="0"/>
        <w:snapToGrid w:val="0"/>
        <w:spacing w:line="360" w:lineRule="auto"/>
        <w:ind w:left="0" w:lef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 双方约定的其他合同文件。</w:t>
      </w:r>
    </w:p>
    <w:p w14:paraId="01570C7F">
      <w:pPr>
        <w:keepNext w:val="0"/>
        <w:keepLines w:val="0"/>
        <w:pageBreakBefore w:val="0"/>
        <w:wordWrap/>
        <w:overflowPunct/>
        <w:topLinePunct w:val="0"/>
        <w:bidi w:val="0"/>
        <w:adjustRightInd w:val="0"/>
        <w:snapToGrid w:val="0"/>
        <w:spacing w:line="360" w:lineRule="auto"/>
        <w:ind w:left="0" w:lef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上述各项合同文件包括双方就该项合同文件所作出的补充和修改，属于同一类内容的合同文件应以最新签署的为准。专用合同条件及其附件须经合同当事人签字或盖章。</w:t>
      </w:r>
    </w:p>
    <w:p w14:paraId="5551A07E">
      <w:pPr>
        <w:pStyle w:val="474"/>
        <w:keepNext w:val="0"/>
        <w:keepLines w:val="0"/>
        <w:pageBreakBefore w:val="0"/>
        <w:numPr>
          <w:ilvl w:val="0"/>
          <w:numId w:val="0"/>
        </w:numPr>
        <w:wordWrap/>
        <w:overflowPunct/>
        <w:topLinePunct w:val="0"/>
        <w:bidi w:val="0"/>
        <w:adjustRightInd w:val="0"/>
        <w:snapToGrid w:val="0"/>
        <w:spacing w:line="360" w:lineRule="auto"/>
        <w:ind w:left="0" w:leftChars="0" w:firstLine="0" w:firstLineChars="0"/>
        <w:textAlignment w:val="auto"/>
        <w:rPr>
          <w:rFonts w:hint="eastAsia" w:ascii="宋体" w:hAnsi="宋体" w:eastAsia="宋体" w:cs="宋体"/>
          <w:b/>
          <w:bCs w:val="0"/>
          <w:color w:val="auto"/>
          <w:sz w:val="21"/>
          <w:szCs w:val="21"/>
          <w:highlight w:val="none"/>
        </w:rPr>
      </w:pPr>
      <w:bookmarkStart w:id="33" w:name="_Toc76719888"/>
      <w:bookmarkStart w:id="34" w:name="_Toc80633145"/>
      <w:bookmarkStart w:id="35" w:name="_Toc54862171"/>
      <w:bookmarkStart w:id="36" w:name="_Toc6997"/>
      <w:r>
        <w:rPr>
          <w:rFonts w:hint="eastAsia" w:cs="宋体"/>
          <w:b/>
          <w:bCs w:val="0"/>
          <w:color w:val="auto"/>
          <w:sz w:val="21"/>
          <w:szCs w:val="21"/>
          <w:highlight w:val="none"/>
          <w:lang w:val="en-US" w:eastAsia="zh-CN"/>
        </w:rPr>
        <w:t>八</w:t>
      </w:r>
      <w:r>
        <w:rPr>
          <w:rFonts w:hint="eastAsia" w:ascii="宋体" w:hAnsi="宋体" w:eastAsia="宋体" w:cs="宋体"/>
          <w:b/>
          <w:bCs w:val="0"/>
          <w:color w:val="auto"/>
          <w:sz w:val="21"/>
          <w:szCs w:val="21"/>
          <w:highlight w:val="none"/>
        </w:rPr>
        <w:t>、承诺</w:t>
      </w:r>
      <w:bookmarkEnd w:id="33"/>
      <w:bookmarkEnd w:id="34"/>
      <w:bookmarkEnd w:id="35"/>
      <w:bookmarkEnd w:id="36"/>
    </w:p>
    <w:p w14:paraId="26F69AC9">
      <w:pPr>
        <w:keepNext w:val="0"/>
        <w:keepLines w:val="0"/>
        <w:pageBreakBefore w:val="0"/>
        <w:numPr>
          <w:ilvl w:val="0"/>
          <w:numId w:val="9"/>
        </w:numPr>
        <w:wordWrap/>
        <w:overflowPunct/>
        <w:topLinePunct w:val="0"/>
        <w:bidi w:val="0"/>
        <w:adjustRightInd w:val="0"/>
        <w:snapToGrid w:val="0"/>
        <w:spacing w:line="360" w:lineRule="auto"/>
        <w:ind w:left="425" w:leftChars="0" w:hanging="425"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发包人承诺按照法律规定履行项目审批手续、筹集工程建设资金并按照合同约定的期限和方式支付合同价款。</w:t>
      </w:r>
    </w:p>
    <w:p w14:paraId="12A14978">
      <w:pPr>
        <w:keepNext w:val="0"/>
        <w:keepLines w:val="0"/>
        <w:pageBreakBefore w:val="0"/>
        <w:numPr>
          <w:ilvl w:val="0"/>
          <w:numId w:val="9"/>
        </w:numPr>
        <w:wordWrap/>
        <w:overflowPunct/>
        <w:topLinePunct w:val="0"/>
        <w:bidi w:val="0"/>
        <w:adjustRightInd w:val="0"/>
        <w:snapToGrid w:val="0"/>
        <w:spacing w:line="360" w:lineRule="auto"/>
        <w:ind w:left="425" w:leftChars="0" w:hanging="425"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承包人承诺按照法律规定及合同约定组织完成工程的设计、采购和施工等工作，确保工程质量和安全，不进行转包及违法分包，并在缺陷责任期及保修期内承担相应的工程维修责任。</w:t>
      </w:r>
    </w:p>
    <w:p w14:paraId="1445BE3E">
      <w:pPr>
        <w:pStyle w:val="474"/>
        <w:keepNext w:val="0"/>
        <w:keepLines w:val="0"/>
        <w:pageBreakBefore w:val="0"/>
        <w:numPr>
          <w:ilvl w:val="0"/>
          <w:numId w:val="0"/>
        </w:numPr>
        <w:wordWrap/>
        <w:overflowPunct/>
        <w:topLinePunct w:val="0"/>
        <w:bidi w:val="0"/>
        <w:adjustRightInd w:val="0"/>
        <w:snapToGrid w:val="0"/>
        <w:spacing w:line="360" w:lineRule="auto"/>
        <w:ind w:leftChars="0"/>
        <w:textAlignment w:val="auto"/>
        <w:rPr>
          <w:rFonts w:hint="eastAsia" w:ascii="宋体" w:hAnsi="宋体" w:eastAsia="宋体" w:cs="宋体"/>
          <w:b/>
          <w:bCs w:val="0"/>
          <w:color w:val="auto"/>
          <w:sz w:val="21"/>
          <w:szCs w:val="21"/>
          <w:highlight w:val="none"/>
        </w:rPr>
      </w:pPr>
      <w:bookmarkStart w:id="37" w:name="_Toc20190"/>
      <w:bookmarkStart w:id="38" w:name="_Toc54862172"/>
      <w:bookmarkStart w:id="39" w:name="_Toc80633146"/>
      <w:bookmarkStart w:id="40" w:name="_Toc76719889"/>
      <w:r>
        <w:rPr>
          <w:rFonts w:hint="eastAsia" w:cs="宋体"/>
          <w:b/>
          <w:bCs w:val="0"/>
          <w:color w:val="auto"/>
          <w:sz w:val="21"/>
          <w:szCs w:val="21"/>
          <w:highlight w:val="none"/>
          <w:lang w:val="en-US" w:eastAsia="zh-CN"/>
        </w:rPr>
        <w:t>九</w:t>
      </w:r>
      <w:r>
        <w:rPr>
          <w:rFonts w:hint="eastAsia" w:ascii="宋体" w:hAnsi="宋体" w:eastAsia="宋体" w:cs="宋体"/>
          <w:b/>
          <w:bCs w:val="0"/>
          <w:color w:val="auto"/>
          <w:sz w:val="21"/>
          <w:szCs w:val="21"/>
          <w:highlight w:val="none"/>
        </w:rPr>
        <w:t>、订立时间</w:t>
      </w:r>
      <w:bookmarkEnd w:id="37"/>
      <w:bookmarkEnd w:id="38"/>
      <w:bookmarkEnd w:id="39"/>
      <w:bookmarkEnd w:id="40"/>
    </w:p>
    <w:p w14:paraId="05108397">
      <w:pPr>
        <w:keepNext w:val="0"/>
        <w:keepLines w:val="0"/>
        <w:pageBreakBefore w:val="0"/>
        <w:wordWrap/>
        <w:overflowPunct/>
        <w:topLinePunct w:val="0"/>
        <w:bidi w:val="0"/>
        <w:adjustRightInd w:val="0"/>
        <w:snapToGrid w:val="0"/>
        <w:spacing w:line="360" w:lineRule="auto"/>
        <w:ind w:left="0" w:lef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本合同于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日订立。</w:t>
      </w:r>
    </w:p>
    <w:p w14:paraId="21A35CD7">
      <w:pPr>
        <w:pStyle w:val="474"/>
        <w:keepNext w:val="0"/>
        <w:keepLines w:val="0"/>
        <w:pageBreakBefore w:val="0"/>
        <w:numPr>
          <w:ilvl w:val="0"/>
          <w:numId w:val="0"/>
        </w:numPr>
        <w:wordWrap/>
        <w:overflowPunct/>
        <w:topLinePunct w:val="0"/>
        <w:bidi w:val="0"/>
        <w:adjustRightInd w:val="0"/>
        <w:snapToGrid w:val="0"/>
        <w:spacing w:line="360" w:lineRule="auto"/>
        <w:ind w:left="0" w:leftChars="0" w:firstLine="0" w:firstLineChars="0"/>
        <w:textAlignment w:val="auto"/>
        <w:rPr>
          <w:rFonts w:hint="eastAsia" w:ascii="宋体" w:hAnsi="宋体" w:eastAsia="宋体" w:cs="宋体"/>
          <w:b/>
          <w:bCs w:val="0"/>
          <w:color w:val="auto"/>
          <w:sz w:val="21"/>
          <w:szCs w:val="21"/>
          <w:highlight w:val="none"/>
        </w:rPr>
      </w:pPr>
      <w:bookmarkStart w:id="41" w:name="_Toc80633147"/>
      <w:bookmarkStart w:id="42" w:name="_Toc76719890"/>
      <w:bookmarkStart w:id="43" w:name="_Toc18251"/>
      <w:bookmarkStart w:id="44" w:name="_Toc54862173"/>
      <w:r>
        <w:rPr>
          <w:rFonts w:hint="eastAsia" w:cs="宋体"/>
          <w:b/>
          <w:bCs w:val="0"/>
          <w:color w:val="auto"/>
          <w:sz w:val="21"/>
          <w:szCs w:val="21"/>
          <w:highlight w:val="none"/>
          <w:lang w:val="en-US" w:eastAsia="zh-CN"/>
        </w:rPr>
        <w:t>十</w:t>
      </w:r>
      <w:r>
        <w:rPr>
          <w:rFonts w:hint="eastAsia" w:ascii="宋体" w:hAnsi="宋体" w:eastAsia="宋体" w:cs="宋体"/>
          <w:b/>
          <w:bCs w:val="0"/>
          <w:color w:val="auto"/>
          <w:sz w:val="21"/>
          <w:szCs w:val="21"/>
          <w:highlight w:val="none"/>
        </w:rPr>
        <w:t>、订立地点</w:t>
      </w:r>
      <w:bookmarkEnd w:id="41"/>
      <w:bookmarkEnd w:id="42"/>
      <w:bookmarkEnd w:id="43"/>
      <w:bookmarkEnd w:id="44"/>
    </w:p>
    <w:p w14:paraId="19128077">
      <w:pPr>
        <w:keepNext w:val="0"/>
        <w:keepLines w:val="0"/>
        <w:pageBreakBefore w:val="0"/>
        <w:wordWrap/>
        <w:overflowPunct/>
        <w:topLinePunct w:val="0"/>
        <w:bidi w:val="0"/>
        <w:adjustRightInd w:val="0"/>
        <w:snapToGrid w:val="0"/>
        <w:spacing w:line="360" w:lineRule="auto"/>
        <w:ind w:left="0" w:lef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本合同在</w:t>
      </w:r>
      <w:r>
        <w:rPr>
          <w:rFonts w:hint="eastAsia" w:ascii="宋体" w:hAnsi="宋体" w:cs="宋体"/>
          <w:color w:val="auto"/>
          <w:sz w:val="21"/>
          <w:szCs w:val="21"/>
          <w:highlight w:val="none"/>
          <w:u w:val="single"/>
          <w:lang w:val="en-US" w:eastAsia="zh-CN"/>
        </w:rPr>
        <w:t>广州市白云区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订立。</w:t>
      </w:r>
    </w:p>
    <w:p w14:paraId="6E23CD73">
      <w:pPr>
        <w:pStyle w:val="474"/>
        <w:keepNext w:val="0"/>
        <w:keepLines w:val="0"/>
        <w:pageBreakBefore w:val="0"/>
        <w:numPr>
          <w:ilvl w:val="0"/>
          <w:numId w:val="10"/>
        </w:numPr>
        <w:wordWrap/>
        <w:overflowPunct/>
        <w:topLinePunct w:val="0"/>
        <w:bidi w:val="0"/>
        <w:adjustRightInd w:val="0"/>
        <w:snapToGrid w:val="0"/>
        <w:spacing w:line="360" w:lineRule="auto"/>
        <w:ind w:left="0" w:leftChars="0" w:firstLine="0" w:firstLineChars="0"/>
        <w:textAlignment w:val="auto"/>
        <w:rPr>
          <w:rFonts w:hint="eastAsia" w:cs="宋体"/>
          <w:b/>
          <w:bCs w:val="0"/>
          <w:color w:val="auto"/>
          <w:sz w:val="21"/>
          <w:szCs w:val="21"/>
          <w:highlight w:val="none"/>
          <w:lang w:val="en-US" w:eastAsia="zh-CN"/>
        </w:rPr>
      </w:pPr>
      <w:bookmarkStart w:id="45" w:name="_Toc54862174"/>
      <w:bookmarkStart w:id="46" w:name="_Toc76719891"/>
      <w:bookmarkStart w:id="47" w:name="_Toc29018"/>
      <w:bookmarkStart w:id="48" w:name="_Toc80633148"/>
      <w:r>
        <w:rPr>
          <w:rFonts w:hint="eastAsia" w:cs="宋体"/>
          <w:b/>
          <w:bCs w:val="0"/>
          <w:color w:val="auto"/>
          <w:sz w:val="21"/>
          <w:szCs w:val="21"/>
          <w:highlight w:val="none"/>
          <w:lang w:val="en-US" w:eastAsia="zh-CN"/>
        </w:rPr>
        <w:t>法律适用与争议解决</w:t>
      </w:r>
    </w:p>
    <w:p w14:paraId="327A5A54">
      <w:pPr>
        <w:pStyle w:val="474"/>
        <w:keepNext w:val="0"/>
        <w:keepLines w:val="0"/>
        <w:pageBreakBefore w:val="0"/>
        <w:numPr>
          <w:ilvl w:val="0"/>
          <w:numId w:val="0"/>
        </w:numPr>
        <w:wordWrap/>
        <w:overflowPunct/>
        <w:topLinePunct w:val="0"/>
        <w:bidi w:val="0"/>
        <w:adjustRightInd w:val="0"/>
        <w:snapToGrid w:val="0"/>
        <w:spacing w:line="360" w:lineRule="auto"/>
        <w:ind w:leftChars="0"/>
        <w:textAlignment w:val="auto"/>
        <w:rPr>
          <w:rFonts w:hint="eastAsia" w:cs="宋体"/>
          <w:b w:val="0"/>
          <w:bCs/>
          <w:color w:val="auto"/>
          <w:sz w:val="21"/>
          <w:szCs w:val="21"/>
          <w:highlight w:val="none"/>
          <w:lang w:val="en-US" w:eastAsia="zh-CN"/>
        </w:rPr>
      </w:pPr>
      <w:r>
        <w:rPr>
          <w:rFonts w:hint="eastAsia" w:cs="宋体"/>
          <w:b w:val="0"/>
          <w:bCs/>
          <w:color w:val="auto"/>
          <w:sz w:val="21"/>
          <w:szCs w:val="21"/>
          <w:highlight w:val="none"/>
          <w:lang w:val="en-US" w:eastAsia="zh-CN"/>
        </w:rPr>
        <w:t>1.  本合同适用中华人民共和国法律、法规。</w:t>
      </w:r>
    </w:p>
    <w:p w14:paraId="3BD46631">
      <w:pPr>
        <w:pStyle w:val="474"/>
        <w:keepNext w:val="0"/>
        <w:keepLines w:val="0"/>
        <w:pageBreakBefore w:val="0"/>
        <w:numPr>
          <w:ilvl w:val="0"/>
          <w:numId w:val="0"/>
        </w:numPr>
        <w:wordWrap/>
        <w:overflowPunct/>
        <w:topLinePunct w:val="0"/>
        <w:bidi w:val="0"/>
        <w:adjustRightInd w:val="0"/>
        <w:snapToGrid w:val="0"/>
        <w:spacing w:line="360" w:lineRule="auto"/>
        <w:ind w:leftChars="0"/>
        <w:textAlignment w:val="auto"/>
        <w:rPr>
          <w:rFonts w:hint="eastAsia" w:cs="宋体"/>
          <w:b w:val="0"/>
          <w:bCs/>
          <w:color w:val="auto"/>
          <w:sz w:val="21"/>
          <w:szCs w:val="21"/>
          <w:highlight w:val="none"/>
          <w:lang w:val="en-US" w:eastAsia="zh-CN"/>
        </w:rPr>
      </w:pPr>
      <w:r>
        <w:rPr>
          <w:rFonts w:hint="eastAsia" w:cs="宋体"/>
          <w:b w:val="0"/>
          <w:bCs/>
          <w:color w:val="auto"/>
          <w:sz w:val="21"/>
          <w:szCs w:val="21"/>
          <w:highlight w:val="none"/>
          <w:lang w:val="en-US" w:eastAsia="zh-CN"/>
        </w:rPr>
        <w:t>2.  甲、乙双方在履行本合同过程中若发生争议，应协商解决；协商不成的，任何一方均有权向甲方所在地人民法院提起诉讼。</w:t>
      </w:r>
    </w:p>
    <w:p w14:paraId="12401D2A">
      <w:pPr>
        <w:numPr>
          <w:ilvl w:val="0"/>
          <w:numId w:val="0"/>
        </w:numPr>
        <w:rPr>
          <w:rFonts w:hint="default"/>
          <w:color w:val="auto"/>
          <w:highlight w:val="none"/>
          <w:lang w:val="en-US" w:eastAsia="zh-CN"/>
        </w:rPr>
      </w:pPr>
    </w:p>
    <w:p w14:paraId="01273190">
      <w:pPr>
        <w:pStyle w:val="474"/>
        <w:keepNext w:val="0"/>
        <w:keepLines w:val="0"/>
        <w:pageBreakBefore w:val="0"/>
        <w:numPr>
          <w:ilvl w:val="0"/>
          <w:numId w:val="0"/>
        </w:numPr>
        <w:wordWrap/>
        <w:overflowPunct/>
        <w:topLinePunct w:val="0"/>
        <w:bidi w:val="0"/>
        <w:adjustRightInd w:val="0"/>
        <w:snapToGrid w:val="0"/>
        <w:spacing w:line="360" w:lineRule="auto"/>
        <w:ind w:left="0" w:leftChars="0" w:firstLine="0" w:firstLineChars="0"/>
        <w:textAlignment w:val="auto"/>
        <w:rPr>
          <w:rFonts w:hint="eastAsia" w:ascii="宋体" w:hAnsi="宋体" w:eastAsia="宋体" w:cs="宋体"/>
          <w:b/>
          <w:bCs w:val="0"/>
          <w:color w:val="auto"/>
          <w:sz w:val="21"/>
          <w:szCs w:val="21"/>
          <w:highlight w:val="none"/>
        </w:rPr>
      </w:pPr>
      <w:r>
        <w:rPr>
          <w:rFonts w:hint="eastAsia" w:cs="宋体"/>
          <w:b/>
          <w:bCs w:val="0"/>
          <w:color w:val="auto"/>
          <w:sz w:val="21"/>
          <w:szCs w:val="21"/>
          <w:highlight w:val="none"/>
          <w:lang w:val="en-US" w:eastAsia="zh-CN"/>
        </w:rPr>
        <w:t>十二、</w:t>
      </w:r>
      <w:r>
        <w:rPr>
          <w:rFonts w:hint="eastAsia" w:ascii="宋体" w:hAnsi="宋体" w:eastAsia="宋体" w:cs="宋体"/>
          <w:b/>
          <w:bCs w:val="0"/>
          <w:color w:val="auto"/>
          <w:sz w:val="21"/>
          <w:szCs w:val="21"/>
          <w:highlight w:val="none"/>
        </w:rPr>
        <w:t>合同生效</w:t>
      </w:r>
      <w:bookmarkEnd w:id="45"/>
      <w:bookmarkEnd w:id="46"/>
      <w:bookmarkEnd w:id="47"/>
      <w:bookmarkEnd w:id="48"/>
    </w:p>
    <w:p w14:paraId="35A1530F">
      <w:pPr>
        <w:keepNext w:val="0"/>
        <w:keepLines w:val="0"/>
        <w:pageBreakBefore w:val="0"/>
        <w:wordWrap/>
        <w:overflowPunct/>
        <w:topLinePunct w:val="0"/>
        <w:bidi w:val="0"/>
        <w:adjustRightInd w:val="0"/>
        <w:snapToGrid w:val="0"/>
        <w:spacing w:line="360" w:lineRule="auto"/>
        <w:ind w:left="0" w:lef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本合同经双方签字或盖章后成立，并自</w:t>
      </w:r>
      <w:r>
        <w:rPr>
          <w:rFonts w:hint="eastAsia" w:ascii="宋体" w:hAnsi="宋体" w:eastAsia="宋体" w:cs="宋体"/>
          <w:color w:val="auto"/>
          <w:sz w:val="21"/>
          <w:szCs w:val="21"/>
          <w:highlight w:val="none"/>
          <w:u w:val="single"/>
        </w:rPr>
        <w:t xml:space="preserve"> 签字盖章次日起 </w:t>
      </w:r>
      <w:r>
        <w:rPr>
          <w:rFonts w:hint="eastAsia" w:ascii="宋体" w:hAnsi="宋体" w:eastAsia="宋体" w:cs="宋体"/>
          <w:color w:val="auto"/>
          <w:sz w:val="21"/>
          <w:szCs w:val="21"/>
          <w:highlight w:val="none"/>
        </w:rPr>
        <w:t>生效。</w:t>
      </w:r>
    </w:p>
    <w:p w14:paraId="176B531B">
      <w:pPr>
        <w:pStyle w:val="474"/>
        <w:keepNext w:val="0"/>
        <w:keepLines w:val="0"/>
        <w:pageBreakBefore w:val="0"/>
        <w:numPr>
          <w:ilvl w:val="0"/>
          <w:numId w:val="0"/>
        </w:numPr>
        <w:wordWrap/>
        <w:overflowPunct/>
        <w:topLinePunct w:val="0"/>
        <w:bidi w:val="0"/>
        <w:adjustRightInd w:val="0"/>
        <w:snapToGrid w:val="0"/>
        <w:spacing w:line="360" w:lineRule="auto"/>
        <w:ind w:left="0" w:leftChars="0" w:firstLine="0" w:firstLineChars="0"/>
        <w:textAlignment w:val="auto"/>
        <w:rPr>
          <w:rFonts w:hint="eastAsia" w:ascii="宋体" w:hAnsi="宋体" w:eastAsia="宋体" w:cs="宋体"/>
          <w:b/>
          <w:bCs w:val="0"/>
          <w:color w:val="auto"/>
          <w:sz w:val="21"/>
          <w:szCs w:val="21"/>
          <w:highlight w:val="none"/>
        </w:rPr>
      </w:pPr>
      <w:bookmarkStart w:id="49" w:name="_Toc54862175"/>
      <w:bookmarkStart w:id="50" w:name="_Toc5079"/>
      <w:bookmarkStart w:id="51" w:name="_Toc80633149"/>
      <w:bookmarkStart w:id="52" w:name="_Toc76719892"/>
      <w:r>
        <w:rPr>
          <w:rFonts w:hint="eastAsia" w:ascii="宋体" w:hAnsi="宋体" w:eastAsia="宋体" w:cs="宋体"/>
          <w:b/>
          <w:bCs w:val="0"/>
          <w:color w:val="auto"/>
          <w:sz w:val="21"/>
          <w:szCs w:val="21"/>
          <w:highlight w:val="none"/>
        </w:rPr>
        <w:t>十</w:t>
      </w:r>
      <w:r>
        <w:rPr>
          <w:rFonts w:hint="eastAsia" w:cs="宋体"/>
          <w:b/>
          <w:bCs w:val="0"/>
          <w:color w:val="auto"/>
          <w:sz w:val="21"/>
          <w:szCs w:val="21"/>
          <w:highlight w:val="none"/>
          <w:lang w:val="en-US" w:eastAsia="zh-CN"/>
        </w:rPr>
        <w:t>三</w:t>
      </w:r>
      <w:r>
        <w:rPr>
          <w:rFonts w:hint="eastAsia" w:ascii="宋体" w:hAnsi="宋体" w:eastAsia="宋体" w:cs="宋体"/>
          <w:b/>
          <w:bCs w:val="0"/>
          <w:color w:val="auto"/>
          <w:sz w:val="21"/>
          <w:szCs w:val="21"/>
          <w:highlight w:val="none"/>
        </w:rPr>
        <w:t>、合同份数</w:t>
      </w:r>
      <w:bookmarkEnd w:id="49"/>
      <w:bookmarkEnd w:id="50"/>
      <w:bookmarkEnd w:id="51"/>
      <w:bookmarkEnd w:id="52"/>
    </w:p>
    <w:p w14:paraId="2A02AAFA">
      <w:pPr>
        <w:keepNext w:val="0"/>
        <w:keepLines w:val="0"/>
        <w:pageBreakBefore w:val="0"/>
        <w:wordWrap/>
        <w:overflowPunct/>
        <w:topLinePunct w:val="0"/>
        <w:bidi w:val="0"/>
        <w:adjustRightInd w:val="0"/>
        <w:snapToGrid w:val="0"/>
        <w:spacing w:line="360" w:lineRule="auto"/>
        <w:ind w:left="0" w:lef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本合同一式</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lang w:val="en-US" w:eastAsia="zh-CN"/>
        </w:rPr>
        <w:t>捌</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份，均具有同等法律效力，发包人执</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lang w:val="en-US" w:eastAsia="zh-CN"/>
        </w:rPr>
        <w:t>肆</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份，承包人执</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肆</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份。</w:t>
      </w:r>
    </w:p>
    <w:p w14:paraId="43DF3360">
      <w:pPr>
        <w:keepNext w:val="0"/>
        <w:keepLines w:val="0"/>
        <w:pageBreakBefore w:val="0"/>
        <w:wordWrap/>
        <w:overflowPunct/>
        <w:topLinePunct w:val="0"/>
        <w:bidi w:val="0"/>
        <w:adjustRightInd/>
        <w:snapToGrid/>
        <w:spacing w:line="240" w:lineRule="auto"/>
        <w:ind w:left="0" w:leftChars="0" w:firstLine="0" w:firstLineChars="0"/>
        <w:textAlignment w:val="auto"/>
        <w:rPr>
          <w:rFonts w:hint="eastAsia" w:ascii="宋体" w:hAnsi="宋体" w:eastAsia="宋体" w:cs="宋体"/>
          <w:color w:val="auto"/>
          <w:sz w:val="21"/>
          <w:szCs w:val="21"/>
          <w:highlight w:val="none"/>
        </w:rPr>
      </w:pPr>
    </w:p>
    <w:p w14:paraId="2EA81FC6">
      <w:pPr>
        <w:keepNext w:val="0"/>
        <w:keepLines w:val="0"/>
        <w:pageBreakBefore w:val="0"/>
        <w:wordWrap/>
        <w:overflowPunct/>
        <w:topLinePunct w:val="0"/>
        <w:bidi w:val="0"/>
        <w:adjustRightInd/>
        <w:snapToGrid/>
        <w:spacing w:line="240" w:lineRule="auto"/>
        <w:ind w:left="0" w:lef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以下</w:t>
      </w:r>
      <w:r>
        <w:rPr>
          <w:rFonts w:hint="eastAsia" w:ascii="宋体" w:hAnsi="宋体" w:eastAsia="宋体" w:cs="宋体"/>
          <w:color w:val="auto"/>
          <w:sz w:val="21"/>
          <w:szCs w:val="21"/>
          <w:highlight w:val="none"/>
        </w:rPr>
        <w:t>无正文）</w:t>
      </w:r>
    </w:p>
    <w:p w14:paraId="09B44BAF">
      <w:pPr>
        <w:keepNext w:val="0"/>
        <w:keepLines w:val="0"/>
        <w:pageBreakBefore w:val="0"/>
        <w:wordWrap/>
        <w:overflowPunct/>
        <w:topLinePunct w:val="0"/>
        <w:bidi w:val="0"/>
        <w:adjustRightInd w:val="0"/>
        <w:snapToGrid w:val="0"/>
        <w:spacing w:line="360" w:lineRule="auto"/>
        <w:ind w:left="0" w:lef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（公章）</w:t>
      </w:r>
    </w:p>
    <w:p w14:paraId="681586C5">
      <w:pPr>
        <w:pStyle w:val="476"/>
        <w:keepNext w:val="0"/>
        <w:keepLines w:val="0"/>
        <w:pageBreakBefore w:val="0"/>
        <w:framePr w:hSpace="0" w:wrap="auto" w:vAnchor="margin" w:hAnchor="text" w:yAlign="inline"/>
        <w:wordWrap/>
        <w:overflowPunct/>
        <w:topLinePunct w:val="0"/>
        <w:bidi w:val="0"/>
        <w:spacing w:line="360" w:lineRule="auto"/>
        <w:ind w:left="0" w:lef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法定代表人或其委托代理人：</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sz w:val="21"/>
          <w:szCs w:val="21"/>
          <w:highlight w:val="none"/>
        </w:rPr>
        <w:t>（签字）</w:t>
      </w:r>
    </w:p>
    <w:p w14:paraId="02694661">
      <w:pPr>
        <w:pStyle w:val="476"/>
        <w:keepNext w:val="0"/>
        <w:keepLines w:val="0"/>
        <w:pageBreakBefore w:val="0"/>
        <w:framePr w:hSpace="0" w:wrap="auto" w:vAnchor="margin" w:hAnchor="text" w:yAlign="inline"/>
        <w:wordWrap/>
        <w:overflowPunct/>
        <w:topLinePunct w:val="0"/>
        <w:bidi w:val="0"/>
        <w:spacing w:line="360" w:lineRule="auto"/>
        <w:ind w:left="0" w:lef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统一社会信用代码：</w:t>
      </w:r>
      <w:r>
        <w:rPr>
          <w:rFonts w:hint="eastAsia" w:ascii="宋体" w:hAnsi="宋体" w:eastAsia="宋体" w:cs="宋体"/>
          <w:color w:val="auto"/>
          <w:kern w:val="0"/>
          <w:sz w:val="21"/>
          <w:szCs w:val="21"/>
          <w:highlight w:val="none"/>
          <w:u w:val="single"/>
        </w:rPr>
        <w:t xml:space="preserve">                   </w:t>
      </w:r>
    </w:p>
    <w:p w14:paraId="3CDB15F4">
      <w:pPr>
        <w:pStyle w:val="476"/>
        <w:keepNext w:val="0"/>
        <w:keepLines w:val="0"/>
        <w:pageBreakBefore w:val="0"/>
        <w:framePr w:hSpace="0" w:wrap="auto" w:vAnchor="margin" w:hAnchor="text" w:yAlign="inline"/>
        <w:wordWrap/>
        <w:overflowPunct/>
        <w:topLinePunct w:val="0"/>
        <w:bidi w:val="0"/>
        <w:spacing w:line="360" w:lineRule="auto"/>
        <w:ind w:left="0" w:lef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单位地址：</w:t>
      </w:r>
      <w:r>
        <w:rPr>
          <w:rFonts w:hint="eastAsia" w:ascii="宋体" w:hAnsi="宋体" w:eastAsia="宋体" w:cs="宋体"/>
          <w:color w:val="auto"/>
          <w:kern w:val="0"/>
          <w:sz w:val="21"/>
          <w:szCs w:val="21"/>
          <w:highlight w:val="none"/>
          <w:u w:val="single"/>
        </w:rPr>
        <w:t xml:space="preserve">                           </w:t>
      </w:r>
    </w:p>
    <w:p w14:paraId="21AFE81D">
      <w:pPr>
        <w:pStyle w:val="476"/>
        <w:keepNext w:val="0"/>
        <w:keepLines w:val="0"/>
        <w:pageBreakBefore w:val="0"/>
        <w:framePr w:hSpace="0" w:wrap="auto" w:vAnchor="margin" w:hAnchor="text" w:yAlign="inline"/>
        <w:wordWrap/>
        <w:overflowPunct/>
        <w:topLinePunct w:val="0"/>
        <w:bidi w:val="0"/>
        <w:spacing w:line="360" w:lineRule="auto"/>
        <w:ind w:left="0" w:lef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邮政编码：</w:t>
      </w:r>
      <w:r>
        <w:rPr>
          <w:rFonts w:hint="eastAsia" w:ascii="宋体" w:hAnsi="宋体" w:eastAsia="宋体" w:cs="宋体"/>
          <w:color w:val="auto"/>
          <w:kern w:val="0"/>
          <w:sz w:val="21"/>
          <w:szCs w:val="21"/>
          <w:highlight w:val="none"/>
          <w:u w:val="single"/>
        </w:rPr>
        <w:t xml:space="preserve">                           </w:t>
      </w:r>
    </w:p>
    <w:p w14:paraId="2D32EE4E">
      <w:pPr>
        <w:pStyle w:val="476"/>
        <w:keepNext w:val="0"/>
        <w:keepLines w:val="0"/>
        <w:pageBreakBefore w:val="0"/>
        <w:framePr w:hSpace="0" w:wrap="auto" w:vAnchor="margin" w:hAnchor="text" w:yAlign="inline"/>
        <w:wordWrap/>
        <w:overflowPunct/>
        <w:topLinePunct w:val="0"/>
        <w:bidi w:val="0"/>
        <w:spacing w:line="360" w:lineRule="auto"/>
        <w:ind w:left="0" w:lef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r>
        <w:rPr>
          <w:rFonts w:hint="eastAsia" w:ascii="宋体" w:hAnsi="宋体" w:eastAsia="宋体" w:cs="宋体"/>
          <w:color w:val="auto"/>
          <w:kern w:val="0"/>
          <w:sz w:val="21"/>
          <w:szCs w:val="21"/>
          <w:highlight w:val="none"/>
          <w:u w:val="single"/>
        </w:rPr>
        <w:t xml:space="preserve">                       </w:t>
      </w:r>
    </w:p>
    <w:p w14:paraId="35540D73">
      <w:pPr>
        <w:pStyle w:val="476"/>
        <w:keepNext w:val="0"/>
        <w:keepLines w:val="0"/>
        <w:pageBreakBefore w:val="0"/>
        <w:framePr w:hSpace="0" w:wrap="auto" w:vAnchor="margin" w:hAnchor="text" w:yAlign="inline"/>
        <w:wordWrap/>
        <w:overflowPunct/>
        <w:topLinePunct w:val="0"/>
        <w:bidi w:val="0"/>
        <w:spacing w:line="360" w:lineRule="auto"/>
        <w:ind w:left="0" w:lef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传真：</w:t>
      </w:r>
      <w:r>
        <w:rPr>
          <w:rFonts w:hint="eastAsia" w:ascii="宋体" w:hAnsi="宋体" w:eastAsia="宋体" w:cs="宋体"/>
          <w:color w:val="auto"/>
          <w:kern w:val="0"/>
          <w:sz w:val="21"/>
          <w:szCs w:val="21"/>
          <w:highlight w:val="none"/>
          <w:u w:val="single"/>
        </w:rPr>
        <w:t xml:space="preserve">                       </w:t>
      </w:r>
    </w:p>
    <w:p w14:paraId="76384719">
      <w:pPr>
        <w:pStyle w:val="476"/>
        <w:keepNext w:val="0"/>
        <w:keepLines w:val="0"/>
        <w:pageBreakBefore w:val="0"/>
        <w:framePr w:hSpace="0" w:wrap="auto" w:vAnchor="margin" w:hAnchor="text" w:yAlign="inline"/>
        <w:wordWrap/>
        <w:overflowPunct/>
        <w:topLinePunct w:val="0"/>
        <w:bidi w:val="0"/>
        <w:spacing w:line="360" w:lineRule="auto"/>
        <w:ind w:left="0" w:leftChars="0" w:firstLine="0" w:firstLineChars="0"/>
        <w:textAlignment w:val="auto"/>
        <w:rPr>
          <w:rFonts w:hint="eastAsia" w:ascii="宋体" w:hAnsi="宋体" w:eastAsia="宋体" w:cs="宋体"/>
          <w:color w:val="auto"/>
          <w:kern w:val="0"/>
          <w:sz w:val="21"/>
          <w:szCs w:val="21"/>
          <w:highlight w:val="none"/>
          <w:u w:val="single"/>
        </w:rPr>
      </w:pPr>
      <w:r>
        <w:rPr>
          <w:rFonts w:hint="eastAsia" w:ascii="宋体" w:hAnsi="宋体" w:eastAsia="宋体" w:cs="宋体"/>
          <w:color w:val="auto"/>
          <w:sz w:val="21"/>
          <w:szCs w:val="21"/>
          <w:highlight w:val="none"/>
        </w:rPr>
        <w:t>电子信箱：</w:t>
      </w:r>
      <w:r>
        <w:rPr>
          <w:rFonts w:hint="eastAsia" w:ascii="宋体" w:hAnsi="宋体" w:eastAsia="宋体" w:cs="宋体"/>
          <w:color w:val="auto"/>
          <w:kern w:val="0"/>
          <w:sz w:val="21"/>
          <w:szCs w:val="21"/>
          <w:highlight w:val="none"/>
          <w:u w:val="single"/>
        </w:rPr>
        <w:t xml:space="preserve">                   </w:t>
      </w:r>
    </w:p>
    <w:p w14:paraId="4B511EA1">
      <w:pPr>
        <w:pStyle w:val="476"/>
        <w:keepNext w:val="0"/>
        <w:keepLines w:val="0"/>
        <w:pageBreakBefore w:val="0"/>
        <w:framePr w:hSpace="0" w:wrap="auto" w:vAnchor="margin" w:hAnchor="text" w:yAlign="inline"/>
        <w:wordWrap/>
        <w:overflowPunct/>
        <w:topLinePunct w:val="0"/>
        <w:bidi w:val="0"/>
        <w:spacing w:line="360" w:lineRule="auto"/>
        <w:ind w:left="0" w:lef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开户银行：</w:t>
      </w:r>
      <w:r>
        <w:rPr>
          <w:rFonts w:hint="eastAsia" w:ascii="宋体" w:hAnsi="宋体" w:eastAsia="宋体" w:cs="宋体"/>
          <w:color w:val="auto"/>
          <w:kern w:val="0"/>
          <w:sz w:val="21"/>
          <w:szCs w:val="21"/>
          <w:highlight w:val="none"/>
          <w:u w:val="single"/>
        </w:rPr>
        <w:t xml:space="preserve">                   </w:t>
      </w:r>
    </w:p>
    <w:p w14:paraId="68FEE2F3">
      <w:pPr>
        <w:pStyle w:val="476"/>
        <w:keepNext w:val="0"/>
        <w:keepLines w:val="0"/>
        <w:pageBreakBefore w:val="0"/>
        <w:framePr w:hSpace="0" w:wrap="auto" w:vAnchor="margin" w:hAnchor="text" w:yAlign="inline"/>
        <w:wordWrap/>
        <w:overflowPunct/>
        <w:topLinePunct w:val="0"/>
        <w:bidi w:val="0"/>
        <w:spacing w:line="360" w:lineRule="auto"/>
        <w:ind w:left="0" w:leftChars="0" w:firstLine="0" w:firstLineChars="0"/>
        <w:textAlignment w:val="auto"/>
        <w:rPr>
          <w:rFonts w:hint="eastAsia" w:ascii="宋体" w:hAnsi="宋体" w:eastAsia="宋体" w:cs="宋体"/>
          <w:color w:val="auto"/>
          <w:kern w:val="0"/>
          <w:sz w:val="21"/>
          <w:szCs w:val="21"/>
          <w:highlight w:val="none"/>
          <w:u w:val="single"/>
        </w:rPr>
      </w:pPr>
      <w:r>
        <w:rPr>
          <w:rFonts w:hint="eastAsia" w:ascii="宋体" w:hAnsi="宋体" w:eastAsia="宋体" w:cs="宋体"/>
          <w:color w:val="auto"/>
          <w:sz w:val="21"/>
          <w:szCs w:val="21"/>
          <w:highlight w:val="none"/>
        </w:rPr>
        <w:t>账号：</w:t>
      </w:r>
      <w:r>
        <w:rPr>
          <w:rFonts w:hint="eastAsia" w:ascii="宋体" w:hAnsi="宋体" w:eastAsia="宋体" w:cs="宋体"/>
          <w:color w:val="auto"/>
          <w:kern w:val="0"/>
          <w:sz w:val="21"/>
          <w:szCs w:val="21"/>
          <w:highlight w:val="none"/>
          <w:u w:val="single"/>
        </w:rPr>
        <w:t xml:space="preserve">                       </w:t>
      </w:r>
    </w:p>
    <w:p w14:paraId="6F82D3AB">
      <w:pPr>
        <w:pStyle w:val="2"/>
        <w:keepNext w:val="0"/>
        <w:keepLines w:val="0"/>
        <w:pageBreakBefore w:val="0"/>
        <w:wordWrap/>
        <w:overflowPunct/>
        <w:topLinePunct w:val="0"/>
        <w:bidi w:val="0"/>
        <w:spacing w:line="360" w:lineRule="auto"/>
        <w:ind w:left="0" w:leftChars="0" w:firstLine="0" w:firstLineChars="0"/>
        <w:textAlignment w:val="auto"/>
        <w:rPr>
          <w:rFonts w:hint="eastAsia" w:ascii="宋体" w:hAnsi="宋体" w:eastAsia="宋体" w:cs="宋体"/>
          <w:color w:val="auto"/>
          <w:sz w:val="21"/>
          <w:szCs w:val="21"/>
          <w:highlight w:val="none"/>
        </w:rPr>
      </w:pPr>
    </w:p>
    <w:p w14:paraId="046C9BE9">
      <w:pPr>
        <w:keepNext w:val="0"/>
        <w:keepLines w:val="0"/>
        <w:pageBreakBefore w:val="0"/>
        <w:wordWrap/>
        <w:overflowPunct/>
        <w:topLinePunct w:val="0"/>
        <w:bidi w:val="0"/>
        <w:adjustRightInd w:val="0"/>
        <w:snapToGrid w:val="0"/>
        <w:spacing w:line="360" w:lineRule="auto"/>
        <w:ind w:left="0" w:lef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sz w:val="21"/>
          <w:szCs w:val="21"/>
          <w:highlight w:val="none"/>
        </w:rPr>
        <w:t xml:space="preserve"> （公章）</w:t>
      </w:r>
    </w:p>
    <w:p w14:paraId="52D9D203">
      <w:pPr>
        <w:pStyle w:val="476"/>
        <w:keepNext w:val="0"/>
        <w:keepLines w:val="0"/>
        <w:pageBreakBefore w:val="0"/>
        <w:framePr w:hSpace="0" w:wrap="auto" w:vAnchor="margin" w:hAnchor="text" w:yAlign="inline"/>
        <w:wordWrap/>
        <w:overflowPunct/>
        <w:topLinePunct w:val="0"/>
        <w:bidi w:val="0"/>
        <w:spacing w:line="360" w:lineRule="auto"/>
        <w:ind w:left="0" w:lef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法定代表人或其委托代理人：</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sz w:val="21"/>
          <w:szCs w:val="21"/>
          <w:highlight w:val="none"/>
        </w:rPr>
        <w:t>（签字）</w:t>
      </w:r>
    </w:p>
    <w:p w14:paraId="7B0A14EB">
      <w:pPr>
        <w:pStyle w:val="476"/>
        <w:keepNext w:val="0"/>
        <w:keepLines w:val="0"/>
        <w:pageBreakBefore w:val="0"/>
        <w:framePr w:hSpace="0" w:wrap="auto" w:vAnchor="margin" w:hAnchor="text" w:yAlign="inline"/>
        <w:wordWrap/>
        <w:overflowPunct/>
        <w:topLinePunct w:val="0"/>
        <w:bidi w:val="0"/>
        <w:spacing w:line="360" w:lineRule="auto"/>
        <w:ind w:left="0" w:lef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统一社会信用代码：</w:t>
      </w:r>
      <w:r>
        <w:rPr>
          <w:rFonts w:hint="eastAsia" w:ascii="宋体" w:hAnsi="宋体" w:eastAsia="宋体" w:cs="宋体"/>
          <w:color w:val="auto"/>
          <w:kern w:val="0"/>
          <w:sz w:val="21"/>
          <w:szCs w:val="21"/>
          <w:highlight w:val="none"/>
          <w:u w:val="single"/>
        </w:rPr>
        <w:t xml:space="preserve">                   </w:t>
      </w:r>
    </w:p>
    <w:p w14:paraId="0C8603BA">
      <w:pPr>
        <w:pStyle w:val="476"/>
        <w:keepNext w:val="0"/>
        <w:keepLines w:val="0"/>
        <w:pageBreakBefore w:val="0"/>
        <w:framePr w:hSpace="0" w:wrap="auto" w:vAnchor="margin" w:hAnchor="text" w:yAlign="inline"/>
        <w:wordWrap/>
        <w:overflowPunct/>
        <w:topLinePunct w:val="0"/>
        <w:bidi w:val="0"/>
        <w:spacing w:line="360" w:lineRule="auto"/>
        <w:ind w:left="0" w:lef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单位地址：</w:t>
      </w:r>
      <w:r>
        <w:rPr>
          <w:rFonts w:hint="eastAsia" w:ascii="宋体" w:hAnsi="宋体" w:eastAsia="宋体" w:cs="宋体"/>
          <w:color w:val="auto"/>
          <w:kern w:val="0"/>
          <w:sz w:val="21"/>
          <w:szCs w:val="21"/>
          <w:highlight w:val="none"/>
          <w:u w:val="single"/>
        </w:rPr>
        <w:t xml:space="preserve">                           </w:t>
      </w:r>
    </w:p>
    <w:p w14:paraId="7C4C8BD8">
      <w:pPr>
        <w:pStyle w:val="476"/>
        <w:keepNext w:val="0"/>
        <w:keepLines w:val="0"/>
        <w:pageBreakBefore w:val="0"/>
        <w:framePr w:hSpace="0" w:wrap="auto" w:vAnchor="margin" w:hAnchor="text" w:yAlign="inline"/>
        <w:wordWrap/>
        <w:overflowPunct/>
        <w:topLinePunct w:val="0"/>
        <w:bidi w:val="0"/>
        <w:spacing w:line="360" w:lineRule="auto"/>
        <w:ind w:left="0" w:lef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邮政编码：</w:t>
      </w:r>
      <w:r>
        <w:rPr>
          <w:rFonts w:hint="eastAsia" w:ascii="宋体" w:hAnsi="宋体" w:eastAsia="宋体" w:cs="宋体"/>
          <w:color w:val="auto"/>
          <w:kern w:val="0"/>
          <w:sz w:val="21"/>
          <w:szCs w:val="21"/>
          <w:highlight w:val="none"/>
          <w:u w:val="single"/>
        </w:rPr>
        <w:t xml:space="preserve">                           </w:t>
      </w:r>
    </w:p>
    <w:p w14:paraId="0A38D200">
      <w:pPr>
        <w:pStyle w:val="476"/>
        <w:keepNext w:val="0"/>
        <w:keepLines w:val="0"/>
        <w:pageBreakBefore w:val="0"/>
        <w:framePr w:hSpace="0" w:wrap="auto" w:vAnchor="margin" w:hAnchor="text" w:yAlign="inline"/>
        <w:wordWrap/>
        <w:overflowPunct/>
        <w:topLinePunct w:val="0"/>
        <w:bidi w:val="0"/>
        <w:spacing w:line="360" w:lineRule="auto"/>
        <w:ind w:left="0" w:lef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r>
        <w:rPr>
          <w:rFonts w:hint="eastAsia" w:ascii="宋体" w:hAnsi="宋体" w:eastAsia="宋体" w:cs="宋体"/>
          <w:color w:val="auto"/>
          <w:kern w:val="0"/>
          <w:sz w:val="21"/>
          <w:szCs w:val="21"/>
          <w:highlight w:val="none"/>
          <w:u w:val="single"/>
        </w:rPr>
        <w:t xml:space="preserve">                       </w:t>
      </w:r>
    </w:p>
    <w:p w14:paraId="24037E93">
      <w:pPr>
        <w:pStyle w:val="476"/>
        <w:keepNext w:val="0"/>
        <w:keepLines w:val="0"/>
        <w:pageBreakBefore w:val="0"/>
        <w:framePr w:hSpace="0" w:wrap="auto" w:vAnchor="margin" w:hAnchor="text" w:yAlign="inline"/>
        <w:wordWrap/>
        <w:overflowPunct/>
        <w:topLinePunct w:val="0"/>
        <w:bidi w:val="0"/>
        <w:spacing w:line="360" w:lineRule="auto"/>
        <w:ind w:left="0" w:lef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传真：</w:t>
      </w:r>
      <w:r>
        <w:rPr>
          <w:rFonts w:hint="eastAsia" w:ascii="宋体" w:hAnsi="宋体" w:eastAsia="宋体" w:cs="宋体"/>
          <w:color w:val="auto"/>
          <w:kern w:val="0"/>
          <w:sz w:val="21"/>
          <w:szCs w:val="21"/>
          <w:highlight w:val="none"/>
          <w:u w:val="single"/>
        </w:rPr>
        <w:t xml:space="preserve">                       </w:t>
      </w:r>
    </w:p>
    <w:p w14:paraId="06FBAB9A">
      <w:pPr>
        <w:pStyle w:val="476"/>
        <w:keepNext w:val="0"/>
        <w:keepLines w:val="0"/>
        <w:pageBreakBefore w:val="0"/>
        <w:framePr w:hSpace="0" w:wrap="auto" w:vAnchor="margin" w:hAnchor="text" w:yAlign="inline"/>
        <w:wordWrap/>
        <w:overflowPunct/>
        <w:topLinePunct w:val="0"/>
        <w:bidi w:val="0"/>
        <w:spacing w:line="360" w:lineRule="auto"/>
        <w:ind w:left="0" w:lef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电子信箱：</w:t>
      </w:r>
      <w:r>
        <w:rPr>
          <w:rFonts w:hint="eastAsia" w:ascii="宋体" w:hAnsi="宋体" w:eastAsia="宋体" w:cs="宋体"/>
          <w:color w:val="auto"/>
          <w:kern w:val="0"/>
          <w:sz w:val="21"/>
          <w:szCs w:val="21"/>
          <w:highlight w:val="none"/>
          <w:u w:val="single"/>
        </w:rPr>
        <w:t xml:space="preserve">                   </w:t>
      </w:r>
    </w:p>
    <w:p w14:paraId="25881AE6">
      <w:pPr>
        <w:pStyle w:val="476"/>
        <w:keepNext w:val="0"/>
        <w:keepLines w:val="0"/>
        <w:pageBreakBefore w:val="0"/>
        <w:framePr w:hSpace="0" w:wrap="auto" w:vAnchor="margin" w:hAnchor="text" w:yAlign="inline"/>
        <w:wordWrap/>
        <w:overflowPunct/>
        <w:topLinePunct w:val="0"/>
        <w:bidi w:val="0"/>
        <w:spacing w:line="360" w:lineRule="auto"/>
        <w:ind w:left="0" w:lef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开户银行：</w:t>
      </w:r>
      <w:r>
        <w:rPr>
          <w:rFonts w:hint="eastAsia" w:ascii="宋体" w:hAnsi="宋体" w:eastAsia="宋体" w:cs="宋体"/>
          <w:color w:val="auto"/>
          <w:kern w:val="0"/>
          <w:sz w:val="21"/>
          <w:szCs w:val="21"/>
          <w:highlight w:val="none"/>
          <w:u w:val="single"/>
        </w:rPr>
        <w:t xml:space="preserve">                   </w:t>
      </w:r>
    </w:p>
    <w:p w14:paraId="77562F38">
      <w:pPr>
        <w:pStyle w:val="5"/>
        <w:keepNext w:val="0"/>
        <w:keepLines w:val="0"/>
        <w:pageBreakBefore w:val="0"/>
        <w:wordWrap/>
        <w:overflowPunct/>
        <w:topLinePunct w:val="0"/>
        <w:bidi w:val="0"/>
        <w:adjustRightInd w:val="0"/>
        <w:snapToGrid w:val="0"/>
        <w:spacing w:after="0" w:afterLines="0" w:line="360" w:lineRule="auto"/>
        <w:ind w:left="0" w:lef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账    号：</w:t>
      </w:r>
      <w:r>
        <w:rPr>
          <w:rFonts w:hint="eastAsia" w:ascii="宋体" w:hAnsi="宋体" w:eastAsia="宋体" w:cs="宋体"/>
          <w:color w:val="auto"/>
          <w:sz w:val="21"/>
          <w:szCs w:val="21"/>
          <w:highlight w:val="none"/>
          <w:u w:val="single"/>
        </w:rPr>
        <w:t xml:space="preserve">                       </w:t>
      </w:r>
    </w:p>
    <w:p w14:paraId="624A8C60">
      <w:pPr>
        <w:pStyle w:val="5"/>
        <w:keepNext w:val="0"/>
        <w:keepLines w:val="0"/>
        <w:pageBreakBefore w:val="0"/>
        <w:wordWrap/>
        <w:overflowPunct/>
        <w:topLinePunct w:val="0"/>
        <w:bidi w:val="0"/>
        <w:adjustRightInd w:val="0"/>
        <w:snapToGrid w:val="0"/>
        <w:spacing w:after="0" w:afterLines="0" w:line="360" w:lineRule="auto"/>
        <w:ind w:left="0" w:leftChars="0" w:firstLine="0" w:firstLineChars="0"/>
        <w:textAlignment w:val="auto"/>
        <w:rPr>
          <w:rFonts w:hint="eastAsia" w:ascii="宋体" w:hAnsi="宋体" w:eastAsia="宋体" w:cs="宋体"/>
          <w:color w:val="auto"/>
          <w:sz w:val="21"/>
          <w:szCs w:val="21"/>
          <w:highlight w:val="none"/>
        </w:rPr>
      </w:pPr>
    </w:p>
    <w:p w14:paraId="79FE2D9E">
      <w:pPr>
        <w:pStyle w:val="5"/>
        <w:keepNext w:val="0"/>
        <w:keepLines w:val="0"/>
        <w:pageBreakBefore w:val="0"/>
        <w:wordWrap/>
        <w:overflowPunct/>
        <w:topLinePunct w:val="0"/>
        <w:bidi w:val="0"/>
        <w:adjustRightInd w:val="0"/>
        <w:snapToGrid w:val="0"/>
        <w:spacing w:after="0" w:afterLines="0" w:line="360" w:lineRule="auto"/>
        <w:ind w:left="0" w:leftChars="0" w:firstLine="0" w:firstLineChars="0"/>
        <w:textAlignment w:val="auto"/>
        <w:rPr>
          <w:rFonts w:hint="eastAsia" w:ascii="宋体" w:hAnsi="宋体" w:eastAsia="宋体" w:cs="宋体"/>
          <w:color w:val="auto"/>
          <w:sz w:val="24"/>
          <w:szCs w:val="24"/>
          <w:highlight w:val="none"/>
        </w:rPr>
        <w:sectPr>
          <w:footerReference r:id="rId4" w:type="first"/>
          <w:footerReference r:id="rId3" w:type="default"/>
          <w:pgSz w:w="11906" w:h="16838"/>
          <w:pgMar w:top="1134" w:right="1134" w:bottom="1134" w:left="1417" w:header="720" w:footer="850" w:gutter="0"/>
          <w:cols w:space="720" w:num="1"/>
          <w:titlePg/>
          <w:rtlGutter w:val="0"/>
          <w:docGrid w:linePitch="326" w:charSpace="0"/>
        </w:sectPr>
      </w:pPr>
    </w:p>
    <w:p w14:paraId="4100493E">
      <w:pPr>
        <w:pStyle w:val="5"/>
        <w:keepNext w:val="0"/>
        <w:keepLines w:val="0"/>
        <w:pageBreakBefore w:val="0"/>
        <w:wordWrap/>
        <w:overflowPunct/>
        <w:topLinePunct w:val="0"/>
        <w:bidi w:val="0"/>
        <w:adjustRightInd w:val="0"/>
        <w:snapToGrid w:val="0"/>
        <w:spacing w:after="0" w:afterLines="0" w:line="360" w:lineRule="auto"/>
        <w:ind w:left="0" w:leftChars="0" w:firstLine="0" w:firstLineChars="0"/>
        <w:textAlignment w:val="auto"/>
        <w:rPr>
          <w:rFonts w:hint="eastAsia" w:ascii="宋体" w:hAnsi="宋体" w:eastAsia="宋体" w:cs="宋体"/>
          <w:color w:val="auto"/>
          <w:sz w:val="24"/>
          <w:szCs w:val="24"/>
          <w:highlight w:val="none"/>
        </w:rPr>
      </w:pPr>
    </w:p>
    <w:p w14:paraId="6D879795">
      <w:pPr>
        <w:keepNext w:val="0"/>
        <w:keepLines w:val="0"/>
        <w:pageBreakBefore w:val="0"/>
        <w:wordWrap/>
        <w:overflowPunct/>
        <w:topLinePunct w:val="0"/>
        <w:bidi w:val="0"/>
        <w:spacing w:line="360" w:lineRule="auto"/>
        <w:ind w:left="0" w:leftChars="0" w:firstLine="0" w:firstLineChars="0"/>
        <w:jc w:val="center"/>
        <w:textAlignment w:val="auto"/>
        <w:outlineLvl w:val="1"/>
        <w:rPr>
          <w:rFonts w:ascii="宋体" w:hAnsi="宋体"/>
          <w:b/>
          <w:color w:val="auto"/>
          <w:sz w:val="32"/>
          <w:szCs w:val="32"/>
          <w:highlight w:val="none"/>
        </w:rPr>
      </w:pPr>
      <w:bookmarkStart w:id="53" w:name="_Toc413777034"/>
      <w:bookmarkStart w:id="54" w:name="_Toc31310"/>
      <w:bookmarkStart w:id="55" w:name="_Toc363718992"/>
      <w:bookmarkStart w:id="56" w:name="_Toc80633150"/>
      <w:bookmarkStart w:id="57" w:name="_Toc76719893"/>
      <w:r>
        <w:rPr>
          <w:rFonts w:hint="eastAsia" w:ascii="宋体" w:hAnsi="宋体"/>
          <w:b/>
          <w:color w:val="auto"/>
          <w:sz w:val="32"/>
          <w:szCs w:val="32"/>
          <w:highlight w:val="none"/>
        </w:rPr>
        <w:t>第二部分 通用条款</w:t>
      </w:r>
      <w:bookmarkEnd w:id="53"/>
      <w:bookmarkEnd w:id="54"/>
      <w:bookmarkEnd w:id="55"/>
      <w:bookmarkEnd w:id="56"/>
      <w:bookmarkEnd w:id="57"/>
    </w:p>
    <w:p w14:paraId="52D92411">
      <w:pPr>
        <w:keepNext w:val="0"/>
        <w:keepLines w:val="0"/>
        <w:pageBreakBefore w:val="0"/>
        <w:kinsoku/>
        <w:wordWrap/>
        <w:overflowPunct/>
        <w:topLinePunct w:val="0"/>
        <w:autoSpaceDE/>
        <w:autoSpaceDN/>
        <w:bidi w:val="0"/>
        <w:spacing w:line="360" w:lineRule="auto"/>
        <w:ind w:left="0" w:leftChars="0" w:firstLine="0" w:firstLineChars="0"/>
        <w:textAlignment w:val="auto"/>
        <w:rPr>
          <w:rFonts w:ascii="宋体" w:hAnsi="宋体"/>
          <w:color w:val="auto"/>
          <w:szCs w:val="21"/>
          <w:highlight w:val="none"/>
        </w:rPr>
      </w:pPr>
    </w:p>
    <w:p w14:paraId="5B69875E">
      <w:pPr>
        <w:keepNext w:val="0"/>
        <w:keepLines w:val="0"/>
        <w:pageBreakBefore w:val="0"/>
        <w:numPr>
          <w:ilvl w:val="0"/>
          <w:numId w:val="11"/>
        </w:numPr>
        <w:kinsoku/>
        <w:wordWrap/>
        <w:overflowPunct/>
        <w:topLinePunct w:val="0"/>
        <w:autoSpaceDE/>
        <w:autoSpaceDN/>
        <w:bidi w:val="0"/>
        <w:spacing w:line="360" w:lineRule="auto"/>
        <w:ind w:left="632" w:leftChars="0" w:hanging="632" w:hangingChars="300"/>
        <w:textAlignment w:val="auto"/>
        <w:outlineLvl w:val="2"/>
        <w:rPr>
          <w:rFonts w:ascii="宋体" w:hAnsi="宋体"/>
          <w:b/>
          <w:color w:val="auto"/>
          <w:sz w:val="21"/>
          <w:szCs w:val="21"/>
          <w:highlight w:val="none"/>
        </w:rPr>
      </w:pPr>
      <w:bookmarkStart w:id="58" w:name="_Toc80633151"/>
      <w:bookmarkStart w:id="59" w:name="_Toc76719894"/>
      <w:bookmarkStart w:id="60" w:name="_Toc363718993"/>
      <w:r>
        <w:rPr>
          <w:rFonts w:hint="eastAsia" w:ascii="宋体" w:hAnsi="宋体"/>
          <w:b/>
          <w:color w:val="auto"/>
          <w:sz w:val="21"/>
          <w:szCs w:val="21"/>
          <w:highlight w:val="none"/>
        </w:rPr>
        <w:t>一般规定</w:t>
      </w:r>
      <w:bookmarkEnd w:id="58"/>
      <w:bookmarkEnd w:id="59"/>
      <w:bookmarkEnd w:id="60"/>
    </w:p>
    <w:p w14:paraId="1678C5FE">
      <w:pPr>
        <w:keepNext w:val="0"/>
        <w:keepLines w:val="0"/>
        <w:pageBreakBefore w:val="0"/>
        <w:widowControl w:val="0"/>
        <w:numPr>
          <w:ilvl w:val="1"/>
          <w:numId w:val="11"/>
        </w:numPr>
        <w:kinsoku/>
        <w:wordWrap/>
        <w:overflowPunct/>
        <w:topLinePunct w:val="0"/>
        <w:autoSpaceDE/>
        <w:autoSpaceDN/>
        <w:bidi w:val="0"/>
        <w:adjustRightInd/>
        <w:snapToGrid/>
        <w:spacing w:line="360" w:lineRule="auto"/>
        <w:ind w:left="632" w:leftChars="0" w:hanging="632" w:hangingChars="300"/>
        <w:textAlignment w:val="auto"/>
        <w:outlineLvl w:val="3"/>
        <w:rPr>
          <w:rFonts w:ascii="宋体" w:hAnsi="宋体"/>
          <w:b/>
          <w:color w:val="auto"/>
          <w:sz w:val="21"/>
          <w:szCs w:val="21"/>
          <w:highlight w:val="none"/>
        </w:rPr>
      </w:pPr>
      <w:bookmarkStart w:id="61" w:name="_Toc76719895"/>
      <w:r>
        <w:rPr>
          <w:rFonts w:hint="eastAsia" w:ascii="宋体" w:hAnsi="宋体"/>
          <w:b/>
          <w:color w:val="auto"/>
          <w:sz w:val="21"/>
          <w:szCs w:val="21"/>
          <w:highlight w:val="none"/>
        </w:rPr>
        <w:t>定义与解释</w:t>
      </w:r>
      <w:bookmarkEnd w:id="61"/>
    </w:p>
    <w:p w14:paraId="52AA9C3D">
      <w:pPr>
        <w:keepNext w:val="0"/>
        <w:keepLines w:val="0"/>
        <w:pageBreakBefore w:val="0"/>
        <w:widowControl w:val="0"/>
        <w:numPr>
          <w:ilvl w:val="2"/>
          <w:numId w:val="11"/>
        </w:numPr>
        <w:tabs>
          <w:tab w:val="left" w:pos="1134"/>
          <w:tab w:val="clear" w:pos="0"/>
        </w:tabs>
        <w:kinsoku/>
        <w:wordWrap/>
        <w:overflowPunct/>
        <w:topLinePunct w:val="0"/>
        <w:autoSpaceDE/>
        <w:autoSpaceDN/>
        <w:bidi w:val="0"/>
        <w:adjustRightInd/>
        <w:snapToGrid/>
        <w:spacing w:line="360" w:lineRule="auto"/>
        <w:ind w:left="630" w:leftChars="0" w:hanging="630" w:hangingChars="300"/>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通用条款，指根据法律、行政法规的规定，合同当事人在履行工程总承包合同过程中所遵守的一般性条款，由本文件第1条至第20条组成。</w:t>
      </w:r>
    </w:p>
    <w:p w14:paraId="01B4B028">
      <w:pPr>
        <w:keepNext w:val="0"/>
        <w:keepLines w:val="0"/>
        <w:pageBreakBefore w:val="0"/>
        <w:widowControl w:val="0"/>
        <w:numPr>
          <w:ilvl w:val="2"/>
          <w:numId w:val="11"/>
        </w:numPr>
        <w:tabs>
          <w:tab w:val="left" w:pos="1134"/>
          <w:tab w:val="clear" w:pos="0"/>
        </w:tabs>
        <w:kinsoku/>
        <w:wordWrap/>
        <w:overflowPunct/>
        <w:topLinePunct w:val="0"/>
        <w:autoSpaceDE/>
        <w:autoSpaceDN/>
        <w:bidi w:val="0"/>
        <w:adjustRightInd/>
        <w:snapToGrid/>
        <w:spacing w:line="360" w:lineRule="auto"/>
        <w:ind w:left="630" w:leftChars="0" w:hanging="630" w:hangingChars="300"/>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专用条款，指根据工程总承包项目的实际，对通用条款进行补充、修改和完善，并同意共同遵守的条款。</w:t>
      </w:r>
    </w:p>
    <w:p w14:paraId="5E54751C">
      <w:pPr>
        <w:keepNext w:val="0"/>
        <w:keepLines w:val="0"/>
        <w:pageBreakBefore w:val="0"/>
        <w:widowControl w:val="0"/>
        <w:numPr>
          <w:ilvl w:val="2"/>
          <w:numId w:val="11"/>
        </w:numPr>
        <w:tabs>
          <w:tab w:val="left" w:pos="1134"/>
          <w:tab w:val="clear" w:pos="0"/>
        </w:tabs>
        <w:kinsoku/>
        <w:wordWrap/>
        <w:overflowPunct/>
        <w:topLinePunct w:val="0"/>
        <w:autoSpaceDE/>
        <w:autoSpaceDN/>
        <w:bidi w:val="0"/>
        <w:adjustRightInd/>
        <w:snapToGrid/>
        <w:spacing w:line="360" w:lineRule="auto"/>
        <w:ind w:left="630" w:leftChars="0" w:hanging="630" w:hangingChars="300"/>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工程总承包，指承包人受发包人委托，按照合同约定对工程建设项目的设计、采购、施工（含竣工试验）、试运行等实行全过程或设计与其他阶段的工程承包。</w:t>
      </w:r>
    </w:p>
    <w:p w14:paraId="32EE6BE4">
      <w:pPr>
        <w:keepNext w:val="0"/>
        <w:keepLines w:val="0"/>
        <w:pageBreakBefore w:val="0"/>
        <w:widowControl w:val="0"/>
        <w:numPr>
          <w:ilvl w:val="2"/>
          <w:numId w:val="11"/>
        </w:numPr>
        <w:tabs>
          <w:tab w:val="left" w:pos="1134"/>
          <w:tab w:val="clear" w:pos="0"/>
        </w:tabs>
        <w:kinsoku/>
        <w:wordWrap/>
        <w:overflowPunct/>
        <w:topLinePunct w:val="0"/>
        <w:autoSpaceDE/>
        <w:autoSpaceDN/>
        <w:bidi w:val="0"/>
        <w:adjustRightInd/>
        <w:snapToGrid/>
        <w:spacing w:line="360" w:lineRule="auto"/>
        <w:ind w:left="630" w:leftChars="0" w:hanging="630" w:hangingChars="300"/>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发包人，指在合同协议书中约定的，被称为发包人的当事人，包括其合法继承人和经许可的受让人。</w:t>
      </w:r>
    </w:p>
    <w:p w14:paraId="00770674">
      <w:pPr>
        <w:keepNext w:val="0"/>
        <w:keepLines w:val="0"/>
        <w:pageBreakBefore w:val="0"/>
        <w:widowControl w:val="0"/>
        <w:numPr>
          <w:ilvl w:val="2"/>
          <w:numId w:val="11"/>
        </w:numPr>
        <w:tabs>
          <w:tab w:val="left" w:pos="1134"/>
          <w:tab w:val="clear" w:pos="0"/>
        </w:tabs>
        <w:kinsoku/>
        <w:wordWrap/>
        <w:overflowPunct/>
        <w:topLinePunct w:val="0"/>
        <w:autoSpaceDE/>
        <w:autoSpaceDN/>
        <w:bidi w:val="0"/>
        <w:adjustRightInd/>
        <w:snapToGrid/>
        <w:spacing w:line="360" w:lineRule="auto"/>
        <w:ind w:left="630" w:leftChars="0" w:hanging="630" w:hangingChars="300"/>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承包人，指在合同协议书中约定的，被发包人接受的具有工程总承包主体资格的当事人，包括其合法继承人。</w:t>
      </w:r>
    </w:p>
    <w:p w14:paraId="7A336C77">
      <w:pPr>
        <w:keepNext w:val="0"/>
        <w:keepLines w:val="0"/>
        <w:pageBreakBefore w:val="0"/>
        <w:widowControl w:val="0"/>
        <w:numPr>
          <w:ilvl w:val="2"/>
          <w:numId w:val="11"/>
        </w:numPr>
        <w:tabs>
          <w:tab w:val="left" w:pos="1134"/>
          <w:tab w:val="clear" w:pos="0"/>
        </w:tabs>
        <w:kinsoku/>
        <w:wordWrap/>
        <w:overflowPunct/>
        <w:topLinePunct w:val="0"/>
        <w:autoSpaceDE/>
        <w:autoSpaceDN/>
        <w:bidi w:val="0"/>
        <w:adjustRightInd/>
        <w:snapToGrid/>
        <w:spacing w:line="360" w:lineRule="auto"/>
        <w:ind w:left="630" w:leftChars="0" w:hanging="630" w:hangingChars="300"/>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分包人，指接受承包人根据合同约定对外分包的部分工程或服务的、并具有相应资格的法人或其他组织。</w:t>
      </w:r>
    </w:p>
    <w:p w14:paraId="2AEE9D23">
      <w:pPr>
        <w:keepNext w:val="0"/>
        <w:keepLines w:val="0"/>
        <w:pageBreakBefore w:val="0"/>
        <w:widowControl w:val="0"/>
        <w:numPr>
          <w:ilvl w:val="2"/>
          <w:numId w:val="11"/>
        </w:numPr>
        <w:tabs>
          <w:tab w:val="left" w:pos="1134"/>
          <w:tab w:val="clear" w:pos="0"/>
        </w:tabs>
        <w:kinsoku/>
        <w:wordWrap/>
        <w:overflowPunct/>
        <w:topLinePunct w:val="0"/>
        <w:autoSpaceDE/>
        <w:autoSpaceDN/>
        <w:bidi w:val="0"/>
        <w:adjustRightInd/>
        <w:snapToGrid/>
        <w:spacing w:line="360" w:lineRule="auto"/>
        <w:ind w:left="630" w:leftChars="0" w:hanging="630" w:hangingChars="300"/>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发包人代表，指发包人指定的履行本合同的代表。</w:t>
      </w:r>
    </w:p>
    <w:p w14:paraId="21D34A66">
      <w:pPr>
        <w:keepNext w:val="0"/>
        <w:keepLines w:val="0"/>
        <w:pageBreakBefore w:val="0"/>
        <w:widowControl w:val="0"/>
        <w:numPr>
          <w:ilvl w:val="2"/>
          <w:numId w:val="11"/>
        </w:numPr>
        <w:tabs>
          <w:tab w:val="left" w:pos="1134"/>
          <w:tab w:val="clear" w:pos="0"/>
        </w:tabs>
        <w:kinsoku/>
        <w:wordWrap/>
        <w:overflowPunct/>
        <w:topLinePunct w:val="0"/>
        <w:autoSpaceDE/>
        <w:autoSpaceDN/>
        <w:bidi w:val="0"/>
        <w:adjustRightInd/>
        <w:snapToGrid/>
        <w:spacing w:line="360" w:lineRule="auto"/>
        <w:ind w:left="630" w:leftChars="0" w:hanging="630" w:hangingChars="300"/>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监理人，指发包人委托的具有相应资质的工程监理单位。</w:t>
      </w:r>
    </w:p>
    <w:p w14:paraId="28BF0583">
      <w:pPr>
        <w:keepNext w:val="0"/>
        <w:keepLines w:val="0"/>
        <w:pageBreakBefore w:val="0"/>
        <w:widowControl w:val="0"/>
        <w:numPr>
          <w:ilvl w:val="2"/>
          <w:numId w:val="11"/>
        </w:numPr>
        <w:tabs>
          <w:tab w:val="left" w:pos="1134"/>
          <w:tab w:val="clear" w:pos="0"/>
        </w:tabs>
        <w:kinsoku/>
        <w:wordWrap/>
        <w:overflowPunct/>
        <w:topLinePunct w:val="0"/>
        <w:autoSpaceDE/>
        <w:autoSpaceDN/>
        <w:bidi w:val="0"/>
        <w:adjustRightInd/>
        <w:snapToGrid/>
        <w:spacing w:line="360" w:lineRule="auto"/>
        <w:ind w:left="630" w:leftChars="0" w:hanging="630" w:hangingChars="300"/>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工程总监，指由监理人授权、负责履行监理合同的总监理工程师。</w:t>
      </w:r>
    </w:p>
    <w:p w14:paraId="182D27A7">
      <w:pPr>
        <w:keepNext w:val="0"/>
        <w:keepLines w:val="0"/>
        <w:pageBreakBefore w:val="0"/>
        <w:widowControl w:val="0"/>
        <w:numPr>
          <w:ilvl w:val="2"/>
          <w:numId w:val="11"/>
        </w:numPr>
        <w:tabs>
          <w:tab w:val="left" w:pos="1134"/>
          <w:tab w:val="clear" w:pos="0"/>
        </w:tabs>
        <w:kinsoku/>
        <w:wordWrap/>
        <w:overflowPunct/>
        <w:topLinePunct w:val="0"/>
        <w:autoSpaceDE/>
        <w:autoSpaceDN/>
        <w:bidi w:val="0"/>
        <w:adjustRightInd/>
        <w:snapToGrid/>
        <w:spacing w:line="360" w:lineRule="auto"/>
        <w:ind w:left="630" w:leftChars="0" w:hanging="630" w:hangingChars="300"/>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工程总承包项目经理，指承包人按照合同约定任命的负责履行合同的代表。</w:t>
      </w:r>
    </w:p>
    <w:p w14:paraId="44F857CB">
      <w:pPr>
        <w:keepNext w:val="0"/>
        <w:keepLines w:val="0"/>
        <w:pageBreakBefore w:val="0"/>
        <w:widowControl w:val="0"/>
        <w:numPr>
          <w:ilvl w:val="2"/>
          <w:numId w:val="11"/>
        </w:numPr>
        <w:tabs>
          <w:tab w:val="left" w:pos="1134"/>
          <w:tab w:val="clear" w:pos="0"/>
        </w:tabs>
        <w:kinsoku/>
        <w:wordWrap/>
        <w:overflowPunct/>
        <w:topLinePunct w:val="0"/>
        <w:autoSpaceDE/>
        <w:autoSpaceDN/>
        <w:bidi w:val="0"/>
        <w:adjustRightInd/>
        <w:snapToGrid/>
        <w:spacing w:line="360" w:lineRule="auto"/>
        <w:ind w:left="630" w:leftChars="0" w:hanging="630" w:hangingChars="300"/>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永久性工程，指承包人根据合同约定，进行设计、采购、施工、竣工试验、竣工后试验和（或）试运行考核并交付发包人进行生产操作或使用的工程。</w:t>
      </w:r>
    </w:p>
    <w:p w14:paraId="515FFF3D">
      <w:pPr>
        <w:keepNext w:val="0"/>
        <w:keepLines w:val="0"/>
        <w:pageBreakBefore w:val="0"/>
        <w:widowControl w:val="0"/>
        <w:numPr>
          <w:ilvl w:val="2"/>
          <w:numId w:val="11"/>
        </w:numPr>
        <w:tabs>
          <w:tab w:val="left" w:pos="1134"/>
          <w:tab w:val="clear" w:pos="0"/>
        </w:tabs>
        <w:kinsoku/>
        <w:wordWrap/>
        <w:overflowPunct/>
        <w:topLinePunct w:val="0"/>
        <w:autoSpaceDE/>
        <w:autoSpaceDN/>
        <w:bidi w:val="0"/>
        <w:adjustRightInd/>
        <w:snapToGrid/>
        <w:spacing w:line="360" w:lineRule="auto"/>
        <w:ind w:left="630" w:leftChars="0" w:hanging="630" w:hangingChars="300"/>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单项工程，指专用条件中列明的具有某项独立功能的工程单元，是永久性工程的组成部分。</w:t>
      </w:r>
    </w:p>
    <w:p w14:paraId="101EDE49">
      <w:pPr>
        <w:keepNext w:val="0"/>
        <w:keepLines w:val="0"/>
        <w:pageBreakBefore w:val="0"/>
        <w:widowControl w:val="0"/>
        <w:numPr>
          <w:ilvl w:val="2"/>
          <w:numId w:val="11"/>
        </w:numPr>
        <w:tabs>
          <w:tab w:val="left" w:pos="1134"/>
          <w:tab w:val="clear" w:pos="0"/>
        </w:tabs>
        <w:kinsoku/>
        <w:wordWrap/>
        <w:overflowPunct/>
        <w:topLinePunct w:val="0"/>
        <w:autoSpaceDE/>
        <w:autoSpaceDN/>
        <w:bidi w:val="0"/>
        <w:adjustRightInd/>
        <w:snapToGrid/>
        <w:spacing w:line="360" w:lineRule="auto"/>
        <w:ind w:left="630" w:leftChars="0" w:hanging="630" w:hangingChars="300"/>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临时性工程，指为实施、完成永久性工程及修补任何质量缺陷，在现场所需搭建的临时建筑物、构筑物，以及不构成永久性工程实体的其它临时设施。</w:t>
      </w:r>
    </w:p>
    <w:p w14:paraId="16433E9A">
      <w:pPr>
        <w:keepNext w:val="0"/>
        <w:keepLines w:val="0"/>
        <w:pageBreakBefore w:val="0"/>
        <w:widowControl w:val="0"/>
        <w:numPr>
          <w:ilvl w:val="2"/>
          <w:numId w:val="11"/>
        </w:numPr>
        <w:tabs>
          <w:tab w:val="left" w:pos="1134"/>
          <w:tab w:val="clear" w:pos="0"/>
        </w:tabs>
        <w:kinsoku/>
        <w:wordWrap/>
        <w:overflowPunct/>
        <w:topLinePunct w:val="0"/>
        <w:autoSpaceDE/>
        <w:autoSpaceDN/>
        <w:bidi w:val="0"/>
        <w:adjustRightInd/>
        <w:snapToGrid/>
        <w:spacing w:line="360" w:lineRule="auto"/>
        <w:ind w:left="630" w:leftChars="0" w:hanging="630" w:hangingChars="300"/>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现场或场地，指合同约定的用于承包人现场办公、居住、设备材料部件存放、施工机具、设施存放和工程实施的任何地点。</w:t>
      </w:r>
    </w:p>
    <w:p w14:paraId="4312F189">
      <w:pPr>
        <w:keepNext w:val="0"/>
        <w:keepLines w:val="0"/>
        <w:pageBreakBefore w:val="0"/>
        <w:widowControl w:val="0"/>
        <w:numPr>
          <w:ilvl w:val="2"/>
          <w:numId w:val="11"/>
        </w:numPr>
        <w:tabs>
          <w:tab w:val="left" w:pos="1134"/>
          <w:tab w:val="clear" w:pos="0"/>
        </w:tabs>
        <w:kinsoku/>
        <w:wordWrap/>
        <w:overflowPunct/>
        <w:topLinePunct w:val="0"/>
        <w:autoSpaceDE/>
        <w:autoSpaceDN/>
        <w:bidi w:val="0"/>
        <w:adjustRightInd/>
        <w:snapToGrid/>
        <w:spacing w:line="360" w:lineRule="auto"/>
        <w:ind w:left="630" w:leftChars="0" w:hanging="630" w:hangingChars="300"/>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项目基础资料，指发包人提供给承包人的经有关部门对项目批准或核准的文件、报告（选厂报告、资源报告、勘察报告）、资料（气象、水文、地质）、协议（燃料、水、电、气、运输）和有关数据等，设计所须的基础资料。</w:t>
      </w:r>
    </w:p>
    <w:p w14:paraId="3489EEB4">
      <w:pPr>
        <w:keepNext w:val="0"/>
        <w:keepLines w:val="0"/>
        <w:pageBreakBefore w:val="0"/>
        <w:widowControl w:val="0"/>
        <w:numPr>
          <w:ilvl w:val="2"/>
          <w:numId w:val="11"/>
        </w:numPr>
        <w:tabs>
          <w:tab w:val="left" w:pos="1134"/>
          <w:tab w:val="clear" w:pos="0"/>
        </w:tabs>
        <w:kinsoku/>
        <w:wordWrap/>
        <w:overflowPunct/>
        <w:topLinePunct w:val="0"/>
        <w:autoSpaceDE/>
        <w:autoSpaceDN/>
        <w:bidi w:val="0"/>
        <w:adjustRightInd/>
        <w:snapToGrid/>
        <w:spacing w:line="360" w:lineRule="auto"/>
        <w:ind w:left="630" w:leftChars="0" w:hanging="630" w:hangingChars="300"/>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现场障碍资料，指发包人为承包人完成设计、进行现场施工所需要提供的地上和地下已有的建筑物、构筑物、须受保护的古建筑、古树木等坐标方位、数据和其他情况的资料。</w:t>
      </w:r>
    </w:p>
    <w:p w14:paraId="0FEC0512">
      <w:pPr>
        <w:keepNext w:val="0"/>
        <w:keepLines w:val="0"/>
        <w:pageBreakBefore w:val="0"/>
        <w:widowControl w:val="0"/>
        <w:numPr>
          <w:ilvl w:val="2"/>
          <w:numId w:val="11"/>
        </w:numPr>
        <w:tabs>
          <w:tab w:val="left" w:pos="1134"/>
          <w:tab w:val="clear" w:pos="0"/>
        </w:tabs>
        <w:kinsoku/>
        <w:wordWrap/>
        <w:overflowPunct/>
        <w:topLinePunct w:val="0"/>
        <w:autoSpaceDE/>
        <w:autoSpaceDN/>
        <w:bidi w:val="0"/>
        <w:adjustRightInd/>
        <w:snapToGrid/>
        <w:spacing w:line="360" w:lineRule="auto"/>
        <w:ind w:left="630" w:leftChars="0" w:hanging="630" w:hangingChars="300"/>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设计阶段，指规划设计、总体设计、初步设计、技术设计和施工图设计等阶段。</w:t>
      </w:r>
    </w:p>
    <w:p w14:paraId="781A715A">
      <w:pPr>
        <w:keepNext w:val="0"/>
        <w:keepLines w:val="0"/>
        <w:pageBreakBefore w:val="0"/>
        <w:widowControl w:val="0"/>
        <w:numPr>
          <w:ilvl w:val="2"/>
          <w:numId w:val="11"/>
        </w:numPr>
        <w:tabs>
          <w:tab w:val="left" w:pos="1134"/>
          <w:tab w:val="clear" w:pos="0"/>
        </w:tabs>
        <w:kinsoku/>
        <w:wordWrap/>
        <w:overflowPunct/>
        <w:topLinePunct w:val="0"/>
        <w:autoSpaceDE/>
        <w:autoSpaceDN/>
        <w:bidi w:val="0"/>
        <w:adjustRightInd/>
        <w:snapToGrid/>
        <w:spacing w:line="360" w:lineRule="auto"/>
        <w:ind w:left="630" w:leftChars="0" w:hanging="630" w:hangingChars="300"/>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工程物资，设计文件规定的并构成永久性工程实体的设备、材料和部件，及竣工后试验所需的材料等。</w:t>
      </w:r>
    </w:p>
    <w:p w14:paraId="45ACC1E1">
      <w:pPr>
        <w:keepNext w:val="0"/>
        <w:keepLines w:val="0"/>
        <w:pageBreakBefore w:val="0"/>
        <w:widowControl w:val="0"/>
        <w:numPr>
          <w:ilvl w:val="2"/>
          <w:numId w:val="11"/>
        </w:numPr>
        <w:tabs>
          <w:tab w:val="left" w:pos="1134"/>
          <w:tab w:val="clear" w:pos="0"/>
        </w:tabs>
        <w:kinsoku/>
        <w:wordWrap/>
        <w:overflowPunct/>
        <w:topLinePunct w:val="0"/>
        <w:autoSpaceDE/>
        <w:autoSpaceDN/>
        <w:bidi w:val="0"/>
        <w:adjustRightInd/>
        <w:snapToGrid/>
        <w:spacing w:line="360" w:lineRule="auto"/>
        <w:ind w:left="630" w:leftChars="0" w:hanging="630" w:hangingChars="300"/>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施工，指承包人把设计文件转化为工程的过程，包括土建、安装和竣工试验等作业。</w:t>
      </w:r>
    </w:p>
    <w:p w14:paraId="5CAF86BC">
      <w:pPr>
        <w:keepNext w:val="0"/>
        <w:keepLines w:val="0"/>
        <w:pageBreakBefore w:val="0"/>
        <w:widowControl w:val="0"/>
        <w:numPr>
          <w:ilvl w:val="2"/>
          <w:numId w:val="11"/>
        </w:numPr>
        <w:tabs>
          <w:tab w:val="left" w:pos="1134"/>
          <w:tab w:val="clear" w:pos="0"/>
        </w:tabs>
        <w:kinsoku/>
        <w:wordWrap/>
        <w:overflowPunct/>
        <w:topLinePunct w:val="0"/>
        <w:autoSpaceDE/>
        <w:autoSpaceDN/>
        <w:bidi w:val="0"/>
        <w:adjustRightInd/>
        <w:snapToGrid/>
        <w:spacing w:line="360" w:lineRule="auto"/>
        <w:ind w:left="630" w:leftChars="0" w:hanging="630" w:hangingChars="300"/>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竣工试验，指工程的土建、安装完工后，工程或（和）单项工程被发包人接收前由承包人负责进行的试验。</w:t>
      </w:r>
    </w:p>
    <w:p w14:paraId="4E0BF68B">
      <w:pPr>
        <w:keepNext w:val="0"/>
        <w:keepLines w:val="0"/>
        <w:pageBreakBefore w:val="0"/>
        <w:widowControl w:val="0"/>
        <w:numPr>
          <w:ilvl w:val="2"/>
          <w:numId w:val="11"/>
        </w:numPr>
        <w:tabs>
          <w:tab w:val="left" w:pos="1134"/>
          <w:tab w:val="clear" w:pos="0"/>
        </w:tabs>
        <w:kinsoku/>
        <w:wordWrap/>
        <w:overflowPunct/>
        <w:topLinePunct w:val="0"/>
        <w:autoSpaceDE/>
        <w:autoSpaceDN/>
        <w:bidi w:val="0"/>
        <w:adjustRightInd/>
        <w:snapToGrid/>
        <w:spacing w:line="360" w:lineRule="auto"/>
        <w:ind w:left="630" w:leftChars="0" w:hanging="630" w:hangingChars="300"/>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施工竣工，指工程已按合同约定和设计要求完成土建、安装，并通过竣工试验。</w:t>
      </w:r>
    </w:p>
    <w:p w14:paraId="231E86AF">
      <w:pPr>
        <w:keepNext w:val="0"/>
        <w:keepLines w:val="0"/>
        <w:pageBreakBefore w:val="0"/>
        <w:widowControl w:val="0"/>
        <w:numPr>
          <w:ilvl w:val="2"/>
          <w:numId w:val="11"/>
        </w:numPr>
        <w:tabs>
          <w:tab w:val="left" w:pos="1134"/>
          <w:tab w:val="clear" w:pos="0"/>
        </w:tabs>
        <w:kinsoku/>
        <w:wordWrap/>
        <w:overflowPunct/>
        <w:topLinePunct w:val="0"/>
        <w:autoSpaceDE/>
        <w:autoSpaceDN/>
        <w:bidi w:val="0"/>
        <w:adjustRightInd/>
        <w:snapToGrid/>
        <w:spacing w:line="360" w:lineRule="auto"/>
        <w:ind w:left="630" w:leftChars="0" w:hanging="630" w:hangingChars="300"/>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工程接收，指工程或（和）单项工程通过竣工试验后，为使发包人的操作人员、使用人员进入岗位进行竣工后试验、试运行准备，由承包人与发包人进行工程交接，并由发包人颁发接收证书的过程。</w:t>
      </w:r>
    </w:p>
    <w:p w14:paraId="59E8C21B">
      <w:pPr>
        <w:keepNext w:val="0"/>
        <w:keepLines w:val="0"/>
        <w:pageBreakBefore w:val="0"/>
        <w:widowControl w:val="0"/>
        <w:numPr>
          <w:ilvl w:val="2"/>
          <w:numId w:val="11"/>
        </w:numPr>
        <w:tabs>
          <w:tab w:val="left" w:pos="1134"/>
          <w:tab w:val="clear" w:pos="0"/>
        </w:tabs>
        <w:kinsoku/>
        <w:wordWrap/>
        <w:overflowPunct/>
        <w:topLinePunct w:val="0"/>
        <w:autoSpaceDE/>
        <w:autoSpaceDN/>
        <w:bidi w:val="0"/>
        <w:adjustRightInd/>
        <w:snapToGrid/>
        <w:spacing w:line="360" w:lineRule="auto"/>
        <w:ind w:left="630" w:leftChars="0" w:hanging="630" w:hangingChars="300"/>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竣工后试验，指工程被发包人接收后，按合同约定由发包人自行组织的试验、或在发包人组织领导下并由承包人指导进行工程的功能试验。竣工后试验包括168小时试运行及性能试验等试运行考核试验。</w:t>
      </w:r>
    </w:p>
    <w:p w14:paraId="4E7898B6">
      <w:pPr>
        <w:keepNext w:val="0"/>
        <w:keepLines w:val="0"/>
        <w:pageBreakBefore w:val="0"/>
        <w:widowControl w:val="0"/>
        <w:numPr>
          <w:ilvl w:val="2"/>
          <w:numId w:val="11"/>
        </w:numPr>
        <w:tabs>
          <w:tab w:val="left" w:pos="1134"/>
          <w:tab w:val="clear" w:pos="0"/>
        </w:tabs>
        <w:kinsoku/>
        <w:wordWrap/>
        <w:overflowPunct/>
        <w:topLinePunct w:val="0"/>
        <w:autoSpaceDE/>
        <w:autoSpaceDN/>
        <w:bidi w:val="0"/>
        <w:adjustRightInd/>
        <w:snapToGrid/>
        <w:spacing w:line="360" w:lineRule="auto"/>
        <w:ind w:left="630" w:leftChars="0" w:hanging="630" w:hangingChars="300"/>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试运行，指承包人为获得发包人签发本项目的完工验收证书而按照国家相关行业最新标准、程序、《GB/T 50796-2012 光伏发电工程验收规范》及</w:t>
      </w:r>
      <w:r>
        <w:rPr>
          <w:rFonts w:hint="eastAsia" w:ascii="宋体" w:hAnsi="宋体" w:cs="Times New Roman"/>
          <w:color w:val="auto"/>
          <w:sz w:val="21"/>
          <w:szCs w:val="21"/>
          <w:highlight w:val="none"/>
          <w:lang w:eastAsia="zh-CN"/>
        </w:rPr>
        <w:t>招标文件</w:t>
      </w:r>
      <w:r>
        <w:rPr>
          <w:rFonts w:hint="eastAsia" w:ascii="宋体" w:hAnsi="宋体" w:eastAsia="宋体" w:cs="Times New Roman"/>
          <w:color w:val="auto"/>
          <w:sz w:val="21"/>
          <w:szCs w:val="21"/>
          <w:highlight w:val="none"/>
        </w:rPr>
        <w:t>所规定的标准而对本项目进行的连续试运行。</w:t>
      </w:r>
    </w:p>
    <w:p w14:paraId="3A8F0F1B">
      <w:pPr>
        <w:keepNext w:val="0"/>
        <w:keepLines w:val="0"/>
        <w:pageBreakBefore w:val="0"/>
        <w:widowControl w:val="0"/>
        <w:numPr>
          <w:ilvl w:val="2"/>
          <w:numId w:val="11"/>
        </w:numPr>
        <w:tabs>
          <w:tab w:val="left" w:pos="1134"/>
          <w:tab w:val="clear" w:pos="0"/>
        </w:tabs>
        <w:kinsoku/>
        <w:wordWrap/>
        <w:overflowPunct/>
        <w:topLinePunct w:val="0"/>
        <w:autoSpaceDE/>
        <w:autoSpaceDN/>
        <w:bidi w:val="0"/>
        <w:adjustRightInd/>
        <w:snapToGrid/>
        <w:spacing w:line="360" w:lineRule="auto"/>
        <w:ind w:left="630" w:leftChars="0" w:hanging="630" w:hangingChars="300"/>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 xml:space="preserve"> 性能保证值（GPV），指国家相关技术要求和</w:t>
      </w:r>
      <w:r>
        <w:rPr>
          <w:rFonts w:hint="eastAsia" w:ascii="宋体" w:hAnsi="宋体" w:cs="Times New Roman"/>
          <w:color w:val="auto"/>
          <w:sz w:val="21"/>
          <w:szCs w:val="21"/>
          <w:highlight w:val="none"/>
          <w:lang w:eastAsia="zh-CN"/>
        </w:rPr>
        <w:t>招标文件</w:t>
      </w:r>
      <w:r>
        <w:rPr>
          <w:rFonts w:hint="eastAsia" w:ascii="宋体" w:hAnsi="宋体" w:eastAsia="宋体" w:cs="Times New Roman"/>
          <w:color w:val="auto"/>
          <w:sz w:val="21"/>
          <w:szCs w:val="21"/>
          <w:highlight w:val="none"/>
        </w:rPr>
        <w:t>规定的整个装置系统最终技术性能的保证值。如国家相关技术要求如有最新规定，按最新规定执行。</w:t>
      </w:r>
    </w:p>
    <w:p w14:paraId="4F9F219A">
      <w:pPr>
        <w:keepNext w:val="0"/>
        <w:keepLines w:val="0"/>
        <w:pageBreakBefore w:val="0"/>
        <w:widowControl w:val="0"/>
        <w:numPr>
          <w:ilvl w:val="2"/>
          <w:numId w:val="11"/>
        </w:numPr>
        <w:tabs>
          <w:tab w:val="left" w:pos="1134"/>
          <w:tab w:val="clear" w:pos="0"/>
        </w:tabs>
        <w:kinsoku/>
        <w:wordWrap/>
        <w:overflowPunct/>
        <w:topLinePunct w:val="0"/>
        <w:autoSpaceDE/>
        <w:autoSpaceDN/>
        <w:bidi w:val="0"/>
        <w:adjustRightInd/>
        <w:snapToGrid/>
        <w:spacing w:line="360" w:lineRule="auto"/>
        <w:ind w:left="630" w:leftChars="0" w:hanging="630" w:hangingChars="300"/>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性能试验，指在合同中规定或双方商定的，或按指示作为一项变更的，根据《GB/T 50796-2012 光伏发电工程验收规范》、</w:t>
      </w:r>
      <w:r>
        <w:rPr>
          <w:rFonts w:hint="eastAsia" w:ascii="宋体" w:hAnsi="宋体" w:cs="Times New Roman"/>
          <w:color w:val="auto"/>
          <w:sz w:val="21"/>
          <w:szCs w:val="21"/>
          <w:highlight w:val="none"/>
          <w:lang w:eastAsia="zh-CN"/>
        </w:rPr>
        <w:t>招标文件</w:t>
      </w:r>
      <w:r>
        <w:rPr>
          <w:rFonts w:hint="eastAsia" w:ascii="宋体" w:hAnsi="宋体" w:eastAsia="宋体" w:cs="Times New Roman"/>
          <w:color w:val="auto"/>
          <w:sz w:val="21"/>
          <w:szCs w:val="21"/>
          <w:highlight w:val="none"/>
        </w:rPr>
        <w:t>技术标准和要求及本合同第10条规定的条款中的要求进行的试验。</w:t>
      </w:r>
    </w:p>
    <w:p w14:paraId="26A8401F">
      <w:pPr>
        <w:keepNext w:val="0"/>
        <w:keepLines w:val="0"/>
        <w:pageBreakBefore w:val="0"/>
        <w:widowControl w:val="0"/>
        <w:numPr>
          <w:ilvl w:val="2"/>
          <w:numId w:val="11"/>
        </w:numPr>
        <w:tabs>
          <w:tab w:val="left" w:pos="1134"/>
          <w:tab w:val="clear" w:pos="0"/>
        </w:tabs>
        <w:kinsoku/>
        <w:wordWrap/>
        <w:overflowPunct/>
        <w:topLinePunct w:val="0"/>
        <w:autoSpaceDE/>
        <w:autoSpaceDN/>
        <w:bidi w:val="0"/>
        <w:adjustRightInd/>
        <w:snapToGrid/>
        <w:spacing w:line="360" w:lineRule="auto"/>
        <w:ind w:left="630" w:leftChars="0" w:hanging="630" w:hangingChars="300"/>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试运行考核，指根据合同约定，在工程完成竣工试验后，由发包人自行或在发包人的组织领导下由承包人指导下进行的包括性能试验、合同目标考核验收在内的全部试验。</w:t>
      </w:r>
    </w:p>
    <w:p w14:paraId="10C8B9EC">
      <w:pPr>
        <w:keepNext w:val="0"/>
        <w:keepLines w:val="0"/>
        <w:pageBreakBefore w:val="0"/>
        <w:widowControl w:val="0"/>
        <w:numPr>
          <w:ilvl w:val="2"/>
          <w:numId w:val="11"/>
        </w:numPr>
        <w:tabs>
          <w:tab w:val="left" w:pos="1134"/>
          <w:tab w:val="clear" w:pos="0"/>
        </w:tabs>
        <w:kinsoku/>
        <w:wordWrap/>
        <w:overflowPunct/>
        <w:topLinePunct w:val="0"/>
        <w:autoSpaceDE/>
        <w:autoSpaceDN/>
        <w:bidi w:val="0"/>
        <w:adjustRightInd/>
        <w:snapToGrid/>
        <w:spacing w:line="360" w:lineRule="auto"/>
        <w:ind w:left="630" w:leftChars="0" w:hanging="630" w:hangingChars="300"/>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初步验收证书（PAC），指由发包人根据《GB/T 50796-2012 光伏发电工程验收规范》和</w:t>
      </w:r>
      <w:r>
        <w:rPr>
          <w:rFonts w:hint="eastAsia" w:ascii="宋体" w:hAnsi="宋体" w:cs="Times New Roman"/>
          <w:color w:val="auto"/>
          <w:sz w:val="21"/>
          <w:szCs w:val="21"/>
          <w:highlight w:val="none"/>
          <w:lang w:eastAsia="zh-CN"/>
        </w:rPr>
        <w:t>招标文件</w:t>
      </w:r>
      <w:r>
        <w:rPr>
          <w:rFonts w:hint="eastAsia" w:ascii="宋体" w:hAnsi="宋体" w:eastAsia="宋体" w:cs="Times New Roman"/>
          <w:color w:val="auto"/>
          <w:sz w:val="21"/>
          <w:szCs w:val="21"/>
          <w:highlight w:val="none"/>
        </w:rPr>
        <w:t xml:space="preserve">技术标准和要求规定的条款的要求、在装置系统通过性能试验后，试运行考核的全部试验完成并被验收后，且为本项目签发的证书。 </w:t>
      </w:r>
    </w:p>
    <w:p w14:paraId="7AF7A1A8">
      <w:pPr>
        <w:keepNext w:val="0"/>
        <w:keepLines w:val="0"/>
        <w:pageBreakBefore w:val="0"/>
        <w:widowControl w:val="0"/>
        <w:numPr>
          <w:ilvl w:val="2"/>
          <w:numId w:val="11"/>
        </w:numPr>
        <w:tabs>
          <w:tab w:val="left" w:pos="1134"/>
          <w:tab w:val="clear" w:pos="0"/>
        </w:tabs>
        <w:kinsoku/>
        <w:wordWrap/>
        <w:overflowPunct/>
        <w:topLinePunct w:val="0"/>
        <w:autoSpaceDE/>
        <w:autoSpaceDN/>
        <w:bidi w:val="0"/>
        <w:adjustRightInd/>
        <w:snapToGrid/>
        <w:spacing w:line="360" w:lineRule="auto"/>
        <w:ind w:left="630" w:leftChars="0" w:hanging="630" w:hangingChars="300"/>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工程竣工验收，指承包人接到初步验收证书（PAC）、完成扫尾工程和缺陷修复，并按合同约定提交竣工验收报告、竣工资料、竣工结算资料，由发包人组织的工程结算与验收。</w:t>
      </w:r>
    </w:p>
    <w:p w14:paraId="55AD2213">
      <w:pPr>
        <w:keepNext w:val="0"/>
        <w:keepLines w:val="0"/>
        <w:pageBreakBefore w:val="0"/>
        <w:widowControl w:val="0"/>
        <w:numPr>
          <w:ilvl w:val="2"/>
          <w:numId w:val="11"/>
        </w:numPr>
        <w:tabs>
          <w:tab w:val="left" w:pos="1134"/>
          <w:tab w:val="clear" w:pos="0"/>
        </w:tabs>
        <w:kinsoku/>
        <w:wordWrap/>
        <w:overflowPunct/>
        <w:topLinePunct w:val="0"/>
        <w:autoSpaceDE/>
        <w:autoSpaceDN/>
        <w:bidi w:val="0"/>
        <w:adjustRightInd/>
        <w:snapToGrid/>
        <w:spacing w:line="360" w:lineRule="auto"/>
        <w:ind w:left="630" w:leftChars="0" w:hanging="630" w:hangingChars="300"/>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质保期，指从初步验收证书签发日起的24个月内，根据国家相关标准和本合同第11条规定，在该期间，承包人必须负责对设备的缺陷进行修理，以及根据上述条款规定提出的任何延长期。逆变器质保期指从初步验收证书签发日起60个月内。</w:t>
      </w:r>
    </w:p>
    <w:p w14:paraId="6A114160">
      <w:pPr>
        <w:keepNext w:val="0"/>
        <w:keepLines w:val="0"/>
        <w:pageBreakBefore w:val="0"/>
        <w:widowControl w:val="0"/>
        <w:numPr>
          <w:ilvl w:val="2"/>
          <w:numId w:val="11"/>
        </w:numPr>
        <w:tabs>
          <w:tab w:val="left" w:pos="1134"/>
          <w:tab w:val="clear" w:pos="0"/>
        </w:tabs>
        <w:kinsoku/>
        <w:wordWrap/>
        <w:overflowPunct/>
        <w:topLinePunct w:val="0"/>
        <w:autoSpaceDE/>
        <w:autoSpaceDN/>
        <w:bidi w:val="0"/>
        <w:adjustRightInd/>
        <w:snapToGrid/>
        <w:spacing w:line="360" w:lineRule="auto"/>
        <w:ind w:left="630" w:leftChars="0" w:hanging="630" w:hangingChars="300"/>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最终验收证书（FAC），指承包人根据国家相关技术要求和本合同第11条规定，完成2年质保期全部义务后，并经发包人确认可以通过最终验收而为本项目签发的证书。</w:t>
      </w:r>
    </w:p>
    <w:p w14:paraId="505F575A">
      <w:pPr>
        <w:keepNext w:val="0"/>
        <w:keepLines w:val="0"/>
        <w:pageBreakBefore w:val="0"/>
        <w:widowControl w:val="0"/>
        <w:numPr>
          <w:ilvl w:val="2"/>
          <w:numId w:val="11"/>
        </w:numPr>
        <w:tabs>
          <w:tab w:val="left" w:pos="1134"/>
          <w:tab w:val="clear" w:pos="0"/>
        </w:tabs>
        <w:kinsoku/>
        <w:wordWrap/>
        <w:overflowPunct/>
        <w:topLinePunct w:val="0"/>
        <w:autoSpaceDE/>
        <w:autoSpaceDN/>
        <w:bidi w:val="0"/>
        <w:adjustRightInd/>
        <w:snapToGrid/>
        <w:spacing w:line="360" w:lineRule="auto"/>
        <w:ind w:left="630" w:leftChars="0" w:hanging="630" w:hangingChars="300"/>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项目进度计划，指自合同生效之日起，按合同约定的工程全部实施阶段（包括：设计、采购、施工、竣工试验、工程接收、竣工后试验至试运行考核各阶段的）或合同约定的若干实施阶段的时间计划安排。</w:t>
      </w:r>
    </w:p>
    <w:p w14:paraId="77BB7415">
      <w:pPr>
        <w:keepNext w:val="0"/>
        <w:keepLines w:val="0"/>
        <w:pageBreakBefore w:val="0"/>
        <w:widowControl w:val="0"/>
        <w:numPr>
          <w:ilvl w:val="2"/>
          <w:numId w:val="11"/>
        </w:numPr>
        <w:tabs>
          <w:tab w:val="left" w:pos="1134"/>
          <w:tab w:val="clear" w:pos="0"/>
        </w:tabs>
        <w:kinsoku/>
        <w:wordWrap/>
        <w:overflowPunct/>
        <w:topLinePunct w:val="0"/>
        <w:autoSpaceDE/>
        <w:autoSpaceDN/>
        <w:bidi w:val="0"/>
        <w:adjustRightInd/>
        <w:snapToGrid/>
        <w:spacing w:line="360" w:lineRule="auto"/>
        <w:ind w:left="630" w:leftChars="0" w:hanging="630" w:hangingChars="300"/>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施工开工日期，指合同协议书中约定的，承包人开始现场施工的绝对日期或相对日期。</w:t>
      </w:r>
    </w:p>
    <w:p w14:paraId="0D425692">
      <w:pPr>
        <w:keepNext w:val="0"/>
        <w:keepLines w:val="0"/>
        <w:pageBreakBefore w:val="0"/>
        <w:widowControl w:val="0"/>
        <w:numPr>
          <w:ilvl w:val="2"/>
          <w:numId w:val="11"/>
        </w:numPr>
        <w:tabs>
          <w:tab w:val="left" w:pos="1134"/>
          <w:tab w:val="clear" w:pos="0"/>
        </w:tabs>
        <w:kinsoku/>
        <w:wordWrap/>
        <w:overflowPunct/>
        <w:topLinePunct w:val="0"/>
        <w:autoSpaceDE/>
        <w:autoSpaceDN/>
        <w:bidi w:val="0"/>
        <w:adjustRightInd/>
        <w:snapToGrid/>
        <w:spacing w:line="360" w:lineRule="auto"/>
        <w:ind w:left="630" w:leftChars="0" w:hanging="630" w:hangingChars="300"/>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竣工日期，指合同协议书中约定的，由承包人完成工程施工（含竣工试验）的绝对日期或相对日期，包括按合同约定的任何延长日期。</w:t>
      </w:r>
    </w:p>
    <w:p w14:paraId="1F2B78BC">
      <w:pPr>
        <w:keepNext w:val="0"/>
        <w:keepLines w:val="0"/>
        <w:pageBreakBefore w:val="0"/>
        <w:widowControl w:val="0"/>
        <w:numPr>
          <w:ilvl w:val="2"/>
          <w:numId w:val="11"/>
        </w:numPr>
        <w:tabs>
          <w:tab w:val="left" w:pos="1134"/>
          <w:tab w:val="clear" w:pos="0"/>
        </w:tabs>
        <w:kinsoku/>
        <w:wordWrap/>
        <w:overflowPunct/>
        <w:topLinePunct w:val="0"/>
        <w:autoSpaceDE/>
        <w:autoSpaceDN/>
        <w:bidi w:val="0"/>
        <w:adjustRightInd/>
        <w:snapToGrid/>
        <w:spacing w:line="360" w:lineRule="auto"/>
        <w:ind w:left="630" w:leftChars="0" w:hanging="630" w:hangingChars="300"/>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变更，指发包人书面通知或书面批准的，对工程所作的任何更改。</w:t>
      </w:r>
    </w:p>
    <w:p w14:paraId="7A2428EA">
      <w:pPr>
        <w:keepNext w:val="0"/>
        <w:keepLines w:val="0"/>
        <w:pageBreakBefore w:val="0"/>
        <w:widowControl w:val="0"/>
        <w:numPr>
          <w:ilvl w:val="2"/>
          <w:numId w:val="11"/>
        </w:numPr>
        <w:tabs>
          <w:tab w:val="left" w:pos="1134"/>
          <w:tab w:val="clear" w:pos="0"/>
        </w:tabs>
        <w:kinsoku/>
        <w:wordWrap/>
        <w:overflowPunct/>
        <w:topLinePunct w:val="0"/>
        <w:autoSpaceDE/>
        <w:autoSpaceDN/>
        <w:bidi w:val="0"/>
        <w:adjustRightInd/>
        <w:snapToGrid/>
        <w:spacing w:line="360" w:lineRule="auto"/>
        <w:ind w:left="630" w:leftChars="0" w:hanging="630" w:hangingChars="300"/>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合同价格，指合同协议书中约定的、承包人进行设计、采购、施工、竣工试验、竣工后试验、试运行考核和服务等工作的价款。</w:t>
      </w:r>
    </w:p>
    <w:p w14:paraId="2DFD74A6">
      <w:pPr>
        <w:keepNext w:val="0"/>
        <w:keepLines w:val="0"/>
        <w:pageBreakBefore w:val="0"/>
        <w:widowControl w:val="0"/>
        <w:numPr>
          <w:ilvl w:val="2"/>
          <w:numId w:val="11"/>
        </w:numPr>
        <w:tabs>
          <w:tab w:val="left" w:pos="1134"/>
          <w:tab w:val="clear" w:pos="0"/>
        </w:tabs>
        <w:kinsoku/>
        <w:wordWrap/>
        <w:overflowPunct/>
        <w:topLinePunct w:val="0"/>
        <w:autoSpaceDE/>
        <w:autoSpaceDN/>
        <w:bidi w:val="0"/>
        <w:adjustRightInd/>
        <w:snapToGrid/>
        <w:spacing w:line="360" w:lineRule="auto"/>
        <w:ind w:left="630" w:leftChars="0" w:hanging="630" w:hangingChars="300"/>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合同价格调整，指依据合同约定需要增减的费用而对合同价格进行的相应调整。</w:t>
      </w:r>
    </w:p>
    <w:p w14:paraId="515D900D">
      <w:pPr>
        <w:keepNext w:val="0"/>
        <w:keepLines w:val="0"/>
        <w:pageBreakBefore w:val="0"/>
        <w:widowControl w:val="0"/>
        <w:numPr>
          <w:ilvl w:val="2"/>
          <w:numId w:val="11"/>
        </w:numPr>
        <w:tabs>
          <w:tab w:val="left" w:pos="1134"/>
          <w:tab w:val="clear" w:pos="0"/>
        </w:tabs>
        <w:kinsoku/>
        <w:wordWrap/>
        <w:overflowPunct/>
        <w:topLinePunct w:val="0"/>
        <w:autoSpaceDE/>
        <w:autoSpaceDN/>
        <w:bidi w:val="0"/>
        <w:adjustRightInd/>
        <w:snapToGrid/>
        <w:spacing w:line="360" w:lineRule="auto"/>
        <w:ind w:left="630" w:leftChars="0" w:hanging="630" w:hangingChars="300"/>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合同总价，指根据合同约定，经调整后的合同价格。</w:t>
      </w:r>
    </w:p>
    <w:p w14:paraId="1ECF45F6">
      <w:pPr>
        <w:keepNext w:val="0"/>
        <w:keepLines w:val="0"/>
        <w:pageBreakBefore w:val="0"/>
        <w:widowControl w:val="0"/>
        <w:numPr>
          <w:ilvl w:val="2"/>
          <w:numId w:val="11"/>
        </w:numPr>
        <w:tabs>
          <w:tab w:val="left" w:pos="1134"/>
          <w:tab w:val="clear" w:pos="0"/>
        </w:tabs>
        <w:kinsoku/>
        <w:wordWrap/>
        <w:overflowPunct/>
        <w:topLinePunct w:val="0"/>
        <w:autoSpaceDE/>
        <w:autoSpaceDN/>
        <w:bidi w:val="0"/>
        <w:adjustRightInd/>
        <w:snapToGrid/>
        <w:spacing w:line="360" w:lineRule="auto"/>
        <w:ind w:left="630" w:leftChars="0" w:hanging="630" w:hangingChars="300"/>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预付款，是指根据合同约定，由发包人预先支付给承包人的款项。</w:t>
      </w:r>
    </w:p>
    <w:p w14:paraId="44FDDF0D">
      <w:pPr>
        <w:keepNext w:val="0"/>
        <w:keepLines w:val="0"/>
        <w:pageBreakBefore w:val="0"/>
        <w:widowControl w:val="0"/>
        <w:numPr>
          <w:ilvl w:val="2"/>
          <w:numId w:val="11"/>
        </w:numPr>
        <w:tabs>
          <w:tab w:val="left" w:pos="1134"/>
          <w:tab w:val="clear" w:pos="0"/>
        </w:tabs>
        <w:kinsoku/>
        <w:wordWrap/>
        <w:overflowPunct/>
        <w:topLinePunct w:val="0"/>
        <w:autoSpaceDE/>
        <w:autoSpaceDN/>
        <w:bidi w:val="0"/>
        <w:adjustRightInd/>
        <w:snapToGrid/>
        <w:spacing w:line="360" w:lineRule="auto"/>
        <w:ind w:left="630" w:leftChars="0" w:hanging="630" w:hangingChars="300"/>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工程进度款，指发包人根据合同约定的支付内容、支付条件，分期向承包人支付的设计、采购和施工的进度款，及竣工后试验的服务费等款项。</w:t>
      </w:r>
    </w:p>
    <w:p w14:paraId="017C1229">
      <w:pPr>
        <w:keepNext w:val="0"/>
        <w:keepLines w:val="0"/>
        <w:pageBreakBefore w:val="0"/>
        <w:widowControl w:val="0"/>
        <w:numPr>
          <w:ilvl w:val="2"/>
          <w:numId w:val="11"/>
        </w:numPr>
        <w:tabs>
          <w:tab w:val="left" w:pos="1134"/>
          <w:tab w:val="clear" w:pos="0"/>
        </w:tabs>
        <w:kinsoku/>
        <w:wordWrap/>
        <w:overflowPunct/>
        <w:topLinePunct w:val="0"/>
        <w:autoSpaceDE/>
        <w:autoSpaceDN/>
        <w:bidi w:val="0"/>
        <w:adjustRightInd/>
        <w:snapToGrid/>
        <w:spacing w:line="360" w:lineRule="auto"/>
        <w:ind w:left="630" w:leftChars="0" w:hanging="630" w:hangingChars="300"/>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工程质量保修责任书，指依据有关质量保修的法律规定，发包人与承包人签订的质量保修责任书。</w:t>
      </w:r>
    </w:p>
    <w:p w14:paraId="4706BBEF">
      <w:pPr>
        <w:keepNext w:val="0"/>
        <w:keepLines w:val="0"/>
        <w:pageBreakBefore w:val="0"/>
        <w:widowControl w:val="0"/>
        <w:numPr>
          <w:ilvl w:val="2"/>
          <w:numId w:val="11"/>
        </w:numPr>
        <w:tabs>
          <w:tab w:val="left" w:pos="1134"/>
          <w:tab w:val="clear" w:pos="0"/>
        </w:tabs>
        <w:kinsoku/>
        <w:wordWrap/>
        <w:overflowPunct/>
        <w:topLinePunct w:val="0"/>
        <w:autoSpaceDE/>
        <w:autoSpaceDN/>
        <w:bidi w:val="0"/>
        <w:adjustRightInd/>
        <w:snapToGrid/>
        <w:spacing w:line="360" w:lineRule="auto"/>
        <w:ind w:left="630" w:leftChars="0" w:hanging="630" w:hangingChars="300"/>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书面形式，指合同书、信件和数据电文等可以有形地表现所载内容的形式。数据电文包括：电传、传真、电子数据交换和电子邮件。</w:t>
      </w:r>
    </w:p>
    <w:p w14:paraId="5BFE8C4E">
      <w:pPr>
        <w:keepNext w:val="0"/>
        <w:keepLines w:val="0"/>
        <w:pageBreakBefore w:val="0"/>
        <w:widowControl w:val="0"/>
        <w:numPr>
          <w:ilvl w:val="2"/>
          <w:numId w:val="11"/>
        </w:numPr>
        <w:tabs>
          <w:tab w:val="left" w:pos="1134"/>
          <w:tab w:val="clear" w:pos="0"/>
        </w:tabs>
        <w:kinsoku/>
        <w:wordWrap/>
        <w:overflowPunct/>
        <w:topLinePunct w:val="0"/>
        <w:autoSpaceDE/>
        <w:autoSpaceDN/>
        <w:bidi w:val="0"/>
        <w:adjustRightInd/>
        <w:snapToGrid/>
        <w:spacing w:line="360" w:lineRule="auto"/>
        <w:ind w:left="630" w:leftChars="0" w:hanging="630" w:hangingChars="300"/>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违约责任，指合同一方不履行合同义务或履行合同义务不符合合同约定所须承担的责任。</w:t>
      </w:r>
    </w:p>
    <w:p w14:paraId="0D869329">
      <w:pPr>
        <w:keepNext w:val="0"/>
        <w:keepLines w:val="0"/>
        <w:pageBreakBefore w:val="0"/>
        <w:widowControl w:val="0"/>
        <w:numPr>
          <w:ilvl w:val="2"/>
          <w:numId w:val="11"/>
        </w:numPr>
        <w:tabs>
          <w:tab w:val="left" w:pos="1134"/>
          <w:tab w:val="clear" w:pos="0"/>
        </w:tabs>
        <w:kinsoku/>
        <w:wordWrap/>
        <w:overflowPunct/>
        <w:topLinePunct w:val="0"/>
        <w:autoSpaceDE/>
        <w:autoSpaceDN/>
        <w:bidi w:val="0"/>
        <w:adjustRightInd/>
        <w:snapToGrid/>
        <w:spacing w:line="360" w:lineRule="auto"/>
        <w:ind w:left="630" w:leftChars="0" w:hanging="630" w:hangingChars="300"/>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不可抗力，指不能预见、不能避免并不能克服的客观情况。</w:t>
      </w:r>
    </w:p>
    <w:p w14:paraId="7BC8CB2A">
      <w:pPr>
        <w:keepNext w:val="0"/>
        <w:keepLines w:val="0"/>
        <w:pageBreakBefore w:val="0"/>
        <w:widowControl w:val="0"/>
        <w:numPr>
          <w:ilvl w:val="2"/>
          <w:numId w:val="11"/>
        </w:numPr>
        <w:tabs>
          <w:tab w:val="left" w:pos="1134"/>
          <w:tab w:val="clear" w:pos="0"/>
        </w:tabs>
        <w:kinsoku/>
        <w:wordWrap/>
        <w:overflowPunct/>
        <w:topLinePunct w:val="0"/>
        <w:autoSpaceDE/>
        <w:autoSpaceDN/>
        <w:bidi w:val="0"/>
        <w:adjustRightInd/>
        <w:snapToGrid/>
        <w:spacing w:line="360" w:lineRule="auto"/>
        <w:ind w:left="630" w:leftChars="0" w:hanging="630" w:hangingChars="300"/>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根据本合同工程的特点，补充约定的其他定义，在专用合同条款中约定。</w:t>
      </w:r>
    </w:p>
    <w:p w14:paraId="7B7145C6">
      <w:pPr>
        <w:keepNext w:val="0"/>
        <w:keepLines w:val="0"/>
        <w:pageBreakBefore w:val="0"/>
        <w:widowControl w:val="0"/>
        <w:numPr>
          <w:ilvl w:val="2"/>
          <w:numId w:val="11"/>
        </w:numPr>
        <w:tabs>
          <w:tab w:val="left" w:pos="1134"/>
          <w:tab w:val="clear" w:pos="0"/>
        </w:tabs>
        <w:kinsoku/>
        <w:wordWrap/>
        <w:overflowPunct/>
        <w:topLinePunct w:val="0"/>
        <w:autoSpaceDE/>
        <w:autoSpaceDN/>
        <w:bidi w:val="0"/>
        <w:adjustRightInd/>
        <w:snapToGrid/>
        <w:spacing w:line="360" w:lineRule="auto"/>
        <w:ind w:left="630" w:leftChars="0" w:hanging="630" w:hangingChars="300"/>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条款标题不能作为合同解释的依据。</w:t>
      </w:r>
    </w:p>
    <w:p w14:paraId="20E1640A">
      <w:pPr>
        <w:keepNext w:val="0"/>
        <w:keepLines w:val="0"/>
        <w:pageBreakBefore w:val="0"/>
        <w:widowControl w:val="0"/>
        <w:numPr>
          <w:ilvl w:val="1"/>
          <w:numId w:val="11"/>
        </w:numPr>
        <w:kinsoku/>
        <w:wordWrap/>
        <w:overflowPunct/>
        <w:topLinePunct w:val="0"/>
        <w:autoSpaceDE/>
        <w:autoSpaceDN/>
        <w:bidi w:val="0"/>
        <w:adjustRightInd/>
        <w:snapToGrid/>
        <w:spacing w:line="360" w:lineRule="auto"/>
        <w:ind w:left="632" w:leftChars="0" w:hanging="632" w:hangingChars="300"/>
        <w:textAlignment w:val="auto"/>
        <w:outlineLvl w:val="3"/>
        <w:rPr>
          <w:rFonts w:hint="eastAsia" w:ascii="宋体" w:hAnsi="宋体" w:eastAsia="宋体" w:cs="Times New Roman"/>
          <w:b/>
          <w:color w:val="auto"/>
          <w:sz w:val="21"/>
          <w:szCs w:val="21"/>
          <w:highlight w:val="none"/>
        </w:rPr>
      </w:pPr>
      <w:bookmarkStart w:id="62" w:name="_Toc76719896"/>
      <w:r>
        <w:rPr>
          <w:rFonts w:hint="eastAsia" w:ascii="宋体" w:hAnsi="宋体" w:eastAsia="宋体" w:cs="Times New Roman"/>
          <w:b/>
          <w:color w:val="auto"/>
          <w:sz w:val="21"/>
          <w:szCs w:val="21"/>
          <w:highlight w:val="none"/>
        </w:rPr>
        <w:t>合同文件</w:t>
      </w:r>
      <w:bookmarkEnd w:id="62"/>
    </w:p>
    <w:p w14:paraId="7612ABDE">
      <w:pPr>
        <w:keepNext w:val="0"/>
        <w:keepLines w:val="0"/>
        <w:pageBreakBefore w:val="0"/>
        <w:widowControl w:val="0"/>
        <w:numPr>
          <w:ilvl w:val="2"/>
          <w:numId w:val="11"/>
        </w:numPr>
        <w:tabs>
          <w:tab w:val="left" w:pos="1134"/>
          <w:tab w:val="clear" w:pos="0"/>
        </w:tabs>
        <w:kinsoku/>
        <w:wordWrap/>
        <w:overflowPunct/>
        <w:topLinePunct w:val="0"/>
        <w:autoSpaceDE/>
        <w:autoSpaceDN/>
        <w:bidi w:val="0"/>
        <w:adjustRightInd/>
        <w:snapToGrid/>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合同文件的组成。</w:t>
      </w:r>
      <w:r>
        <w:rPr>
          <w:rFonts w:hint="eastAsia"/>
          <w:color w:val="auto"/>
          <w:sz w:val="21"/>
          <w:szCs w:val="21"/>
          <w:highlight w:val="none"/>
        </w:rPr>
        <w:t>下列陈述的文件应作为本合同不可分割的组成部分，并共同组成本合同，</w:t>
      </w:r>
      <w:r>
        <w:rPr>
          <w:rFonts w:ascii="宋体" w:hAnsi="宋体"/>
          <w:color w:val="auto"/>
          <w:sz w:val="21"/>
          <w:szCs w:val="21"/>
          <w:highlight w:val="none"/>
        </w:rPr>
        <w:t>合同文件相互解释，互为说明。除专用条款另有约定外，组成本合同的文件及优先解释顺序如下：</w:t>
      </w:r>
    </w:p>
    <w:p w14:paraId="4B216002">
      <w:pPr>
        <w:keepNext w:val="0"/>
        <w:keepLines w:val="0"/>
        <w:pageBreakBefore w:val="0"/>
        <w:numPr>
          <w:ilvl w:val="0"/>
          <w:numId w:val="12"/>
        </w:numPr>
        <w:tabs>
          <w:tab w:val="left" w:pos="1980"/>
          <w:tab w:val="clear" w:pos="720"/>
        </w:tabs>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在合同履行过程中，发包人、承包人双方授权代表签订的书面补充协议</w:t>
      </w:r>
    </w:p>
    <w:p w14:paraId="5E002709">
      <w:pPr>
        <w:keepNext w:val="0"/>
        <w:keepLines w:val="0"/>
        <w:pageBreakBefore w:val="0"/>
        <w:numPr>
          <w:ilvl w:val="0"/>
          <w:numId w:val="12"/>
        </w:numPr>
        <w:tabs>
          <w:tab w:val="left" w:pos="1980"/>
          <w:tab w:val="clear" w:pos="720"/>
        </w:tabs>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ascii="宋体" w:hAnsi="宋体"/>
          <w:color w:val="auto"/>
          <w:sz w:val="21"/>
          <w:szCs w:val="21"/>
          <w:highlight w:val="none"/>
        </w:rPr>
        <w:t>本合同协议书</w:t>
      </w:r>
    </w:p>
    <w:p w14:paraId="600FC5FF">
      <w:pPr>
        <w:keepNext w:val="0"/>
        <w:keepLines w:val="0"/>
        <w:pageBreakBefore w:val="0"/>
        <w:numPr>
          <w:ilvl w:val="0"/>
          <w:numId w:val="12"/>
        </w:numPr>
        <w:tabs>
          <w:tab w:val="left" w:pos="1980"/>
          <w:tab w:val="clear" w:pos="720"/>
        </w:tabs>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ascii="宋体" w:hAnsi="宋体"/>
          <w:color w:val="auto"/>
          <w:sz w:val="21"/>
          <w:szCs w:val="21"/>
          <w:highlight w:val="none"/>
        </w:rPr>
        <w:t>本合同专用条款</w:t>
      </w:r>
    </w:p>
    <w:p w14:paraId="1E3B3F1D">
      <w:pPr>
        <w:keepNext w:val="0"/>
        <w:keepLines w:val="0"/>
        <w:pageBreakBefore w:val="0"/>
        <w:numPr>
          <w:ilvl w:val="0"/>
          <w:numId w:val="12"/>
        </w:numPr>
        <w:tabs>
          <w:tab w:val="left" w:pos="1980"/>
          <w:tab w:val="clear" w:pos="720"/>
        </w:tabs>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ascii="宋体" w:hAnsi="宋体"/>
          <w:color w:val="auto"/>
          <w:sz w:val="21"/>
          <w:szCs w:val="21"/>
          <w:highlight w:val="none"/>
        </w:rPr>
        <w:t>本合同通用条款</w:t>
      </w:r>
    </w:p>
    <w:p w14:paraId="39AD908B">
      <w:pPr>
        <w:keepNext w:val="0"/>
        <w:keepLines w:val="0"/>
        <w:pageBreakBefore w:val="0"/>
        <w:numPr>
          <w:ilvl w:val="0"/>
          <w:numId w:val="12"/>
        </w:numPr>
        <w:tabs>
          <w:tab w:val="left" w:pos="1980"/>
          <w:tab w:val="clear" w:pos="720"/>
        </w:tabs>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ascii="宋体" w:hAnsi="宋体"/>
          <w:color w:val="auto"/>
          <w:sz w:val="21"/>
          <w:szCs w:val="21"/>
          <w:highlight w:val="none"/>
        </w:rPr>
        <w:t>中标通知书</w:t>
      </w:r>
    </w:p>
    <w:p w14:paraId="69FA7E0E">
      <w:pPr>
        <w:keepNext w:val="0"/>
        <w:keepLines w:val="0"/>
        <w:pageBreakBefore w:val="0"/>
        <w:numPr>
          <w:ilvl w:val="0"/>
          <w:numId w:val="12"/>
        </w:numPr>
        <w:tabs>
          <w:tab w:val="left" w:pos="1980"/>
          <w:tab w:val="clear" w:pos="720"/>
        </w:tabs>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lang w:eastAsia="zh-CN"/>
        </w:rPr>
        <w:t>招标文件</w:t>
      </w:r>
      <w:r>
        <w:rPr>
          <w:rFonts w:hint="eastAsia" w:ascii="宋体" w:hAnsi="宋体"/>
          <w:color w:val="auto"/>
          <w:sz w:val="21"/>
          <w:szCs w:val="21"/>
          <w:highlight w:val="none"/>
        </w:rPr>
        <w:t>及其附件（含招标答疑、澄清修改、评标澄清文件）</w:t>
      </w:r>
    </w:p>
    <w:p w14:paraId="2B2E2991">
      <w:pPr>
        <w:keepNext w:val="0"/>
        <w:keepLines w:val="0"/>
        <w:pageBreakBefore w:val="0"/>
        <w:numPr>
          <w:ilvl w:val="0"/>
          <w:numId w:val="12"/>
        </w:numPr>
        <w:tabs>
          <w:tab w:val="left" w:pos="1980"/>
          <w:tab w:val="clear" w:pos="720"/>
        </w:tabs>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ascii="宋体" w:hAnsi="宋体"/>
          <w:color w:val="auto"/>
          <w:sz w:val="21"/>
          <w:szCs w:val="21"/>
          <w:highlight w:val="none"/>
        </w:rPr>
        <w:t>投标书及其附件</w:t>
      </w:r>
    </w:p>
    <w:p w14:paraId="5995213B">
      <w:pPr>
        <w:keepNext w:val="0"/>
        <w:keepLines w:val="0"/>
        <w:pageBreakBefore w:val="0"/>
        <w:numPr>
          <w:ilvl w:val="0"/>
          <w:numId w:val="12"/>
        </w:numPr>
        <w:tabs>
          <w:tab w:val="left" w:pos="1980"/>
          <w:tab w:val="clear" w:pos="720"/>
        </w:tabs>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ascii="宋体" w:hAnsi="宋体"/>
          <w:color w:val="auto"/>
          <w:sz w:val="21"/>
          <w:szCs w:val="21"/>
          <w:highlight w:val="none"/>
        </w:rPr>
        <w:t>标准、规范及有关技术文件</w:t>
      </w:r>
    </w:p>
    <w:p w14:paraId="4CB97950">
      <w:pPr>
        <w:keepNext w:val="0"/>
        <w:keepLines w:val="0"/>
        <w:pageBreakBefore w:val="0"/>
        <w:numPr>
          <w:ilvl w:val="0"/>
          <w:numId w:val="12"/>
        </w:numPr>
        <w:tabs>
          <w:tab w:val="left" w:pos="1980"/>
          <w:tab w:val="clear" w:pos="720"/>
        </w:tabs>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设计文件、资料和</w:t>
      </w:r>
      <w:r>
        <w:rPr>
          <w:rFonts w:ascii="宋体" w:hAnsi="宋体"/>
          <w:color w:val="auto"/>
          <w:sz w:val="21"/>
          <w:szCs w:val="21"/>
          <w:highlight w:val="none"/>
        </w:rPr>
        <w:t>图纸</w:t>
      </w:r>
    </w:p>
    <w:p w14:paraId="396ACEC3">
      <w:pPr>
        <w:keepNext w:val="0"/>
        <w:keepLines w:val="0"/>
        <w:pageBreakBefore w:val="0"/>
        <w:numPr>
          <w:ilvl w:val="0"/>
          <w:numId w:val="12"/>
        </w:numPr>
        <w:tabs>
          <w:tab w:val="left" w:pos="1980"/>
          <w:tab w:val="clear" w:pos="720"/>
        </w:tabs>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双方约定构成合同组成部分的其他文件。</w:t>
      </w:r>
    </w:p>
    <w:p w14:paraId="4A747E4F">
      <w:pPr>
        <w:keepNext w:val="0"/>
        <w:keepLines w:val="0"/>
        <w:pageBreakBefore w:val="0"/>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hint="eastAsia"/>
          <w:color w:val="auto"/>
          <w:sz w:val="21"/>
          <w:szCs w:val="21"/>
          <w:highlight w:val="none"/>
        </w:rPr>
        <w:t>上述组成合同的各个文件应该被认为是一个整体，彼此相互解释，互为说明。上述文件如出现相互矛盾的情况，应以优先次序在先者为准；但如优先次序在后的文件对乙方工作范围和内容（如工程的质量、工期、现场管理、环境、安全、人员、误期、消缺等）有更高的要求和标准，则以该等更高的要求和标准为准。</w:t>
      </w:r>
    </w:p>
    <w:p w14:paraId="222D78D4">
      <w:pPr>
        <w:keepNext w:val="0"/>
        <w:keepLines w:val="0"/>
        <w:pageBreakBefore w:val="0"/>
        <w:kinsoku/>
        <w:wordWrap/>
        <w:overflowPunct/>
        <w:topLinePunct w:val="0"/>
        <w:autoSpaceDE/>
        <w:autoSpaceDN/>
        <w:bidi w:val="0"/>
        <w:spacing w:line="360" w:lineRule="auto"/>
        <w:ind w:left="630" w:leftChars="300" w:firstLine="0" w:firstLineChars="0"/>
        <w:textAlignment w:val="auto"/>
        <w:rPr>
          <w:rFonts w:ascii="宋体" w:hAnsi="宋体"/>
          <w:color w:val="auto"/>
          <w:sz w:val="21"/>
          <w:szCs w:val="21"/>
          <w:highlight w:val="none"/>
        </w:rPr>
      </w:pPr>
      <w:r>
        <w:rPr>
          <w:rFonts w:hint="eastAsia" w:ascii="宋体" w:hAnsi="宋体"/>
          <w:color w:val="auto"/>
          <w:sz w:val="21"/>
          <w:szCs w:val="21"/>
          <w:highlight w:val="none"/>
        </w:rPr>
        <w:t>双方在履行合同过程中形成的双方授权代表签署的通知、会议纪要、备忘录、补充文件、指令、传真、电子邮件、变更和洽商等书面形式的文件构成本合同的组成部分。</w:t>
      </w:r>
    </w:p>
    <w:p w14:paraId="78441EB2">
      <w:pPr>
        <w:keepNext w:val="0"/>
        <w:keepLines w:val="0"/>
        <w:pageBreakBefore w:val="0"/>
        <w:widowControl w:val="0"/>
        <w:numPr>
          <w:ilvl w:val="2"/>
          <w:numId w:val="11"/>
        </w:numPr>
        <w:tabs>
          <w:tab w:val="left" w:pos="1134"/>
          <w:tab w:val="clear" w:pos="0"/>
        </w:tabs>
        <w:kinsoku/>
        <w:wordWrap/>
        <w:overflowPunct/>
        <w:topLinePunct w:val="0"/>
        <w:autoSpaceDE/>
        <w:autoSpaceDN/>
        <w:bidi w:val="0"/>
        <w:adjustRightInd/>
        <w:snapToGrid/>
        <w:spacing w:line="360" w:lineRule="auto"/>
        <w:ind w:left="630" w:leftChars="0" w:hanging="630" w:hangingChars="300"/>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当合同文件的条款内容含糊不清或不相一致，并且不能依据合同约定的解释顺序阐述清楚时，在不影响工程正常进行的情况下，由当事人协商解决，也可采纳监理人（如有）的解释。当事人经协商未能达成一致或不接受监理人的解释的，根据16.3款关于争议和裁决的约定解决。</w:t>
      </w:r>
    </w:p>
    <w:p w14:paraId="1F11284A">
      <w:pPr>
        <w:keepNext w:val="0"/>
        <w:keepLines w:val="0"/>
        <w:pageBreakBefore w:val="0"/>
        <w:widowControl w:val="0"/>
        <w:numPr>
          <w:ilvl w:val="2"/>
          <w:numId w:val="11"/>
        </w:numPr>
        <w:tabs>
          <w:tab w:val="left" w:pos="1134"/>
          <w:tab w:val="clear" w:pos="0"/>
        </w:tabs>
        <w:kinsoku/>
        <w:wordWrap/>
        <w:overflowPunct/>
        <w:topLinePunct w:val="0"/>
        <w:autoSpaceDE/>
        <w:autoSpaceDN/>
        <w:bidi w:val="0"/>
        <w:adjustRightInd/>
        <w:snapToGrid/>
        <w:spacing w:line="360" w:lineRule="auto"/>
        <w:ind w:left="630" w:leftChars="0" w:hanging="630" w:hangingChars="300"/>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合同中的条款标题仅为阅读方便，不作为对合同条款进行解释的依据。</w:t>
      </w:r>
    </w:p>
    <w:p w14:paraId="188CF28E">
      <w:pPr>
        <w:keepNext w:val="0"/>
        <w:keepLines w:val="0"/>
        <w:pageBreakBefore w:val="0"/>
        <w:widowControl w:val="0"/>
        <w:numPr>
          <w:ilvl w:val="2"/>
          <w:numId w:val="11"/>
        </w:numPr>
        <w:tabs>
          <w:tab w:val="left" w:pos="1134"/>
          <w:tab w:val="clear" w:pos="0"/>
        </w:tabs>
        <w:kinsoku/>
        <w:wordWrap/>
        <w:overflowPunct/>
        <w:topLinePunct w:val="0"/>
        <w:autoSpaceDE/>
        <w:autoSpaceDN/>
        <w:bidi w:val="0"/>
        <w:adjustRightInd/>
        <w:snapToGrid/>
        <w:spacing w:line="360" w:lineRule="auto"/>
        <w:ind w:left="630" w:leftChars="0" w:hanging="630" w:hangingChars="300"/>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本合同中所使用的“日”、“月”、“年”均指公历的日、月、年。本合同中所使用的任何期间的起点均指相应事件发生之日的下一日。如果任何时间的起算是以某一期间届满为条件，则起算点为该期间届满之日的下一日。任何期间的到期日为该期间届满之日的当日。“工作日”指除中国法定节假日之外的其他公历日。</w:t>
      </w:r>
    </w:p>
    <w:p w14:paraId="1FE4A6FB">
      <w:pPr>
        <w:keepNext w:val="0"/>
        <w:keepLines w:val="0"/>
        <w:pageBreakBefore w:val="0"/>
        <w:widowControl w:val="0"/>
        <w:numPr>
          <w:ilvl w:val="1"/>
          <w:numId w:val="11"/>
        </w:numPr>
        <w:kinsoku/>
        <w:wordWrap/>
        <w:overflowPunct/>
        <w:topLinePunct w:val="0"/>
        <w:autoSpaceDE/>
        <w:autoSpaceDN/>
        <w:bidi w:val="0"/>
        <w:adjustRightInd/>
        <w:snapToGrid/>
        <w:spacing w:line="360" w:lineRule="auto"/>
        <w:ind w:left="632" w:leftChars="0" w:hanging="632" w:hangingChars="300"/>
        <w:textAlignment w:val="auto"/>
        <w:outlineLvl w:val="3"/>
        <w:rPr>
          <w:rFonts w:hint="eastAsia" w:ascii="宋体" w:hAnsi="宋体" w:eastAsia="宋体" w:cs="Times New Roman"/>
          <w:b/>
          <w:color w:val="auto"/>
          <w:sz w:val="21"/>
          <w:szCs w:val="21"/>
          <w:highlight w:val="none"/>
        </w:rPr>
      </w:pPr>
      <w:bookmarkStart w:id="63" w:name="_Toc76719897"/>
      <w:r>
        <w:rPr>
          <w:rFonts w:hint="eastAsia" w:ascii="宋体" w:hAnsi="宋体" w:eastAsia="宋体" w:cs="Times New Roman"/>
          <w:b/>
          <w:color w:val="auto"/>
          <w:sz w:val="21"/>
          <w:szCs w:val="21"/>
          <w:highlight w:val="none"/>
        </w:rPr>
        <w:t>语言文字</w:t>
      </w:r>
      <w:bookmarkEnd w:id="63"/>
    </w:p>
    <w:p w14:paraId="5E6A5FDA">
      <w:pPr>
        <w:keepNext w:val="0"/>
        <w:keepLines w:val="0"/>
        <w:pageBreakBefore w:val="0"/>
        <w:kinsoku/>
        <w:wordWrap/>
        <w:overflowPunct/>
        <w:topLinePunct w:val="0"/>
        <w:autoSpaceDE/>
        <w:autoSpaceDN/>
        <w:bidi w:val="0"/>
        <w:spacing w:line="360" w:lineRule="auto"/>
        <w:ind w:left="630" w:leftChars="300" w:firstLine="0" w:firstLineChars="0"/>
        <w:textAlignment w:val="auto"/>
        <w:rPr>
          <w:rFonts w:ascii="宋体" w:hAnsi="宋体"/>
          <w:color w:val="auto"/>
          <w:sz w:val="21"/>
          <w:szCs w:val="21"/>
          <w:highlight w:val="none"/>
        </w:rPr>
      </w:pPr>
      <w:r>
        <w:rPr>
          <w:rFonts w:hint="eastAsia" w:ascii="宋体" w:hAnsi="宋体"/>
          <w:color w:val="auto"/>
          <w:sz w:val="21"/>
          <w:szCs w:val="21"/>
          <w:highlight w:val="none"/>
        </w:rPr>
        <w:t>合同文件以中国的汉语简体语言文字编写、解释和说明。合同当事人在专用条款约定使用两种及以上语言时，汉语为优先解释和说明本合同的主导语言。</w:t>
      </w:r>
    </w:p>
    <w:p w14:paraId="6CA332C5">
      <w:pPr>
        <w:keepNext w:val="0"/>
        <w:keepLines w:val="0"/>
        <w:pageBreakBefore w:val="0"/>
        <w:kinsoku/>
        <w:wordWrap/>
        <w:overflowPunct/>
        <w:topLinePunct w:val="0"/>
        <w:autoSpaceDE/>
        <w:autoSpaceDN/>
        <w:bidi w:val="0"/>
        <w:spacing w:line="360" w:lineRule="auto"/>
        <w:ind w:left="630" w:leftChars="300" w:firstLine="0" w:firstLineChars="0"/>
        <w:textAlignment w:val="auto"/>
        <w:rPr>
          <w:rFonts w:ascii="宋体" w:hAnsi="宋体"/>
          <w:color w:val="auto"/>
          <w:sz w:val="21"/>
          <w:szCs w:val="21"/>
          <w:highlight w:val="none"/>
        </w:rPr>
      </w:pPr>
      <w:r>
        <w:rPr>
          <w:rFonts w:hint="eastAsia" w:ascii="宋体" w:hAnsi="宋体"/>
          <w:color w:val="auto"/>
          <w:sz w:val="21"/>
          <w:szCs w:val="21"/>
          <w:highlight w:val="none"/>
        </w:rPr>
        <w:t>在少数民族地区，当事人可以约定使用少数民族语言编写、解释和说明本合同文件。</w:t>
      </w:r>
    </w:p>
    <w:p w14:paraId="126279A6">
      <w:pPr>
        <w:keepNext w:val="0"/>
        <w:keepLines w:val="0"/>
        <w:pageBreakBefore w:val="0"/>
        <w:widowControl w:val="0"/>
        <w:numPr>
          <w:ilvl w:val="1"/>
          <w:numId w:val="11"/>
        </w:numPr>
        <w:kinsoku/>
        <w:wordWrap/>
        <w:overflowPunct/>
        <w:topLinePunct w:val="0"/>
        <w:autoSpaceDE/>
        <w:autoSpaceDN/>
        <w:bidi w:val="0"/>
        <w:adjustRightInd/>
        <w:snapToGrid/>
        <w:spacing w:line="360" w:lineRule="auto"/>
        <w:ind w:left="632" w:leftChars="0" w:hanging="632" w:hangingChars="300"/>
        <w:textAlignment w:val="auto"/>
        <w:outlineLvl w:val="3"/>
        <w:rPr>
          <w:rFonts w:hint="eastAsia" w:ascii="宋体" w:hAnsi="宋体" w:eastAsia="宋体" w:cs="Times New Roman"/>
          <w:b/>
          <w:color w:val="auto"/>
          <w:sz w:val="21"/>
          <w:szCs w:val="21"/>
          <w:highlight w:val="none"/>
        </w:rPr>
      </w:pPr>
      <w:bookmarkStart w:id="64" w:name="_Toc76719898"/>
      <w:r>
        <w:rPr>
          <w:rFonts w:hint="eastAsia" w:ascii="宋体" w:hAnsi="宋体" w:eastAsia="宋体" w:cs="Times New Roman"/>
          <w:b/>
          <w:color w:val="auto"/>
          <w:sz w:val="21"/>
          <w:szCs w:val="21"/>
          <w:highlight w:val="none"/>
        </w:rPr>
        <w:t>适用法律</w:t>
      </w:r>
      <w:bookmarkEnd w:id="64"/>
    </w:p>
    <w:p w14:paraId="53E5D034">
      <w:pPr>
        <w:keepNext w:val="0"/>
        <w:keepLines w:val="0"/>
        <w:pageBreakBefore w:val="0"/>
        <w:kinsoku/>
        <w:wordWrap/>
        <w:overflowPunct/>
        <w:topLinePunct w:val="0"/>
        <w:autoSpaceDE/>
        <w:autoSpaceDN/>
        <w:bidi w:val="0"/>
        <w:spacing w:line="360" w:lineRule="auto"/>
        <w:ind w:left="630" w:leftChars="300" w:firstLine="0" w:firstLineChars="0"/>
        <w:textAlignment w:val="auto"/>
        <w:rPr>
          <w:rFonts w:ascii="宋体" w:hAnsi="宋体"/>
          <w:color w:val="auto"/>
          <w:sz w:val="21"/>
          <w:szCs w:val="21"/>
          <w:highlight w:val="none"/>
        </w:rPr>
      </w:pPr>
      <w:r>
        <w:rPr>
          <w:rFonts w:hint="eastAsia" w:ascii="宋体" w:hAnsi="宋体"/>
          <w:color w:val="auto"/>
          <w:sz w:val="21"/>
          <w:szCs w:val="21"/>
          <w:highlight w:val="none"/>
        </w:rPr>
        <w:t>本合同适用中华人民共和国的法律，指中华人民共和国法律、行政法规、部门规章以及工程所在地的地方法规、自治条例、单行条例和地方政府规章。需要明示的具体适用法律的名称在专用条款中约定。</w:t>
      </w:r>
    </w:p>
    <w:p w14:paraId="50D91EF4">
      <w:pPr>
        <w:keepNext w:val="0"/>
        <w:keepLines w:val="0"/>
        <w:pageBreakBefore w:val="0"/>
        <w:widowControl w:val="0"/>
        <w:numPr>
          <w:ilvl w:val="1"/>
          <w:numId w:val="11"/>
        </w:numPr>
        <w:kinsoku/>
        <w:wordWrap/>
        <w:overflowPunct/>
        <w:topLinePunct w:val="0"/>
        <w:autoSpaceDE/>
        <w:autoSpaceDN/>
        <w:bidi w:val="0"/>
        <w:adjustRightInd/>
        <w:snapToGrid/>
        <w:spacing w:line="360" w:lineRule="auto"/>
        <w:ind w:left="632" w:leftChars="0" w:hanging="632" w:hangingChars="300"/>
        <w:textAlignment w:val="auto"/>
        <w:outlineLvl w:val="3"/>
        <w:rPr>
          <w:rFonts w:ascii="宋体" w:hAnsi="宋体"/>
          <w:b/>
          <w:color w:val="auto"/>
          <w:sz w:val="21"/>
          <w:szCs w:val="21"/>
          <w:highlight w:val="none"/>
        </w:rPr>
      </w:pPr>
      <w:bookmarkStart w:id="65" w:name="_Toc76719899"/>
      <w:r>
        <w:rPr>
          <w:rFonts w:hint="eastAsia" w:ascii="宋体" w:hAnsi="宋体"/>
          <w:b/>
          <w:color w:val="auto"/>
          <w:sz w:val="21"/>
          <w:szCs w:val="21"/>
          <w:highlight w:val="none"/>
        </w:rPr>
        <w:t>标准、规范</w:t>
      </w:r>
      <w:bookmarkEnd w:id="65"/>
    </w:p>
    <w:p w14:paraId="7AE92B5B">
      <w:pPr>
        <w:keepNext w:val="0"/>
        <w:keepLines w:val="0"/>
        <w:pageBreakBefore w:val="0"/>
        <w:widowControl w:val="0"/>
        <w:numPr>
          <w:ilvl w:val="2"/>
          <w:numId w:val="11"/>
        </w:numPr>
        <w:tabs>
          <w:tab w:val="left" w:pos="1134"/>
          <w:tab w:val="clear" w:pos="0"/>
        </w:tabs>
        <w:kinsoku/>
        <w:wordWrap/>
        <w:overflowPunct/>
        <w:topLinePunct w:val="0"/>
        <w:autoSpaceDE/>
        <w:autoSpaceDN/>
        <w:bidi w:val="0"/>
        <w:adjustRightInd/>
        <w:snapToGrid/>
        <w:spacing w:line="360" w:lineRule="auto"/>
        <w:ind w:left="630" w:leftChars="0" w:hanging="630" w:hangingChars="300"/>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适用于本工程的国家标准规范、或（和）行业标准规范、或（和）工程所在地方的标准规范、或（和）企业标准规范的名称（或编号），在专用条款中约定。</w:t>
      </w:r>
    </w:p>
    <w:p w14:paraId="5608E71D">
      <w:pPr>
        <w:keepNext w:val="0"/>
        <w:keepLines w:val="0"/>
        <w:pageBreakBefore w:val="0"/>
        <w:widowControl w:val="0"/>
        <w:numPr>
          <w:ilvl w:val="2"/>
          <w:numId w:val="11"/>
        </w:numPr>
        <w:tabs>
          <w:tab w:val="left" w:pos="1134"/>
          <w:tab w:val="clear" w:pos="0"/>
        </w:tabs>
        <w:kinsoku/>
        <w:wordWrap/>
        <w:overflowPunct/>
        <w:topLinePunct w:val="0"/>
        <w:autoSpaceDE/>
        <w:autoSpaceDN/>
        <w:bidi w:val="0"/>
        <w:adjustRightInd/>
        <w:snapToGrid/>
        <w:spacing w:line="360" w:lineRule="auto"/>
        <w:ind w:left="630" w:leftChars="0" w:hanging="630" w:hangingChars="300"/>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发包人使用国外标准、规范的，负责提供原文版本和中文译本，并在专用条款中约定提供的标准、规范的名称、份数和时间。</w:t>
      </w:r>
    </w:p>
    <w:p w14:paraId="0EAD7B7D">
      <w:pPr>
        <w:keepNext w:val="0"/>
        <w:keepLines w:val="0"/>
        <w:pageBreakBefore w:val="0"/>
        <w:widowControl w:val="0"/>
        <w:numPr>
          <w:ilvl w:val="2"/>
          <w:numId w:val="11"/>
        </w:numPr>
        <w:tabs>
          <w:tab w:val="left" w:pos="1134"/>
          <w:tab w:val="clear" w:pos="0"/>
        </w:tabs>
        <w:kinsoku/>
        <w:wordWrap/>
        <w:overflowPunct/>
        <w:topLinePunct w:val="0"/>
        <w:autoSpaceDE/>
        <w:autoSpaceDN/>
        <w:bidi w:val="0"/>
        <w:adjustRightInd/>
        <w:snapToGrid/>
        <w:spacing w:line="360" w:lineRule="auto"/>
        <w:ind w:left="630" w:leftChars="0" w:hanging="630" w:hangingChars="300"/>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没有相应成文规定的标准、规范时，由发包人在专用条款中约定的时间向承包人列明技术要求，承包人按约定的时间和技术要求提出实施方法，经发包人认可后执行。</w:t>
      </w:r>
    </w:p>
    <w:p w14:paraId="7BA7B08B">
      <w:pPr>
        <w:keepNext w:val="0"/>
        <w:keepLines w:val="0"/>
        <w:pageBreakBefore w:val="0"/>
        <w:widowControl w:val="0"/>
        <w:numPr>
          <w:ilvl w:val="2"/>
          <w:numId w:val="11"/>
        </w:numPr>
        <w:tabs>
          <w:tab w:val="left" w:pos="1134"/>
          <w:tab w:val="clear" w:pos="0"/>
        </w:tabs>
        <w:kinsoku/>
        <w:wordWrap/>
        <w:overflowPunct/>
        <w:topLinePunct w:val="0"/>
        <w:autoSpaceDE/>
        <w:autoSpaceDN/>
        <w:bidi w:val="0"/>
        <w:adjustRightInd/>
        <w:snapToGrid/>
        <w:spacing w:line="360" w:lineRule="auto"/>
        <w:ind w:left="630" w:leftChars="0" w:hanging="630" w:hangingChars="300"/>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遵守合同约定的标准规范进行设计、采购、加工和施工，任何一方不得改变国家强制性标准规范的规定。</w:t>
      </w:r>
    </w:p>
    <w:p w14:paraId="707602AF">
      <w:pPr>
        <w:keepNext w:val="0"/>
        <w:keepLines w:val="0"/>
        <w:pageBreakBefore w:val="0"/>
        <w:widowControl w:val="0"/>
        <w:numPr>
          <w:ilvl w:val="2"/>
          <w:numId w:val="11"/>
        </w:numPr>
        <w:tabs>
          <w:tab w:val="left" w:pos="1134"/>
          <w:tab w:val="clear" w:pos="0"/>
        </w:tabs>
        <w:kinsoku/>
        <w:wordWrap/>
        <w:overflowPunct/>
        <w:topLinePunct w:val="0"/>
        <w:autoSpaceDE/>
        <w:autoSpaceDN/>
        <w:bidi w:val="0"/>
        <w:adjustRightInd/>
        <w:snapToGrid/>
        <w:spacing w:line="360" w:lineRule="auto"/>
        <w:ind w:left="630" w:leftChars="0" w:hanging="630" w:hangingChars="300"/>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发包人有权按照合同和适用法律规定的标准规范，对承包人的设计、实施提出安全、质量、环境保护和职业健康方面的建议、修改和变更。</w:t>
      </w:r>
    </w:p>
    <w:p w14:paraId="6F9AD6DF">
      <w:pPr>
        <w:keepNext w:val="0"/>
        <w:keepLines w:val="0"/>
        <w:pageBreakBefore w:val="0"/>
        <w:numPr>
          <w:ilvl w:val="1"/>
          <w:numId w:val="11"/>
        </w:numPr>
        <w:kinsoku/>
        <w:wordWrap/>
        <w:overflowPunct/>
        <w:topLinePunct w:val="0"/>
        <w:autoSpaceDE/>
        <w:autoSpaceDN/>
        <w:bidi w:val="0"/>
        <w:spacing w:line="360" w:lineRule="auto"/>
        <w:ind w:left="632" w:leftChars="0" w:hanging="632" w:hangingChars="300"/>
        <w:textAlignment w:val="auto"/>
        <w:outlineLvl w:val="3"/>
        <w:rPr>
          <w:rFonts w:ascii="宋体" w:hAnsi="宋体"/>
          <w:b/>
          <w:color w:val="auto"/>
          <w:sz w:val="21"/>
          <w:szCs w:val="21"/>
          <w:highlight w:val="none"/>
        </w:rPr>
      </w:pPr>
      <w:bookmarkStart w:id="66" w:name="_Toc76719900"/>
      <w:r>
        <w:rPr>
          <w:rFonts w:hint="eastAsia" w:ascii="宋体" w:hAnsi="宋体"/>
          <w:b/>
          <w:color w:val="auto"/>
          <w:sz w:val="21"/>
          <w:szCs w:val="21"/>
          <w:highlight w:val="none"/>
        </w:rPr>
        <w:t>遵守法律</w:t>
      </w:r>
      <w:bookmarkEnd w:id="66"/>
    </w:p>
    <w:p w14:paraId="6F75F008">
      <w:pPr>
        <w:keepNext w:val="0"/>
        <w:keepLines w:val="0"/>
        <w:pageBreakBefore w:val="0"/>
        <w:numPr>
          <w:ilvl w:val="2"/>
          <w:numId w:val="11"/>
        </w:numPr>
        <w:tabs>
          <w:tab w:val="left" w:pos="1134"/>
          <w:tab w:val="clear" w:pos="0"/>
        </w:tabs>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在履行合同期间，国家法律、行政法规规定由发包人办理并取得立项、城市规划、区域规划批文、土地使用许可、开工批准或施工许可证、工程质量监督手续，及其他许可、执照、证件、批件等，发包人负责协调与有关部门和单位的关系。</w:t>
      </w:r>
    </w:p>
    <w:p w14:paraId="78D9C162">
      <w:pPr>
        <w:keepNext w:val="0"/>
        <w:keepLines w:val="0"/>
        <w:pageBreakBefore w:val="0"/>
        <w:numPr>
          <w:ilvl w:val="2"/>
          <w:numId w:val="11"/>
        </w:numPr>
        <w:tabs>
          <w:tab w:val="left" w:pos="1134"/>
          <w:tab w:val="clear" w:pos="0"/>
        </w:tabs>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承包人在履行合同期间遵守适用法律、行政法规、或行业规定进行设计、采购、加工、施工、竣工试验和竣工后试验，并承担质量保修责任。承包人须办理履行合同所需的由承包人办理的各种许可、执照、批文和手续等，保证发包人免受因此造成的损失。并因此给发包人造成损失的，承包人应给予赔偿。竣工日期延误，由承包人负责。</w:t>
      </w:r>
    </w:p>
    <w:p w14:paraId="30E29F5B">
      <w:pPr>
        <w:keepNext w:val="0"/>
        <w:keepLines w:val="0"/>
        <w:pageBreakBefore w:val="0"/>
        <w:numPr>
          <w:ilvl w:val="2"/>
          <w:numId w:val="11"/>
        </w:numPr>
        <w:tabs>
          <w:tab w:val="left" w:pos="1134"/>
          <w:tab w:val="clear" w:pos="0"/>
        </w:tabs>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承包人按时向所雇佣人员发放工资，为其办理人身保险，并缴纳相关税费。</w:t>
      </w:r>
    </w:p>
    <w:p w14:paraId="088ACD5F">
      <w:pPr>
        <w:keepNext w:val="0"/>
        <w:keepLines w:val="0"/>
        <w:pageBreakBefore w:val="0"/>
        <w:numPr>
          <w:ilvl w:val="1"/>
          <w:numId w:val="11"/>
        </w:numPr>
        <w:kinsoku/>
        <w:wordWrap/>
        <w:overflowPunct/>
        <w:topLinePunct w:val="0"/>
        <w:autoSpaceDE/>
        <w:autoSpaceDN/>
        <w:bidi w:val="0"/>
        <w:spacing w:line="360" w:lineRule="auto"/>
        <w:ind w:left="632" w:leftChars="0" w:hanging="632" w:hangingChars="300"/>
        <w:textAlignment w:val="auto"/>
        <w:outlineLvl w:val="3"/>
        <w:rPr>
          <w:rFonts w:ascii="宋体" w:hAnsi="宋体"/>
          <w:b/>
          <w:color w:val="auto"/>
          <w:sz w:val="21"/>
          <w:szCs w:val="21"/>
          <w:highlight w:val="none"/>
        </w:rPr>
      </w:pPr>
      <w:bookmarkStart w:id="67" w:name="_Toc76719901"/>
      <w:r>
        <w:rPr>
          <w:rFonts w:hint="eastAsia" w:ascii="宋体" w:hAnsi="宋体"/>
          <w:b/>
          <w:color w:val="auto"/>
          <w:sz w:val="21"/>
          <w:szCs w:val="21"/>
          <w:highlight w:val="none"/>
        </w:rPr>
        <w:t>保密事项</w:t>
      </w:r>
      <w:bookmarkEnd w:id="67"/>
    </w:p>
    <w:p w14:paraId="583F1D70">
      <w:pPr>
        <w:keepNext w:val="0"/>
        <w:keepLines w:val="0"/>
        <w:pageBreakBefore w:val="0"/>
        <w:kinsoku/>
        <w:wordWrap/>
        <w:overflowPunct/>
        <w:topLinePunct w:val="0"/>
        <w:autoSpaceDE/>
        <w:autoSpaceDN/>
        <w:bidi w:val="0"/>
        <w:spacing w:line="360" w:lineRule="auto"/>
        <w:ind w:left="630" w:leftChars="300" w:firstLine="0" w:firstLineChars="0"/>
        <w:textAlignment w:val="auto"/>
        <w:rPr>
          <w:rFonts w:ascii="宋体" w:hAnsi="宋体"/>
          <w:color w:val="auto"/>
          <w:sz w:val="21"/>
          <w:szCs w:val="21"/>
          <w:highlight w:val="none"/>
        </w:rPr>
      </w:pPr>
      <w:r>
        <w:rPr>
          <w:rFonts w:hint="eastAsia" w:ascii="宋体" w:hAnsi="宋体"/>
          <w:color w:val="auto"/>
          <w:sz w:val="21"/>
          <w:szCs w:val="21"/>
          <w:highlight w:val="none"/>
        </w:rPr>
        <w:t>当事人一方对</w:t>
      </w:r>
      <w:r>
        <w:rPr>
          <w:rFonts w:ascii="宋体" w:hAnsi="宋体"/>
          <w:color w:val="auto"/>
          <w:sz w:val="21"/>
          <w:szCs w:val="21"/>
          <w:highlight w:val="none"/>
        </w:rPr>
        <w:t>在订立</w:t>
      </w:r>
      <w:r>
        <w:rPr>
          <w:rFonts w:hint="eastAsia" w:ascii="宋体" w:hAnsi="宋体"/>
          <w:color w:val="auto"/>
          <w:sz w:val="21"/>
          <w:szCs w:val="21"/>
          <w:highlight w:val="none"/>
        </w:rPr>
        <w:t>和履行</w:t>
      </w:r>
      <w:r>
        <w:rPr>
          <w:rFonts w:ascii="宋体" w:hAnsi="宋体"/>
          <w:color w:val="auto"/>
          <w:sz w:val="21"/>
          <w:szCs w:val="21"/>
          <w:highlight w:val="none"/>
        </w:rPr>
        <w:t>合同过程中知悉</w:t>
      </w:r>
      <w:r>
        <w:rPr>
          <w:rFonts w:hint="eastAsia" w:ascii="宋体" w:hAnsi="宋体"/>
          <w:color w:val="auto"/>
          <w:sz w:val="21"/>
          <w:szCs w:val="21"/>
          <w:highlight w:val="none"/>
        </w:rPr>
        <w:t>的另一方</w:t>
      </w:r>
      <w:r>
        <w:rPr>
          <w:rFonts w:ascii="宋体" w:hAnsi="宋体"/>
          <w:color w:val="auto"/>
          <w:sz w:val="21"/>
          <w:szCs w:val="21"/>
          <w:highlight w:val="none"/>
        </w:rPr>
        <w:t>的商业秘密</w:t>
      </w:r>
      <w:r>
        <w:rPr>
          <w:rFonts w:hint="eastAsia" w:ascii="宋体" w:hAnsi="宋体"/>
          <w:color w:val="auto"/>
          <w:sz w:val="21"/>
          <w:szCs w:val="21"/>
          <w:highlight w:val="none"/>
        </w:rPr>
        <w:t>、技术秘密，以及任何一方明确要求保密的其它信息，负有保密责任，未经同意，不得对外</w:t>
      </w:r>
      <w:r>
        <w:rPr>
          <w:rFonts w:ascii="宋体" w:hAnsi="宋体"/>
          <w:color w:val="auto"/>
          <w:sz w:val="21"/>
          <w:szCs w:val="21"/>
          <w:highlight w:val="none"/>
        </w:rPr>
        <w:t>泄露或</w:t>
      </w:r>
      <w:r>
        <w:rPr>
          <w:rFonts w:hint="eastAsia" w:ascii="宋体" w:hAnsi="宋体"/>
          <w:color w:val="auto"/>
          <w:sz w:val="21"/>
          <w:szCs w:val="21"/>
          <w:highlight w:val="none"/>
        </w:rPr>
        <w:t>用于本合同以外的目的</w:t>
      </w:r>
      <w:r>
        <w:rPr>
          <w:rFonts w:ascii="宋体" w:hAnsi="宋体"/>
          <w:color w:val="auto"/>
          <w:sz w:val="21"/>
          <w:szCs w:val="21"/>
          <w:highlight w:val="none"/>
        </w:rPr>
        <w:t>。</w:t>
      </w:r>
      <w:r>
        <w:rPr>
          <w:rFonts w:hint="eastAsia" w:ascii="宋体" w:hAnsi="宋体"/>
          <w:color w:val="auto"/>
          <w:sz w:val="21"/>
          <w:szCs w:val="21"/>
          <w:highlight w:val="none"/>
        </w:rPr>
        <w:t>一方</w:t>
      </w:r>
      <w:r>
        <w:rPr>
          <w:rFonts w:ascii="宋体" w:hAnsi="宋体"/>
          <w:color w:val="auto"/>
          <w:sz w:val="21"/>
          <w:szCs w:val="21"/>
          <w:highlight w:val="none"/>
        </w:rPr>
        <w:t>泄露或者</w:t>
      </w:r>
      <w:r>
        <w:rPr>
          <w:rFonts w:hint="eastAsia" w:ascii="宋体" w:hAnsi="宋体"/>
          <w:color w:val="auto"/>
          <w:sz w:val="21"/>
          <w:szCs w:val="21"/>
          <w:highlight w:val="none"/>
        </w:rPr>
        <w:t>在本合同以外</w:t>
      </w:r>
      <w:r>
        <w:rPr>
          <w:rFonts w:ascii="宋体" w:hAnsi="宋体"/>
          <w:color w:val="auto"/>
          <w:sz w:val="21"/>
          <w:szCs w:val="21"/>
          <w:highlight w:val="none"/>
        </w:rPr>
        <w:t>使用该商业秘密</w:t>
      </w:r>
      <w:r>
        <w:rPr>
          <w:rFonts w:hint="eastAsia" w:ascii="宋体" w:hAnsi="宋体"/>
          <w:color w:val="auto"/>
          <w:sz w:val="21"/>
          <w:szCs w:val="21"/>
          <w:highlight w:val="none"/>
        </w:rPr>
        <w:t>、技术秘密</w:t>
      </w:r>
      <w:r>
        <w:rPr>
          <w:rFonts w:ascii="宋体" w:hAnsi="宋体"/>
          <w:color w:val="auto"/>
          <w:sz w:val="21"/>
          <w:szCs w:val="21"/>
          <w:highlight w:val="none"/>
        </w:rPr>
        <w:t>给</w:t>
      </w:r>
      <w:r>
        <w:rPr>
          <w:rFonts w:hint="eastAsia" w:ascii="宋体" w:hAnsi="宋体"/>
          <w:color w:val="auto"/>
          <w:sz w:val="21"/>
          <w:szCs w:val="21"/>
          <w:highlight w:val="none"/>
        </w:rPr>
        <w:t>另一</w:t>
      </w:r>
      <w:r>
        <w:rPr>
          <w:rFonts w:ascii="宋体" w:hAnsi="宋体"/>
          <w:color w:val="auto"/>
          <w:sz w:val="21"/>
          <w:szCs w:val="21"/>
          <w:highlight w:val="none"/>
        </w:rPr>
        <w:t>方造成损失的，承担损害赔偿责任。</w:t>
      </w:r>
      <w:r>
        <w:rPr>
          <w:rFonts w:hint="eastAsia" w:ascii="宋体" w:hAnsi="宋体"/>
          <w:color w:val="auto"/>
          <w:sz w:val="21"/>
          <w:szCs w:val="21"/>
          <w:highlight w:val="none"/>
        </w:rPr>
        <w:t>当事人为履行合同所需要的信息，另一方须予以提供。当事人认为必要时，可签订保密协议，作为合同附件。</w:t>
      </w:r>
    </w:p>
    <w:p w14:paraId="6A4D79BE">
      <w:pPr>
        <w:keepNext w:val="0"/>
        <w:keepLines w:val="0"/>
        <w:pageBreakBefore w:val="0"/>
        <w:numPr>
          <w:ilvl w:val="0"/>
          <w:numId w:val="11"/>
        </w:numPr>
        <w:kinsoku/>
        <w:wordWrap/>
        <w:overflowPunct/>
        <w:topLinePunct w:val="0"/>
        <w:autoSpaceDE/>
        <w:autoSpaceDN/>
        <w:bidi w:val="0"/>
        <w:spacing w:line="360" w:lineRule="auto"/>
        <w:ind w:left="632" w:leftChars="0" w:hanging="632" w:hangingChars="300"/>
        <w:textAlignment w:val="auto"/>
        <w:outlineLvl w:val="2"/>
        <w:rPr>
          <w:rFonts w:ascii="宋体" w:hAnsi="宋体"/>
          <w:b/>
          <w:color w:val="auto"/>
          <w:sz w:val="21"/>
          <w:szCs w:val="21"/>
          <w:highlight w:val="none"/>
        </w:rPr>
      </w:pPr>
      <w:bookmarkStart w:id="68" w:name="_Toc363718994"/>
      <w:bookmarkStart w:id="69" w:name="_Toc76719902"/>
      <w:bookmarkStart w:id="70" w:name="_Toc80633152"/>
      <w:r>
        <w:rPr>
          <w:rFonts w:hint="eastAsia" w:ascii="宋体" w:hAnsi="宋体"/>
          <w:b/>
          <w:color w:val="auto"/>
          <w:sz w:val="21"/>
          <w:szCs w:val="21"/>
          <w:highlight w:val="none"/>
        </w:rPr>
        <w:t>发包人</w:t>
      </w:r>
      <w:bookmarkEnd w:id="68"/>
      <w:bookmarkEnd w:id="69"/>
      <w:bookmarkEnd w:id="70"/>
    </w:p>
    <w:p w14:paraId="7AC81FBD">
      <w:pPr>
        <w:keepNext w:val="0"/>
        <w:keepLines w:val="0"/>
        <w:pageBreakBefore w:val="0"/>
        <w:widowControl w:val="0"/>
        <w:numPr>
          <w:ilvl w:val="1"/>
          <w:numId w:val="11"/>
        </w:numPr>
        <w:kinsoku/>
        <w:wordWrap/>
        <w:overflowPunct/>
        <w:topLinePunct w:val="0"/>
        <w:autoSpaceDE/>
        <w:autoSpaceDN/>
        <w:bidi w:val="0"/>
        <w:adjustRightInd/>
        <w:snapToGrid/>
        <w:spacing w:line="360" w:lineRule="auto"/>
        <w:ind w:left="632" w:leftChars="0" w:hanging="632" w:hangingChars="300"/>
        <w:textAlignment w:val="auto"/>
        <w:outlineLvl w:val="3"/>
        <w:rPr>
          <w:rFonts w:ascii="宋体" w:hAnsi="宋体"/>
          <w:b/>
          <w:color w:val="auto"/>
          <w:sz w:val="21"/>
          <w:szCs w:val="21"/>
          <w:highlight w:val="none"/>
        </w:rPr>
      </w:pPr>
      <w:bookmarkStart w:id="71" w:name="_Toc76719903"/>
      <w:r>
        <w:rPr>
          <w:rFonts w:hint="eastAsia" w:ascii="宋体" w:hAnsi="宋体"/>
          <w:b/>
          <w:color w:val="auto"/>
          <w:sz w:val="21"/>
          <w:szCs w:val="21"/>
          <w:highlight w:val="none"/>
        </w:rPr>
        <w:t>发包人的义务和权利</w:t>
      </w:r>
      <w:bookmarkEnd w:id="71"/>
    </w:p>
    <w:p w14:paraId="028ECAD0">
      <w:pPr>
        <w:keepNext w:val="0"/>
        <w:keepLines w:val="0"/>
        <w:pageBreakBefore w:val="0"/>
        <w:numPr>
          <w:ilvl w:val="2"/>
          <w:numId w:val="11"/>
        </w:numPr>
        <w:tabs>
          <w:tab w:val="left" w:pos="1134"/>
          <w:tab w:val="clear" w:pos="0"/>
        </w:tabs>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负责办理项目的审批、核准或备案手续，使项目具备法律规定的开工条件。</w:t>
      </w:r>
    </w:p>
    <w:p w14:paraId="27A795D0">
      <w:pPr>
        <w:keepNext w:val="0"/>
        <w:keepLines w:val="0"/>
        <w:pageBreakBefore w:val="0"/>
        <w:numPr>
          <w:ilvl w:val="2"/>
          <w:numId w:val="11"/>
        </w:numPr>
        <w:tabs>
          <w:tab w:val="left" w:pos="1134"/>
          <w:tab w:val="clear" w:pos="0"/>
        </w:tabs>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履行合同中约定的合同价格调整、付款、竣工结算义务。</w:t>
      </w:r>
    </w:p>
    <w:p w14:paraId="1F491F2F">
      <w:pPr>
        <w:keepNext w:val="0"/>
        <w:keepLines w:val="0"/>
        <w:pageBreakBefore w:val="0"/>
        <w:numPr>
          <w:ilvl w:val="2"/>
          <w:numId w:val="11"/>
        </w:numPr>
        <w:tabs>
          <w:tab w:val="left" w:pos="1134"/>
          <w:tab w:val="clear" w:pos="0"/>
        </w:tabs>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 xml:space="preserve">有权根据合同约定，及国家法律关于安全、质量、标准、环境保护和职业健康等强制性规定，对承包人的设计、采购、施工等实施工作提出建议、修改和变更。 </w:t>
      </w:r>
    </w:p>
    <w:p w14:paraId="19551A22">
      <w:pPr>
        <w:keepNext w:val="0"/>
        <w:keepLines w:val="0"/>
        <w:pageBreakBefore w:val="0"/>
        <w:numPr>
          <w:ilvl w:val="2"/>
          <w:numId w:val="11"/>
        </w:numPr>
        <w:tabs>
          <w:tab w:val="left" w:pos="1134"/>
          <w:tab w:val="clear" w:pos="0"/>
        </w:tabs>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有权根据合同约定，对因承包人原因给发包人带来的任何损失和损害，提出赔偿。</w:t>
      </w:r>
    </w:p>
    <w:p w14:paraId="1D77DBB3">
      <w:pPr>
        <w:keepNext w:val="0"/>
        <w:keepLines w:val="0"/>
        <w:pageBreakBefore w:val="0"/>
        <w:numPr>
          <w:ilvl w:val="2"/>
          <w:numId w:val="11"/>
        </w:numPr>
        <w:tabs>
          <w:tab w:val="left" w:pos="1134"/>
          <w:tab w:val="clear" w:pos="0"/>
        </w:tabs>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履行合同中约定的其他权利和义务。</w:t>
      </w:r>
    </w:p>
    <w:p w14:paraId="436A616E">
      <w:pPr>
        <w:keepNext w:val="0"/>
        <w:keepLines w:val="0"/>
        <w:pageBreakBefore w:val="0"/>
        <w:widowControl w:val="0"/>
        <w:numPr>
          <w:ilvl w:val="1"/>
          <w:numId w:val="11"/>
        </w:numPr>
        <w:kinsoku/>
        <w:wordWrap/>
        <w:overflowPunct/>
        <w:topLinePunct w:val="0"/>
        <w:autoSpaceDE/>
        <w:autoSpaceDN/>
        <w:bidi w:val="0"/>
        <w:adjustRightInd/>
        <w:snapToGrid/>
        <w:spacing w:line="360" w:lineRule="auto"/>
        <w:ind w:left="632" w:leftChars="0" w:hanging="632" w:hangingChars="300"/>
        <w:textAlignment w:val="auto"/>
        <w:outlineLvl w:val="3"/>
        <w:rPr>
          <w:rFonts w:ascii="宋体" w:hAnsi="宋体"/>
          <w:b/>
          <w:color w:val="auto"/>
          <w:sz w:val="21"/>
          <w:szCs w:val="21"/>
          <w:highlight w:val="none"/>
        </w:rPr>
      </w:pPr>
      <w:bookmarkStart w:id="72" w:name="_Toc76719904"/>
      <w:r>
        <w:rPr>
          <w:rFonts w:hint="eastAsia" w:ascii="宋体" w:hAnsi="宋体"/>
          <w:b/>
          <w:color w:val="auto"/>
          <w:sz w:val="21"/>
          <w:szCs w:val="21"/>
          <w:highlight w:val="none"/>
        </w:rPr>
        <w:t>发包人代表</w:t>
      </w:r>
      <w:bookmarkEnd w:id="72"/>
    </w:p>
    <w:p w14:paraId="01271C78">
      <w:pPr>
        <w:keepNext w:val="0"/>
        <w:keepLines w:val="0"/>
        <w:pageBreakBefore w:val="0"/>
        <w:widowControl w:val="0"/>
        <w:kinsoku/>
        <w:wordWrap/>
        <w:overflowPunct/>
        <w:topLinePunct w:val="0"/>
        <w:autoSpaceDE/>
        <w:autoSpaceDN/>
        <w:bidi w:val="0"/>
        <w:adjustRightInd/>
        <w:snapToGrid/>
        <w:spacing w:line="360" w:lineRule="auto"/>
        <w:ind w:left="630" w:leftChars="300" w:firstLine="0" w:firstLineChars="0"/>
        <w:textAlignment w:val="auto"/>
        <w:rPr>
          <w:rFonts w:ascii="宋体" w:hAnsi="宋体"/>
          <w:color w:val="auto"/>
          <w:sz w:val="21"/>
          <w:szCs w:val="21"/>
          <w:highlight w:val="none"/>
        </w:rPr>
      </w:pPr>
      <w:r>
        <w:rPr>
          <w:rFonts w:hint="eastAsia" w:ascii="宋体" w:hAnsi="宋体"/>
          <w:color w:val="auto"/>
          <w:sz w:val="21"/>
          <w:szCs w:val="21"/>
          <w:highlight w:val="none"/>
        </w:rPr>
        <w:t>发包人委派的代表，行使发包人委托的权利，履行发包人义务。发包人代表依据本合同并在其授权范围内履行其职责。发包人代表根据合同约定的范围和事项，向承包人发出的通知，以书面形式由其本人签字后送交项目经理。</w:t>
      </w:r>
    </w:p>
    <w:p w14:paraId="7353699A">
      <w:pPr>
        <w:keepNext w:val="0"/>
        <w:keepLines w:val="0"/>
        <w:pageBreakBefore w:val="0"/>
        <w:widowControl w:val="0"/>
        <w:kinsoku/>
        <w:wordWrap/>
        <w:overflowPunct/>
        <w:topLinePunct w:val="0"/>
        <w:autoSpaceDE/>
        <w:autoSpaceDN/>
        <w:bidi w:val="0"/>
        <w:adjustRightInd/>
        <w:snapToGrid/>
        <w:spacing w:line="360" w:lineRule="auto"/>
        <w:ind w:left="630" w:leftChars="300" w:firstLine="0" w:firstLineChars="0"/>
        <w:textAlignment w:val="auto"/>
        <w:rPr>
          <w:rFonts w:ascii="宋体" w:hAnsi="宋体"/>
          <w:color w:val="auto"/>
          <w:sz w:val="21"/>
          <w:szCs w:val="21"/>
          <w:highlight w:val="none"/>
        </w:rPr>
      </w:pPr>
      <w:r>
        <w:rPr>
          <w:rFonts w:hint="eastAsia" w:ascii="宋体" w:hAnsi="宋体"/>
          <w:color w:val="auto"/>
          <w:sz w:val="21"/>
          <w:szCs w:val="21"/>
          <w:highlight w:val="none"/>
        </w:rPr>
        <w:t>发包人代表的姓名、职务和职责在专用条款约定。发包人决定替换其代表时，将新任代表的姓名、职务、职权和任命时间在其到任的前</w:t>
      </w:r>
      <w:r>
        <w:rPr>
          <w:rFonts w:ascii="宋体" w:hAnsi="宋体"/>
          <w:color w:val="auto"/>
          <w:sz w:val="21"/>
          <w:szCs w:val="21"/>
          <w:highlight w:val="none"/>
        </w:rPr>
        <w:t>15</w:t>
      </w:r>
      <w:r>
        <w:rPr>
          <w:rFonts w:hint="eastAsia" w:ascii="宋体" w:hAnsi="宋体"/>
          <w:color w:val="auto"/>
          <w:sz w:val="21"/>
          <w:szCs w:val="21"/>
          <w:highlight w:val="none"/>
        </w:rPr>
        <w:t>天，以书面形式通知承包人。</w:t>
      </w:r>
    </w:p>
    <w:p w14:paraId="1D67AF37">
      <w:pPr>
        <w:keepNext w:val="0"/>
        <w:keepLines w:val="0"/>
        <w:pageBreakBefore w:val="0"/>
        <w:widowControl w:val="0"/>
        <w:numPr>
          <w:ilvl w:val="1"/>
          <w:numId w:val="11"/>
        </w:numPr>
        <w:kinsoku/>
        <w:wordWrap/>
        <w:overflowPunct/>
        <w:topLinePunct w:val="0"/>
        <w:autoSpaceDE/>
        <w:autoSpaceDN/>
        <w:bidi w:val="0"/>
        <w:adjustRightInd/>
        <w:snapToGrid/>
        <w:spacing w:line="360" w:lineRule="auto"/>
        <w:ind w:left="632" w:leftChars="0" w:hanging="632" w:hangingChars="300"/>
        <w:textAlignment w:val="auto"/>
        <w:outlineLvl w:val="3"/>
        <w:rPr>
          <w:rFonts w:ascii="宋体" w:hAnsi="宋体"/>
          <w:b/>
          <w:color w:val="auto"/>
          <w:sz w:val="21"/>
          <w:szCs w:val="21"/>
          <w:highlight w:val="none"/>
        </w:rPr>
      </w:pPr>
      <w:bookmarkStart w:id="73" w:name="_Toc76719905"/>
      <w:r>
        <w:rPr>
          <w:rFonts w:hint="eastAsia" w:ascii="宋体" w:hAnsi="宋体"/>
          <w:b/>
          <w:color w:val="auto"/>
          <w:sz w:val="21"/>
          <w:szCs w:val="21"/>
          <w:highlight w:val="none"/>
        </w:rPr>
        <w:t>监理人（如有）</w:t>
      </w:r>
      <w:bookmarkEnd w:id="73"/>
    </w:p>
    <w:p w14:paraId="69CA8F00">
      <w:pPr>
        <w:keepNext w:val="0"/>
        <w:keepLines w:val="0"/>
        <w:pageBreakBefore w:val="0"/>
        <w:numPr>
          <w:ilvl w:val="2"/>
          <w:numId w:val="11"/>
        </w:numPr>
        <w:tabs>
          <w:tab w:val="left" w:pos="1134"/>
          <w:tab w:val="clear" w:pos="0"/>
        </w:tabs>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发包人对工程实行监理的，监理人的名称、工程总监、监理范围、内容、职权和权限在专用条款中写明。</w:t>
      </w:r>
    </w:p>
    <w:p w14:paraId="05263418">
      <w:pPr>
        <w:keepNext w:val="0"/>
        <w:keepLines w:val="0"/>
        <w:pageBreakBefore w:val="0"/>
        <w:numPr>
          <w:ilvl w:val="2"/>
          <w:numId w:val="11"/>
        </w:numPr>
        <w:tabs>
          <w:tab w:val="left" w:pos="1134"/>
          <w:tab w:val="clear" w:pos="0"/>
        </w:tabs>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监理人按发包人委托监理的范围、内容、职权和权限，代表发包人对承包人实施监督。监理人向承包人发出的通知，以书面形式由工程总监签字后送交承包单位，并抄送发包人。</w:t>
      </w:r>
    </w:p>
    <w:p w14:paraId="24D153F2">
      <w:pPr>
        <w:keepNext w:val="0"/>
        <w:keepLines w:val="0"/>
        <w:pageBreakBefore w:val="0"/>
        <w:numPr>
          <w:ilvl w:val="2"/>
          <w:numId w:val="11"/>
        </w:numPr>
        <w:tabs>
          <w:tab w:val="left" w:pos="1134"/>
          <w:tab w:val="clear" w:pos="0"/>
        </w:tabs>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工程总监的职权与发包人代表的职权相重叠或不明确时，由发包人予以协调并明确，并以书面形式通知承包人。</w:t>
      </w:r>
    </w:p>
    <w:p w14:paraId="3FBA0E5A">
      <w:pPr>
        <w:keepNext w:val="0"/>
        <w:keepLines w:val="0"/>
        <w:pageBreakBefore w:val="0"/>
        <w:numPr>
          <w:ilvl w:val="2"/>
          <w:numId w:val="11"/>
        </w:numPr>
        <w:tabs>
          <w:tab w:val="left" w:pos="1134"/>
          <w:tab w:val="clear" w:pos="0"/>
        </w:tabs>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除专用条款有明确约定或经发包人同意外，工程总监无权改变本合同当事人的任何权利和义务。</w:t>
      </w:r>
    </w:p>
    <w:p w14:paraId="4E3FFB54">
      <w:pPr>
        <w:keepNext w:val="0"/>
        <w:keepLines w:val="0"/>
        <w:pageBreakBefore w:val="0"/>
        <w:numPr>
          <w:ilvl w:val="2"/>
          <w:numId w:val="11"/>
        </w:numPr>
        <w:tabs>
          <w:tab w:val="left" w:pos="1134"/>
          <w:tab w:val="clear" w:pos="0"/>
        </w:tabs>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发包人更换工程总监时，提前</w:t>
      </w:r>
      <w:r>
        <w:rPr>
          <w:rFonts w:ascii="宋体" w:hAnsi="宋体"/>
          <w:color w:val="auto"/>
          <w:sz w:val="21"/>
          <w:szCs w:val="21"/>
          <w:highlight w:val="none"/>
        </w:rPr>
        <w:t>15</w:t>
      </w:r>
      <w:r>
        <w:rPr>
          <w:rFonts w:hint="eastAsia" w:ascii="宋体" w:hAnsi="宋体"/>
          <w:color w:val="auto"/>
          <w:sz w:val="21"/>
          <w:szCs w:val="21"/>
          <w:highlight w:val="none"/>
        </w:rPr>
        <w:t>天以书面形式通知承包人，并在通知书中将替换者的姓名、职务、职权、权限和任命时间通知承包人。</w:t>
      </w:r>
    </w:p>
    <w:p w14:paraId="4510BBE8">
      <w:pPr>
        <w:keepNext w:val="0"/>
        <w:keepLines w:val="0"/>
        <w:pageBreakBefore w:val="0"/>
        <w:widowControl w:val="0"/>
        <w:numPr>
          <w:ilvl w:val="1"/>
          <w:numId w:val="11"/>
        </w:numPr>
        <w:kinsoku/>
        <w:wordWrap/>
        <w:overflowPunct/>
        <w:topLinePunct w:val="0"/>
        <w:autoSpaceDE/>
        <w:autoSpaceDN/>
        <w:bidi w:val="0"/>
        <w:adjustRightInd/>
        <w:snapToGrid/>
        <w:spacing w:line="360" w:lineRule="auto"/>
        <w:ind w:left="632" w:leftChars="0" w:hanging="632" w:hangingChars="300"/>
        <w:textAlignment w:val="auto"/>
        <w:outlineLvl w:val="3"/>
        <w:rPr>
          <w:rFonts w:ascii="宋体" w:hAnsi="宋体"/>
          <w:b/>
          <w:color w:val="auto"/>
          <w:sz w:val="21"/>
          <w:szCs w:val="21"/>
          <w:highlight w:val="none"/>
        </w:rPr>
      </w:pPr>
      <w:bookmarkStart w:id="74" w:name="_Toc76719906"/>
      <w:r>
        <w:rPr>
          <w:rFonts w:hint="eastAsia" w:ascii="宋体" w:hAnsi="宋体"/>
          <w:b/>
          <w:color w:val="auto"/>
          <w:sz w:val="21"/>
          <w:szCs w:val="21"/>
          <w:highlight w:val="none"/>
        </w:rPr>
        <w:t>安全保证</w:t>
      </w:r>
      <w:bookmarkEnd w:id="74"/>
    </w:p>
    <w:p w14:paraId="5624570C">
      <w:pPr>
        <w:keepNext w:val="0"/>
        <w:keepLines w:val="0"/>
        <w:pageBreakBefore w:val="0"/>
        <w:numPr>
          <w:ilvl w:val="2"/>
          <w:numId w:val="11"/>
        </w:numPr>
        <w:tabs>
          <w:tab w:val="left" w:pos="1134"/>
          <w:tab w:val="clear" w:pos="0"/>
        </w:tabs>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发包人有权要求承包人负责协调处理施工现场周围的地下、地上已有设施和邻近建筑物、构筑物、古树名木、文物及坟墓等的安全保护工作，维护现场周围的正常秩序，并承担相关费用。</w:t>
      </w:r>
    </w:p>
    <w:p w14:paraId="1CD76B65">
      <w:pPr>
        <w:keepNext w:val="0"/>
        <w:keepLines w:val="0"/>
        <w:pageBreakBefore w:val="0"/>
        <w:numPr>
          <w:ilvl w:val="2"/>
          <w:numId w:val="11"/>
        </w:numPr>
        <w:tabs>
          <w:tab w:val="left" w:pos="1134"/>
          <w:tab w:val="clear" w:pos="0"/>
        </w:tabs>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发包人有权对承包人负责工程现场临近正在使用、生产或运行的建筑物、构筑物、生产装置、设施、设备等，要求设置隔离设施，竖立禁止入内、禁止动火的明显标志进行监督。因承包人的原因给发包人造成的损失和伤害，由承包人负责。</w:t>
      </w:r>
    </w:p>
    <w:p w14:paraId="2830BF77">
      <w:pPr>
        <w:keepNext w:val="0"/>
        <w:keepLines w:val="0"/>
        <w:pageBreakBefore w:val="0"/>
        <w:numPr>
          <w:ilvl w:val="2"/>
          <w:numId w:val="11"/>
        </w:numPr>
        <w:tabs>
          <w:tab w:val="left" w:pos="1134"/>
          <w:tab w:val="clear" w:pos="0"/>
        </w:tabs>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本合同未作约定，而在工程主体结构或工程主要装置完成后，发包人要求进行涉及建筑主体及承重结构变动、或涉及重大工艺变化的装修工程时，双方另行签订委托合同，作为本合同附件，由承包人提出设计方案，方能施工。</w:t>
      </w:r>
    </w:p>
    <w:p w14:paraId="1D17B468">
      <w:pPr>
        <w:keepNext w:val="0"/>
        <w:keepLines w:val="0"/>
        <w:pageBreakBefore w:val="0"/>
        <w:numPr>
          <w:ilvl w:val="2"/>
          <w:numId w:val="11"/>
        </w:numPr>
        <w:tabs>
          <w:tab w:val="left" w:pos="1134"/>
          <w:tab w:val="clear" w:pos="0"/>
        </w:tabs>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发包人、发包人代表、雇员、监理人及其委托的其他人员，遵守7.8款健康、安全和环境的相关约定。</w:t>
      </w:r>
    </w:p>
    <w:p w14:paraId="0F5511F4">
      <w:pPr>
        <w:keepNext w:val="0"/>
        <w:keepLines w:val="0"/>
        <w:pageBreakBefore w:val="0"/>
        <w:widowControl w:val="0"/>
        <w:numPr>
          <w:ilvl w:val="1"/>
          <w:numId w:val="11"/>
        </w:numPr>
        <w:kinsoku/>
        <w:wordWrap/>
        <w:overflowPunct/>
        <w:topLinePunct w:val="0"/>
        <w:autoSpaceDE/>
        <w:autoSpaceDN/>
        <w:bidi w:val="0"/>
        <w:adjustRightInd/>
        <w:snapToGrid/>
        <w:spacing w:line="360" w:lineRule="auto"/>
        <w:ind w:left="632" w:leftChars="0" w:hanging="632" w:hangingChars="300"/>
        <w:textAlignment w:val="auto"/>
        <w:outlineLvl w:val="3"/>
        <w:rPr>
          <w:rFonts w:ascii="宋体" w:hAnsi="宋体"/>
          <w:b/>
          <w:color w:val="auto"/>
          <w:sz w:val="21"/>
          <w:szCs w:val="21"/>
          <w:highlight w:val="none"/>
        </w:rPr>
      </w:pPr>
      <w:bookmarkStart w:id="75" w:name="_Toc76719907"/>
      <w:r>
        <w:rPr>
          <w:rFonts w:hint="eastAsia" w:ascii="宋体" w:hAnsi="宋体"/>
          <w:b/>
          <w:color w:val="auto"/>
          <w:sz w:val="21"/>
          <w:szCs w:val="21"/>
          <w:highlight w:val="none"/>
        </w:rPr>
        <w:t>保安责任</w:t>
      </w:r>
      <w:bookmarkEnd w:id="75"/>
    </w:p>
    <w:p w14:paraId="4DE34729">
      <w:pPr>
        <w:keepNext w:val="0"/>
        <w:keepLines w:val="0"/>
        <w:pageBreakBefore w:val="0"/>
        <w:numPr>
          <w:ilvl w:val="2"/>
          <w:numId w:val="11"/>
        </w:numPr>
        <w:tabs>
          <w:tab w:val="left" w:pos="1134"/>
          <w:tab w:val="clear" w:pos="0"/>
        </w:tabs>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承</w:t>
      </w:r>
      <w:r>
        <w:rPr>
          <w:rFonts w:ascii="宋体" w:hAnsi="宋体"/>
          <w:color w:val="auto"/>
          <w:sz w:val="21"/>
          <w:szCs w:val="21"/>
          <w:highlight w:val="none"/>
        </w:rPr>
        <w:t>包人</w:t>
      </w:r>
      <w:r>
        <w:rPr>
          <w:rFonts w:hint="eastAsia" w:ascii="宋体" w:hAnsi="宋体"/>
          <w:color w:val="auto"/>
          <w:sz w:val="21"/>
          <w:szCs w:val="21"/>
          <w:highlight w:val="none"/>
        </w:rPr>
        <w:t>按合同约定</w:t>
      </w:r>
      <w:r>
        <w:rPr>
          <w:rFonts w:ascii="宋体" w:hAnsi="宋体"/>
          <w:color w:val="auto"/>
          <w:sz w:val="21"/>
          <w:szCs w:val="21"/>
          <w:highlight w:val="none"/>
        </w:rPr>
        <w:t>占用的区域、接收的单项工程和工程，由</w:t>
      </w:r>
      <w:r>
        <w:rPr>
          <w:rFonts w:hint="eastAsia" w:ascii="宋体" w:hAnsi="宋体"/>
          <w:color w:val="auto"/>
          <w:sz w:val="21"/>
          <w:szCs w:val="21"/>
          <w:highlight w:val="none"/>
        </w:rPr>
        <w:t>承</w:t>
      </w:r>
      <w:r>
        <w:rPr>
          <w:rFonts w:ascii="宋体" w:hAnsi="宋体"/>
          <w:color w:val="auto"/>
          <w:sz w:val="21"/>
          <w:szCs w:val="21"/>
          <w:highlight w:val="none"/>
        </w:rPr>
        <w:t>包人承担相关保安</w:t>
      </w:r>
      <w:r>
        <w:rPr>
          <w:rFonts w:hint="eastAsia" w:ascii="宋体" w:hAnsi="宋体"/>
          <w:color w:val="auto"/>
          <w:sz w:val="21"/>
          <w:szCs w:val="21"/>
          <w:highlight w:val="none"/>
        </w:rPr>
        <w:t>工作，及因此产生的费用、损害</w:t>
      </w:r>
      <w:r>
        <w:rPr>
          <w:rFonts w:ascii="宋体" w:hAnsi="宋体"/>
          <w:color w:val="auto"/>
          <w:sz w:val="21"/>
          <w:szCs w:val="21"/>
          <w:highlight w:val="none"/>
        </w:rPr>
        <w:t>和责任。</w:t>
      </w:r>
    </w:p>
    <w:p w14:paraId="38E844B3">
      <w:pPr>
        <w:keepNext w:val="0"/>
        <w:keepLines w:val="0"/>
        <w:pageBreakBefore w:val="0"/>
        <w:numPr>
          <w:ilvl w:val="0"/>
          <w:numId w:val="11"/>
        </w:numPr>
        <w:kinsoku/>
        <w:wordWrap/>
        <w:overflowPunct/>
        <w:topLinePunct w:val="0"/>
        <w:autoSpaceDE/>
        <w:autoSpaceDN/>
        <w:bidi w:val="0"/>
        <w:spacing w:line="360" w:lineRule="auto"/>
        <w:ind w:left="632" w:leftChars="0" w:hanging="632" w:hangingChars="300"/>
        <w:textAlignment w:val="auto"/>
        <w:outlineLvl w:val="2"/>
        <w:rPr>
          <w:rFonts w:ascii="宋体" w:hAnsi="宋体"/>
          <w:b/>
          <w:color w:val="auto"/>
          <w:sz w:val="21"/>
          <w:szCs w:val="21"/>
          <w:highlight w:val="none"/>
        </w:rPr>
      </w:pPr>
      <w:bookmarkStart w:id="76" w:name="_Toc76719908"/>
      <w:bookmarkStart w:id="77" w:name="_Toc363718995"/>
      <w:bookmarkStart w:id="78" w:name="_Toc80633153"/>
      <w:r>
        <w:rPr>
          <w:rFonts w:hint="eastAsia" w:ascii="宋体" w:hAnsi="宋体"/>
          <w:b/>
          <w:color w:val="auto"/>
          <w:sz w:val="21"/>
          <w:szCs w:val="21"/>
          <w:highlight w:val="none"/>
        </w:rPr>
        <w:t>承包人</w:t>
      </w:r>
      <w:bookmarkEnd w:id="76"/>
      <w:bookmarkEnd w:id="77"/>
      <w:bookmarkEnd w:id="78"/>
    </w:p>
    <w:p w14:paraId="4505C9CB">
      <w:pPr>
        <w:keepNext w:val="0"/>
        <w:keepLines w:val="0"/>
        <w:pageBreakBefore w:val="0"/>
        <w:widowControl w:val="0"/>
        <w:numPr>
          <w:ilvl w:val="1"/>
          <w:numId w:val="11"/>
        </w:numPr>
        <w:kinsoku/>
        <w:wordWrap/>
        <w:overflowPunct/>
        <w:topLinePunct w:val="0"/>
        <w:autoSpaceDE/>
        <w:autoSpaceDN/>
        <w:bidi w:val="0"/>
        <w:adjustRightInd/>
        <w:snapToGrid/>
        <w:spacing w:line="360" w:lineRule="auto"/>
        <w:ind w:left="632" w:leftChars="0" w:hanging="632" w:hangingChars="300"/>
        <w:textAlignment w:val="auto"/>
        <w:outlineLvl w:val="3"/>
        <w:rPr>
          <w:rFonts w:ascii="宋体" w:hAnsi="宋体"/>
          <w:b/>
          <w:color w:val="auto"/>
          <w:sz w:val="21"/>
          <w:szCs w:val="21"/>
          <w:highlight w:val="none"/>
        </w:rPr>
      </w:pPr>
      <w:bookmarkStart w:id="79" w:name="_Toc76719909"/>
      <w:r>
        <w:rPr>
          <w:rFonts w:hint="eastAsia" w:ascii="宋体" w:hAnsi="宋体"/>
          <w:b/>
          <w:color w:val="auto"/>
          <w:sz w:val="21"/>
          <w:szCs w:val="21"/>
          <w:highlight w:val="none"/>
        </w:rPr>
        <w:t>承包人的义务和权利</w:t>
      </w:r>
      <w:bookmarkEnd w:id="79"/>
    </w:p>
    <w:p w14:paraId="183CB84B">
      <w:pPr>
        <w:keepNext w:val="0"/>
        <w:keepLines w:val="0"/>
        <w:pageBreakBefore w:val="0"/>
        <w:numPr>
          <w:ilvl w:val="2"/>
          <w:numId w:val="11"/>
        </w:numPr>
        <w:tabs>
          <w:tab w:val="left" w:pos="1134"/>
          <w:tab w:val="clear" w:pos="0"/>
        </w:tabs>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承包人应按照合同约定的标准、规范、工程的功能、规模、考核目标和竣工日期，完成设计、采购、施工、竣工试验和竣工后试验等工作，不得违反国家强制性标准、规范的规定。</w:t>
      </w:r>
    </w:p>
    <w:p w14:paraId="10F1EA5E">
      <w:pPr>
        <w:keepNext w:val="0"/>
        <w:keepLines w:val="0"/>
        <w:pageBreakBefore w:val="0"/>
        <w:numPr>
          <w:ilvl w:val="2"/>
          <w:numId w:val="11"/>
        </w:numPr>
        <w:tabs>
          <w:tab w:val="left" w:pos="1134"/>
          <w:tab w:val="clear" w:pos="0"/>
        </w:tabs>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承包人有义务自费修复因非发包人原因引起的设计、文件、设备、材料、部件、施工中存在的缺陷、或在竣工试验和竣工后试验中发现的缺陷。</w:t>
      </w:r>
    </w:p>
    <w:p w14:paraId="460CC48D">
      <w:pPr>
        <w:keepNext w:val="0"/>
        <w:keepLines w:val="0"/>
        <w:pageBreakBefore w:val="0"/>
        <w:numPr>
          <w:ilvl w:val="2"/>
          <w:numId w:val="11"/>
        </w:numPr>
        <w:tabs>
          <w:tab w:val="left" w:pos="1134"/>
          <w:tab w:val="clear" w:pos="0"/>
        </w:tabs>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承包人有义务按合同约定和发包人的要求，提交相关报表。</w:t>
      </w:r>
    </w:p>
    <w:p w14:paraId="29D83693">
      <w:pPr>
        <w:keepNext w:val="0"/>
        <w:keepLines w:val="0"/>
        <w:pageBreakBefore w:val="0"/>
        <w:numPr>
          <w:ilvl w:val="2"/>
          <w:numId w:val="11"/>
        </w:numPr>
        <w:tabs>
          <w:tab w:val="left" w:pos="1134"/>
          <w:tab w:val="clear" w:pos="0"/>
        </w:tabs>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对因发包人原因给承包人带来的任何损失、损害或造成工程关键路径延误的，承包人有权要求赔偿或（和）延长竣工日期。</w:t>
      </w:r>
    </w:p>
    <w:p w14:paraId="336D65BD">
      <w:pPr>
        <w:keepNext w:val="0"/>
        <w:keepLines w:val="0"/>
        <w:pageBreakBefore w:val="0"/>
        <w:numPr>
          <w:ilvl w:val="2"/>
          <w:numId w:val="11"/>
        </w:numPr>
        <w:tabs>
          <w:tab w:val="left" w:pos="1134"/>
          <w:tab w:val="clear" w:pos="0"/>
        </w:tabs>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承包人应对所有现场作业、施工方法和全部工程的完备性、稳定性和安全性承担责任和费用。如果发包人要求承包人提交其详细的施工安排和方法时，承包人应积极响应并按时提供。</w:t>
      </w:r>
    </w:p>
    <w:p w14:paraId="02DC8EA5">
      <w:pPr>
        <w:keepNext w:val="0"/>
        <w:keepLines w:val="0"/>
        <w:pageBreakBefore w:val="0"/>
        <w:numPr>
          <w:ilvl w:val="2"/>
          <w:numId w:val="11"/>
        </w:numPr>
        <w:tabs>
          <w:tab w:val="left" w:pos="1134"/>
          <w:tab w:val="clear" w:pos="0"/>
        </w:tabs>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承包人应遵守在合同执行阶段现行的、适用于本项目的法律、法规和规章以及相关的标准和规范。</w:t>
      </w:r>
    </w:p>
    <w:p w14:paraId="2ECD89B3">
      <w:pPr>
        <w:keepNext w:val="0"/>
        <w:keepLines w:val="0"/>
        <w:pageBreakBefore w:val="0"/>
        <w:numPr>
          <w:ilvl w:val="2"/>
          <w:numId w:val="11"/>
        </w:numPr>
        <w:tabs>
          <w:tab w:val="left" w:pos="1134"/>
          <w:tab w:val="clear" w:pos="0"/>
        </w:tabs>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承包人应根据和利用良好的行业惯例、法规和承包人自身的知识和工程经验来完成工作，并接受发包人或发包人委派的第三方人员对工程数量和质量的监督、检查。</w:t>
      </w:r>
    </w:p>
    <w:p w14:paraId="06E86DBC">
      <w:pPr>
        <w:keepNext w:val="0"/>
        <w:keepLines w:val="0"/>
        <w:pageBreakBefore w:val="0"/>
        <w:numPr>
          <w:ilvl w:val="2"/>
          <w:numId w:val="11"/>
        </w:numPr>
        <w:tabs>
          <w:tab w:val="left" w:pos="1134"/>
          <w:tab w:val="clear" w:pos="0"/>
        </w:tabs>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承包人在履行合同过程中影响到项目现场临近区域工作或生活的，应自费妥善处理，自觉遵守相关的法律法规和标准规范，如安全／治安标准等。</w:t>
      </w:r>
    </w:p>
    <w:p w14:paraId="23784F77">
      <w:pPr>
        <w:keepNext w:val="0"/>
        <w:keepLines w:val="0"/>
        <w:pageBreakBefore w:val="0"/>
        <w:numPr>
          <w:ilvl w:val="2"/>
          <w:numId w:val="11"/>
        </w:numPr>
        <w:tabs>
          <w:tab w:val="left" w:pos="1134"/>
          <w:tab w:val="clear" w:pos="0"/>
        </w:tabs>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承包人应将由发包人提供的图纸以及其他数据、资料整合成能满足项目工程设计、施工、竣工试验和性能考核的要求。</w:t>
      </w:r>
    </w:p>
    <w:p w14:paraId="7A783A8A">
      <w:pPr>
        <w:keepNext w:val="0"/>
        <w:keepLines w:val="0"/>
        <w:pageBreakBefore w:val="0"/>
        <w:numPr>
          <w:ilvl w:val="2"/>
          <w:numId w:val="11"/>
        </w:numPr>
        <w:tabs>
          <w:tab w:val="left" w:pos="1134"/>
          <w:tab w:val="clear" w:pos="0"/>
        </w:tabs>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承包人保证具有完成工作所需要的经验和能力，并保证提供足够和称职的专业人员和其他人员，勤勉、谨慎地履行本合同。</w:t>
      </w:r>
    </w:p>
    <w:p w14:paraId="215DD472">
      <w:pPr>
        <w:keepNext w:val="0"/>
        <w:keepLines w:val="0"/>
        <w:pageBreakBefore w:val="0"/>
        <w:numPr>
          <w:ilvl w:val="2"/>
          <w:numId w:val="11"/>
        </w:numPr>
        <w:tabs>
          <w:tab w:val="left" w:pos="1134"/>
          <w:tab w:val="clear" w:pos="0"/>
        </w:tabs>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承包人应根据发包人的要求提供与工作有关的全部信息，包括但不限于和项目管理、工程设计、采购、施工、竣工试验和性能考核等有关的文件，以便发包人审查、建议或批准。</w:t>
      </w:r>
    </w:p>
    <w:p w14:paraId="5E433C73">
      <w:pPr>
        <w:keepNext w:val="0"/>
        <w:keepLines w:val="0"/>
        <w:pageBreakBefore w:val="0"/>
        <w:numPr>
          <w:ilvl w:val="2"/>
          <w:numId w:val="11"/>
        </w:numPr>
        <w:tabs>
          <w:tab w:val="left" w:pos="1134"/>
          <w:tab w:val="clear" w:pos="0"/>
        </w:tabs>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承包人保证本工程的设计、采购和施工按照良好的行业惯例和有关标准以及本合同的要求进行。如果有任何工作、服务或供货未在本合同所涉及的标准规范、图纸、附件或其它任何文件中明确提及，但却是承包人成功执行本合同所需要的，此服务或供货应被视为包括在本合同下承包人的工作范围内。</w:t>
      </w:r>
    </w:p>
    <w:p w14:paraId="05610FFB">
      <w:pPr>
        <w:keepNext w:val="0"/>
        <w:keepLines w:val="0"/>
        <w:pageBreakBefore w:val="0"/>
        <w:numPr>
          <w:ilvl w:val="2"/>
          <w:numId w:val="11"/>
        </w:numPr>
        <w:tabs>
          <w:tab w:val="left" w:pos="1134"/>
          <w:tab w:val="clear" w:pos="0"/>
        </w:tabs>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承包人保证任何未经许可的人员不得进入项目现场。</w:t>
      </w:r>
    </w:p>
    <w:p w14:paraId="3E370301">
      <w:pPr>
        <w:keepNext w:val="0"/>
        <w:keepLines w:val="0"/>
        <w:pageBreakBefore w:val="0"/>
        <w:numPr>
          <w:ilvl w:val="2"/>
          <w:numId w:val="11"/>
        </w:numPr>
        <w:tabs>
          <w:tab w:val="left" w:pos="1134"/>
          <w:tab w:val="clear" w:pos="0"/>
        </w:tabs>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承包人应采取施工安全措施，确保工程及其人员、材料、设备和设施的安全，防止因工程施工造成人身伤害和财产损失。</w:t>
      </w:r>
    </w:p>
    <w:p w14:paraId="4074F09B">
      <w:pPr>
        <w:keepNext w:val="0"/>
        <w:keepLines w:val="0"/>
        <w:pageBreakBefore w:val="0"/>
        <w:numPr>
          <w:ilvl w:val="2"/>
          <w:numId w:val="11"/>
        </w:numPr>
        <w:tabs>
          <w:tab w:val="left" w:pos="1134"/>
          <w:tab w:val="clear" w:pos="0"/>
        </w:tabs>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承包人应避免对公众与他人的利益造成损害，因此带来的责任由承包人承担。</w:t>
      </w:r>
    </w:p>
    <w:p w14:paraId="62D03D5B">
      <w:pPr>
        <w:keepNext w:val="0"/>
        <w:keepLines w:val="0"/>
        <w:pageBreakBefore w:val="0"/>
        <w:numPr>
          <w:ilvl w:val="2"/>
          <w:numId w:val="11"/>
        </w:numPr>
        <w:tabs>
          <w:tab w:val="left" w:pos="1134"/>
          <w:tab w:val="clear" w:pos="0"/>
        </w:tabs>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除本合同另有约定外，凡因承包人原因的暂停，造成承包人的费用增加由其自负，造成关键路径延误的应自费赶上，造成发包人损失的应予赔偿。</w:t>
      </w:r>
    </w:p>
    <w:p w14:paraId="777ED9B4">
      <w:pPr>
        <w:keepNext w:val="0"/>
        <w:keepLines w:val="0"/>
        <w:pageBreakBefore w:val="0"/>
        <w:numPr>
          <w:ilvl w:val="2"/>
          <w:numId w:val="11"/>
        </w:numPr>
        <w:tabs>
          <w:tab w:val="left" w:pos="1134"/>
          <w:tab w:val="clear" w:pos="0"/>
        </w:tabs>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其他情形由双方在专用条款中约定。</w:t>
      </w:r>
    </w:p>
    <w:p w14:paraId="34CAF14F">
      <w:pPr>
        <w:keepNext w:val="0"/>
        <w:keepLines w:val="0"/>
        <w:pageBreakBefore w:val="0"/>
        <w:widowControl w:val="0"/>
        <w:numPr>
          <w:ilvl w:val="1"/>
          <w:numId w:val="11"/>
        </w:numPr>
        <w:kinsoku/>
        <w:wordWrap/>
        <w:overflowPunct/>
        <w:topLinePunct w:val="0"/>
        <w:autoSpaceDE/>
        <w:autoSpaceDN/>
        <w:bidi w:val="0"/>
        <w:adjustRightInd/>
        <w:snapToGrid/>
        <w:spacing w:line="360" w:lineRule="auto"/>
        <w:ind w:left="632" w:leftChars="0" w:hanging="632" w:hangingChars="300"/>
        <w:textAlignment w:val="auto"/>
        <w:outlineLvl w:val="3"/>
        <w:rPr>
          <w:rFonts w:ascii="宋体" w:hAnsi="宋体"/>
          <w:b/>
          <w:color w:val="auto"/>
          <w:sz w:val="21"/>
          <w:szCs w:val="21"/>
          <w:highlight w:val="none"/>
        </w:rPr>
      </w:pPr>
      <w:bookmarkStart w:id="80" w:name="_Toc76719910"/>
      <w:r>
        <w:rPr>
          <w:rFonts w:hint="eastAsia" w:ascii="宋体" w:hAnsi="宋体"/>
          <w:b/>
          <w:color w:val="auto"/>
          <w:sz w:val="21"/>
          <w:szCs w:val="21"/>
          <w:highlight w:val="none"/>
        </w:rPr>
        <w:t>工程总承包项目经理（简称：项目经理，下同）</w:t>
      </w:r>
      <w:bookmarkEnd w:id="80"/>
    </w:p>
    <w:p w14:paraId="56983246">
      <w:pPr>
        <w:keepNext w:val="0"/>
        <w:keepLines w:val="0"/>
        <w:pageBreakBefore w:val="0"/>
        <w:numPr>
          <w:ilvl w:val="2"/>
          <w:numId w:val="11"/>
        </w:numPr>
        <w:tabs>
          <w:tab w:val="left" w:pos="1134"/>
          <w:tab w:val="clear" w:pos="0"/>
        </w:tabs>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工程总承包项目经理经授权并代表承包人负责履行本合同。工程总承包项目经理的姓名、职责和权限在专用条款中约定。工程总承包项目经理不得同时担任其他项目的工程总承包项目经理。工程总承包项目经理需离开项目现场须事先取得发包人同意，并指定一名有经验的人员临时代行其职责。承包人违反上述约定的，按照本专用条款的约定，承担违约责任。</w:t>
      </w:r>
    </w:p>
    <w:p w14:paraId="36E08BF7">
      <w:pPr>
        <w:keepNext w:val="0"/>
        <w:keepLines w:val="0"/>
        <w:pageBreakBefore w:val="0"/>
        <w:numPr>
          <w:ilvl w:val="2"/>
          <w:numId w:val="11"/>
        </w:numPr>
        <w:tabs>
          <w:tab w:val="left" w:pos="1134"/>
          <w:tab w:val="clear" w:pos="0"/>
        </w:tabs>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工程总承包项目经理按合同约定的项目进度计划，并按发包人代表或（和）工程总监依据合同发出的指令组织项目实施。在紧急情况下，且无法与发包人代表或（和）工程总监取得联系时，工程总承包项目经理有权采取必要的措施保证人身、工程和财产的安全，但须在事后</w:t>
      </w:r>
      <w:r>
        <w:rPr>
          <w:rFonts w:ascii="宋体" w:hAnsi="宋体"/>
          <w:color w:val="auto"/>
          <w:sz w:val="21"/>
          <w:szCs w:val="21"/>
          <w:highlight w:val="none"/>
        </w:rPr>
        <w:t>48</w:t>
      </w:r>
      <w:r>
        <w:rPr>
          <w:rFonts w:hint="eastAsia" w:ascii="宋体" w:hAnsi="宋体"/>
          <w:color w:val="auto"/>
          <w:sz w:val="21"/>
          <w:szCs w:val="21"/>
          <w:highlight w:val="none"/>
        </w:rPr>
        <w:t>小时内向发包人代表或（和）工程总监送交书面报告。</w:t>
      </w:r>
    </w:p>
    <w:p w14:paraId="47A3FA82">
      <w:pPr>
        <w:keepNext w:val="0"/>
        <w:keepLines w:val="0"/>
        <w:pageBreakBefore w:val="0"/>
        <w:numPr>
          <w:ilvl w:val="2"/>
          <w:numId w:val="11"/>
        </w:numPr>
        <w:tabs>
          <w:tab w:val="left" w:pos="1134"/>
          <w:tab w:val="clear" w:pos="0"/>
        </w:tabs>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承包人需更换工程总承包项目经理时</w:t>
      </w:r>
      <w:r>
        <w:rPr>
          <w:rFonts w:ascii="宋体" w:hAnsi="宋体"/>
          <w:color w:val="auto"/>
          <w:sz w:val="21"/>
          <w:szCs w:val="21"/>
          <w:highlight w:val="none"/>
        </w:rPr>
        <w:t>，</w:t>
      </w:r>
      <w:r>
        <w:rPr>
          <w:rFonts w:hint="eastAsia" w:ascii="宋体" w:hAnsi="宋体"/>
          <w:color w:val="auto"/>
          <w:sz w:val="21"/>
          <w:szCs w:val="21"/>
          <w:highlight w:val="none"/>
        </w:rPr>
        <w:t>提前</w:t>
      </w:r>
      <w:r>
        <w:rPr>
          <w:rFonts w:ascii="宋体" w:hAnsi="宋体"/>
          <w:color w:val="auto"/>
          <w:sz w:val="21"/>
          <w:szCs w:val="21"/>
          <w:highlight w:val="none"/>
        </w:rPr>
        <w:t>15</w:t>
      </w:r>
      <w:r>
        <w:rPr>
          <w:rFonts w:hint="eastAsia" w:ascii="宋体" w:hAnsi="宋体"/>
          <w:color w:val="auto"/>
          <w:sz w:val="21"/>
          <w:szCs w:val="21"/>
          <w:highlight w:val="none"/>
        </w:rPr>
        <w:t>天以书面形式通知发包人，并征得发包人的同意。继任的工程总承包项目经理须继续履行第</w:t>
      </w:r>
      <w:r>
        <w:rPr>
          <w:rFonts w:ascii="宋体" w:hAnsi="宋体"/>
          <w:color w:val="auto"/>
          <w:sz w:val="21"/>
          <w:szCs w:val="21"/>
          <w:highlight w:val="none"/>
        </w:rPr>
        <w:t>3.2.1</w:t>
      </w:r>
      <w:r>
        <w:rPr>
          <w:rFonts w:hint="eastAsia" w:ascii="宋体" w:hAnsi="宋体"/>
          <w:color w:val="auto"/>
          <w:sz w:val="21"/>
          <w:szCs w:val="21"/>
          <w:highlight w:val="none"/>
        </w:rPr>
        <w:t>款约定的职责和权限。承包人未经发包人同意擅自更换工程总承包项目经理的，按3.2.1款专用条款的约定</w:t>
      </w:r>
      <w:r>
        <w:rPr>
          <w:rFonts w:hint="eastAsia" w:ascii="宋体" w:hAnsi="宋体"/>
          <w:color w:val="auto"/>
          <w:sz w:val="21"/>
          <w:szCs w:val="21"/>
          <w:highlight w:val="none"/>
          <w:lang w:eastAsia="zh-CN"/>
        </w:rPr>
        <w:t>，</w:t>
      </w:r>
      <w:r>
        <w:rPr>
          <w:rFonts w:hint="eastAsia" w:ascii="宋体" w:hAnsi="宋体"/>
          <w:color w:val="auto"/>
          <w:sz w:val="21"/>
          <w:szCs w:val="21"/>
          <w:highlight w:val="none"/>
        </w:rPr>
        <w:t>承担违约责任。</w:t>
      </w:r>
    </w:p>
    <w:p w14:paraId="5FBC1156">
      <w:pPr>
        <w:keepNext w:val="0"/>
        <w:keepLines w:val="0"/>
        <w:pageBreakBefore w:val="0"/>
        <w:numPr>
          <w:ilvl w:val="2"/>
          <w:numId w:val="11"/>
        </w:numPr>
        <w:tabs>
          <w:tab w:val="left" w:pos="1134"/>
          <w:tab w:val="clear" w:pos="0"/>
        </w:tabs>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发包人有权以书面形式通知更换其认为不称职的工程总承包项目经理，承包人在接到更换通知后的15日内向发包人提出书面的改进报告。此后，发包人仍以书面形式通知更换时，承包人在接到第二次更换通知后的</w:t>
      </w:r>
      <w:r>
        <w:rPr>
          <w:rFonts w:ascii="宋体" w:hAnsi="宋体"/>
          <w:color w:val="auto"/>
          <w:sz w:val="21"/>
          <w:szCs w:val="21"/>
          <w:highlight w:val="none"/>
        </w:rPr>
        <w:t>30</w:t>
      </w:r>
      <w:r>
        <w:rPr>
          <w:rFonts w:hint="eastAsia" w:ascii="宋体" w:hAnsi="宋体"/>
          <w:color w:val="auto"/>
          <w:sz w:val="21"/>
          <w:szCs w:val="21"/>
          <w:highlight w:val="none"/>
        </w:rPr>
        <w:t>日内更换，并将新任命的工程总承包项目经理的姓名、简历以书面形式通知发包人。新任的工程总承包项目经理继续履行第</w:t>
      </w:r>
      <w:r>
        <w:rPr>
          <w:rFonts w:ascii="宋体" w:hAnsi="宋体"/>
          <w:color w:val="auto"/>
          <w:sz w:val="21"/>
          <w:szCs w:val="21"/>
          <w:highlight w:val="none"/>
        </w:rPr>
        <w:t>3.2.1</w:t>
      </w:r>
      <w:r>
        <w:rPr>
          <w:rFonts w:hint="eastAsia" w:ascii="宋体" w:hAnsi="宋体"/>
          <w:color w:val="auto"/>
          <w:sz w:val="21"/>
          <w:szCs w:val="21"/>
          <w:highlight w:val="none"/>
        </w:rPr>
        <w:t>款约定的权限。</w:t>
      </w:r>
    </w:p>
    <w:p w14:paraId="079765DC">
      <w:pPr>
        <w:keepNext w:val="0"/>
        <w:keepLines w:val="0"/>
        <w:pageBreakBefore w:val="0"/>
        <w:numPr>
          <w:ilvl w:val="2"/>
          <w:numId w:val="11"/>
        </w:numPr>
        <w:tabs>
          <w:tab w:val="left" w:pos="1134"/>
          <w:tab w:val="clear" w:pos="0"/>
        </w:tabs>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承包人应在与发包人签订本EPC总承包工程合同后的十日内到达项目所在地办公，并组建以工程总承包项目经理为首包括项目总工与施工管理人员的项目部，并提交发包人与监理（如有）审核。</w:t>
      </w:r>
    </w:p>
    <w:p w14:paraId="79E190EB">
      <w:pPr>
        <w:keepNext w:val="0"/>
        <w:keepLines w:val="0"/>
        <w:pageBreakBefore w:val="0"/>
        <w:widowControl w:val="0"/>
        <w:numPr>
          <w:ilvl w:val="1"/>
          <w:numId w:val="11"/>
        </w:numPr>
        <w:kinsoku/>
        <w:wordWrap/>
        <w:overflowPunct/>
        <w:topLinePunct w:val="0"/>
        <w:autoSpaceDE/>
        <w:autoSpaceDN/>
        <w:bidi w:val="0"/>
        <w:adjustRightInd/>
        <w:snapToGrid/>
        <w:spacing w:line="360" w:lineRule="auto"/>
        <w:ind w:left="632" w:leftChars="0" w:hanging="632" w:hangingChars="300"/>
        <w:textAlignment w:val="auto"/>
        <w:outlineLvl w:val="3"/>
        <w:rPr>
          <w:rFonts w:ascii="宋体" w:hAnsi="宋体"/>
          <w:color w:val="auto"/>
          <w:sz w:val="21"/>
          <w:szCs w:val="21"/>
          <w:highlight w:val="none"/>
        </w:rPr>
      </w:pPr>
      <w:bookmarkStart w:id="81" w:name="_Toc76719911"/>
      <w:r>
        <w:rPr>
          <w:rFonts w:hint="eastAsia" w:ascii="宋体" w:hAnsi="宋体"/>
          <w:b/>
          <w:color w:val="auto"/>
          <w:sz w:val="21"/>
          <w:szCs w:val="21"/>
          <w:highlight w:val="none"/>
        </w:rPr>
        <w:t>质量保证</w:t>
      </w:r>
      <w:bookmarkEnd w:id="81"/>
    </w:p>
    <w:p w14:paraId="715B8E3E">
      <w:pPr>
        <w:keepNext w:val="0"/>
        <w:keepLines w:val="0"/>
        <w:pageBreakBefore w:val="0"/>
        <w:numPr>
          <w:ilvl w:val="2"/>
          <w:numId w:val="11"/>
        </w:numPr>
        <w:tabs>
          <w:tab w:val="left" w:pos="1134"/>
          <w:tab w:val="clear" w:pos="0"/>
        </w:tabs>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质量保证体系。承包人质量保证体系认证证书，应在合同实施过程中保持持续有效，并建立本合同项下的质量保证体系。</w:t>
      </w:r>
    </w:p>
    <w:p w14:paraId="5631A22F">
      <w:pPr>
        <w:keepNext w:val="0"/>
        <w:keepLines w:val="0"/>
        <w:pageBreakBefore w:val="0"/>
        <w:numPr>
          <w:ilvl w:val="2"/>
          <w:numId w:val="11"/>
        </w:numPr>
        <w:tabs>
          <w:tab w:val="left" w:pos="1134"/>
          <w:tab w:val="clear" w:pos="0"/>
        </w:tabs>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实施过程的质量保证。承包人按合同约定的质量标准规范，确保设计、采购、加工制造、施工、竣工试验、竣工后试验和考核验收的质量。并遵照国家有关质量保修责任的规定，对工程进行保修。</w:t>
      </w:r>
    </w:p>
    <w:p w14:paraId="4071F595">
      <w:pPr>
        <w:keepNext w:val="0"/>
        <w:keepLines w:val="0"/>
        <w:pageBreakBefore w:val="0"/>
        <w:widowControl w:val="0"/>
        <w:numPr>
          <w:ilvl w:val="1"/>
          <w:numId w:val="11"/>
        </w:numPr>
        <w:kinsoku/>
        <w:wordWrap/>
        <w:overflowPunct/>
        <w:topLinePunct w:val="0"/>
        <w:autoSpaceDE/>
        <w:autoSpaceDN/>
        <w:bidi w:val="0"/>
        <w:adjustRightInd/>
        <w:snapToGrid/>
        <w:spacing w:line="360" w:lineRule="auto"/>
        <w:ind w:left="632" w:leftChars="0" w:hanging="632" w:hangingChars="300"/>
        <w:textAlignment w:val="auto"/>
        <w:outlineLvl w:val="3"/>
        <w:rPr>
          <w:rFonts w:ascii="宋体" w:hAnsi="宋体"/>
          <w:b/>
          <w:color w:val="auto"/>
          <w:sz w:val="21"/>
          <w:szCs w:val="21"/>
          <w:highlight w:val="none"/>
        </w:rPr>
      </w:pPr>
      <w:bookmarkStart w:id="82" w:name="_Toc76719912"/>
      <w:r>
        <w:rPr>
          <w:rFonts w:hint="eastAsia" w:ascii="宋体" w:hAnsi="宋体"/>
          <w:b/>
          <w:color w:val="auto"/>
          <w:sz w:val="21"/>
          <w:szCs w:val="21"/>
          <w:highlight w:val="none"/>
        </w:rPr>
        <w:t>安全保证</w:t>
      </w:r>
      <w:bookmarkEnd w:id="82"/>
    </w:p>
    <w:p w14:paraId="165A7BC9">
      <w:pPr>
        <w:keepNext w:val="0"/>
        <w:keepLines w:val="0"/>
        <w:pageBreakBefore w:val="0"/>
        <w:numPr>
          <w:ilvl w:val="2"/>
          <w:numId w:val="11"/>
        </w:numPr>
        <w:tabs>
          <w:tab w:val="left" w:pos="1134"/>
          <w:tab w:val="clear" w:pos="0"/>
        </w:tabs>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承包人应遵守本项目的《安全协议》，同时要求并监督所有分包人和供应商共同遵守。</w:t>
      </w:r>
    </w:p>
    <w:p w14:paraId="39AE2138">
      <w:pPr>
        <w:keepNext w:val="0"/>
        <w:keepLines w:val="0"/>
        <w:pageBreakBefore w:val="0"/>
        <w:numPr>
          <w:ilvl w:val="2"/>
          <w:numId w:val="11"/>
        </w:numPr>
        <w:tabs>
          <w:tab w:val="left" w:pos="1134"/>
          <w:tab w:val="clear" w:pos="0"/>
        </w:tabs>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工程安全性能。承包人按合同约定，并遵照建设工程设计管理条例、建设工程质量管理条例及有关安全生产的法律规定，进行设计、采购、施工、竣工试验，保证工程的安全性能。</w:t>
      </w:r>
    </w:p>
    <w:p w14:paraId="2B52BE82">
      <w:pPr>
        <w:keepNext w:val="0"/>
        <w:keepLines w:val="0"/>
        <w:pageBreakBefore w:val="0"/>
        <w:numPr>
          <w:ilvl w:val="2"/>
          <w:numId w:val="11"/>
        </w:numPr>
        <w:tabs>
          <w:tab w:val="left" w:pos="1134"/>
          <w:tab w:val="clear" w:pos="0"/>
        </w:tabs>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现场安全施工和环境安全。承包人遵守7.8款健康、安全和环境的约定。</w:t>
      </w:r>
    </w:p>
    <w:p w14:paraId="7D0C6068">
      <w:pPr>
        <w:keepNext w:val="0"/>
        <w:keepLines w:val="0"/>
        <w:pageBreakBefore w:val="0"/>
        <w:numPr>
          <w:ilvl w:val="2"/>
          <w:numId w:val="11"/>
        </w:numPr>
        <w:tabs>
          <w:tab w:val="left" w:pos="1134"/>
          <w:tab w:val="clear" w:pos="0"/>
        </w:tabs>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承包人负责施工现场周围的地下、地上已有设施和邻近建筑物、构筑物、古树名木、文物及坟墓等的安全保护工作，并按相关部门的要求进行处理，维护现场周围的正常秩序，并承担相关费用。</w:t>
      </w:r>
    </w:p>
    <w:p w14:paraId="1D846023">
      <w:pPr>
        <w:keepNext w:val="0"/>
        <w:keepLines w:val="0"/>
        <w:pageBreakBefore w:val="0"/>
        <w:widowControl w:val="0"/>
        <w:numPr>
          <w:ilvl w:val="1"/>
          <w:numId w:val="11"/>
        </w:numPr>
        <w:kinsoku/>
        <w:wordWrap/>
        <w:overflowPunct/>
        <w:topLinePunct w:val="0"/>
        <w:autoSpaceDE/>
        <w:autoSpaceDN/>
        <w:bidi w:val="0"/>
        <w:adjustRightInd/>
        <w:snapToGrid/>
        <w:spacing w:line="360" w:lineRule="auto"/>
        <w:ind w:left="632" w:leftChars="0" w:hanging="632" w:hangingChars="300"/>
        <w:textAlignment w:val="auto"/>
        <w:outlineLvl w:val="3"/>
        <w:rPr>
          <w:rFonts w:ascii="宋体" w:hAnsi="宋体"/>
          <w:b/>
          <w:color w:val="auto"/>
          <w:sz w:val="21"/>
          <w:szCs w:val="21"/>
          <w:highlight w:val="none"/>
        </w:rPr>
      </w:pPr>
      <w:bookmarkStart w:id="83" w:name="_Toc76719913"/>
      <w:r>
        <w:rPr>
          <w:rFonts w:hint="eastAsia" w:ascii="宋体" w:hAnsi="宋体"/>
          <w:b/>
          <w:color w:val="auto"/>
          <w:sz w:val="21"/>
          <w:szCs w:val="21"/>
          <w:highlight w:val="none"/>
        </w:rPr>
        <w:t>职业健康和环境保护保证</w:t>
      </w:r>
      <w:bookmarkEnd w:id="83"/>
    </w:p>
    <w:p w14:paraId="3FD8BC62">
      <w:pPr>
        <w:keepNext w:val="0"/>
        <w:keepLines w:val="0"/>
        <w:pageBreakBefore w:val="0"/>
        <w:numPr>
          <w:ilvl w:val="2"/>
          <w:numId w:val="11"/>
        </w:numPr>
        <w:tabs>
          <w:tab w:val="left" w:pos="1134"/>
          <w:tab w:val="clear" w:pos="0"/>
        </w:tabs>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工程设计。</w:t>
      </w:r>
      <w:r>
        <w:rPr>
          <w:rFonts w:ascii="宋体" w:hAnsi="宋体"/>
          <w:color w:val="auto"/>
          <w:sz w:val="21"/>
          <w:szCs w:val="21"/>
          <w:highlight w:val="none"/>
        </w:rPr>
        <w:t>承包人按合同约定，并遵照</w:t>
      </w:r>
      <w:r>
        <w:rPr>
          <w:rFonts w:hint="eastAsia" w:ascii="宋体" w:hAnsi="宋体"/>
          <w:color w:val="auto"/>
          <w:sz w:val="21"/>
          <w:szCs w:val="21"/>
          <w:highlight w:val="none"/>
        </w:rPr>
        <w:t>《建设工程勘察设计管理条例》、《建设工程环境保护条例》及其它相关的法律规定</w:t>
      </w:r>
      <w:r>
        <w:rPr>
          <w:rFonts w:ascii="宋体" w:hAnsi="宋体"/>
          <w:color w:val="auto"/>
          <w:sz w:val="21"/>
          <w:szCs w:val="21"/>
          <w:highlight w:val="none"/>
        </w:rPr>
        <w:t>进行工程的环境保护设计及职业健康保护设计，保证工程符合环境保护和职业健康的法律规定。</w:t>
      </w:r>
    </w:p>
    <w:p w14:paraId="5BF21147">
      <w:pPr>
        <w:keepNext w:val="0"/>
        <w:keepLines w:val="0"/>
        <w:pageBreakBefore w:val="0"/>
        <w:numPr>
          <w:ilvl w:val="2"/>
          <w:numId w:val="11"/>
        </w:numPr>
        <w:tabs>
          <w:tab w:val="left" w:pos="1134"/>
          <w:tab w:val="clear" w:pos="0"/>
        </w:tabs>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现场职业健康和环境保护。承包人遵守7.8款健康、安全和环境的约定。</w:t>
      </w:r>
    </w:p>
    <w:p w14:paraId="27855930">
      <w:pPr>
        <w:keepNext w:val="0"/>
        <w:keepLines w:val="0"/>
        <w:pageBreakBefore w:val="0"/>
        <w:widowControl w:val="0"/>
        <w:numPr>
          <w:ilvl w:val="1"/>
          <w:numId w:val="11"/>
        </w:numPr>
        <w:kinsoku/>
        <w:wordWrap/>
        <w:overflowPunct/>
        <w:topLinePunct w:val="0"/>
        <w:autoSpaceDE/>
        <w:autoSpaceDN/>
        <w:bidi w:val="0"/>
        <w:adjustRightInd/>
        <w:snapToGrid/>
        <w:spacing w:line="360" w:lineRule="auto"/>
        <w:ind w:left="632" w:leftChars="0" w:hanging="632" w:hangingChars="300"/>
        <w:textAlignment w:val="auto"/>
        <w:outlineLvl w:val="3"/>
        <w:rPr>
          <w:rFonts w:ascii="宋体" w:hAnsi="宋体"/>
          <w:b/>
          <w:color w:val="auto"/>
          <w:sz w:val="21"/>
          <w:szCs w:val="21"/>
          <w:highlight w:val="none"/>
        </w:rPr>
      </w:pPr>
      <w:bookmarkStart w:id="84" w:name="_Toc76719914"/>
      <w:r>
        <w:rPr>
          <w:rFonts w:hint="eastAsia" w:ascii="宋体" w:hAnsi="宋体"/>
          <w:b/>
          <w:color w:val="auto"/>
          <w:sz w:val="21"/>
          <w:szCs w:val="21"/>
          <w:highlight w:val="none"/>
        </w:rPr>
        <w:t>进度保证</w:t>
      </w:r>
      <w:bookmarkEnd w:id="84"/>
    </w:p>
    <w:p w14:paraId="734789E2">
      <w:pPr>
        <w:keepNext w:val="0"/>
        <w:keepLines w:val="0"/>
        <w:pageBreakBefore w:val="0"/>
        <w:kinsoku/>
        <w:wordWrap/>
        <w:overflowPunct/>
        <w:topLinePunct w:val="0"/>
        <w:autoSpaceDE/>
        <w:autoSpaceDN/>
        <w:bidi w:val="0"/>
        <w:spacing w:line="360" w:lineRule="auto"/>
        <w:ind w:left="630" w:leftChars="300" w:firstLine="0" w:firstLineChars="0"/>
        <w:textAlignment w:val="auto"/>
        <w:rPr>
          <w:rFonts w:ascii="宋体" w:hAnsi="宋体"/>
          <w:color w:val="auto"/>
          <w:sz w:val="21"/>
          <w:szCs w:val="21"/>
          <w:highlight w:val="none"/>
        </w:rPr>
      </w:pPr>
      <w:r>
        <w:rPr>
          <w:rFonts w:hint="eastAsia" w:ascii="宋体" w:hAnsi="宋体"/>
          <w:color w:val="auto"/>
          <w:sz w:val="21"/>
          <w:szCs w:val="21"/>
          <w:highlight w:val="none"/>
        </w:rPr>
        <w:t>承包人按4.1款约定的项目进度计划，合理有序地组织设计、采购、施工、竣工试验和竣工后试验需要的各类资源，以及派出有经验的竣工后试验的指导人员，采用有效的实施方法和组织措施，保证项目进度计划的实现。</w:t>
      </w:r>
    </w:p>
    <w:p w14:paraId="7A877EB0">
      <w:pPr>
        <w:keepNext w:val="0"/>
        <w:keepLines w:val="0"/>
        <w:pageBreakBefore w:val="0"/>
        <w:widowControl w:val="0"/>
        <w:numPr>
          <w:ilvl w:val="1"/>
          <w:numId w:val="11"/>
        </w:numPr>
        <w:kinsoku/>
        <w:wordWrap/>
        <w:overflowPunct/>
        <w:topLinePunct w:val="0"/>
        <w:autoSpaceDE/>
        <w:autoSpaceDN/>
        <w:bidi w:val="0"/>
        <w:adjustRightInd/>
        <w:snapToGrid/>
        <w:spacing w:line="360" w:lineRule="auto"/>
        <w:ind w:left="632" w:leftChars="0" w:hanging="632" w:hangingChars="300"/>
        <w:textAlignment w:val="auto"/>
        <w:outlineLvl w:val="3"/>
        <w:rPr>
          <w:rFonts w:ascii="宋体" w:hAnsi="宋体"/>
          <w:b/>
          <w:color w:val="auto"/>
          <w:sz w:val="21"/>
          <w:szCs w:val="21"/>
          <w:highlight w:val="none"/>
        </w:rPr>
      </w:pPr>
      <w:bookmarkStart w:id="85" w:name="_Toc76719915"/>
      <w:r>
        <w:rPr>
          <w:rFonts w:hint="eastAsia" w:ascii="宋体" w:hAnsi="宋体"/>
          <w:b/>
          <w:color w:val="auto"/>
          <w:sz w:val="21"/>
          <w:szCs w:val="21"/>
          <w:highlight w:val="none"/>
        </w:rPr>
        <w:t>现场保安</w:t>
      </w:r>
      <w:bookmarkEnd w:id="85"/>
    </w:p>
    <w:p w14:paraId="63E1581D">
      <w:pPr>
        <w:keepNext w:val="0"/>
        <w:keepLines w:val="0"/>
        <w:pageBreakBefore w:val="0"/>
        <w:widowControl w:val="0"/>
        <w:kinsoku/>
        <w:wordWrap/>
        <w:overflowPunct/>
        <w:topLinePunct w:val="0"/>
        <w:autoSpaceDE/>
        <w:autoSpaceDN/>
        <w:bidi w:val="0"/>
        <w:adjustRightInd/>
        <w:snapToGrid/>
        <w:spacing w:line="360" w:lineRule="auto"/>
        <w:ind w:left="630" w:leftChars="300" w:firstLine="0" w:firstLineChars="0"/>
        <w:textAlignment w:val="auto"/>
        <w:rPr>
          <w:rFonts w:ascii="宋体" w:hAnsi="宋体"/>
          <w:color w:val="auto"/>
          <w:sz w:val="21"/>
          <w:szCs w:val="21"/>
          <w:highlight w:val="none"/>
        </w:rPr>
      </w:pPr>
      <w:r>
        <w:rPr>
          <w:rFonts w:hint="eastAsia" w:ascii="宋体" w:hAnsi="宋体"/>
          <w:color w:val="auto"/>
          <w:sz w:val="21"/>
          <w:szCs w:val="21"/>
          <w:highlight w:val="none"/>
        </w:rPr>
        <w:t>承包人承担其进入现场、施工开工至发包人接收单项工程或（和）工程之前的现场保安责任（含承包人的预制加工场地、办公及生活营区），并负责编制相关的保安制度、责任制度和报告制度，提交给发包人。</w:t>
      </w:r>
    </w:p>
    <w:p w14:paraId="0EE44BE7">
      <w:pPr>
        <w:keepNext w:val="0"/>
        <w:keepLines w:val="0"/>
        <w:pageBreakBefore w:val="0"/>
        <w:widowControl w:val="0"/>
        <w:numPr>
          <w:ilvl w:val="1"/>
          <w:numId w:val="11"/>
        </w:numPr>
        <w:kinsoku/>
        <w:wordWrap/>
        <w:overflowPunct/>
        <w:topLinePunct w:val="0"/>
        <w:autoSpaceDE/>
        <w:autoSpaceDN/>
        <w:bidi w:val="0"/>
        <w:adjustRightInd/>
        <w:snapToGrid/>
        <w:spacing w:line="360" w:lineRule="auto"/>
        <w:ind w:left="632" w:leftChars="0" w:hanging="632" w:hangingChars="300"/>
        <w:textAlignment w:val="auto"/>
        <w:outlineLvl w:val="3"/>
        <w:rPr>
          <w:rFonts w:ascii="宋体" w:hAnsi="宋体"/>
          <w:b/>
          <w:color w:val="auto"/>
          <w:sz w:val="21"/>
          <w:szCs w:val="21"/>
          <w:highlight w:val="none"/>
        </w:rPr>
      </w:pPr>
      <w:bookmarkStart w:id="86" w:name="_Toc76719916"/>
      <w:r>
        <w:rPr>
          <w:rFonts w:hint="eastAsia" w:ascii="宋体" w:hAnsi="宋体" w:eastAsia="宋体" w:cs="Times New Roman"/>
          <w:b/>
          <w:color w:val="auto"/>
          <w:sz w:val="21"/>
          <w:szCs w:val="21"/>
          <w:highlight w:val="none"/>
        </w:rPr>
        <w:t>分包</w:t>
      </w:r>
      <w:bookmarkEnd w:id="86"/>
    </w:p>
    <w:p w14:paraId="1DBC86EA">
      <w:pPr>
        <w:keepNext w:val="0"/>
        <w:keepLines w:val="0"/>
        <w:pageBreakBefore w:val="0"/>
        <w:numPr>
          <w:ilvl w:val="2"/>
          <w:numId w:val="11"/>
        </w:numPr>
        <w:tabs>
          <w:tab w:val="left" w:pos="1134"/>
          <w:tab w:val="clear" w:pos="0"/>
        </w:tabs>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分包约定。承包人只能对专用条款约定列出的分包事项（含设计、采购、施工、竣工试验等），进行分包招标。</w:t>
      </w:r>
    </w:p>
    <w:p w14:paraId="1306E0BB">
      <w:pPr>
        <w:keepNext w:val="0"/>
        <w:keepLines w:val="0"/>
        <w:pageBreakBefore w:val="0"/>
        <w:widowControl w:val="0"/>
        <w:kinsoku/>
        <w:wordWrap/>
        <w:overflowPunct/>
        <w:topLinePunct w:val="0"/>
        <w:autoSpaceDE/>
        <w:autoSpaceDN/>
        <w:bidi w:val="0"/>
        <w:adjustRightInd/>
        <w:snapToGrid/>
        <w:spacing w:line="360" w:lineRule="auto"/>
        <w:ind w:left="630" w:leftChars="300" w:firstLine="0" w:firstLineChars="0"/>
        <w:textAlignment w:val="auto"/>
        <w:rPr>
          <w:rFonts w:ascii="宋体" w:hAnsi="宋体"/>
          <w:color w:val="auto"/>
          <w:sz w:val="21"/>
          <w:szCs w:val="21"/>
          <w:highlight w:val="none"/>
        </w:rPr>
      </w:pPr>
      <w:r>
        <w:rPr>
          <w:rFonts w:hint="eastAsia" w:ascii="宋体" w:hAnsi="宋体"/>
          <w:color w:val="auto"/>
          <w:sz w:val="21"/>
          <w:szCs w:val="21"/>
          <w:highlight w:val="none"/>
        </w:rPr>
        <w:t>本专用条款未列出的分包事项，承包人可在工程实施阶段分期提交，发包人在接到分包事项后，予以批准或提出意见。</w:t>
      </w:r>
    </w:p>
    <w:p w14:paraId="68D6A93A">
      <w:pPr>
        <w:keepNext w:val="0"/>
        <w:keepLines w:val="0"/>
        <w:pageBreakBefore w:val="0"/>
        <w:numPr>
          <w:ilvl w:val="2"/>
          <w:numId w:val="11"/>
        </w:numPr>
        <w:tabs>
          <w:tab w:val="left" w:pos="1134"/>
          <w:tab w:val="clear" w:pos="0"/>
        </w:tabs>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分包人资质。符合国家法律规定的企业资质等级的分包人，方能选择为分包人。</w:t>
      </w:r>
    </w:p>
    <w:p w14:paraId="75AB2376">
      <w:pPr>
        <w:keepNext w:val="0"/>
        <w:keepLines w:val="0"/>
        <w:pageBreakBefore w:val="0"/>
        <w:numPr>
          <w:ilvl w:val="2"/>
          <w:numId w:val="11"/>
        </w:numPr>
        <w:tabs>
          <w:tab w:val="left" w:pos="1134"/>
          <w:tab w:val="clear" w:pos="0"/>
        </w:tabs>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ascii="宋体" w:hAnsi="宋体"/>
          <w:color w:val="auto"/>
          <w:sz w:val="21"/>
          <w:szCs w:val="21"/>
          <w:highlight w:val="none"/>
        </w:rPr>
        <w:t>承包人不得</w:t>
      </w:r>
      <w:r>
        <w:rPr>
          <w:rFonts w:hint="eastAsia" w:ascii="宋体" w:hAnsi="宋体"/>
          <w:color w:val="auto"/>
          <w:sz w:val="21"/>
          <w:szCs w:val="21"/>
          <w:highlight w:val="none"/>
        </w:rPr>
        <w:t>以肢解的方式</w:t>
      </w:r>
      <w:r>
        <w:rPr>
          <w:rFonts w:ascii="宋体" w:hAnsi="宋体"/>
          <w:color w:val="auto"/>
          <w:sz w:val="21"/>
          <w:szCs w:val="21"/>
          <w:highlight w:val="none"/>
        </w:rPr>
        <w:t>将承包的全部工程</w:t>
      </w:r>
      <w:r>
        <w:rPr>
          <w:rFonts w:hint="eastAsia" w:ascii="宋体" w:hAnsi="宋体"/>
          <w:color w:val="auto"/>
          <w:sz w:val="21"/>
          <w:szCs w:val="21"/>
          <w:highlight w:val="none"/>
        </w:rPr>
        <w:t>对外分包，也不得将承包的工程全部转包</w:t>
      </w:r>
      <w:r>
        <w:rPr>
          <w:rFonts w:ascii="宋体" w:hAnsi="宋体"/>
          <w:color w:val="auto"/>
          <w:sz w:val="21"/>
          <w:szCs w:val="21"/>
          <w:highlight w:val="none"/>
        </w:rPr>
        <w:t>。</w:t>
      </w:r>
    </w:p>
    <w:p w14:paraId="1D303EE0">
      <w:pPr>
        <w:keepNext w:val="0"/>
        <w:keepLines w:val="0"/>
        <w:pageBreakBefore w:val="0"/>
        <w:numPr>
          <w:ilvl w:val="2"/>
          <w:numId w:val="11"/>
        </w:numPr>
        <w:tabs>
          <w:tab w:val="left" w:pos="1134"/>
          <w:tab w:val="clear" w:pos="0"/>
        </w:tabs>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分包人不得将其分包的设计、施工和货物采购对外转包，分包人不得再分包。</w:t>
      </w:r>
    </w:p>
    <w:p w14:paraId="7A612014">
      <w:pPr>
        <w:keepNext w:val="0"/>
        <w:keepLines w:val="0"/>
        <w:pageBreakBefore w:val="0"/>
        <w:numPr>
          <w:ilvl w:val="2"/>
          <w:numId w:val="11"/>
        </w:numPr>
        <w:tabs>
          <w:tab w:val="left" w:pos="1134"/>
          <w:tab w:val="clear" w:pos="0"/>
        </w:tabs>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对分包人的付款。承包人应按分包合同约定，按时支付分包人进度款。除非发生专用条款约定或法律规定的情况，未经承包人同意，发包人不得以任何形式向分包人支付任何款项。</w:t>
      </w:r>
    </w:p>
    <w:p w14:paraId="051566B6">
      <w:pPr>
        <w:keepNext w:val="0"/>
        <w:keepLines w:val="0"/>
        <w:pageBreakBefore w:val="0"/>
        <w:numPr>
          <w:ilvl w:val="2"/>
          <w:numId w:val="11"/>
        </w:numPr>
        <w:tabs>
          <w:tab w:val="left" w:pos="1134"/>
          <w:tab w:val="clear" w:pos="0"/>
        </w:tabs>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承包人对分包人负责。因分包人的任何违约行为、管理不善、疏忽或其他过错导致工程质量出现缺陷，给发包人造成损失或导致竣工日期延误的，承包人对分包人负责，承包人和分包人就分包工程对发包人承担连带责任。</w:t>
      </w:r>
    </w:p>
    <w:p w14:paraId="54174D3C">
      <w:pPr>
        <w:keepNext w:val="0"/>
        <w:keepLines w:val="0"/>
        <w:pageBreakBefore w:val="0"/>
        <w:numPr>
          <w:ilvl w:val="0"/>
          <w:numId w:val="11"/>
        </w:numPr>
        <w:kinsoku/>
        <w:wordWrap/>
        <w:overflowPunct/>
        <w:topLinePunct w:val="0"/>
        <w:autoSpaceDE/>
        <w:autoSpaceDN/>
        <w:bidi w:val="0"/>
        <w:spacing w:line="360" w:lineRule="auto"/>
        <w:ind w:left="632" w:leftChars="0" w:hanging="632" w:hangingChars="300"/>
        <w:textAlignment w:val="auto"/>
        <w:outlineLvl w:val="2"/>
        <w:rPr>
          <w:rFonts w:ascii="宋体" w:hAnsi="宋体"/>
          <w:b/>
          <w:color w:val="auto"/>
          <w:sz w:val="21"/>
          <w:szCs w:val="21"/>
          <w:highlight w:val="none"/>
        </w:rPr>
      </w:pPr>
      <w:bookmarkStart w:id="87" w:name="_Toc76719917"/>
      <w:bookmarkStart w:id="88" w:name="_Toc80633154"/>
      <w:bookmarkStart w:id="89" w:name="_Toc363718996"/>
      <w:r>
        <w:rPr>
          <w:rFonts w:hint="eastAsia" w:ascii="宋体" w:hAnsi="宋体"/>
          <w:b/>
          <w:color w:val="auto"/>
          <w:sz w:val="21"/>
          <w:szCs w:val="21"/>
          <w:highlight w:val="none"/>
        </w:rPr>
        <w:t>进度计划、延误和暂停</w:t>
      </w:r>
      <w:bookmarkEnd w:id="87"/>
      <w:bookmarkEnd w:id="88"/>
      <w:bookmarkEnd w:id="89"/>
    </w:p>
    <w:p w14:paraId="726BCF82">
      <w:pPr>
        <w:keepNext w:val="0"/>
        <w:keepLines w:val="0"/>
        <w:pageBreakBefore w:val="0"/>
        <w:widowControl w:val="0"/>
        <w:numPr>
          <w:ilvl w:val="1"/>
          <w:numId w:val="11"/>
        </w:numPr>
        <w:kinsoku/>
        <w:wordWrap/>
        <w:overflowPunct/>
        <w:topLinePunct w:val="0"/>
        <w:autoSpaceDE/>
        <w:autoSpaceDN/>
        <w:bidi w:val="0"/>
        <w:adjustRightInd/>
        <w:snapToGrid/>
        <w:spacing w:line="360" w:lineRule="auto"/>
        <w:ind w:left="632" w:leftChars="0" w:hanging="632" w:hangingChars="300"/>
        <w:textAlignment w:val="auto"/>
        <w:outlineLvl w:val="3"/>
        <w:rPr>
          <w:rFonts w:ascii="宋体" w:hAnsi="宋体"/>
          <w:b/>
          <w:color w:val="auto"/>
          <w:sz w:val="21"/>
          <w:szCs w:val="21"/>
          <w:highlight w:val="none"/>
        </w:rPr>
      </w:pPr>
      <w:bookmarkStart w:id="90" w:name="_Toc76719918"/>
      <w:r>
        <w:rPr>
          <w:rFonts w:hint="eastAsia" w:ascii="宋体" w:hAnsi="宋体"/>
          <w:b/>
          <w:color w:val="auto"/>
          <w:sz w:val="21"/>
          <w:szCs w:val="21"/>
          <w:highlight w:val="none"/>
        </w:rPr>
        <w:t>项目进度计划</w:t>
      </w:r>
      <w:bookmarkEnd w:id="90"/>
    </w:p>
    <w:p w14:paraId="068F792C">
      <w:pPr>
        <w:keepNext w:val="0"/>
        <w:keepLines w:val="0"/>
        <w:pageBreakBefore w:val="0"/>
        <w:numPr>
          <w:ilvl w:val="2"/>
          <w:numId w:val="11"/>
        </w:numPr>
        <w:tabs>
          <w:tab w:val="left" w:pos="1134"/>
          <w:tab w:val="clear" w:pos="0"/>
        </w:tabs>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项目进度计划。承包人编制的项目进度计划，其中施工期限须符合合同协议书的约定。经发包人批准后实施。发包人的批准并不能减轻或免除承包人的合同责任。承包人提交项目进度计划的份数和时间在专用条款约定。</w:t>
      </w:r>
    </w:p>
    <w:p w14:paraId="79295A4D">
      <w:pPr>
        <w:keepNext w:val="0"/>
        <w:keepLines w:val="0"/>
        <w:pageBreakBefore w:val="0"/>
        <w:numPr>
          <w:ilvl w:val="2"/>
          <w:numId w:val="11"/>
        </w:numPr>
        <w:tabs>
          <w:tab w:val="left" w:pos="1134"/>
          <w:tab w:val="clear" w:pos="0"/>
        </w:tabs>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自费赶上项目进度计划。因承包人原因使工程实际进度明显落后于项目进度计划时，承包人有义务、发包人也有权利要求承包人自费采取措施，赶上项目进度计划。</w:t>
      </w:r>
    </w:p>
    <w:p w14:paraId="7D61C478">
      <w:pPr>
        <w:keepNext w:val="0"/>
        <w:keepLines w:val="0"/>
        <w:pageBreakBefore w:val="0"/>
        <w:numPr>
          <w:ilvl w:val="2"/>
          <w:numId w:val="11"/>
        </w:numPr>
        <w:tabs>
          <w:tab w:val="left" w:pos="1134"/>
          <w:tab w:val="clear" w:pos="0"/>
        </w:tabs>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发包人的赶工要求。合同实施过程中发包人书面提出加快设计、采购、施工、竣工试验的赶工要求，并被承包人接受时，承包人提交赶工方案，采取赶工措施。</w:t>
      </w:r>
    </w:p>
    <w:p w14:paraId="6B81279B">
      <w:pPr>
        <w:keepNext w:val="0"/>
        <w:keepLines w:val="0"/>
        <w:pageBreakBefore w:val="0"/>
        <w:widowControl w:val="0"/>
        <w:numPr>
          <w:ilvl w:val="1"/>
          <w:numId w:val="11"/>
        </w:numPr>
        <w:kinsoku/>
        <w:wordWrap/>
        <w:overflowPunct/>
        <w:topLinePunct w:val="0"/>
        <w:autoSpaceDE/>
        <w:autoSpaceDN/>
        <w:bidi w:val="0"/>
        <w:adjustRightInd/>
        <w:snapToGrid/>
        <w:spacing w:line="360" w:lineRule="auto"/>
        <w:ind w:left="632" w:leftChars="0" w:hanging="632" w:hangingChars="300"/>
        <w:textAlignment w:val="auto"/>
        <w:outlineLvl w:val="3"/>
        <w:rPr>
          <w:rFonts w:ascii="宋体" w:hAnsi="宋体"/>
          <w:b/>
          <w:color w:val="auto"/>
          <w:sz w:val="21"/>
          <w:szCs w:val="21"/>
          <w:highlight w:val="none"/>
        </w:rPr>
      </w:pPr>
      <w:bookmarkStart w:id="91" w:name="_Toc76719919"/>
      <w:r>
        <w:rPr>
          <w:rFonts w:hint="eastAsia" w:ascii="宋体" w:hAnsi="宋体"/>
          <w:b/>
          <w:color w:val="auto"/>
          <w:sz w:val="21"/>
          <w:szCs w:val="21"/>
          <w:highlight w:val="none"/>
        </w:rPr>
        <w:t>设计进度计划</w:t>
      </w:r>
      <w:bookmarkEnd w:id="91"/>
    </w:p>
    <w:p w14:paraId="2E730ABE">
      <w:pPr>
        <w:keepNext w:val="0"/>
        <w:keepLines w:val="0"/>
        <w:pageBreakBefore w:val="0"/>
        <w:numPr>
          <w:ilvl w:val="2"/>
          <w:numId w:val="11"/>
        </w:numPr>
        <w:tabs>
          <w:tab w:val="left" w:pos="1134"/>
          <w:tab w:val="clear" w:pos="0"/>
        </w:tabs>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设计进度计划。承包人根据批准的项目进度计划和5.3.1款约定的设计审查阶段及发包人组织的设计阶段审查会议的时间安排，编制设计进度计划。设计进度计划经发包人认可后执行。发包人的认可并不能减轻或免除承包人的合同责任。</w:t>
      </w:r>
    </w:p>
    <w:p w14:paraId="0320B065">
      <w:pPr>
        <w:keepNext w:val="0"/>
        <w:keepLines w:val="0"/>
        <w:pageBreakBefore w:val="0"/>
        <w:numPr>
          <w:ilvl w:val="2"/>
          <w:numId w:val="11"/>
        </w:numPr>
        <w:tabs>
          <w:tab w:val="left" w:pos="1134"/>
          <w:tab w:val="clear" w:pos="0"/>
        </w:tabs>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设计审查日期的延误。因承包人原因，未能按约定的时间安排提交相关阶段的设计文件、或提交的相关设计文件不符合相关审核阶段的设计深度时，造成设计审查会议延误的，依据</w:t>
      </w:r>
      <w:r>
        <w:rPr>
          <w:rFonts w:ascii="宋体" w:hAnsi="宋体"/>
          <w:color w:val="auto"/>
          <w:sz w:val="21"/>
          <w:szCs w:val="21"/>
          <w:highlight w:val="none"/>
        </w:rPr>
        <w:t>4.1.2</w:t>
      </w:r>
      <w:r>
        <w:rPr>
          <w:rFonts w:hint="eastAsia" w:ascii="宋体" w:hAnsi="宋体"/>
          <w:color w:val="auto"/>
          <w:sz w:val="21"/>
          <w:szCs w:val="21"/>
          <w:highlight w:val="none"/>
        </w:rPr>
        <w:t>款的约定，承包人自费采取措施并赶上。造成竣工日期延误，或给发包人造成审核会议准备的经济损失，均由承包人承担。</w:t>
      </w:r>
    </w:p>
    <w:p w14:paraId="748BA69C">
      <w:pPr>
        <w:keepNext w:val="0"/>
        <w:keepLines w:val="0"/>
        <w:pageBreakBefore w:val="0"/>
        <w:widowControl w:val="0"/>
        <w:numPr>
          <w:ilvl w:val="1"/>
          <w:numId w:val="11"/>
        </w:numPr>
        <w:kinsoku/>
        <w:wordWrap/>
        <w:overflowPunct/>
        <w:topLinePunct w:val="0"/>
        <w:autoSpaceDE/>
        <w:autoSpaceDN/>
        <w:bidi w:val="0"/>
        <w:adjustRightInd/>
        <w:snapToGrid/>
        <w:spacing w:line="360" w:lineRule="auto"/>
        <w:ind w:left="632" w:leftChars="0" w:hanging="632" w:hangingChars="300"/>
        <w:textAlignment w:val="auto"/>
        <w:outlineLvl w:val="3"/>
        <w:rPr>
          <w:rFonts w:ascii="宋体" w:hAnsi="宋体"/>
          <w:b/>
          <w:color w:val="auto"/>
          <w:sz w:val="21"/>
          <w:szCs w:val="21"/>
          <w:highlight w:val="none"/>
        </w:rPr>
      </w:pPr>
      <w:bookmarkStart w:id="92" w:name="_Toc76719920"/>
      <w:r>
        <w:rPr>
          <w:rFonts w:hint="eastAsia" w:ascii="宋体" w:hAnsi="宋体"/>
          <w:b/>
          <w:color w:val="auto"/>
          <w:sz w:val="21"/>
          <w:szCs w:val="21"/>
          <w:highlight w:val="none"/>
        </w:rPr>
        <w:t>采购进度计划</w:t>
      </w:r>
      <w:bookmarkEnd w:id="92"/>
    </w:p>
    <w:p w14:paraId="4C5E4D2E">
      <w:pPr>
        <w:keepNext w:val="0"/>
        <w:keepLines w:val="0"/>
        <w:pageBreakBefore w:val="0"/>
        <w:numPr>
          <w:ilvl w:val="2"/>
          <w:numId w:val="11"/>
        </w:numPr>
        <w:tabs>
          <w:tab w:val="left" w:pos="1134"/>
          <w:tab w:val="clear" w:pos="0"/>
        </w:tabs>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采购进度计划。承包人的采购进度计划符合项目进度计划的时间安排，并与设计、施工、和（或）竣工试验及竣工后试验的进度计划相衔接。</w:t>
      </w:r>
    </w:p>
    <w:p w14:paraId="6FAA0F3C">
      <w:pPr>
        <w:keepNext w:val="0"/>
        <w:keepLines w:val="0"/>
        <w:pageBreakBefore w:val="0"/>
        <w:numPr>
          <w:ilvl w:val="2"/>
          <w:numId w:val="11"/>
        </w:numPr>
        <w:tabs>
          <w:tab w:val="left" w:pos="1134"/>
          <w:tab w:val="clear" w:pos="0"/>
        </w:tabs>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采购开始日期。在专用条款约定。</w:t>
      </w:r>
    </w:p>
    <w:p w14:paraId="22DC1181">
      <w:pPr>
        <w:keepNext w:val="0"/>
        <w:keepLines w:val="0"/>
        <w:pageBreakBefore w:val="0"/>
        <w:numPr>
          <w:ilvl w:val="2"/>
          <w:numId w:val="11"/>
        </w:numPr>
        <w:tabs>
          <w:tab w:val="left" w:pos="1134"/>
          <w:tab w:val="clear" w:pos="0"/>
        </w:tabs>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采购进度延误。因承包人的原因导致采购延误，造成的停工、窝工损失和竣工日期延误，由承包人负责。</w:t>
      </w:r>
    </w:p>
    <w:p w14:paraId="097905E4">
      <w:pPr>
        <w:keepNext w:val="0"/>
        <w:keepLines w:val="0"/>
        <w:pageBreakBefore w:val="0"/>
        <w:numPr>
          <w:ilvl w:val="2"/>
          <w:numId w:val="11"/>
        </w:numPr>
        <w:tabs>
          <w:tab w:val="left" w:pos="1134"/>
          <w:tab w:val="clear" w:pos="0"/>
        </w:tabs>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无论发包人以何种形式切除或另行分包本合同的一部分，均不免除承包人的任何管理责任和管理义务，包括但不限于试验、监造、验收、质量、安全、进度、保管等各方面的责任和义务。</w:t>
      </w:r>
    </w:p>
    <w:p w14:paraId="651009DF">
      <w:pPr>
        <w:keepNext w:val="0"/>
        <w:keepLines w:val="0"/>
        <w:pageBreakBefore w:val="0"/>
        <w:widowControl w:val="0"/>
        <w:numPr>
          <w:ilvl w:val="1"/>
          <w:numId w:val="11"/>
        </w:numPr>
        <w:kinsoku/>
        <w:wordWrap/>
        <w:overflowPunct/>
        <w:topLinePunct w:val="0"/>
        <w:autoSpaceDE/>
        <w:autoSpaceDN/>
        <w:bidi w:val="0"/>
        <w:adjustRightInd/>
        <w:snapToGrid/>
        <w:spacing w:line="360" w:lineRule="auto"/>
        <w:ind w:left="632" w:leftChars="0" w:hanging="632" w:hangingChars="300"/>
        <w:textAlignment w:val="auto"/>
        <w:outlineLvl w:val="3"/>
        <w:rPr>
          <w:rFonts w:ascii="宋体" w:hAnsi="宋体"/>
          <w:b/>
          <w:color w:val="auto"/>
          <w:sz w:val="21"/>
          <w:szCs w:val="21"/>
          <w:highlight w:val="none"/>
        </w:rPr>
      </w:pPr>
      <w:bookmarkStart w:id="93" w:name="_Toc76719921"/>
      <w:r>
        <w:rPr>
          <w:rFonts w:hint="eastAsia" w:ascii="宋体" w:hAnsi="宋体"/>
          <w:b/>
          <w:color w:val="auto"/>
          <w:sz w:val="21"/>
          <w:szCs w:val="21"/>
          <w:highlight w:val="none"/>
        </w:rPr>
        <w:t>施工进度计划</w:t>
      </w:r>
      <w:bookmarkEnd w:id="93"/>
    </w:p>
    <w:p w14:paraId="7C3B8006">
      <w:pPr>
        <w:keepNext w:val="0"/>
        <w:keepLines w:val="0"/>
        <w:pageBreakBefore w:val="0"/>
        <w:widowControl w:val="0"/>
        <w:numPr>
          <w:ilvl w:val="2"/>
          <w:numId w:val="11"/>
        </w:numPr>
        <w:tabs>
          <w:tab w:val="left" w:pos="1134"/>
          <w:tab w:val="clear" w:pos="0"/>
        </w:tabs>
        <w:kinsoku/>
        <w:wordWrap/>
        <w:overflowPunct/>
        <w:topLinePunct w:val="0"/>
        <w:autoSpaceDE/>
        <w:autoSpaceDN/>
        <w:bidi w:val="0"/>
        <w:adjustRightInd/>
        <w:snapToGrid/>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施工进度计划。承包人在现场施工开工</w:t>
      </w:r>
      <w:r>
        <w:rPr>
          <w:rFonts w:ascii="宋体" w:hAnsi="宋体"/>
          <w:color w:val="auto"/>
          <w:sz w:val="21"/>
          <w:szCs w:val="21"/>
          <w:highlight w:val="none"/>
        </w:rPr>
        <w:t>15</w:t>
      </w:r>
      <w:r>
        <w:rPr>
          <w:rFonts w:hint="eastAsia" w:ascii="宋体" w:hAnsi="宋体"/>
          <w:color w:val="auto"/>
          <w:sz w:val="21"/>
          <w:szCs w:val="21"/>
          <w:highlight w:val="none"/>
        </w:rPr>
        <w:t>天前提交一份包括施工进度计划在内的总体施工组织设计。施工进度计划符合项目进度计划的时间安排，并与设计、采购、竣工试验进度计划相衔接。发包人需承包人提交的关键单项工程或（和）关键分部分项工程施工进度计划的，在专用条款中约定。</w:t>
      </w:r>
    </w:p>
    <w:p w14:paraId="326DCF0B">
      <w:pPr>
        <w:keepNext w:val="0"/>
        <w:keepLines w:val="0"/>
        <w:pageBreakBefore w:val="0"/>
        <w:numPr>
          <w:ilvl w:val="2"/>
          <w:numId w:val="11"/>
        </w:numPr>
        <w:tabs>
          <w:tab w:val="left" w:pos="1134"/>
          <w:tab w:val="clear" w:pos="0"/>
        </w:tabs>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施工开工日期延误。根据下列约定，确定竣工日期的延长：</w:t>
      </w:r>
    </w:p>
    <w:p w14:paraId="5370B430">
      <w:pPr>
        <w:keepNext w:val="0"/>
        <w:keepLines w:val="0"/>
        <w:pageBreakBefore w:val="0"/>
        <w:numPr>
          <w:ilvl w:val="0"/>
          <w:numId w:val="13"/>
        </w:numPr>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因发包人原因造成承包人不能按时开工的，竣工日期相应顺延。</w:t>
      </w:r>
    </w:p>
    <w:p w14:paraId="5D40DA33">
      <w:pPr>
        <w:keepNext w:val="0"/>
        <w:keepLines w:val="0"/>
        <w:pageBreakBefore w:val="0"/>
        <w:numPr>
          <w:ilvl w:val="0"/>
          <w:numId w:val="13"/>
        </w:numPr>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因承包人原因不能按时开工的，需说明正当理由，自费采取措施及早开工，竣工日期不予延长。</w:t>
      </w:r>
    </w:p>
    <w:p w14:paraId="30D15BA7">
      <w:pPr>
        <w:keepNext w:val="0"/>
        <w:keepLines w:val="0"/>
        <w:pageBreakBefore w:val="0"/>
        <w:numPr>
          <w:ilvl w:val="0"/>
          <w:numId w:val="13"/>
        </w:numPr>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因不可抗力造成施工开工日期延误的，经双方协商后的竣工日期相应顺延。</w:t>
      </w:r>
    </w:p>
    <w:p w14:paraId="60800F1A">
      <w:pPr>
        <w:keepNext w:val="0"/>
        <w:keepLines w:val="0"/>
        <w:pageBreakBefore w:val="0"/>
        <w:numPr>
          <w:ilvl w:val="2"/>
          <w:numId w:val="11"/>
        </w:numPr>
        <w:tabs>
          <w:tab w:val="left" w:pos="1134"/>
          <w:tab w:val="clear" w:pos="0"/>
        </w:tabs>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竣工日期</w:t>
      </w:r>
    </w:p>
    <w:p w14:paraId="05688A5D">
      <w:pPr>
        <w:keepNext w:val="0"/>
        <w:keepLines w:val="0"/>
        <w:pageBreakBefore w:val="0"/>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1、承包范围包括竣工试验时，按以下方式确定计划竣工日期和实际竣工日期：</w:t>
      </w:r>
    </w:p>
    <w:p w14:paraId="4E24E8AB">
      <w:pPr>
        <w:keepNext w:val="0"/>
        <w:keepLines w:val="0"/>
        <w:pageBreakBefore w:val="0"/>
        <w:numPr>
          <w:ilvl w:val="0"/>
          <w:numId w:val="14"/>
        </w:numPr>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根据专用条款（9.1款工程接收）中所约定的单项工程竣工日期，为单项工程的计划竣工日期；工程中最后一个单项工程的计划竣工日期，为工程的计划竣工日期；</w:t>
      </w:r>
    </w:p>
    <w:p w14:paraId="221D7CED">
      <w:pPr>
        <w:keepNext w:val="0"/>
        <w:keepLines w:val="0"/>
        <w:pageBreakBefore w:val="0"/>
        <w:numPr>
          <w:ilvl w:val="0"/>
          <w:numId w:val="14"/>
        </w:numPr>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单项工程中最后一项竣工试验通过的日期，为该单项工程的实际竣工日期；</w:t>
      </w:r>
    </w:p>
    <w:p w14:paraId="3122A786">
      <w:pPr>
        <w:keepNext w:val="0"/>
        <w:keepLines w:val="0"/>
        <w:pageBreakBefore w:val="0"/>
        <w:numPr>
          <w:ilvl w:val="0"/>
          <w:numId w:val="14"/>
        </w:numPr>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工程中最后一个单项工程通过竣工试验的日期，为工程的实际竣工日期。</w:t>
      </w:r>
    </w:p>
    <w:p w14:paraId="56D44C23">
      <w:pPr>
        <w:keepNext w:val="0"/>
        <w:keepLines w:val="0"/>
        <w:pageBreakBefore w:val="0"/>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2、承包范围不包括竣工试验时，按以下方式确定计划竣工日期和实际竣工日期：</w:t>
      </w:r>
    </w:p>
    <w:p w14:paraId="16766645">
      <w:pPr>
        <w:keepNext w:val="0"/>
        <w:keepLines w:val="0"/>
        <w:pageBreakBefore w:val="0"/>
        <w:widowControl w:val="0"/>
        <w:numPr>
          <w:ilvl w:val="0"/>
          <w:numId w:val="15"/>
        </w:numPr>
        <w:kinsoku/>
        <w:wordWrap/>
        <w:overflowPunct/>
        <w:topLinePunct w:val="0"/>
        <w:autoSpaceDE/>
        <w:autoSpaceDN/>
        <w:bidi w:val="0"/>
        <w:adjustRightInd/>
        <w:snapToGrid/>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根据专用条款（9.1款工程接收）中所约定的单项工程竣工日期，为单项工程的计划竣工日期；工程中最后一个单项工程的计划竣工日期，为工程的计划竣工日期；</w:t>
      </w:r>
    </w:p>
    <w:p w14:paraId="151A47CD">
      <w:pPr>
        <w:keepNext w:val="0"/>
        <w:keepLines w:val="0"/>
        <w:pageBreakBefore w:val="0"/>
        <w:widowControl w:val="0"/>
        <w:numPr>
          <w:ilvl w:val="0"/>
          <w:numId w:val="15"/>
        </w:numPr>
        <w:kinsoku/>
        <w:wordWrap/>
        <w:overflowPunct/>
        <w:topLinePunct w:val="0"/>
        <w:autoSpaceDE/>
        <w:autoSpaceDN/>
        <w:bidi w:val="0"/>
        <w:adjustRightInd/>
        <w:snapToGrid/>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承包人按合同约定，完成施工图纸规定的单项工程中的全部施工作业，并符合约定的质量标准的日期，为单项工程的实际竣工日期；</w:t>
      </w:r>
    </w:p>
    <w:p w14:paraId="3CD0FAC4">
      <w:pPr>
        <w:keepNext w:val="0"/>
        <w:keepLines w:val="0"/>
        <w:pageBreakBefore w:val="0"/>
        <w:widowControl w:val="0"/>
        <w:numPr>
          <w:ilvl w:val="0"/>
          <w:numId w:val="15"/>
        </w:numPr>
        <w:kinsoku/>
        <w:wordWrap/>
        <w:overflowPunct/>
        <w:topLinePunct w:val="0"/>
        <w:autoSpaceDE/>
        <w:autoSpaceDN/>
        <w:bidi w:val="0"/>
        <w:adjustRightInd/>
        <w:snapToGrid/>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承包人按合同约定，完成施工图纸规定的工程中最后一个单项工程的全部施工作业，且符合约定的质量标准的日期，为工程的实际竣工日期。</w:t>
      </w:r>
    </w:p>
    <w:p w14:paraId="427783C4">
      <w:pPr>
        <w:keepNext w:val="0"/>
        <w:keepLines w:val="0"/>
        <w:pageBreakBefore w:val="0"/>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3、承包人为竣工试验、或竣工后试验预留的施工部位、或发包人要求的施工预留部位、不影响发包人实质操作使用的零星扫尾工程和缺陷修复，不影响竣工日期的确定。</w:t>
      </w:r>
    </w:p>
    <w:p w14:paraId="6AFA39CE">
      <w:pPr>
        <w:keepNext w:val="0"/>
        <w:keepLines w:val="0"/>
        <w:pageBreakBefore w:val="0"/>
        <w:widowControl w:val="0"/>
        <w:numPr>
          <w:ilvl w:val="1"/>
          <w:numId w:val="11"/>
        </w:numPr>
        <w:kinsoku/>
        <w:wordWrap/>
        <w:overflowPunct/>
        <w:topLinePunct w:val="0"/>
        <w:autoSpaceDE/>
        <w:autoSpaceDN/>
        <w:bidi w:val="0"/>
        <w:adjustRightInd/>
        <w:snapToGrid/>
        <w:spacing w:line="360" w:lineRule="auto"/>
        <w:ind w:left="632" w:leftChars="0" w:hanging="632" w:hangingChars="300"/>
        <w:textAlignment w:val="auto"/>
        <w:outlineLvl w:val="3"/>
        <w:rPr>
          <w:rFonts w:ascii="宋体" w:hAnsi="宋体"/>
          <w:b/>
          <w:color w:val="auto"/>
          <w:sz w:val="21"/>
          <w:szCs w:val="21"/>
          <w:highlight w:val="none"/>
        </w:rPr>
      </w:pPr>
      <w:bookmarkStart w:id="94" w:name="_Toc76719922"/>
      <w:r>
        <w:rPr>
          <w:rFonts w:hint="eastAsia" w:ascii="宋体" w:hAnsi="宋体"/>
          <w:b/>
          <w:color w:val="auto"/>
          <w:sz w:val="21"/>
          <w:szCs w:val="21"/>
          <w:highlight w:val="none"/>
        </w:rPr>
        <w:t>误期赔偿</w:t>
      </w:r>
      <w:bookmarkEnd w:id="94"/>
    </w:p>
    <w:p w14:paraId="2199D78A">
      <w:pPr>
        <w:keepNext w:val="0"/>
        <w:keepLines w:val="0"/>
        <w:pageBreakBefore w:val="0"/>
        <w:kinsoku/>
        <w:wordWrap/>
        <w:overflowPunct/>
        <w:topLinePunct w:val="0"/>
        <w:autoSpaceDE/>
        <w:autoSpaceDN/>
        <w:bidi w:val="0"/>
        <w:spacing w:line="360" w:lineRule="auto"/>
        <w:ind w:left="630" w:leftChars="300" w:firstLine="0" w:firstLineChars="0"/>
        <w:textAlignment w:val="auto"/>
        <w:rPr>
          <w:rFonts w:ascii="宋体" w:hAnsi="宋体"/>
          <w:color w:val="auto"/>
          <w:sz w:val="21"/>
          <w:szCs w:val="21"/>
          <w:highlight w:val="none"/>
        </w:rPr>
      </w:pPr>
      <w:r>
        <w:rPr>
          <w:rFonts w:hint="eastAsia" w:ascii="宋体" w:hAnsi="宋体"/>
          <w:color w:val="auto"/>
          <w:sz w:val="21"/>
          <w:szCs w:val="21"/>
          <w:highlight w:val="none"/>
        </w:rPr>
        <w:t>因承包人原因，造成工程竣工日期延误的，由承包人承担误期赔偿。每日延误的赔偿金额，及按日累计的最高赔偿金额在专用条款中约定。发包人有权从工程进度款、或竣工结算款、或约定提交的履约保函中扣除赔偿金额。</w:t>
      </w:r>
    </w:p>
    <w:p w14:paraId="666616B5">
      <w:pPr>
        <w:keepNext w:val="0"/>
        <w:keepLines w:val="0"/>
        <w:pageBreakBefore w:val="0"/>
        <w:widowControl w:val="0"/>
        <w:numPr>
          <w:ilvl w:val="1"/>
          <w:numId w:val="11"/>
        </w:numPr>
        <w:kinsoku/>
        <w:wordWrap/>
        <w:overflowPunct/>
        <w:topLinePunct w:val="0"/>
        <w:autoSpaceDE/>
        <w:autoSpaceDN/>
        <w:bidi w:val="0"/>
        <w:adjustRightInd/>
        <w:snapToGrid/>
        <w:spacing w:line="360" w:lineRule="auto"/>
        <w:ind w:left="632" w:leftChars="0" w:hanging="632" w:hangingChars="300"/>
        <w:textAlignment w:val="auto"/>
        <w:outlineLvl w:val="3"/>
        <w:rPr>
          <w:rFonts w:ascii="宋体" w:hAnsi="宋体"/>
          <w:b/>
          <w:color w:val="auto"/>
          <w:sz w:val="21"/>
          <w:szCs w:val="21"/>
          <w:highlight w:val="none"/>
        </w:rPr>
      </w:pPr>
      <w:bookmarkStart w:id="95" w:name="_Toc76719923"/>
      <w:r>
        <w:rPr>
          <w:rFonts w:hint="eastAsia" w:ascii="宋体" w:hAnsi="宋体"/>
          <w:b/>
          <w:color w:val="auto"/>
          <w:sz w:val="21"/>
          <w:szCs w:val="21"/>
          <w:highlight w:val="none"/>
        </w:rPr>
        <w:t>暂停</w:t>
      </w:r>
      <w:bookmarkEnd w:id="95"/>
    </w:p>
    <w:p w14:paraId="5D04F353">
      <w:pPr>
        <w:keepNext w:val="0"/>
        <w:keepLines w:val="0"/>
        <w:pageBreakBefore w:val="0"/>
        <w:numPr>
          <w:ilvl w:val="2"/>
          <w:numId w:val="11"/>
        </w:numPr>
        <w:tabs>
          <w:tab w:val="left" w:pos="1134"/>
          <w:tab w:val="clear" w:pos="0"/>
        </w:tabs>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发包人的暂停。发包人可以书面形式通知承包人暂停工程实施中的任何工作。通知中列明暂停日期及预计暂停的期限。</w:t>
      </w:r>
    </w:p>
    <w:p w14:paraId="33B99893">
      <w:pPr>
        <w:keepNext w:val="0"/>
        <w:keepLines w:val="0"/>
        <w:pageBreakBefore w:val="0"/>
        <w:numPr>
          <w:ilvl w:val="2"/>
          <w:numId w:val="11"/>
        </w:numPr>
        <w:tabs>
          <w:tab w:val="left" w:pos="1134"/>
          <w:tab w:val="clear" w:pos="0"/>
        </w:tabs>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因不可抗力造成的暂停。根据17.1款不可抗力发生的义务和17.2款不可抗力的后果的条款约定，安排各方的工作。</w:t>
      </w:r>
    </w:p>
    <w:p w14:paraId="60FB7AB3">
      <w:pPr>
        <w:keepNext w:val="0"/>
        <w:keepLines w:val="0"/>
        <w:pageBreakBefore w:val="0"/>
        <w:numPr>
          <w:ilvl w:val="2"/>
          <w:numId w:val="11"/>
        </w:numPr>
        <w:tabs>
          <w:tab w:val="left" w:pos="1134"/>
          <w:tab w:val="clear" w:pos="0"/>
        </w:tabs>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暂停时承包人的工作。当</w:t>
      </w:r>
      <w:r>
        <w:rPr>
          <w:rFonts w:ascii="宋体" w:hAnsi="宋体"/>
          <w:color w:val="auto"/>
          <w:sz w:val="21"/>
          <w:szCs w:val="21"/>
          <w:highlight w:val="none"/>
        </w:rPr>
        <w:t>4.</w:t>
      </w:r>
      <w:r>
        <w:rPr>
          <w:rFonts w:hint="eastAsia" w:ascii="宋体" w:hAnsi="宋体"/>
          <w:color w:val="auto"/>
          <w:sz w:val="21"/>
          <w:szCs w:val="21"/>
          <w:highlight w:val="none"/>
        </w:rPr>
        <w:t>6</w:t>
      </w:r>
      <w:r>
        <w:rPr>
          <w:rFonts w:ascii="宋体" w:hAnsi="宋体"/>
          <w:color w:val="auto"/>
          <w:sz w:val="21"/>
          <w:szCs w:val="21"/>
          <w:highlight w:val="none"/>
        </w:rPr>
        <w:t>.1</w:t>
      </w:r>
      <w:r>
        <w:rPr>
          <w:rFonts w:hint="eastAsia" w:ascii="宋体" w:hAnsi="宋体"/>
          <w:color w:val="auto"/>
          <w:sz w:val="21"/>
          <w:szCs w:val="21"/>
          <w:highlight w:val="none"/>
        </w:rPr>
        <w:t>款发包人的暂停和</w:t>
      </w:r>
      <w:r>
        <w:rPr>
          <w:rFonts w:ascii="宋体" w:hAnsi="宋体"/>
          <w:color w:val="auto"/>
          <w:sz w:val="21"/>
          <w:szCs w:val="21"/>
          <w:highlight w:val="none"/>
        </w:rPr>
        <w:t>4.</w:t>
      </w:r>
      <w:r>
        <w:rPr>
          <w:rFonts w:hint="eastAsia" w:ascii="宋体" w:hAnsi="宋体"/>
          <w:color w:val="auto"/>
          <w:sz w:val="21"/>
          <w:szCs w:val="21"/>
          <w:highlight w:val="none"/>
        </w:rPr>
        <w:t>6</w:t>
      </w:r>
      <w:r>
        <w:rPr>
          <w:rFonts w:ascii="宋体" w:hAnsi="宋体"/>
          <w:color w:val="auto"/>
          <w:sz w:val="21"/>
          <w:szCs w:val="21"/>
          <w:highlight w:val="none"/>
        </w:rPr>
        <w:t>.2</w:t>
      </w:r>
      <w:r>
        <w:rPr>
          <w:rFonts w:hint="eastAsia" w:ascii="宋体" w:hAnsi="宋体"/>
          <w:color w:val="auto"/>
          <w:sz w:val="21"/>
          <w:szCs w:val="21"/>
          <w:highlight w:val="none"/>
        </w:rPr>
        <w:t>款因不可抗力的暂停发生时，承包人立即停止现场的实施工作。并在暂停期间，根据合同约定，由承包人负责照料、保护、监管的人员、工程、物资及承包人的文件等。因承包人未能尽到照料、保护和监管责任，造成损坏、变质等，使发包人的费用增加，或（和）竣工日期的延误，由承包人负责。</w:t>
      </w:r>
    </w:p>
    <w:p w14:paraId="727E8618">
      <w:pPr>
        <w:keepNext w:val="0"/>
        <w:keepLines w:val="0"/>
        <w:pageBreakBefore w:val="0"/>
        <w:numPr>
          <w:ilvl w:val="2"/>
          <w:numId w:val="11"/>
        </w:numPr>
        <w:tabs>
          <w:tab w:val="left" w:pos="1134"/>
          <w:tab w:val="clear" w:pos="0"/>
        </w:tabs>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承包人的复工。根据</w:t>
      </w:r>
      <w:r>
        <w:rPr>
          <w:rFonts w:ascii="宋体" w:hAnsi="宋体"/>
          <w:color w:val="auto"/>
          <w:sz w:val="21"/>
          <w:szCs w:val="21"/>
          <w:highlight w:val="none"/>
        </w:rPr>
        <w:t>4.6.1</w:t>
      </w:r>
      <w:r>
        <w:rPr>
          <w:rFonts w:hint="eastAsia" w:ascii="宋体" w:hAnsi="宋体"/>
          <w:color w:val="auto"/>
          <w:sz w:val="21"/>
          <w:szCs w:val="21"/>
          <w:highlight w:val="none"/>
        </w:rPr>
        <w:t>款发包人通知的暂停，承包人需得到发包人和监理人（如有）复工令后才能复工。发包人暂停超过180天，或因不可抗力的暂停致使合同无法履行，承包人有权根据</w:t>
      </w:r>
      <w:r>
        <w:rPr>
          <w:rFonts w:ascii="宋体" w:hAnsi="宋体"/>
          <w:color w:val="auto"/>
          <w:sz w:val="21"/>
          <w:szCs w:val="21"/>
          <w:highlight w:val="none"/>
        </w:rPr>
        <w:t>17.</w:t>
      </w:r>
      <w:r>
        <w:rPr>
          <w:rFonts w:hint="eastAsia" w:ascii="宋体" w:hAnsi="宋体"/>
          <w:color w:val="auto"/>
          <w:sz w:val="21"/>
          <w:szCs w:val="21"/>
          <w:highlight w:val="none"/>
        </w:rPr>
        <w:t>2款承包人解除合同的约定，发出解除合同的通知。</w:t>
      </w:r>
    </w:p>
    <w:p w14:paraId="78BC5AC2">
      <w:pPr>
        <w:keepNext w:val="0"/>
        <w:keepLines w:val="0"/>
        <w:pageBreakBefore w:val="0"/>
        <w:numPr>
          <w:ilvl w:val="2"/>
          <w:numId w:val="11"/>
        </w:numPr>
        <w:tabs>
          <w:tab w:val="left" w:pos="1134"/>
          <w:tab w:val="clear" w:pos="0"/>
        </w:tabs>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发包人的复工。发包人发出复工通知后，发包人有权组织承包人对受暂停影响的工程、设备、材料、部件进行检查，承包人将检查结果及需要恢复、修复的内容和估算通知发包人，经发包人确认后，所发生的恢复、修复价款由责任方承担。</w:t>
      </w:r>
    </w:p>
    <w:p w14:paraId="62155C65">
      <w:pPr>
        <w:keepNext w:val="0"/>
        <w:keepLines w:val="0"/>
        <w:pageBreakBefore w:val="0"/>
        <w:numPr>
          <w:ilvl w:val="2"/>
          <w:numId w:val="11"/>
        </w:numPr>
        <w:tabs>
          <w:tab w:val="left" w:pos="1134"/>
          <w:tab w:val="clear" w:pos="0"/>
        </w:tabs>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因承包人原因的暂停。因承包人原因所造成的部分工程或工程的暂停，所发生的损失、损害及竣工日期延误，由承包人负责。</w:t>
      </w:r>
    </w:p>
    <w:p w14:paraId="1A0E9D6E">
      <w:pPr>
        <w:keepNext w:val="0"/>
        <w:keepLines w:val="0"/>
        <w:pageBreakBefore w:val="0"/>
        <w:numPr>
          <w:ilvl w:val="2"/>
          <w:numId w:val="11"/>
        </w:numPr>
        <w:tabs>
          <w:tab w:val="left" w:pos="1134"/>
          <w:tab w:val="clear" w:pos="0"/>
        </w:tabs>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工程暂停时的付款。发生发包人的暂停时，除已完的工程按合同约定付款外，</w:t>
      </w:r>
      <w:r>
        <w:rPr>
          <w:rFonts w:ascii="宋体" w:hAnsi="宋体"/>
          <w:color w:val="auto"/>
          <w:sz w:val="21"/>
          <w:szCs w:val="21"/>
          <w:highlight w:val="none"/>
        </w:rPr>
        <w:t>发包人</w:t>
      </w:r>
      <w:r>
        <w:rPr>
          <w:rFonts w:hint="eastAsia" w:ascii="宋体" w:hAnsi="宋体"/>
          <w:color w:val="auto"/>
          <w:sz w:val="21"/>
          <w:szCs w:val="21"/>
          <w:highlight w:val="none"/>
        </w:rPr>
        <w:t>须</w:t>
      </w:r>
      <w:r>
        <w:rPr>
          <w:rFonts w:ascii="宋体" w:hAnsi="宋体"/>
          <w:color w:val="auto"/>
          <w:sz w:val="21"/>
          <w:szCs w:val="21"/>
          <w:highlight w:val="none"/>
        </w:rPr>
        <w:t>赔偿</w:t>
      </w:r>
      <w:r>
        <w:rPr>
          <w:rFonts w:hint="eastAsia" w:ascii="宋体" w:hAnsi="宋体"/>
          <w:color w:val="auto"/>
          <w:sz w:val="21"/>
          <w:szCs w:val="21"/>
          <w:highlight w:val="none"/>
        </w:rPr>
        <w:t>因此给</w:t>
      </w:r>
      <w:r>
        <w:rPr>
          <w:rFonts w:ascii="宋体" w:hAnsi="宋体"/>
          <w:color w:val="auto"/>
          <w:sz w:val="21"/>
          <w:szCs w:val="21"/>
          <w:highlight w:val="none"/>
        </w:rPr>
        <w:t>承包人造成的停工、窝工、倒运、机械设备调迁、材料和构件积压等</w:t>
      </w:r>
      <w:r>
        <w:rPr>
          <w:rFonts w:hint="eastAsia" w:ascii="宋体" w:hAnsi="宋体"/>
          <w:color w:val="auto"/>
          <w:sz w:val="21"/>
          <w:szCs w:val="21"/>
          <w:highlight w:val="none"/>
        </w:rPr>
        <w:t>经济</w:t>
      </w:r>
      <w:r>
        <w:rPr>
          <w:rFonts w:ascii="宋体" w:hAnsi="宋体"/>
          <w:color w:val="auto"/>
          <w:sz w:val="21"/>
          <w:szCs w:val="21"/>
          <w:highlight w:val="none"/>
        </w:rPr>
        <w:t>损失</w:t>
      </w:r>
      <w:r>
        <w:rPr>
          <w:rFonts w:hint="eastAsia" w:ascii="宋体" w:hAnsi="宋体"/>
          <w:color w:val="auto"/>
          <w:sz w:val="21"/>
          <w:szCs w:val="21"/>
          <w:highlight w:val="none"/>
        </w:rPr>
        <w:t>，并按下述约定进行永久性工程设备、材料和部件的付款：</w:t>
      </w:r>
    </w:p>
    <w:p w14:paraId="2EB37C51">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承包人负责采购并构成工程实体的，但尚未能按采购进度款付款的设备、材料和部件，承包人将该款项单独列入</w:t>
      </w:r>
      <w:r>
        <w:rPr>
          <w:rFonts w:ascii="宋体" w:hAnsi="宋体"/>
          <w:color w:val="auto"/>
          <w:sz w:val="21"/>
          <w:szCs w:val="21"/>
          <w:highlight w:val="none"/>
        </w:rPr>
        <w:t>1</w:t>
      </w:r>
      <w:r>
        <w:rPr>
          <w:rFonts w:hint="eastAsia" w:ascii="宋体" w:hAnsi="宋体"/>
          <w:color w:val="auto"/>
          <w:sz w:val="21"/>
          <w:szCs w:val="21"/>
          <w:highlight w:val="none"/>
        </w:rPr>
        <w:t>3</w:t>
      </w:r>
      <w:r>
        <w:rPr>
          <w:rFonts w:ascii="宋体" w:hAnsi="宋体"/>
          <w:color w:val="auto"/>
          <w:sz w:val="21"/>
          <w:szCs w:val="21"/>
          <w:highlight w:val="none"/>
        </w:rPr>
        <w:t>.6</w:t>
      </w:r>
      <w:r>
        <w:rPr>
          <w:rFonts w:hint="eastAsia" w:ascii="宋体" w:hAnsi="宋体"/>
          <w:color w:val="auto"/>
          <w:sz w:val="21"/>
          <w:szCs w:val="21"/>
          <w:highlight w:val="none"/>
        </w:rPr>
        <w:t>款按月工程进度申请付款或</w:t>
      </w:r>
      <w:r>
        <w:rPr>
          <w:rFonts w:ascii="宋体" w:hAnsi="宋体"/>
          <w:color w:val="auto"/>
          <w:sz w:val="21"/>
          <w:szCs w:val="21"/>
          <w:highlight w:val="none"/>
        </w:rPr>
        <w:t>1</w:t>
      </w:r>
      <w:r>
        <w:rPr>
          <w:rFonts w:hint="eastAsia" w:ascii="宋体" w:hAnsi="宋体"/>
          <w:color w:val="auto"/>
          <w:sz w:val="21"/>
          <w:szCs w:val="21"/>
          <w:highlight w:val="none"/>
        </w:rPr>
        <w:t>3</w:t>
      </w:r>
      <w:r>
        <w:rPr>
          <w:rFonts w:ascii="宋体" w:hAnsi="宋体"/>
          <w:color w:val="auto"/>
          <w:sz w:val="21"/>
          <w:szCs w:val="21"/>
          <w:highlight w:val="none"/>
        </w:rPr>
        <w:t>.7</w:t>
      </w:r>
      <w:r>
        <w:rPr>
          <w:rFonts w:hint="eastAsia" w:ascii="宋体" w:hAnsi="宋体"/>
          <w:color w:val="auto"/>
          <w:sz w:val="21"/>
          <w:szCs w:val="21"/>
          <w:highlight w:val="none"/>
        </w:rPr>
        <w:t>款按付款计划表申请付款的报表中，发包人按</w:t>
      </w:r>
      <w:r>
        <w:rPr>
          <w:rFonts w:ascii="宋体" w:hAnsi="宋体"/>
          <w:color w:val="auto"/>
          <w:sz w:val="21"/>
          <w:szCs w:val="21"/>
          <w:highlight w:val="none"/>
        </w:rPr>
        <w:t>1</w:t>
      </w:r>
      <w:r>
        <w:rPr>
          <w:rFonts w:hint="eastAsia" w:ascii="宋体" w:hAnsi="宋体"/>
          <w:color w:val="auto"/>
          <w:sz w:val="21"/>
          <w:szCs w:val="21"/>
          <w:highlight w:val="none"/>
        </w:rPr>
        <w:t>3</w:t>
      </w:r>
      <w:r>
        <w:rPr>
          <w:rFonts w:ascii="宋体" w:hAnsi="宋体"/>
          <w:color w:val="auto"/>
          <w:sz w:val="21"/>
          <w:szCs w:val="21"/>
          <w:highlight w:val="none"/>
        </w:rPr>
        <w:t>.8款的付款</w:t>
      </w:r>
      <w:r>
        <w:rPr>
          <w:rFonts w:hint="eastAsia" w:ascii="宋体" w:hAnsi="宋体"/>
          <w:color w:val="auto"/>
          <w:sz w:val="21"/>
          <w:szCs w:val="21"/>
          <w:highlight w:val="none"/>
        </w:rPr>
        <w:t>时间安排支付；</w:t>
      </w:r>
    </w:p>
    <w:p w14:paraId="38493E8A">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承包人负责采购并运抵现场的永久性工程设备、材料和部件，尚未验收付款的部分，双方需进行验收交接。对其中有缺陷的设备、材料和部件，承包人自费修复。修复合格并经发包人验收后，根据13.4.1款工程进度款的约定，支付其中的采购进度款。</w:t>
      </w:r>
    </w:p>
    <w:p w14:paraId="5FFCA53A">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发包人承担承包人为永久性工程订购的、尚未运抵现场的设备、材料和部件的相应款项。</w:t>
      </w:r>
    </w:p>
    <w:p w14:paraId="21429E50">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发包人要求承包人对已订货的永久性工程设备、材料和部件进行退货时，其供应商、制造厂要求的补偿、赔偿等相关费用，由发包人承担。</w:t>
      </w:r>
    </w:p>
    <w:p w14:paraId="435B09E8">
      <w:pPr>
        <w:keepNext w:val="0"/>
        <w:keepLines w:val="0"/>
        <w:pageBreakBefore w:val="0"/>
        <w:numPr>
          <w:ilvl w:val="0"/>
          <w:numId w:val="11"/>
        </w:numPr>
        <w:kinsoku/>
        <w:wordWrap/>
        <w:overflowPunct/>
        <w:topLinePunct w:val="0"/>
        <w:autoSpaceDE/>
        <w:autoSpaceDN/>
        <w:bidi w:val="0"/>
        <w:spacing w:line="360" w:lineRule="auto"/>
        <w:ind w:left="632" w:leftChars="0" w:hanging="632" w:hangingChars="300"/>
        <w:textAlignment w:val="auto"/>
        <w:outlineLvl w:val="2"/>
        <w:rPr>
          <w:rFonts w:ascii="宋体" w:hAnsi="宋体"/>
          <w:b/>
          <w:color w:val="auto"/>
          <w:sz w:val="21"/>
          <w:szCs w:val="21"/>
          <w:highlight w:val="none"/>
        </w:rPr>
      </w:pPr>
      <w:bookmarkStart w:id="96" w:name="_Toc76719924"/>
      <w:bookmarkStart w:id="97" w:name="_Toc80633155"/>
      <w:bookmarkStart w:id="98" w:name="_Toc363718997"/>
      <w:r>
        <w:rPr>
          <w:rFonts w:hint="eastAsia" w:ascii="宋体" w:hAnsi="宋体"/>
          <w:b/>
          <w:color w:val="auto"/>
          <w:sz w:val="21"/>
          <w:szCs w:val="21"/>
          <w:highlight w:val="none"/>
        </w:rPr>
        <w:t>技术与设计</w:t>
      </w:r>
      <w:bookmarkEnd w:id="96"/>
      <w:bookmarkEnd w:id="97"/>
      <w:bookmarkEnd w:id="98"/>
    </w:p>
    <w:p w14:paraId="72149654">
      <w:pPr>
        <w:keepNext w:val="0"/>
        <w:keepLines w:val="0"/>
        <w:pageBreakBefore w:val="0"/>
        <w:widowControl w:val="0"/>
        <w:numPr>
          <w:ilvl w:val="1"/>
          <w:numId w:val="11"/>
        </w:numPr>
        <w:kinsoku/>
        <w:wordWrap/>
        <w:overflowPunct/>
        <w:topLinePunct w:val="0"/>
        <w:autoSpaceDE/>
        <w:autoSpaceDN/>
        <w:bidi w:val="0"/>
        <w:adjustRightInd/>
        <w:snapToGrid/>
        <w:spacing w:line="360" w:lineRule="auto"/>
        <w:ind w:left="632" w:leftChars="0" w:hanging="632" w:hangingChars="300"/>
        <w:textAlignment w:val="auto"/>
        <w:outlineLvl w:val="3"/>
        <w:rPr>
          <w:rFonts w:ascii="宋体" w:hAnsi="宋体"/>
          <w:b/>
          <w:color w:val="auto"/>
          <w:sz w:val="21"/>
          <w:szCs w:val="21"/>
          <w:highlight w:val="none"/>
        </w:rPr>
      </w:pPr>
      <w:bookmarkStart w:id="99" w:name="_Toc76719925"/>
      <w:r>
        <w:rPr>
          <w:rFonts w:hint="eastAsia" w:ascii="宋体" w:hAnsi="宋体"/>
          <w:b/>
          <w:color w:val="auto"/>
          <w:sz w:val="21"/>
          <w:szCs w:val="21"/>
          <w:highlight w:val="none"/>
        </w:rPr>
        <w:t>生产工艺技术、建筑艺术造型</w:t>
      </w:r>
      <w:bookmarkEnd w:id="99"/>
    </w:p>
    <w:p w14:paraId="60BAAED3">
      <w:pPr>
        <w:keepNext w:val="0"/>
        <w:keepLines w:val="0"/>
        <w:pageBreakBefore w:val="0"/>
        <w:numPr>
          <w:ilvl w:val="2"/>
          <w:numId w:val="11"/>
        </w:numPr>
        <w:tabs>
          <w:tab w:val="left" w:pos="1134"/>
          <w:tab w:val="clear" w:pos="0"/>
        </w:tabs>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承包人提供的工艺技术或建筑艺术造型</w:t>
      </w:r>
    </w:p>
    <w:p w14:paraId="6CE4B625">
      <w:pPr>
        <w:keepNext w:val="0"/>
        <w:keepLines w:val="0"/>
        <w:pageBreakBefore w:val="0"/>
        <w:kinsoku/>
        <w:wordWrap/>
        <w:overflowPunct/>
        <w:topLinePunct w:val="0"/>
        <w:autoSpaceDE/>
        <w:autoSpaceDN/>
        <w:bidi w:val="0"/>
        <w:spacing w:line="360" w:lineRule="auto"/>
        <w:ind w:left="630" w:leftChars="300" w:firstLine="0" w:firstLineChars="0"/>
        <w:textAlignment w:val="auto"/>
        <w:rPr>
          <w:rFonts w:ascii="宋体" w:hAnsi="宋体"/>
          <w:color w:val="auto"/>
          <w:sz w:val="21"/>
          <w:szCs w:val="21"/>
          <w:highlight w:val="none"/>
        </w:rPr>
      </w:pPr>
      <w:r>
        <w:rPr>
          <w:rFonts w:hint="eastAsia" w:ascii="宋体" w:hAnsi="宋体"/>
          <w:color w:val="auto"/>
          <w:sz w:val="21"/>
          <w:szCs w:val="21"/>
          <w:highlight w:val="none"/>
        </w:rPr>
        <w:t>由承包人负责提供的生产工艺技术（含专利技术、专有技术、工艺包）或（和）建筑艺术造型（含建筑设计）时，承包人对所提供的工艺技术数据、工艺条件、软件、分析手册、操作指导书、设备制造指导书和其他资料、其他要求，或（和）建筑艺术造型及其结构设计负责。</w:t>
      </w:r>
    </w:p>
    <w:p w14:paraId="796AC768">
      <w:pPr>
        <w:keepNext w:val="0"/>
        <w:keepLines w:val="0"/>
        <w:pageBreakBefore w:val="0"/>
        <w:kinsoku/>
        <w:wordWrap/>
        <w:overflowPunct/>
        <w:topLinePunct w:val="0"/>
        <w:autoSpaceDE/>
        <w:autoSpaceDN/>
        <w:bidi w:val="0"/>
        <w:spacing w:line="360" w:lineRule="auto"/>
        <w:ind w:left="630" w:leftChars="300" w:firstLine="0" w:firstLineChars="0"/>
        <w:textAlignment w:val="auto"/>
        <w:rPr>
          <w:rFonts w:ascii="宋体" w:hAnsi="宋体"/>
          <w:color w:val="auto"/>
          <w:sz w:val="21"/>
          <w:szCs w:val="21"/>
          <w:highlight w:val="none"/>
        </w:rPr>
      </w:pPr>
      <w:r>
        <w:rPr>
          <w:rFonts w:hint="eastAsia" w:ascii="宋体" w:hAnsi="宋体"/>
          <w:color w:val="auto"/>
          <w:sz w:val="21"/>
          <w:szCs w:val="21"/>
          <w:highlight w:val="none"/>
        </w:rPr>
        <w:t>承包人对本专用条款约定的试运行考核保证值、或（和）使用功能保证的说明负责。该试运行考核保证值、或（和）使用功能保证的说明，作为</w:t>
      </w:r>
      <w:r>
        <w:rPr>
          <w:rFonts w:ascii="宋体" w:hAnsi="宋体"/>
          <w:color w:val="auto"/>
          <w:sz w:val="21"/>
          <w:szCs w:val="21"/>
          <w:highlight w:val="none"/>
        </w:rPr>
        <w:t>10.3.3</w:t>
      </w:r>
      <w:r>
        <w:rPr>
          <w:rFonts w:hint="eastAsia" w:ascii="宋体" w:hAnsi="宋体"/>
          <w:color w:val="auto"/>
          <w:sz w:val="21"/>
          <w:szCs w:val="21"/>
          <w:highlight w:val="none"/>
        </w:rPr>
        <w:t>款试运行考核的评价依据。根据工程特点，在专用条款中约定工程或（和）单项工程的试运行考核保证值、或使用功能保证的说明。</w:t>
      </w:r>
    </w:p>
    <w:p w14:paraId="4A4C2BF3">
      <w:pPr>
        <w:keepNext w:val="0"/>
        <w:keepLines w:val="0"/>
        <w:pageBreakBefore w:val="0"/>
        <w:numPr>
          <w:ilvl w:val="2"/>
          <w:numId w:val="11"/>
        </w:numPr>
        <w:tabs>
          <w:tab w:val="left" w:pos="1134"/>
          <w:tab w:val="clear" w:pos="0"/>
        </w:tabs>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发包人提供的工艺技术或建筑艺术造型</w:t>
      </w:r>
    </w:p>
    <w:p w14:paraId="7C757254">
      <w:pPr>
        <w:keepNext w:val="0"/>
        <w:keepLines w:val="0"/>
        <w:pageBreakBefore w:val="0"/>
        <w:kinsoku/>
        <w:wordWrap/>
        <w:overflowPunct/>
        <w:topLinePunct w:val="0"/>
        <w:autoSpaceDE/>
        <w:autoSpaceDN/>
        <w:bidi w:val="0"/>
        <w:spacing w:line="360" w:lineRule="auto"/>
        <w:ind w:left="630" w:leftChars="300" w:firstLine="0" w:firstLineChars="0"/>
        <w:textAlignment w:val="auto"/>
        <w:rPr>
          <w:rFonts w:ascii="宋体" w:hAnsi="宋体"/>
          <w:color w:val="auto"/>
          <w:sz w:val="21"/>
          <w:szCs w:val="21"/>
          <w:highlight w:val="none"/>
        </w:rPr>
      </w:pPr>
      <w:r>
        <w:rPr>
          <w:rFonts w:hint="eastAsia" w:ascii="宋体" w:hAnsi="宋体"/>
          <w:color w:val="auto"/>
          <w:sz w:val="21"/>
          <w:szCs w:val="21"/>
          <w:highlight w:val="none"/>
        </w:rPr>
        <w:t>由发包人负责提供的生产工艺技术（含专利技术、专有技术、工艺包）或（和）建筑艺术造型（含建筑设计）时，发包人对所提供的工艺技术数据、工艺条件、软件、分析手册、操作指导书、设备制造指导书和其他承包人的文件资料、发包人的要求，或（和）建筑艺术造型的要求负责。</w:t>
      </w:r>
    </w:p>
    <w:p w14:paraId="111583B4">
      <w:pPr>
        <w:keepNext w:val="0"/>
        <w:keepLines w:val="0"/>
        <w:pageBreakBefore w:val="0"/>
        <w:kinsoku/>
        <w:wordWrap/>
        <w:overflowPunct/>
        <w:topLinePunct w:val="0"/>
        <w:autoSpaceDE/>
        <w:autoSpaceDN/>
        <w:bidi w:val="0"/>
        <w:spacing w:line="360" w:lineRule="auto"/>
        <w:ind w:left="630" w:leftChars="300" w:firstLine="0" w:firstLineChars="0"/>
        <w:textAlignment w:val="auto"/>
        <w:rPr>
          <w:rFonts w:ascii="宋体" w:hAnsi="宋体"/>
          <w:color w:val="auto"/>
          <w:sz w:val="21"/>
          <w:szCs w:val="21"/>
          <w:highlight w:val="none"/>
        </w:rPr>
      </w:pPr>
      <w:r>
        <w:rPr>
          <w:rFonts w:hint="eastAsia" w:ascii="宋体" w:hAnsi="宋体"/>
          <w:color w:val="auto"/>
          <w:sz w:val="21"/>
          <w:szCs w:val="21"/>
          <w:highlight w:val="none"/>
        </w:rPr>
        <w:t>发包人有义务指导、审查由承包人根据发包人提供的上述资料进行的生产工艺设计或（和）建筑设计文件，并予以确认。在专用条款中约定工程或（和）单项工程试运行考核的各项保证值、或使用功能保证说明中各自承担的责任，作为</w:t>
      </w:r>
      <w:r>
        <w:rPr>
          <w:rFonts w:ascii="宋体" w:hAnsi="宋体"/>
          <w:color w:val="auto"/>
          <w:sz w:val="21"/>
          <w:szCs w:val="21"/>
          <w:highlight w:val="none"/>
        </w:rPr>
        <w:t>10.3.3</w:t>
      </w:r>
      <w:r>
        <w:rPr>
          <w:rFonts w:hint="eastAsia" w:ascii="宋体" w:hAnsi="宋体"/>
          <w:color w:val="auto"/>
          <w:sz w:val="21"/>
          <w:szCs w:val="21"/>
          <w:highlight w:val="none"/>
        </w:rPr>
        <w:t>款试运行考核和考核责任的评价依据。</w:t>
      </w:r>
    </w:p>
    <w:p w14:paraId="004D5C46">
      <w:pPr>
        <w:keepNext w:val="0"/>
        <w:keepLines w:val="0"/>
        <w:pageBreakBefore w:val="0"/>
        <w:numPr>
          <w:ilvl w:val="1"/>
          <w:numId w:val="11"/>
        </w:numPr>
        <w:kinsoku/>
        <w:wordWrap/>
        <w:overflowPunct/>
        <w:topLinePunct w:val="0"/>
        <w:autoSpaceDE/>
        <w:autoSpaceDN/>
        <w:bidi w:val="0"/>
        <w:spacing w:line="360" w:lineRule="auto"/>
        <w:ind w:left="632" w:leftChars="0" w:hanging="632" w:hangingChars="300"/>
        <w:textAlignment w:val="auto"/>
        <w:outlineLvl w:val="3"/>
        <w:rPr>
          <w:rFonts w:ascii="宋体" w:hAnsi="宋体"/>
          <w:b/>
          <w:color w:val="auto"/>
          <w:sz w:val="21"/>
          <w:szCs w:val="21"/>
          <w:highlight w:val="none"/>
        </w:rPr>
      </w:pPr>
      <w:bookmarkStart w:id="100" w:name="_Toc76719926"/>
      <w:r>
        <w:rPr>
          <w:rFonts w:hint="eastAsia" w:ascii="宋体" w:hAnsi="宋体"/>
          <w:b/>
          <w:color w:val="auto"/>
          <w:sz w:val="21"/>
          <w:szCs w:val="21"/>
          <w:highlight w:val="none"/>
        </w:rPr>
        <w:t>设计</w:t>
      </w:r>
      <w:bookmarkEnd w:id="100"/>
    </w:p>
    <w:p w14:paraId="105E2739">
      <w:pPr>
        <w:keepNext w:val="0"/>
        <w:keepLines w:val="0"/>
        <w:pageBreakBefore w:val="0"/>
        <w:numPr>
          <w:ilvl w:val="2"/>
          <w:numId w:val="11"/>
        </w:numPr>
        <w:tabs>
          <w:tab w:val="left" w:pos="1134"/>
          <w:tab w:val="clear" w:pos="0"/>
        </w:tabs>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发包人的义务</w:t>
      </w:r>
    </w:p>
    <w:p w14:paraId="17872666">
      <w:pPr>
        <w:keepNext w:val="0"/>
        <w:keepLines w:val="0"/>
        <w:pageBreakBefore w:val="0"/>
        <w:widowControl w:val="0"/>
        <w:numPr>
          <w:ilvl w:val="0"/>
          <w:numId w:val="17"/>
        </w:numPr>
        <w:kinsoku/>
        <w:wordWrap/>
        <w:overflowPunct/>
        <w:topLinePunct w:val="0"/>
        <w:autoSpaceDE/>
        <w:autoSpaceDN/>
        <w:bidi w:val="0"/>
        <w:adjustRightInd/>
        <w:snapToGrid/>
        <w:spacing w:line="360" w:lineRule="auto"/>
        <w:ind w:left="630" w:leftChars="0" w:hanging="630" w:hangingChars="300"/>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提供项目基础资料。发包人按合同约定、行政法规或行业规定，向承包人提供设计需要的项目基础资料。提供项目基础资料的类别、内容、份数和时间在专用条款中约定。</w:t>
      </w:r>
    </w:p>
    <w:p w14:paraId="2F030917">
      <w:pPr>
        <w:keepNext w:val="0"/>
        <w:keepLines w:val="0"/>
        <w:pageBreakBefore w:val="0"/>
        <w:widowControl w:val="0"/>
        <w:numPr>
          <w:ilvl w:val="0"/>
          <w:numId w:val="17"/>
        </w:numPr>
        <w:kinsoku/>
        <w:wordWrap/>
        <w:overflowPunct/>
        <w:topLinePunct w:val="0"/>
        <w:autoSpaceDE/>
        <w:autoSpaceDN/>
        <w:bidi w:val="0"/>
        <w:adjustRightInd/>
        <w:snapToGrid/>
        <w:spacing w:line="360" w:lineRule="auto"/>
        <w:ind w:left="630" w:leftChars="0" w:hanging="630" w:hangingChars="300"/>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提供现场障碍资料。发包人按合同约定和适用法律规定，在设计开始前，提供与设计、施工有关的地上、地下已有的建筑物、构筑物等现场障碍资料。</w:t>
      </w:r>
    </w:p>
    <w:p w14:paraId="5125EE05">
      <w:pPr>
        <w:keepNext w:val="0"/>
        <w:keepLines w:val="0"/>
        <w:pageBreakBefore w:val="0"/>
        <w:numPr>
          <w:ilvl w:val="2"/>
          <w:numId w:val="11"/>
        </w:numPr>
        <w:tabs>
          <w:tab w:val="left" w:pos="1134"/>
          <w:tab w:val="clear" w:pos="0"/>
        </w:tabs>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承包人的义务</w:t>
      </w:r>
    </w:p>
    <w:p w14:paraId="7E4E8DB6">
      <w:pPr>
        <w:keepNext w:val="0"/>
        <w:keepLines w:val="0"/>
        <w:pageBreakBefore w:val="0"/>
        <w:widowControl w:val="0"/>
        <w:numPr>
          <w:ilvl w:val="0"/>
          <w:numId w:val="18"/>
        </w:numPr>
        <w:kinsoku/>
        <w:wordWrap/>
        <w:overflowPunct/>
        <w:topLinePunct w:val="0"/>
        <w:autoSpaceDE/>
        <w:autoSpaceDN/>
        <w:bidi w:val="0"/>
        <w:adjustRightInd/>
        <w:snapToGrid/>
        <w:spacing w:line="360" w:lineRule="auto"/>
        <w:ind w:left="630" w:leftChars="0" w:hanging="630" w:hangingChars="300"/>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承包人与发包人（及其专利商）以书面形式交接发包人按5.2.1款第1项提供的设计项目基础资料、第2项提供的与设计有关的现场障碍资料。对这些资料中的短缺、遗漏和不足，承包人在收到发包人提供的上述资料后15日内有义务向发包人提出进一步的补充要求。因承包人未能在上述时间内提出补充要求而发生的损失由承包人自行承担；由此造成工程关键路径延误的，竣工日期不予顺延。</w:t>
      </w:r>
    </w:p>
    <w:p w14:paraId="165FAE32">
      <w:pPr>
        <w:keepNext w:val="0"/>
        <w:keepLines w:val="0"/>
        <w:pageBreakBefore w:val="0"/>
        <w:widowControl w:val="0"/>
        <w:numPr>
          <w:ilvl w:val="0"/>
          <w:numId w:val="18"/>
        </w:numPr>
        <w:kinsoku/>
        <w:wordWrap/>
        <w:overflowPunct/>
        <w:topLinePunct w:val="0"/>
        <w:autoSpaceDE/>
        <w:autoSpaceDN/>
        <w:bidi w:val="0"/>
        <w:adjustRightInd/>
        <w:snapToGrid/>
        <w:spacing w:line="360" w:lineRule="auto"/>
        <w:ind w:left="630" w:leftChars="0" w:hanging="630" w:hangingChars="300"/>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承包人有义务按照发包人提供的项目基础资料、现场障碍资料和行政法规规定的设计深度开展设计。并对其设计的工艺技术或建筑艺术造型，及工程的安全、环境保护、职业健康的标准，设备材料的质量、工程质量和完成时间负责。因承包人设计的原因，造成的费用增加、竣工日期延误，由承包人承担。</w:t>
      </w:r>
    </w:p>
    <w:p w14:paraId="3584FE55">
      <w:pPr>
        <w:keepNext w:val="0"/>
        <w:keepLines w:val="0"/>
        <w:pageBreakBefore w:val="0"/>
        <w:numPr>
          <w:ilvl w:val="2"/>
          <w:numId w:val="11"/>
        </w:numPr>
        <w:tabs>
          <w:tab w:val="left" w:pos="1134"/>
          <w:tab w:val="clear" w:pos="0"/>
        </w:tabs>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遵守标准、规范</w:t>
      </w:r>
    </w:p>
    <w:p w14:paraId="085F09B2">
      <w:pPr>
        <w:keepNext w:val="0"/>
        <w:keepLines w:val="0"/>
        <w:pageBreakBefore w:val="0"/>
        <w:widowControl w:val="0"/>
        <w:numPr>
          <w:ilvl w:val="0"/>
          <w:numId w:val="19"/>
        </w:numPr>
        <w:kinsoku/>
        <w:wordWrap/>
        <w:overflowPunct/>
        <w:topLinePunct w:val="0"/>
        <w:autoSpaceDE/>
        <w:autoSpaceDN/>
        <w:bidi w:val="0"/>
        <w:adjustRightInd/>
        <w:snapToGrid/>
        <w:spacing w:line="360" w:lineRule="auto"/>
        <w:ind w:left="630" w:leftChars="0" w:hanging="630" w:hangingChars="300"/>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1.5款约定的标准、规范，适用于发包人按单项工程接收或（和）整个工程接收。</w:t>
      </w:r>
    </w:p>
    <w:p w14:paraId="2D30EE33">
      <w:pPr>
        <w:keepNext w:val="0"/>
        <w:keepLines w:val="0"/>
        <w:pageBreakBefore w:val="0"/>
        <w:widowControl w:val="0"/>
        <w:numPr>
          <w:ilvl w:val="0"/>
          <w:numId w:val="19"/>
        </w:numPr>
        <w:kinsoku/>
        <w:wordWrap/>
        <w:overflowPunct/>
        <w:topLinePunct w:val="0"/>
        <w:autoSpaceDE/>
        <w:autoSpaceDN/>
        <w:bidi w:val="0"/>
        <w:adjustRightInd/>
        <w:snapToGrid/>
        <w:spacing w:line="360" w:lineRule="auto"/>
        <w:ind w:left="630" w:leftChars="0" w:hanging="630" w:hangingChars="300"/>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在合同实施过程中国家颁布了新的标准或规范时，承包人有义务向发包人提交有关新标准、新规范的建议书。对其中的强制性标准、规范，皆须遵守，并作为变更处理；对于非强制性及推荐性的标准、规范，发包人可决定采用或不采用，决定采用时，作为变更处理。</w:t>
      </w:r>
    </w:p>
    <w:p w14:paraId="6860376A">
      <w:pPr>
        <w:keepNext w:val="0"/>
        <w:keepLines w:val="0"/>
        <w:pageBreakBefore w:val="0"/>
        <w:widowControl w:val="0"/>
        <w:numPr>
          <w:ilvl w:val="0"/>
          <w:numId w:val="19"/>
        </w:numPr>
        <w:kinsoku/>
        <w:wordWrap/>
        <w:overflowPunct/>
        <w:topLinePunct w:val="0"/>
        <w:autoSpaceDE/>
        <w:autoSpaceDN/>
        <w:bidi w:val="0"/>
        <w:adjustRightInd/>
        <w:snapToGrid/>
        <w:spacing w:line="360" w:lineRule="auto"/>
        <w:ind w:left="630" w:leftChars="0" w:hanging="630" w:hangingChars="300"/>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依据适用法规和合同约定的标准、规范所完成的设计图纸、设计文件中的技术数据和技术条件，是永久性工程的设备、材料、部件采购质量、施工质量及竣工试验质量的依据。</w:t>
      </w:r>
    </w:p>
    <w:p w14:paraId="4671907C">
      <w:pPr>
        <w:keepNext w:val="0"/>
        <w:keepLines w:val="0"/>
        <w:pageBreakBefore w:val="0"/>
        <w:numPr>
          <w:ilvl w:val="2"/>
          <w:numId w:val="11"/>
        </w:numPr>
        <w:tabs>
          <w:tab w:val="left" w:pos="1134"/>
          <w:tab w:val="clear" w:pos="0"/>
        </w:tabs>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操作维修手册。由承包人指导竣工后试验和试运行考核试验，并编制操作维修手册。承包人提交操作维修手册的份数、提交期限，在专用条款中约定。</w:t>
      </w:r>
    </w:p>
    <w:p w14:paraId="418B1CB4">
      <w:pPr>
        <w:keepNext w:val="0"/>
        <w:keepLines w:val="0"/>
        <w:pageBreakBefore w:val="0"/>
        <w:numPr>
          <w:ilvl w:val="2"/>
          <w:numId w:val="11"/>
        </w:numPr>
        <w:tabs>
          <w:tab w:val="left" w:pos="1134"/>
          <w:tab w:val="clear" w:pos="0"/>
        </w:tabs>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设计文件的份数和提交时间。在专用条款中约定相关设计阶段的设计文件、资料和图纸提交的份数和时间。</w:t>
      </w:r>
    </w:p>
    <w:p w14:paraId="1E1C201E">
      <w:pPr>
        <w:keepNext w:val="0"/>
        <w:keepLines w:val="0"/>
        <w:pageBreakBefore w:val="0"/>
        <w:numPr>
          <w:ilvl w:val="2"/>
          <w:numId w:val="11"/>
        </w:numPr>
        <w:tabs>
          <w:tab w:val="left" w:pos="1134"/>
          <w:tab w:val="clear" w:pos="0"/>
        </w:tabs>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设计缺陷的自费修复，自费赶上。因承包人原因，造成设计文件中的遗漏、错误、缺陷和不足，自费修复。使设计进度延误时，自费采取措施赶上。</w:t>
      </w:r>
    </w:p>
    <w:p w14:paraId="65E62A5D">
      <w:pPr>
        <w:keepNext w:val="0"/>
        <w:keepLines w:val="0"/>
        <w:pageBreakBefore w:val="0"/>
        <w:numPr>
          <w:ilvl w:val="1"/>
          <w:numId w:val="11"/>
        </w:numPr>
        <w:kinsoku/>
        <w:wordWrap/>
        <w:overflowPunct/>
        <w:topLinePunct w:val="0"/>
        <w:autoSpaceDE/>
        <w:autoSpaceDN/>
        <w:bidi w:val="0"/>
        <w:spacing w:line="360" w:lineRule="auto"/>
        <w:ind w:left="632" w:leftChars="0" w:hanging="632" w:hangingChars="300"/>
        <w:textAlignment w:val="auto"/>
        <w:outlineLvl w:val="3"/>
        <w:rPr>
          <w:rFonts w:ascii="宋体" w:hAnsi="宋体"/>
          <w:b/>
          <w:color w:val="auto"/>
          <w:sz w:val="21"/>
          <w:szCs w:val="21"/>
          <w:highlight w:val="none"/>
        </w:rPr>
      </w:pPr>
      <w:bookmarkStart w:id="101" w:name="_Toc76719927"/>
      <w:r>
        <w:rPr>
          <w:rFonts w:hint="eastAsia" w:ascii="宋体" w:hAnsi="宋体"/>
          <w:b/>
          <w:color w:val="auto"/>
          <w:sz w:val="21"/>
          <w:szCs w:val="21"/>
          <w:highlight w:val="none"/>
        </w:rPr>
        <w:t>设计阶段审查</w:t>
      </w:r>
      <w:bookmarkEnd w:id="101"/>
    </w:p>
    <w:p w14:paraId="1B1B8D60">
      <w:pPr>
        <w:keepNext w:val="0"/>
        <w:keepLines w:val="0"/>
        <w:pageBreakBefore w:val="0"/>
        <w:numPr>
          <w:ilvl w:val="2"/>
          <w:numId w:val="11"/>
        </w:numPr>
        <w:tabs>
          <w:tab w:val="left" w:pos="1134"/>
          <w:tab w:val="clear" w:pos="0"/>
        </w:tabs>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设计审查阶段及审查会议时间。本工程的设计阶段、设计阶段审查会议的时间安排，在专用条款</w:t>
      </w:r>
      <w:r>
        <w:rPr>
          <w:rFonts w:hint="eastAsia" w:ascii="宋体" w:hAnsi="宋体"/>
          <w:color w:val="auto"/>
          <w:sz w:val="21"/>
          <w:szCs w:val="21"/>
          <w:highlight w:val="none"/>
          <w:vertAlign w:val="subscript"/>
          <w:lang w:val="en-US" w:eastAsia="zh-CN"/>
        </w:rPr>
        <w:t xml:space="preserve">  </w:t>
      </w:r>
      <w:r>
        <w:rPr>
          <w:rFonts w:hint="eastAsia" w:ascii="宋体" w:hAnsi="宋体"/>
          <w:color w:val="auto"/>
          <w:sz w:val="21"/>
          <w:szCs w:val="21"/>
          <w:highlight w:val="none"/>
        </w:rPr>
        <w:t>约定。审查会议和发包人上级单位及政府有关部门参加审查会议的费用，已包括在合同价款中。</w:t>
      </w:r>
    </w:p>
    <w:p w14:paraId="39D4478D">
      <w:pPr>
        <w:keepNext w:val="0"/>
        <w:keepLines w:val="0"/>
        <w:pageBreakBefore w:val="0"/>
        <w:numPr>
          <w:ilvl w:val="2"/>
          <w:numId w:val="11"/>
        </w:numPr>
        <w:tabs>
          <w:tab w:val="left" w:pos="1134"/>
          <w:tab w:val="clear" w:pos="0"/>
        </w:tabs>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承包人根据5.3.1款的约定，向发包人提交相关设计审查阶段的设计文件，并符合行政法规、行业工程建设标准规范对相关设计阶段的设计文件、图纸和资料的深度规定。承包人有义务自费参加发包人组织的设计审查会议、向审查者介绍、解答、解释，并自费提供审查过程中需提供的补充资料。</w:t>
      </w:r>
    </w:p>
    <w:p w14:paraId="0D0A4DB4">
      <w:pPr>
        <w:keepNext w:val="0"/>
        <w:keepLines w:val="0"/>
        <w:pageBreakBefore w:val="0"/>
        <w:numPr>
          <w:ilvl w:val="2"/>
          <w:numId w:val="11"/>
        </w:numPr>
        <w:tabs>
          <w:tab w:val="left" w:pos="1134"/>
          <w:tab w:val="clear" w:pos="0"/>
        </w:tabs>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发包人有义务向承包人提供根据5.3.2款设计审查会议的批准文件和纪要。承包人有义务按相关审查阶段批准的文件和纪要，并依据合同约定及相关设计法规的规定，对相关设计进行修改、补充和完善。</w:t>
      </w:r>
    </w:p>
    <w:p w14:paraId="1C0BC8EA">
      <w:pPr>
        <w:keepNext w:val="0"/>
        <w:keepLines w:val="0"/>
        <w:pageBreakBefore w:val="0"/>
        <w:numPr>
          <w:ilvl w:val="2"/>
          <w:numId w:val="11"/>
        </w:numPr>
        <w:tabs>
          <w:tab w:val="left" w:pos="1134"/>
          <w:tab w:val="clear" w:pos="0"/>
        </w:tabs>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因承包人原因，未能按5.2.5款约定的时间，向发包人提交相关设计审查阶段的完整设计文件、图纸和资料，致使相关设计审查阶段的会议无法进行或无法按期进行，造成的竣工日期延误、窝工损失，或发包人组织会议增加的费用，由承包人承担。</w:t>
      </w:r>
    </w:p>
    <w:p w14:paraId="01F37BE4">
      <w:pPr>
        <w:keepNext w:val="0"/>
        <w:keepLines w:val="0"/>
        <w:pageBreakBefore w:val="0"/>
        <w:numPr>
          <w:ilvl w:val="2"/>
          <w:numId w:val="11"/>
        </w:numPr>
        <w:tabs>
          <w:tab w:val="left" w:pos="1134"/>
          <w:tab w:val="clear" w:pos="0"/>
        </w:tabs>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发包人有权在</w:t>
      </w:r>
      <w:r>
        <w:rPr>
          <w:rFonts w:ascii="宋体" w:hAnsi="宋体"/>
          <w:color w:val="auto"/>
          <w:sz w:val="21"/>
          <w:szCs w:val="21"/>
          <w:highlight w:val="none"/>
        </w:rPr>
        <w:t>5.</w:t>
      </w:r>
      <w:r>
        <w:rPr>
          <w:rFonts w:hint="eastAsia" w:ascii="宋体" w:hAnsi="宋体"/>
          <w:color w:val="auto"/>
          <w:sz w:val="21"/>
          <w:szCs w:val="21"/>
          <w:highlight w:val="none"/>
        </w:rPr>
        <w:t>3</w:t>
      </w:r>
      <w:r>
        <w:rPr>
          <w:rFonts w:ascii="宋体" w:hAnsi="宋体"/>
          <w:color w:val="auto"/>
          <w:sz w:val="21"/>
          <w:szCs w:val="21"/>
          <w:highlight w:val="none"/>
        </w:rPr>
        <w:t>.1</w:t>
      </w:r>
      <w:r>
        <w:rPr>
          <w:rFonts w:hint="eastAsia" w:ascii="宋体" w:hAnsi="宋体"/>
          <w:color w:val="auto"/>
          <w:sz w:val="21"/>
          <w:szCs w:val="21"/>
          <w:highlight w:val="none"/>
        </w:rPr>
        <w:t>款约定的各设计审查阶段之前，对相关设计阶段的设计文件、图纸和资料提出建议、审查和确认，发包人的任何建议、审查和确认，并不能减轻或免除承包人的任何合同责任和合同义务。</w:t>
      </w:r>
    </w:p>
    <w:p w14:paraId="7D72672A">
      <w:pPr>
        <w:keepNext w:val="0"/>
        <w:keepLines w:val="0"/>
        <w:pageBreakBefore w:val="0"/>
        <w:kinsoku/>
        <w:wordWrap/>
        <w:overflowPunct/>
        <w:topLinePunct w:val="0"/>
        <w:autoSpaceDE/>
        <w:autoSpaceDN/>
        <w:bidi w:val="0"/>
        <w:spacing w:line="360" w:lineRule="auto"/>
        <w:ind w:left="630" w:leftChars="300" w:firstLine="0" w:firstLineChars="0"/>
        <w:textAlignment w:val="auto"/>
        <w:rPr>
          <w:rFonts w:ascii="宋体" w:hAnsi="宋体"/>
          <w:color w:val="auto"/>
          <w:sz w:val="21"/>
          <w:szCs w:val="21"/>
          <w:highlight w:val="none"/>
        </w:rPr>
      </w:pPr>
      <w:r>
        <w:rPr>
          <w:rFonts w:hint="eastAsia" w:ascii="宋体" w:hAnsi="宋体"/>
          <w:color w:val="auto"/>
          <w:sz w:val="21"/>
          <w:szCs w:val="21"/>
          <w:highlight w:val="none"/>
        </w:rPr>
        <w:t>承包人应在与发包人签订本EPC总承包工程合同后的七日内完成施工图设计并且提请发包人进行设计审查。</w:t>
      </w:r>
    </w:p>
    <w:p w14:paraId="662FEF43">
      <w:pPr>
        <w:keepNext w:val="0"/>
        <w:keepLines w:val="0"/>
        <w:pageBreakBefore w:val="0"/>
        <w:numPr>
          <w:ilvl w:val="1"/>
          <w:numId w:val="11"/>
        </w:numPr>
        <w:kinsoku/>
        <w:wordWrap/>
        <w:overflowPunct/>
        <w:topLinePunct w:val="0"/>
        <w:autoSpaceDE/>
        <w:autoSpaceDN/>
        <w:bidi w:val="0"/>
        <w:spacing w:line="360" w:lineRule="auto"/>
        <w:ind w:left="632" w:leftChars="0" w:hanging="632" w:hangingChars="300"/>
        <w:textAlignment w:val="auto"/>
        <w:outlineLvl w:val="3"/>
        <w:rPr>
          <w:rFonts w:ascii="宋体" w:hAnsi="宋体"/>
          <w:b/>
          <w:color w:val="auto"/>
          <w:sz w:val="21"/>
          <w:szCs w:val="21"/>
          <w:highlight w:val="none"/>
        </w:rPr>
      </w:pPr>
      <w:bookmarkStart w:id="102" w:name="_Toc76719928"/>
      <w:r>
        <w:rPr>
          <w:rFonts w:hint="eastAsia" w:ascii="宋体" w:hAnsi="宋体"/>
          <w:b/>
          <w:color w:val="auto"/>
          <w:sz w:val="21"/>
          <w:szCs w:val="21"/>
          <w:highlight w:val="none"/>
        </w:rPr>
        <w:t>操作维修人员的培训</w:t>
      </w:r>
      <w:bookmarkEnd w:id="102"/>
    </w:p>
    <w:p w14:paraId="46C29E3C">
      <w:pPr>
        <w:keepNext w:val="0"/>
        <w:keepLines w:val="0"/>
        <w:pageBreakBefore w:val="0"/>
        <w:kinsoku/>
        <w:wordWrap/>
        <w:overflowPunct/>
        <w:topLinePunct w:val="0"/>
        <w:autoSpaceDE/>
        <w:autoSpaceDN/>
        <w:bidi w:val="0"/>
        <w:adjustRightInd w:val="0"/>
        <w:snapToGrid w:val="0"/>
        <w:spacing w:line="360" w:lineRule="auto"/>
        <w:ind w:left="630" w:leftChars="200" w:hanging="210" w:hangingChars="100"/>
        <w:textAlignment w:val="auto"/>
        <w:rPr>
          <w:rFonts w:ascii="宋体" w:hAnsi="宋体"/>
          <w:color w:val="auto"/>
          <w:sz w:val="21"/>
          <w:szCs w:val="21"/>
          <w:highlight w:val="none"/>
        </w:rPr>
      </w:pPr>
      <w:r>
        <w:rPr>
          <w:rFonts w:hint="eastAsia" w:ascii="宋体" w:hAnsi="宋体"/>
          <w:color w:val="auto"/>
          <w:sz w:val="21"/>
          <w:szCs w:val="21"/>
          <w:highlight w:val="none"/>
        </w:rPr>
        <w:t>对发包人的操作维修人员的培训，由承包人负责，费用已含在合同价格中。</w:t>
      </w:r>
    </w:p>
    <w:p w14:paraId="2AF428A6">
      <w:pPr>
        <w:keepNext w:val="0"/>
        <w:keepLines w:val="0"/>
        <w:pageBreakBefore w:val="0"/>
        <w:numPr>
          <w:ilvl w:val="1"/>
          <w:numId w:val="11"/>
        </w:numPr>
        <w:kinsoku/>
        <w:wordWrap/>
        <w:overflowPunct/>
        <w:topLinePunct w:val="0"/>
        <w:autoSpaceDE/>
        <w:autoSpaceDN/>
        <w:bidi w:val="0"/>
        <w:spacing w:line="360" w:lineRule="auto"/>
        <w:ind w:left="632" w:leftChars="0" w:hanging="632" w:hangingChars="300"/>
        <w:textAlignment w:val="auto"/>
        <w:outlineLvl w:val="3"/>
        <w:rPr>
          <w:rFonts w:ascii="宋体" w:hAnsi="宋体"/>
          <w:b/>
          <w:color w:val="auto"/>
          <w:sz w:val="21"/>
          <w:szCs w:val="21"/>
          <w:highlight w:val="none"/>
        </w:rPr>
      </w:pPr>
      <w:bookmarkStart w:id="103" w:name="_Toc76719929"/>
      <w:r>
        <w:rPr>
          <w:rFonts w:hint="eastAsia" w:ascii="宋体" w:hAnsi="宋体"/>
          <w:b/>
          <w:color w:val="auto"/>
          <w:sz w:val="21"/>
          <w:szCs w:val="21"/>
          <w:highlight w:val="none"/>
        </w:rPr>
        <w:t>知识产权</w:t>
      </w:r>
      <w:bookmarkEnd w:id="103"/>
    </w:p>
    <w:p w14:paraId="281972EA">
      <w:pPr>
        <w:keepNext w:val="0"/>
        <w:keepLines w:val="0"/>
        <w:pageBreakBefore w:val="0"/>
        <w:numPr>
          <w:ilvl w:val="2"/>
          <w:numId w:val="11"/>
        </w:numPr>
        <w:tabs>
          <w:tab w:val="left" w:pos="1134"/>
          <w:tab w:val="clear" w:pos="0"/>
        </w:tabs>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本合同涉及到一方、或双方（含一方或双方相关的专利商、独立建筑师）的技术专利、建筑艺术造型、专有技术、著作权等知识产权的，签订有关知识产权及保密协议，作为本合同的附件。</w:t>
      </w:r>
    </w:p>
    <w:p w14:paraId="3615D549">
      <w:pPr>
        <w:keepNext w:val="0"/>
        <w:keepLines w:val="0"/>
        <w:pageBreakBefore w:val="0"/>
        <w:numPr>
          <w:ilvl w:val="2"/>
          <w:numId w:val="11"/>
        </w:numPr>
        <w:tabs>
          <w:tab w:val="left" w:pos="1134"/>
          <w:tab w:val="clear" w:pos="0"/>
        </w:tabs>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承包方在投标阶段及工程实施阶段提交的设计成果的知识产权归发包方所有；承包人不得提出利益诉求。</w:t>
      </w:r>
    </w:p>
    <w:p w14:paraId="62D3A8ED">
      <w:pPr>
        <w:keepNext w:val="0"/>
        <w:keepLines w:val="0"/>
        <w:pageBreakBefore w:val="0"/>
        <w:numPr>
          <w:ilvl w:val="2"/>
          <w:numId w:val="11"/>
        </w:numPr>
        <w:tabs>
          <w:tab w:val="left" w:pos="1134"/>
          <w:tab w:val="clear" w:pos="0"/>
        </w:tabs>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承包人保证在履行本合同过程中，不侵犯发包人及第三人的知识产权，否则，由承包人承担一切法律责任。</w:t>
      </w:r>
    </w:p>
    <w:p w14:paraId="2F7A032E">
      <w:pPr>
        <w:keepNext w:val="0"/>
        <w:keepLines w:val="0"/>
        <w:pageBreakBefore w:val="0"/>
        <w:numPr>
          <w:ilvl w:val="2"/>
          <w:numId w:val="11"/>
        </w:numPr>
        <w:tabs>
          <w:tab w:val="left" w:pos="1134"/>
          <w:tab w:val="clear" w:pos="0"/>
        </w:tabs>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未经发包人同意，承包人不得在任何商业、技术论文或其它场合发表、透露工程细节。</w:t>
      </w:r>
    </w:p>
    <w:p w14:paraId="587EB904">
      <w:pPr>
        <w:keepNext w:val="0"/>
        <w:keepLines w:val="0"/>
        <w:pageBreakBefore w:val="0"/>
        <w:numPr>
          <w:ilvl w:val="1"/>
          <w:numId w:val="11"/>
        </w:numPr>
        <w:kinsoku/>
        <w:wordWrap/>
        <w:overflowPunct/>
        <w:topLinePunct w:val="0"/>
        <w:autoSpaceDE/>
        <w:autoSpaceDN/>
        <w:bidi w:val="0"/>
        <w:spacing w:line="360" w:lineRule="auto"/>
        <w:ind w:left="632" w:leftChars="0" w:hanging="632" w:hangingChars="300"/>
        <w:textAlignment w:val="auto"/>
        <w:outlineLvl w:val="3"/>
        <w:rPr>
          <w:rFonts w:ascii="宋体" w:hAnsi="宋体"/>
          <w:b/>
          <w:color w:val="auto"/>
          <w:sz w:val="21"/>
          <w:szCs w:val="21"/>
          <w:highlight w:val="none"/>
        </w:rPr>
      </w:pPr>
      <w:bookmarkStart w:id="104" w:name="_Toc76719930"/>
      <w:r>
        <w:rPr>
          <w:rFonts w:hint="eastAsia" w:ascii="宋体" w:hAnsi="宋体"/>
          <w:b/>
          <w:color w:val="auto"/>
          <w:sz w:val="21"/>
          <w:szCs w:val="21"/>
          <w:highlight w:val="none"/>
        </w:rPr>
        <w:t>设计成果</w:t>
      </w:r>
      <w:bookmarkEnd w:id="104"/>
    </w:p>
    <w:p w14:paraId="7EDFFD39">
      <w:pPr>
        <w:keepNext w:val="0"/>
        <w:keepLines w:val="0"/>
        <w:pageBreakBefore w:val="0"/>
        <w:numPr>
          <w:ilvl w:val="2"/>
          <w:numId w:val="11"/>
        </w:numPr>
        <w:tabs>
          <w:tab w:val="left" w:pos="1134"/>
          <w:tab w:val="clear" w:pos="0"/>
        </w:tabs>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发包方有权修改承包方提出的设计成果；</w:t>
      </w:r>
    </w:p>
    <w:p w14:paraId="2DFB3EAB">
      <w:pPr>
        <w:keepNext w:val="0"/>
        <w:keepLines w:val="0"/>
        <w:pageBreakBefore w:val="0"/>
        <w:numPr>
          <w:ilvl w:val="2"/>
          <w:numId w:val="11"/>
        </w:numPr>
        <w:tabs>
          <w:tab w:val="left" w:pos="1134"/>
          <w:tab w:val="clear" w:pos="0"/>
        </w:tabs>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发包方有权综合众人之长确定最优设计方案作为最终方案。</w:t>
      </w:r>
    </w:p>
    <w:p w14:paraId="16CEB92E">
      <w:pPr>
        <w:keepNext w:val="0"/>
        <w:keepLines w:val="0"/>
        <w:pageBreakBefore w:val="0"/>
        <w:numPr>
          <w:ilvl w:val="0"/>
          <w:numId w:val="11"/>
        </w:numPr>
        <w:kinsoku/>
        <w:wordWrap/>
        <w:overflowPunct/>
        <w:topLinePunct w:val="0"/>
        <w:autoSpaceDE/>
        <w:autoSpaceDN/>
        <w:bidi w:val="0"/>
        <w:spacing w:line="360" w:lineRule="auto"/>
        <w:ind w:left="632" w:leftChars="0" w:hanging="632" w:hangingChars="300"/>
        <w:textAlignment w:val="auto"/>
        <w:outlineLvl w:val="2"/>
        <w:rPr>
          <w:rFonts w:ascii="宋体" w:hAnsi="宋体"/>
          <w:b/>
          <w:color w:val="auto"/>
          <w:sz w:val="21"/>
          <w:szCs w:val="21"/>
          <w:highlight w:val="none"/>
        </w:rPr>
      </w:pPr>
      <w:bookmarkStart w:id="105" w:name="_Toc80633156"/>
      <w:bookmarkStart w:id="106" w:name="_Toc76719931"/>
      <w:bookmarkStart w:id="107" w:name="_Toc363718998"/>
      <w:r>
        <w:rPr>
          <w:rFonts w:hint="eastAsia" w:ascii="宋体" w:hAnsi="宋体"/>
          <w:b/>
          <w:color w:val="auto"/>
          <w:sz w:val="21"/>
          <w:szCs w:val="21"/>
          <w:highlight w:val="none"/>
        </w:rPr>
        <w:t>工程物资</w:t>
      </w:r>
      <w:bookmarkEnd w:id="105"/>
      <w:bookmarkEnd w:id="106"/>
      <w:bookmarkEnd w:id="107"/>
    </w:p>
    <w:p w14:paraId="0FACC9F4">
      <w:pPr>
        <w:keepNext w:val="0"/>
        <w:keepLines w:val="0"/>
        <w:pageBreakBefore w:val="0"/>
        <w:numPr>
          <w:ilvl w:val="1"/>
          <w:numId w:val="11"/>
        </w:numPr>
        <w:kinsoku/>
        <w:wordWrap/>
        <w:overflowPunct/>
        <w:topLinePunct w:val="0"/>
        <w:autoSpaceDE/>
        <w:autoSpaceDN/>
        <w:bidi w:val="0"/>
        <w:spacing w:line="360" w:lineRule="auto"/>
        <w:ind w:left="632" w:leftChars="0" w:hanging="632" w:hangingChars="300"/>
        <w:textAlignment w:val="auto"/>
        <w:outlineLvl w:val="3"/>
        <w:rPr>
          <w:rFonts w:ascii="宋体" w:hAnsi="宋体"/>
          <w:b/>
          <w:color w:val="auto"/>
          <w:sz w:val="21"/>
          <w:szCs w:val="21"/>
          <w:highlight w:val="none"/>
        </w:rPr>
      </w:pPr>
      <w:bookmarkStart w:id="108" w:name="_Toc76719932"/>
      <w:r>
        <w:rPr>
          <w:rFonts w:hint="eastAsia" w:ascii="宋体" w:hAnsi="宋体"/>
          <w:b/>
          <w:color w:val="auto"/>
          <w:sz w:val="21"/>
          <w:szCs w:val="21"/>
          <w:highlight w:val="none"/>
        </w:rPr>
        <w:t>工程物资的提供</w:t>
      </w:r>
      <w:bookmarkEnd w:id="108"/>
    </w:p>
    <w:p w14:paraId="5581AB74">
      <w:pPr>
        <w:keepNext w:val="0"/>
        <w:keepLines w:val="0"/>
        <w:pageBreakBefore w:val="0"/>
        <w:numPr>
          <w:ilvl w:val="2"/>
          <w:numId w:val="11"/>
        </w:numPr>
        <w:tabs>
          <w:tab w:val="left" w:pos="1134"/>
          <w:tab w:val="clear" w:pos="0"/>
        </w:tabs>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发包人提供的永久性工程的设备、材料和部件</w:t>
      </w:r>
    </w:p>
    <w:p w14:paraId="643D4362">
      <w:pPr>
        <w:keepNext w:val="0"/>
        <w:keepLines w:val="0"/>
        <w:pageBreakBefore w:val="0"/>
        <w:widowControl w:val="0"/>
        <w:numPr>
          <w:ilvl w:val="0"/>
          <w:numId w:val="0"/>
        </w:numPr>
        <w:tabs>
          <w:tab w:val="left" w:pos="1740"/>
        </w:tabs>
        <w:kinsoku/>
        <w:wordWrap/>
        <w:overflowPunct/>
        <w:topLinePunct w:val="0"/>
        <w:autoSpaceDE/>
        <w:autoSpaceDN/>
        <w:bidi w:val="0"/>
        <w:adjustRightInd/>
        <w:snapToGrid/>
        <w:spacing w:line="360" w:lineRule="auto"/>
        <w:ind w:left="630" w:leftChars="300" w:firstLine="0" w:firstLineChars="0"/>
        <w:textAlignment w:val="auto"/>
        <w:rPr>
          <w:rFonts w:ascii="宋体" w:hAnsi="宋体"/>
          <w:color w:val="auto"/>
          <w:sz w:val="21"/>
          <w:szCs w:val="21"/>
          <w:highlight w:val="none"/>
        </w:rPr>
      </w:pPr>
      <w:r>
        <w:rPr>
          <w:rFonts w:hint="eastAsia" w:ascii="宋体" w:hAnsi="宋体"/>
          <w:color w:val="auto"/>
          <w:sz w:val="21"/>
          <w:szCs w:val="21"/>
          <w:highlight w:val="none"/>
        </w:rPr>
        <w:t>发包人依据5.2.3款第（3）项设计文件规定的技术参数和技术条件、功能要求和使用要求，负责组织永久性工程的设备、材料和部件采购的（包括备品备件、专用工具及厂商提交的技术文件）、负责运抵现场，并对其质量检查结果和性能结果负责。由发包人负责提供的永久性工程的设备、材料和部件的类别、估算数量或（和）规格清单，在专用条款中列出。</w:t>
      </w:r>
    </w:p>
    <w:p w14:paraId="4B3AE5B2">
      <w:pPr>
        <w:keepNext w:val="0"/>
        <w:keepLines w:val="0"/>
        <w:pageBreakBefore w:val="0"/>
        <w:numPr>
          <w:ilvl w:val="2"/>
          <w:numId w:val="11"/>
        </w:numPr>
        <w:tabs>
          <w:tab w:val="left" w:pos="1134"/>
          <w:tab w:val="clear" w:pos="0"/>
        </w:tabs>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承包人提供的永久性工程的设备、材料和部件</w:t>
      </w:r>
    </w:p>
    <w:p w14:paraId="6A0F7282">
      <w:pPr>
        <w:keepNext w:val="0"/>
        <w:keepLines w:val="0"/>
        <w:pageBreakBefore w:val="0"/>
        <w:widowControl w:val="0"/>
        <w:numPr>
          <w:ilvl w:val="0"/>
          <w:numId w:val="20"/>
        </w:numPr>
        <w:kinsoku/>
        <w:wordWrap/>
        <w:overflowPunct/>
        <w:topLinePunct w:val="0"/>
        <w:autoSpaceDE/>
        <w:autoSpaceDN/>
        <w:bidi w:val="0"/>
        <w:adjustRightInd/>
        <w:snapToGrid/>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承包人依据5.2.3款第（3）项设计文件规定的技术参数、技术条件、功能要求和使用要求，负责组织永久性工程的设备、材料、部件的采购的（包括备品备件、专用工具及厂商提交的技术文件）、负责运抵现场，并对其质量检查结果和性能结果负责。货物进入现场必须满足发包人及屋顶业主的相关规定。因不符合相关规定而造成的财产损失，由承包人自行承担。承包人施工时，应遵从发包人及屋顶业主的各项规定，特别是安全生产规定。由承包人负责提供的永久性工程的设备、材料和部件的类别、估算数量或（和）规格清单在专用条款中列出。</w:t>
      </w:r>
    </w:p>
    <w:p w14:paraId="08A7EE6D">
      <w:pPr>
        <w:keepNext w:val="0"/>
        <w:keepLines w:val="0"/>
        <w:pageBreakBefore w:val="0"/>
        <w:widowControl w:val="0"/>
        <w:numPr>
          <w:ilvl w:val="0"/>
          <w:numId w:val="20"/>
        </w:numPr>
        <w:kinsoku/>
        <w:wordWrap/>
        <w:overflowPunct/>
        <w:topLinePunct w:val="0"/>
        <w:autoSpaceDE/>
        <w:autoSpaceDN/>
        <w:bidi w:val="0"/>
        <w:adjustRightInd/>
        <w:snapToGrid/>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因承包人提供的设备、材料、部件（包括建筑构件等）不符合国家强制性标准或约定标准规定所造成的质量缺陷，由承包人自费修复缺陷，因此造成进度延误的，竣工日期不予延长。</w:t>
      </w:r>
    </w:p>
    <w:p w14:paraId="63951CD2">
      <w:pPr>
        <w:keepNext w:val="0"/>
        <w:keepLines w:val="0"/>
        <w:pageBreakBefore w:val="0"/>
        <w:widowControl w:val="0"/>
        <w:numPr>
          <w:ilvl w:val="0"/>
          <w:numId w:val="20"/>
        </w:numPr>
        <w:kinsoku/>
        <w:wordWrap/>
        <w:overflowPunct/>
        <w:topLinePunct w:val="0"/>
        <w:autoSpaceDE/>
        <w:autoSpaceDN/>
        <w:bidi w:val="0"/>
        <w:adjustRightInd/>
        <w:snapToGrid/>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由承包人提供的竣工后试验的生产性材料，在专用条款中列出类别或（和）清单。</w:t>
      </w:r>
    </w:p>
    <w:p w14:paraId="334A3ED1">
      <w:pPr>
        <w:keepNext w:val="0"/>
        <w:keepLines w:val="0"/>
        <w:pageBreakBefore w:val="0"/>
        <w:numPr>
          <w:ilvl w:val="2"/>
          <w:numId w:val="11"/>
        </w:numPr>
        <w:tabs>
          <w:tab w:val="left" w:pos="1134"/>
          <w:tab w:val="clear" w:pos="0"/>
        </w:tabs>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承包人对供应商的选择。发包人依据3.8.1款约定的由承包人提交的并经发包人批准的供应商的名单中，择优选择相关采购物资的供货商或制造厂。</w:t>
      </w:r>
    </w:p>
    <w:p w14:paraId="477420C2">
      <w:pPr>
        <w:keepNext w:val="0"/>
        <w:keepLines w:val="0"/>
        <w:pageBreakBefore w:val="0"/>
        <w:kinsoku/>
        <w:wordWrap/>
        <w:overflowPunct/>
        <w:topLinePunct w:val="0"/>
        <w:autoSpaceDE/>
        <w:autoSpaceDN/>
        <w:bidi w:val="0"/>
        <w:spacing w:line="360" w:lineRule="auto"/>
        <w:ind w:left="630" w:leftChars="300" w:firstLine="0" w:firstLineChars="0"/>
        <w:textAlignment w:val="auto"/>
        <w:rPr>
          <w:rFonts w:ascii="宋体" w:hAnsi="宋体"/>
          <w:color w:val="auto"/>
          <w:sz w:val="21"/>
          <w:szCs w:val="21"/>
          <w:highlight w:val="none"/>
        </w:rPr>
      </w:pPr>
      <w:r>
        <w:rPr>
          <w:rFonts w:hint="eastAsia" w:ascii="宋体" w:hAnsi="宋体"/>
          <w:color w:val="auto"/>
          <w:sz w:val="21"/>
          <w:szCs w:val="21"/>
          <w:highlight w:val="none"/>
        </w:rPr>
        <w:t>承包人不得在设计文件中或以口头暗示方式指定供应商和加工制造厂，特殊情况或只有唯一厂家的除外。</w:t>
      </w:r>
    </w:p>
    <w:p w14:paraId="40BCC68A">
      <w:pPr>
        <w:keepNext w:val="0"/>
        <w:keepLines w:val="0"/>
        <w:pageBreakBefore w:val="0"/>
        <w:kinsoku/>
        <w:wordWrap/>
        <w:overflowPunct/>
        <w:topLinePunct w:val="0"/>
        <w:autoSpaceDE/>
        <w:autoSpaceDN/>
        <w:bidi w:val="0"/>
        <w:adjustRightInd w:val="0"/>
        <w:snapToGrid w:val="0"/>
        <w:spacing w:line="360" w:lineRule="auto"/>
        <w:ind w:left="630" w:leftChars="300" w:firstLine="0" w:firstLineChars="0"/>
        <w:textAlignment w:val="auto"/>
        <w:rPr>
          <w:rFonts w:ascii="宋体" w:hAnsi="宋体"/>
          <w:color w:val="auto"/>
          <w:sz w:val="21"/>
          <w:szCs w:val="21"/>
          <w:highlight w:val="none"/>
        </w:rPr>
      </w:pPr>
      <w:r>
        <w:rPr>
          <w:rFonts w:hint="eastAsia" w:ascii="宋体" w:hAnsi="宋体"/>
          <w:color w:val="auto"/>
          <w:sz w:val="21"/>
          <w:szCs w:val="21"/>
          <w:highlight w:val="none"/>
        </w:rPr>
        <w:t>工程建设需要的设备及主要材料应由承包人采购，不得由分包人采购，经发包人书面批准的除外。</w:t>
      </w:r>
    </w:p>
    <w:p w14:paraId="386A9359">
      <w:pPr>
        <w:keepNext w:val="0"/>
        <w:keepLines w:val="0"/>
        <w:pageBreakBefore w:val="0"/>
        <w:kinsoku/>
        <w:wordWrap/>
        <w:overflowPunct/>
        <w:topLinePunct w:val="0"/>
        <w:autoSpaceDE/>
        <w:autoSpaceDN/>
        <w:bidi w:val="0"/>
        <w:adjustRightInd w:val="0"/>
        <w:snapToGrid w:val="0"/>
        <w:spacing w:line="360" w:lineRule="auto"/>
        <w:ind w:left="630" w:leftChars="300" w:firstLine="0" w:firstLineChars="0"/>
        <w:textAlignment w:val="auto"/>
        <w:rPr>
          <w:rFonts w:ascii="宋体" w:hAnsi="宋体"/>
          <w:color w:val="auto"/>
          <w:sz w:val="21"/>
          <w:szCs w:val="21"/>
          <w:highlight w:val="none"/>
        </w:rPr>
      </w:pPr>
      <w:r>
        <w:rPr>
          <w:rFonts w:hint="eastAsia" w:ascii="宋体" w:hAnsi="宋体"/>
          <w:color w:val="auto"/>
          <w:sz w:val="21"/>
          <w:szCs w:val="21"/>
          <w:highlight w:val="none"/>
        </w:rPr>
        <w:t>承包人提供的设备及主要材料供应商名单不符合投标文件规定或发包人要求且拒不更换的，发包人有权自行组织招标采购，同时有权按照采购价款及招标费用数额扣除承包人的总承包管理费用。</w:t>
      </w:r>
    </w:p>
    <w:p w14:paraId="37C318E7">
      <w:pPr>
        <w:keepNext w:val="0"/>
        <w:keepLines w:val="0"/>
        <w:pageBreakBefore w:val="0"/>
        <w:numPr>
          <w:ilvl w:val="2"/>
          <w:numId w:val="11"/>
        </w:numPr>
        <w:tabs>
          <w:tab w:val="left" w:pos="1134"/>
          <w:tab w:val="clear" w:pos="0"/>
        </w:tabs>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工程物资所有权。根据6.1.1款和6.1.2款约定提供的永久性工程设备、材料和部件，在运抵现场的交货地点后，所有权转为发包人所有。发包人履行其合同约定的付款义务。在发包人接收工程前，承包人有义务对工程设备、材料和部件进行保管、维护和保养，未经发包人批准不得运出现场。在发包人接收工程前，上述工程设备、材料和部件因承包人原因发生损坏、灭失等情况的，由承包人承担赔偿责任。</w:t>
      </w:r>
    </w:p>
    <w:p w14:paraId="37CFA478">
      <w:pPr>
        <w:keepNext w:val="0"/>
        <w:keepLines w:val="0"/>
        <w:pageBreakBefore w:val="0"/>
        <w:kinsoku/>
        <w:wordWrap/>
        <w:overflowPunct/>
        <w:topLinePunct w:val="0"/>
        <w:autoSpaceDE/>
        <w:autoSpaceDN/>
        <w:bidi w:val="0"/>
        <w:spacing w:line="360" w:lineRule="auto"/>
        <w:ind w:left="630" w:leftChars="300" w:firstLine="0" w:firstLineChars="0"/>
        <w:textAlignment w:val="auto"/>
        <w:rPr>
          <w:rFonts w:ascii="宋体" w:hAnsi="宋体"/>
          <w:color w:val="auto"/>
          <w:sz w:val="21"/>
          <w:szCs w:val="21"/>
          <w:highlight w:val="none"/>
        </w:rPr>
      </w:pPr>
      <w:r>
        <w:rPr>
          <w:rFonts w:hint="eastAsia" w:ascii="宋体" w:hAnsi="宋体"/>
          <w:color w:val="auto"/>
          <w:sz w:val="21"/>
          <w:szCs w:val="21"/>
          <w:highlight w:val="none"/>
        </w:rPr>
        <w:t>在发包人接收工程前，发包人或其监理曾就承包人不当、不规范的施工行为，如踩踏、重摔、损坏光伏板等发出书面通知，明确指出该等行为或要求整改的，即使发包人已接收工程或工程竣工验收后，对工程或工程设备、材料和部件的缺陷（包括但不限于外观瑕疵、隐裂、裂纹等），承包人仍应根据发包人要求进行处理，并承担所需费用。如有证据证明上述缺陷因发包人或光伏组件供应商原因造成的，由责任方向承包人予以赔偿。</w:t>
      </w:r>
    </w:p>
    <w:p w14:paraId="64304C85">
      <w:pPr>
        <w:keepNext w:val="0"/>
        <w:keepLines w:val="0"/>
        <w:pageBreakBefore w:val="0"/>
        <w:numPr>
          <w:ilvl w:val="1"/>
          <w:numId w:val="11"/>
        </w:numPr>
        <w:kinsoku/>
        <w:wordWrap/>
        <w:overflowPunct/>
        <w:topLinePunct w:val="0"/>
        <w:autoSpaceDE/>
        <w:autoSpaceDN/>
        <w:bidi w:val="0"/>
        <w:spacing w:line="360" w:lineRule="auto"/>
        <w:ind w:left="632" w:leftChars="0" w:hanging="632" w:hangingChars="300"/>
        <w:textAlignment w:val="auto"/>
        <w:outlineLvl w:val="3"/>
        <w:rPr>
          <w:rFonts w:ascii="宋体" w:hAnsi="宋体"/>
          <w:b/>
          <w:color w:val="auto"/>
          <w:sz w:val="21"/>
          <w:szCs w:val="21"/>
          <w:highlight w:val="none"/>
        </w:rPr>
      </w:pPr>
      <w:bookmarkStart w:id="109" w:name="_Toc76719933"/>
      <w:r>
        <w:rPr>
          <w:rFonts w:hint="eastAsia" w:ascii="宋体" w:hAnsi="宋体"/>
          <w:b/>
          <w:color w:val="auto"/>
          <w:sz w:val="21"/>
          <w:szCs w:val="21"/>
          <w:highlight w:val="none"/>
        </w:rPr>
        <w:t>检验</w:t>
      </w:r>
      <w:bookmarkEnd w:id="109"/>
    </w:p>
    <w:p w14:paraId="7B319EAC">
      <w:pPr>
        <w:keepNext w:val="0"/>
        <w:keepLines w:val="0"/>
        <w:pageBreakBefore w:val="0"/>
        <w:numPr>
          <w:ilvl w:val="2"/>
          <w:numId w:val="11"/>
        </w:numPr>
        <w:tabs>
          <w:tab w:val="left" w:pos="1134"/>
          <w:tab w:val="clear" w:pos="0"/>
        </w:tabs>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工厂检验与报告</w:t>
      </w:r>
    </w:p>
    <w:p w14:paraId="4C08CF28">
      <w:pPr>
        <w:keepNext w:val="0"/>
        <w:keepLines w:val="0"/>
        <w:pageBreakBefore w:val="0"/>
        <w:widowControl w:val="0"/>
        <w:numPr>
          <w:ilvl w:val="0"/>
          <w:numId w:val="21"/>
        </w:numPr>
        <w:kinsoku/>
        <w:wordWrap/>
        <w:overflowPunct/>
        <w:topLinePunct w:val="0"/>
        <w:autoSpaceDE/>
        <w:autoSpaceDN/>
        <w:bidi w:val="0"/>
        <w:adjustRightInd/>
        <w:snapToGrid/>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承包人遵守相关法律规定，负责6.1.2款约定的永久性工程设备、材料、部件和备品备件，及竣工后试验物资的强制性检查、检验、监测和试验，并向发包人提供相关报告，所发生的费用由承包人承担。报告内容、报告期和提交份数，在专用条款中约定。</w:t>
      </w:r>
    </w:p>
    <w:p w14:paraId="03E5196C">
      <w:pPr>
        <w:keepNext w:val="0"/>
        <w:keepLines w:val="0"/>
        <w:pageBreakBefore w:val="0"/>
        <w:widowControl w:val="0"/>
        <w:numPr>
          <w:ilvl w:val="0"/>
          <w:numId w:val="21"/>
        </w:numPr>
        <w:kinsoku/>
        <w:wordWrap/>
        <w:overflowPunct/>
        <w:topLinePunct w:val="0"/>
        <w:autoSpaceDE/>
        <w:autoSpaceDN/>
        <w:bidi w:val="0"/>
        <w:adjustRightInd/>
        <w:snapToGrid/>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承包人邀请发包人参检时，在进行相关加工制造阶段的检查、检验、监测和试验之前，以书面形式通知发包人参检的内容、地点和时间。发包人在接到邀请后的5日内，以书面形式通知承包人参检或不参检。</w:t>
      </w:r>
    </w:p>
    <w:p w14:paraId="6737AFA7">
      <w:pPr>
        <w:keepNext w:val="0"/>
        <w:keepLines w:val="0"/>
        <w:pageBreakBefore w:val="0"/>
        <w:widowControl w:val="0"/>
        <w:numPr>
          <w:ilvl w:val="0"/>
          <w:numId w:val="21"/>
        </w:numPr>
        <w:kinsoku/>
        <w:wordWrap/>
        <w:overflowPunct/>
        <w:topLinePunct w:val="0"/>
        <w:autoSpaceDE/>
        <w:autoSpaceDN/>
        <w:bidi w:val="0"/>
        <w:adjustRightInd/>
        <w:snapToGrid/>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发包人承担其参检人员在参检期间的工资、补贴、差旅费和住宿费等，承包人负责办理进入相关厂家的许可，并提供方便。</w:t>
      </w:r>
    </w:p>
    <w:p w14:paraId="262B619B">
      <w:pPr>
        <w:keepNext w:val="0"/>
        <w:keepLines w:val="0"/>
        <w:pageBreakBefore w:val="0"/>
        <w:widowControl w:val="0"/>
        <w:numPr>
          <w:ilvl w:val="0"/>
          <w:numId w:val="21"/>
        </w:numPr>
        <w:kinsoku/>
        <w:wordWrap/>
        <w:overflowPunct/>
        <w:topLinePunct w:val="0"/>
        <w:autoSpaceDE/>
        <w:autoSpaceDN/>
        <w:bidi w:val="0"/>
        <w:adjustRightInd/>
        <w:snapToGrid/>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发包人委托有资格、有经验的第三方代表发包人自费参检的，在接到承包人邀请函或报告后的5日内，以书面形式通知承包人，并写明受托单位及受托人员的名称、姓名及授予的职权。</w:t>
      </w:r>
    </w:p>
    <w:p w14:paraId="3878F9C2">
      <w:pPr>
        <w:keepNext w:val="0"/>
        <w:keepLines w:val="0"/>
        <w:pageBreakBefore w:val="0"/>
        <w:widowControl w:val="0"/>
        <w:numPr>
          <w:ilvl w:val="0"/>
          <w:numId w:val="21"/>
        </w:numPr>
        <w:kinsoku/>
        <w:wordWrap/>
        <w:overflowPunct/>
        <w:topLinePunct w:val="0"/>
        <w:autoSpaceDE/>
        <w:autoSpaceDN/>
        <w:bidi w:val="0"/>
        <w:adjustRightInd/>
        <w:snapToGrid/>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发包人及其委托人的参检，并不能解除承包人对其采购的工程设备、材料和部件的质量责任。</w:t>
      </w:r>
    </w:p>
    <w:p w14:paraId="330AC5E6">
      <w:pPr>
        <w:keepNext w:val="0"/>
        <w:keepLines w:val="0"/>
        <w:pageBreakBefore w:val="0"/>
        <w:numPr>
          <w:ilvl w:val="2"/>
          <w:numId w:val="11"/>
        </w:numPr>
        <w:tabs>
          <w:tab w:val="left" w:pos="1134"/>
          <w:tab w:val="clear" w:pos="0"/>
        </w:tabs>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覆盖和包装的后果。发包人已在6.2.1款约定的日期内以书面形式通知承包人参检，并依据约定日期提前或按时到达指定地点，但加工制造的设备、材料、部件（包括竣工后试验的物资）已经被覆盖、包装或已运抵启运地点时，发包人有权责令承包人将其运回原地、拆除覆盖、包装，重新进行检查或检验或检测或试验及复原，承包人承担因此发生的费用。因此造成工程关键路径延误的，竣工日期不予顺延。</w:t>
      </w:r>
    </w:p>
    <w:p w14:paraId="5624168C">
      <w:pPr>
        <w:keepNext w:val="0"/>
        <w:keepLines w:val="0"/>
        <w:pageBreakBefore w:val="0"/>
        <w:numPr>
          <w:ilvl w:val="2"/>
          <w:numId w:val="11"/>
        </w:numPr>
        <w:tabs>
          <w:tab w:val="left" w:pos="1134"/>
          <w:tab w:val="clear" w:pos="0"/>
        </w:tabs>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未能按时参检。发包人接到承包人的参检通知但未能按约定时间参检，承包人可自行组织检查、检验、检测和试验，质检结果视为是真实的。发包人此后指令重新检查、检验、检测和试验，或增加试验细节或改变试验地点的，有权以变更指令通知承包人。经质检合格时，所发生的费用由发包人承担，造成工程关键路径延误的，竣工日期相应顺延；经质检不合格时，所发生的费用由承包人承担，竣工日期不予顺延。</w:t>
      </w:r>
    </w:p>
    <w:p w14:paraId="08AE0DA8">
      <w:pPr>
        <w:keepNext w:val="0"/>
        <w:keepLines w:val="0"/>
        <w:pageBreakBefore w:val="0"/>
        <w:numPr>
          <w:ilvl w:val="2"/>
          <w:numId w:val="11"/>
        </w:numPr>
        <w:tabs>
          <w:tab w:val="left" w:pos="1134"/>
          <w:tab w:val="clear" w:pos="0"/>
        </w:tabs>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现场清点与检查</w:t>
      </w:r>
    </w:p>
    <w:p w14:paraId="4E1E60D5">
      <w:pPr>
        <w:keepNext w:val="0"/>
        <w:keepLines w:val="0"/>
        <w:pageBreakBefore w:val="0"/>
        <w:widowControl w:val="0"/>
        <w:numPr>
          <w:ilvl w:val="0"/>
          <w:numId w:val="22"/>
        </w:numPr>
        <w:kinsoku/>
        <w:wordWrap/>
        <w:overflowPunct/>
        <w:topLinePunct w:val="0"/>
        <w:autoSpaceDE/>
        <w:autoSpaceDN/>
        <w:bidi w:val="0"/>
        <w:adjustRightInd/>
        <w:snapToGrid/>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发包人根据6.1.1款约定负责提供的永久性工程设备、材料和部件，在运抵现场前5天通知承包人。发包人（或包括为发包人提供设备、材料和部件的供应商）与承包人（或包括其分包人）按每批货物的提货单据清点箱件数量及外观检查，并根据装箱单清点箱内数量、出厂合格证、图纸、文件资料及外观检查。经检查清点后双方人员签署交接清单。</w:t>
      </w:r>
    </w:p>
    <w:p w14:paraId="108EFA56">
      <w:pPr>
        <w:keepNext w:val="0"/>
        <w:keepLines w:val="0"/>
        <w:pageBreakBefore w:val="0"/>
        <w:widowControl w:val="0"/>
        <w:kinsoku/>
        <w:wordWrap/>
        <w:overflowPunct/>
        <w:topLinePunct w:val="0"/>
        <w:autoSpaceDE/>
        <w:autoSpaceDN/>
        <w:bidi w:val="0"/>
        <w:adjustRightInd/>
        <w:snapToGrid/>
        <w:spacing w:line="360" w:lineRule="auto"/>
        <w:ind w:left="630" w:leftChars="300" w:firstLine="0" w:firstLineChars="0"/>
        <w:textAlignment w:val="auto"/>
        <w:rPr>
          <w:rFonts w:ascii="宋体" w:hAnsi="宋体"/>
          <w:color w:val="auto"/>
          <w:sz w:val="21"/>
          <w:szCs w:val="21"/>
          <w:highlight w:val="none"/>
        </w:rPr>
      </w:pPr>
      <w:r>
        <w:rPr>
          <w:rFonts w:hint="eastAsia" w:ascii="宋体" w:hAnsi="宋体"/>
          <w:color w:val="auto"/>
          <w:sz w:val="21"/>
          <w:szCs w:val="21"/>
          <w:highlight w:val="none"/>
        </w:rPr>
        <w:t>经现场检查清点发现箱件短缺，箱件内的数量、图纸、资料短缺，或有外观缺陷的，发包人负责补齐、自费修复，缺陷未能修复之前不得用于工程。当发包人委托承包人修复缺陷时，另行签订追加合同。因上述情况造成工程关键路径延误的，竣工日期相应顺延。</w:t>
      </w:r>
    </w:p>
    <w:p w14:paraId="1DE51395">
      <w:pPr>
        <w:keepNext w:val="0"/>
        <w:keepLines w:val="0"/>
        <w:pageBreakBefore w:val="0"/>
        <w:widowControl w:val="0"/>
        <w:numPr>
          <w:ilvl w:val="0"/>
          <w:numId w:val="22"/>
        </w:numPr>
        <w:kinsoku/>
        <w:wordWrap/>
        <w:overflowPunct/>
        <w:topLinePunct w:val="0"/>
        <w:autoSpaceDE/>
        <w:autoSpaceDN/>
        <w:bidi w:val="0"/>
        <w:adjustRightInd/>
        <w:snapToGrid/>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承包人根据6.1.2款约定负责提供的永久性工程设备、材料和部件，在运抵现场前5天通知发包人。承包人（包括承包人、或为承包人提供设备、材料和部件的供应商、或分包人）与发包人（包括发包人、或其代表、或其监理人）按每批货物的提货单据清点箱件数量及外观检查，并根据装箱单清点箱内数量、出场合格证、图纸、文件资料及外观检查。经检查清点后，双方人员签署交接清单。</w:t>
      </w:r>
    </w:p>
    <w:p w14:paraId="4C16A999">
      <w:pPr>
        <w:keepNext w:val="0"/>
        <w:keepLines w:val="0"/>
        <w:pageBreakBefore w:val="0"/>
        <w:widowControl w:val="0"/>
        <w:kinsoku/>
        <w:wordWrap/>
        <w:overflowPunct/>
        <w:topLinePunct w:val="0"/>
        <w:autoSpaceDE/>
        <w:autoSpaceDN/>
        <w:bidi w:val="0"/>
        <w:adjustRightInd/>
        <w:snapToGrid/>
        <w:spacing w:line="360" w:lineRule="auto"/>
        <w:ind w:left="630" w:leftChars="300" w:firstLine="0" w:firstLineChars="0"/>
        <w:textAlignment w:val="auto"/>
        <w:rPr>
          <w:rFonts w:ascii="宋体" w:hAnsi="宋体"/>
          <w:color w:val="auto"/>
          <w:sz w:val="21"/>
          <w:szCs w:val="21"/>
          <w:highlight w:val="none"/>
        </w:rPr>
      </w:pPr>
      <w:r>
        <w:rPr>
          <w:rFonts w:hint="eastAsia" w:ascii="宋体" w:hAnsi="宋体"/>
          <w:color w:val="auto"/>
          <w:sz w:val="21"/>
          <w:szCs w:val="21"/>
          <w:highlight w:val="none"/>
        </w:rPr>
        <w:t>经现场检查清点发现箱件短缺，箱件内的数量、图纸、资料短缺，或有外观缺陷的，承包人负责补齐、自费修复，缺陷未能修复之前不得用于工程。因此造成的费用增加、竣工日期延误，由承包人负责。</w:t>
      </w:r>
    </w:p>
    <w:p w14:paraId="5E4C671F">
      <w:pPr>
        <w:keepNext w:val="0"/>
        <w:keepLines w:val="0"/>
        <w:pageBreakBefore w:val="0"/>
        <w:numPr>
          <w:ilvl w:val="2"/>
          <w:numId w:val="11"/>
        </w:numPr>
        <w:tabs>
          <w:tab w:val="left" w:pos="1134"/>
          <w:tab w:val="clear" w:pos="0"/>
        </w:tabs>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质量监督部门及消防、环保等部门的参检。承包人随时接受质量监督部门、消防部门、环保部门、行业等专业检查人员对施工现场检查，其费用由承包人承担。承包人为此提供方便。</w:t>
      </w:r>
    </w:p>
    <w:p w14:paraId="64891674">
      <w:pPr>
        <w:keepNext w:val="0"/>
        <w:keepLines w:val="0"/>
        <w:pageBreakBefore w:val="0"/>
        <w:kinsoku/>
        <w:wordWrap/>
        <w:overflowPunct/>
        <w:topLinePunct w:val="0"/>
        <w:autoSpaceDE/>
        <w:autoSpaceDN/>
        <w:bidi w:val="0"/>
        <w:spacing w:line="360" w:lineRule="auto"/>
        <w:ind w:left="630" w:leftChars="300" w:firstLine="0" w:firstLineChars="0"/>
        <w:textAlignment w:val="auto"/>
        <w:rPr>
          <w:rFonts w:ascii="宋体" w:hAnsi="宋体"/>
          <w:color w:val="auto"/>
          <w:sz w:val="21"/>
          <w:szCs w:val="21"/>
          <w:highlight w:val="none"/>
        </w:rPr>
      </w:pPr>
      <w:r>
        <w:rPr>
          <w:rFonts w:hint="eastAsia" w:ascii="宋体" w:hAnsi="宋体"/>
          <w:color w:val="auto"/>
          <w:sz w:val="21"/>
          <w:szCs w:val="21"/>
          <w:highlight w:val="none"/>
        </w:rPr>
        <w:t>对参检中提出的修改、更换等意见，根据6.1.1款或6.1.2款约定提供的责任方来承担增加的相关费用。因此造成工程关键路径延误的，责任方为承包人时，竣工日期不予延长；责任方为发包人时，竣工日期相应顺延。</w:t>
      </w:r>
    </w:p>
    <w:p w14:paraId="7688FFE7">
      <w:pPr>
        <w:keepNext w:val="0"/>
        <w:keepLines w:val="0"/>
        <w:pageBreakBefore w:val="0"/>
        <w:numPr>
          <w:ilvl w:val="2"/>
          <w:numId w:val="11"/>
        </w:numPr>
        <w:tabs>
          <w:tab w:val="left" w:pos="1134"/>
          <w:tab w:val="clear" w:pos="0"/>
        </w:tabs>
        <w:kinsoku/>
        <w:wordWrap/>
        <w:overflowPunct/>
        <w:topLinePunct w:val="0"/>
        <w:autoSpaceDE/>
        <w:autoSpaceDN/>
        <w:bidi w:val="0"/>
        <w:spacing w:line="360" w:lineRule="auto"/>
        <w:ind w:left="630" w:leftChars="0" w:hanging="630" w:hangingChars="300"/>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合同供货范围包括了相关合同产品、技术资料、安装介质以及技术服务，但在合同执行过程中如发现有任何漏项和短缺，在发货清单中并未列入但确实是承包人供货范围中应该有的，并且是满足合同产品的性能保证要求所必须的，均应由承包人负责将所缺的产品、技术资料、安装介质等补上，且不向发包人收取任何费用。</w:t>
      </w:r>
    </w:p>
    <w:p w14:paraId="2E675898">
      <w:pPr>
        <w:keepNext w:val="0"/>
        <w:keepLines w:val="0"/>
        <w:pageBreakBefore w:val="0"/>
        <w:numPr>
          <w:ilvl w:val="2"/>
          <w:numId w:val="11"/>
        </w:numPr>
        <w:tabs>
          <w:tab w:val="left" w:pos="1134"/>
          <w:tab w:val="clear" w:pos="0"/>
        </w:tabs>
        <w:kinsoku/>
        <w:wordWrap/>
        <w:overflowPunct/>
        <w:topLinePunct w:val="0"/>
        <w:autoSpaceDE/>
        <w:autoSpaceDN/>
        <w:bidi w:val="0"/>
        <w:spacing w:line="360" w:lineRule="auto"/>
        <w:ind w:left="630" w:leftChars="0" w:hanging="630" w:hangingChars="300"/>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材料设备在使用前，承包人应按照国家有关规范和规定的要求进行检验或试验，不合格的不得使用，检验或试验费用由承包人承担。</w:t>
      </w:r>
    </w:p>
    <w:p w14:paraId="364C7BC2">
      <w:pPr>
        <w:keepNext w:val="0"/>
        <w:keepLines w:val="0"/>
        <w:pageBreakBefore w:val="0"/>
        <w:numPr>
          <w:ilvl w:val="1"/>
          <w:numId w:val="11"/>
        </w:numPr>
        <w:kinsoku/>
        <w:wordWrap/>
        <w:overflowPunct/>
        <w:topLinePunct w:val="0"/>
        <w:autoSpaceDE/>
        <w:autoSpaceDN/>
        <w:bidi w:val="0"/>
        <w:spacing w:line="360" w:lineRule="auto"/>
        <w:ind w:left="632" w:leftChars="0" w:hanging="632" w:hangingChars="300"/>
        <w:textAlignment w:val="auto"/>
        <w:outlineLvl w:val="3"/>
        <w:rPr>
          <w:rFonts w:ascii="宋体" w:hAnsi="宋体"/>
          <w:b/>
          <w:color w:val="auto"/>
          <w:sz w:val="21"/>
          <w:szCs w:val="21"/>
          <w:highlight w:val="none"/>
        </w:rPr>
      </w:pPr>
      <w:bookmarkStart w:id="110" w:name="_Toc76719934"/>
      <w:r>
        <w:rPr>
          <w:rFonts w:hint="eastAsia" w:ascii="宋体" w:hAnsi="宋体"/>
          <w:b/>
          <w:color w:val="auto"/>
          <w:sz w:val="21"/>
          <w:szCs w:val="21"/>
          <w:highlight w:val="none"/>
        </w:rPr>
        <w:t>进口工程物资和报关、清关</w:t>
      </w:r>
      <w:bookmarkEnd w:id="110"/>
    </w:p>
    <w:p w14:paraId="4FDB68C0">
      <w:pPr>
        <w:keepNext w:val="0"/>
        <w:keepLines w:val="0"/>
        <w:pageBreakBefore w:val="0"/>
        <w:numPr>
          <w:ilvl w:val="2"/>
          <w:numId w:val="11"/>
        </w:numPr>
        <w:tabs>
          <w:tab w:val="left" w:pos="1134"/>
          <w:tab w:val="clear" w:pos="0"/>
        </w:tabs>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永久性工程设备、材料和部件的进口采购责任方，及采购方式，在专用条款中约定。采购责任方负责报关、清关，另一方有义务协助。</w:t>
      </w:r>
    </w:p>
    <w:p w14:paraId="1B42AFE6">
      <w:pPr>
        <w:keepNext w:val="0"/>
        <w:keepLines w:val="0"/>
        <w:pageBreakBefore w:val="0"/>
        <w:numPr>
          <w:ilvl w:val="2"/>
          <w:numId w:val="11"/>
        </w:numPr>
        <w:tabs>
          <w:tab w:val="left" w:pos="1134"/>
          <w:tab w:val="clear" w:pos="0"/>
        </w:tabs>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因进口工程设备、材料和部件的报关、清关的延误，造成工程关键路径延误时，承包人负责进口采购的， 竣工日期不予延长，增加的费用由承包人承担；发包人负责进口采购的，竣工日期给予相应延长。</w:t>
      </w:r>
    </w:p>
    <w:p w14:paraId="4E41E45F">
      <w:pPr>
        <w:keepNext w:val="0"/>
        <w:keepLines w:val="0"/>
        <w:pageBreakBefore w:val="0"/>
        <w:numPr>
          <w:ilvl w:val="1"/>
          <w:numId w:val="11"/>
        </w:numPr>
        <w:kinsoku/>
        <w:wordWrap/>
        <w:overflowPunct/>
        <w:topLinePunct w:val="0"/>
        <w:autoSpaceDE/>
        <w:autoSpaceDN/>
        <w:bidi w:val="0"/>
        <w:spacing w:line="360" w:lineRule="auto"/>
        <w:ind w:left="632" w:leftChars="0" w:hanging="632" w:hangingChars="300"/>
        <w:textAlignment w:val="auto"/>
        <w:outlineLvl w:val="3"/>
        <w:rPr>
          <w:rFonts w:ascii="宋体" w:hAnsi="宋体"/>
          <w:b/>
          <w:color w:val="auto"/>
          <w:sz w:val="21"/>
          <w:szCs w:val="21"/>
          <w:highlight w:val="none"/>
        </w:rPr>
      </w:pPr>
      <w:bookmarkStart w:id="111" w:name="_Toc76719935"/>
      <w:r>
        <w:rPr>
          <w:rFonts w:hint="eastAsia" w:ascii="宋体" w:hAnsi="宋体"/>
          <w:b/>
          <w:color w:val="auto"/>
          <w:sz w:val="21"/>
          <w:szCs w:val="21"/>
          <w:highlight w:val="none"/>
        </w:rPr>
        <w:t>物资运输</w:t>
      </w:r>
      <w:bookmarkEnd w:id="111"/>
    </w:p>
    <w:p w14:paraId="02CE5EA0">
      <w:pPr>
        <w:keepNext w:val="0"/>
        <w:keepLines w:val="0"/>
        <w:pageBreakBefore w:val="0"/>
        <w:kinsoku/>
        <w:wordWrap/>
        <w:overflowPunct/>
        <w:topLinePunct w:val="0"/>
        <w:autoSpaceDE/>
        <w:autoSpaceDN/>
        <w:bidi w:val="0"/>
        <w:spacing w:line="360" w:lineRule="auto"/>
        <w:ind w:left="630" w:leftChars="300" w:firstLine="0" w:firstLineChars="0"/>
        <w:textAlignment w:val="auto"/>
        <w:rPr>
          <w:rFonts w:ascii="宋体" w:hAnsi="宋体"/>
          <w:color w:val="auto"/>
          <w:sz w:val="21"/>
          <w:szCs w:val="21"/>
          <w:highlight w:val="none"/>
        </w:rPr>
      </w:pPr>
      <w:r>
        <w:rPr>
          <w:rFonts w:hint="eastAsia" w:ascii="宋体" w:hAnsi="宋体"/>
          <w:color w:val="auto"/>
          <w:sz w:val="21"/>
          <w:szCs w:val="21"/>
          <w:highlight w:val="none"/>
        </w:rPr>
        <w:t>工程物资的运输，由承包人负责，超限运输和特殊措施等全部费用，包含在合同价格内。因超限物资运输造成的费用增加，由承包人承担。造成工程关键路径延误时，竣工日期不予延长。</w:t>
      </w:r>
    </w:p>
    <w:p w14:paraId="5E2E132F">
      <w:pPr>
        <w:keepNext w:val="0"/>
        <w:keepLines w:val="0"/>
        <w:pageBreakBefore w:val="0"/>
        <w:numPr>
          <w:ilvl w:val="1"/>
          <w:numId w:val="11"/>
        </w:numPr>
        <w:kinsoku/>
        <w:wordWrap/>
        <w:overflowPunct/>
        <w:topLinePunct w:val="0"/>
        <w:autoSpaceDE/>
        <w:autoSpaceDN/>
        <w:bidi w:val="0"/>
        <w:spacing w:line="360" w:lineRule="auto"/>
        <w:ind w:left="632" w:leftChars="0" w:hanging="632" w:hangingChars="300"/>
        <w:textAlignment w:val="auto"/>
        <w:outlineLvl w:val="3"/>
        <w:rPr>
          <w:rFonts w:ascii="宋体" w:hAnsi="宋体"/>
          <w:b/>
          <w:color w:val="auto"/>
          <w:sz w:val="21"/>
          <w:szCs w:val="21"/>
          <w:highlight w:val="none"/>
        </w:rPr>
      </w:pPr>
      <w:bookmarkStart w:id="112" w:name="_Toc76719936"/>
      <w:r>
        <w:rPr>
          <w:rFonts w:hint="eastAsia" w:ascii="宋体" w:hAnsi="宋体"/>
          <w:b/>
          <w:color w:val="auto"/>
          <w:sz w:val="21"/>
          <w:szCs w:val="21"/>
          <w:highlight w:val="none"/>
        </w:rPr>
        <w:t>重新订货及后果</w:t>
      </w:r>
      <w:bookmarkEnd w:id="112"/>
    </w:p>
    <w:p w14:paraId="3F59E4C5">
      <w:pPr>
        <w:keepNext w:val="0"/>
        <w:keepLines w:val="0"/>
        <w:pageBreakBefore w:val="0"/>
        <w:numPr>
          <w:ilvl w:val="2"/>
          <w:numId w:val="11"/>
        </w:numPr>
        <w:tabs>
          <w:tab w:val="left" w:pos="1134"/>
          <w:tab w:val="clear" w:pos="0"/>
        </w:tabs>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依据6.1.1款及6.3.1款的约定，由发包人负责提供的永久性工程设备、材料和部件存在缺陷时，经发包人组织修复仍不合格的，由发包人负责重新订货并运抵现场。因此造成承包人的停工、窝工，由发包人承担所发生的实际费用；导致关键路径延误时，竣工日期相应顺延。</w:t>
      </w:r>
    </w:p>
    <w:p w14:paraId="571D8181">
      <w:pPr>
        <w:keepNext w:val="0"/>
        <w:keepLines w:val="0"/>
        <w:pageBreakBefore w:val="0"/>
        <w:numPr>
          <w:ilvl w:val="2"/>
          <w:numId w:val="11"/>
        </w:numPr>
        <w:tabs>
          <w:tab w:val="left" w:pos="1134"/>
          <w:tab w:val="clear" w:pos="0"/>
        </w:tabs>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依据6.1.2款及6.3.1款的约定，由承包人负责提供的永久性工程设备、材料和部件存在缺陷时，经承包人修复仍不合格的，由承包人负责重新订货并运抵现场。因此造成的费用增加，由承包人承担。造成工程进度延误的，竣工日期不予顺延。</w:t>
      </w:r>
    </w:p>
    <w:p w14:paraId="06EA2AFB">
      <w:pPr>
        <w:keepNext w:val="0"/>
        <w:keepLines w:val="0"/>
        <w:pageBreakBefore w:val="0"/>
        <w:numPr>
          <w:ilvl w:val="1"/>
          <w:numId w:val="11"/>
        </w:numPr>
        <w:kinsoku/>
        <w:wordWrap/>
        <w:overflowPunct/>
        <w:topLinePunct w:val="0"/>
        <w:autoSpaceDE/>
        <w:autoSpaceDN/>
        <w:bidi w:val="0"/>
        <w:spacing w:line="360" w:lineRule="auto"/>
        <w:ind w:left="632" w:leftChars="0" w:hanging="632" w:hangingChars="300"/>
        <w:textAlignment w:val="auto"/>
        <w:outlineLvl w:val="3"/>
        <w:rPr>
          <w:rFonts w:ascii="宋体" w:hAnsi="宋体"/>
          <w:b/>
          <w:color w:val="auto"/>
          <w:sz w:val="21"/>
          <w:szCs w:val="21"/>
          <w:highlight w:val="none"/>
        </w:rPr>
      </w:pPr>
      <w:bookmarkStart w:id="113" w:name="_Toc76719937"/>
      <w:r>
        <w:rPr>
          <w:rFonts w:hint="eastAsia" w:ascii="宋体" w:hAnsi="宋体"/>
          <w:b/>
          <w:color w:val="auto"/>
          <w:sz w:val="21"/>
          <w:szCs w:val="21"/>
          <w:highlight w:val="none"/>
        </w:rPr>
        <w:t>工程物资保管与剩余</w:t>
      </w:r>
      <w:bookmarkEnd w:id="113"/>
    </w:p>
    <w:p w14:paraId="6D8B57CE">
      <w:pPr>
        <w:keepNext w:val="0"/>
        <w:keepLines w:val="0"/>
        <w:pageBreakBefore w:val="0"/>
        <w:numPr>
          <w:ilvl w:val="2"/>
          <w:numId w:val="11"/>
        </w:numPr>
        <w:tabs>
          <w:tab w:val="left" w:pos="1134"/>
          <w:tab w:val="clear" w:pos="0"/>
        </w:tabs>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工程物资保管。根据6.1.1款由发包人负责提供并运抵现场的工程物资、及6.1.2款由承包人负责提供的工程物资均由承包人负责保管。</w:t>
      </w:r>
    </w:p>
    <w:p w14:paraId="0CB8017C">
      <w:pPr>
        <w:keepNext w:val="0"/>
        <w:keepLines w:val="0"/>
        <w:pageBreakBefore w:val="0"/>
        <w:kinsoku/>
        <w:wordWrap/>
        <w:overflowPunct/>
        <w:topLinePunct w:val="0"/>
        <w:autoSpaceDE/>
        <w:autoSpaceDN/>
        <w:bidi w:val="0"/>
        <w:spacing w:line="360" w:lineRule="auto"/>
        <w:ind w:left="630" w:leftChars="300" w:firstLine="0" w:firstLineChars="0"/>
        <w:textAlignment w:val="auto"/>
        <w:rPr>
          <w:rFonts w:ascii="宋体" w:hAnsi="宋体"/>
          <w:color w:val="auto"/>
          <w:sz w:val="21"/>
          <w:szCs w:val="21"/>
          <w:highlight w:val="none"/>
        </w:rPr>
      </w:pPr>
      <w:r>
        <w:rPr>
          <w:rFonts w:hint="eastAsia" w:ascii="宋体" w:hAnsi="宋体"/>
          <w:color w:val="auto"/>
          <w:sz w:val="21"/>
          <w:szCs w:val="21"/>
          <w:highlight w:val="none"/>
        </w:rPr>
        <w:t>承包人按说明书的相关规定进行保管、维护、保养，防止变形、变质、污染和对人身造成伤害。在专用条款约定承包人提交保管维护方案的时间，方案包括：工程物资分类和保管、保养、保安、领用制度，以及库房、特殊保管库房、堆场、道路、照明、消防、设施、器具等规划。保管所需的一切费用，包含在合同价格内。由发包人提供的库房、堆场、设施和设备，在专用条款中约定。</w:t>
      </w:r>
    </w:p>
    <w:p w14:paraId="4E6FC43D">
      <w:pPr>
        <w:keepNext w:val="0"/>
        <w:keepLines w:val="0"/>
        <w:pageBreakBefore w:val="0"/>
        <w:numPr>
          <w:ilvl w:val="2"/>
          <w:numId w:val="11"/>
        </w:numPr>
        <w:tabs>
          <w:tab w:val="left" w:pos="1134"/>
          <w:tab w:val="clear" w:pos="0"/>
        </w:tabs>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剩余工程物资的移交。承包人为永久性工程保管的物资，在竣工试验完成后，剩余的工程物资无偿移交给发包人（除非专用条款另有约定）。</w:t>
      </w:r>
    </w:p>
    <w:p w14:paraId="54AE7577">
      <w:pPr>
        <w:keepNext w:val="0"/>
        <w:keepLines w:val="0"/>
        <w:pageBreakBefore w:val="0"/>
        <w:numPr>
          <w:ilvl w:val="0"/>
          <w:numId w:val="11"/>
        </w:numPr>
        <w:kinsoku/>
        <w:wordWrap/>
        <w:overflowPunct/>
        <w:topLinePunct w:val="0"/>
        <w:autoSpaceDE/>
        <w:autoSpaceDN/>
        <w:bidi w:val="0"/>
        <w:spacing w:line="360" w:lineRule="auto"/>
        <w:ind w:left="632" w:leftChars="0" w:hanging="632" w:hangingChars="300"/>
        <w:textAlignment w:val="auto"/>
        <w:outlineLvl w:val="2"/>
        <w:rPr>
          <w:rFonts w:ascii="宋体" w:hAnsi="宋体"/>
          <w:b/>
          <w:color w:val="auto"/>
          <w:sz w:val="21"/>
          <w:szCs w:val="21"/>
          <w:highlight w:val="none"/>
        </w:rPr>
      </w:pPr>
      <w:bookmarkStart w:id="114" w:name="_Toc76719938"/>
      <w:bookmarkStart w:id="115" w:name="_Toc80633157"/>
      <w:bookmarkStart w:id="116" w:name="_Toc363718999"/>
      <w:r>
        <w:rPr>
          <w:rFonts w:hint="eastAsia" w:ascii="宋体" w:hAnsi="宋体"/>
          <w:b/>
          <w:color w:val="auto"/>
          <w:sz w:val="21"/>
          <w:szCs w:val="21"/>
          <w:highlight w:val="none"/>
        </w:rPr>
        <w:t>施工</w:t>
      </w:r>
      <w:bookmarkEnd w:id="114"/>
      <w:bookmarkEnd w:id="115"/>
      <w:bookmarkEnd w:id="116"/>
    </w:p>
    <w:p w14:paraId="1A08A390">
      <w:pPr>
        <w:keepNext w:val="0"/>
        <w:keepLines w:val="0"/>
        <w:pageBreakBefore w:val="0"/>
        <w:widowControl w:val="0"/>
        <w:numPr>
          <w:ilvl w:val="1"/>
          <w:numId w:val="11"/>
        </w:numPr>
        <w:kinsoku/>
        <w:wordWrap/>
        <w:overflowPunct/>
        <w:topLinePunct w:val="0"/>
        <w:autoSpaceDE/>
        <w:autoSpaceDN/>
        <w:bidi w:val="0"/>
        <w:adjustRightInd/>
        <w:snapToGrid/>
        <w:spacing w:line="360" w:lineRule="auto"/>
        <w:ind w:left="632" w:leftChars="0" w:hanging="632" w:hangingChars="300"/>
        <w:textAlignment w:val="auto"/>
        <w:outlineLvl w:val="3"/>
        <w:rPr>
          <w:rFonts w:ascii="宋体" w:hAnsi="宋体"/>
          <w:b/>
          <w:color w:val="auto"/>
          <w:sz w:val="21"/>
          <w:szCs w:val="21"/>
          <w:highlight w:val="none"/>
        </w:rPr>
      </w:pPr>
      <w:bookmarkStart w:id="117" w:name="_Toc76719939"/>
      <w:r>
        <w:rPr>
          <w:rFonts w:hint="eastAsia" w:ascii="宋体" w:hAnsi="宋体"/>
          <w:b/>
          <w:color w:val="auto"/>
          <w:sz w:val="21"/>
          <w:szCs w:val="21"/>
          <w:highlight w:val="none"/>
        </w:rPr>
        <w:t>发包人的义务</w:t>
      </w:r>
      <w:bookmarkEnd w:id="117"/>
    </w:p>
    <w:p w14:paraId="3F157A66">
      <w:pPr>
        <w:keepNext w:val="0"/>
        <w:keepLines w:val="0"/>
        <w:pageBreakBefore w:val="0"/>
        <w:numPr>
          <w:ilvl w:val="2"/>
          <w:numId w:val="11"/>
        </w:numPr>
        <w:tabs>
          <w:tab w:val="left" w:pos="1134"/>
          <w:tab w:val="clear" w:pos="0"/>
        </w:tabs>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审查总体施工组织设计。发包人有权对承包人根据</w:t>
      </w:r>
      <w:r>
        <w:rPr>
          <w:rFonts w:ascii="宋体" w:hAnsi="宋体"/>
          <w:color w:val="auto"/>
          <w:sz w:val="21"/>
          <w:szCs w:val="21"/>
          <w:highlight w:val="none"/>
        </w:rPr>
        <w:t>7.</w:t>
      </w:r>
      <w:r>
        <w:rPr>
          <w:rFonts w:hint="eastAsia" w:ascii="宋体" w:hAnsi="宋体"/>
          <w:color w:val="auto"/>
          <w:sz w:val="21"/>
          <w:szCs w:val="21"/>
          <w:highlight w:val="none"/>
        </w:rPr>
        <w:t>2</w:t>
      </w:r>
      <w:r>
        <w:rPr>
          <w:rFonts w:ascii="宋体" w:hAnsi="宋体"/>
          <w:color w:val="auto"/>
          <w:sz w:val="21"/>
          <w:szCs w:val="21"/>
          <w:highlight w:val="none"/>
        </w:rPr>
        <w:t>.</w:t>
      </w:r>
      <w:r>
        <w:rPr>
          <w:rFonts w:hint="eastAsia" w:ascii="宋体" w:hAnsi="宋体"/>
          <w:color w:val="auto"/>
          <w:sz w:val="21"/>
          <w:szCs w:val="21"/>
          <w:highlight w:val="none"/>
        </w:rPr>
        <w:t>2款约定提交的总体施工组织设计进行审查，并在收到后的20日内提出建议、要求和补充要求。发包人的建议和要求，并不能减轻或免除承包人的任何合同责任。发包人未能在20日内提出任何建议和要求的，承包人有权按提交的总体施工组织设计实施。</w:t>
      </w:r>
    </w:p>
    <w:p w14:paraId="5815C6DC">
      <w:pPr>
        <w:keepNext w:val="0"/>
        <w:keepLines w:val="0"/>
        <w:pageBreakBefore w:val="0"/>
        <w:numPr>
          <w:ilvl w:val="2"/>
          <w:numId w:val="11"/>
        </w:numPr>
        <w:tabs>
          <w:tab w:val="left" w:pos="1134"/>
          <w:tab w:val="clear" w:pos="0"/>
        </w:tabs>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进场条件和进场日期。发包人根据批准的初步设计和7.2.3款约定由承包人提交的临时占地资料，与承包人约定进场条件，确定进场日期。发包人完成用地许可、拆迁及补偿等工作，保证承包人能够按时进入现场开始准备工作。进场条件和进场日期在专用条款约定。施工与进场道路由承办人完成。</w:t>
      </w:r>
    </w:p>
    <w:p w14:paraId="54D7E655">
      <w:pPr>
        <w:keepNext w:val="0"/>
        <w:keepLines w:val="0"/>
        <w:pageBreakBefore w:val="0"/>
        <w:numPr>
          <w:ilvl w:val="2"/>
          <w:numId w:val="11"/>
        </w:numPr>
        <w:tabs>
          <w:tab w:val="left" w:pos="1134"/>
          <w:tab w:val="clear" w:pos="0"/>
        </w:tabs>
        <w:kinsoku/>
        <w:wordWrap/>
        <w:overflowPunct/>
        <w:topLinePunct w:val="0"/>
        <w:autoSpaceDE/>
        <w:autoSpaceDN/>
        <w:bidi w:val="0"/>
        <w:adjustRightInd w:val="0"/>
        <w:snapToGrid w:val="0"/>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工程竣工验收前施工用电、用水的接出点由承包人与厂家协商并直接支付水电费，承包人负责自行设置和安装计量装置并负责全部相关费用。承包人在施工过程中，需办理开工等批准手续，发包人应协助办理。</w:t>
      </w:r>
    </w:p>
    <w:p w14:paraId="3B981827">
      <w:pPr>
        <w:keepNext w:val="0"/>
        <w:keepLines w:val="0"/>
        <w:pageBreakBefore w:val="0"/>
        <w:numPr>
          <w:ilvl w:val="2"/>
          <w:numId w:val="11"/>
        </w:numPr>
        <w:tabs>
          <w:tab w:val="left" w:pos="1134"/>
          <w:tab w:val="clear" w:pos="0"/>
        </w:tabs>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提供施工障碍资料。发包人按合同约定的内容和时间提供与施工场地相关的地下和地上的建筑物、构筑物和其他设施的坐标位置。发包人根据</w:t>
      </w:r>
      <w:r>
        <w:rPr>
          <w:rFonts w:ascii="宋体" w:hAnsi="宋体"/>
          <w:color w:val="auto"/>
          <w:sz w:val="21"/>
          <w:szCs w:val="21"/>
          <w:highlight w:val="none"/>
        </w:rPr>
        <w:t>5.</w:t>
      </w:r>
      <w:r>
        <w:rPr>
          <w:rFonts w:hint="eastAsia" w:ascii="宋体" w:hAnsi="宋体"/>
          <w:color w:val="auto"/>
          <w:sz w:val="21"/>
          <w:szCs w:val="21"/>
          <w:highlight w:val="none"/>
        </w:rPr>
        <w:t>2</w:t>
      </w:r>
      <w:r>
        <w:rPr>
          <w:rFonts w:ascii="宋体" w:hAnsi="宋体"/>
          <w:color w:val="auto"/>
          <w:sz w:val="21"/>
          <w:szCs w:val="21"/>
          <w:highlight w:val="none"/>
        </w:rPr>
        <w:t>.1</w:t>
      </w:r>
      <w:r>
        <w:rPr>
          <w:rFonts w:hint="eastAsia" w:ascii="宋体" w:hAnsi="宋体"/>
          <w:color w:val="auto"/>
          <w:sz w:val="21"/>
          <w:szCs w:val="21"/>
          <w:highlight w:val="none"/>
        </w:rPr>
        <w:t>款第（</w:t>
      </w:r>
      <w:r>
        <w:rPr>
          <w:rFonts w:ascii="宋体" w:hAnsi="宋体"/>
          <w:color w:val="auto"/>
          <w:sz w:val="21"/>
          <w:szCs w:val="21"/>
          <w:highlight w:val="none"/>
        </w:rPr>
        <w:t>1</w:t>
      </w:r>
      <w:r>
        <w:rPr>
          <w:rFonts w:hint="eastAsia" w:ascii="宋体" w:hAnsi="宋体"/>
          <w:color w:val="auto"/>
          <w:sz w:val="21"/>
          <w:szCs w:val="21"/>
          <w:highlight w:val="none"/>
        </w:rPr>
        <w:t>）项、第（</w:t>
      </w:r>
      <w:r>
        <w:rPr>
          <w:rFonts w:ascii="宋体" w:hAnsi="宋体"/>
          <w:color w:val="auto"/>
          <w:sz w:val="21"/>
          <w:szCs w:val="21"/>
          <w:highlight w:val="none"/>
        </w:rPr>
        <w:t>2</w:t>
      </w:r>
      <w:r>
        <w:rPr>
          <w:rFonts w:hint="eastAsia" w:ascii="宋体" w:hAnsi="宋体"/>
          <w:color w:val="auto"/>
          <w:sz w:val="21"/>
          <w:szCs w:val="21"/>
          <w:highlight w:val="none"/>
        </w:rPr>
        <w:t>）项的约定，已经提供的不再提供。承包人对发包人在合同约定时间之后提供的障碍资料，依据13.2.3款施工变更的约定提交变更申请，发包人给予合理批准。</w:t>
      </w:r>
    </w:p>
    <w:p w14:paraId="1DD7E002">
      <w:pPr>
        <w:keepNext w:val="0"/>
        <w:keepLines w:val="0"/>
        <w:pageBreakBefore w:val="0"/>
        <w:numPr>
          <w:ilvl w:val="2"/>
          <w:numId w:val="11"/>
        </w:numPr>
        <w:tabs>
          <w:tab w:val="left" w:pos="1134"/>
          <w:tab w:val="clear" w:pos="0"/>
        </w:tabs>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承包人新发现的施工障碍。发包人根据承包人按照7.2.7款的约定发出的通知，与有关单位联系、协调、处理施工场地周围及临近的影响工程实施的建筑物、构筑物、文物建筑、古树、名木、地下管线、线缆、构筑物以及地下文物、化石和坟墓等的保护工作，并承担相关费用。</w:t>
      </w:r>
    </w:p>
    <w:p w14:paraId="2A9C570C">
      <w:pPr>
        <w:keepNext w:val="0"/>
        <w:keepLines w:val="0"/>
        <w:pageBreakBefore w:val="0"/>
        <w:kinsoku/>
        <w:wordWrap/>
        <w:overflowPunct/>
        <w:topLinePunct w:val="0"/>
        <w:autoSpaceDE/>
        <w:autoSpaceDN/>
        <w:bidi w:val="0"/>
        <w:spacing w:line="360" w:lineRule="auto"/>
        <w:ind w:left="630" w:leftChars="300" w:firstLine="0" w:firstLineChars="0"/>
        <w:textAlignment w:val="auto"/>
        <w:rPr>
          <w:rFonts w:ascii="宋体" w:hAnsi="宋体"/>
          <w:color w:val="auto"/>
          <w:sz w:val="21"/>
          <w:szCs w:val="21"/>
          <w:highlight w:val="none"/>
        </w:rPr>
      </w:pPr>
      <w:r>
        <w:rPr>
          <w:rFonts w:hint="eastAsia" w:ascii="宋体" w:hAnsi="宋体"/>
          <w:color w:val="auto"/>
          <w:sz w:val="21"/>
          <w:szCs w:val="21"/>
          <w:highlight w:val="none"/>
        </w:rPr>
        <w:t>对于新发现的施工障碍，承包人可依据14.1.3款的约定提交施工变更申请，发包人给予合理批准。施工障碍导致工程关键路径延误的，竣工日期相应顺延。</w:t>
      </w:r>
    </w:p>
    <w:p w14:paraId="3D371F8B">
      <w:pPr>
        <w:keepNext w:val="0"/>
        <w:keepLines w:val="0"/>
        <w:pageBreakBefore w:val="0"/>
        <w:numPr>
          <w:ilvl w:val="2"/>
          <w:numId w:val="11"/>
        </w:numPr>
        <w:tabs>
          <w:tab w:val="left" w:pos="1134"/>
          <w:tab w:val="clear" w:pos="0"/>
        </w:tabs>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发包人在收到承包人根据7.8款约定提交的“健康、安全、环境”管理计划后20日内对之进行确认。发包人有权检查其实施情况并对检查中发现的问题提出整改建议，承包人按照发包人合理建议自费整改。</w:t>
      </w:r>
    </w:p>
    <w:p w14:paraId="2AF038E0">
      <w:pPr>
        <w:keepNext w:val="0"/>
        <w:keepLines w:val="0"/>
        <w:pageBreakBefore w:val="0"/>
        <w:numPr>
          <w:ilvl w:val="2"/>
          <w:numId w:val="11"/>
        </w:numPr>
        <w:tabs>
          <w:tab w:val="left" w:pos="1134"/>
          <w:tab w:val="clear" w:pos="0"/>
        </w:tabs>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发包人履行专用条款中约定的由发包人履行的其他义务。</w:t>
      </w:r>
    </w:p>
    <w:p w14:paraId="5245D1C4">
      <w:pPr>
        <w:keepNext w:val="0"/>
        <w:keepLines w:val="0"/>
        <w:pageBreakBefore w:val="0"/>
        <w:widowControl w:val="0"/>
        <w:numPr>
          <w:ilvl w:val="1"/>
          <w:numId w:val="11"/>
        </w:numPr>
        <w:kinsoku/>
        <w:wordWrap/>
        <w:overflowPunct/>
        <w:topLinePunct w:val="0"/>
        <w:autoSpaceDE/>
        <w:autoSpaceDN/>
        <w:bidi w:val="0"/>
        <w:adjustRightInd/>
        <w:snapToGrid/>
        <w:spacing w:line="360" w:lineRule="auto"/>
        <w:ind w:left="632" w:leftChars="0" w:hanging="632" w:hangingChars="300"/>
        <w:textAlignment w:val="auto"/>
        <w:outlineLvl w:val="3"/>
        <w:rPr>
          <w:rFonts w:ascii="宋体" w:hAnsi="宋体"/>
          <w:b/>
          <w:color w:val="auto"/>
          <w:sz w:val="21"/>
          <w:szCs w:val="21"/>
          <w:highlight w:val="none"/>
        </w:rPr>
      </w:pPr>
      <w:bookmarkStart w:id="118" w:name="_Toc76719940"/>
      <w:r>
        <w:rPr>
          <w:rFonts w:hint="eastAsia" w:ascii="宋体" w:hAnsi="宋体"/>
          <w:b/>
          <w:color w:val="auto"/>
          <w:sz w:val="21"/>
          <w:szCs w:val="21"/>
          <w:highlight w:val="none"/>
        </w:rPr>
        <w:t>承包人的义务</w:t>
      </w:r>
      <w:bookmarkEnd w:id="118"/>
    </w:p>
    <w:p w14:paraId="1B3C064B">
      <w:pPr>
        <w:keepNext w:val="0"/>
        <w:keepLines w:val="0"/>
        <w:pageBreakBefore w:val="0"/>
        <w:numPr>
          <w:ilvl w:val="2"/>
          <w:numId w:val="11"/>
        </w:numPr>
        <w:tabs>
          <w:tab w:val="left" w:pos="1134"/>
          <w:tab w:val="clear" w:pos="0"/>
        </w:tabs>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坐标复验和放线。承包人有义务在现场与发包人共同复验基准坐标资料（含基准控制点、基准控制标高和基准坐标控制线）。承包人按发包人提供的基准坐标资料，对工程、单项工程、施工部位放线，并对放线的准确性负责。</w:t>
      </w:r>
    </w:p>
    <w:p w14:paraId="28447C57">
      <w:pPr>
        <w:keepNext w:val="0"/>
        <w:keepLines w:val="0"/>
        <w:pageBreakBefore w:val="0"/>
        <w:kinsoku/>
        <w:wordWrap/>
        <w:overflowPunct/>
        <w:topLinePunct w:val="0"/>
        <w:autoSpaceDE/>
        <w:autoSpaceDN/>
        <w:bidi w:val="0"/>
        <w:spacing w:line="360" w:lineRule="auto"/>
        <w:ind w:left="630" w:leftChars="300" w:firstLine="0" w:firstLineChars="0"/>
        <w:textAlignment w:val="auto"/>
        <w:rPr>
          <w:rFonts w:ascii="宋体" w:hAnsi="宋体"/>
          <w:color w:val="auto"/>
          <w:sz w:val="21"/>
          <w:szCs w:val="21"/>
          <w:highlight w:val="none"/>
        </w:rPr>
      </w:pPr>
      <w:r>
        <w:rPr>
          <w:rFonts w:hint="eastAsia" w:ascii="宋体" w:hAnsi="宋体"/>
          <w:color w:val="auto"/>
          <w:sz w:val="21"/>
          <w:szCs w:val="21"/>
          <w:highlight w:val="none"/>
        </w:rPr>
        <w:t>承包人有义务提出并纠正发包人提供的基准坐标资料中的差错。</w:t>
      </w:r>
    </w:p>
    <w:p w14:paraId="7FD7C774">
      <w:pPr>
        <w:keepNext w:val="0"/>
        <w:keepLines w:val="0"/>
        <w:pageBreakBefore w:val="0"/>
        <w:numPr>
          <w:ilvl w:val="2"/>
          <w:numId w:val="11"/>
        </w:numPr>
        <w:tabs>
          <w:tab w:val="left" w:pos="1134"/>
          <w:tab w:val="clear" w:pos="0"/>
        </w:tabs>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施工组织设计。承包人在施工开工</w:t>
      </w:r>
      <w:r>
        <w:rPr>
          <w:rFonts w:ascii="宋体" w:hAnsi="宋体"/>
          <w:color w:val="auto"/>
          <w:sz w:val="21"/>
          <w:szCs w:val="21"/>
          <w:highlight w:val="none"/>
        </w:rPr>
        <w:t>15</w:t>
      </w:r>
      <w:r>
        <w:rPr>
          <w:rFonts w:hint="eastAsia" w:ascii="宋体" w:hAnsi="宋体"/>
          <w:color w:val="auto"/>
          <w:sz w:val="21"/>
          <w:szCs w:val="21"/>
          <w:highlight w:val="none"/>
        </w:rPr>
        <w:t>天前或约定的其他时间内，向发包人提交总体施工组织设计。随着施工进展向发包人提交主要单项工程和主要分部分项工程的施工组织设计。对发包人提出的合理建议和要求，承包人自费修改完善。</w:t>
      </w:r>
    </w:p>
    <w:p w14:paraId="2526F848">
      <w:pPr>
        <w:keepNext w:val="0"/>
        <w:keepLines w:val="0"/>
        <w:pageBreakBefore w:val="0"/>
        <w:kinsoku/>
        <w:wordWrap/>
        <w:overflowPunct/>
        <w:topLinePunct w:val="0"/>
        <w:autoSpaceDE/>
        <w:autoSpaceDN/>
        <w:bidi w:val="0"/>
        <w:spacing w:line="360" w:lineRule="auto"/>
        <w:ind w:left="630" w:leftChars="300" w:firstLine="0" w:firstLineChars="0"/>
        <w:textAlignment w:val="auto"/>
        <w:rPr>
          <w:rFonts w:hint="eastAsia" w:ascii="宋体" w:hAnsi="宋体" w:eastAsia="宋体"/>
          <w:b/>
          <w:bCs/>
          <w:color w:val="auto"/>
          <w:sz w:val="21"/>
          <w:szCs w:val="21"/>
          <w:highlight w:val="none"/>
          <w:lang w:eastAsia="zh-CN"/>
        </w:rPr>
      </w:pPr>
      <w:r>
        <w:rPr>
          <w:rFonts w:hint="eastAsia" w:ascii="宋体" w:hAnsi="宋体"/>
          <w:color w:val="auto"/>
          <w:sz w:val="21"/>
          <w:szCs w:val="21"/>
          <w:highlight w:val="none"/>
        </w:rPr>
        <w:t>总体施工组织设计提交的份数和时间，及需提交施工组织设计的主要单项工程和主要分部分项工程的名称、份数和时间，在专用条款中约定。</w:t>
      </w:r>
    </w:p>
    <w:p w14:paraId="003E9AEF">
      <w:pPr>
        <w:keepNext w:val="0"/>
        <w:keepLines w:val="0"/>
        <w:pageBreakBefore w:val="0"/>
        <w:numPr>
          <w:ilvl w:val="2"/>
          <w:numId w:val="11"/>
        </w:numPr>
        <w:tabs>
          <w:tab w:val="left" w:pos="1134"/>
          <w:tab w:val="clear" w:pos="0"/>
        </w:tabs>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提交临时占地资料。承包人按专用条款约定的时间向发包人提交</w:t>
      </w:r>
    </w:p>
    <w:p w14:paraId="5BB23DD2">
      <w:pPr>
        <w:keepNext w:val="0"/>
        <w:keepLines w:val="0"/>
        <w:pageBreakBefore w:val="0"/>
        <w:widowControl w:val="0"/>
        <w:numPr>
          <w:ilvl w:val="0"/>
          <w:numId w:val="23"/>
        </w:numPr>
        <w:kinsoku/>
        <w:wordWrap/>
        <w:overflowPunct/>
        <w:topLinePunct w:val="0"/>
        <w:autoSpaceDE/>
        <w:autoSpaceDN/>
        <w:bidi w:val="0"/>
        <w:adjustRightInd/>
        <w:snapToGrid/>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根据6.6.1款工程物资保管的约定，库房、堆场、道路用地的坐标位置、面积、占用时间、用途说明，并须单列需要由发包人租地的坐标位置、面积、占用时间和用途说明；</w:t>
      </w:r>
    </w:p>
    <w:p w14:paraId="66877100">
      <w:pPr>
        <w:keepNext w:val="0"/>
        <w:keepLines w:val="0"/>
        <w:pageBreakBefore w:val="0"/>
        <w:widowControl w:val="0"/>
        <w:numPr>
          <w:ilvl w:val="0"/>
          <w:numId w:val="23"/>
        </w:numPr>
        <w:kinsoku/>
        <w:wordWrap/>
        <w:overflowPunct/>
        <w:topLinePunct w:val="0"/>
        <w:autoSpaceDE/>
        <w:autoSpaceDN/>
        <w:bidi w:val="0"/>
        <w:adjustRightInd/>
        <w:snapToGrid/>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施工用地的坐标位置、面积、占用时间、用途说明，并须单列要求发包人租地的坐标位置、面积、占用时间和用途说明；</w:t>
      </w:r>
    </w:p>
    <w:p w14:paraId="716744D9">
      <w:pPr>
        <w:keepNext w:val="0"/>
        <w:keepLines w:val="0"/>
        <w:pageBreakBefore w:val="0"/>
        <w:widowControl w:val="0"/>
        <w:numPr>
          <w:ilvl w:val="0"/>
          <w:numId w:val="23"/>
        </w:numPr>
        <w:kinsoku/>
        <w:wordWrap/>
        <w:overflowPunct/>
        <w:topLinePunct w:val="0"/>
        <w:autoSpaceDE/>
        <w:autoSpaceDN/>
        <w:bidi w:val="0"/>
        <w:adjustRightInd/>
        <w:snapToGrid/>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进入施工现场道路的入口坐标位置，并指明要求发包人铺设与城乡公共道路相连接的道路走向、长度、路宽、等级、桥涵承重、转弯半径和时间要求。</w:t>
      </w:r>
    </w:p>
    <w:p w14:paraId="55941168">
      <w:pPr>
        <w:keepNext w:val="0"/>
        <w:keepLines w:val="0"/>
        <w:pageBreakBefore w:val="0"/>
        <w:widowControl w:val="0"/>
        <w:numPr>
          <w:ilvl w:val="0"/>
          <w:numId w:val="23"/>
        </w:numPr>
        <w:kinsoku/>
        <w:wordWrap/>
        <w:overflowPunct/>
        <w:topLinePunct w:val="0"/>
        <w:autoSpaceDE/>
        <w:autoSpaceDN/>
        <w:bidi w:val="0"/>
        <w:adjustRightInd/>
        <w:snapToGrid/>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因承包人未能按时提交上述资料，导致7.1.2款约定的进场日期延误的，由此增加的费用或（和）竣工日期延误，由承包人负责。</w:t>
      </w:r>
    </w:p>
    <w:p w14:paraId="7504E935">
      <w:pPr>
        <w:keepNext w:val="0"/>
        <w:keepLines w:val="0"/>
        <w:pageBreakBefore w:val="0"/>
        <w:numPr>
          <w:ilvl w:val="2"/>
          <w:numId w:val="11"/>
        </w:numPr>
        <w:tabs>
          <w:tab w:val="left" w:pos="1134"/>
          <w:tab w:val="clear" w:pos="0"/>
        </w:tabs>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临时用水电等。承包人在开工日期</w:t>
      </w:r>
      <w:r>
        <w:rPr>
          <w:rFonts w:ascii="宋体" w:hAnsi="宋体"/>
          <w:color w:val="auto"/>
          <w:sz w:val="21"/>
          <w:szCs w:val="21"/>
          <w:highlight w:val="none"/>
        </w:rPr>
        <w:t>30</w:t>
      </w:r>
      <w:r>
        <w:rPr>
          <w:rFonts w:hint="eastAsia" w:ascii="宋体" w:hAnsi="宋体"/>
          <w:color w:val="auto"/>
          <w:sz w:val="21"/>
          <w:szCs w:val="21"/>
          <w:highlight w:val="none"/>
        </w:rPr>
        <w:t>天前或约定的其他时间前，并按本专用条款中约定的发包人能够提供的水电等临时使用的类别，向发包人提交施工（含永久性工程物资保管）所需的临时用水电等的品质、正常用量、高峰用量、使用时间和节点位置。承包人自费负责计量仪器的购买、安装和维护，并依据7.1.3款专用条款中约定的单价向发包人交费（除非另有约定）。</w:t>
      </w:r>
    </w:p>
    <w:p w14:paraId="0355E553">
      <w:pPr>
        <w:keepNext w:val="0"/>
        <w:keepLines w:val="0"/>
        <w:pageBreakBefore w:val="0"/>
        <w:kinsoku/>
        <w:wordWrap/>
        <w:overflowPunct/>
        <w:topLinePunct w:val="0"/>
        <w:autoSpaceDE/>
        <w:autoSpaceDN/>
        <w:bidi w:val="0"/>
        <w:spacing w:line="360" w:lineRule="auto"/>
        <w:ind w:left="630" w:leftChars="300" w:firstLine="0" w:firstLineChars="0"/>
        <w:textAlignment w:val="auto"/>
        <w:rPr>
          <w:rFonts w:ascii="宋体" w:hAnsi="宋体"/>
          <w:color w:val="auto"/>
          <w:sz w:val="21"/>
          <w:szCs w:val="21"/>
          <w:highlight w:val="none"/>
        </w:rPr>
      </w:pPr>
      <w:r>
        <w:rPr>
          <w:rFonts w:hint="eastAsia" w:ascii="宋体" w:hAnsi="宋体"/>
          <w:color w:val="auto"/>
          <w:sz w:val="21"/>
          <w:szCs w:val="21"/>
          <w:highlight w:val="none"/>
        </w:rPr>
        <w:t>因承包人未能按约定时间提交上述资料，造成承包人的费用增加和竣工日期延误时，由承包人负责。</w:t>
      </w:r>
    </w:p>
    <w:p w14:paraId="0CFD0402">
      <w:pPr>
        <w:keepNext w:val="0"/>
        <w:keepLines w:val="0"/>
        <w:pageBreakBefore w:val="0"/>
        <w:numPr>
          <w:ilvl w:val="2"/>
          <w:numId w:val="11"/>
        </w:numPr>
        <w:tabs>
          <w:tab w:val="left" w:pos="1134"/>
          <w:tab w:val="clear" w:pos="0"/>
        </w:tabs>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负责办理开工等批准手续。承包人在工程开工</w:t>
      </w:r>
      <w:r>
        <w:rPr>
          <w:rFonts w:ascii="宋体" w:hAnsi="宋体"/>
          <w:color w:val="auto"/>
          <w:sz w:val="21"/>
          <w:szCs w:val="21"/>
          <w:highlight w:val="none"/>
        </w:rPr>
        <w:t>20</w:t>
      </w:r>
      <w:r>
        <w:rPr>
          <w:rFonts w:hint="eastAsia" w:ascii="宋体" w:hAnsi="宋体"/>
          <w:color w:val="auto"/>
          <w:sz w:val="21"/>
          <w:szCs w:val="21"/>
          <w:highlight w:val="none"/>
        </w:rPr>
        <w:t>天前，负责向有关部门申办的开工批准或施工许可证、工程质量监督手续及其他许可、证件、批件等。施工过程中须通知办理的批准。承包人在施工过程中因临时增加场外临时用地，临时要求停水、停电、中断道路交通，爆破作业，或可能损坏道路、管线、电力、邮电、通讯等公共设施的，提前20天通知发包人，发包人应予以协助办理相关申请批准手续。</w:t>
      </w:r>
    </w:p>
    <w:p w14:paraId="237C061F">
      <w:pPr>
        <w:keepNext w:val="0"/>
        <w:keepLines w:val="0"/>
        <w:pageBreakBefore w:val="0"/>
        <w:kinsoku/>
        <w:wordWrap/>
        <w:overflowPunct/>
        <w:topLinePunct w:val="0"/>
        <w:autoSpaceDE/>
        <w:autoSpaceDN/>
        <w:bidi w:val="0"/>
        <w:spacing w:line="360" w:lineRule="auto"/>
        <w:ind w:left="630" w:leftChars="300" w:firstLine="0" w:firstLineChars="0"/>
        <w:textAlignment w:val="auto"/>
        <w:rPr>
          <w:rFonts w:ascii="宋体" w:hAnsi="宋体"/>
          <w:color w:val="auto"/>
          <w:sz w:val="21"/>
          <w:szCs w:val="21"/>
          <w:highlight w:val="none"/>
        </w:rPr>
      </w:pPr>
      <w:r>
        <w:rPr>
          <w:rFonts w:hint="eastAsia" w:ascii="宋体" w:hAnsi="宋体"/>
          <w:color w:val="auto"/>
          <w:sz w:val="21"/>
          <w:szCs w:val="21"/>
          <w:highlight w:val="none"/>
        </w:rPr>
        <w:t>因承包人未能在20天前通知发包人或未能按时提供由发包人办理申请时要求的承包人的相关文件、资料和证件等，造成承包人窝工、停工和竣工日期延误的，由承包人负责。</w:t>
      </w:r>
    </w:p>
    <w:p w14:paraId="1E61C8FB">
      <w:pPr>
        <w:keepNext w:val="0"/>
        <w:keepLines w:val="0"/>
        <w:pageBreakBefore w:val="0"/>
        <w:numPr>
          <w:ilvl w:val="2"/>
          <w:numId w:val="11"/>
        </w:numPr>
        <w:tabs>
          <w:tab w:val="left" w:pos="1134"/>
          <w:tab w:val="clear" w:pos="0"/>
        </w:tabs>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提供施工障碍资料。承包人按合同约定，在每项地下或地上施工部位开工</w:t>
      </w:r>
      <w:r>
        <w:rPr>
          <w:rFonts w:ascii="宋体" w:hAnsi="宋体"/>
          <w:color w:val="auto"/>
          <w:sz w:val="21"/>
          <w:szCs w:val="21"/>
          <w:highlight w:val="none"/>
        </w:rPr>
        <w:t>20</w:t>
      </w:r>
      <w:r>
        <w:rPr>
          <w:rFonts w:hint="eastAsia" w:ascii="宋体" w:hAnsi="宋体"/>
          <w:color w:val="auto"/>
          <w:sz w:val="21"/>
          <w:szCs w:val="21"/>
          <w:highlight w:val="none"/>
        </w:rPr>
        <w:t>天前，向发包人提交施工场地的具体范围及其坐标位置，发包人须对上述范围内提供相关的地下和地下的建筑物、构筑物和其他设施的坐标位置（不包括发包人根据5.2.1款第（1）项、第（2）项中已提供的现场障碍资料）。对于发包人在合同约定时间之后提出的现场障碍资料，按照14.1.3款的施工变更的约定办理。</w:t>
      </w:r>
    </w:p>
    <w:p w14:paraId="02CCCEEF">
      <w:pPr>
        <w:keepNext w:val="0"/>
        <w:keepLines w:val="0"/>
        <w:pageBreakBefore w:val="0"/>
        <w:kinsoku/>
        <w:wordWrap/>
        <w:overflowPunct/>
        <w:topLinePunct w:val="0"/>
        <w:autoSpaceDE/>
        <w:autoSpaceDN/>
        <w:bidi w:val="0"/>
        <w:spacing w:line="360" w:lineRule="auto"/>
        <w:ind w:left="630" w:leftChars="300" w:firstLine="0" w:firstLineChars="0"/>
        <w:textAlignment w:val="auto"/>
        <w:rPr>
          <w:rFonts w:ascii="宋体" w:hAnsi="宋体"/>
          <w:color w:val="auto"/>
          <w:sz w:val="21"/>
          <w:szCs w:val="21"/>
          <w:highlight w:val="none"/>
        </w:rPr>
      </w:pPr>
      <w:r>
        <w:rPr>
          <w:rFonts w:hint="eastAsia" w:ascii="宋体" w:hAnsi="宋体"/>
          <w:color w:val="auto"/>
          <w:sz w:val="21"/>
          <w:szCs w:val="21"/>
          <w:highlight w:val="none"/>
        </w:rPr>
        <w:t>发包人已提供上述相关资料，因承包人未能履行保护义务，造成的损失、损害和责任，由承包人负责。因此造成工程关键路径延误的，承包人按4.1.2款的约定，自费赶上。</w:t>
      </w:r>
    </w:p>
    <w:p w14:paraId="42E134C3">
      <w:pPr>
        <w:keepNext w:val="0"/>
        <w:keepLines w:val="0"/>
        <w:pageBreakBefore w:val="0"/>
        <w:numPr>
          <w:ilvl w:val="2"/>
          <w:numId w:val="11"/>
        </w:numPr>
        <w:tabs>
          <w:tab w:val="left" w:pos="1134"/>
          <w:tab w:val="clear" w:pos="0"/>
        </w:tabs>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新发现的施工障碍。承包人对在施工过程中新发现的场地周围及临近影响施工的建筑物、构筑物、文物建筑、古树、名木，以及地下管线、线缆、构筑物、文物、化石和坟墓等，立即采取保护措施，及时通知发包人。新发现的施工障碍，按照14.1.3款的施工变更约定办理。</w:t>
      </w:r>
    </w:p>
    <w:p w14:paraId="448EF76B">
      <w:pPr>
        <w:keepNext w:val="0"/>
        <w:keepLines w:val="0"/>
        <w:pageBreakBefore w:val="0"/>
        <w:numPr>
          <w:ilvl w:val="2"/>
          <w:numId w:val="11"/>
        </w:numPr>
        <w:tabs>
          <w:tab w:val="left" w:pos="1134"/>
          <w:tab w:val="clear" w:pos="0"/>
        </w:tabs>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承包人有义务保证其人力、机具、设备、设施、措施材料、周转材料及其他施工资源，满足实施工程的需求。</w:t>
      </w:r>
    </w:p>
    <w:p w14:paraId="1B67D3C1">
      <w:pPr>
        <w:keepNext w:val="0"/>
        <w:keepLines w:val="0"/>
        <w:pageBreakBefore w:val="0"/>
        <w:numPr>
          <w:ilvl w:val="2"/>
          <w:numId w:val="11"/>
        </w:numPr>
        <w:tabs>
          <w:tab w:val="left" w:pos="1134"/>
          <w:tab w:val="clear" w:pos="0"/>
        </w:tabs>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承包人有义务在施工前，向施工分包人和监理人说明设计文件的意图，解释设计文件，及时解决施工过程中出现的有关问题。</w:t>
      </w:r>
    </w:p>
    <w:p w14:paraId="793B354C">
      <w:pPr>
        <w:keepNext w:val="0"/>
        <w:keepLines w:val="0"/>
        <w:pageBreakBefore w:val="0"/>
        <w:numPr>
          <w:ilvl w:val="2"/>
          <w:numId w:val="11"/>
        </w:numPr>
        <w:tabs>
          <w:tab w:val="left" w:pos="1134"/>
          <w:tab w:val="clear" w:pos="0"/>
        </w:tabs>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工程的保护与维护。承包人在开工之日至发包人接收工程或（和）单项工程之日，负责工程的保护、维护和保安责任，保证工程不因承包人的原因而受到任何损失、损害。</w:t>
      </w:r>
    </w:p>
    <w:p w14:paraId="2ABA5D7E">
      <w:pPr>
        <w:keepNext w:val="0"/>
        <w:keepLines w:val="0"/>
        <w:pageBreakBefore w:val="0"/>
        <w:kinsoku/>
        <w:wordWrap/>
        <w:overflowPunct/>
        <w:topLinePunct w:val="0"/>
        <w:autoSpaceDE/>
        <w:autoSpaceDN/>
        <w:bidi w:val="0"/>
        <w:spacing w:line="360" w:lineRule="auto"/>
        <w:ind w:left="630" w:leftChars="300" w:firstLine="0" w:firstLineChars="0"/>
        <w:textAlignment w:val="auto"/>
        <w:rPr>
          <w:rFonts w:ascii="宋体" w:hAnsi="宋体"/>
          <w:color w:val="auto"/>
          <w:sz w:val="21"/>
          <w:szCs w:val="21"/>
          <w:highlight w:val="none"/>
        </w:rPr>
      </w:pPr>
      <w:r>
        <w:rPr>
          <w:rFonts w:hint="eastAsia" w:ascii="宋体" w:hAnsi="宋体"/>
          <w:color w:val="auto"/>
          <w:sz w:val="21"/>
          <w:szCs w:val="21"/>
          <w:highlight w:val="none"/>
        </w:rPr>
        <w:t>承包人在施工过程中要做好场地周围的建筑物、构筑物、文物建筑、古树、名木，以及地下管线、线缆、构筑物、文物、化石和坟墓的保护工作。承包人对在施工过程中新发现的场地周围及临近影响施工的建筑物、构筑物、文物建筑、古树、名木，以及地下管线、线缆、构筑物、文物、化石和坟墓等，应立即采取保护措施，及时通知发包人，同时配合相关部门做好处理。</w:t>
      </w:r>
    </w:p>
    <w:p w14:paraId="342764EC">
      <w:pPr>
        <w:keepNext w:val="0"/>
        <w:keepLines w:val="0"/>
        <w:pageBreakBefore w:val="0"/>
        <w:numPr>
          <w:ilvl w:val="2"/>
          <w:numId w:val="11"/>
        </w:numPr>
        <w:tabs>
          <w:tab w:val="left" w:pos="1134"/>
          <w:tab w:val="clear" w:pos="0"/>
        </w:tabs>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清理现场。承包人负责在施工过程中及完工后对现场进行清理、分类堆放，将残余物、废弃物、垃圾等运往发包人、或当地有关部门指定的地点。承包人不再使用的机具、设备、设施和临时工程等撤离现场，或运到发包人指定的场地。</w:t>
      </w:r>
    </w:p>
    <w:p w14:paraId="648C381E">
      <w:pPr>
        <w:keepNext w:val="0"/>
        <w:keepLines w:val="0"/>
        <w:pageBreakBefore w:val="0"/>
        <w:numPr>
          <w:ilvl w:val="2"/>
          <w:numId w:val="11"/>
        </w:numPr>
        <w:tabs>
          <w:tab w:val="left" w:pos="1134"/>
          <w:tab w:val="clear" w:pos="0"/>
        </w:tabs>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承包人有义务履行专用条款中约定的应由承包人履行的其他相关义务。</w:t>
      </w:r>
    </w:p>
    <w:p w14:paraId="1CBB118D">
      <w:pPr>
        <w:keepNext w:val="0"/>
        <w:keepLines w:val="0"/>
        <w:pageBreakBefore w:val="0"/>
        <w:widowControl w:val="0"/>
        <w:numPr>
          <w:ilvl w:val="1"/>
          <w:numId w:val="11"/>
        </w:numPr>
        <w:kinsoku/>
        <w:wordWrap/>
        <w:overflowPunct/>
        <w:topLinePunct w:val="0"/>
        <w:autoSpaceDE/>
        <w:autoSpaceDN/>
        <w:bidi w:val="0"/>
        <w:adjustRightInd/>
        <w:snapToGrid/>
        <w:spacing w:line="360" w:lineRule="auto"/>
        <w:ind w:left="632" w:leftChars="0" w:hanging="632" w:hangingChars="300"/>
        <w:textAlignment w:val="auto"/>
        <w:outlineLvl w:val="3"/>
        <w:rPr>
          <w:rFonts w:ascii="宋体" w:hAnsi="宋体"/>
          <w:b/>
          <w:color w:val="auto"/>
          <w:sz w:val="21"/>
          <w:szCs w:val="21"/>
          <w:highlight w:val="none"/>
        </w:rPr>
      </w:pPr>
      <w:bookmarkStart w:id="119" w:name="_Toc76719941"/>
      <w:r>
        <w:rPr>
          <w:rFonts w:hint="eastAsia" w:ascii="宋体" w:hAnsi="宋体"/>
          <w:b/>
          <w:color w:val="auto"/>
          <w:sz w:val="21"/>
          <w:szCs w:val="21"/>
          <w:highlight w:val="none"/>
        </w:rPr>
        <w:t>施工技术方法</w:t>
      </w:r>
      <w:bookmarkEnd w:id="119"/>
    </w:p>
    <w:p w14:paraId="20F11486">
      <w:pPr>
        <w:keepNext w:val="0"/>
        <w:keepLines w:val="0"/>
        <w:pageBreakBefore w:val="0"/>
        <w:kinsoku/>
        <w:wordWrap/>
        <w:overflowPunct/>
        <w:topLinePunct w:val="0"/>
        <w:autoSpaceDE/>
        <w:autoSpaceDN/>
        <w:bidi w:val="0"/>
        <w:spacing w:line="360" w:lineRule="auto"/>
        <w:ind w:left="630" w:leftChars="300" w:firstLine="0" w:firstLineChars="0"/>
        <w:textAlignment w:val="auto"/>
        <w:rPr>
          <w:rFonts w:ascii="宋体" w:hAnsi="宋体"/>
          <w:color w:val="auto"/>
          <w:sz w:val="21"/>
          <w:szCs w:val="21"/>
          <w:highlight w:val="none"/>
        </w:rPr>
      </w:pPr>
      <w:r>
        <w:rPr>
          <w:rFonts w:hint="eastAsia" w:ascii="宋体" w:hAnsi="宋体"/>
          <w:color w:val="auto"/>
          <w:sz w:val="21"/>
          <w:szCs w:val="21"/>
          <w:highlight w:val="none"/>
        </w:rPr>
        <w:t>承包人的施工技术方法应符合有关操作规程、安全规程及质量标准。承包人应在实施关键施工前30天内向发包人和监理人提交关键施工技术方法，发包人和监理人在收到后的</w:t>
      </w:r>
      <w:r>
        <w:rPr>
          <w:rFonts w:ascii="宋体" w:hAnsi="宋体"/>
          <w:color w:val="auto"/>
          <w:sz w:val="21"/>
          <w:szCs w:val="21"/>
          <w:highlight w:val="none"/>
        </w:rPr>
        <w:t>5</w:t>
      </w:r>
      <w:r>
        <w:rPr>
          <w:rFonts w:hint="eastAsia" w:ascii="宋体" w:hAnsi="宋体"/>
          <w:color w:val="auto"/>
          <w:sz w:val="21"/>
          <w:szCs w:val="21"/>
          <w:highlight w:val="none"/>
        </w:rPr>
        <w:t>日内予以确认或提出建议，发包人的任何此类确认和建议，并不能减轻或免除承包人的任何合同责任。</w:t>
      </w:r>
    </w:p>
    <w:p w14:paraId="0250325E">
      <w:pPr>
        <w:keepNext w:val="0"/>
        <w:keepLines w:val="0"/>
        <w:pageBreakBefore w:val="0"/>
        <w:widowControl w:val="0"/>
        <w:numPr>
          <w:ilvl w:val="1"/>
          <w:numId w:val="11"/>
        </w:numPr>
        <w:kinsoku/>
        <w:wordWrap/>
        <w:overflowPunct/>
        <w:topLinePunct w:val="0"/>
        <w:autoSpaceDE/>
        <w:autoSpaceDN/>
        <w:bidi w:val="0"/>
        <w:adjustRightInd/>
        <w:snapToGrid/>
        <w:spacing w:line="360" w:lineRule="auto"/>
        <w:ind w:left="632" w:leftChars="0" w:hanging="632" w:hangingChars="300"/>
        <w:textAlignment w:val="auto"/>
        <w:outlineLvl w:val="3"/>
        <w:rPr>
          <w:rFonts w:ascii="宋体" w:hAnsi="宋体"/>
          <w:b/>
          <w:color w:val="auto"/>
          <w:sz w:val="21"/>
          <w:szCs w:val="21"/>
          <w:highlight w:val="none"/>
        </w:rPr>
      </w:pPr>
      <w:bookmarkStart w:id="120" w:name="_Toc76719942"/>
      <w:r>
        <w:rPr>
          <w:rFonts w:hint="eastAsia" w:ascii="宋体" w:hAnsi="宋体"/>
          <w:b/>
          <w:color w:val="auto"/>
          <w:sz w:val="21"/>
          <w:szCs w:val="21"/>
          <w:highlight w:val="none"/>
        </w:rPr>
        <w:t>人力和机具资源</w:t>
      </w:r>
      <w:bookmarkEnd w:id="120"/>
    </w:p>
    <w:p w14:paraId="189DB2DF">
      <w:pPr>
        <w:keepNext w:val="0"/>
        <w:keepLines w:val="0"/>
        <w:pageBreakBefore w:val="0"/>
        <w:numPr>
          <w:ilvl w:val="2"/>
          <w:numId w:val="11"/>
        </w:numPr>
        <w:tabs>
          <w:tab w:val="left" w:pos="1134"/>
          <w:tab w:val="clear" w:pos="0"/>
        </w:tabs>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承包人按专用条款约定的格式、内容、份数和提交时间，向发包人提交施工人力资源计划一览表。施工人力资源计划符合施工进度计划的需要。并按专用条款约定的报表格式、内容、份数和报告期，向发包人提供实际进场的人力资源信息。</w:t>
      </w:r>
    </w:p>
    <w:p w14:paraId="31A63081">
      <w:pPr>
        <w:keepNext w:val="0"/>
        <w:keepLines w:val="0"/>
        <w:pageBreakBefore w:val="0"/>
        <w:kinsoku/>
        <w:wordWrap/>
        <w:overflowPunct/>
        <w:topLinePunct w:val="0"/>
        <w:autoSpaceDE/>
        <w:autoSpaceDN/>
        <w:bidi w:val="0"/>
        <w:spacing w:line="360" w:lineRule="auto"/>
        <w:ind w:left="630" w:leftChars="300" w:firstLine="0" w:firstLineChars="0"/>
        <w:textAlignment w:val="auto"/>
        <w:rPr>
          <w:rFonts w:ascii="宋体" w:hAnsi="宋体"/>
          <w:color w:val="auto"/>
          <w:sz w:val="21"/>
          <w:szCs w:val="21"/>
          <w:highlight w:val="none"/>
        </w:rPr>
      </w:pPr>
      <w:r>
        <w:rPr>
          <w:rFonts w:hint="eastAsia" w:ascii="宋体" w:hAnsi="宋体"/>
          <w:color w:val="auto"/>
          <w:sz w:val="21"/>
          <w:szCs w:val="21"/>
          <w:highlight w:val="none"/>
        </w:rPr>
        <w:t>承包人未能按施工人力资源计划一览表投入足够工种和人力，导致实际施工进度明显落后于施工进度计划时，发包人有权通知承包人按计划一览表列出的工种和人数，在合理时间内调派人员进入现场。否则，发包人有权责令承包人将某些单项工程、分部分项工程的施工另行分包，因此发生的费用及延误的时间由承包人承担。</w:t>
      </w:r>
    </w:p>
    <w:p w14:paraId="654E8389">
      <w:pPr>
        <w:keepNext w:val="0"/>
        <w:keepLines w:val="0"/>
        <w:pageBreakBefore w:val="0"/>
        <w:numPr>
          <w:ilvl w:val="2"/>
          <w:numId w:val="11"/>
        </w:numPr>
        <w:tabs>
          <w:tab w:val="left" w:pos="1134"/>
          <w:tab w:val="clear" w:pos="0"/>
        </w:tabs>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承包人按专用条款约定的格式、内容、份数和提交时间，向发包人提交主要施工机具资源计划一览表。施工机具资源计划符合施工进度计划的需要。并按专用条款约定的报表格式、内容、份数和报告期，向发包人提供实际进场的主要施工机具信息。</w:t>
      </w:r>
    </w:p>
    <w:p w14:paraId="4CB12619">
      <w:pPr>
        <w:keepNext w:val="0"/>
        <w:keepLines w:val="0"/>
        <w:pageBreakBefore w:val="0"/>
        <w:kinsoku/>
        <w:wordWrap/>
        <w:overflowPunct/>
        <w:topLinePunct w:val="0"/>
        <w:autoSpaceDE/>
        <w:autoSpaceDN/>
        <w:bidi w:val="0"/>
        <w:spacing w:line="360" w:lineRule="auto"/>
        <w:ind w:left="630" w:leftChars="300" w:firstLine="0" w:firstLineChars="0"/>
        <w:textAlignment w:val="auto"/>
        <w:rPr>
          <w:rFonts w:ascii="宋体" w:hAnsi="宋体"/>
          <w:color w:val="auto"/>
          <w:sz w:val="21"/>
          <w:szCs w:val="21"/>
          <w:highlight w:val="none"/>
        </w:rPr>
      </w:pPr>
      <w:r>
        <w:rPr>
          <w:rFonts w:hint="eastAsia" w:ascii="宋体" w:hAnsi="宋体"/>
          <w:color w:val="auto"/>
          <w:sz w:val="21"/>
          <w:szCs w:val="21"/>
          <w:highlight w:val="none"/>
        </w:rPr>
        <w:t>承包人未能按施工机具资源计划一览表投入足够的机具，导致实际施工进度落后于施工进度计划时，发包人有权通知承包人按该一览表列出的机具数量，在合理时间内调派机具进入现场。否则，发包人有权责令承包人另行租赁机具，因此所发生的费用及延误的时间由承包人承担。</w:t>
      </w:r>
    </w:p>
    <w:p w14:paraId="33531DC2">
      <w:pPr>
        <w:keepNext w:val="0"/>
        <w:keepLines w:val="0"/>
        <w:pageBreakBefore w:val="0"/>
        <w:widowControl w:val="0"/>
        <w:numPr>
          <w:ilvl w:val="1"/>
          <w:numId w:val="11"/>
        </w:numPr>
        <w:kinsoku/>
        <w:wordWrap/>
        <w:overflowPunct/>
        <w:topLinePunct w:val="0"/>
        <w:autoSpaceDE/>
        <w:autoSpaceDN/>
        <w:bidi w:val="0"/>
        <w:adjustRightInd/>
        <w:snapToGrid/>
        <w:spacing w:line="360" w:lineRule="auto"/>
        <w:ind w:left="632" w:leftChars="0" w:hanging="632" w:hangingChars="300"/>
        <w:textAlignment w:val="auto"/>
        <w:outlineLvl w:val="3"/>
        <w:rPr>
          <w:rFonts w:ascii="宋体" w:hAnsi="宋体"/>
          <w:b/>
          <w:color w:val="auto"/>
          <w:sz w:val="21"/>
          <w:szCs w:val="21"/>
          <w:highlight w:val="none"/>
        </w:rPr>
      </w:pPr>
      <w:bookmarkStart w:id="121" w:name="_Toc76719943"/>
      <w:r>
        <w:rPr>
          <w:rFonts w:hint="eastAsia" w:ascii="宋体" w:hAnsi="宋体"/>
          <w:b/>
          <w:color w:val="auto"/>
          <w:sz w:val="21"/>
          <w:szCs w:val="21"/>
          <w:highlight w:val="none"/>
        </w:rPr>
        <w:t>质量与检验</w:t>
      </w:r>
      <w:bookmarkEnd w:id="121"/>
    </w:p>
    <w:p w14:paraId="70ADB226">
      <w:pPr>
        <w:keepNext w:val="0"/>
        <w:keepLines w:val="0"/>
        <w:pageBreakBefore w:val="0"/>
        <w:numPr>
          <w:ilvl w:val="2"/>
          <w:numId w:val="11"/>
        </w:numPr>
        <w:tabs>
          <w:tab w:val="left" w:pos="1134"/>
          <w:tab w:val="clear" w:pos="0"/>
        </w:tabs>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质量与检验</w:t>
      </w:r>
    </w:p>
    <w:p w14:paraId="5CD3DC65">
      <w:pPr>
        <w:keepNext w:val="0"/>
        <w:keepLines w:val="0"/>
        <w:pageBreakBefore w:val="0"/>
        <w:widowControl w:val="0"/>
        <w:numPr>
          <w:ilvl w:val="0"/>
          <w:numId w:val="24"/>
        </w:numPr>
        <w:kinsoku/>
        <w:wordWrap/>
        <w:overflowPunct/>
        <w:topLinePunct w:val="0"/>
        <w:autoSpaceDE/>
        <w:autoSpaceDN/>
        <w:bidi w:val="0"/>
        <w:adjustRightInd/>
        <w:snapToGrid/>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承包人及其分包人随时接受发包人、工程总监、行政主管部门、质量管理部门、安全管理部门、行业质量安全检查人员或发包人委派的第三方质量检查单位所进行的安全质量的监督和检查。承包人为此类监督、检查提供方便。</w:t>
      </w:r>
    </w:p>
    <w:p w14:paraId="35549126">
      <w:pPr>
        <w:keepNext w:val="0"/>
        <w:keepLines w:val="0"/>
        <w:pageBreakBefore w:val="0"/>
        <w:widowControl w:val="0"/>
        <w:numPr>
          <w:ilvl w:val="0"/>
          <w:numId w:val="24"/>
        </w:numPr>
        <w:kinsoku/>
        <w:wordWrap/>
        <w:overflowPunct/>
        <w:topLinePunct w:val="0"/>
        <w:autoSpaceDE/>
        <w:autoSpaceDN/>
        <w:bidi w:val="0"/>
        <w:adjustRightInd/>
        <w:snapToGrid/>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发包人委托第三方对施工质量进行检查、检验、检测和试验时，以书面形式通知承包人。第三方的验收结果视为发包人的验收结果。</w:t>
      </w:r>
    </w:p>
    <w:p w14:paraId="3CEB2DDC">
      <w:pPr>
        <w:keepNext w:val="0"/>
        <w:keepLines w:val="0"/>
        <w:pageBreakBefore w:val="0"/>
        <w:widowControl w:val="0"/>
        <w:numPr>
          <w:ilvl w:val="0"/>
          <w:numId w:val="24"/>
        </w:numPr>
        <w:kinsoku/>
        <w:wordWrap/>
        <w:overflowPunct/>
        <w:topLinePunct w:val="0"/>
        <w:autoSpaceDE/>
        <w:autoSpaceDN/>
        <w:bidi w:val="0"/>
        <w:adjustRightInd/>
        <w:snapToGrid/>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承包人应遵守施工质量管理的有关规定，负有对其操作人员进行培训、考核、图纸交底、技术交底、操作规程交底、安全程序交底和质量标准交底，及消除事故隐患的责任。</w:t>
      </w:r>
    </w:p>
    <w:p w14:paraId="6296BD69">
      <w:pPr>
        <w:keepNext w:val="0"/>
        <w:keepLines w:val="0"/>
        <w:pageBreakBefore w:val="0"/>
        <w:widowControl w:val="0"/>
        <w:numPr>
          <w:ilvl w:val="0"/>
          <w:numId w:val="24"/>
        </w:numPr>
        <w:kinsoku/>
        <w:wordWrap/>
        <w:overflowPunct/>
        <w:topLinePunct w:val="0"/>
        <w:autoSpaceDE/>
        <w:autoSpaceDN/>
        <w:bidi w:val="0"/>
        <w:adjustRightInd/>
        <w:snapToGrid/>
        <w:spacing w:line="360" w:lineRule="auto"/>
        <w:ind w:left="630" w:leftChars="0" w:hanging="630" w:hangingChars="300"/>
        <w:textAlignment w:val="auto"/>
        <w:rPr>
          <w:rFonts w:ascii="宋体" w:hAnsi="宋体"/>
          <w:color w:val="auto"/>
          <w:sz w:val="21"/>
          <w:szCs w:val="21"/>
          <w:highlight w:val="none"/>
        </w:rPr>
      </w:pPr>
      <w:r>
        <w:rPr>
          <w:rFonts w:ascii="宋体" w:hAnsi="宋体"/>
          <w:color w:val="auto"/>
          <w:sz w:val="21"/>
          <w:szCs w:val="21"/>
          <w:highlight w:val="none"/>
        </w:rPr>
        <w:t>承包人</w:t>
      </w:r>
      <w:r>
        <w:rPr>
          <w:rFonts w:hint="eastAsia" w:ascii="宋体" w:hAnsi="宋体"/>
          <w:color w:val="auto"/>
          <w:sz w:val="21"/>
          <w:szCs w:val="21"/>
          <w:highlight w:val="none"/>
        </w:rPr>
        <w:t>应按照</w:t>
      </w:r>
      <w:r>
        <w:rPr>
          <w:rFonts w:ascii="宋体" w:hAnsi="宋体"/>
          <w:color w:val="auto"/>
          <w:sz w:val="21"/>
          <w:szCs w:val="21"/>
          <w:highlight w:val="none"/>
        </w:rPr>
        <w:t>设计</w:t>
      </w:r>
      <w:r>
        <w:rPr>
          <w:rFonts w:hint="eastAsia" w:ascii="宋体" w:hAnsi="宋体"/>
          <w:color w:val="auto"/>
          <w:sz w:val="21"/>
          <w:szCs w:val="21"/>
          <w:highlight w:val="none"/>
        </w:rPr>
        <w:t>文件</w:t>
      </w:r>
      <w:r>
        <w:rPr>
          <w:rFonts w:ascii="宋体" w:hAnsi="宋体"/>
          <w:color w:val="auto"/>
          <w:sz w:val="21"/>
          <w:szCs w:val="21"/>
          <w:highlight w:val="none"/>
        </w:rPr>
        <w:t>、施工标准</w:t>
      </w:r>
      <w:r>
        <w:rPr>
          <w:rFonts w:hint="eastAsia" w:ascii="宋体" w:hAnsi="宋体"/>
          <w:color w:val="auto"/>
          <w:sz w:val="21"/>
          <w:szCs w:val="21"/>
          <w:highlight w:val="none"/>
        </w:rPr>
        <w:t>的规定</w:t>
      </w:r>
      <w:r>
        <w:rPr>
          <w:rFonts w:ascii="宋体" w:hAnsi="宋体"/>
          <w:color w:val="auto"/>
          <w:sz w:val="21"/>
          <w:szCs w:val="21"/>
          <w:highlight w:val="none"/>
        </w:rPr>
        <w:t>和合同</w:t>
      </w:r>
      <w:r>
        <w:rPr>
          <w:rFonts w:hint="eastAsia" w:ascii="宋体" w:hAnsi="宋体"/>
          <w:color w:val="auto"/>
          <w:sz w:val="21"/>
          <w:szCs w:val="21"/>
          <w:highlight w:val="none"/>
        </w:rPr>
        <w:t>约定</w:t>
      </w:r>
      <w:r>
        <w:rPr>
          <w:rFonts w:ascii="宋体" w:hAnsi="宋体"/>
          <w:color w:val="auto"/>
          <w:sz w:val="21"/>
          <w:szCs w:val="21"/>
          <w:highlight w:val="none"/>
        </w:rPr>
        <w:t>，对</w:t>
      </w:r>
      <w:r>
        <w:rPr>
          <w:rFonts w:hint="eastAsia" w:ascii="宋体" w:hAnsi="宋体"/>
          <w:color w:val="auto"/>
          <w:sz w:val="21"/>
          <w:szCs w:val="21"/>
          <w:highlight w:val="none"/>
        </w:rPr>
        <w:t>永久性工程的设备、</w:t>
      </w:r>
      <w:r>
        <w:rPr>
          <w:rFonts w:ascii="宋体" w:hAnsi="宋体"/>
          <w:color w:val="auto"/>
          <w:sz w:val="21"/>
          <w:szCs w:val="21"/>
          <w:highlight w:val="none"/>
        </w:rPr>
        <w:t>材料、</w:t>
      </w:r>
      <w:r>
        <w:rPr>
          <w:rFonts w:hint="eastAsia" w:ascii="宋体" w:hAnsi="宋体"/>
          <w:color w:val="auto"/>
          <w:sz w:val="21"/>
          <w:szCs w:val="21"/>
          <w:highlight w:val="none"/>
        </w:rPr>
        <w:t>部件（包括</w:t>
      </w:r>
      <w:r>
        <w:rPr>
          <w:rFonts w:ascii="宋体" w:hAnsi="宋体"/>
          <w:color w:val="auto"/>
          <w:sz w:val="21"/>
          <w:szCs w:val="21"/>
          <w:highlight w:val="none"/>
        </w:rPr>
        <w:t>建筑构配件</w:t>
      </w:r>
      <w:r>
        <w:rPr>
          <w:rFonts w:hint="eastAsia" w:ascii="宋体" w:hAnsi="宋体"/>
          <w:color w:val="auto"/>
          <w:sz w:val="21"/>
          <w:szCs w:val="21"/>
          <w:highlight w:val="none"/>
        </w:rPr>
        <w:t>）</w:t>
      </w:r>
      <w:r>
        <w:rPr>
          <w:rFonts w:ascii="宋体" w:hAnsi="宋体"/>
          <w:color w:val="auto"/>
          <w:sz w:val="21"/>
          <w:szCs w:val="21"/>
          <w:highlight w:val="none"/>
        </w:rPr>
        <w:t>进行</w:t>
      </w:r>
      <w:r>
        <w:rPr>
          <w:rFonts w:hint="eastAsia" w:ascii="宋体" w:hAnsi="宋体"/>
          <w:color w:val="auto"/>
          <w:sz w:val="21"/>
          <w:szCs w:val="21"/>
          <w:highlight w:val="none"/>
        </w:rPr>
        <w:t>检查、</w:t>
      </w:r>
      <w:r>
        <w:rPr>
          <w:rFonts w:ascii="宋体" w:hAnsi="宋体"/>
          <w:color w:val="auto"/>
          <w:sz w:val="21"/>
          <w:szCs w:val="21"/>
          <w:highlight w:val="none"/>
        </w:rPr>
        <w:t>检验</w:t>
      </w:r>
      <w:r>
        <w:rPr>
          <w:rFonts w:hint="eastAsia" w:ascii="宋体" w:hAnsi="宋体"/>
          <w:color w:val="auto"/>
          <w:sz w:val="21"/>
          <w:szCs w:val="21"/>
          <w:highlight w:val="none"/>
        </w:rPr>
        <w:t>、检测和试验</w:t>
      </w:r>
      <w:r>
        <w:rPr>
          <w:rFonts w:ascii="宋体" w:hAnsi="宋体"/>
          <w:color w:val="auto"/>
          <w:sz w:val="21"/>
          <w:szCs w:val="21"/>
          <w:highlight w:val="none"/>
        </w:rPr>
        <w:t>，不合格的不得使用。</w:t>
      </w:r>
      <w:r>
        <w:rPr>
          <w:rFonts w:hint="eastAsia" w:ascii="宋体" w:hAnsi="宋体"/>
          <w:color w:val="auto"/>
          <w:sz w:val="21"/>
          <w:szCs w:val="21"/>
          <w:highlight w:val="none"/>
        </w:rPr>
        <w:t>并有义务自费修复和更换</w:t>
      </w:r>
      <w:r>
        <w:rPr>
          <w:rFonts w:ascii="宋体" w:hAnsi="宋体"/>
          <w:color w:val="auto"/>
          <w:sz w:val="21"/>
          <w:szCs w:val="21"/>
          <w:highlight w:val="none"/>
        </w:rPr>
        <w:t>不合格</w:t>
      </w:r>
      <w:r>
        <w:rPr>
          <w:rFonts w:hint="eastAsia" w:ascii="宋体" w:hAnsi="宋体"/>
          <w:color w:val="auto"/>
          <w:sz w:val="21"/>
          <w:szCs w:val="21"/>
          <w:highlight w:val="none"/>
        </w:rPr>
        <w:t>的设备、</w:t>
      </w:r>
      <w:r>
        <w:rPr>
          <w:rFonts w:ascii="宋体" w:hAnsi="宋体"/>
          <w:color w:val="auto"/>
          <w:sz w:val="21"/>
          <w:szCs w:val="21"/>
          <w:highlight w:val="none"/>
        </w:rPr>
        <w:t>材料、</w:t>
      </w:r>
      <w:r>
        <w:rPr>
          <w:rFonts w:hint="eastAsia" w:ascii="宋体" w:hAnsi="宋体"/>
          <w:color w:val="auto"/>
          <w:sz w:val="21"/>
          <w:szCs w:val="21"/>
          <w:highlight w:val="none"/>
        </w:rPr>
        <w:t>部件，因此造成日期延误的，竣工日期不予顺延。</w:t>
      </w:r>
    </w:p>
    <w:p w14:paraId="1EE80DDE">
      <w:pPr>
        <w:keepNext w:val="0"/>
        <w:keepLines w:val="0"/>
        <w:pageBreakBefore w:val="0"/>
        <w:widowControl w:val="0"/>
        <w:numPr>
          <w:ilvl w:val="0"/>
          <w:numId w:val="24"/>
        </w:numPr>
        <w:kinsoku/>
        <w:wordWrap/>
        <w:overflowPunct/>
        <w:topLinePunct w:val="0"/>
        <w:autoSpaceDE/>
        <w:autoSpaceDN/>
        <w:bidi w:val="0"/>
        <w:adjustRightInd/>
        <w:snapToGrid/>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承包人的施工应符合合同约定的质量标准。质量标准的评定，以合同中约定的质量检验评定标准为依据。对不符合质量标准的施工部位，承包人有义务自费修复、返工、或更换、或重置，因此造成竣工日期延误的由承包人负责。</w:t>
      </w:r>
    </w:p>
    <w:p w14:paraId="77007D71">
      <w:pPr>
        <w:keepNext w:val="0"/>
        <w:keepLines w:val="0"/>
        <w:pageBreakBefore w:val="0"/>
        <w:numPr>
          <w:ilvl w:val="2"/>
          <w:numId w:val="11"/>
        </w:numPr>
        <w:tabs>
          <w:tab w:val="left" w:pos="1134"/>
          <w:tab w:val="clear" w:pos="0"/>
        </w:tabs>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质检部位与参检方。质检部位分为：发包人、监理人（如有）、与承包人或项目所在地的供电部门或委托的第三方等三方参检的部位；发包人或监理人与承包人两方参检的部位；承包人或委托的第三方一方参检的部位。对施工质量进行检查的部位、检查标准及验收的表格格式在专用条款中约定。</w:t>
      </w:r>
    </w:p>
    <w:p w14:paraId="2C22E54F">
      <w:pPr>
        <w:keepNext w:val="0"/>
        <w:keepLines w:val="0"/>
        <w:pageBreakBefore w:val="0"/>
        <w:kinsoku/>
        <w:wordWrap/>
        <w:overflowPunct/>
        <w:topLinePunct w:val="0"/>
        <w:autoSpaceDE/>
        <w:autoSpaceDN/>
        <w:bidi w:val="0"/>
        <w:spacing w:line="360" w:lineRule="auto"/>
        <w:ind w:left="630" w:leftChars="300" w:firstLine="0" w:firstLineChars="0"/>
        <w:textAlignment w:val="auto"/>
        <w:rPr>
          <w:rFonts w:ascii="宋体" w:hAnsi="宋体"/>
          <w:color w:val="auto"/>
          <w:sz w:val="21"/>
          <w:szCs w:val="21"/>
          <w:highlight w:val="none"/>
        </w:rPr>
      </w:pPr>
      <w:r>
        <w:rPr>
          <w:rFonts w:hint="eastAsia" w:ascii="宋体" w:hAnsi="宋体"/>
          <w:color w:val="auto"/>
          <w:sz w:val="21"/>
          <w:szCs w:val="21"/>
          <w:highlight w:val="none"/>
        </w:rPr>
        <w:t>按上述约定，经承包人一方检查合格的部位，报发包人或监理人备案。发包人和工程总监有权随时对备案的部位进行抽查或全面检查。</w:t>
      </w:r>
    </w:p>
    <w:p w14:paraId="7B19E645">
      <w:pPr>
        <w:keepNext w:val="0"/>
        <w:keepLines w:val="0"/>
        <w:pageBreakBefore w:val="0"/>
        <w:numPr>
          <w:ilvl w:val="2"/>
          <w:numId w:val="11"/>
        </w:numPr>
        <w:tabs>
          <w:tab w:val="left" w:pos="1134"/>
          <w:tab w:val="clear" w:pos="0"/>
        </w:tabs>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通知参检方的参检。承包人自行检查、检验、检测和试验合格的，按7.5.2款专用条款约定的质检部位和参检方，通知相关参检单位参加检查。参检方未能按时参加的，承包人将自检合格的结果于其后的</w:t>
      </w:r>
      <w:r>
        <w:rPr>
          <w:rFonts w:ascii="宋体" w:hAnsi="宋体"/>
          <w:color w:val="auto"/>
          <w:sz w:val="21"/>
          <w:szCs w:val="21"/>
          <w:highlight w:val="none"/>
        </w:rPr>
        <w:t>24</w:t>
      </w:r>
      <w:r>
        <w:rPr>
          <w:rFonts w:hint="eastAsia" w:ascii="宋体" w:hAnsi="宋体"/>
          <w:color w:val="auto"/>
          <w:sz w:val="21"/>
          <w:szCs w:val="21"/>
          <w:highlight w:val="none"/>
        </w:rPr>
        <w:t>小时内送交发包人或（和）监理人签字，</w:t>
      </w:r>
      <w:r>
        <w:rPr>
          <w:rFonts w:ascii="宋体" w:hAnsi="宋体"/>
          <w:color w:val="auto"/>
          <w:sz w:val="21"/>
          <w:szCs w:val="21"/>
          <w:highlight w:val="none"/>
        </w:rPr>
        <w:t>24</w:t>
      </w:r>
      <w:r>
        <w:rPr>
          <w:rFonts w:hint="eastAsia" w:ascii="宋体" w:hAnsi="宋体"/>
          <w:color w:val="auto"/>
          <w:sz w:val="21"/>
          <w:szCs w:val="21"/>
          <w:highlight w:val="none"/>
        </w:rPr>
        <w:t>小时后未能签字，视为质检结果已被发包人认可。此后</w:t>
      </w:r>
      <w:r>
        <w:rPr>
          <w:rFonts w:ascii="宋体" w:hAnsi="宋体"/>
          <w:color w:val="auto"/>
          <w:sz w:val="21"/>
          <w:szCs w:val="21"/>
          <w:highlight w:val="none"/>
        </w:rPr>
        <w:t>3</w:t>
      </w:r>
      <w:r>
        <w:rPr>
          <w:rFonts w:hint="eastAsia" w:ascii="宋体" w:hAnsi="宋体"/>
          <w:color w:val="auto"/>
          <w:sz w:val="21"/>
          <w:szCs w:val="21"/>
          <w:highlight w:val="none"/>
        </w:rPr>
        <w:t>日内，承包人发出视为发包人或（和）监理人已确认该质检结果的通知。</w:t>
      </w:r>
    </w:p>
    <w:p w14:paraId="2109C439">
      <w:pPr>
        <w:keepNext w:val="0"/>
        <w:keepLines w:val="0"/>
        <w:pageBreakBefore w:val="0"/>
        <w:numPr>
          <w:ilvl w:val="2"/>
          <w:numId w:val="11"/>
        </w:numPr>
        <w:tabs>
          <w:tab w:val="left" w:pos="1134"/>
          <w:tab w:val="clear" w:pos="0"/>
        </w:tabs>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质量检查的权利。发包人及其授权的监理人或第三方，在不妨碍承包人正常作业的情况下，具有对任何施工区域进行质量监督、检查、检验、检测和试验的权利。承包人为此类质量检查活动提供便利。</w:t>
      </w:r>
    </w:p>
    <w:p w14:paraId="1A40AFF2">
      <w:pPr>
        <w:pStyle w:val="477"/>
        <w:keepNext w:val="0"/>
        <w:keepLines w:val="0"/>
        <w:pageBreakBefore w:val="0"/>
        <w:kinsoku/>
        <w:wordWrap/>
        <w:overflowPunct/>
        <w:topLinePunct w:val="0"/>
        <w:autoSpaceDE/>
        <w:autoSpaceDN/>
        <w:bidi w:val="0"/>
        <w:adjustRightInd w:val="0"/>
        <w:snapToGrid w:val="0"/>
        <w:spacing w:line="360" w:lineRule="auto"/>
        <w:ind w:left="630" w:leftChars="300" w:firstLine="0" w:firstLineChars="0"/>
        <w:textAlignment w:val="auto"/>
        <w:rPr>
          <w:rFonts w:ascii="宋体" w:hAnsi="宋体"/>
          <w:color w:val="auto"/>
          <w:sz w:val="21"/>
          <w:szCs w:val="21"/>
          <w:highlight w:val="none"/>
        </w:rPr>
      </w:pPr>
      <w:r>
        <w:rPr>
          <w:rFonts w:hint="eastAsia" w:ascii="宋体" w:hAnsi="宋体"/>
          <w:color w:val="auto"/>
          <w:sz w:val="21"/>
          <w:szCs w:val="21"/>
          <w:highlight w:val="none"/>
        </w:rPr>
        <w:t>工程质量达不到约定标准的，监理人或发包人一经发现，有权要求承包人拆除或重新施工，承包人应按监理人或发包人的要求拆除并重新施工，直到符合约定标准。因承包人原因达不到约定标准的，由承包人承担拆除、重新施工的费用，竣工日期不顺延。</w:t>
      </w:r>
    </w:p>
    <w:p w14:paraId="643B66AF">
      <w:pPr>
        <w:keepNext w:val="0"/>
        <w:keepLines w:val="0"/>
        <w:pageBreakBefore w:val="0"/>
        <w:kinsoku/>
        <w:wordWrap/>
        <w:overflowPunct/>
        <w:topLinePunct w:val="0"/>
        <w:autoSpaceDE/>
        <w:autoSpaceDN/>
        <w:bidi w:val="0"/>
        <w:spacing w:line="360" w:lineRule="auto"/>
        <w:ind w:left="630" w:leftChars="300" w:firstLine="0" w:firstLineChars="0"/>
        <w:textAlignment w:val="auto"/>
        <w:rPr>
          <w:rFonts w:ascii="宋体" w:hAnsi="宋体"/>
          <w:color w:val="auto"/>
          <w:sz w:val="21"/>
          <w:szCs w:val="21"/>
          <w:highlight w:val="none"/>
        </w:rPr>
      </w:pPr>
      <w:r>
        <w:rPr>
          <w:rFonts w:hint="eastAsia" w:ascii="宋体" w:hAnsi="宋体"/>
          <w:color w:val="auto"/>
          <w:sz w:val="21"/>
          <w:szCs w:val="21"/>
          <w:highlight w:val="none"/>
        </w:rPr>
        <w:t>经质检发现因承包人原因引起的质量缺陷，有权下达修复、暂停、拆除、返工、重新施工、更换等指令。由此增加的费用由承包人承担，使竣工日期延误时，不予延长。</w:t>
      </w:r>
    </w:p>
    <w:p w14:paraId="4DA9AAA9">
      <w:pPr>
        <w:keepNext w:val="0"/>
        <w:keepLines w:val="0"/>
        <w:pageBreakBefore w:val="0"/>
        <w:numPr>
          <w:ilvl w:val="2"/>
          <w:numId w:val="11"/>
        </w:numPr>
        <w:tabs>
          <w:tab w:val="left" w:pos="1134"/>
          <w:tab w:val="clear" w:pos="0"/>
        </w:tabs>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重新进行质量检查。按7.5.3款的约定，经质量检查合格的工程部位，发包人有权在不影响工程正常施工的条件下，重新进行质量检查。其检查、检验、检测、试验的结果不合格时，因此发生的费用由承包人承担，造成工程关键路径延误的，竣工日期不予延长；其检查、检验、检测、试验的结果合格时，承包人增加的费用或（和）使竣工日期延误，按14条变更和调整合同价格的约定，作为一项变更。</w:t>
      </w:r>
    </w:p>
    <w:p w14:paraId="4083DE86">
      <w:pPr>
        <w:keepNext w:val="0"/>
        <w:keepLines w:val="0"/>
        <w:pageBreakBefore w:val="0"/>
        <w:widowControl w:val="0"/>
        <w:numPr>
          <w:ilvl w:val="1"/>
          <w:numId w:val="11"/>
        </w:numPr>
        <w:kinsoku/>
        <w:wordWrap/>
        <w:overflowPunct/>
        <w:topLinePunct w:val="0"/>
        <w:autoSpaceDE/>
        <w:autoSpaceDN/>
        <w:bidi w:val="0"/>
        <w:adjustRightInd/>
        <w:snapToGrid/>
        <w:spacing w:line="360" w:lineRule="auto"/>
        <w:ind w:left="632" w:leftChars="0" w:hanging="632" w:hangingChars="300"/>
        <w:textAlignment w:val="auto"/>
        <w:outlineLvl w:val="3"/>
        <w:rPr>
          <w:rFonts w:ascii="宋体" w:hAnsi="宋体"/>
          <w:b/>
          <w:color w:val="auto"/>
          <w:sz w:val="21"/>
          <w:szCs w:val="21"/>
          <w:highlight w:val="none"/>
        </w:rPr>
      </w:pPr>
      <w:bookmarkStart w:id="122" w:name="_Toc76719944"/>
      <w:r>
        <w:rPr>
          <w:rFonts w:hint="eastAsia" w:ascii="宋体" w:hAnsi="宋体"/>
          <w:b/>
          <w:color w:val="auto"/>
          <w:sz w:val="21"/>
          <w:szCs w:val="21"/>
          <w:highlight w:val="none"/>
        </w:rPr>
        <w:t>隐蔽工程和中间验收</w:t>
      </w:r>
      <w:bookmarkEnd w:id="122"/>
    </w:p>
    <w:p w14:paraId="6DE27614">
      <w:pPr>
        <w:keepNext w:val="0"/>
        <w:keepLines w:val="0"/>
        <w:pageBreakBefore w:val="0"/>
        <w:numPr>
          <w:ilvl w:val="2"/>
          <w:numId w:val="11"/>
        </w:numPr>
        <w:tabs>
          <w:tab w:val="left" w:pos="1134"/>
          <w:tab w:val="clear" w:pos="0"/>
        </w:tabs>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隐蔽工程和中间验收。需要质检的隐蔽工程和中间验收部位的分类、部位、质检内容、质检标准、质检表格和参检方在专用条款中约定。</w:t>
      </w:r>
    </w:p>
    <w:p w14:paraId="70CE074E">
      <w:pPr>
        <w:keepNext w:val="0"/>
        <w:keepLines w:val="0"/>
        <w:pageBreakBefore w:val="0"/>
        <w:numPr>
          <w:ilvl w:val="2"/>
          <w:numId w:val="11"/>
        </w:numPr>
        <w:tabs>
          <w:tab w:val="left" w:pos="1134"/>
          <w:tab w:val="clear" w:pos="0"/>
        </w:tabs>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验收通知和验收。承包人对自检合格的隐蔽工程或中间验收部位，在隐蔽工程或中间验收前的</w:t>
      </w:r>
      <w:r>
        <w:rPr>
          <w:rFonts w:ascii="宋体" w:hAnsi="宋体"/>
          <w:color w:val="auto"/>
          <w:sz w:val="21"/>
          <w:szCs w:val="21"/>
          <w:highlight w:val="none"/>
        </w:rPr>
        <w:t>48</w:t>
      </w:r>
      <w:r>
        <w:rPr>
          <w:rFonts w:hint="eastAsia" w:ascii="宋体" w:hAnsi="宋体"/>
          <w:color w:val="auto"/>
          <w:sz w:val="21"/>
          <w:szCs w:val="21"/>
          <w:highlight w:val="none"/>
        </w:rPr>
        <w:t>小时以书面形式通知发包人或（和）监理人验收。通知包括隐蔽和中间验收的内容、验收时间和地点。验收合格，双方在验收记录上签字后，方可覆盖、进行紧后作业，承包人编制并提交隐蔽工程竣工资料以及发包人或监理人要求提供的相关资料。</w:t>
      </w:r>
    </w:p>
    <w:p w14:paraId="1B62742D">
      <w:pPr>
        <w:keepNext w:val="0"/>
        <w:keepLines w:val="0"/>
        <w:pageBreakBefore w:val="0"/>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发包人或（和）监理人在验收合格</w:t>
      </w:r>
      <w:r>
        <w:rPr>
          <w:rFonts w:ascii="宋体" w:hAnsi="宋体"/>
          <w:color w:val="auto"/>
          <w:sz w:val="21"/>
          <w:szCs w:val="21"/>
          <w:highlight w:val="none"/>
        </w:rPr>
        <w:t>24</w:t>
      </w:r>
      <w:r>
        <w:rPr>
          <w:rFonts w:hint="eastAsia" w:ascii="宋体" w:hAnsi="宋体"/>
          <w:color w:val="auto"/>
          <w:sz w:val="21"/>
          <w:szCs w:val="21"/>
          <w:highlight w:val="none"/>
        </w:rPr>
        <w:t>小时后不在验收记录上签字的，视为发包人或（和）监理人已经认可验收记录，承包人可隐蔽或进行紧后作业。经发包人或（和）监理人验收不合格的，承包人需在发包人或（和）监理人限定的时间内修正，重新通知发包人或（和）监理人验收。</w:t>
      </w:r>
    </w:p>
    <w:p w14:paraId="3EA85DB5">
      <w:pPr>
        <w:keepNext w:val="0"/>
        <w:keepLines w:val="0"/>
        <w:pageBreakBefore w:val="0"/>
        <w:numPr>
          <w:ilvl w:val="2"/>
          <w:numId w:val="11"/>
        </w:numPr>
        <w:tabs>
          <w:tab w:val="left" w:pos="1134"/>
          <w:tab w:val="clear" w:pos="0"/>
        </w:tabs>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未能按时参加验收。发包人或（和）监理人不能按时参加隐蔽工程或中间验收部位验收的，在收到验收通知</w:t>
      </w:r>
      <w:r>
        <w:rPr>
          <w:rFonts w:ascii="宋体" w:hAnsi="宋体"/>
          <w:color w:val="auto"/>
          <w:sz w:val="21"/>
          <w:szCs w:val="21"/>
          <w:highlight w:val="none"/>
        </w:rPr>
        <w:t>24</w:t>
      </w:r>
      <w:r>
        <w:rPr>
          <w:rFonts w:hint="eastAsia" w:ascii="宋体" w:hAnsi="宋体"/>
          <w:color w:val="auto"/>
          <w:sz w:val="21"/>
          <w:szCs w:val="21"/>
          <w:highlight w:val="none"/>
        </w:rPr>
        <w:t>小时内以书面形式向承包人提出延期要求，延期不能超过</w:t>
      </w:r>
      <w:r>
        <w:rPr>
          <w:rFonts w:ascii="宋体" w:hAnsi="宋体"/>
          <w:color w:val="auto"/>
          <w:sz w:val="21"/>
          <w:szCs w:val="21"/>
          <w:highlight w:val="none"/>
        </w:rPr>
        <w:t>48</w:t>
      </w:r>
      <w:r>
        <w:rPr>
          <w:rFonts w:hint="eastAsia" w:ascii="宋体" w:hAnsi="宋体"/>
          <w:color w:val="auto"/>
          <w:sz w:val="21"/>
          <w:szCs w:val="21"/>
          <w:highlight w:val="none"/>
        </w:rPr>
        <w:t>小时。未能按以上时间提出延期验收，又未能参加验收的，承包人可自行组织验收，其验收记录视为已被发包人、监理人认可。</w:t>
      </w:r>
    </w:p>
    <w:p w14:paraId="00BFF640">
      <w:pPr>
        <w:keepNext w:val="0"/>
        <w:keepLines w:val="0"/>
        <w:pageBreakBefore w:val="0"/>
        <w:numPr>
          <w:ilvl w:val="2"/>
          <w:numId w:val="11"/>
        </w:numPr>
        <w:tabs>
          <w:tab w:val="left" w:pos="1134"/>
          <w:tab w:val="clear" w:pos="0"/>
        </w:tabs>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再检验。发包人或（和）监理人在任何时间内，有权对已经验收的隐蔽工程要求重新检验，承包人按要求拆除覆盖、剥离或开孔，并在检验后重新覆盖或修复。经检验不合格时，由此发生的费用由承包人承担，使工程关键路径延误时，竣工日期不予延长；经检验合格时，承包人增加的费用、或工程关键路径的延误，按照14条变更和调整合同价格的约定，作为一项变更。</w:t>
      </w:r>
    </w:p>
    <w:p w14:paraId="4C250347">
      <w:pPr>
        <w:keepNext w:val="0"/>
        <w:keepLines w:val="0"/>
        <w:pageBreakBefore w:val="0"/>
        <w:widowControl w:val="0"/>
        <w:numPr>
          <w:ilvl w:val="1"/>
          <w:numId w:val="11"/>
        </w:numPr>
        <w:kinsoku/>
        <w:wordWrap/>
        <w:overflowPunct/>
        <w:topLinePunct w:val="0"/>
        <w:autoSpaceDE/>
        <w:autoSpaceDN/>
        <w:bidi w:val="0"/>
        <w:adjustRightInd/>
        <w:snapToGrid/>
        <w:spacing w:line="360" w:lineRule="auto"/>
        <w:ind w:left="632" w:leftChars="0" w:hanging="632" w:hangingChars="300"/>
        <w:textAlignment w:val="auto"/>
        <w:outlineLvl w:val="3"/>
        <w:rPr>
          <w:rFonts w:ascii="宋体" w:hAnsi="宋体"/>
          <w:b/>
          <w:color w:val="auto"/>
          <w:sz w:val="21"/>
          <w:szCs w:val="21"/>
          <w:highlight w:val="none"/>
        </w:rPr>
      </w:pPr>
      <w:bookmarkStart w:id="123" w:name="_Toc76719945"/>
      <w:r>
        <w:rPr>
          <w:rFonts w:hint="eastAsia" w:ascii="宋体" w:hAnsi="宋体"/>
          <w:b/>
          <w:color w:val="auto"/>
          <w:sz w:val="21"/>
          <w:szCs w:val="21"/>
          <w:highlight w:val="none"/>
        </w:rPr>
        <w:t>对施工质量结果的争议</w:t>
      </w:r>
      <w:bookmarkEnd w:id="123"/>
    </w:p>
    <w:p w14:paraId="15653803">
      <w:pPr>
        <w:keepNext w:val="0"/>
        <w:keepLines w:val="0"/>
        <w:pageBreakBefore w:val="0"/>
        <w:numPr>
          <w:ilvl w:val="2"/>
          <w:numId w:val="11"/>
        </w:numPr>
        <w:tabs>
          <w:tab w:val="left" w:pos="1134"/>
          <w:tab w:val="clear" w:pos="0"/>
        </w:tabs>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对施工质量结果的争议，首先协商解决。经协商未达成一致意见的，由发包人委托的具有相应资格的工程质量检测机构进行鉴定。</w:t>
      </w:r>
    </w:p>
    <w:p w14:paraId="5BD168DE">
      <w:pPr>
        <w:keepNext w:val="0"/>
        <w:keepLines w:val="0"/>
        <w:pageBreakBefore w:val="0"/>
        <w:kinsoku/>
        <w:wordWrap/>
        <w:overflowPunct/>
        <w:topLinePunct w:val="0"/>
        <w:autoSpaceDE/>
        <w:autoSpaceDN/>
        <w:bidi w:val="0"/>
        <w:spacing w:line="360" w:lineRule="auto"/>
        <w:ind w:left="630" w:leftChars="300" w:firstLine="0" w:firstLineChars="0"/>
        <w:textAlignment w:val="auto"/>
        <w:rPr>
          <w:rFonts w:ascii="宋体" w:hAnsi="宋体"/>
          <w:color w:val="auto"/>
          <w:sz w:val="21"/>
          <w:szCs w:val="21"/>
          <w:highlight w:val="none"/>
        </w:rPr>
      </w:pPr>
      <w:r>
        <w:rPr>
          <w:rFonts w:hint="eastAsia" w:ascii="宋体" w:hAnsi="宋体"/>
          <w:color w:val="auto"/>
          <w:sz w:val="21"/>
          <w:szCs w:val="21"/>
          <w:highlight w:val="none"/>
        </w:rPr>
        <w:t>根据鉴定结果，责任方为承包人时，因此造成的费用增加或竣工日期延误，由承包人负责；责任方为发包人时，因此造成的费用增加由发包人承担，工程关键路径因争议受到延误的，竣工日期相应顺延。</w:t>
      </w:r>
    </w:p>
    <w:p w14:paraId="771C62F5">
      <w:pPr>
        <w:keepNext w:val="0"/>
        <w:keepLines w:val="0"/>
        <w:pageBreakBefore w:val="0"/>
        <w:numPr>
          <w:ilvl w:val="2"/>
          <w:numId w:val="11"/>
        </w:numPr>
        <w:tabs>
          <w:tab w:val="left" w:pos="1134"/>
          <w:tab w:val="clear" w:pos="0"/>
        </w:tabs>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根据鉴定结果，合同双方均有责任时，根据各方的责任大小，协商分担发生的费用；因此造成工程关键路径延误时，商定对竣工日期的延长。当双方对分担的费用、竣工日期延长不能达成一致时，按</w:t>
      </w:r>
      <w:r>
        <w:rPr>
          <w:rFonts w:ascii="宋体" w:hAnsi="宋体"/>
          <w:color w:val="auto"/>
          <w:sz w:val="21"/>
          <w:szCs w:val="21"/>
          <w:highlight w:val="none"/>
        </w:rPr>
        <w:t>16.3</w:t>
      </w:r>
      <w:r>
        <w:rPr>
          <w:rFonts w:hint="eastAsia" w:ascii="宋体" w:hAnsi="宋体"/>
          <w:color w:val="auto"/>
          <w:sz w:val="21"/>
          <w:szCs w:val="21"/>
          <w:highlight w:val="none"/>
        </w:rPr>
        <w:t>款争议和裁决的约定程序解决。</w:t>
      </w:r>
    </w:p>
    <w:p w14:paraId="0DEF08F3">
      <w:pPr>
        <w:keepNext w:val="0"/>
        <w:keepLines w:val="0"/>
        <w:pageBreakBefore w:val="0"/>
        <w:widowControl w:val="0"/>
        <w:numPr>
          <w:ilvl w:val="1"/>
          <w:numId w:val="11"/>
        </w:numPr>
        <w:kinsoku/>
        <w:wordWrap/>
        <w:overflowPunct/>
        <w:topLinePunct w:val="0"/>
        <w:autoSpaceDE/>
        <w:autoSpaceDN/>
        <w:bidi w:val="0"/>
        <w:adjustRightInd/>
        <w:snapToGrid/>
        <w:spacing w:line="360" w:lineRule="auto"/>
        <w:ind w:left="632" w:leftChars="0" w:hanging="632" w:hangingChars="300"/>
        <w:textAlignment w:val="auto"/>
        <w:outlineLvl w:val="3"/>
        <w:rPr>
          <w:rFonts w:ascii="宋体" w:hAnsi="宋体"/>
          <w:b/>
          <w:color w:val="auto"/>
          <w:sz w:val="21"/>
          <w:szCs w:val="21"/>
          <w:highlight w:val="none"/>
        </w:rPr>
      </w:pPr>
      <w:bookmarkStart w:id="124" w:name="_Toc76719946"/>
      <w:r>
        <w:rPr>
          <w:rFonts w:hint="eastAsia" w:ascii="宋体" w:hAnsi="宋体"/>
          <w:b/>
          <w:color w:val="auto"/>
          <w:sz w:val="21"/>
          <w:szCs w:val="21"/>
          <w:highlight w:val="none"/>
        </w:rPr>
        <w:t>健康、安全、环境</w:t>
      </w:r>
      <w:bookmarkEnd w:id="124"/>
    </w:p>
    <w:p w14:paraId="3FC4EBFA">
      <w:pPr>
        <w:keepNext w:val="0"/>
        <w:keepLines w:val="0"/>
        <w:pageBreakBefore w:val="0"/>
        <w:numPr>
          <w:ilvl w:val="2"/>
          <w:numId w:val="11"/>
        </w:numPr>
        <w:tabs>
          <w:tab w:val="left" w:pos="1134"/>
          <w:tab w:val="clear" w:pos="0"/>
        </w:tabs>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健康、安全、环境管理</w:t>
      </w:r>
    </w:p>
    <w:p w14:paraId="5C4268E1">
      <w:pPr>
        <w:keepNext w:val="0"/>
        <w:keepLines w:val="0"/>
        <w:pageBreakBefore w:val="0"/>
        <w:numPr>
          <w:ilvl w:val="0"/>
          <w:numId w:val="25"/>
        </w:numPr>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遵守有关健康、安全、环境的各项法律规定，是双方的义务。</w:t>
      </w:r>
    </w:p>
    <w:p w14:paraId="1E4EDB2D">
      <w:pPr>
        <w:keepNext w:val="0"/>
        <w:keepLines w:val="0"/>
        <w:pageBreakBefore w:val="0"/>
        <w:numPr>
          <w:ilvl w:val="0"/>
          <w:numId w:val="25"/>
        </w:numPr>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承包人应依据《安全施工协议》做好全过程的现场安全管理工作，实现本工程的安全目标。</w:t>
      </w:r>
    </w:p>
    <w:p w14:paraId="625179A5">
      <w:pPr>
        <w:keepNext w:val="0"/>
        <w:keepLines w:val="0"/>
        <w:pageBreakBefore w:val="0"/>
        <w:numPr>
          <w:ilvl w:val="0"/>
          <w:numId w:val="25"/>
        </w:numPr>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健康、安全、环境管理实施计划。在现场开工前或约定的其他时间内，承包人将健康、安全、环境管理实施计划提交给发包人和监理（如有）。该计划的管理、实施费用包括在合同价格中。发包人和监理在收到该计划后15日内提出建议，并予以确认，承包人根据发包人的建议自费修正。该计划提交的份数和提交时间，在专用条款中约定。</w:t>
      </w:r>
    </w:p>
    <w:p w14:paraId="44C654D0">
      <w:pPr>
        <w:keepNext w:val="0"/>
        <w:keepLines w:val="0"/>
        <w:pageBreakBefore w:val="0"/>
        <w:numPr>
          <w:ilvl w:val="0"/>
          <w:numId w:val="25"/>
        </w:numPr>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承包人应确保其在现场的所有雇员及其分包人的雇员都经过了足够的培训并具有经验，能够胜任健康、安全、环境管理工作。</w:t>
      </w:r>
    </w:p>
    <w:p w14:paraId="4E698D6F">
      <w:pPr>
        <w:keepNext w:val="0"/>
        <w:keepLines w:val="0"/>
        <w:pageBreakBefore w:val="0"/>
        <w:numPr>
          <w:ilvl w:val="0"/>
          <w:numId w:val="25"/>
        </w:numPr>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承包人应遵守所有与实施本工程和使用施工设备相关的现场卫生、安全和环保的法律规定，并按规定各自办理相关手续。</w:t>
      </w:r>
    </w:p>
    <w:p w14:paraId="7093E3FD">
      <w:pPr>
        <w:keepNext w:val="0"/>
        <w:keepLines w:val="0"/>
        <w:pageBreakBefore w:val="0"/>
        <w:numPr>
          <w:ilvl w:val="0"/>
          <w:numId w:val="25"/>
        </w:numPr>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承包人为现场开工部分的工程建立健康保障条件、搭设安全设施并采取环保措施等，为办理施工许可证提供条件。因承包人原因导致施工许可的批准推迟，造成费用增加或工程关键路径延误时，由承包人负责。</w:t>
      </w:r>
    </w:p>
    <w:p w14:paraId="5F7BDEAB">
      <w:pPr>
        <w:keepNext w:val="0"/>
        <w:keepLines w:val="0"/>
        <w:pageBreakBefore w:val="0"/>
        <w:numPr>
          <w:ilvl w:val="0"/>
          <w:numId w:val="25"/>
        </w:numPr>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承包人应配备专职工程师或管理人员，负责管理、监督、指导职工健康、安全保护和环境保护工作。承包人对其分包人负责。</w:t>
      </w:r>
    </w:p>
    <w:p w14:paraId="686219D3">
      <w:pPr>
        <w:keepNext w:val="0"/>
        <w:keepLines w:val="0"/>
        <w:pageBreakBefore w:val="0"/>
        <w:numPr>
          <w:ilvl w:val="0"/>
          <w:numId w:val="25"/>
        </w:numPr>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承包人随时接受政府有关行政部门、行业机构、发包人、工程总监的健康、安全、环境检查人员的监督和检查，并为此提供便利条件。</w:t>
      </w:r>
    </w:p>
    <w:p w14:paraId="334E918E">
      <w:pPr>
        <w:keepNext w:val="0"/>
        <w:keepLines w:val="0"/>
        <w:pageBreakBefore w:val="0"/>
        <w:numPr>
          <w:ilvl w:val="2"/>
          <w:numId w:val="11"/>
        </w:numPr>
        <w:tabs>
          <w:tab w:val="left" w:pos="1134"/>
          <w:tab w:val="clear" w:pos="0"/>
        </w:tabs>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现场职业健康管理</w:t>
      </w:r>
    </w:p>
    <w:p w14:paraId="45D53629">
      <w:pPr>
        <w:keepNext w:val="0"/>
        <w:keepLines w:val="0"/>
        <w:pageBreakBefore w:val="0"/>
        <w:numPr>
          <w:ilvl w:val="0"/>
          <w:numId w:val="26"/>
        </w:numPr>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ascii="宋体" w:hAnsi="宋体"/>
          <w:color w:val="auto"/>
          <w:sz w:val="21"/>
          <w:szCs w:val="21"/>
          <w:highlight w:val="none"/>
        </w:rPr>
        <w:t>承包人</w:t>
      </w:r>
      <w:r>
        <w:rPr>
          <w:rFonts w:hint="eastAsia" w:ascii="宋体" w:hAnsi="宋体"/>
          <w:color w:val="auto"/>
          <w:sz w:val="21"/>
          <w:szCs w:val="21"/>
          <w:highlight w:val="none"/>
        </w:rPr>
        <w:t>应遵守适用的职业健康的法律规定和合同约定（包括对雇用、健康、安全、福利等方面的规定），</w:t>
      </w:r>
      <w:r>
        <w:rPr>
          <w:rFonts w:ascii="宋体" w:hAnsi="宋体"/>
          <w:color w:val="auto"/>
          <w:sz w:val="21"/>
          <w:szCs w:val="21"/>
          <w:highlight w:val="none"/>
        </w:rPr>
        <w:t>负责现场实施过程中</w:t>
      </w:r>
      <w:r>
        <w:rPr>
          <w:rFonts w:hint="eastAsia" w:ascii="宋体" w:hAnsi="宋体"/>
          <w:color w:val="auto"/>
          <w:sz w:val="21"/>
          <w:szCs w:val="21"/>
          <w:highlight w:val="none"/>
        </w:rPr>
        <w:t>其人员的</w:t>
      </w:r>
      <w:r>
        <w:rPr>
          <w:rFonts w:ascii="宋体" w:hAnsi="宋体"/>
          <w:color w:val="auto"/>
          <w:sz w:val="21"/>
          <w:szCs w:val="21"/>
          <w:highlight w:val="none"/>
        </w:rPr>
        <w:t>职业健康</w:t>
      </w:r>
      <w:r>
        <w:rPr>
          <w:rFonts w:hint="eastAsia" w:ascii="宋体" w:hAnsi="宋体"/>
          <w:color w:val="auto"/>
          <w:sz w:val="21"/>
          <w:szCs w:val="21"/>
          <w:highlight w:val="none"/>
        </w:rPr>
        <w:t>和</w:t>
      </w:r>
      <w:r>
        <w:rPr>
          <w:rFonts w:ascii="宋体" w:hAnsi="宋体"/>
          <w:color w:val="auto"/>
          <w:sz w:val="21"/>
          <w:szCs w:val="21"/>
          <w:highlight w:val="none"/>
        </w:rPr>
        <w:t>保护</w:t>
      </w:r>
      <w:r>
        <w:rPr>
          <w:rFonts w:hint="eastAsia" w:ascii="宋体" w:hAnsi="宋体"/>
          <w:color w:val="auto"/>
          <w:sz w:val="21"/>
          <w:szCs w:val="21"/>
          <w:highlight w:val="none"/>
        </w:rPr>
        <w:t xml:space="preserve">。 </w:t>
      </w:r>
    </w:p>
    <w:p w14:paraId="539BFC4F">
      <w:pPr>
        <w:keepNext w:val="0"/>
        <w:keepLines w:val="0"/>
        <w:pageBreakBefore w:val="0"/>
        <w:numPr>
          <w:ilvl w:val="0"/>
          <w:numId w:val="26"/>
        </w:numPr>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 xml:space="preserve">承包人应遵守适用的劳动法规，保护其雇员的合法休假权等合法权益，并为其现场人员提供劳动保护用品、防护器具、防暑降温用品、必要的现场食宿条件和安全生产设施。 </w:t>
      </w:r>
    </w:p>
    <w:p w14:paraId="775B11C5">
      <w:pPr>
        <w:keepNext w:val="0"/>
        <w:keepLines w:val="0"/>
        <w:pageBreakBefore w:val="0"/>
        <w:numPr>
          <w:ilvl w:val="0"/>
          <w:numId w:val="26"/>
        </w:numPr>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承包人应对其施工人员进行相关作业的职业健康知识培训、危险及危害因素交底、安全操作规程交底、采取有效措施，按有关规定提供防止人身伤害的保护用具。</w:t>
      </w:r>
    </w:p>
    <w:p w14:paraId="11B44D2B">
      <w:pPr>
        <w:keepNext w:val="0"/>
        <w:keepLines w:val="0"/>
        <w:pageBreakBefore w:val="0"/>
        <w:numPr>
          <w:ilvl w:val="0"/>
          <w:numId w:val="26"/>
        </w:numPr>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承包人应在有毒有害作业区域设置警示标志和说明。发包人及其委托人员未经承包人允许、未配备相关保护器具，进入该作业区域所造成的伤害，由发包人承担责任和费用。</w:t>
      </w:r>
    </w:p>
    <w:p w14:paraId="57185EA3">
      <w:pPr>
        <w:keepNext w:val="0"/>
        <w:keepLines w:val="0"/>
        <w:pageBreakBefore w:val="0"/>
        <w:numPr>
          <w:ilvl w:val="0"/>
          <w:numId w:val="26"/>
        </w:numPr>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承包人应对有毒有害岗位进行防治检查，对不合格的防护设施、器具、搭设等及时整改，消除危害健康的隐患。</w:t>
      </w:r>
    </w:p>
    <w:p w14:paraId="1EFF67CD">
      <w:pPr>
        <w:keepNext w:val="0"/>
        <w:keepLines w:val="0"/>
        <w:pageBreakBefore w:val="0"/>
        <w:numPr>
          <w:ilvl w:val="0"/>
          <w:numId w:val="26"/>
        </w:numPr>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承包人应采取卫生防疫措施，配备医务人员、急救设施，保持食堂的饮食卫生，保持住地及其周围的环境卫生，维护施工人员的健康。</w:t>
      </w:r>
    </w:p>
    <w:p w14:paraId="79687315">
      <w:pPr>
        <w:keepNext w:val="0"/>
        <w:keepLines w:val="0"/>
        <w:pageBreakBefore w:val="0"/>
        <w:numPr>
          <w:ilvl w:val="2"/>
          <w:numId w:val="11"/>
        </w:numPr>
        <w:tabs>
          <w:tab w:val="left" w:pos="1134"/>
          <w:tab w:val="clear" w:pos="0"/>
        </w:tabs>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现场安全管理</w:t>
      </w:r>
    </w:p>
    <w:p w14:paraId="64E991C2">
      <w:pPr>
        <w:keepNext w:val="0"/>
        <w:keepLines w:val="0"/>
        <w:pageBreakBefore w:val="0"/>
        <w:widowControl w:val="0"/>
        <w:numPr>
          <w:ilvl w:val="0"/>
          <w:numId w:val="27"/>
        </w:numPr>
        <w:kinsoku/>
        <w:wordWrap/>
        <w:overflowPunct/>
        <w:topLinePunct w:val="0"/>
        <w:autoSpaceDE/>
        <w:autoSpaceDN/>
        <w:bidi w:val="0"/>
        <w:adjustRightInd/>
        <w:snapToGrid/>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发包人、监理人对其在现场的人员进行安全教育，提供必要的个人安全用品，并对各自所造成的安全事故负责。发包人、监理人不得强令承包人违反安全施工、安全操作及竣工试验或（和）竣工后试验的有关安全规定。因发包人、监理人及其现场工作人员的原因，导致的人身伤害和财产损失，承包人不承担责任。工程关键路径延误时，竣工日期给予顺延。</w:t>
      </w:r>
    </w:p>
    <w:p w14:paraId="383393F2">
      <w:pPr>
        <w:keepNext w:val="0"/>
        <w:keepLines w:val="0"/>
        <w:pageBreakBefore w:val="0"/>
        <w:numPr>
          <w:ilvl w:val="0"/>
          <w:numId w:val="27"/>
        </w:numPr>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因承包人原因，违反安全施工、安全操作、竣工试验或（和）竣工后试验的有关安全规定，导致的人身伤害和财产损失，由承包人负责处理，并承担赔偿责任，因此延误的工期不予顺延。根据人身伤害和财产损失的严重程度，发包人有权决定是否解除本合同。</w:t>
      </w:r>
    </w:p>
    <w:p w14:paraId="3C16181A">
      <w:pPr>
        <w:keepNext w:val="0"/>
        <w:keepLines w:val="0"/>
        <w:pageBreakBefore w:val="0"/>
        <w:numPr>
          <w:ilvl w:val="0"/>
          <w:numId w:val="27"/>
        </w:numPr>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各方人员须遵守有关禁止通行的须知，包括禁止进入工作场地以及临近工作场地的特定区域。未能遵守此约定，所造成的伤害、损坏和损失，由未能遵守此项约定的一方负责。</w:t>
      </w:r>
    </w:p>
    <w:p w14:paraId="73AD0F2D">
      <w:pPr>
        <w:keepNext w:val="0"/>
        <w:keepLines w:val="0"/>
        <w:pageBreakBefore w:val="0"/>
        <w:numPr>
          <w:ilvl w:val="0"/>
          <w:numId w:val="27"/>
        </w:numPr>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ascii="宋体" w:hAnsi="宋体"/>
          <w:color w:val="auto"/>
          <w:sz w:val="21"/>
          <w:szCs w:val="21"/>
          <w:highlight w:val="none"/>
        </w:rPr>
        <w:t>承包人</w:t>
      </w:r>
      <w:r>
        <w:rPr>
          <w:rFonts w:hint="eastAsia" w:ascii="宋体" w:hAnsi="宋体"/>
          <w:color w:val="auto"/>
          <w:sz w:val="21"/>
          <w:szCs w:val="21"/>
          <w:highlight w:val="none"/>
        </w:rPr>
        <w:t>应按合同约定负责</w:t>
      </w:r>
      <w:r>
        <w:rPr>
          <w:rFonts w:ascii="宋体" w:hAnsi="宋体"/>
          <w:color w:val="auto"/>
          <w:sz w:val="21"/>
          <w:szCs w:val="21"/>
          <w:highlight w:val="none"/>
        </w:rPr>
        <w:t>现场的安全工作，</w:t>
      </w:r>
      <w:r>
        <w:rPr>
          <w:rFonts w:hint="eastAsia" w:ascii="宋体" w:hAnsi="宋体"/>
          <w:color w:val="auto"/>
          <w:sz w:val="21"/>
          <w:szCs w:val="21"/>
          <w:highlight w:val="none"/>
        </w:rPr>
        <w:t>包括其分包人的现场。承包人应对</w:t>
      </w:r>
      <w:r>
        <w:rPr>
          <w:rFonts w:ascii="宋体" w:hAnsi="宋体"/>
          <w:color w:val="auto"/>
          <w:sz w:val="21"/>
          <w:szCs w:val="21"/>
          <w:highlight w:val="none"/>
        </w:rPr>
        <w:t>有条件的现场实行封闭管理</w:t>
      </w:r>
      <w:r>
        <w:rPr>
          <w:rFonts w:hint="eastAsia" w:ascii="宋体" w:hAnsi="宋体"/>
          <w:color w:val="auto"/>
          <w:sz w:val="21"/>
          <w:szCs w:val="21"/>
          <w:highlight w:val="none"/>
        </w:rPr>
        <w:t>。根据工程特点，在施工组织设计文件中制定相应的安全技术措施，并对专业性较强的工程部分编制专项安全施工组织设计，包括维护安全、防范危险和预防火灾等措施。</w:t>
      </w:r>
    </w:p>
    <w:p w14:paraId="34FF0D1E">
      <w:pPr>
        <w:keepNext w:val="0"/>
        <w:keepLines w:val="0"/>
        <w:pageBreakBefore w:val="0"/>
        <w:numPr>
          <w:ilvl w:val="0"/>
          <w:numId w:val="27"/>
        </w:numPr>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承包人（包括承包人的分包人、供应商及其运输单位）应对其现场内及进出现场途中的道路、桥梁、地下设施等，采取防范措施使其免遭损坏，专用条款另有约定除外。因未按约定采取防范措施所造成的损坏或（和）竣工日期延误，由承包人负责。</w:t>
      </w:r>
    </w:p>
    <w:p w14:paraId="624E30C3">
      <w:pPr>
        <w:keepNext w:val="0"/>
        <w:keepLines w:val="0"/>
        <w:pageBreakBefore w:val="0"/>
        <w:numPr>
          <w:ilvl w:val="0"/>
          <w:numId w:val="27"/>
        </w:numPr>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承包人应对其施工人员进行安全操作培训，安全操作规程交底，采取安全防护措施，设置安全警示标志和说明，进行安全检查，消除事故隐患。</w:t>
      </w:r>
    </w:p>
    <w:p w14:paraId="132E3620">
      <w:pPr>
        <w:keepNext w:val="0"/>
        <w:keepLines w:val="0"/>
        <w:pageBreakBefore w:val="0"/>
        <w:numPr>
          <w:ilvl w:val="0"/>
          <w:numId w:val="27"/>
        </w:numPr>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承包人在动力设备、输电线路、地下管道、密封防震车间、高温高压、易燃易爆区域和地段，以及临街交通要道附近作业时，对施工现场及毗邻的建筑物、构筑物和特殊作业环境可能造成的损害采取安全防护措施。施工开始前须向发包人或（和）监理人提交安全防护措施方案，经认可后实施。发包人和监理人的认可，并不能减轻或免除承包人的责任。</w:t>
      </w:r>
    </w:p>
    <w:p w14:paraId="51CA8D99">
      <w:pPr>
        <w:keepNext w:val="0"/>
        <w:keepLines w:val="0"/>
        <w:pageBreakBefore w:val="0"/>
        <w:numPr>
          <w:ilvl w:val="0"/>
          <w:numId w:val="27"/>
        </w:numPr>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承包人实施爆破、放射性、带电、毒害性及使用易燃易爆、毒害性、腐蚀性物品作业时（含运输、储存、保管）时，在施工前</w:t>
      </w:r>
      <w:r>
        <w:rPr>
          <w:rFonts w:ascii="宋体" w:hAnsi="宋体"/>
          <w:color w:val="auto"/>
          <w:sz w:val="21"/>
          <w:szCs w:val="21"/>
          <w:highlight w:val="none"/>
        </w:rPr>
        <w:t>1</w:t>
      </w:r>
      <w:r>
        <w:rPr>
          <w:rFonts w:hint="eastAsia" w:ascii="宋体" w:hAnsi="宋体"/>
          <w:color w:val="auto"/>
          <w:sz w:val="21"/>
          <w:szCs w:val="21"/>
          <w:highlight w:val="none"/>
        </w:rPr>
        <w:t>0天以书面形式通知发包人或（和）监理人，并提交相应的安全防护措施方案，经认可后实施。发包人和监理人的认可，并不能减轻或免除承包人的责任。</w:t>
      </w:r>
    </w:p>
    <w:p w14:paraId="2BF8E788">
      <w:pPr>
        <w:keepNext w:val="0"/>
        <w:keepLines w:val="0"/>
        <w:pageBreakBefore w:val="0"/>
        <w:numPr>
          <w:ilvl w:val="0"/>
          <w:numId w:val="27"/>
        </w:numPr>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安全防护检查。承包人在作业开始前，通知发包人代表或（和）监理人对其提交的安全措施方案，及现场安全设施搭设、安全通道、安全器具和消防器具配置、对周围环境安全可能带来的影响等进行检查，并根据发包人或（和）监理人提出的整改建议自费整改。发包人或（和）监理人的检查、建议，并不能减轻或免除承包人的合同责任。</w:t>
      </w:r>
    </w:p>
    <w:p w14:paraId="505CC048">
      <w:pPr>
        <w:keepNext w:val="0"/>
        <w:keepLines w:val="0"/>
        <w:pageBreakBefore w:val="0"/>
        <w:numPr>
          <w:ilvl w:val="2"/>
          <w:numId w:val="11"/>
        </w:numPr>
        <w:tabs>
          <w:tab w:val="left" w:pos="1134"/>
          <w:tab w:val="clear" w:pos="0"/>
        </w:tabs>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现场的环境保护管理</w:t>
      </w:r>
    </w:p>
    <w:p w14:paraId="3ECD817F">
      <w:pPr>
        <w:keepNext w:val="0"/>
        <w:keepLines w:val="0"/>
        <w:pageBreakBefore w:val="0"/>
        <w:numPr>
          <w:ilvl w:val="0"/>
          <w:numId w:val="28"/>
        </w:numPr>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承包人应负责在现场施工过程中保护现场周围的建筑物、构筑物、文物建筑、古树、名木，及地下管线、线缆、构筑物、文物、化石和坟墓等。因承包人未能通知发包人，并未能得到发包人进一步指示的情况下，所造成的损害、损失、赔偿等费用增加，或（和）竣工日期延误，由承包人负责。</w:t>
      </w:r>
    </w:p>
    <w:p w14:paraId="7C596239">
      <w:pPr>
        <w:keepNext w:val="0"/>
        <w:keepLines w:val="0"/>
        <w:pageBreakBefore w:val="0"/>
        <w:numPr>
          <w:ilvl w:val="0"/>
          <w:numId w:val="28"/>
        </w:numPr>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承包人应采取措施，负责控制或（和）处理现场的粉尘、废气、废水、固体废物和噪声对环境的污染和危害。否则，因此发生的伤害、赔偿、</w:t>
      </w:r>
      <w:r>
        <w:rPr>
          <w:rFonts w:hint="eastAsia" w:ascii="宋体" w:hAnsi="宋体"/>
          <w:color w:val="auto"/>
          <w:sz w:val="21"/>
          <w:szCs w:val="21"/>
          <w:highlight w:val="none"/>
          <w:lang w:eastAsia="zh-CN"/>
        </w:rPr>
        <w:t>赔偿</w:t>
      </w:r>
      <w:r>
        <w:rPr>
          <w:rFonts w:hint="eastAsia" w:ascii="宋体" w:hAnsi="宋体"/>
          <w:color w:val="auto"/>
          <w:sz w:val="21"/>
          <w:szCs w:val="21"/>
          <w:highlight w:val="none"/>
        </w:rPr>
        <w:t>等费用增加，或（和）竣工日期延误，由承包人负责。</w:t>
      </w:r>
    </w:p>
    <w:p w14:paraId="07CA331A">
      <w:pPr>
        <w:keepNext w:val="0"/>
        <w:keepLines w:val="0"/>
        <w:pageBreakBefore w:val="0"/>
        <w:numPr>
          <w:ilvl w:val="0"/>
          <w:numId w:val="28"/>
        </w:numPr>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施工现场残留、废弃的垃圾，承包人应及时或定期运到发包人或当地有关行政部门指定的地点，并采取措施防止对周围环境的污染及对作业的影响。否则，因此导致当地行政部门的</w:t>
      </w:r>
      <w:r>
        <w:rPr>
          <w:rFonts w:hint="eastAsia" w:ascii="宋体" w:hAnsi="宋体"/>
          <w:color w:val="auto"/>
          <w:sz w:val="21"/>
          <w:szCs w:val="21"/>
          <w:highlight w:val="none"/>
          <w:lang w:eastAsia="zh-CN"/>
        </w:rPr>
        <w:t>赔偿</w:t>
      </w:r>
      <w:r>
        <w:rPr>
          <w:rFonts w:hint="eastAsia" w:ascii="宋体" w:hAnsi="宋体"/>
          <w:color w:val="auto"/>
          <w:sz w:val="21"/>
          <w:szCs w:val="21"/>
          <w:highlight w:val="none"/>
        </w:rPr>
        <w:t>、赔偿等增加的费用，由承包人承担。</w:t>
      </w:r>
    </w:p>
    <w:p w14:paraId="433C14E9">
      <w:pPr>
        <w:pStyle w:val="477"/>
        <w:keepNext w:val="0"/>
        <w:keepLines w:val="0"/>
        <w:pageBreakBefore w:val="0"/>
        <w:numPr>
          <w:ilvl w:val="0"/>
          <w:numId w:val="28"/>
        </w:numPr>
        <w:kinsoku/>
        <w:wordWrap/>
        <w:overflowPunct/>
        <w:topLinePunct w:val="0"/>
        <w:autoSpaceDE/>
        <w:autoSpaceDN/>
        <w:bidi w:val="0"/>
        <w:adjustRightInd w:val="0"/>
        <w:snapToGrid w:val="0"/>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因承包人未全面履行上述义务，导致当地行政部门的</w:t>
      </w:r>
      <w:r>
        <w:rPr>
          <w:rFonts w:hint="eastAsia" w:ascii="宋体" w:hAnsi="宋体"/>
          <w:color w:val="auto"/>
          <w:sz w:val="21"/>
          <w:szCs w:val="21"/>
          <w:highlight w:val="none"/>
          <w:lang w:eastAsia="zh-CN"/>
        </w:rPr>
        <w:t>赔偿</w:t>
      </w:r>
      <w:r>
        <w:rPr>
          <w:rFonts w:hint="eastAsia" w:ascii="宋体" w:hAnsi="宋体"/>
          <w:color w:val="auto"/>
          <w:sz w:val="21"/>
          <w:szCs w:val="21"/>
          <w:highlight w:val="none"/>
        </w:rPr>
        <w:t>、赔偿等费用，由承包人承担。发包人因此而产生损失的，由承包人予以赔偿。</w:t>
      </w:r>
    </w:p>
    <w:p w14:paraId="5EBACADB">
      <w:pPr>
        <w:keepNext w:val="0"/>
        <w:keepLines w:val="0"/>
        <w:pageBreakBefore w:val="0"/>
        <w:numPr>
          <w:ilvl w:val="2"/>
          <w:numId w:val="11"/>
        </w:numPr>
        <w:tabs>
          <w:tab w:val="left" w:pos="1134"/>
          <w:tab w:val="clear" w:pos="0"/>
        </w:tabs>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事故处理</w:t>
      </w:r>
    </w:p>
    <w:p w14:paraId="331CDC1B">
      <w:pPr>
        <w:keepNext w:val="0"/>
        <w:keepLines w:val="0"/>
        <w:pageBreakBefore w:val="0"/>
        <w:numPr>
          <w:ilvl w:val="0"/>
          <w:numId w:val="29"/>
        </w:numPr>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承包人或其分包人的人员，在现场作业过程中发生死亡、伤害事件时，承包人或其分包人应立即采取救护措施，并按规定程序上报。承包人应维护好现场并采取防止事故蔓延的相应措施。</w:t>
      </w:r>
    </w:p>
    <w:p w14:paraId="7032C755">
      <w:pPr>
        <w:keepNext w:val="0"/>
        <w:keepLines w:val="0"/>
        <w:pageBreakBefore w:val="0"/>
        <w:numPr>
          <w:ilvl w:val="0"/>
          <w:numId w:val="29"/>
        </w:numPr>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对重大伤亡、重大财产、环境损害及其他安全事故，承包人应按有关规定立即上报有关部门，并立即通知发包人代表和监理人（如有）。同时，按政府有关部门的要求处理。</w:t>
      </w:r>
    </w:p>
    <w:p w14:paraId="50A81EC1">
      <w:pPr>
        <w:keepNext w:val="0"/>
        <w:keepLines w:val="0"/>
        <w:pageBreakBefore w:val="0"/>
        <w:numPr>
          <w:ilvl w:val="0"/>
          <w:numId w:val="29"/>
        </w:numPr>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合同双方对事故责任有争议时，按照政府有关部门调查认定的最终结果办理。</w:t>
      </w:r>
    </w:p>
    <w:p w14:paraId="2C5416A6">
      <w:pPr>
        <w:keepNext w:val="0"/>
        <w:keepLines w:val="0"/>
        <w:pageBreakBefore w:val="0"/>
        <w:numPr>
          <w:ilvl w:val="0"/>
          <w:numId w:val="29"/>
        </w:numPr>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因</w:t>
      </w:r>
      <w:r>
        <w:rPr>
          <w:rFonts w:ascii="宋体" w:hAnsi="宋体"/>
          <w:color w:val="auto"/>
          <w:sz w:val="21"/>
          <w:szCs w:val="21"/>
          <w:highlight w:val="none"/>
        </w:rPr>
        <w:t>承包人的原因致使</w:t>
      </w:r>
      <w:r>
        <w:rPr>
          <w:rFonts w:hint="eastAsia" w:ascii="宋体" w:hAnsi="宋体"/>
          <w:color w:val="auto"/>
          <w:sz w:val="21"/>
          <w:szCs w:val="21"/>
          <w:highlight w:val="none"/>
        </w:rPr>
        <w:t>建筑</w:t>
      </w:r>
      <w:r>
        <w:rPr>
          <w:rFonts w:ascii="宋体" w:hAnsi="宋体"/>
          <w:color w:val="auto"/>
          <w:sz w:val="21"/>
          <w:szCs w:val="21"/>
          <w:highlight w:val="none"/>
        </w:rPr>
        <w:t>工程在合理使用期限</w:t>
      </w:r>
      <w:r>
        <w:rPr>
          <w:rFonts w:hint="eastAsia" w:ascii="宋体" w:hAnsi="宋体"/>
          <w:color w:val="auto"/>
          <w:sz w:val="21"/>
          <w:szCs w:val="21"/>
          <w:highlight w:val="none"/>
        </w:rPr>
        <w:t>、设备保证期内</w:t>
      </w:r>
      <w:r>
        <w:rPr>
          <w:rFonts w:ascii="宋体" w:hAnsi="宋体"/>
          <w:color w:val="auto"/>
          <w:sz w:val="21"/>
          <w:szCs w:val="21"/>
          <w:highlight w:val="none"/>
        </w:rPr>
        <w:t>造成人身和财产损害的，</w:t>
      </w:r>
      <w:r>
        <w:rPr>
          <w:rFonts w:hint="eastAsia" w:ascii="宋体" w:hAnsi="宋体"/>
          <w:color w:val="auto"/>
          <w:sz w:val="21"/>
          <w:szCs w:val="21"/>
          <w:highlight w:val="none"/>
        </w:rPr>
        <w:t>由</w:t>
      </w:r>
      <w:r>
        <w:rPr>
          <w:rFonts w:ascii="宋体" w:hAnsi="宋体"/>
          <w:color w:val="auto"/>
          <w:sz w:val="21"/>
          <w:szCs w:val="21"/>
          <w:highlight w:val="none"/>
        </w:rPr>
        <w:t>承包人承担损害赔偿责任</w:t>
      </w:r>
      <w:r>
        <w:rPr>
          <w:rFonts w:hint="eastAsia" w:ascii="宋体" w:hAnsi="宋体"/>
          <w:color w:val="auto"/>
          <w:sz w:val="21"/>
          <w:szCs w:val="21"/>
          <w:highlight w:val="none"/>
        </w:rPr>
        <w:t>。</w:t>
      </w:r>
    </w:p>
    <w:p w14:paraId="287FAA79">
      <w:pPr>
        <w:keepNext w:val="0"/>
        <w:keepLines w:val="0"/>
        <w:pageBreakBefore w:val="0"/>
        <w:numPr>
          <w:ilvl w:val="0"/>
          <w:numId w:val="29"/>
        </w:numPr>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因承包人原因发生员工食物中毒、地方病及职业健康事件的，由承包人承担责任。</w:t>
      </w:r>
    </w:p>
    <w:p w14:paraId="7F492EB9">
      <w:pPr>
        <w:keepNext w:val="0"/>
        <w:keepLines w:val="0"/>
        <w:pageBreakBefore w:val="0"/>
        <w:numPr>
          <w:ilvl w:val="0"/>
          <w:numId w:val="11"/>
        </w:numPr>
        <w:kinsoku/>
        <w:wordWrap/>
        <w:overflowPunct/>
        <w:topLinePunct w:val="0"/>
        <w:autoSpaceDE/>
        <w:autoSpaceDN/>
        <w:bidi w:val="0"/>
        <w:spacing w:line="360" w:lineRule="auto"/>
        <w:ind w:left="632" w:leftChars="0" w:hanging="632" w:hangingChars="300"/>
        <w:textAlignment w:val="auto"/>
        <w:outlineLvl w:val="2"/>
        <w:rPr>
          <w:rFonts w:ascii="宋体" w:hAnsi="宋体"/>
          <w:b/>
          <w:color w:val="auto"/>
          <w:sz w:val="21"/>
          <w:szCs w:val="21"/>
          <w:highlight w:val="none"/>
        </w:rPr>
      </w:pPr>
      <w:bookmarkStart w:id="125" w:name="_Toc363719000"/>
      <w:bookmarkStart w:id="126" w:name="_Toc80633158"/>
      <w:bookmarkStart w:id="127" w:name="_Toc76719947"/>
      <w:r>
        <w:rPr>
          <w:rFonts w:hint="eastAsia" w:ascii="宋体" w:hAnsi="宋体"/>
          <w:b/>
          <w:color w:val="auto"/>
          <w:sz w:val="21"/>
          <w:szCs w:val="21"/>
          <w:highlight w:val="none"/>
        </w:rPr>
        <w:t>竣工试验</w:t>
      </w:r>
      <w:bookmarkEnd w:id="125"/>
      <w:bookmarkEnd w:id="126"/>
      <w:bookmarkEnd w:id="127"/>
    </w:p>
    <w:p w14:paraId="00118189">
      <w:pPr>
        <w:keepNext w:val="0"/>
        <w:keepLines w:val="0"/>
        <w:pageBreakBefore w:val="0"/>
        <w:kinsoku/>
        <w:wordWrap/>
        <w:overflowPunct/>
        <w:topLinePunct w:val="0"/>
        <w:autoSpaceDE/>
        <w:autoSpaceDN/>
        <w:bidi w:val="0"/>
        <w:spacing w:line="360" w:lineRule="auto"/>
        <w:ind w:left="630" w:leftChars="200" w:hanging="210" w:hangingChars="100"/>
        <w:textAlignment w:val="auto"/>
        <w:rPr>
          <w:rFonts w:ascii="宋体" w:hAnsi="宋体"/>
          <w:color w:val="auto"/>
          <w:sz w:val="21"/>
          <w:szCs w:val="21"/>
          <w:highlight w:val="none"/>
        </w:rPr>
      </w:pPr>
      <w:r>
        <w:rPr>
          <w:rFonts w:hint="eastAsia" w:ascii="宋体" w:hAnsi="宋体"/>
          <w:color w:val="auto"/>
          <w:sz w:val="21"/>
          <w:szCs w:val="21"/>
          <w:highlight w:val="none"/>
        </w:rPr>
        <w:t>本合同工程包含竣工试验，遵守本条约定。</w:t>
      </w:r>
    </w:p>
    <w:p w14:paraId="6BFFCFEA">
      <w:pPr>
        <w:keepNext w:val="0"/>
        <w:keepLines w:val="0"/>
        <w:pageBreakBefore w:val="0"/>
        <w:widowControl w:val="0"/>
        <w:numPr>
          <w:ilvl w:val="1"/>
          <w:numId w:val="11"/>
        </w:numPr>
        <w:kinsoku/>
        <w:wordWrap/>
        <w:overflowPunct/>
        <w:topLinePunct w:val="0"/>
        <w:autoSpaceDE/>
        <w:autoSpaceDN/>
        <w:bidi w:val="0"/>
        <w:adjustRightInd/>
        <w:snapToGrid/>
        <w:spacing w:line="360" w:lineRule="auto"/>
        <w:ind w:left="632" w:leftChars="0" w:hanging="632" w:hangingChars="300"/>
        <w:textAlignment w:val="auto"/>
        <w:outlineLvl w:val="3"/>
        <w:rPr>
          <w:rFonts w:ascii="宋体" w:hAnsi="宋体"/>
          <w:b/>
          <w:color w:val="auto"/>
          <w:sz w:val="21"/>
          <w:szCs w:val="21"/>
          <w:highlight w:val="none"/>
        </w:rPr>
      </w:pPr>
      <w:bookmarkStart w:id="128" w:name="_Toc76719948"/>
      <w:r>
        <w:rPr>
          <w:rFonts w:hint="eastAsia" w:ascii="宋体" w:hAnsi="宋体"/>
          <w:b/>
          <w:color w:val="auto"/>
          <w:sz w:val="21"/>
          <w:szCs w:val="21"/>
          <w:highlight w:val="none"/>
        </w:rPr>
        <w:t>竣工试验的义务</w:t>
      </w:r>
      <w:bookmarkEnd w:id="128"/>
    </w:p>
    <w:p w14:paraId="31B99982">
      <w:pPr>
        <w:keepNext w:val="0"/>
        <w:keepLines w:val="0"/>
        <w:pageBreakBefore w:val="0"/>
        <w:numPr>
          <w:ilvl w:val="2"/>
          <w:numId w:val="11"/>
        </w:numPr>
        <w:tabs>
          <w:tab w:val="left" w:pos="1134"/>
          <w:tab w:val="clear" w:pos="0"/>
        </w:tabs>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承包人的义务</w:t>
      </w:r>
    </w:p>
    <w:p w14:paraId="53DB23A8">
      <w:pPr>
        <w:keepNext w:val="0"/>
        <w:keepLines w:val="0"/>
        <w:pageBreakBefore w:val="0"/>
        <w:numPr>
          <w:ilvl w:val="0"/>
          <w:numId w:val="30"/>
        </w:numPr>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在单项工程或（和）工程的竣工试验开始前，承包人须完成相应单项工程或（和）工程的施工作业（不包括：为竣工试验、竣工后试验必须预留的施工部位、不影响竣工试验的缺陷修复和零星扫尾工程）；并在竣工试验开始前，按合同约定需完成的检查、检验、检测和试验。</w:t>
      </w:r>
    </w:p>
    <w:p w14:paraId="081D4F76">
      <w:pPr>
        <w:keepNext w:val="0"/>
        <w:keepLines w:val="0"/>
        <w:pageBreakBefore w:val="0"/>
        <w:numPr>
          <w:ilvl w:val="0"/>
          <w:numId w:val="30"/>
        </w:numPr>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在竣工试验开始前，承包人根据</w:t>
      </w:r>
      <w:r>
        <w:rPr>
          <w:rFonts w:ascii="宋体" w:hAnsi="宋体"/>
          <w:color w:val="auto"/>
          <w:sz w:val="21"/>
          <w:szCs w:val="21"/>
          <w:highlight w:val="none"/>
        </w:rPr>
        <w:t>7.6</w:t>
      </w:r>
      <w:r>
        <w:rPr>
          <w:rFonts w:hint="eastAsia" w:ascii="宋体" w:hAnsi="宋体"/>
          <w:color w:val="auto"/>
          <w:sz w:val="21"/>
          <w:szCs w:val="21"/>
          <w:highlight w:val="none"/>
        </w:rPr>
        <w:t>款隐蔽工程和中间验收部位的约定，向发包人提交相关的质检资料及其竣工资料。</w:t>
      </w:r>
    </w:p>
    <w:p w14:paraId="2A00097C">
      <w:pPr>
        <w:keepNext w:val="0"/>
        <w:keepLines w:val="0"/>
        <w:pageBreakBefore w:val="0"/>
        <w:numPr>
          <w:ilvl w:val="0"/>
          <w:numId w:val="30"/>
        </w:numPr>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根据第 10条竣工后试验的约定，由承包人指导发包人进行竣工后试验的，承包人须完成5.4款约定的操作维修人员培训，并在竣工试验前提交5</w:t>
      </w:r>
      <w:r>
        <w:rPr>
          <w:rFonts w:ascii="宋体" w:hAnsi="宋体"/>
          <w:color w:val="auto"/>
          <w:sz w:val="21"/>
          <w:szCs w:val="21"/>
          <w:highlight w:val="none"/>
        </w:rPr>
        <w:t>.</w:t>
      </w:r>
      <w:r>
        <w:rPr>
          <w:rFonts w:hint="eastAsia" w:ascii="宋体" w:hAnsi="宋体"/>
          <w:color w:val="auto"/>
          <w:sz w:val="21"/>
          <w:szCs w:val="21"/>
          <w:highlight w:val="none"/>
        </w:rPr>
        <w:t>2</w:t>
      </w:r>
      <w:r>
        <w:rPr>
          <w:rFonts w:ascii="宋体" w:hAnsi="宋体"/>
          <w:color w:val="auto"/>
          <w:sz w:val="21"/>
          <w:szCs w:val="21"/>
          <w:highlight w:val="none"/>
        </w:rPr>
        <w:t>.</w:t>
      </w:r>
      <w:r>
        <w:rPr>
          <w:rFonts w:hint="eastAsia" w:ascii="宋体" w:hAnsi="宋体"/>
          <w:color w:val="auto"/>
          <w:sz w:val="21"/>
          <w:szCs w:val="21"/>
          <w:highlight w:val="none"/>
        </w:rPr>
        <w:t>4款约定的操作维修手册。</w:t>
      </w:r>
    </w:p>
    <w:p w14:paraId="4DE02242">
      <w:pPr>
        <w:keepNext w:val="0"/>
        <w:keepLines w:val="0"/>
        <w:pageBreakBefore w:val="0"/>
        <w:numPr>
          <w:ilvl w:val="0"/>
          <w:numId w:val="30"/>
        </w:numPr>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竣工试验方案。在达到竣工试验条件20日前，承包人将竣工试验方案提交给发包人。发包人在10日内对方案提出建议和意见，承包人根据发包人提出的建议和意见自费对竣工试验方案进行修正。竣工试验方案经发包人确认后，作为合同附件，由承包人负责实施。竣工试验方案提交的份数和提交时间，在专用条款中约定。方案包括：</w:t>
      </w:r>
    </w:p>
    <w:p w14:paraId="145D53E7">
      <w:pPr>
        <w:keepNext w:val="0"/>
        <w:keepLines w:val="0"/>
        <w:pageBreakBefore w:val="0"/>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1）竣工试验方案编制的依据和原则；</w:t>
      </w:r>
    </w:p>
    <w:p w14:paraId="23201EF5">
      <w:pPr>
        <w:keepNext w:val="0"/>
        <w:keepLines w:val="0"/>
        <w:pageBreakBefore w:val="0"/>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2）组织机构设置、责任分工；</w:t>
      </w:r>
    </w:p>
    <w:p w14:paraId="410FE5FB">
      <w:pPr>
        <w:keepNext w:val="0"/>
        <w:keepLines w:val="0"/>
        <w:pageBreakBefore w:val="0"/>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3）单项工程竣工试验的试验程序、试验条件；</w:t>
      </w:r>
    </w:p>
    <w:p w14:paraId="73912209">
      <w:pPr>
        <w:keepNext w:val="0"/>
        <w:keepLines w:val="0"/>
        <w:pageBreakBefore w:val="0"/>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4）单件、单体、联动试验的试验程序、试验条件；</w:t>
      </w:r>
    </w:p>
    <w:p w14:paraId="317FCDC9">
      <w:pPr>
        <w:keepNext w:val="0"/>
        <w:keepLines w:val="0"/>
        <w:pageBreakBefore w:val="0"/>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 xml:space="preserve">5）竣工试验的设备、材料和部件的类别、性能标准、试验及验收格式； </w:t>
      </w:r>
    </w:p>
    <w:p w14:paraId="12C061A6">
      <w:pPr>
        <w:keepNext w:val="0"/>
        <w:keepLines w:val="0"/>
        <w:pageBreakBefore w:val="0"/>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6）水、电、动力等条件的品质和用量要求；</w:t>
      </w:r>
    </w:p>
    <w:p w14:paraId="0E3839F0">
      <w:pPr>
        <w:keepNext w:val="0"/>
        <w:keepLines w:val="0"/>
        <w:pageBreakBefore w:val="0"/>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7）安全程序、安全措施及防护设施；</w:t>
      </w:r>
    </w:p>
    <w:p w14:paraId="509CA5EA">
      <w:pPr>
        <w:keepNext w:val="0"/>
        <w:keepLines w:val="0"/>
        <w:pageBreakBefore w:val="0"/>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8）竣工试验的进度计划、措施方案、人力及机具计划安排；</w:t>
      </w:r>
    </w:p>
    <w:p w14:paraId="4DE7A54C">
      <w:pPr>
        <w:keepNext w:val="0"/>
        <w:keepLines w:val="0"/>
        <w:pageBreakBefore w:val="0"/>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9）其他</w:t>
      </w:r>
    </w:p>
    <w:p w14:paraId="6DEB6891">
      <w:pPr>
        <w:keepNext w:val="0"/>
        <w:keepLines w:val="0"/>
        <w:pageBreakBefore w:val="0"/>
        <w:numPr>
          <w:ilvl w:val="0"/>
          <w:numId w:val="31"/>
        </w:numPr>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承包人的竣工试验包括根据6.1.1款发包人新委托给承包人进行的永久性工程的设备、材料和部件的竣工试验。</w:t>
      </w:r>
    </w:p>
    <w:p w14:paraId="69119F75">
      <w:pPr>
        <w:keepNext w:val="0"/>
        <w:keepLines w:val="0"/>
        <w:pageBreakBefore w:val="0"/>
        <w:numPr>
          <w:ilvl w:val="0"/>
          <w:numId w:val="31"/>
        </w:numPr>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承包人按照试验条件、试验程序，及5.2.3款第（3）项约定的标准、规范和数据，完成竣工试验。</w:t>
      </w:r>
    </w:p>
    <w:p w14:paraId="6129B1EA">
      <w:pPr>
        <w:pStyle w:val="477"/>
        <w:keepNext w:val="0"/>
        <w:keepLines w:val="0"/>
        <w:pageBreakBefore w:val="0"/>
        <w:numPr>
          <w:ilvl w:val="0"/>
          <w:numId w:val="31"/>
        </w:numPr>
        <w:kinsoku/>
        <w:wordWrap/>
        <w:overflowPunct/>
        <w:topLinePunct w:val="0"/>
        <w:autoSpaceDE/>
        <w:autoSpaceDN/>
        <w:bidi w:val="0"/>
        <w:adjustRightInd w:val="0"/>
        <w:snapToGrid w:val="0"/>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承包人有义务按确认后的竣工试验方案，提供电力、水、动力等消耗材料。消耗材料须满足竣工试验对其品质、用量及时间的要求。</w:t>
      </w:r>
    </w:p>
    <w:p w14:paraId="22829190">
      <w:pPr>
        <w:pStyle w:val="477"/>
        <w:keepNext w:val="0"/>
        <w:keepLines w:val="0"/>
        <w:pageBreakBefore w:val="0"/>
        <w:numPr>
          <w:ilvl w:val="0"/>
          <w:numId w:val="31"/>
        </w:numPr>
        <w:kinsoku/>
        <w:wordWrap/>
        <w:overflowPunct/>
        <w:topLinePunct w:val="0"/>
        <w:autoSpaceDE/>
        <w:autoSpaceDN/>
        <w:bidi w:val="0"/>
        <w:adjustRightInd w:val="0"/>
        <w:snapToGrid w:val="0"/>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承包人有义务提供竣工试验用的备品备件。</w:t>
      </w:r>
    </w:p>
    <w:p w14:paraId="01260127">
      <w:pPr>
        <w:keepNext w:val="0"/>
        <w:keepLines w:val="0"/>
        <w:pageBreakBefore w:val="0"/>
        <w:numPr>
          <w:ilvl w:val="1"/>
          <w:numId w:val="11"/>
        </w:numPr>
        <w:kinsoku/>
        <w:wordWrap/>
        <w:overflowPunct/>
        <w:topLinePunct w:val="0"/>
        <w:autoSpaceDE/>
        <w:autoSpaceDN/>
        <w:bidi w:val="0"/>
        <w:spacing w:line="360" w:lineRule="auto"/>
        <w:ind w:left="632" w:leftChars="0" w:hanging="632" w:hangingChars="300"/>
        <w:textAlignment w:val="auto"/>
        <w:outlineLvl w:val="3"/>
        <w:rPr>
          <w:rFonts w:ascii="宋体" w:hAnsi="宋体"/>
          <w:b/>
          <w:color w:val="auto"/>
          <w:sz w:val="21"/>
          <w:szCs w:val="21"/>
          <w:highlight w:val="none"/>
        </w:rPr>
      </w:pPr>
      <w:bookmarkStart w:id="129" w:name="_Toc76719949"/>
      <w:r>
        <w:rPr>
          <w:rFonts w:hint="eastAsia" w:ascii="宋体" w:hAnsi="宋体"/>
          <w:b/>
          <w:color w:val="auto"/>
          <w:sz w:val="21"/>
          <w:szCs w:val="21"/>
          <w:highlight w:val="none"/>
        </w:rPr>
        <w:t>竣工试验的检验和验收</w:t>
      </w:r>
      <w:bookmarkEnd w:id="129"/>
    </w:p>
    <w:p w14:paraId="2BE4730C">
      <w:pPr>
        <w:keepNext w:val="0"/>
        <w:keepLines w:val="0"/>
        <w:pageBreakBefore w:val="0"/>
        <w:numPr>
          <w:ilvl w:val="2"/>
          <w:numId w:val="11"/>
        </w:numPr>
        <w:tabs>
          <w:tab w:val="left" w:pos="1134"/>
          <w:tab w:val="clear" w:pos="0"/>
        </w:tabs>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根据5.2.3款第（3）项约定的标准、规范、数据，及8.1.1款第4项竣工试验方案的第5）子项的约定进行检验和验收。</w:t>
      </w:r>
    </w:p>
    <w:p w14:paraId="660B72A8">
      <w:pPr>
        <w:keepNext w:val="0"/>
        <w:keepLines w:val="0"/>
        <w:pageBreakBefore w:val="0"/>
        <w:numPr>
          <w:ilvl w:val="2"/>
          <w:numId w:val="11"/>
        </w:numPr>
        <w:tabs>
          <w:tab w:val="left" w:pos="1134"/>
          <w:tab w:val="clear" w:pos="0"/>
        </w:tabs>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承包人在竣工试验开始前</w:t>
      </w:r>
      <w:r>
        <w:rPr>
          <w:rFonts w:hint="eastAsia" w:ascii="宋体" w:hAnsi="宋体"/>
          <w:color w:val="auto"/>
          <w:sz w:val="21"/>
          <w:szCs w:val="21"/>
          <w:highlight w:val="none"/>
          <w:lang w:eastAsia="zh-CN"/>
        </w:rPr>
        <w:t>，</w:t>
      </w:r>
      <w:r>
        <w:rPr>
          <w:rFonts w:hint="eastAsia" w:ascii="宋体" w:hAnsi="宋体"/>
          <w:color w:val="auto"/>
          <w:sz w:val="21"/>
          <w:szCs w:val="21"/>
          <w:highlight w:val="none"/>
        </w:rPr>
        <w:t>应依据8.1.1款的约定，对各方提供的试验条件进行检查落实后，在相关表格上签字。因发包人提供的竣工试验条件的延误，给承包人带来窝工损失，由发包人负责。使关键路径的竣工试验进度计划延误时，竣工日期相应顺延；因承包人原因未能按时落实竣工试验条件，增加的费用由承包人承担，使竣工试验进度延误时，承包人按4.1.2款的约定自费赶上。</w:t>
      </w:r>
    </w:p>
    <w:p w14:paraId="6E500431">
      <w:pPr>
        <w:keepNext w:val="0"/>
        <w:keepLines w:val="0"/>
        <w:pageBreakBefore w:val="0"/>
        <w:numPr>
          <w:ilvl w:val="2"/>
          <w:numId w:val="11"/>
        </w:numPr>
        <w:tabs>
          <w:tab w:val="left" w:pos="1134"/>
          <w:tab w:val="clear" w:pos="0"/>
        </w:tabs>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承包人在某项竣工试验开始</w:t>
      </w:r>
      <w:r>
        <w:rPr>
          <w:rFonts w:ascii="宋体" w:hAnsi="宋体"/>
          <w:color w:val="auto"/>
          <w:sz w:val="21"/>
          <w:szCs w:val="21"/>
          <w:highlight w:val="none"/>
        </w:rPr>
        <w:t>36</w:t>
      </w:r>
      <w:r>
        <w:rPr>
          <w:rFonts w:hint="eastAsia" w:ascii="宋体" w:hAnsi="宋体"/>
          <w:color w:val="auto"/>
          <w:sz w:val="21"/>
          <w:szCs w:val="21"/>
          <w:highlight w:val="none"/>
        </w:rPr>
        <w:t>小时前，向发包人或（和）监理人发出通知，通知包括试验的项目、内容、地点和验收时间。发包人或（和）监理人在接到通知后的</w:t>
      </w:r>
      <w:r>
        <w:rPr>
          <w:rFonts w:ascii="宋体" w:hAnsi="宋体"/>
          <w:color w:val="auto"/>
          <w:sz w:val="21"/>
          <w:szCs w:val="21"/>
          <w:highlight w:val="none"/>
        </w:rPr>
        <w:t>24</w:t>
      </w:r>
      <w:r>
        <w:rPr>
          <w:rFonts w:hint="eastAsia" w:ascii="宋体" w:hAnsi="宋体"/>
          <w:color w:val="auto"/>
          <w:sz w:val="21"/>
          <w:szCs w:val="21"/>
          <w:highlight w:val="none"/>
        </w:rPr>
        <w:t>小时内，以书面形式通知承包人参加，试验合格后，双方在试验记录及验收表格上签字。</w:t>
      </w:r>
    </w:p>
    <w:p w14:paraId="415D3FF2">
      <w:pPr>
        <w:keepNext w:val="0"/>
        <w:keepLines w:val="0"/>
        <w:pageBreakBefore w:val="0"/>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发包人或（和）监理人在验收合格的</w:t>
      </w:r>
      <w:r>
        <w:rPr>
          <w:rFonts w:ascii="宋体" w:hAnsi="宋体"/>
          <w:color w:val="auto"/>
          <w:sz w:val="21"/>
          <w:szCs w:val="21"/>
          <w:highlight w:val="none"/>
        </w:rPr>
        <w:t>24</w:t>
      </w:r>
      <w:r>
        <w:rPr>
          <w:rFonts w:hint="eastAsia" w:ascii="宋体" w:hAnsi="宋体"/>
          <w:color w:val="auto"/>
          <w:sz w:val="21"/>
          <w:szCs w:val="21"/>
          <w:highlight w:val="none"/>
        </w:rPr>
        <w:t>小时后，不在试验记录和验收表格上签字，视为发包人或（和）监理人已经认可此项验收，承包人可进行隐蔽、紧后作业。</w:t>
      </w:r>
    </w:p>
    <w:p w14:paraId="139BEE79">
      <w:pPr>
        <w:keepNext w:val="0"/>
        <w:keepLines w:val="0"/>
        <w:pageBreakBefore w:val="0"/>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验收不合格的，在发包人或（和）监理人指令的时间内由承包人修正并重新试验，并通知发包人或（和）监理人重新验收。</w:t>
      </w:r>
    </w:p>
    <w:p w14:paraId="4D08CA2E">
      <w:pPr>
        <w:keepNext w:val="0"/>
        <w:keepLines w:val="0"/>
        <w:pageBreakBefore w:val="0"/>
        <w:numPr>
          <w:ilvl w:val="2"/>
          <w:numId w:val="11"/>
        </w:numPr>
        <w:tabs>
          <w:tab w:val="left" w:pos="1134"/>
          <w:tab w:val="clear" w:pos="0"/>
        </w:tabs>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发包人或（和）监理人不能按时参加试验和验收时，在接到通知后的</w:t>
      </w:r>
      <w:r>
        <w:rPr>
          <w:rFonts w:ascii="宋体" w:hAnsi="宋体"/>
          <w:color w:val="auto"/>
          <w:sz w:val="21"/>
          <w:szCs w:val="21"/>
          <w:highlight w:val="none"/>
        </w:rPr>
        <w:t>24</w:t>
      </w:r>
      <w:r>
        <w:rPr>
          <w:rFonts w:hint="eastAsia" w:ascii="宋体" w:hAnsi="宋体"/>
          <w:color w:val="auto"/>
          <w:sz w:val="21"/>
          <w:szCs w:val="21"/>
          <w:highlight w:val="none"/>
        </w:rPr>
        <w:t>小时内以书面形式向承包人提出延期要求，延期不能超过</w:t>
      </w:r>
      <w:r>
        <w:rPr>
          <w:rFonts w:ascii="宋体" w:hAnsi="宋体"/>
          <w:color w:val="auto"/>
          <w:sz w:val="21"/>
          <w:szCs w:val="21"/>
          <w:highlight w:val="none"/>
        </w:rPr>
        <w:t>24</w:t>
      </w:r>
      <w:r>
        <w:rPr>
          <w:rFonts w:hint="eastAsia" w:ascii="宋体" w:hAnsi="宋体"/>
          <w:color w:val="auto"/>
          <w:sz w:val="21"/>
          <w:szCs w:val="21"/>
          <w:highlight w:val="none"/>
        </w:rPr>
        <w:t>小时。未能按以上时间提出延期试验，又未能参加试验和验收，承包人可按通知的试验项目内容自行组织试验，试验结果视为经发包人或（和）监理人认可并通过验收。</w:t>
      </w:r>
    </w:p>
    <w:p w14:paraId="00821388">
      <w:pPr>
        <w:keepNext w:val="0"/>
        <w:keepLines w:val="0"/>
        <w:pageBreakBefore w:val="0"/>
        <w:numPr>
          <w:ilvl w:val="2"/>
          <w:numId w:val="11"/>
        </w:numPr>
        <w:tabs>
          <w:tab w:val="left" w:pos="1134"/>
          <w:tab w:val="clear" w:pos="0"/>
        </w:tabs>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不论发包人或（和）监理人是否参加竣工试验和验收，发包人有权责令重新试验。当重新试验不合格时，承包人增加的费用由承包人负责，使竣工试验进度延误时，竣工日期不予延长；当重新试验合格时，承包人增加的费用，或（和）竣工日期的延长，按照14条变更和合同价格调整的约定，作为一项变更。</w:t>
      </w:r>
    </w:p>
    <w:p w14:paraId="4A64397E">
      <w:pPr>
        <w:keepNext w:val="0"/>
        <w:keepLines w:val="0"/>
        <w:pageBreakBefore w:val="0"/>
        <w:numPr>
          <w:ilvl w:val="2"/>
          <w:numId w:val="11"/>
        </w:numPr>
        <w:tabs>
          <w:tab w:val="left" w:pos="1134"/>
          <w:tab w:val="clear" w:pos="0"/>
        </w:tabs>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竣工试验验收日期的约定</w:t>
      </w:r>
    </w:p>
    <w:p w14:paraId="196A9A7E">
      <w:pPr>
        <w:keepNext w:val="0"/>
        <w:keepLines w:val="0"/>
        <w:pageBreakBefore w:val="0"/>
        <w:numPr>
          <w:ilvl w:val="0"/>
          <w:numId w:val="32"/>
        </w:numPr>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某项竣工试验的验收日期和时间。按该项竣工试验通过的日期和时间，作为该项竣工试验验收的日期和时间；</w:t>
      </w:r>
    </w:p>
    <w:p w14:paraId="45D059AD">
      <w:pPr>
        <w:keepNext w:val="0"/>
        <w:keepLines w:val="0"/>
        <w:pageBreakBefore w:val="0"/>
        <w:numPr>
          <w:ilvl w:val="0"/>
          <w:numId w:val="32"/>
        </w:numPr>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单项工程竣工试验的验收日期和时间。按其中最后一项竣工试验通过的日期和时间，作为该单项工程竣工试验验收的日期和时间；</w:t>
      </w:r>
    </w:p>
    <w:p w14:paraId="11AEBD60">
      <w:pPr>
        <w:keepNext w:val="0"/>
        <w:keepLines w:val="0"/>
        <w:pageBreakBefore w:val="0"/>
        <w:numPr>
          <w:ilvl w:val="0"/>
          <w:numId w:val="32"/>
        </w:numPr>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工程的竣工试验日期和时间。按最后一个单项工程通过竣工试验的日期和时间，作为工程竣工试验验收的日期和时间。</w:t>
      </w:r>
    </w:p>
    <w:p w14:paraId="30A3F13D">
      <w:pPr>
        <w:keepNext w:val="0"/>
        <w:keepLines w:val="0"/>
        <w:pageBreakBefore w:val="0"/>
        <w:numPr>
          <w:ilvl w:val="1"/>
          <w:numId w:val="11"/>
        </w:numPr>
        <w:kinsoku/>
        <w:wordWrap/>
        <w:overflowPunct/>
        <w:topLinePunct w:val="0"/>
        <w:autoSpaceDE/>
        <w:autoSpaceDN/>
        <w:bidi w:val="0"/>
        <w:spacing w:line="360" w:lineRule="auto"/>
        <w:ind w:left="632" w:leftChars="0" w:hanging="632" w:hangingChars="300"/>
        <w:textAlignment w:val="auto"/>
        <w:outlineLvl w:val="3"/>
        <w:rPr>
          <w:rFonts w:ascii="宋体" w:hAnsi="宋体"/>
          <w:b/>
          <w:color w:val="auto"/>
          <w:sz w:val="21"/>
          <w:szCs w:val="21"/>
          <w:highlight w:val="none"/>
        </w:rPr>
      </w:pPr>
      <w:bookmarkStart w:id="130" w:name="_Toc76719950"/>
      <w:r>
        <w:rPr>
          <w:rFonts w:hint="eastAsia" w:ascii="宋体" w:hAnsi="宋体"/>
          <w:b/>
          <w:color w:val="auto"/>
          <w:sz w:val="21"/>
          <w:szCs w:val="21"/>
          <w:highlight w:val="none"/>
        </w:rPr>
        <w:t>竣工试验的安全和检查</w:t>
      </w:r>
      <w:bookmarkEnd w:id="130"/>
    </w:p>
    <w:p w14:paraId="5C5F6298">
      <w:pPr>
        <w:keepNext w:val="0"/>
        <w:keepLines w:val="0"/>
        <w:pageBreakBefore w:val="0"/>
        <w:numPr>
          <w:ilvl w:val="2"/>
          <w:numId w:val="11"/>
        </w:numPr>
        <w:tabs>
          <w:tab w:val="left" w:pos="1134"/>
          <w:tab w:val="clear" w:pos="0"/>
        </w:tabs>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承包人按</w:t>
      </w:r>
      <w:r>
        <w:rPr>
          <w:rFonts w:ascii="宋体" w:hAnsi="宋体"/>
          <w:color w:val="auto"/>
          <w:sz w:val="21"/>
          <w:szCs w:val="21"/>
          <w:highlight w:val="none"/>
        </w:rPr>
        <w:t>7.</w:t>
      </w:r>
      <w:r>
        <w:rPr>
          <w:rFonts w:hint="eastAsia" w:ascii="宋体" w:hAnsi="宋体"/>
          <w:color w:val="auto"/>
          <w:sz w:val="21"/>
          <w:szCs w:val="21"/>
          <w:highlight w:val="none"/>
        </w:rPr>
        <w:t>8款健康、安全和环境的约定，并结合竣工试验的通电、通水、通气、试压、试漏、吹扫、转动等特点，对触电危险、易燃易爆、高温高压、压力试验、机械设备运转等制定竣工试验的安全程序、安全制度、防火措施、事故报告制度及事故处理方案在内的安全操作方案，并将该方案提交给发包人确认，对发包人提出的建议、意见和要求，承包人自费修正，并经发包人确认后实施。发包人的确认并不能减轻或免除承包人的合同责任。承包人为竣工试验提供安全防护措施和防护用品的费用已包含在合同价格中。</w:t>
      </w:r>
    </w:p>
    <w:p w14:paraId="7F99D9BC">
      <w:pPr>
        <w:keepNext w:val="0"/>
        <w:keepLines w:val="0"/>
        <w:pageBreakBefore w:val="0"/>
        <w:numPr>
          <w:ilvl w:val="2"/>
          <w:numId w:val="11"/>
        </w:numPr>
        <w:tabs>
          <w:tab w:val="left" w:pos="1134"/>
          <w:tab w:val="clear" w:pos="0"/>
        </w:tabs>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承包人对其人员进行竣工试验的安全培训，并对竣工试验的安全操作程序、场地环境、操作制度、应急处理措施等进行交底。</w:t>
      </w:r>
    </w:p>
    <w:p w14:paraId="7A7CEAC1">
      <w:pPr>
        <w:keepNext w:val="0"/>
        <w:keepLines w:val="0"/>
        <w:pageBreakBefore w:val="0"/>
        <w:numPr>
          <w:ilvl w:val="2"/>
          <w:numId w:val="11"/>
        </w:numPr>
        <w:tabs>
          <w:tab w:val="left" w:pos="1134"/>
          <w:tab w:val="clear" w:pos="0"/>
        </w:tabs>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发包人或（和）监理人有义务按照经确认的竣工试验安全方案中的安全规程、安全制度、安全措施等，对其管理人员和操作维修人员进行竣工试验的安全教育，自费提供参加监督、检查人员的防护设施。</w:t>
      </w:r>
    </w:p>
    <w:p w14:paraId="16E2EFF7">
      <w:pPr>
        <w:keepNext w:val="0"/>
        <w:keepLines w:val="0"/>
        <w:pageBreakBefore w:val="0"/>
        <w:numPr>
          <w:ilvl w:val="2"/>
          <w:numId w:val="11"/>
        </w:numPr>
        <w:tabs>
          <w:tab w:val="left" w:pos="1134"/>
          <w:tab w:val="clear" w:pos="0"/>
        </w:tabs>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发包人或（和）监理人有权监督、检查承包人在竣工试验安全方案中列出的工作及落实情况，有权提出安全整改及发出整顿指令。承包人有义务按照指令进行整改、整顿，所增加的费用由承包人承担。因此造成工程竣工试验进度计划延误时，承包人遵照4.1.2款的约定自费赶上。</w:t>
      </w:r>
    </w:p>
    <w:p w14:paraId="0F82FAF0">
      <w:pPr>
        <w:keepNext w:val="0"/>
        <w:keepLines w:val="0"/>
        <w:pageBreakBefore w:val="0"/>
        <w:numPr>
          <w:ilvl w:val="1"/>
          <w:numId w:val="11"/>
        </w:numPr>
        <w:kinsoku/>
        <w:wordWrap/>
        <w:overflowPunct/>
        <w:topLinePunct w:val="0"/>
        <w:autoSpaceDE/>
        <w:autoSpaceDN/>
        <w:bidi w:val="0"/>
        <w:spacing w:line="360" w:lineRule="auto"/>
        <w:ind w:left="632" w:leftChars="0" w:hanging="632" w:hangingChars="300"/>
        <w:textAlignment w:val="auto"/>
        <w:outlineLvl w:val="3"/>
        <w:rPr>
          <w:rFonts w:ascii="宋体" w:hAnsi="宋体"/>
          <w:b/>
          <w:color w:val="auto"/>
          <w:sz w:val="21"/>
          <w:szCs w:val="21"/>
          <w:highlight w:val="none"/>
        </w:rPr>
      </w:pPr>
      <w:bookmarkStart w:id="131" w:name="_Toc76719951"/>
      <w:r>
        <w:rPr>
          <w:rFonts w:hint="eastAsia" w:ascii="宋体" w:hAnsi="宋体"/>
          <w:b/>
          <w:color w:val="auto"/>
          <w:sz w:val="21"/>
          <w:szCs w:val="21"/>
          <w:highlight w:val="none"/>
        </w:rPr>
        <w:t>延误的竣工试验</w:t>
      </w:r>
      <w:bookmarkEnd w:id="131"/>
    </w:p>
    <w:p w14:paraId="40661679">
      <w:pPr>
        <w:keepNext w:val="0"/>
        <w:keepLines w:val="0"/>
        <w:pageBreakBefore w:val="0"/>
        <w:numPr>
          <w:ilvl w:val="2"/>
          <w:numId w:val="11"/>
        </w:numPr>
        <w:tabs>
          <w:tab w:val="left" w:pos="1134"/>
          <w:tab w:val="clear" w:pos="0"/>
        </w:tabs>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因承包人的原因使某项、某单项工程落后于竣工试验进度计划的，承包人按4.1.2款的约定自费采取措施，赶上竣工试验进度计划。</w:t>
      </w:r>
    </w:p>
    <w:p w14:paraId="038030ED">
      <w:pPr>
        <w:keepNext w:val="0"/>
        <w:keepLines w:val="0"/>
        <w:pageBreakBefore w:val="0"/>
        <w:numPr>
          <w:ilvl w:val="2"/>
          <w:numId w:val="11"/>
        </w:numPr>
        <w:tabs>
          <w:tab w:val="left" w:pos="1134"/>
          <w:tab w:val="clear" w:pos="0"/>
        </w:tabs>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因承包人的原因造成竣工试验延误，致使合同约定的工程竣工日期延误时，根据4.5款误期损害赔偿的约定，承包人承担误期赔偿责任。</w:t>
      </w:r>
    </w:p>
    <w:p w14:paraId="65922755">
      <w:pPr>
        <w:keepNext w:val="0"/>
        <w:keepLines w:val="0"/>
        <w:pageBreakBefore w:val="0"/>
        <w:numPr>
          <w:ilvl w:val="2"/>
          <w:numId w:val="11"/>
        </w:numPr>
        <w:tabs>
          <w:tab w:val="left" w:pos="1134"/>
          <w:tab w:val="clear" w:pos="0"/>
        </w:tabs>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发包人组织的竣工试验。承包人无正当理由，未能按发包人和监理</w:t>
      </w:r>
      <w:r>
        <w:rPr>
          <w:rFonts w:hint="eastAsia" w:ascii="宋体" w:hAnsi="宋体"/>
          <w:color w:val="auto"/>
          <w:sz w:val="21"/>
          <w:szCs w:val="21"/>
          <w:highlight w:val="none"/>
          <w:lang w:eastAsia="zh-CN"/>
        </w:rPr>
        <w:t>确定</w:t>
      </w:r>
      <w:r>
        <w:rPr>
          <w:rFonts w:hint="eastAsia" w:ascii="宋体" w:hAnsi="宋体"/>
          <w:color w:val="auto"/>
          <w:sz w:val="21"/>
          <w:szCs w:val="21"/>
          <w:highlight w:val="none"/>
        </w:rPr>
        <w:t>的竣工试验进度计划进行某项竣工试验时，且在收到发包人和监理发出的通知后的24小时内无正当理由，仍未进行该项竣工试验时，发包人有权自行组织该项竣工试验，试验的风险和费用由承包人承担。</w:t>
      </w:r>
    </w:p>
    <w:p w14:paraId="2FDD51BE">
      <w:pPr>
        <w:keepNext w:val="0"/>
        <w:keepLines w:val="0"/>
        <w:pageBreakBefore w:val="0"/>
        <w:numPr>
          <w:ilvl w:val="1"/>
          <w:numId w:val="11"/>
        </w:numPr>
        <w:kinsoku/>
        <w:wordWrap/>
        <w:overflowPunct/>
        <w:topLinePunct w:val="0"/>
        <w:autoSpaceDE/>
        <w:autoSpaceDN/>
        <w:bidi w:val="0"/>
        <w:spacing w:line="360" w:lineRule="auto"/>
        <w:ind w:left="632" w:leftChars="0" w:hanging="632" w:hangingChars="300"/>
        <w:textAlignment w:val="auto"/>
        <w:outlineLvl w:val="3"/>
        <w:rPr>
          <w:rFonts w:ascii="宋体" w:hAnsi="宋体"/>
          <w:b/>
          <w:color w:val="auto"/>
          <w:sz w:val="21"/>
          <w:szCs w:val="21"/>
          <w:highlight w:val="none"/>
        </w:rPr>
      </w:pPr>
      <w:bookmarkStart w:id="132" w:name="_Toc76719952"/>
      <w:r>
        <w:rPr>
          <w:rFonts w:hint="eastAsia" w:ascii="宋体" w:hAnsi="宋体"/>
          <w:b/>
          <w:color w:val="auto"/>
          <w:sz w:val="21"/>
          <w:szCs w:val="21"/>
          <w:highlight w:val="none"/>
        </w:rPr>
        <w:t>重新试验和验收</w:t>
      </w:r>
      <w:bookmarkEnd w:id="132"/>
    </w:p>
    <w:p w14:paraId="5372ECDD">
      <w:pPr>
        <w:keepNext w:val="0"/>
        <w:keepLines w:val="0"/>
        <w:pageBreakBefore w:val="0"/>
        <w:numPr>
          <w:ilvl w:val="2"/>
          <w:numId w:val="11"/>
        </w:numPr>
        <w:tabs>
          <w:tab w:val="left" w:pos="1134"/>
          <w:tab w:val="clear" w:pos="0"/>
        </w:tabs>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承包人未能通过相关的竣工试验，可依据</w:t>
      </w:r>
      <w:r>
        <w:rPr>
          <w:rFonts w:ascii="宋体" w:hAnsi="宋体"/>
          <w:color w:val="auto"/>
          <w:sz w:val="21"/>
          <w:szCs w:val="21"/>
          <w:highlight w:val="none"/>
        </w:rPr>
        <w:t>8.</w:t>
      </w:r>
      <w:r>
        <w:rPr>
          <w:rFonts w:hint="eastAsia" w:ascii="宋体" w:hAnsi="宋体"/>
          <w:color w:val="auto"/>
          <w:sz w:val="21"/>
          <w:szCs w:val="21"/>
          <w:highlight w:val="none"/>
        </w:rPr>
        <w:t>1</w:t>
      </w:r>
      <w:r>
        <w:rPr>
          <w:rFonts w:ascii="宋体" w:hAnsi="宋体"/>
          <w:color w:val="auto"/>
          <w:sz w:val="21"/>
          <w:szCs w:val="21"/>
          <w:highlight w:val="none"/>
        </w:rPr>
        <w:t>.1</w:t>
      </w:r>
      <w:r>
        <w:rPr>
          <w:rFonts w:hint="eastAsia" w:ascii="宋体" w:hAnsi="宋体"/>
          <w:color w:val="auto"/>
          <w:sz w:val="21"/>
          <w:szCs w:val="21"/>
          <w:highlight w:val="none"/>
        </w:rPr>
        <w:t>款第（6）项的约定重新进行此项试验，并按</w:t>
      </w:r>
      <w:r>
        <w:rPr>
          <w:rFonts w:ascii="宋体" w:hAnsi="宋体"/>
          <w:color w:val="auto"/>
          <w:sz w:val="21"/>
          <w:szCs w:val="21"/>
          <w:highlight w:val="none"/>
        </w:rPr>
        <w:t>8.</w:t>
      </w:r>
      <w:r>
        <w:rPr>
          <w:rFonts w:hint="eastAsia" w:ascii="宋体" w:hAnsi="宋体"/>
          <w:color w:val="auto"/>
          <w:sz w:val="21"/>
          <w:szCs w:val="21"/>
          <w:highlight w:val="none"/>
        </w:rPr>
        <w:t>2款的约定进行检验和验收。</w:t>
      </w:r>
    </w:p>
    <w:p w14:paraId="16ABE839">
      <w:pPr>
        <w:keepNext w:val="0"/>
        <w:keepLines w:val="0"/>
        <w:pageBreakBefore w:val="0"/>
        <w:numPr>
          <w:ilvl w:val="2"/>
          <w:numId w:val="11"/>
        </w:numPr>
        <w:tabs>
          <w:tab w:val="left" w:pos="1134"/>
          <w:tab w:val="clear" w:pos="0"/>
        </w:tabs>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不论发包人或（和）监理人是否参加竣工试验和验收，承包人未能通过的竣工试验，发包人均有权通知承包人再次按8.1.1款第（6）项的约定进行此项竣工试验，并按</w:t>
      </w:r>
      <w:r>
        <w:rPr>
          <w:rFonts w:ascii="宋体" w:hAnsi="宋体"/>
          <w:color w:val="auto"/>
          <w:sz w:val="21"/>
          <w:szCs w:val="21"/>
          <w:highlight w:val="none"/>
        </w:rPr>
        <w:t>8.</w:t>
      </w:r>
      <w:r>
        <w:rPr>
          <w:rFonts w:hint="eastAsia" w:ascii="宋体" w:hAnsi="宋体"/>
          <w:color w:val="auto"/>
          <w:sz w:val="21"/>
          <w:szCs w:val="21"/>
          <w:highlight w:val="none"/>
        </w:rPr>
        <w:t>2款的约定进行检验和验收。</w:t>
      </w:r>
    </w:p>
    <w:p w14:paraId="26DE153E">
      <w:pPr>
        <w:keepNext w:val="0"/>
        <w:keepLines w:val="0"/>
        <w:pageBreakBefore w:val="0"/>
        <w:numPr>
          <w:ilvl w:val="1"/>
          <w:numId w:val="11"/>
        </w:numPr>
        <w:kinsoku/>
        <w:wordWrap/>
        <w:overflowPunct/>
        <w:topLinePunct w:val="0"/>
        <w:autoSpaceDE/>
        <w:autoSpaceDN/>
        <w:bidi w:val="0"/>
        <w:spacing w:line="360" w:lineRule="auto"/>
        <w:ind w:left="632" w:leftChars="0" w:hanging="632" w:hangingChars="300"/>
        <w:textAlignment w:val="auto"/>
        <w:outlineLvl w:val="3"/>
        <w:rPr>
          <w:rFonts w:ascii="宋体" w:hAnsi="宋体"/>
          <w:b/>
          <w:color w:val="auto"/>
          <w:sz w:val="21"/>
          <w:szCs w:val="21"/>
          <w:highlight w:val="none"/>
        </w:rPr>
      </w:pPr>
      <w:bookmarkStart w:id="133" w:name="_Toc76719953"/>
      <w:r>
        <w:rPr>
          <w:rFonts w:hint="eastAsia" w:ascii="宋体" w:hAnsi="宋体"/>
          <w:b/>
          <w:color w:val="auto"/>
          <w:sz w:val="21"/>
          <w:szCs w:val="21"/>
          <w:highlight w:val="none"/>
        </w:rPr>
        <w:t>未能通过竣工试验</w:t>
      </w:r>
      <w:bookmarkEnd w:id="133"/>
    </w:p>
    <w:p w14:paraId="2CD64E65">
      <w:pPr>
        <w:keepNext w:val="0"/>
        <w:keepLines w:val="0"/>
        <w:pageBreakBefore w:val="0"/>
        <w:numPr>
          <w:ilvl w:val="2"/>
          <w:numId w:val="11"/>
        </w:numPr>
        <w:tabs>
          <w:tab w:val="left" w:pos="1134"/>
          <w:tab w:val="clear" w:pos="0"/>
        </w:tabs>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因承包人原因未能通过竣工试验，该项竣工试验允许再进行，但竣工日期不予延长。再进行最多为两次，两次试验后仍不符合验收条件，相关费用及相关事项按下述约定处理。</w:t>
      </w:r>
    </w:p>
    <w:p w14:paraId="64712306">
      <w:pPr>
        <w:pStyle w:val="477"/>
        <w:keepNext w:val="0"/>
        <w:keepLines w:val="0"/>
        <w:pageBreakBefore w:val="0"/>
        <w:numPr>
          <w:ilvl w:val="0"/>
          <w:numId w:val="33"/>
        </w:numPr>
        <w:kinsoku/>
        <w:wordWrap/>
        <w:overflowPunct/>
        <w:topLinePunct w:val="0"/>
        <w:autoSpaceDE/>
        <w:autoSpaceDN/>
        <w:bidi w:val="0"/>
        <w:adjustRightInd w:val="0"/>
        <w:snapToGrid w:val="0"/>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该项竣工试验未能通过，对该项操作或使用不存在实质影响，承包人自费修复。承包人在发包人要求的时间内无法修复时，发包人有权另行委托他人修复并进行竣工试验，且发包人有权以另行委托费用的双倍扣减合同价款；</w:t>
      </w:r>
    </w:p>
    <w:p w14:paraId="4F711855">
      <w:pPr>
        <w:keepNext w:val="0"/>
        <w:keepLines w:val="0"/>
        <w:pageBreakBefore w:val="0"/>
        <w:numPr>
          <w:ilvl w:val="0"/>
          <w:numId w:val="33"/>
        </w:numPr>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该项竣工试验未能通过，对操作或使用有实质性影响，发包人有权指令承包人更换相关部分，并进行竣工试验。发包人因此增加的费用，由承包人承担。使竣工日期延误时，承包人承担误期损害赔偿责任。</w:t>
      </w:r>
    </w:p>
    <w:p w14:paraId="67317A2A">
      <w:pPr>
        <w:keepNext w:val="0"/>
        <w:keepLines w:val="0"/>
        <w:pageBreakBefore w:val="0"/>
        <w:numPr>
          <w:ilvl w:val="0"/>
          <w:numId w:val="33"/>
        </w:numPr>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未能通过竣工试验，使单项工程的任何主要部分丧失了生产、使用功能时，发包人有权指令承包人更换相关部分，承包人因此招致的费用增加、竣工日期延误，由承包人承担。使发包人增加的费用，有权根据</w:t>
      </w:r>
      <w:r>
        <w:rPr>
          <w:rFonts w:ascii="宋体" w:hAnsi="宋体"/>
          <w:color w:val="auto"/>
          <w:sz w:val="21"/>
          <w:szCs w:val="21"/>
          <w:highlight w:val="none"/>
        </w:rPr>
        <w:t>16.2.1</w:t>
      </w:r>
      <w:r>
        <w:rPr>
          <w:rFonts w:hint="eastAsia" w:ascii="宋体" w:hAnsi="宋体"/>
          <w:color w:val="auto"/>
          <w:sz w:val="21"/>
          <w:szCs w:val="21"/>
          <w:highlight w:val="none"/>
        </w:rPr>
        <w:t>款的索赔约定向承包人提出索赔。</w:t>
      </w:r>
    </w:p>
    <w:p w14:paraId="3B491229">
      <w:pPr>
        <w:keepNext w:val="0"/>
        <w:keepLines w:val="0"/>
        <w:pageBreakBefore w:val="0"/>
        <w:numPr>
          <w:ilvl w:val="0"/>
          <w:numId w:val="33"/>
        </w:numPr>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未能通过的竣工试验，使整个工程丧失了生产或（和）使用功能时，发包人有权指令承包人重新设计、重置相关部分，因此招致的费用增加、竣工日期延误，由承包人承担。发包人且有权根据</w:t>
      </w:r>
      <w:r>
        <w:rPr>
          <w:rFonts w:ascii="宋体" w:hAnsi="宋体"/>
          <w:color w:val="auto"/>
          <w:sz w:val="21"/>
          <w:szCs w:val="21"/>
          <w:highlight w:val="none"/>
        </w:rPr>
        <w:t>16.2.1</w:t>
      </w:r>
      <w:r>
        <w:rPr>
          <w:rFonts w:hint="eastAsia" w:ascii="宋体" w:hAnsi="宋体"/>
          <w:color w:val="auto"/>
          <w:sz w:val="21"/>
          <w:szCs w:val="21"/>
          <w:highlight w:val="none"/>
        </w:rPr>
        <w:t>款的索赔约定，向承包人提出索赔。或根据18</w:t>
      </w:r>
      <w:r>
        <w:rPr>
          <w:rFonts w:ascii="宋体" w:hAnsi="宋体"/>
          <w:color w:val="auto"/>
          <w:sz w:val="21"/>
          <w:szCs w:val="21"/>
          <w:highlight w:val="none"/>
        </w:rPr>
        <w:t>.</w:t>
      </w:r>
      <w:r>
        <w:rPr>
          <w:rFonts w:hint="eastAsia" w:ascii="宋体" w:hAnsi="宋体"/>
          <w:color w:val="auto"/>
          <w:sz w:val="21"/>
          <w:szCs w:val="21"/>
          <w:highlight w:val="none"/>
        </w:rPr>
        <w:t xml:space="preserve">1款的约定，有权解除合同。 </w:t>
      </w:r>
    </w:p>
    <w:p w14:paraId="5ABC53B2">
      <w:pPr>
        <w:keepNext w:val="0"/>
        <w:keepLines w:val="0"/>
        <w:pageBreakBefore w:val="0"/>
        <w:numPr>
          <w:ilvl w:val="1"/>
          <w:numId w:val="11"/>
        </w:numPr>
        <w:kinsoku/>
        <w:wordWrap/>
        <w:overflowPunct/>
        <w:topLinePunct w:val="0"/>
        <w:autoSpaceDE/>
        <w:autoSpaceDN/>
        <w:bidi w:val="0"/>
        <w:spacing w:line="360" w:lineRule="auto"/>
        <w:ind w:left="632" w:leftChars="0" w:hanging="632" w:hangingChars="300"/>
        <w:textAlignment w:val="auto"/>
        <w:outlineLvl w:val="3"/>
        <w:rPr>
          <w:rFonts w:ascii="宋体" w:hAnsi="宋体"/>
          <w:b/>
          <w:color w:val="auto"/>
          <w:sz w:val="21"/>
          <w:szCs w:val="21"/>
          <w:highlight w:val="none"/>
        </w:rPr>
      </w:pPr>
      <w:bookmarkStart w:id="134" w:name="_Toc76719954"/>
      <w:r>
        <w:rPr>
          <w:rFonts w:hint="eastAsia" w:ascii="宋体" w:hAnsi="宋体"/>
          <w:b/>
          <w:color w:val="auto"/>
          <w:sz w:val="21"/>
          <w:szCs w:val="21"/>
          <w:highlight w:val="none"/>
        </w:rPr>
        <w:t>竣工试验结果的争议</w:t>
      </w:r>
      <w:bookmarkEnd w:id="134"/>
    </w:p>
    <w:p w14:paraId="1E9442FA">
      <w:pPr>
        <w:keepNext w:val="0"/>
        <w:keepLines w:val="0"/>
        <w:pageBreakBefore w:val="0"/>
        <w:numPr>
          <w:ilvl w:val="2"/>
          <w:numId w:val="11"/>
        </w:numPr>
        <w:tabs>
          <w:tab w:val="left" w:pos="1134"/>
          <w:tab w:val="clear" w:pos="0"/>
        </w:tabs>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协商解决。对竣工试验结果有争议的，首先协商解决。</w:t>
      </w:r>
    </w:p>
    <w:p w14:paraId="4DDB5FA5">
      <w:pPr>
        <w:keepNext w:val="0"/>
        <w:keepLines w:val="0"/>
        <w:pageBreakBefore w:val="0"/>
        <w:numPr>
          <w:ilvl w:val="2"/>
          <w:numId w:val="11"/>
        </w:numPr>
        <w:tabs>
          <w:tab w:val="left" w:pos="1134"/>
          <w:tab w:val="clear" w:pos="0"/>
        </w:tabs>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委托鉴定机构。经协商，对竣工试验结果仍有争议的，由发包人委托一个具有相应资格的检测机构进行鉴定。经鉴定，</w:t>
      </w:r>
    </w:p>
    <w:p w14:paraId="2A6A030A">
      <w:pPr>
        <w:keepNext w:val="0"/>
        <w:keepLines w:val="0"/>
        <w:pageBreakBefore w:val="0"/>
        <w:numPr>
          <w:ilvl w:val="0"/>
          <w:numId w:val="34"/>
        </w:numPr>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责任方为承包人时，所需的鉴定费用及因此造成发包人增加的合理费用由承包人承担，竣工日期不予延长；</w:t>
      </w:r>
    </w:p>
    <w:p w14:paraId="489A9BBE">
      <w:pPr>
        <w:keepNext w:val="0"/>
        <w:keepLines w:val="0"/>
        <w:pageBreakBefore w:val="0"/>
        <w:numPr>
          <w:ilvl w:val="0"/>
          <w:numId w:val="34"/>
        </w:numPr>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责任方为发包人时，所需的鉴定费用及因此造成承包人增加的合理费用由发包人承担，竣工日期相应顺延。</w:t>
      </w:r>
    </w:p>
    <w:p w14:paraId="279997C9">
      <w:pPr>
        <w:keepNext w:val="0"/>
        <w:keepLines w:val="0"/>
        <w:pageBreakBefore w:val="0"/>
        <w:numPr>
          <w:ilvl w:val="0"/>
          <w:numId w:val="34"/>
        </w:numPr>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双方均有责任时，根据其责任大小协商分担费用，并根据竣工试验计划的延误情况协商竣工日期延长。当双方对费用分担、竣工日期延长发生争议时，依据</w:t>
      </w:r>
      <w:r>
        <w:rPr>
          <w:rFonts w:ascii="宋体" w:hAnsi="宋体"/>
          <w:color w:val="auto"/>
          <w:sz w:val="21"/>
          <w:szCs w:val="21"/>
          <w:highlight w:val="none"/>
        </w:rPr>
        <w:t>16.3</w:t>
      </w:r>
      <w:r>
        <w:rPr>
          <w:rFonts w:hint="eastAsia" w:ascii="宋体" w:hAnsi="宋体"/>
          <w:color w:val="auto"/>
          <w:sz w:val="21"/>
          <w:szCs w:val="21"/>
          <w:highlight w:val="none"/>
        </w:rPr>
        <w:t>款争议和裁决的约定解决。</w:t>
      </w:r>
    </w:p>
    <w:p w14:paraId="556887C1">
      <w:pPr>
        <w:keepNext w:val="0"/>
        <w:keepLines w:val="0"/>
        <w:pageBreakBefore w:val="0"/>
        <w:numPr>
          <w:ilvl w:val="0"/>
          <w:numId w:val="11"/>
        </w:numPr>
        <w:kinsoku/>
        <w:wordWrap/>
        <w:overflowPunct/>
        <w:topLinePunct w:val="0"/>
        <w:autoSpaceDE/>
        <w:autoSpaceDN/>
        <w:bidi w:val="0"/>
        <w:spacing w:line="360" w:lineRule="auto"/>
        <w:ind w:left="632" w:leftChars="0" w:hanging="632" w:hangingChars="300"/>
        <w:textAlignment w:val="auto"/>
        <w:outlineLvl w:val="2"/>
        <w:rPr>
          <w:rFonts w:ascii="宋体" w:hAnsi="宋体"/>
          <w:b/>
          <w:color w:val="auto"/>
          <w:sz w:val="21"/>
          <w:szCs w:val="21"/>
          <w:highlight w:val="none"/>
        </w:rPr>
      </w:pPr>
      <w:bookmarkStart w:id="135" w:name="_Toc363719001"/>
      <w:bookmarkStart w:id="136" w:name="_Toc76719955"/>
      <w:bookmarkStart w:id="137" w:name="_Toc80633159"/>
      <w:r>
        <w:rPr>
          <w:rFonts w:hint="eastAsia" w:ascii="宋体" w:hAnsi="宋体"/>
          <w:b/>
          <w:color w:val="auto"/>
          <w:sz w:val="21"/>
          <w:szCs w:val="21"/>
          <w:highlight w:val="none"/>
        </w:rPr>
        <w:t>工程接收</w:t>
      </w:r>
      <w:bookmarkEnd w:id="135"/>
      <w:bookmarkEnd w:id="136"/>
      <w:bookmarkEnd w:id="137"/>
    </w:p>
    <w:p w14:paraId="6E62B4D8">
      <w:pPr>
        <w:keepNext w:val="0"/>
        <w:keepLines w:val="0"/>
        <w:pageBreakBefore w:val="0"/>
        <w:numPr>
          <w:ilvl w:val="1"/>
          <w:numId w:val="11"/>
        </w:numPr>
        <w:kinsoku/>
        <w:wordWrap/>
        <w:overflowPunct/>
        <w:topLinePunct w:val="0"/>
        <w:autoSpaceDE/>
        <w:autoSpaceDN/>
        <w:bidi w:val="0"/>
        <w:spacing w:line="360" w:lineRule="auto"/>
        <w:ind w:left="632" w:leftChars="0" w:hanging="632" w:hangingChars="300"/>
        <w:textAlignment w:val="auto"/>
        <w:outlineLvl w:val="3"/>
        <w:rPr>
          <w:rFonts w:ascii="宋体" w:hAnsi="宋体"/>
          <w:b/>
          <w:color w:val="auto"/>
          <w:sz w:val="21"/>
          <w:szCs w:val="21"/>
          <w:highlight w:val="none"/>
        </w:rPr>
      </w:pPr>
      <w:bookmarkStart w:id="138" w:name="_Toc76719956"/>
      <w:r>
        <w:rPr>
          <w:rFonts w:hint="eastAsia" w:ascii="宋体" w:hAnsi="宋体"/>
          <w:b/>
          <w:color w:val="auto"/>
          <w:sz w:val="21"/>
          <w:szCs w:val="21"/>
          <w:highlight w:val="none"/>
        </w:rPr>
        <w:t>工程接收</w:t>
      </w:r>
      <w:bookmarkEnd w:id="138"/>
    </w:p>
    <w:p w14:paraId="61F35825">
      <w:pPr>
        <w:keepNext w:val="0"/>
        <w:keepLines w:val="0"/>
        <w:pageBreakBefore w:val="0"/>
        <w:numPr>
          <w:ilvl w:val="2"/>
          <w:numId w:val="11"/>
        </w:numPr>
        <w:tabs>
          <w:tab w:val="left" w:pos="1134"/>
          <w:tab w:val="clear" w:pos="0"/>
        </w:tabs>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按单项工程或（和）按工程接收。根据工程项目的具体情况和特点，在专用条款约定对单项工程或（和）工程进行接收。</w:t>
      </w:r>
    </w:p>
    <w:p w14:paraId="0A6C9ACB">
      <w:pPr>
        <w:keepNext w:val="0"/>
        <w:keepLines w:val="0"/>
        <w:pageBreakBefore w:val="0"/>
        <w:numPr>
          <w:ilvl w:val="0"/>
          <w:numId w:val="35"/>
        </w:numPr>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按单项工程或（和）工程接收</w:t>
      </w:r>
    </w:p>
    <w:p w14:paraId="10E0786D">
      <w:pPr>
        <w:keepNext w:val="0"/>
        <w:keepLines w:val="0"/>
        <w:pageBreakBefore w:val="0"/>
        <w:kinsoku/>
        <w:wordWrap/>
        <w:overflowPunct/>
        <w:topLinePunct w:val="0"/>
        <w:autoSpaceDE/>
        <w:autoSpaceDN/>
        <w:bidi w:val="0"/>
        <w:spacing w:line="360" w:lineRule="auto"/>
        <w:ind w:left="630" w:leftChars="300" w:firstLine="0" w:firstLineChars="0"/>
        <w:textAlignment w:val="auto"/>
        <w:rPr>
          <w:rFonts w:ascii="宋体" w:hAnsi="宋体"/>
          <w:color w:val="auto"/>
          <w:sz w:val="21"/>
          <w:szCs w:val="21"/>
          <w:highlight w:val="none"/>
        </w:rPr>
      </w:pPr>
      <w:r>
        <w:rPr>
          <w:rFonts w:hint="eastAsia" w:ascii="宋体" w:hAnsi="宋体"/>
          <w:color w:val="auto"/>
          <w:sz w:val="21"/>
          <w:szCs w:val="21"/>
          <w:highlight w:val="none"/>
        </w:rPr>
        <w:t>根据第10条竣工后试验的约定，由承包人负责指导发包人进行单项工程或（和）工程竣工后试验，并承担试运行考核责任的。在专用条款中约定，接收单项工程的先后顺序及时间安排，或接收工程的时间安排。</w:t>
      </w:r>
    </w:p>
    <w:p w14:paraId="0B1432E7">
      <w:pPr>
        <w:keepNext w:val="0"/>
        <w:keepLines w:val="0"/>
        <w:pageBreakBefore w:val="0"/>
        <w:kinsoku/>
        <w:wordWrap/>
        <w:overflowPunct/>
        <w:topLinePunct w:val="0"/>
        <w:autoSpaceDE/>
        <w:autoSpaceDN/>
        <w:bidi w:val="0"/>
        <w:spacing w:line="360" w:lineRule="auto"/>
        <w:ind w:left="630" w:leftChars="300" w:firstLine="0" w:firstLineChars="0"/>
        <w:textAlignment w:val="auto"/>
        <w:rPr>
          <w:rFonts w:ascii="宋体" w:hAnsi="宋体"/>
          <w:color w:val="auto"/>
          <w:sz w:val="21"/>
          <w:szCs w:val="21"/>
          <w:highlight w:val="none"/>
        </w:rPr>
      </w:pPr>
      <w:r>
        <w:rPr>
          <w:rFonts w:hint="eastAsia" w:ascii="宋体" w:hAnsi="宋体"/>
          <w:color w:val="auto"/>
          <w:sz w:val="21"/>
          <w:szCs w:val="21"/>
          <w:highlight w:val="none"/>
        </w:rPr>
        <w:t>由发包人负责单项工程或（和）工程竣工后试验及其试运行考核责任的，在专用条款中约定接收工程的日期或接收单项工程的先后顺序及时间安排。</w:t>
      </w:r>
    </w:p>
    <w:p w14:paraId="11B8BB3C">
      <w:pPr>
        <w:keepNext w:val="0"/>
        <w:keepLines w:val="0"/>
        <w:pageBreakBefore w:val="0"/>
        <w:numPr>
          <w:ilvl w:val="0"/>
          <w:numId w:val="35"/>
        </w:numPr>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对不存在竣工试验或竣工后试验的单项工程或（和）工程，承包人完成扫尾工程和缺陷修复，并符合合同约定的验收标准的，按合同约定办理工程接收和竣工验收。</w:t>
      </w:r>
    </w:p>
    <w:p w14:paraId="6A22A662">
      <w:pPr>
        <w:keepNext w:val="0"/>
        <w:keepLines w:val="0"/>
        <w:pageBreakBefore w:val="0"/>
        <w:numPr>
          <w:ilvl w:val="2"/>
          <w:numId w:val="11"/>
        </w:numPr>
        <w:tabs>
          <w:tab w:val="left" w:pos="1134"/>
          <w:tab w:val="clear" w:pos="0"/>
        </w:tabs>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接收工程时承包人提交的资料。除按8.1.1款（1）至（3）项约定已经提交的资料外，需提交竣工试验完成的验收资料的类别、内容、份数和提交时间，在专用条款中约定。</w:t>
      </w:r>
    </w:p>
    <w:p w14:paraId="0E43D7E5">
      <w:pPr>
        <w:keepNext w:val="0"/>
        <w:keepLines w:val="0"/>
        <w:pageBreakBefore w:val="0"/>
        <w:numPr>
          <w:ilvl w:val="1"/>
          <w:numId w:val="11"/>
        </w:numPr>
        <w:kinsoku/>
        <w:wordWrap/>
        <w:overflowPunct/>
        <w:topLinePunct w:val="0"/>
        <w:autoSpaceDE/>
        <w:autoSpaceDN/>
        <w:bidi w:val="0"/>
        <w:spacing w:line="360" w:lineRule="auto"/>
        <w:ind w:left="632" w:leftChars="0" w:hanging="632" w:hangingChars="300"/>
        <w:textAlignment w:val="auto"/>
        <w:outlineLvl w:val="3"/>
        <w:rPr>
          <w:rFonts w:ascii="宋体" w:hAnsi="宋体"/>
          <w:b/>
          <w:color w:val="auto"/>
          <w:sz w:val="21"/>
          <w:szCs w:val="21"/>
          <w:highlight w:val="none"/>
        </w:rPr>
      </w:pPr>
      <w:bookmarkStart w:id="139" w:name="_Toc76719957"/>
      <w:r>
        <w:rPr>
          <w:rFonts w:hint="eastAsia" w:ascii="宋体" w:hAnsi="宋体"/>
          <w:b/>
          <w:color w:val="auto"/>
          <w:sz w:val="21"/>
          <w:szCs w:val="21"/>
          <w:highlight w:val="none"/>
        </w:rPr>
        <w:t>接收证书</w:t>
      </w:r>
      <w:bookmarkEnd w:id="139"/>
    </w:p>
    <w:p w14:paraId="770B6901">
      <w:pPr>
        <w:keepNext w:val="0"/>
        <w:keepLines w:val="0"/>
        <w:pageBreakBefore w:val="0"/>
        <w:numPr>
          <w:ilvl w:val="2"/>
          <w:numId w:val="11"/>
        </w:numPr>
        <w:tabs>
          <w:tab w:val="left" w:pos="1134"/>
          <w:tab w:val="clear" w:pos="0"/>
        </w:tabs>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承包人在工程或（和）单项工程具备接收条件后的</w:t>
      </w:r>
      <w:r>
        <w:rPr>
          <w:rFonts w:ascii="宋体" w:hAnsi="宋体"/>
          <w:color w:val="auto"/>
          <w:sz w:val="21"/>
          <w:szCs w:val="21"/>
          <w:highlight w:val="none"/>
        </w:rPr>
        <w:t>1</w:t>
      </w:r>
      <w:r>
        <w:rPr>
          <w:rFonts w:hint="eastAsia" w:ascii="宋体" w:hAnsi="宋体"/>
          <w:color w:val="auto"/>
          <w:sz w:val="21"/>
          <w:szCs w:val="21"/>
          <w:highlight w:val="none"/>
        </w:rPr>
        <w:t>0日内，向发包人提交接收证书申请，发包人在接到申请后的10日内组织接收，并签发工程或（和）单项工程接收证书。</w:t>
      </w:r>
    </w:p>
    <w:p w14:paraId="01BDB55E">
      <w:pPr>
        <w:keepNext w:val="0"/>
        <w:keepLines w:val="0"/>
        <w:pageBreakBefore w:val="0"/>
        <w:kinsoku/>
        <w:wordWrap/>
        <w:overflowPunct/>
        <w:topLinePunct w:val="0"/>
        <w:autoSpaceDE/>
        <w:autoSpaceDN/>
        <w:bidi w:val="0"/>
        <w:spacing w:line="360" w:lineRule="auto"/>
        <w:ind w:left="630" w:leftChars="300" w:firstLine="0" w:firstLineChars="0"/>
        <w:textAlignment w:val="auto"/>
        <w:rPr>
          <w:rFonts w:ascii="宋体" w:hAnsi="宋体"/>
          <w:color w:val="auto"/>
          <w:sz w:val="21"/>
          <w:szCs w:val="21"/>
          <w:highlight w:val="none"/>
        </w:rPr>
      </w:pPr>
      <w:r>
        <w:rPr>
          <w:rFonts w:hint="eastAsia" w:ascii="宋体" w:hAnsi="宋体"/>
          <w:color w:val="auto"/>
          <w:sz w:val="21"/>
          <w:szCs w:val="21"/>
          <w:highlight w:val="none"/>
        </w:rPr>
        <w:t>单项工程的接收日期，以</w:t>
      </w:r>
      <w:r>
        <w:rPr>
          <w:rFonts w:ascii="宋体" w:hAnsi="宋体"/>
          <w:color w:val="auto"/>
          <w:sz w:val="21"/>
          <w:szCs w:val="21"/>
          <w:highlight w:val="none"/>
        </w:rPr>
        <w:t>8.</w:t>
      </w:r>
      <w:r>
        <w:rPr>
          <w:rFonts w:hint="eastAsia" w:ascii="宋体" w:hAnsi="宋体"/>
          <w:color w:val="auto"/>
          <w:sz w:val="21"/>
          <w:szCs w:val="21"/>
          <w:highlight w:val="none"/>
        </w:rPr>
        <w:t>2</w:t>
      </w:r>
      <w:r>
        <w:rPr>
          <w:rFonts w:ascii="宋体" w:hAnsi="宋体"/>
          <w:color w:val="auto"/>
          <w:sz w:val="21"/>
          <w:szCs w:val="21"/>
          <w:highlight w:val="none"/>
        </w:rPr>
        <w:t>.6</w:t>
      </w:r>
      <w:r>
        <w:rPr>
          <w:rFonts w:hint="eastAsia" w:ascii="宋体" w:hAnsi="宋体"/>
          <w:color w:val="auto"/>
          <w:sz w:val="21"/>
          <w:szCs w:val="21"/>
          <w:highlight w:val="none"/>
        </w:rPr>
        <w:t>款第</w:t>
      </w:r>
      <w:r>
        <w:rPr>
          <w:rFonts w:ascii="宋体" w:hAnsi="宋体"/>
          <w:color w:val="auto"/>
          <w:sz w:val="21"/>
          <w:szCs w:val="21"/>
          <w:highlight w:val="none"/>
        </w:rPr>
        <w:t>2</w:t>
      </w:r>
      <w:r>
        <w:rPr>
          <w:rFonts w:hint="eastAsia" w:ascii="宋体" w:hAnsi="宋体"/>
          <w:color w:val="auto"/>
          <w:sz w:val="21"/>
          <w:szCs w:val="21"/>
          <w:highlight w:val="none"/>
        </w:rPr>
        <w:t>项约定的日期，作为接收日期。</w:t>
      </w:r>
    </w:p>
    <w:p w14:paraId="7B41FFEF">
      <w:pPr>
        <w:keepNext w:val="0"/>
        <w:keepLines w:val="0"/>
        <w:pageBreakBefore w:val="0"/>
        <w:kinsoku/>
        <w:wordWrap/>
        <w:overflowPunct/>
        <w:topLinePunct w:val="0"/>
        <w:autoSpaceDE/>
        <w:autoSpaceDN/>
        <w:bidi w:val="0"/>
        <w:spacing w:line="360" w:lineRule="auto"/>
        <w:ind w:left="630" w:leftChars="300" w:firstLine="0" w:firstLineChars="0"/>
        <w:textAlignment w:val="auto"/>
        <w:rPr>
          <w:rFonts w:ascii="宋体" w:hAnsi="宋体"/>
          <w:color w:val="auto"/>
          <w:sz w:val="21"/>
          <w:szCs w:val="21"/>
          <w:highlight w:val="none"/>
        </w:rPr>
      </w:pPr>
      <w:r>
        <w:rPr>
          <w:rFonts w:hint="eastAsia" w:ascii="宋体" w:hAnsi="宋体"/>
          <w:color w:val="auto"/>
          <w:sz w:val="21"/>
          <w:szCs w:val="21"/>
          <w:highlight w:val="none"/>
        </w:rPr>
        <w:t>工程的接收日期，以</w:t>
      </w:r>
      <w:r>
        <w:rPr>
          <w:rFonts w:ascii="宋体" w:hAnsi="宋体"/>
          <w:color w:val="auto"/>
          <w:sz w:val="21"/>
          <w:szCs w:val="21"/>
          <w:highlight w:val="none"/>
        </w:rPr>
        <w:t>8.</w:t>
      </w:r>
      <w:r>
        <w:rPr>
          <w:rFonts w:hint="eastAsia" w:ascii="宋体" w:hAnsi="宋体"/>
          <w:color w:val="auto"/>
          <w:sz w:val="21"/>
          <w:szCs w:val="21"/>
          <w:highlight w:val="none"/>
        </w:rPr>
        <w:t>2</w:t>
      </w:r>
      <w:r>
        <w:rPr>
          <w:rFonts w:ascii="宋体" w:hAnsi="宋体"/>
          <w:color w:val="auto"/>
          <w:sz w:val="21"/>
          <w:szCs w:val="21"/>
          <w:highlight w:val="none"/>
        </w:rPr>
        <w:t>.6</w:t>
      </w:r>
      <w:r>
        <w:rPr>
          <w:rFonts w:hint="eastAsia" w:ascii="宋体" w:hAnsi="宋体"/>
          <w:color w:val="auto"/>
          <w:sz w:val="21"/>
          <w:szCs w:val="21"/>
          <w:highlight w:val="none"/>
        </w:rPr>
        <w:t>款第</w:t>
      </w:r>
      <w:r>
        <w:rPr>
          <w:rFonts w:ascii="宋体" w:hAnsi="宋体"/>
          <w:color w:val="auto"/>
          <w:sz w:val="21"/>
          <w:szCs w:val="21"/>
          <w:highlight w:val="none"/>
        </w:rPr>
        <w:t>3</w:t>
      </w:r>
      <w:r>
        <w:rPr>
          <w:rFonts w:hint="eastAsia" w:ascii="宋体" w:hAnsi="宋体"/>
          <w:color w:val="auto"/>
          <w:sz w:val="21"/>
          <w:szCs w:val="21"/>
          <w:highlight w:val="none"/>
        </w:rPr>
        <w:t>项约定的日期，作为接收日期。</w:t>
      </w:r>
    </w:p>
    <w:p w14:paraId="78385B42">
      <w:pPr>
        <w:keepNext w:val="0"/>
        <w:keepLines w:val="0"/>
        <w:pageBreakBefore w:val="0"/>
        <w:numPr>
          <w:ilvl w:val="2"/>
          <w:numId w:val="11"/>
        </w:numPr>
        <w:tabs>
          <w:tab w:val="left" w:pos="1134"/>
          <w:tab w:val="clear" w:pos="0"/>
        </w:tabs>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扫尾工程和缺陷修复。对工程或（和）单项工程的操作、使用没有实质影响的扫尾工程和缺陷修复，不能作为发包人不接收工程的理由。经发包人与承包人协商确定的承包人完成该扫尾工程和缺陷修复的合理时间，作为接收证书的附件。</w:t>
      </w:r>
    </w:p>
    <w:p w14:paraId="056A8B16">
      <w:pPr>
        <w:keepNext w:val="0"/>
        <w:keepLines w:val="0"/>
        <w:pageBreakBefore w:val="0"/>
        <w:numPr>
          <w:ilvl w:val="1"/>
          <w:numId w:val="11"/>
        </w:numPr>
        <w:kinsoku/>
        <w:wordWrap/>
        <w:overflowPunct/>
        <w:topLinePunct w:val="0"/>
        <w:autoSpaceDE/>
        <w:autoSpaceDN/>
        <w:bidi w:val="0"/>
        <w:spacing w:line="360" w:lineRule="auto"/>
        <w:ind w:left="632" w:leftChars="0" w:hanging="632" w:hangingChars="300"/>
        <w:textAlignment w:val="auto"/>
        <w:outlineLvl w:val="3"/>
        <w:rPr>
          <w:rFonts w:ascii="宋体" w:hAnsi="宋体"/>
          <w:b/>
          <w:color w:val="auto"/>
          <w:sz w:val="21"/>
          <w:szCs w:val="21"/>
          <w:highlight w:val="none"/>
        </w:rPr>
      </w:pPr>
      <w:bookmarkStart w:id="140" w:name="_Toc76719958"/>
      <w:r>
        <w:rPr>
          <w:rFonts w:hint="eastAsia" w:ascii="宋体" w:hAnsi="宋体"/>
          <w:b/>
          <w:color w:val="auto"/>
          <w:sz w:val="21"/>
          <w:szCs w:val="21"/>
          <w:highlight w:val="none"/>
        </w:rPr>
        <w:t>接收工程的责任</w:t>
      </w:r>
      <w:bookmarkEnd w:id="140"/>
    </w:p>
    <w:p w14:paraId="348D9D5C">
      <w:pPr>
        <w:keepNext w:val="0"/>
        <w:keepLines w:val="0"/>
        <w:pageBreakBefore w:val="0"/>
        <w:numPr>
          <w:ilvl w:val="2"/>
          <w:numId w:val="11"/>
        </w:numPr>
        <w:tabs>
          <w:tab w:val="left" w:pos="1134"/>
          <w:tab w:val="clear" w:pos="0"/>
        </w:tabs>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保安责任。自单项工程和（或 ）工程接收之日起，发包人承担其保安责任。</w:t>
      </w:r>
    </w:p>
    <w:p w14:paraId="10613117">
      <w:pPr>
        <w:keepNext w:val="0"/>
        <w:keepLines w:val="0"/>
        <w:pageBreakBefore w:val="0"/>
        <w:numPr>
          <w:ilvl w:val="2"/>
          <w:numId w:val="11"/>
        </w:numPr>
        <w:tabs>
          <w:tab w:val="left" w:pos="1134"/>
          <w:tab w:val="clear" w:pos="0"/>
        </w:tabs>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照管责任。自单项工程或（和）工程接收之日起，发包人承担其照管责任。并负责单项工程或（和）工程的维护、保养、维修</w:t>
      </w:r>
      <w:r>
        <w:rPr>
          <w:rFonts w:hint="eastAsia" w:ascii="宋体" w:hAnsi="宋体"/>
          <w:color w:val="auto"/>
          <w:sz w:val="21"/>
          <w:szCs w:val="21"/>
          <w:highlight w:val="none"/>
          <w:lang w:eastAsia="zh-CN"/>
        </w:rPr>
        <w:t>，</w:t>
      </w:r>
      <w:r>
        <w:rPr>
          <w:rFonts w:hint="eastAsia" w:ascii="宋体" w:hAnsi="宋体"/>
          <w:color w:val="auto"/>
          <w:sz w:val="21"/>
          <w:szCs w:val="21"/>
          <w:highlight w:val="none"/>
        </w:rPr>
        <w:t>不包括需由承包人完成的缺陷修复和零星扫尾的工程部位及其区域。</w:t>
      </w:r>
    </w:p>
    <w:p w14:paraId="3D57A030">
      <w:pPr>
        <w:keepNext w:val="0"/>
        <w:keepLines w:val="0"/>
        <w:pageBreakBefore w:val="0"/>
        <w:widowControl w:val="0"/>
        <w:numPr>
          <w:ilvl w:val="2"/>
          <w:numId w:val="11"/>
        </w:numPr>
        <w:tabs>
          <w:tab w:val="left" w:pos="1134"/>
          <w:tab w:val="clear" w:pos="0"/>
        </w:tabs>
        <w:kinsoku/>
        <w:wordWrap/>
        <w:overflowPunct/>
        <w:topLinePunct w:val="0"/>
        <w:autoSpaceDE/>
        <w:autoSpaceDN/>
        <w:bidi w:val="0"/>
        <w:adjustRightInd/>
        <w:snapToGrid/>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工程的投保责任。施工期间的工程应投保方是承包人，承包人将工程投保期限保持到9.2.1款约定的发包人接收工程的日期。该日期之后的应投保方是发包人。</w:t>
      </w:r>
    </w:p>
    <w:p w14:paraId="4CA8D1B2">
      <w:pPr>
        <w:keepNext w:val="0"/>
        <w:keepLines w:val="0"/>
        <w:pageBreakBefore w:val="0"/>
        <w:numPr>
          <w:ilvl w:val="1"/>
          <w:numId w:val="11"/>
        </w:numPr>
        <w:kinsoku/>
        <w:wordWrap/>
        <w:overflowPunct/>
        <w:topLinePunct w:val="0"/>
        <w:autoSpaceDE/>
        <w:autoSpaceDN/>
        <w:bidi w:val="0"/>
        <w:spacing w:line="360" w:lineRule="auto"/>
        <w:ind w:left="632" w:leftChars="0" w:hanging="632" w:hangingChars="300"/>
        <w:textAlignment w:val="auto"/>
        <w:outlineLvl w:val="3"/>
        <w:rPr>
          <w:rFonts w:ascii="宋体" w:hAnsi="宋体"/>
          <w:b/>
          <w:color w:val="auto"/>
          <w:sz w:val="21"/>
          <w:szCs w:val="21"/>
          <w:highlight w:val="none"/>
        </w:rPr>
      </w:pPr>
      <w:bookmarkStart w:id="141" w:name="_Toc76719959"/>
      <w:r>
        <w:rPr>
          <w:rFonts w:hint="eastAsia" w:ascii="宋体" w:hAnsi="宋体"/>
          <w:b/>
          <w:color w:val="auto"/>
          <w:sz w:val="21"/>
          <w:szCs w:val="21"/>
          <w:highlight w:val="none"/>
        </w:rPr>
        <w:t>未能接收工程</w:t>
      </w:r>
      <w:bookmarkEnd w:id="141"/>
    </w:p>
    <w:p w14:paraId="1E5142F0">
      <w:pPr>
        <w:keepNext w:val="0"/>
        <w:keepLines w:val="0"/>
        <w:pageBreakBefore w:val="0"/>
        <w:numPr>
          <w:ilvl w:val="2"/>
          <w:numId w:val="11"/>
        </w:numPr>
        <w:tabs>
          <w:tab w:val="left" w:pos="1134"/>
          <w:tab w:val="clear" w:pos="0"/>
        </w:tabs>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不接收工程。当发包人收到承包人送交的单项工程或（和）工程接收证书申请后的</w:t>
      </w:r>
      <w:r>
        <w:rPr>
          <w:rFonts w:ascii="宋体" w:hAnsi="宋体"/>
          <w:color w:val="auto"/>
          <w:sz w:val="21"/>
          <w:szCs w:val="21"/>
          <w:highlight w:val="none"/>
        </w:rPr>
        <w:t>15</w:t>
      </w:r>
      <w:r>
        <w:rPr>
          <w:rFonts w:hint="eastAsia" w:ascii="宋体" w:hAnsi="宋体"/>
          <w:color w:val="auto"/>
          <w:sz w:val="21"/>
          <w:szCs w:val="21"/>
          <w:highlight w:val="none"/>
        </w:rPr>
        <w:t>日内不组织接收，视为单项工程、或（和）工程的接收证书申请已被发包人认可。从第</w:t>
      </w:r>
      <w:r>
        <w:rPr>
          <w:rFonts w:ascii="宋体" w:hAnsi="宋体"/>
          <w:color w:val="auto"/>
          <w:sz w:val="21"/>
          <w:szCs w:val="21"/>
          <w:highlight w:val="none"/>
        </w:rPr>
        <w:t>16</w:t>
      </w:r>
      <w:r>
        <w:rPr>
          <w:rFonts w:hint="eastAsia" w:ascii="宋体" w:hAnsi="宋体"/>
          <w:color w:val="auto"/>
          <w:sz w:val="21"/>
          <w:szCs w:val="21"/>
          <w:highlight w:val="none"/>
        </w:rPr>
        <w:t>日起，发包人根据9.3款的约定承担相关责任。</w:t>
      </w:r>
    </w:p>
    <w:p w14:paraId="29025184">
      <w:pPr>
        <w:keepNext w:val="0"/>
        <w:keepLines w:val="0"/>
        <w:pageBreakBefore w:val="0"/>
        <w:numPr>
          <w:ilvl w:val="2"/>
          <w:numId w:val="11"/>
        </w:numPr>
        <w:tabs>
          <w:tab w:val="left" w:pos="1134"/>
          <w:tab w:val="clear" w:pos="0"/>
        </w:tabs>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未按约定接收工程。承包人未提交单项工程或（和）工程接收证书申请的、或未能通过单项工程或工程接收条件的，发包人有权拒绝接收单项工程或（和）工程。</w:t>
      </w:r>
    </w:p>
    <w:p w14:paraId="5F5CE161">
      <w:pPr>
        <w:keepNext w:val="0"/>
        <w:keepLines w:val="0"/>
        <w:pageBreakBefore w:val="0"/>
        <w:numPr>
          <w:ilvl w:val="0"/>
          <w:numId w:val="11"/>
        </w:numPr>
        <w:kinsoku/>
        <w:wordWrap/>
        <w:overflowPunct/>
        <w:topLinePunct w:val="0"/>
        <w:autoSpaceDE/>
        <w:autoSpaceDN/>
        <w:bidi w:val="0"/>
        <w:spacing w:line="360" w:lineRule="auto"/>
        <w:ind w:left="632" w:leftChars="0" w:hanging="632" w:hangingChars="300"/>
        <w:textAlignment w:val="auto"/>
        <w:outlineLvl w:val="2"/>
        <w:rPr>
          <w:rFonts w:ascii="宋体" w:hAnsi="宋体"/>
          <w:b/>
          <w:color w:val="auto"/>
          <w:sz w:val="21"/>
          <w:szCs w:val="21"/>
          <w:highlight w:val="none"/>
        </w:rPr>
      </w:pPr>
      <w:bookmarkStart w:id="142" w:name="_Toc76719960"/>
      <w:bookmarkStart w:id="143" w:name="_Toc363719002"/>
      <w:bookmarkStart w:id="144" w:name="_Toc80633160"/>
      <w:r>
        <w:rPr>
          <w:rFonts w:hint="eastAsia" w:ascii="宋体" w:hAnsi="宋体"/>
          <w:b/>
          <w:color w:val="auto"/>
          <w:sz w:val="21"/>
          <w:szCs w:val="21"/>
          <w:highlight w:val="none"/>
        </w:rPr>
        <w:t>竣工后试验</w:t>
      </w:r>
      <w:bookmarkEnd w:id="142"/>
      <w:bookmarkEnd w:id="143"/>
      <w:bookmarkEnd w:id="144"/>
    </w:p>
    <w:p w14:paraId="1BF47798">
      <w:pPr>
        <w:keepNext w:val="0"/>
        <w:keepLines w:val="0"/>
        <w:pageBreakBefore w:val="0"/>
        <w:kinsoku/>
        <w:wordWrap/>
        <w:overflowPunct/>
        <w:topLinePunct w:val="0"/>
        <w:autoSpaceDE/>
        <w:autoSpaceDN/>
        <w:bidi w:val="0"/>
        <w:spacing w:line="360" w:lineRule="auto"/>
        <w:ind w:left="630" w:leftChars="300" w:firstLine="0" w:firstLineChars="0"/>
        <w:textAlignment w:val="auto"/>
        <w:rPr>
          <w:rFonts w:ascii="宋体" w:hAnsi="宋体"/>
          <w:color w:val="auto"/>
          <w:sz w:val="21"/>
          <w:szCs w:val="21"/>
          <w:highlight w:val="none"/>
        </w:rPr>
      </w:pPr>
      <w:r>
        <w:rPr>
          <w:rFonts w:hint="eastAsia" w:ascii="宋体" w:hAnsi="宋体"/>
          <w:color w:val="auto"/>
          <w:sz w:val="21"/>
          <w:szCs w:val="21"/>
          <w:highlight w:val="none"/>
        </w:rPr>
        <w:t>本合同工程包含竣工后试验，遵守本条约定。</w:t>
      </w:r>
    </w:p>
    <w:p w14:paraId="066278FD">
      <w:pPr>
        <w:keepNext w:val="0"/>
        <w:keepLines w:val="0"/>
        <w:pageBreakBefore w:val="0"/>
        <w:numPr>
          <w:ilvl w:val="1"/>
          <w:numId w:val="11"/>
        </w:numPr>
        <w:kinsoku/>
        <w:wordWrap/>
        <w:overflowPunct/>
        <w:topLinePunct w:val="0"/>
        <w:autoSpaceDE/>
        <w:autoSpaceDN/>
        <w:bidi w:val="0"/>
        <w:spacing w:line="360" w:lineRule="auto"/>
        <w:ind w:left="632" w:leftChars="0" w:hanging="632" w:hangingChars="300"/>
        <w:textAlignment w:val="auto"/>
        <w:outlineLvl w:val="3"/>
        <w:rPr>
          <w:rFonts w:ascii="宋体" w:hAnsi="宋体"/>
          <w:b/>
          <w:color w:val="auto"/>
          <w:sz w:val="21"/>
          <w:szCs w:val="21"/>
          <w:highlight w:val="none"/>
        </w:rPr>
      </w:pPr>
      <w:bookmarkStart w:id="145" w:name="_Toc76719961"/>
      <w:r>
        <w:rPr>
          <w:rFonts w:hint="eastAsia" w:ascii="宋体" w:hAnsi="宋体"/>
          <w:b/>
          <w:color w:val="auto"/>
          <w:sz w:val="21"/>
          <w:szCs w:val="21"/>
          <w:highlight w:val="none"/>
        </w:rPr>
        <w:t>权利与义务</w:t>
      </w:r>
      <w:bookmarkEnd w:id="145"/>
    </w:p>
    <w:p w14:paraId="2B3107B3">
      <w:pPr>
        <w:keepNext w:val="0"/>
        <w:keepLines w:val="0"/>
        <w:pageBreakBefore w:val="0"/>
        <w:numPr>
          <w:ilvl w:val="2"/>
          <w:numId w:val="11"/>
        </w:numPr>
        <w:tabs>
          <w:tab w:val="left" w:pos="1134"/>
          <w:tab w:val="clear" w:pos="0"/>
        </w:tabs>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发包人的义务</w:t>
      </w:r>
    </w:p>
    <w:p w14:paraId="12B0F9EC">
      <w:pPr>
        <w:keepNext w:val="0"/>
        <w:keepLines w:val="0"/>
        <w:pageBreakBefore w:val="0"/>
        <w:numPr>
          <w:ilvl w:val="0"/>
          <w:numId w:val="36"/>
        </w:numPr>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发包人有权对第10.1.2款第（2）项约定的由承包人提交的竣工后试验方案进行审查并批准，发包人的批准并不能减轻或免除承包人的合同责任。</w:t>
      </w:r>
    </w:p>
    <w:p w14:paraId="10EB8C4F">
      <w:pPr>
        <w:keepNext w:val="0"/>
        <w:keepLines w:val="0"/>
        <w:pageBreakBefore w:val="0"/>
        <w:numPr>
          <w:ilvl w:val="0"/>
          <w:numId w:val="36"/>
        </w:numPr>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发包人依据批准的竣工后试验方案进行分工、组织完成准备工作、竣工后试验和试运行考核。联合协调领导机构的设置方案及其分工职责等作为本合同的组成部分。</w:t>
      </w:r>
    </w:p>
    <w:p w14:paraId="547AB52C">
      <w:pPr>
        <w:keepNext w:val="0"/>
        <w:keepLines w:val="0"/>
        <w:pageBreakBefore w:val="0"/>
        <w:numPr>
          <w:ilvl w:val="0"/>
          <w:numId w:val="36"/>
        </w:numPr>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发包人对承包人根据10.1.2款第（4）项提出的建议，有权向承包人发出不接受、或接受的通知。承包人应按发包人建议积极执行。</w:t>
      </w:r>
    </w:p>
    <w:p w14:paraId="714E6EBE">
      <w:pPr>
        <w:keepNext w:val="0"/>
        <w:keepLines w:val="0"/>
        <w:pageBreakBefore w:val="0"/>
        <w:numPr>
          <w:ilvl w:val="0"/>
          <w:numId w:val="36"/>
        </w:numPr>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发包人在竣工后试验阶段向承包人发出的组织安排、指令和通知，以书面形式送达承包人的工程总承包项目经理，工程总承包项目经理在回执上签署收到日期、时间和签名。</w:t>
      </w:r>
    </w:p>
    <w:p w14:paraId="7E391F2D">
      <w:pPr>
        <w:keepNext w:val="0"/>
        <w:keepLines w:val="0"/>
        <w:pageBreakBefore w:val="0"/>
        <w:numPr>
          <w:ilvl w:val="0"/>
          <w:numId w:val="36"/>
        </w:numPr>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发包人有权在紧急情况下，以口头和书面形式向承包人发出紧急指令，承包人立即执行。当承包人未能按发包人的指令执行，因此造成的事故责任、人身伤害和工程损害，由承包人承担。发包人在发出口头指令后12 小时内</w:t>
      </w:r>
      <w:r>
        <w:rPr>
          <w:rFonts w:hint="eastAsia" w:ascii="宋体" w:hAnsi="宋体"/>
          <w:color w:val="auto"/>
          <w:sz w:val="21"/>
          <w:szCs w:val="21"/>
          <w:highlight w:val="none"/>
          <w:lang w:eastAsia="zh-CN"/>
        </w:rPr>
        <w:t>，</w:t>
      </w:r>
      <w:r>
        <w:rPr>
          <w:rFonts w:hint="eastAsia" w:ascii="宋体" w:hAnsi="宋体"/>
          <w:color w:val="auto"/>
          <w:sz w:val="21"/>
          <w:szCs w:val="21"/>
          <w:highlight w:val="none"/>
        </w:rPr>
        <w:t>以书面形式再发出补充指令并送交工程总承包项目经理。</w:t>
      </w:r>
    </w:p>
    <w:p w14:paraId="6C8FA797">
      <w:pPr>
        <w:keepNext w:val="0"/>
        <w:keepLines w:val="0"/>
        <w:pageBreakBefore w:val="0"/>
        <w:numPr>
          <w:ilvl w:val="0"/>
          <w:numId w:val="36"/>
        </w:numPr>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发包人在竣工后试验阶段的其他义务和工作，在专用条款中约定。</w:t>
      </w:r>
    </w:p>
    <w:p w14:paraId="47FBFB22">
      <w:pPr>
        <w:keepNext w:val="0"/>
        <w:keepLines w:val="0"/>
        <w:pageBreakBefore w:val="0"/>
        <w:numPr>
          <w:ilvl w:val="2"/>
          <w:numId w:val="11"/>
        </w:numPr>
        <w:tabs>
          <w:tab w:val="left" w:pos="1134"/>
          <w:tab w:val="clear" w:pos="0"/>
        </w:tabs>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承包人的责任和义务</w:t>
      </w:r>
    </w:p>
    <w:p w14:paraId="66BEDDB9">
      <w:pPr>
        <w:keepNext w:val="0"/>
        <w:keepLines w:val="0"/>
        <w:pageBreakBefore w:val="0"/>
        <w:widowControl w:val="0"/>
        <w:numPr>
          <w:ilvl w:val="0"/>
          <w:numId w:val="37"/>
        </w:numPr>
        <w:kinsoku/>
        <w:wordWrap/>
        <w:overflowPunct/>
        <w:topLinePunct w:val="0"/>
        <w:autoSpaceDE/>
        <w:autoSpaceDN/>
        <w:bidi w:val="0"/>
        <w:adjustRightInd/>
        <w:snapToGrid/>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承包人在发包人的统一安排下，派出具有相应资格和经验的人员指导竣工后试验。承包人派出的工程总承包项目经理及其指导人员，在竣工后试验期间，离开现场必须得到发包人批准。</w:t>
      </w:r>
    </w:p>
    <w:p w14:paraId="4EE94B34">
      <w:pPr>
        <w:keepNext w:val="0"/>
        <w:keepLines w:val="0"/>
        <w:pageBreakBefore w:val="0"/>
        <w:widowControl w:val="0"/>
        <w:numPr>
          <w:ilvl w:val="0"/>
          <w:numId w:val="37"/>
        </w:numPr>
        <w:kinsoku/>
        <w:wordWrap/>
        <w:overflowPunct/>
        <w:topLinePunct w:val="0"/>
        <w:autoSpaceDE/>
        <w:autoSpaceDN/>
        <w:bidi w:val="0"/>
        <w:adjustRightInd/>
        <w:snapToGrid/>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承包人根据合同约定和本工程竣工后试验的特点，编制竣工后试验方案。并在竣工后试验开始前向发包人提交竣工后试验方案。方案包括：工程、单项工程及其相关部位的操作试验程序、资源条件、试验条件、操作规程、安全规程、事故处理程序及进度计划等。经发包人审查并批准后实施。提交竣工后试验方案的份数和时间在在专用条款约定。</w:t>
      </w:r>
    </w:p>
    <w:p w14:paraId="6C8D455A">
      <w:pPr>
        <w:keepNext w:val="0"/>
        <w:keepLines w:val="0"/>
        <w:pageBreakBefore w:val="0"/>
        <w:widowControl w:val="0"/>
        <w:numPr>
          <w:ilvl w:val="0"/>
          <w:numId w:val="37"/>
        </w:numPr>
        <w:kinsoku/>
        <w:wordWrap/>
        <w:overflowPunct/>
        <w:topLinePunct w:val="0"/>
        <w:autoSpaceDE/>
        <w:autoSpaceDN/>
        <w:bidi w:val="0"/>
        <w:adjustRightInd/>
        <w:snapToGrid/>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承包人未能执行发包人的安排、指令和通知，而发生的事故、人身伤害和工程损害，由承包人承担其责任。</w:t>
      </w:r>
    </w:p>
    <w:p w14:paraId="3ECF45C2">
      <w:pPr>
        <w:keepNext w:val="0"/>
        <w:keepLines w:val="0"/>
        <w:pageBreakBefore w:val="0"/>
        <w:widowControl w:val="0"/>
        <w:numPr>
          <w:ilvl w:val="0"/>
          <w:numId w:val="37"/>
        </w:numPr>
        <w:kinsoku/>
        <w:wordWrap/>
        <w:overflowPunct/>
        <w:topLinePunct w:val="0"/>
        <w:autoSpaceDE/>
        <w:autoSpaceDN/>
        <w:bidi w:val="0"/>
        <w:adjustRightInd/>
        <w:snapToGrid/>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承包人有义务对发包人的组织安排、指令和通知提出建议，并说明因由。</w:t>
      </w:r>
    </w:p>
    <w:p w14:paraId="2CB2DEAF">
      <w:pPr>
        <w:keepNext w:val="0"/>
        <w:keepLines w:val="0"/>
        <w:pageBreakBefore w:val="0"/>
        <w:widowControl w:val="0"/>
        <w:kinsoku/>
        <w:wordWrap/>
        <w:overflowPunct/>
        <w:topLinePunct w:val="0"/>
        <w:autoSpaceDE/>
        <w:autoSpaceDN/>
        <w:bidi w:val="0"/>
        <w:adjustRightInd/>
        <w:snapToGrid/>
        <w:spacing w:line="360" w:lineRule="auto"/>
        <w:ind w:left="630" w:leftChars="300" w:firstLine="0" w:firstLineChars="0"/>
        <w:textAlignment w:val="auto"/>
        <w:rPr>
          <w:rFonts w:ascii="宋体" w:hAnsi="宋体"/>
          <w:color w:val="auto"/>
          <w:sz w:val="21"/>
          <w:szCs w:val="21"/>
          <w:highlight w:val="none"/>
        </w:rPr>
      </w:pPr>
      <w:r>
        <w:rPr>
          <w:rFonts w:hint="eastAsia" w:ascii="宋体" w:hAnsi="宋体"/>
          <w:color w:val="auto"/>
          <w:sz w:val="21"/>
          <w:szCs w:val="21"/>
          <w:highlight w:val="none"/>
        </w:rPr>
        <w:t>在紧急情况下，发包人以口头指令承包人进行的操作、工作及作业，承包人立即执行。承包人对此项指令做好记录，并做好实施的记录。对此，发包人在12小时内，将该口头指令再以书面形式送达承包人。</w:t>
      </w:r>
    </w:p>
    <w:p w14:paraId="44A1B535">
      <w:pPr>
        <w:keepNext w:val="0"/>
        <w:keepLines w:val="0"/>
        <w:pageBreakBefore w:val="0"/>
        <w:widowControl w:val="0"/>
        <w:numPr>
          <w:ilvl w:val="0"/>
          <w:numId w:val="37"/>
        </w:numPr>
        <w:kinsoku/>
        <w:wordWrap/>
        <w:overflowPunct/>
        <w:topLinePunct w:val="0"/>
        <w:autoSpaceDE/>
        <w:autoSpaceDN/>
        <w:bidi w:val="0"/>
        <w:adjustRightInd/>
        <w:snapToGrid/>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操作维修手册的缺陷责任。承包人负责编制的操作维修手册，因手册缺陷造成的事故责任、人身伤害和工程损害，由承包人承担。</w:t>
      </w:r>
    </w:p>
    <w:p w14:paraId="5BC5AC64">
      <w:pPr>
        <w:keepNext w:val="0"/>
        <w:keepLines w:val="0"/>
        <w:pageBreakBefore w:val="0"/>
        <w:widowControl w:val="0"/>
        <w:numPr>
          <w:ilvl w:val="0"/>
          <w:numId w:val="37"/>
        </w:numPr>
        <w:kinsoku/>
        <w:wordWrap/>
        <w:overflowPunct/>
        <w:topLinePunct w:val="0"/>
        <w:autoSpaceDE/>
        <w:autoSpaceDN/>
        <w:bidi w:val="0"/>
        <w:adjustRightInd/>
        <w:snapToGrid/>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承包人根据合同约定或（和）行业规定，在竣工后试验阶段的其他义务和工作，在专用条款中约定。</w:t>
      </w:r>
    </w:p>
    <w:p w14:paraId="45754D75">
      <w:pPr>
        <w:keepNext w:val="0"/>
        <w:keepLines w:val="0"/>
        <w:pageBreakBefore w:val="0"/>
        <w:widowControl w:val="0"/>
        <w:numPr>
          <w:ilvl w:val="1"/>
          <w:numId w:val="11"/>
        </w:numPr>
        <w:kinsoku/>
        <w:wordWrap/>
        <w:overflowPunct/>
        <w:topLinePunct w:val="0"/>
        <w:autoSpaceDE/>
        <w:autoSpaceDN/>
        <w:bidi w:val="0"/>
        <w:adjustRightInd/>
        <w:snapToGrid/>
        <w:spacing w:line="360" w:lineRule="auto"/>
        <w:ind w:left="632" w:leftChars="0" w:hanging="632" w:hangingChars="300"/>
        <w:textAlignment w:val="auto"/>
        <w:outlineLvl w:val="3"/>
        <w:rPr>
          <w:rFonts w:ascii="宋体" w:hAnsi="宋体"/>
          <w:b/>
          <w:color w:val="auto"/>
          <w:sz w:val="21"/>
          <w:szCs w:val="21"/>
          <w:highlight w:val="none"/>
        </w:rPr>
      </w:pPr>
      <w:bookmarkStart w:id="146" w:name="_Toc76719962"/>
      <w:r>
        <w:rPr>
          <w:rFonts w:hint="eastAsia" w:ascii="宋体" w:hAnsi="宋体"/>
          <w:b/>
          <w:color w:val="auto"/>
          <w:sz w:val="21"/>
          <w:szCs w:val="21"/>
          <w:highlight w:val="none"/>
        </w:rPr>
        <w:t>竣工后试验程序</w:t>
      </w:r>
      <w:bookmarkEnd w:id="146"/>
    </w:p>
    <w:p w14:paraId="4AA318B0">
      <w:pPr>
        <w:keepNext w:val="0"/>
        <w:keepLines w:val="0"/>
        <w:pageBreakBefore w:val="0"/>
        <w:numPr>
          <w:ilvl w:val="2"/>
          <w:numId w:val="11"/>
        </w:numPr>
        <w:tabs>
          <w:tab w:val="left" w:pos="1134"/>
          <w:tab w:val="clear" w:pos="0"/>
        </w:tabs>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发包人根据批准的竣工后试验方案，组织安排其管理人员、操作维修人员和其他各项准备工作。</w:t>
      </w:r>
    </w:p>
    <w:p w14:paraId="2C75DA12">
      <w:pPr>
        <w:keepNext w:val="0"/>
        <w:keepLines w:val="0"/>
        <w:pageBreakBefore w:val="0"/>
        <w:numPr>
          <w:ilvl w:val="2"/>
          <w:numId w:val="11"/>
        </w:numPr>
        <w:tabs>
          <w:tab w:val="left" w:pos="1134"/>
          <w:tab w:val="clear" w:pos="0"/>
        </w:tabs>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承包人根据批准的竣工后试验方案，完成方案中约定的由承包人提供的竣工后试验所需要的其他设备、设施、材料、工具和器具，及由承包人完成的其他准备工作。</w:t>
      </w:r>
    </w:p>
    <w:p w14:paraId="20A53A3D">
      <w:pPr>
        <w:keepNext w:val="0"/>
        <w:keepLines w:val="0"/>
        <w:pageBreakBefore w:val="0"/>
        <w:numPr>
          <w:ilvl w:val="2"/>
          <w:numId w:val="11"/>
        </w:numPr>
        <w:tabs>
          <w:tab w:val="left" w:pos="1134"/>
          <w:tab w:val="clear" w:pos="0"/>
        </w:tabs>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发包人根据批准的竣工后试验方案，按照单项工程内的任何部分、单项工程、单项工程之间、或（和）工程的竣工后试验程序和试验条件，组织竣工后试验。</w:t>
      </w:r>
    </w:p>
    <w:p w14:paraId="1F99DA27">
      <w:pPr>
        <w:keepNext w:val="0"/>
        <w:keepLines w:val="0"/>
        <w:pageBreakBefore w:val="0"/>
        <w:numPr>
          <w:ilvl w:val="2"/>
          <w:numId w:val="11"/>
        </w:numPr>
        <w:tabs>
          <w:tab w:val="left" w:pos="1134"/>
          <w:tab w:val="clear" w:pos="0"/>
        </w:tabs>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发包人全面检查并落实工程、单项工程及工程的任何部分竣工后试验需要的资源条件、试验条件、安全设施条件、消防设施条件、紧急事故处理设施条件或（和）相关措施，保证记录仪器、专用记录表格的齐全和数量的充分。</w:t>
      </w:r>
    </w:p>
    <w:p w14:paraId="047D62F1">
      <w:pPr>
        <w:keepNext w:val="0"/>
        <w:keepLines w:val="0"/>
        <w:pageBreakBefore w:val="0"/>
        <w:numPr>
          <w:ilvl w:val="2"/>
          <w:numId w:val="11"/>
        </w:numPr>
        <w:tabs>
          <w:tab w:val="left" w:pos="1134"/>
          <w:tab w:val="clear" w:pos="0"/>
        </w:tabs>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竣工后试验日期的通知。发包人在接收单项工程或（和）接收工程日期后的15日内通知承包人开始竣工后试验的日期。专用条款中另有约定除外。</w:t>
      </w:r>
    </w:p>
    <w:p w14:paraId="42D12B04">
      <w:pPr>
        <w:keepNext w:val="0"/>
        <w:keepLines w:val="0"/>
        <w:pageBreakBefore w:val="0"/>
        <w:widowControl w:val="0"/>
        <w:numPr>
          <w:ilvl w:val="2"/>
          <w:numId w:val="11"/>
        </w:numPr>
        <w:tabs>
          <w:tab w:val="left" w:pos="1134"/>
          <w:tab w:val="clear" w:pos="0"/>
        </w:tabs>
        <w:kinsoku/>
        <w:wordWrap/>
        <w:overflowPunct/>
        <w:topLinePunct w:val="0"/>
        <w:autoSpaceDE/>
        <w:autoSpaceDN/>
        <w:bidi w:val="0"/>
        <w:adjustRightInd/>
        <w:snapToGrid/>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整体启动及调试</w:t>
      </w:r>
    </w:p>
    <w:p w14:paraId="27FCCBF5">
      <w:pPr>
        <w:keepNext w:val="0"/>
        <w:keepLines w:val="0"/>
        <w:pageBreakBefore w:val="0"/>
        <w:numPr>
          <w:ilvl w:val="0"/>
          <w:numId w:val="38"/>
        </w:numPr>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在本项目系统启动后及性能试验前，必须按照</w:t>
      </w:r>
      <w:r>
        <w:rPr>
          <w:rFonts w:hint="eastAsia" w:ascii="宋体" w:hAnsi="宋体"/>
          <w:color w:val="auto"/>
          <w:sz w:val="21"/>
          <w:szCs w:val="21"/>
          <w:highlight w:val="none"/>
          <w:lang w:eastAsia="zh-CN"/>
        </w:rPr>
        <w:t>招标文件</w:t>
      </w:r>
      <w:r>
        <w:rPr>
          <w:rFonts w:hint="eastAsia" w:ascii="宋体" w:hAnsi="宋体"/>
          <w:color w:val="auto"/>
          <w:sz w:val="21"/>
          <w:szCs w:val="21"/>
          <w:highlight w:val="none"/>
        </w:rPr>
        <w:t>技术部分的要求进行一系列的调试，所有试验应由承包人进行。</w:t>
      </w:r>
    </w:p>
    <w:p w14:paraId="0E6B422B">
      <w:pPr>
        <w:keepNext w:val="0"/>
        <w:keepLines w:val="0"/>
        <w:pageBreakBefore w:val="0"/>
        <w:numPr>
          <w:ilvl w:val="0"/>
          <w:numId w:val="38"/>
        </w:numPr>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承包人应在本项目系统试验和启动调试开始前至少一个月按照认可的格式提交规定份数的的试验计划给发包人审查。承包人应在试验前14天以书面形式通知发包人。承包人负责提供规定份数的审查后的试验计划给发包人。</w:t>
      </w:r>
    </w:p>
    <w:p w14:paraId="6D8D2078">
      <w:pPr>
        <w:keepNext w:val="0"/>
        <w:keepLines w:val="0"/>
        <w:pageBreakBefore w:val="0"/>
        <w:numPr>
          <w:ilvl w:val="0"/>
          <w:numId w:val="38"/>
        </w:numPr>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如果由于承包人原因造成系统的任何部分未能通过试验，该部分的试验根据发包人的要求可在合理的时间内按合同条件重复进行试验直至试验结果被接受。</w:t>
      </w:r>
    </w:p>
    <w:p w14:paraId="3063A8C3">
      <w:pPr>
        <w:keepNext w:val="0"/>
        <w:keepLines w:val="0"/>
        <w:pageBreakBefore w:val="0"/>
        <w:numPr>
          <w:ilvl w:val="0"/>
          <w:numId w:val="38"/>
        </w:numPr>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如果由于承包人原因本项目任何部分进行的重复试验仍不合格，则此不合格之设备按规定处理。</w:t>
      </w:r>
    </w:p>
    <w:p w14:paraId="56BFEFDF">
      <w:pPr>
        <w:keepNext w:val="0"/>
        <w:keepLines w:val="0"/>
        <w:pageBreakBefore w:val="0"/>
        <w:widowControl w:val="0"/>
        <w:numPr>
          <w:ilvl w:val="2"/>
          <w:numId w:val="11"/>
        </w:numPr>
        <w:tabs>
          <w:tab w:val="left" w:pos="1134"/>
          <w:tab w:val="clear" w:pos="0"/>
        </w:tabs>
        <w:kinsoku/>
        <w:wordWrap/>
        <w:overflowPunct/>
        <w:topLinePunct w:val="0"/>
        <w:autoSpaceDE/>
        <w:autoSpaceDN/>
        <w:bidi w:val="0"/>
        <w:adjustRightInd/>
        <w:snapToGrid/>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性能试验</w:t>
      </w:r>
    </w:p>
    <w:p w14:paraId="2CAB3020">
      <w:pPr>
        <w:keepNext w:val="0"/>
        <w:keepLines w:val="0"/>
        <w:pageBreakBefore w:val="0"/>
        <w:widowControl w:val="0"/>
        <w:numPr>
          <w:ilvl w:val="3"/>
          <w:numId w:val="11"/>
        </w:numPr>
        <w:kinsoku/>
        <w:wordWrap/>
        <w:overflowPunct/>
        <w:topLinePunct w:val="0"/>
        <w:autoSpaceDE/>
        <w:autoSpaceDN/>
        <w:bidi w:val="0"/>
        <w:adjustRightInd/>
        <w:snapToGrid/>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第一次性能试验</w:t>
      </w:r>
    </w:p>
    <w:p w14:paraId="2EA48CA5">
      <w:pPr>
        <w:pStyle w:val="477"/>
        <w:keepNext w:val="0"/>
        <w:keepLines w:val="0"/>
        <w:pageBreakBefore w:val="0"/>
        <w:widowControl/>
        <w:numPr>
          <w:ilvl w:val="0"/>
          <w:numId w:val="39"/>
        </w:numPr>
        <w:kinsoku/>
        <w:wordWrap/>
        <w:overflowPunct/>
        <w:topLinePunct w:val="0"/>
        <w:autoSpaceDE/>
        <w:autoSpaceDN/>
        <w:bidi w:val="0"/>
        <w:spacing w:line="360" w:lineRule="auto"/>
        <w:ind w:left="630" w:leftChars="0" w:hanging="630" w:hangingChars="300"/>
        <w:jc w:val="left"/>
        <w:textAlignment w:val="auto"/>
        <w:rPr>
          <w:color w:val="auto"/>
          <w:sz w:val="21"/>
          <w:szCs w:val="21"/>
          <w:highlight w:val="none"/>
        </w:rPr>
      </w:pPr>
      <w:r>
        <w:rPr>
          <w:rFonts w:hint="eastAsia" w:ascii="宋体" w:hAnsi="宋体"/>
          <w:color w:val="auto"/>
          <w:sz w:val="21"/>
          <w:szCs w:val="21"/>
          <w:highlight w:val="none"/>
        </w:rPr>
        <w:t>光伏发电工程进行完各项启动运行检查调试后，即可投人试运行。试运行时间确定为组件面接收的总辐射量累计达60kWh/㎡时间或168小时试运行时间</w:t>
      </w:r>
      <w:r>
        <w:rPr>
          <w:rFonts w:hint="eastAsia" w:ascii="宋体" w:hAnsi="宋体"/>
          <w:color w:val="auto"/>
          <w:sz w:val="21"/>
          <w:szCs w:val="21"/>
          <w:highlight w:val="none"/>
          <w:lang w:eastAsia="zh-CN"/>
        </w:rPr>
        <w:t>（</w:t>
      </w:r>
      <w:r>
        <w:rPr>
          <w:rFonts w:hint="eastAsia" w:ascii="宋体" w:hAnsi="宋体"/>
          <w:color w:val="auto"/>
          <w:sz w:val="21"/>
          <w:szCs w:val="21"/>
          <w:highlight w:val="none"/>
        </w:rPr>
        <w:t>以两个时间中最长时间为试运行时间</w:t>
      </w:r>
      <w:r>
        <w:rPr>
          <w:rFonts w:hint="eastAsia" w:ascii="宋体" w:hAnsi="宋体"/>
          <w:color w:val="auto"/>
          <w:sz w:val="21"/>
          <w:szCs w:val="21"/>
          <w:highlight w:val="none"/>
          <w:lang w:eastAsia="zh-CN"/>
        </w:rPr>
        <w:t>）</w:t>
      </w:r>
      <w:r>
        <w:rPr>
          <w:rFonts w:hint="eastAsia" w:ascii="宋体" w:hAnsi="宋体"/>
          <w:color w:val="auto"/>
          <w:sz w:val="21"/>
          <w:szCs w:val="21"/>
          <w:highlight w:val="none"/>
        </w:rPr>
        <w:t>。60kWh/㎡时间是为了保证组件暴晒后功率稳定，逆变器通过这段时间运行性能也能够保持稳定，其中60kWh/㎡是依据GB/T</w:t>
      </w:r>
      <w:r>
        <w:rPr>
          <w:rFonts w:ascii="宋体" w:hAnsi="宋体"/>
          <w:color w:val="auto"/>
          <w:sz w:val="21"/>
          <w:szCs w:val="21"/>
          <w:highlight w:val="none"/>
        </w:rPr>
        <w:t xml:space="preserve"> 9535</w:t>
      </w:r>
      <w:r>
        <w:rPr>
          <w:rFonts w:hint="eastAsia" w:ascii="宋体" w:hAnsi="宋体"/>
          <w:color w:val="auto"/>
          <w:sz w:val="21"/>
          <w:szCs w:val="21"/>
          <w:highlight w:val="none"/>
        </w:rPr>
        <w:t>确定的。承包人应在性能试验进行前14天书面通知发包人。</w:t>
      </w:r>
    </w:p>
    <w:p w14:paraId="5A2CC006">
      <w:pPr>
        <w:keepNext w:val="0"/>
        <w:keepLines w:val="0"/>
        <w:pageBreakBefore w:val="0"/>
        <w:numPr>
          <w:ilvl w:val="0"/>
          <w:numId w:val="39"/>
        </w:numPr>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性能试验的结果应由双方见证、记录并形成文件。性能试验的目的是检查上述系统是否符合附件中规定的所有技术性能和保证值。</w:t>
      </w:r>
    </w:p>
    <w:p w14:paraId="6D3A76F3">
      <w:pPr>
        <w:keepNext w:val="0"/>
        <w:keepLines w:val="0"/>
        <w:pageBreakBefore w:val="0"/>
        <w:widowControl w:val="0"/>
        <w:numPr>
          <w:ilvl w:val="3"/>
          <w:numId w:val="11"/>
        </w:numPr>
        <w:kinsoku/>
        <w:wordWrap/>
        <w:overflowPunct/>
        <w:topLinePunct w:val="0"/>
        <w:autoSpaceDE/>
        <w:autoSpaceDN/>
        <w:bidi w:val="0"/>
        <w:adjustRightInd/>
        <w:snapToGrid/>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第二次性能测试（如发包人需要）</w:t>
      </w:r>
    </w:p>
    <w:p w14:paraId="4C6A17B0">
      <w:pPr>
        <w:keepNext w:val="0"/>
        <w:keepLines w:val="0"/>
        <w:pageBreakBefore w:val="0"/>
        <w:widowControl w:val="0"/>
        <w:numPr>
          <w:ilvl w:val="0"/>
          <w:numId w:val="40"/>
        </w:numPr>
        <w:tabs>
          <w:tab w:val="left" w:pos="1740"/>
          <w:tab w:val="clear" w:pos="0"/>
        </w:tabs>
        <w:kinsoku/>
        <w:wordWrap/>
        <w:overflowPunct/>
        <w:topLinePunct w:val="0"/>
        <w:autoSpaceDE/>
        <w:autoSpaceDN/>
        <w:bidi w:val="0"/>
        <w:adjustRightInd/>
        <w:snapToGrid/>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初步验收证书（PAC）后一年3个月内，根据一年后性能保证值要求，对系统进行性能测试，这次性能试验通过是签发最终验收证书（FAC）的前提。</w:t>
      </w:r>
    </w:p>
    <w:p w14:paraId="17DDC462">
      <w:pPr>
        <w:keepNext w:val="0"/>
        <w:keepLines w:val="0"/>
        <w:pageBreakBefore w:val="0"/>
        <w:widowControl w:val="0"/>
        <w:numPr>
          <w:ilvl w:val="0"/>
          <w:numId w:val="40"/>
        </w:numPr>
        <w:tabs>
          <w:tab w:val="left" w:pos="1740"/>
          <w:tab w:val="clear" w:pos="0"/>
        </w:tabs>
        <w:kinsoku/>
        <w:wordWrap/>
        <w:overflowPunct/>
        <w:topLinePunct w:val="0"/>
        <w:autoSpaceDE/>
        <w:autoSpaceDN/>
        <w:bidi w:val="0"/>
        <w:adjustRightInd/>
        <w:snapToGrid/>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第二次性能测试要求与第一次性能测试要求一致，但合同或</w:t>
      </w:r>
      <w:r>
        <w:rPr>
          <w:rFonts w:hint="eastAsia" w:ascii="宋体" w:hAnsi="宋体"/>
          <w:color w:val="auto"/>
          <w:sz w:val="21"/>
          <w:szCs w:val="21"/>
          <w:highlight w:val="none"/>
          <w:lang w:eastAsia="zh-CN"/>
        </w:rPr>
        <w:t>招标文件</w:t>
      </w:r>
      <w:r>
        <w:rPr>
          <w:rFonts w:hint="eastAsia" w:ascii="宋体" w:hAnsi="宋体"/>
          <w:color w:val="auto"/>
          <w:sz w:val="21"/>
          <w:szCs w:val="21"/>
          <w:highlight w:val="none"/>
        </w:rPr>
        <w:t>技术部分另有要求的除外。</w:t>
      </w:r>
    </w:p>
    <w:p w14:paraId="17F36F65">
      <w:pPr>
        <w:keepNext w:val="0"/>
        <w:keepLines w:val="0"/>
        <w:pageBreakBefore w:val="0"/>
        <w:widowControl w:val="0"/>
        <w:numPr>
          <w:ilvl w:val="0"/>
          <w:numId w:val="40"/>
        </w:numPr>
        <w:tabs>
          <w:tab w:val="left" w:pos="1740"/>
          <w:tab w:val="clear" w:pos="0"/>
        </w:tabs>
        <w:kinsoku/>
        <w:wordWrap/>
        <w:overflowPunct/>
        <w:topLinePunct w:val="0"/>
        <w:autoSpaceDE/>
        <w:autoSpaceDN/>
        <w:bidi w:val="0"/>
        <w:adjustRightInd/>
        <w:snapToGrid/>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本次性能测试未达要求的按照第一次性能试验的要求处罚。</w:t>
      </w:r>
    </w:p>
    <w:p w14:paraId="67B7B249">
      <w:pPr>
        <w:keepNext w:val="0"/>
        <w:keepLines w:val="0"/>
        <w:pageBreakBefore w:val="0"/>
        <w:widowControl w:val="0"/>
        <w:numPr>
          <w:ilvl w:val="1"/>
          <w:numId w:val="11"/>
        </w:numPr>
        <w:kinsoku/>
        <w:wordWrap/>
        <w:overflowPunct/>
        <w:topLinePunct w:val="0"/>
        <w:autoSpaceDE/>
        <w:autoSpaceDN/>
        <w:bidi w:val="0"/>
        <w:adjustRightInd/>
        <w:snapToGrid/>
        <w:spacing w:line="360" w:lineRule="auto"/>
        <w:ind w:left="632" w:leftChars="0" w:hanging="632" w:hangingChars="300"/>
        <w:textAlignment w:val="auto"/>
        <w:outlineLvl w:val="3"/>
        <w:rPr>
          <w:rFonts w:ascii="宋体" w:hAnsi="宋体"/>
          <w:b/>
          <w:color w:val="auto"/>
          <w:sz w:val="21"/>
          <w:szCs w:val="21"/>
          <w:highlight w:val="none"/>
        </w:rPr>
      </w:pPr>
      <w:bookmarkStart w:id="147" w:name="_Toc76719963"/>
      <w:r>
        <w:rPr>
          <w:rFonts w:hint="eastAsia" w:ascii="宋体" w:hAnsi="宋体"/>
          <w:b/>
          <w:color w:val="auto"/>
          <w:sz w:val="21"/>
          <w:szCs w:val="21"/>
          <w:highlight w:val="none"/>
        </w:rPr>
        <w:t>竣工后试验及试运行考核</w:t>
      </w:r>
      <w:bookmarkEnd w:id="147"/>
    </w:p>
    <w:p w14:paraId="517E76FD">
      <w:pPr>
        <w:keepNext w:val="0"/>
        <w:keepLines w:val="0"/>
        <w:pageBreakBefore w:val="0"/>
        <w:numPr>
          <w:ilvl w:val="2"/>
          <w:numId w:val="11"/>
        </w:numPr>
        <w:tabs>
          <w:tab w:val="left" w:pos="1134"/>
          <w:tab w:val="clear" w:pos="0"/>
        </w:tabs>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按照批准的竣工后试验方案的试验程序、试验条件、操作程序进行试验，达到合同约定的工程或（和）单项工程的生产功能或（和）使用功能。</w:t>
      </w:r>
    </w:p>
    <w:p w14:paraId="19A80566">
      <w:pPr>
        <w:keepNext w:val="0"/>
        <w:keepLines w:val="0"/>
        <w:pageBreakBefore w:val="0"/>
        <w:numPr>
          <w:ilvl w:val="2"/>
          <w:numId w:val="11"/>
        </w:numPr>
        <w:tabs>
          <w:tab w:val="left" w:pos="1134"/>
          <w:tab w:val="clear" w:pos="0"/>
        </w:tabs>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发包人的操作人员和承包人的指导人员，在竣工后试验过程中的同一个岗位上的试验条件记录、试验记录及表格上如实填写数据、条件、情况、时间、姓名及约定的其他内容。</w:t>
      </w:r>
    </w:p>
    <w:p w14:paraId="39BC3346">
      <w:pPr>
        <w:keepNext w:val="0"/>
        <w:keepLines w:val="0"/>
        <w:pageBreakBefore w:val="0"/>
        <w:numPr>
          <w:ilvl w:val="2"/>
          <w:numId w:val="11"/>
        </w:numPr>
        <w:tabs>
          <w:tab w:val="left" w:pos="1134"/>
          <w:tab w:val="clear" w:pos="0"/>
        </w:tabs>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试运行考核</w:t>
      </w:r>
    </w:p>
    <w:p w14:paraId="4199CCF6">
      <w:pPr>
        <w:keepNext w:val="0"/>
        <w:keepLines w:val="0"/>
        <w:pageBreakBefore w:val="0"/>
        <w:widowControl w:val="0"/>
        <w:numPr>
          <w:ilvl w:val="0"/>
          <w:numId w:val="41"/>
        </w:numPr>
        <w:kinsoku/>
        <w:wordWrap/>
        <w:overflowPunct/>
        <w:topLinePunct w:val="0"/>
        <w:autoSpaceDE/>
        <w:autoSpaceDN/>
        <w:bidi w:val="0"/>
        <w:adjustRightInd/>
        <w:snapToGrid/>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根据5.1.1款约定，由承包人提供生产工艺技术或建筑设计的，保证在试运行考核周期内</w:t>
      </w:r>
      <w:r>
        <w:rPr>
          <w:rFonts w:hint="eastAsia" w:ascii="宋体" w:hAnsi="宋体"/>
          <w:color w:val="auto"/>
          <w:sz w:val="21"/>
          <w:szCs w:val="21"/>
          <w:highlight w:val="none"/>
          <w:lang w:eastAsia="zh-CN"/>
        </w:rPr>
        <w:t>，</w:t>
      </w:r>
      <w:r>
        <w:rPr>
          <w:rFonts w:hint="eastAsia" w:ascii="宋体" w:hAnsi="宋体"/>
          <w:color w:val="auto"/>
          <w:sz w:val="21"/>
          <w:szCs w:val="21"/>
          <w:highlight w:val="none"/>
        </w:rPr>
        <w:t>达到5.1.1款专用条款中约定的考核保证值或使用功能。</w:t>
      </w:r>
    </w:p>
    <w:p w14:paraId="541437CB">
      <w:pPr>
        <w:keepNext w:val="0"/>
        <w:keepLines w:val="0"/>
        <w:pageBreakBefore w:val="0"/>
        <w:widowControl w:val="0"/>
        <w:numPr>
          <w:ilvl w:val="0"/>
          <w:numId w:val="41"/>
        </w:numPr>
        <w:kinsoku/>
        <w:wordWrap/>
        <w:overflowPunct/>
        <w:topLinePunct w:val="0"/>
        <w:autoSpaceDE/>
        <w:autoSpaceDN/>
        <w:bidi w:val="0"/>
        <w:adjustRightInd/>
        <w:snapToGrid/>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根据5.1.2款约定，由发包人提供生产工艺技术或建筑艺术造型的，承包人保证在试运行考核周期内达到5.1.2款专用条款中约定的，由承包人承担的相关部分的考核保证值或使用功能。</w:t>
      </w:r>
    </w:p>
    <w:p w14:paraId="72AD3B29">
      <w:pPr>
        <w:keepNext w:val="0"/>
        <w:keepLines w:val="0"/>
        <w:pageBreakBefore w:val="0"/>
        <w:widowControl w:val="0"/>
        <w:numPr>
          <w:ilvl w:val="0"/>
          <w:numId w:val="41"/>
        </w:numPr>
        <w:kinsoku/>
        <w:wordWrap/>
        <w:overflowPunct/>
        <w:topLinePunct w:val="0"/>
        <w:autoSpaceDE/>
        <w:autoSpaceDN/>
        <w:bidi w:val="0"/>
        <w:adjustRightInd/>
        <w:snapToGrid/>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根据相关行业对试运行考核周期的规定，在专用条款中约定试运行考核的时间周期。</w:t>
      </w:r>
    </w:p>
    <w:p w14:paraId="5A828555">
      <w:pPr>
        <w:keepNext w:val="0"/>
        <w:keepLines w:val="0"/>
        <w:pageBreakBefore w:val="0"/>
        <w:widowControl w:val="0"/>
        <w:numPr>
          <w:ilvl w:val="0"/>
          <w:numId w:val="41"/>
        </w:numPr>
        <w:kinsoku/>
        <w:wordWrap/>
        <w:overflowPunct/>
        <w:topLinePunct w:val="0"/>
        <w:autoSpaceDE/>
        <w:autoSpaceDN/>
        <w:bidi w:val="0"/>
        <w:adjustRightInd/>
        <w:snapToGrid/>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试运行考核通过或使用功能通过后，双方共同整理竣工后试验及其试运行考核结果，并编写评价报告。报告一式两份，经合同双方签字或盖章后各持一份，作为本合同组成部分。发包人并根据</w:t>
      </w:r>
      <w:r>
        <w:rPr>
          <w:rFonts w:ascii="宋体" w:hAnsi="宋体"/>
          <w:color w:val="auto"/>
          <w:sz w:val="21"/>
          <w:szCs w:val="21"/>
          <w:highlight w:val="none"/>
        </w:rPr>
        <w:t>10.7</w:t>
      </w:r>
      <w:r>
        <w:rPr>
          <w:rFonts w:hint="eastAsia" w:ascii="宋体" w:hAnsi="宋体"/>
          <w:color w:val="auto"/>
          <w:sz w:val="21"/>
          <w:szCs w:val="21"/>
          <w:highlight w:val="none"/>
        </w:rPr>
        <w:t>款的约定颁发初步验收证书（PAC）。</w:t>
      </w:r>
    </w:p>
    <w:p w14:paraId="7A84D6CC">
      <w:pPr>
        <w:keepNext w:val="0"/>
        <w:keepLines w:val="0"/>
        <w:pageBreakBefore w:val="0"/>
        <w:numPr>
          <w:ilvl w:val="2"/>
          <w:numId w:val="11"/>
        </w:numPr>
        <w:tabs>
          <w:tab w:val="left" w:pos="1134"/>
          <w:tab w:val="clear" w:pos="0"/>
        </w:tabs>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产品或（和）服务收益的所有权。单项工程和（或）工程竣工后试验及试运行考核期间的任何产品收益或服务收益，均属发包人所有。</w:t>
      </w:r>
    </w:p>
    <w:p w14:paraId="28449FEC">
      <w:pPr>
        <w:keepNext w:val="0"/>
        <w:keepLines w:val="0"/>
        <w:pageBreakBefore w:val="0"/>
        <w:widowControl w:val="0"/>
        <w:numPr>
          <w:ilvl w:val="1"/>
          <w:numId w:val="11"/>
        </w:numPr>
        <w:kinsoku/>
        <w:wordWrap/>
        <w:overflowPunct/>
        <w:topLinePunct w:val="0"/>
        <w:autoSpaceDE/>
        <w:autoSpaceDN/>
        <w:bidi w:val="0"/>
        <w:adjustRightInd/>
        <w:snapToGrid/>
        <w:spacing w:line="360" w:lineRule="auto"/>
        <w:ind w:left="632" w:leftChars="0" w:hanging="632" w:hangingChars="300"/>
        <w:textAlignment w:val="auto"/>
        <w:outlineLvl w:val="3"/>
        <w:rPr>
          <w:rFonts w:ascii="宋体" w:hAnsi="宋体"/>
          <w:b/>
          <w:color w:val="auto"/>
          <w:sz w:val="21"/>
          <w:szCs w:val="21"/>
          <w:highlight w:val="none"/>
        </w:rPr>
      </w:pPr>
      <w:bookmarkStart w:id="148" w:name="_Toc76719964"/>
      <w:r>
        <w:rPr>
          <w:rFonts w:hint="eastAsia" w:ascii="宋体" w:hAnsi="宋体"/>
          <w:b/>
          <w:color w:val="auto"/>
          <w:sz w:val="21"/>
          <w:szCs w:val="21"/>
          <w:highlight w:val="none"/>
        </w:rPr>
        <w:t>竣工后试验的延误</w:t>
      </w:r>
      <w:bookmarkEnd w:id="148"/>
    </w:p>
    <w:p w14:paraId="46D1E438">
      <w:pPr>
        <w:keepNext w:val="0"/>
        <w:keepLines w:val="0"/>
        <w:pageBreakBefore w:val="0"/>
        <w:numPr>
          <w:ilvl w:val="2"/>
          <w:numId w:val="11"/>
        </w:numPr>
        <w:tabs>
          <w:tab w:val="left" w:pos="1134"/>
          <w:tab w:val="clear" w:pos="0"/>
        </w:tabs>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根据10.2.5款竣工后试验日期通知的约定，非因承包人原因，发包人未能在发出竣工后试验通知后的90日内开始竣工后试验的，工程或（和）单项工程视为通过了竣工后试验和试运行考核。</w:t>
      </w:r>
    </w:p>
    <w:p w14:paraId="1ECE9819">
      <w:pPr>
        <w:keepNext w:val="0"/>
        <w:keepLines w:val="0"/>
        <w:pageBreakBefore w:val="0"/>
        <w:numPr>
          <w:ilvl w:val="2"/>
          <w:numId w:val="11"/>
        </w:numPr>
        <w:tabs>
          <w:tab w:val="left" w:pos="1134"/>
          <w:tab w:val="clear" w:pos="0"/>
        </w:tabs>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因承包人的原因造成竣工后试验延误时，采取措施，尽快组织，配合发包人开始并通过竣工后试验。当延误造成发包人的费用增加时，发包人有权根据16.2.1款的约定向承包人提出索赔。致使合同约定的工程竣工日期延误时，根据4.5款误期损害赔偿的约定，承包人承担误期赔偿责任。</w:t>
      </w:r>
    </w:p>
    <w:p w14:paraId="42363EEF">
      <w:pPr>
        <w:keepNext w:val="0"/>
        <w:keepLines w:val="0"/>
        <w:pageBreakBefore w:val="0"/>
        <w:numPr>
          <w:ilvl w:val="2"/>
          <w:numId w:val="11"/>
        </w:numPr>
        <w:tabs>
          <w:tab w:val="left" w:pos="1134"/>
          <w:tab w:val="clear" w:pos="0"/>
        </w:tabs>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按10.3.3款试运行考核的约定，在试运行考核期间，因发包人原因导致考核中断或停止，且中断或停止的累计天数超过第10.3.3款第（3）项专用条款中约定的试运行考核周期时，试运行考核在中断或停止后的60天内重新开始，过此期限视为单项工程或（和）工程已通过了试运行考核。</w:t>
      </w:r>
    </w:p>
    <w:p w14:paraId="5A1EE73A">
      <w:pPr>
        <w:keepNext w:val="0"/>
        <w:keepLines w:val="0"/>
        <w:pageBreakBefore w:val="0"/>
        <w:widowControl w:val="0"/>
        <w:numPr>
          <w:ilvl w:val="1"/>
          <w:numId w:val="11"/>
        </w:numPr>
        <w:kinsoku/>
        <w:wordWrap/>
        <w:overflowPunct/>
        <w:topLinePunct w:val="0"/>
        <w:autoSpaceDE/>
        <w:autoSpaceDN/>
        <w:bidi w:val="0"/>
        <w:adjustRightInd/>
        <w:snapToGrid/>
        <w:spacing w:line="360" w:lineRule="auto"/>
        <w:ind w:left="632" w:leftChars="0" w:hanging="632" w:hangingChars="300"/>
        <w:textAlignment w:val="auto"/>
        <w:outlineLvl w:val="3"/>
        <w:rPr>
          <w:rFonts w:ascii="宋体" w:hAnsi="宋体"/>
          <w:b/>
          <w:color w:val="auto"/>
          <w:sz w:val="21"/>
          <w:szCs w:val="21"/>
          <w:highlight w:val="none"/>
        </w:rPr>
      </w:pPr>
      <w:bookmarkStart w:id="149" w:name="_Toc76719965"/>
      <w:r>
        <w:rPr>
          <w:rFonts w:hint="eastAsia" w:ascii="宋体" w:hAnsi="宋体"/>
          <w:b/>
          <w:color w:val="auto"/>
          <w:sz w:val="21"/>
          <w:szCs w:val="21"/>
          <w:highlight w:val="none"/>
        </w:rPr>
        <w:t>重新进行竣工后试验</w:t>
      </w:r>
      <w:bookmarkEnd w:id="149"/>
    </w:p>
    <w:p w14:paraId="4CB104E1">
      <w:pPr>
        <w:keepNext w:val="0"/>
        <w:keepLines w:val="0"/>
        <w:pageBreakBefore w:val="0"/>
        <w:numPr>
          <w:ilvl w:val="2"/>
          <w:numId w:val="11"/>
        </w:numPr>
        <w:tabs>
          <w:tab w:val="left" w:pos="1134"/>
          <w:tab w:val="clear" w:pos="0"/>
        </w:tabs>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根据5.1.1款或5.1.2款及其专用条款中的约定，因承包人原因导致工程、单项工程或工程的任何部分未能通过竣工后试验，承包人自费修补其缺陷，并依据第</w:t>
      </w:r>
      <w:r>
        <w:rPr>
          <w:rFonts w:ascii="宋体" w:hAnsi="宋体"/>
          <w:color w:val="auto"/>
          <w:sz w:val="21"/>
          <w:szCs w:val="21"/>
          <w:highlight w:val="none"/>
        </w:rPr>
        <w:t>10.2.3</w:t>
      </w:r>
      <w:r>
        <w:rPr>
          <w:rFonts w:hint="eastAsia" w:ascii="宋体" w:hAnsi="宋体"/>
          <w:color w:val="auto"/>
          <w:sz w:val="21"/>
          <w:szCs w:val="21"/>
          <w:highlight w:val="none"/>
        </w:rPr>
        <w:t>款约定的试验程序、试验条件，重新进行此项试验。</w:t>
      </w:r>
    </w:p>
    <w:p w14:paraId="0D68D8E1">
      <w:pPr>
        <w:keepNext w:val="0"/>
        <w:keepLines w:val="0"/>
        <w:pageBreakBefore w:val="0"/>
        <w:numPr>
          <w:ilvl w:val="2"/>
          <w:numId w:val="11"/>
        </w:numPr>
        <w:tabs>
          <w:tab w:val="left" w:pos="1134"/>
          <w:tab w:val="clear" w:pos="0"/>
        </w:tabs>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承包人根据10.5.1款重新进行试验的约定，仍未能通过该项试验时，承包人自费继续修补缺陷，并按10.2.3款约定的试验程序、试验条件再次进行此项试验。</w:t>
      </w:r>
    </w:p>
    <w:p w14:paraId="21C974D1">
      <w:pPr>
        <w:keepNext w:val="0"/>
        <w:keepLines w:val="0"/>
        <w:pageBreakBefore w:val="0"/>
        <w:numPr>
          <w:ilvl w:val="2"/>
          <w:numId w:val="11"/>
        </w:numPr>
        <w:tabs>
          <w:tab w:val="left" w:pos="1134"/>
          <w:tab w:val="clear" w:pos="0"/>
        </w:tabs>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承包人重新进行的竣工后试验，给发包人增加了额外费用时，发包人有权根据</w:t>
      </w:r>
      <w:r>
        <w:rPr>
          <w:rFonts w:ascii="宋体" w:hAnsi="宋体"/>
          <w:color w:val="auto"/>
          <w:sz w:val="21"/>
          <w:szCs w:val="21"/>
          <w:highlight w:val="none"/>
        </w:rPr>
        <w:t>16.2.1</w:t>
      </w:r>
      <w:r>
        <w:rPr>
          <w:rFonts w:hint="eastAsia" w:ascii="宋体" w:hAnsi="宋体"/>
          <w:color w:val="auto"/>
          <w:sz w:val="21"/>
          <w:szCs w:val="21"/>
          <w:highlight w:val="none"/>
        </w:rPr>
        <w:t>款的约定向承包人提出索赔。</w:t>
      </w:r>
    </w:p>
    <w:p w14:paraId="03FC4035">
      <w:pPr>
        <w:keepNext w:val="0"/>
        <w:keepLines w:val="0"/>
        <w:pageBreakBefore w:val="0"/>
        <w:widowControl w:val="0"/>
        <w:numPr>
          <w:ilvl w:val="1"/>
          <w:numId w:val="11"/>
        </w:numPr>
        <w:kinsoku/>
        <w:wordWrap/>
        <w:overflowPunct/>
        <w:topLinePunct w:val="0"/>
        <w:autoSpaceDE/>
        <w:autoSpaceDN/>
        <w:bidi w:val="0"/>
        <w:adjustRightInd/>
        <w:snapToGrid/>
        <w:spacing w:line="360" w:lineRule="auto"/>
        <w:ind w:left="632" w:leftChars="0" w:hanging="632" w:hangingChars="300"/>
        <w:textAlignment w:val="auto"/>
        <w:outlineLvl w:val="3"/>
        <w:rPr>
          <w:rFonts w:ascii="宋体" w:hAnsi="宋体"/>
          <w:b/>
          <w:color w:val="auto"/>
          <w:sz w:val="21"/>
          <w:szCs w:val="21"/>
          <w:highlight w:val="none"/>
        </w:rPr>
      </w:pPr>
      <w:bookmarkStart w:id="150" w:name="_Toc76719966"/>
      <w:r>
        <w:rPr>
          <w:rFonts w:hint="eastAsia" w:ascii="宋体" w:hAnsi="宋体"/>
          <w:b/>
          <w:color w:val="auto"/>
          <w:sz w:val="21"/>
          <w:szCs w:val="21"/>
          <w:highlight w:val="none"/>
        </w:rPr>
        <w:t>未能通过考核</w:t>
      </w:r>
      <w:bookmarkEnd w:id="150"/>
    </w:p>
    <w:p w14:paraId="3F1FC792">
      <w:pPr>
        <w:keepNext w:val="0"/>
        <w:keepLines w:val="0"/>
        <w:pageBreakBefore w:val="0"/>
        <w:kinsoku/>
        <w:wordWrap/>
        <w:overflowPunct/>
        <w:topLinePunct w:val="0"/>
        <w:autoSpaceDE/>
        <w:autoSpaceDN/>
        <w:bidi w:val="0"/>
        <w:spacing w:line="360" w:lineRule="auto"/>
        <w:ind w:left="630" w:leftChars="300" w:firstLine="0" w:firstLineChars="0"/>
        <w:textAlignment w:val="auto"/>
        <w:rPr>
          <w:rFonts w:ascii="宋体" w:hAnsi="宋体"/>
          <w:color w:val="auto"/>
          <w:sz w:val="21"/>
          <w:szCs w:val="21"/>
          <w:highlight w:val="none"/>
        </w:rPr>
      </w:pPr>
      <w:r>
        <w:rPr>
          <w:rFonts w:hint="eastAsia" w:ascii="宋体" w:hAnsi="宋体"/>
          <w:color w:val="auto"/>
          <w:sz w:val="21"/>
          <w:szCs w:val="21"/>
          <w:highlight w:val="none"/>
        </w:rPr>
        <w:t>因承包人原因使工程或（和）单项工程未能通过考核，但尚具有生产功能、使用功能时，按以下约定处理：</w:t>
      </w:r>
    </w:p>
    <w:p w14:paraId="5EF443D8">
      <w:pPr>
        <w:keepNext w:val="0"/>
        <w:keepLines w:val="0"/>
        <w:pageBreakBefore w:val="0"/>
        <w:numPr>
          <w:ilvl w:val="0"/>
          <w:numId w:val="42"/>
        </w:numPr>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未能通过试运行考核的赔偿</w:t>
      </w:r>
    </w:p>
    <w:p w14:paraId="6D55D5AB">
      <w:pPr>
        <w:keepNext w:val="0"/>
        <w:keepLines w:val="0"/>
        <w:pageBreakBefore w:val="0"/>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1）承包人提供的生产工艺技术或建筑设计未能通过试运行考核</w:t>
      </w:r>
    </w:p>
    <w:p w14:paraId="23507878">
      <w:pPr>
        <w:keepNext w:val="0"/>
        <w:keepLines w:val="0"/>
        <w:pageBreakBefore w:val="0"/>
        <w:kinsoku/>
        <w:wordWrap/>
        <w:overflowPunct/>
        <w:topLinePunct w:val="0"/>
        <w:autoSpaceDE/>
        <w:autoSpaceDN/>
        <w:bidi w:val="0"/>
        <w:spacing w:line="360" w:lineRule="auto"/>
        <w:ind w:left="630" w:leftChars="300" w:firstLine="0" w:firstLineChars="0"/>
        <w:textAlignment w:val="auto"/>
        <w:rPr>
          <w:rFonts w:ascii="宋体" w:hAnsi="宋体"/>
          <w:color w:val="auto"/>
          <w:sz w:val="21"/>
          <w:szCs w:val="21"/>
          <w:highlight w:val="none"/>
        </w:rPr>
      </w:pPr>
      <w:r>
        <w:rPr>
          <w:rFonts w:hint="eastAsia" w:ascii="宋体" w:hAnsi="宋体"/>
          <w:color w:val="auto"/>
          <w:sz w:val="21"/>
          <w:szCs w:val="21"/>
          <w:highlight w:val="none"/>
        </w:rPr>
        <w:t>根据5.1.1款专用条款约定的工程或（和）单项工程试运行考核保证值或使用功能保证的说明书，并按照在本项专用条款中约定的未能通过试运行考核的赔偿金额、或赔偿计算公式计算的金额，向发包人支付了相应赔偿金额后，视为承包人通过了试运行考核。</w:t>
      </w:r>
    </w:p>
    <w:p w14:paraId="3537275B">
      <w:pPr>
        <w:keepNext w:val="0"/>
        <w:keepLines w:val="0"/>
        <w:pageBreakBefore w:val="0"/>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2）发包人提供的生产工艺技术或建筑艺术造型未能通过试运行考核</w:t>
      </w:r>
    </w:p>
    <w:p w14:paraId="10349128">
      <w:pPr>
        <w:keepNext w:val="0"/>
        <w:keepLines w:val="0"/>
        <w:pageBreakBefore w:val="0"/>
        <w:kinsoku/>
        <w:wordWrap/>
        <w:overflowPunct/>
        <w:topLinePunct w:val="0"/>
        <w:autoSpaceDE/>
        <w:autoSpaceDN/>
        <w:bidi w:val="0"/>
        <w:spacing w:line="360" w:lineRule="auto"/>
        <w:ind w:left="630" w:leftChars="300" w:firstLine="0" w:firstLineChars="0"/>
        <w:textAlignment w:val="auto"/>
        <w:rPr>
          <w:rFonts w:ascii="宋体" w:hAnsi="宋体"/>
          <w:color w:val="auto"/>
          <w:sz w:val="21"/>
          <w:szCs w:val="21"/>
          <w:highlight w:val="none"/>
        </w:rPr>
      </w:pPr>
      <w:r>
        <w:rPr>
          <w:rFonts w:hint="eastAsia" w:ascii="宋体" w:hAnsi="宋体"/>
          <w:color w:val="auto"/>
          <w:sz w:val="21"/>
          <w:szCs w:val="21"/>
          <w:highlight w:val="none"/>
        </w:rPr>
        <w:t>根据5.1.2款专用条款约定的工程或（和）单项工程试运行考核中由承包人承担的相关责任，并按照在本项专用条款对相关责任约定的赔偿金额、或赔偿公式计算的金额，向发包人支付了相应赔偿金额，视为承包人通过了试运行考核。</w:t>
      </w:r>
    </w:p>
    <w:p w14:paraId="348530AA">
      <w:pPr>
        <w:keepNext w:val="0"/>
        <w:keepLines w:val="0"/>
        <w:pageBreakBefore w:val="0"/>
        <w:numPr>
          <w:ilvl w:val="0"/>
          <w:numId w:val="42"/>
        </w:numPr>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承包人对未能通过试运行考核的工程或（和）单项工程，提出自费调查、调整和修正并被发包人接受时，双方商定相应的调查、修正和试验期限，发包人为此提供方便。在通过该项考核之前，发包人可暂不按</w:t>
      </w:r>
      <w:r>
        <w:rPr>
          <w:rFonts w:ascii="宋体" w:hAnsi="宋体"/>
          <w:color w:val="auto"/>
          <w:sz w:val="21"/>
          <w:szCs w:val="21"/>
          <w:highlight w:val="none"/>
        </w:rPr>
        <w:t>10.6</w:t>
      </w:r>
      <w:r>
        <w:rPr>
          <w:rFonts w:hint="eastAsia" w:ascii="宋体" w:hAnsi="宋体"/>
          <w:color w:val="auto"/>
          <w:sz w:val="21"/>
          <w:szCs w:val="21"/>
          <w:highlight w:val="none"/>
        </w:rPr>
        <w:t>款第（</w:t>
      </w:r>
      <w:r>
        <w:rPr>
          <w:rFonts w:ascii="宋体" w:hAnsi="宋体"/>
          <w:color w:val="auto"/>
          <w:sz w:val="21"/>
          <w:szCs w:val="21"/>
          <w:highlight w:val="none"/>
        </w:rPr>
        <w:t>1</w:t>
      </w:r>
      <w:r>
        <w:rPr>
          <w:rFonts w:hint="eastAsia" w:ascii="宋体" w:hAnsi="宋体"/>
          <w:color w:val="auto"/>
          <w:sz w:val="21"/>
          <w:szCs w:val="21"/>
          <w:highlight w:val="none"/>
        </w:rPr>
        <w:t>）项约定提出赔偿。</w:t>
      </w:r>
    </w:p>
    <w:p w14:paraId="45ECA728">
      <w:pPr>
        <w:keepNext w:val="0"/>
        <w:keepLines w:val="0"/>
        <w:pageBreakBefore w:val="0"/>
        <w:widowControl w:val="0"/>
        <w:numPr>
          <w:ilvl w:val="1"/>
          <w:numId w:val="11"/>
        </w:numPr>
        <w:kinsoku/>
        <w:wordWrap/>
        <w:overflowPunct/>
        <w:topLinePunct w:val="0"/>
        <w:autoSpaceDE/>
        <w:autoSpaceDN/>
        <w:bidi w:val="0"/>
        <w:adjustRightInd/>
        <w:snapToGrid/>
        <w:spacing w:line="360" w:lineRule="auto"/>
        <w:ind w:left="632" w:leftChars="0" w:hanging="632" w:hangingChars="300"/>
        <w:textAlignment w:val="auto"/>
        <w:outlineLvl w:val="3"/>
        <w:rPr>
          <w:rFonts w:ascii="宋体" w:hAnsi="宋体"/>
          <w:b/>
          <w:color w:val="auto"/>
          <w:sz w:val="21"/>
          <w:szCs w:val="21"/>
          <w:highlight w:val="none"/>
        </w:rPr>
      </w:pPr>
      <w:bookmarkStart w:id="151" w:name="_Toc76719967"/>
      <w:r>
        <w:rPr>
          <w:rFonts w:hint="eastAsia" w:ascii="宋体" w:hAnsi="宋体"/>
          <w:b/>
          <w:color w:val="auto"/>
          <w:sz w:val="21"/>
          <w:szCs w:val="21"/>
          <w:highlight w:val="none"/>
        </w:rPr>
        <w:t>初步验收证书（</w:t>
      </w:r>
      <w:r>
        <w:rPr>
          <w:rFonts w:ascii="宋体" w:hAnsi="宋体"/>
          <w:b/>
          <w:color w:val="auto"/>
          <w:sz w:val="21"/>
          <w:szCs w:val="21"/>
          <w:highlight w:val="none"/>
        </w:rPr>
        <w:t>PAC）</w:t>
      </w:r>
      <w:bookmarkEnd w:id="151"/>
    </w:p>
    <w:p w14:paraId="1E56313F">
      <w:pPr>
        <w:keepNext w:val="0"/>
        <w:keepLines w:val="0"/>
        <w:pageBreakBefore w:val="0"/>
        <w:numPr>
          <w:ilvl w:val="2"/>
          <w:numId w:val="11"/>
        </w:numPr>
        <w:tabs>
          <w:tab w:val="left" w:pos="1134"/>
          <w:tab w:val="clear" w:pos="0"/>
        </w:tabs>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在专用条款中约定按工程或（和）按单项工程颁发初步验收证书（PAC）。</w:t>
      </w:r>
    </w:p>
    <w:p w14:paraId="50843163">
      <w:pPr>
        <w:keepNext w:val="0"/>
        <w:keepLines w:val="0"/>
        <w:pageBreakBefore w:val="0"/>
        <w:numPr>
          <w:ilvl w:val="2"/>
          <w:numId w:val="11"/>
        </w:numPr>
        <w:tabs>
          <w:tab w:val="left" w:pos="1134"/>
          <w:tab w:val="clear" w:pos="0"/>
        </w:tabs>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发包人根据10.3款、10.4款、10.5.1款、10.5.2款及10.6款的约定对通过或视为通过性能试验或（和）试运行考核的，按10.7.1款颁发初步验收证书（PAC）。该证书中写明的试运行考核通过的日期和时间，为实际完成考核或视为通过试运行考核的日期和时间。</w:t>
      </w:r>
    </w:p>
    <w:p w14:paraId="6EFCF49D">
      <w:pPr>
        <w:keepNext w:val="0"/>
        <w:keepLines w:val="0"/>
        <w:pageBreakBefore w:val="0"/>
        <w:widowControl w:val="0"/>
        <w:numPr>
          <w:ilvl w:val="1"/>
          <w:numId w:val="11"/>
        </w:numPr>
        <w:kinsoku/>
        <w:wordWrap/>
        <w:overflowPunct/>
        <w:topLinePunct w:val="0"/>
        <w:autoSpaceDE/>
        <w:autoSpaceDN/>
        <w:bidi w:val="0"/>
        <w:adjustRightInd/>
        <w:snapToGrid/>
        <w:spacing w:line="360" w:lineRule="auto"/>
        <w:ind w:left="632" w:leftChars="0" w:hanging="632" w:hangingChars="300"/>
        <w:textAlignment w:val="auto"/>
        <w:outlineLvl w:val="3"/>
        <w:rPr>
          <w:rFonts w:ascii="宋体" w:hAnsi="宋体"/>
          <w:b/>
          <w:color w:val="auto"/>
          <w:sz w:val="21"/>
          <w:szCs w:val="21"/>
          <w:highlight w:val="none"/>
        </w:rPr>
      </w:pPr>
      <w:bookmarkStart w:id="152" w:name="_Toc76719968"/>
      <w:r>
        <w:rPr>
          <w:rFonts w:hint="eastAsia" w:ascii="宋体" w:hAnsi="宋体"/>
          <w:b/>
          <w:color w:val="auto"/>
          <w:sz w:val="21"/>
          <w:szCs w:val="21"/>
          <w:highlight w:val="none"/>
        </w:rPr>
        <w:t>丧失了生产价值和使用价值</w:t>
      </w:r>
      <w:bookmarkEnd w:id="152"/>
    </w:p>
    <w:p w14:paraId="626E44AC">
      <w:pPr>
        <w:keepNext w:val="0"/>
        <w:keepLines w:val="0"/>
        <w:pageBreakBefore w:val="0"/>
        <w:kinsoku/>
        <w:wordWrap/>
        <w:overflowPunct/>
        <w:topLinePunct w:val="0"/>
        <w:autoSpaceDE/>
        <w:autoSpaceDN/>
        <w:bidi w:val="0"/>
        <w:spacing w:line="360" w:lineRule="auto"/>
        <w:ind w:left="630" w:leftChars="300" w:firstLine="0" w:firstLineChars="0"/>
        <w:textAlignment w:val="auto"/>
        <w:rPr>
          <w:rFonts w:ascii="宋体" w:hAnsi="宋体"/>
          <w:color w:val="auto"/>
          <w:sz w:val="21"/>
          <w:szCs w:val="21"/>
          <w:highlight w:val="none"/>
        </w:rPr>
      </w:pPr>
      <w:r>
        <w:rPr>
          <w:rFonts w:hint="eastAsia" w:ascii="宋体" w:hAnsi="宋体"/>
          <w:color w:val="auto"/>
          <w:sz w:val="21"/>
          <w:szCs w:val="21"/>
          <w:highlight w:val="none"/>
        </w:rPr>
        <w:t>因承包人的原因，工程或（和）单项工程未能通过竣工后试验，并使整个工程丧失了生产价值或使用价值时，发包人有权提出未能履约的索赔，并</w:t>
      </w:r>
      <w:r>
        <w:rPr>
          <w:rFonts w:hint="eastAsia" w:ascii="宋体" w:hAnsi="宋体"/>
          <w:color w:val="auto"/>
          <w:sz w:val="21"/>
          <w:szCs w:val="21"/>
          <w:highlight w:val="none"/>
          <w:lang w:eastAsia="zh-CN"/>
        </w:rPr>
        <w:t>赔偿</w:t>
      </w:r>
      <w:r>
        <w:rPr>
          <w:rFonts w:hint="eastAsia" w:ascii="宋体" w:hAnsi="宋体"/>
          <w:color w:val="auto"/>
          <w:sz w:val="21"/>
          <w:szCs w:val="21"/>
          <w:highlight w:val="none"/>
        </w:rPr>
        <w:t>已提交的履约保函。</w:t>
      </w:r>
    </w:p>
    <w:p w14:paraId="09150982">
      <w:pPr>
        <w:keepNext w:val="0"/>
        <w:keepLines w:val="0"/>
        <w:pageBreakBefore w:val="0"/>
        <w:numPr>
          <w:ilvl w:val="0"/>
          <w:numId w:val="11"/>
        </w:numPr>
        <w:kinsoku/>
        <w:wordWrap/>
        <w:overflowPunct/>
        <w:topLinePunct w:val="0"/>
        <w:autoSpaceDE/>
        <w:autoSpaceDN/>
        <w:bidi w:val="0"/>
        <w:spacing w:line="360" w:lineRule="auto"/>
        <w:ind w:left="632" w:leftChars="0" w:hanging="632" w:hangingChars="300"/>
        <w:textAlignment w:val="auto"/>
        <w:outlineLvl w:val="2"/>
        <w:rPr>
          <w:rFonts w:ascii="宋体" w:hAnsi="宋体"/>
          <w:b/>
          <w:color w:val="auto"/>
          <w:sz w:val="21"/>
          <w:szCs w:val="21"/>
          <w:highlight w:val="none"/>
        </w:rPr>
      </w:pPr>
      <w:bookmarkStart w:id="153" w:name="_Toc76719969"/>
      <w:bookmarkStart w:id="154" w:name="_Toc80633161"/>
      <w:r>
        <w:rPr>
          <w:rFonts w:hint="eastAsia" w:ascii="宋体" w:hAnsi="宋体"/>
          <w:b/>
          <w:color w:val="auto"/>
          <w:sz w:val="21"/>
          <w:szCs w:val="21"/>
          <w:highlight w:val="none"/>
        </w:rPr>
        <w:t>工程竣工验收</w:t>
      </w:r>
      <w:bookmarkEnd w:id="153"/>
      <w:bookmarkEnd w:id="154"/>
    </w:p>
    <w:p w14:paraId="7C399093">
      <w:pPr>
        <w:keepNext w:val="0"/>
        <w:keepLines w:val="0"/>
        <w:pageBreakBefore w:val="0"/>
        <w:widowControl w:val="0"/>
        <w:numPr>
          <w:ilvl w:val="1"/>
          <w:numId w:val="11"/>
        </w:numPr>
        <w:kinsoku/>
        <w:wordWrap/>
        <w:overflowPunct/>
        <w:topLinePunct w:val="0"/>
        <w:autoSpaceDE/>
        <w:autoSpaceDN/>
        <w:bidi w:val="0"/>
        <w:adjustRightInd/>
        <w:snapToGrid/>
        <w:spacing w:line="360" w:lineRule="auto"/>
        <w:ind w:left="632" w:leftChars="0" w:hanging="632" w:hangingChars="300"/>
        <w:textAlignment w:val="auto"/>
        <w:outlineLvl w:val="3"/>
        <w:rPr>
          <w:rFonts w:ascii="宋体" w:hAnsi="宋体"/>
          <w:b/>
          <w:color w:val="auto"/>
          <w:sz w:val="21"/>
          <w:szCs w:val="21"/>
          <w:highlight w:val="none"/>
        </w:rPr>
      </w:pPr>
      <w:bookmarkStart w:id="155" w:name="_Toc76719970"/>
      <w:r>
        <w:rPr>
          <w:rFonts w:hint="eastAsia" w:ascii="宋体" w:hAnsi="宋体"/>
          <w:b/>
          <w:color w:val="auto"/>
          <w:sz w:val="21"/>
          <w:szCs w:val="21"/>
          <w:highlight w:val="none"/>
        </w:rPr>
        <w:t>竣工验收报告及完整的竣工资料</w:t>
      </w:r>
      <w:bookmarkEnd w:id="155"/>
    </w:p>
    <w:p w14:paraId="77B87E83">
      <w:pPr>
        <w:keepNext w:val="0"/>
        <w:keepLines w:val="0"/>
        <w:pageBreakBefore w:val="0"/>
        <w:numPr>
          <w:ilvl w:val="2"/>
          <w:numId w:val="11"/>
        </w:numPr>
        <w:tabs>
          <w:tab w:val="left" w:pos="1134"/>
          <w:tab w:val="clear" w:pos="0"/>
        </w:tabs>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工程符合9.1款工程接收的相关约定，和（或）已按10.8款的约定颁发了初步验收证书（PAC），并完成了</w:t>
      </w:r>
      <w:r>
        <w:rPr>
          <w:rFonts w:ascii="宋体" w:hAnsi="宋体"/>
          <w:color w:val="auto"/>
          <w:sz w:val="21"/>
          <w:szCs w:val="21"/>
          <w:highlight w:val="none"/>
        </w:rPr>
        <w:t>9.2.2</w:t>
      </w:r>
      <w:r>
        <w:rPr>
          <w:rFonts w:hint="eastAsia" w:ascii="宋体" w:hAnsi="宋体"/>
          <w:color w:val="auto"/>
          <w:sz w:val="21"/>
          <w:szCs w:val="21"/>
          <w:highlight w:val="none"/>
        </w:rPr>
        <w:t>款约定的扫尾工程和缺陷修复，经发包人或监理人验收后，承包人依据8.1.1款（1）、（2）、（3）项、8.2款竣工试验的检验与验收、10.3.3款第（4）项竣工后试验及其试运行考核结果等资料的基础上，提交完整的工程竣工资料。竣工验收报告和完整的竣工资料的格式、内容和份数在专用条款约定。</w:t>
      </w:r>
    </w:p>
    <w:p w14:paraId="463921E9">
      <w:pPr>
        <w:keepNext w:val="0"/>
        <w:keepLines w:val="0"/>
        <w:pageBreakBefore w:val="0"/>
        <w:numPr>
          <w:ilvl w:val="2"/>
          <w:numId w:val="11"/>
        </w:numPr>
        <w:tabs>
          <w:tab w:val="left" w:pos="1134"/>
          <w:tab w:val="clear" w:pos="0"/>
        </w:tabs>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发包人在接到竣工验收报告和完整的竣工资料后的</w:t>
      </w:r>
      <w:r>
        <w:rPr>
          <w:rFonts w:ascii="宋体" w:hAnsi="宋体"/>
          <w:color w:val="auto"/>
          <w:sz w:val="21"/>
          <w:szCs w:val="21"/>
          <w:highlight w:val="none"/>
        </w:rPr>
        <w:t>25</w:t>
      </w:r>
      <w:r>
        <w:rPr>
          <w:rFonts w:hint="eastAsia" w:ascii="宋体" w:hAnsi="宋体"/>
          <w:color w:val="auto"/>
          <w:sz w:val="21"/>
          <w:szCs w:val="21"/>
          <w:highlight w:val="none"/>
        </w:rPr>
        <w:t>日内提出修改意见或确认，承包人自费修改。</w:t>
      </w:r>
      <w:r>
        <w:rPr>
          <w:rFonts w:ascii="宋体" w:hAnsi="宋体"/>
          <w:color w:val="auto"/>
          <w:sz w:val="21"/>
          <w:szCs w:val="21"/>
          <w:highlight w:val="none"/>
        </w:rPr>
        <w:t>25</w:t>
      </w:r>
      <w:r>
        <w:rPr>
          <w:rFonts w:hint="eastAsia" w:ascii="宋体" w:hAnsi="宋体"/>
          <w:color w:val="auto"/>
          <w:sz w:val="21"/>
          <w:szCs w:val="21"/>
          <w:highlight w:val="none"/>
        </w:rPr>
        <w:t>日内发包人未提出修改意见，视为竣工资料或（和）竣工验收报告已被确认。</w:t>
      </w:r>
    </w:p>
    <w:p w14:paraId="4CFA65A2">
      <w:pPr>
        <w:keepNext w:val="0"/>
        <w:keepLines w:val="0"/>
        <w:pageBreakBefore w:val="0"/>
        <w:numPr>
          <w:ilvl w:val="2"/>
          <w:numId w:val="11"/>
        </w:numPr>
        <w:tabs>
          <w:tab w:val="left" w:pos="1134"/>
          <w:tab w:val="clear" w:pos="0"/>
        </w:tabs>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分期建设、分期投产或分期使用的工程，按</w:t>
      </w:r>
      <w:r>
        <w:rPr>
          <w:rFonts w:ascii="宋体" w:hAnsi="宋体"/>
          <w:color w:val="auto"/>
          <w:sz w:val="21"/>
          <w:szCs w:val="21"/>
          <w:highlight w:val="none"/>
        </w:rPr>
        <w:t>1</w:t>
      </w:r>
      <w:r>
        <w:rPr>
          <w:rFonts w:hint="eastAsia" w:ascii="宋体" w:hAnsi="宋体"/>
          <w:color w:val="auto"/>
          <w:sz w:val="21"/>
          <w:szCs w:val="21"/>
          <w:highlight w:val="none"/>
        </w:rPr>
        <w:t>1</w:t>
      </w:r>
      <w:r>
        <w:rPr>
          <w:rFonts w:ascii="宋体" w:hAnsi="宋体"/>
          <w:color w:val="auto"/>
          <w:sz w:val="21"/>
          <w:szCs w:val="21"/>
          <w:highlight w:val="none"/>
        </w:rPr>
        <w:t>.1.1</w:t>
      </w:r>
      <w:r>
        <w:rPr>
          <w:rFonts w:hint="eastAsia" w:ascii="宋体" w:hAnsi="宋体"/>
          <w:color w:val="auto"/>
          <w:sz w:val="21"/>
          <w:szCs w:val="21"/>
          <w:highlight w:val="none"/>
        </w:rPr>
        <w:t>款及11.1.2款的约定办理。</w:t>
      </w:r>
    </w:p>
    <w:p w14:paraId="021DD9FE">
      <w:pPr>
        <w:keepNext w:val="0"/>
        <w:keepLines w:val="0"/>
        <w:pageBreakBefore w:val="0"/>
        <w:widowControl w:val="0"/>
        <w:numPr>
          <w:ilvl w:val="1"/>
          <w:numId w:val="11"/>
        </w:numPr>
        <w:kinsoku/>
        <w:wordWrap/>
        <w:overflowPunct/>
        <w:topLinePunct w:val="0"/>
        <w:autoSpaceDE/>
        <w:autoSpaceDN/>
        <w:bidi w:val="0"/>
        <w:adjustRightInd/>
        <w:snapToGrid/>
        <w:spacing w:line="360" w:lineRule="auto"/>
        <w:ind w:left="632" w:leftChars="0" w:hanging="632" w:hangingChars="300"/>
        <w:textAlignment w:val="auto"/>
        <w:outlineLvl w:val="3"/>
        <w:rPr>
          <w:rFonts w:ascii="宋体" w:hAnsi="宋体"/>
          <w:b/>
          <w:color w:val="auto"/>
          <w:sz w:val="21"/>
          <w:szCs w:val="21"/>
          <w:highlight w:val="none"/>
        </w:rPr>
      </w:pPr>
      <w:bookmarkStart w:id="156" w:name="_Toc76719971"/>
      <w:r>
        <w:rPr>
          <w:rFonts w:hint="eastAsia" w:ascii="宋体" w:hAnsi="宋体"/>
          <w:b/>
          <w:color w:val="auto"/>
          <w:sz w:val="21"/>
          <w:szCs w:val="21"/>
          <w:highlight w:val="none"/>
        </w:rPr>
        <w:t>竣工验收</w:t>
      </w:r>
      <w:bookmarkEnd w:id="156"/>
    </w:p>
    <w:p w14:paraId="426E999F">
      <w:pPr>
        <w:keepNext w:val="0"/>
        <w:keepLines w:val="0"/>
        <w:pageBreakBefore w:val="0"/>
        <w:numPr>
          <w:ilvl w:val="2"/>
          <w:numId w:val="11"/>
        </w:numPr>
        <w:tabs>
          <w:tab w:val="left" w:pos="1134"/>
          <w:tab w:val="clear" w:pos="0"/>
        </w:tabs>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组织竣工验收。根据11.1.2款的约定，竣工验收报告和完整的竣工资料被确认后的30日内，组织竣工验收。</w:t>
      </w:r>
    </w:p>
    <w:p w14:paraId="32A76FA8">
      <w:pPr>
        <w:keepNext w:val="0"/>
        <w:keepLines w:val="0"/>
        <w:pageBreakBefore w:val="0"/>
        <w:numPr>
          <w:ilvl w:val="2"/>
          <w:numId w:val="11"/>
        </w:numPr>
        <w:tabs>
          <w:tab w:val="left" w:pos="1134"/>
          <w:tab w:val="clear" w:pos="0"/>
        </w:tabs>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延后组织的竣工验收。根据11.2.1款的约定，发包人在30日内未能组织竣工验收时，按照</w:t>
      </w:r>
      <w:r>
        <w:rPr>
          <w:rFonts w:ascii="宋体" w:hAnsi="宋体"/>
          <w:color w:val="auto"/>
          <w:sz w:val="21"/>
          <w:szCs w:val="21"/>
          <w:highlight w:val="none"/>
        </w:rPr>
        <w:t>1</w:t>
      </w:r>
      <w:r>
        <w:rPr>
          <w:rFonts w:hint="eastAsia" w:ascii="宋体" w:hAnsi="宋体"/>
          <w:color w:val="auto"/>
          <w:sz w:val="21"/>
          <w:szCs w:val="21"/>
          <w:highlight w:val="none"/>
        </w:rPr>
        <w:t>3</w:t>
      </w:r>
      <w:r>
        <w:rPr>
          <w:rFonts w:ascii="宋体" w:hAnsi="宋体"/>
          <w:color w:val="auto"/>
          <w:sz w:val="21"/>
          <w:szCs w:val="21"/>
          <w:highlight w:val="none"/>
        </w:rPr>
        <w:t>.12.</w:t>
      </w:r>
      <w:r>
        <w:rPr>
          <w:rFonts w:hint="eastAsia" w:ascii="宋体" w:hAnsi="宋体"/>
          <w:color w:val="auto"/>
          <w:sz w:val="21"/>
          <w:szCs w:val="21"/>
          <w:highlight w:val="none"/>
        </w:rPr>
        <w:t>1至13.12.3款的约定，</w:t>
      </w:r>
      <w:r>
        <w:rPr>
          <w:rFonts w:ascii="宋体" w:hAnsi="宋体"/>
          <w:color w:val="auto"/>
          <w:sz w:val="21"/>
          <w:szCs w:val="21"/>
          <w:highlight w:val="none"/>
        </w:rPr>
        <w:t>结清竣工结算的款项。</w:t>
      </w:r>
    </w:p>
    <w:p w14:paraId="3DD5945E">
      <w:pPr>
        <w:keepNext w:val="0"/>
        <w:keepLines w:val="0"/>
        <w:pageBreakBefore w:val="0"/>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在11.2.1款约定的时间之后，发包人进行竣工验收时，承包人有义务参加。发包人在验收后的25日内，对承包人的竣工验收报告或竣工资料提出的进一步修改意见，承包人自费修改。</w:t>
      </w:r>
    </w:p>
    <w:p w14:paraId="78FB9972">
      <w:pPr>
        <w:keepNext w:val="0"/>
        <w:keepLines w:val="0"/>
        <w:pageBreakBefore w:val="0"/>
        <w:numPr>
          <w:ilvl w:val="2"/>
          <w:numId w:val="11"/>
        </w:numPr>
        <w:tabs>
          <w:tab w:val="left" w:pos="1134"/>
          <w:tab w:val="clear" w:pos="0"/>
        </w:tabs>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分期建设、分期投产或分期使用的合同工程的竣工验收，按11.1.3款、12.2.1款的约定，分期组织竣工验收。</w:t>
      </w:r>
    </w:p>
    <w:p w14:paraId="21A40AB9">
      <w:pPr>
        <w:keepNext w:val="0"/>
        <w:keepLines w:val="0"/>
        <w:pageBreakBefore w:val="0"/>
        <w:numPr>
          <w:ilvl w:val="0"/>
          <w:numId w:val="11"/>
        </w:numPr>
        <w:kinsoku/>
        <w:wordWrap/>
        <w:overflowPunct/>
        <w:topLinePunct w:val="0"/>
        <w:autoSpaceDE/>
        <w:autoSpaceDN/>
        <w:bidi w:val="0"/>
        <w:spacing w:line="360" w:lineRule="auto"/>
        <w:ind w:left="632" w:leftChars="0" w:hanging="632" w:hangingChars="300"/>
        <w:textAlignment w:val="auto"/>
        <w:outlineLvl w:val="2"/>
        <w:rPr>
          <w:rFonts w:ascii="宋体" w:hAnsi="宋体"/>
          <w:b/>
          <w:color w:val="auto"/>
          <w:sz w:val="21"/>
          <w:szCs w:val="21"/>
          <w:highlight w:val="none"/>
        </w:rPr>
      </w:pPr>
      <w:bookmarkStart w:id="157" w:name="_Toc80633162"/>
      <w:bookmarkStart w:id="158" w:name="_Toc363719003"/>
      <w:bookmarkStart w:id="159" w:name="_Toc76719972"/>
      <w:r>
        <w:rPr>
          <w:rFonts w:ascii="宋体" w:hAnsi="宋体"/>
          <w:b/>
          <w:color w:val="auto"/>
          <w:sz w:val="21"/>
          <w:szCs w:val="21"/>
          <w:highlight w:val="none"/>
        </w:rPr>
        <w:t>质量保修责任</w:t>
      </w:r>
      <w:bookmarkEnd w:id="157"/>
      <w:bookmarkEnd w:id="158"/>
      <w:bookmarkEnd w:id="159"/>
    </w:p>
    <w:p w14:paraId="1D338E0F">
      <w:pPr>
        <w:keepNext w:val="0"/>
        <w:keepLines w:val="0"/>
        <w:pageBreakBefore w:val="0"/>
        <w:widowControl w:val="0"/>
        <w:numPr>
          <w:ilvl w:val="1"/>
          <w:numId w:val="11"/>
        </w:numPr>
        <w:kinsoku/>
        <w:wordWrap/>
        <w:overflowPunct/>
        <w:topLinePunct w:val="0"/>
        <w:autoSpaceDE/>
        <w:autoSpaceDN/>
        <w:bidi w:val="0"/>
        <w:adjustRightInd/>
        <w:snapToGrid/>
        <w:spacing w:line="360" w:lineRule="auto"/>
        <w:ind w:left="632" w:leftChars="0" w:hanging="632" w:hangingChars="300"/>
        <w:textAlignment w:val="auto"/>
        <w:outlineLvl w:val="3"/>
        <w:rPr>
          <w:rFonts w:ascii="宋体" w:hAnsi="宋体"/>
          <w:b/>
          <w:color w:val="auto"/>
          <w:sz w:val="21"/>
          <w:szCs w:val="21"/>
          <w:highlight w:val="none"/>
        </w:rPr>
      </w:pPr>
      <w:bookmarkStart w:id="160" w:name="_Toc76719973"/>
      <w:r>
        <w:rPr>
          <w:rFonts w:ascii="宋体" w:hAnsi="宋体"/>
          <w:b/>
          <w:color w:val="auto"/>
          <w:sz w:val="21"/>
          <w:szCs w:val="21"/>
          <w:highlight w:val="none"/>
        </w:rPr>
        <w:t>质量保修责任书</w:t>
      </w:r>
      <w:bookmarkEnd w:id="160"/>
    </w:p>
    <w:p w14:paraId="17910335">
      <w:pPr>
        <w:keepNext w:val="0"/>
        <w:keepLines w:val="0"/>
        <w:pageBreakBefore w:val="0"/>
        <w:numPr>
          <w:ilvl w:val="2"/>
          <w:numId w:val="11"/>
        </w:numPr>
        <w:tabs>
          <w:tab w:val="left" w:pos="1134"/>
          <w:tab w:val="clear" w:pos="0"/>
        </w:tabs>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承包人应按法律、行政法规或国家关于工程质量保修的有关规定，对交付发包人使用的工程在质量保修期内承担质量保修责任。</w:t>
      </w:r>
    </w:p>
    <w:p w14:paraId="42B127FF">
      <w:pPr>
        <w:keepNext w:val="0"/>
        <w:keepLines w:val="0"/>
        <w:pageBreakBefore w:val="0"/>
        <w:numPr>
          <w:ilvl w:val="2"/>
          <w:numId w:val="11"/>
        </w:numPr>
        <w:tabs>
          <w:tab w:val="left" w:pos="1134"/>
          <w:tab w:val="clear" w:pos="0"/>
        </w:tabs>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ascii="宋体" w:hAnsi="宋体"/>
          <w:color w:val="auto"/>
          <w:sz w:val="21"/>
          <w:szCs w:val="21"/>
          <w:highlight w:val="none"/>
        </w:rPr>
        <w:t>质量保修责任书。按</w:t>
      </w:r>
      <w:r>
        <w:rPr>
          <w:rFonts w:hint="eastAsia" w:ascii="宋体" w:hAnsi="宋体"/>
          <w:color w:val="auto"/>
          <w:sz w:val="21"/>
          <w:szCs w:val="21"/>
          <w:highlight w:val="none"/>
        </w:rPr>
        <w:t>照相关</w:t>
      </w:r>
      <w:r>
        <w:rPr>
          <w:rFonts w:ascii="宋体" w:hAnsi="宋体"/>
          <w:color w:val="auto"/>
          <w:sz w:val="21"/>
          <w:szCs w:val="21"/>
          <w:highlight w:val="none"/>
        </w:rPr>
        <w:t>法律规定</w:t>
      </w:r>
      <w:r>
        <w:rPr>
          <w:rFonts w:hint="eastAsia" w:ascii="宋体" w:hAnsi="宋体"/>
          <w:color w:val="auto"/>
          <w:sz w:val="21"/>
          <w:szCs w:val="21"/>
          <w:highlight w:val="none"/>
        </w:rPr>
        <w:t>签订质量保修责任书是竣工验收的条件之一。承包人应在工程接收前，与发包人</w:t>
      </w:r>
      <w:r>
        <w:rPr>
          <w:rFonts w:ascii="宋体" w:hAnsi="宋体"/>
          <w:color w:val="auto"/>
          <w:sz w:val="21"/>
          <w:szCs w:val="21"/>
          <w:highlight w:val="none"/>
        </w:rPr>
        <w:t>按法律</w:t>
      </w:r>
      <w:r>
        <w:rPr>
          <w:rFonts w:hint="eastAsia" w:ascii="宋体" w:hAnsi="宋体"/>
          <w:color w:val="auto"/>
          <w:sz w:val="21"/>
          <w:szCs w:val="21"/>
          <w:highlight w:val="none"/>
        </w:rPr>
        <w:t>、法规</w:t>
      </w:r>
      <w:r>
        <w:rPr>
          <w:rFonts w:ascii="宋体" w:hAnsi="宋体"/>
          <w:color w:val="auto"/>
          <w:sz w:val="21"/>
          <w:szCs w:val="21"/>
          <w:highlight w:val="none"/>
        </w:rPr>
        <w:t>规定的保修内容</w:t>
      </w:r>
      <w:r>
        <w:rPr>
          <w:rFonts w:hint="eastAsia" w:ascii="宋体" w:hAnsi="宋体"/>
          <w:color w:val="auto"/>
          <w:sz w:val="21"/>
          <w:szCs w:val="21"/>
          <w:highlight w:val="none"/>
        </w:rPr>
        <w:t>、</w:t>
      </w:r>
      <w:r>
        <w:rPr>
          <w:rFonts w:ascii="宋体" w:hAnsi="宋体"/>
          <w:color w:val="auto"/>
          <w:sz w:val="21"/>
          <w:szCs w:val="21"/>
          <w:highlight w:val="none"/>
        </w:rPr>
        <w:t>范围、期限</w:t>
      </w:r>
      <w:r>
        <w:rPr>
          <w:rFonts w:hint="eastAsia" w:ascii="宋体" w:hAnsi="宋体"/>
          <w:color w:val="auto"/>
          <w:sz w:val="21"/>
          <w:szCs w:val="21"/>
          <w:highlight w:val="none"/>
        </w:rPr>
        <w:t>和</w:t>
      </w:r>
      <w:r>
        <w:rPr>
          <w:rFonts w:ascii="宋体" w:hAnsi="宋体"/>
          <w:color w:val="auto"/>
          <w:sz w:val="21"/>
          <w:szCs w:val="21"/>
          <w:highlight w:val="none"/>
        </w:rPr>
        <w:t>责任</w:t>
      </w:r>
      <w:r>
        <w:rPr>
          <w:rFonts w:hint="eastAsia" w:ascii="宋体" w:hAnsi="宋体"/>
          <w:color w:val="auto"/>
          <w:sz w:val="21"/>
          <w:szCs w:val="21"/>
          <w:highlight w:val="none"/>
        </w:rPr>
        <w:t>，</w:t>
      </w:r>
      <w:r>
        <w:rPr>
          <w:rFonts w:ascii="宋体" w:hAnsi="宋体"/>
          <w:color w:val="auto"/>
          <w:sz w:val="21"/>
          <w:szCs w:val="21"/>
          <w:highlight w:val="none"/>
        </w:rPr>
        <w:t>签订质量保修责任书，作为</w:t>
      </w:r>
      <w:r>
        <w:rPr>
          <w:rFonts w:hint="eastAsia" w:ascii="宋体" w:hAnsi="宋体"/>
          <w:color w:val="auto"/>
          <w:sz w:val="21"/>
          <w:szCs w:val="21"/>
          <w:highlight w:val="none"/>
        </w:rPr>
        <w:t>本</w:t>
      </w:r>
      <w:r>
        <w:rPr>
          <w:rFonts w:ascii="宋体" w:hAnsi="宋体"/>
          <w:color w:val="auto"/>
          <w:sz w:val="21"/>
          <w:szCs w:val="21"/>
          <w:highlight w:val="none"/>
        </w:rPr>
        <w:t>合同附件。</w:t>
      </w:r>
    </w:p>
    <w:p w14:paraId="01CFAECC">
      <w:pPr>
        <w:keepNext w:val="0"/>
        <w:keepLines w:val="0"/>
        <w:pageBreakBefore w:val="0"/>
        <w:numPr>
          <w:ilvl w:val="2"/>
          <w:numId w:val="11"/>
        </w:numPr>
        <w:tabs>
          <w:tab w:val="left" w:pos="1134"/>
          <w:tab w:val="clear" w:pos="0"/>
        </w:tabs>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ascii="宋体" w:hAnsi="宋体"/>
          <w:color w:val="auto"/>
          <w:sz w:val="21"/>
          <w:szCs w:val="21"/>
          <w:highlight w:val="none"/>
        </w:rPr>
        <w:t>承包人</w:t>
      </w:r>
      <w:r>
        <w:rPr>
          <w:rFonts w:hint="eastAsia" w:ascii="宋体" w:hAnsi="宋体"/>
          <w:color w:val="auto"/>
          <w:sz w:val="21"/>
          <w:szCs w:val="21"/>
          <w:highlight w:val="none"/>
        </w:rPr>
        <w:t>无正当理由不</w:t>
      </w:r>
      <w:r>
        <w:rPr>
          <w:rFonts w:ascii="宋体" w:hAnsi="宋体"/>
          <w:color w:val="auto"/>
          <w:sz w:val="21"/>
          <w:szCs w:val="21"/>
          <w:highlight w:val="none"/>
        </w:rPr>
        <w:t>与发包人签订质量保修责任书，</w:t>
      </w:r>
      <w:r>
        <w:rPr>
          <w:rFonts w:hint="eastAsia" w:ascii="宋体" w:hAnsi="宋体"/>
          <w:color w:val="auto"/>
          <w:sz w:val="21"/>
          <w:szCs w:val="21"/>
          <w:highlight w:val="none"/>
        </w:rPr>
        <w:t>视为严重违约，发包人除有权收取合同总价5%的违约金外，可</w:t>
      </w:r>
      <w:r>
        <w:rPr>
          <w:rFonts w:ascii="宋体" w:hAnsi="宋体"/>
          <w:color w:val="auto"/>
          <w:sz w:val="21"/>
          <w:szCs w:val="21"/>
          <w:highlight w:val="none"/>
        </w:rPr>
        <w:t>不与承包人办理竣工结算，不承担</w:t>
      </w:r>
      <w:r>
        <w:rPr>
          <w:rFonts w:hint="eastAsia" w:ascii="宋体" w:hAnsi="宋体"/>
          <w:color w:val="auto"/>
          <w:sz w:val="21"/>
          <w:szCs w:val="21"/>
          <w:highlight w:val="none"/>
        </w:rPr>
        <w:t>尚未</w:t>
      </w:r>
      <w:r>
        <w:rPr>
          <w:rFonts w:ascii="宋体" w:hAnsi="宋体"/>
          <w:color w:val="auto"/>
          <w:sz w:val="21"/>
          <w:szCs w:val="21"/>
          <w:highlight w:val="none"/>
        </w:rPr>
        <w:t>支付</w:t>
      </w:r>
      <w:r>
        <w:rPr>
          <w:rFonts w:hint="eastAsia" w:ascii="宋体" w:hAnsi="宋体"/>
          <w:color w:val="auto"/>
          <w:sz w:val="21"/>
          <w:szCs w:val="21"/>
          <w:highlight w:val="none"/>
        </w:rPr>
        <w:t>的</w:t>
      </w:r>
      <w:r>
        <w:rPr>
          <w:rFonts w:ascii="宋体" w:hAnsi="宋体"/>
          <w:color w:val="auto"/>
          <w:sz w:val="21"/>
          <w:szCs w:val="21"/>
          <w:highlight w:val="none"/>
        </w:rPr>
        <w:t>竣工结算款项的相应利息</w:t>
      </w:r>
      <w:r>
        <w:rPr>
          <w:rFonts w:hint="eastAsia" w:ascii="宋体" w:hAnsi="宋体"/>
          <w:color w:val="auto"/>
          <w:sz w:val="21"/>
          <w:szCs w:val="21"/>
          <w:highlight w:val="none"/>
        </w:rPr>
        <w:t>，尽管约定了延期支付利息。</w:t>
      </w:r>
    </w:p>
    <w:p w14:paraId="7BD791A1">
      <w:pPr>
        <w:keepNext w:val="0"/>
        <w:keepLines w:val="0"/>
        <w:pageBreakBefore w:val="0"/>
        <w:widowControl w:val="0"/>
        <w:numPr>
          <w:ilvl w:val="1"/>
          <w:numId w:val="11"/>
        </w:numPr>
        <w:kinsoku/>
        <w:wordWrap/>
        <w:overflowPunct/>
        <w:topLinePunct w:val="0"/>
        <w:autoSpaceDE/>
        <w:autoSpaceDN/>
        <w:bidi w:val="0"/>
        <w:adjustRightInd/>
        <w:snapToGrid/>
        <w:spacing w:line="360" w:lineRule="auto"/>
        <w:ind w:left="632" w:leftChars="0" w:hanging="632" w:hangingChars="300"/>
        <w:textAlignment w:val="auto"/>
        <w:outlineLvl w:val="3"/>
        <w:rPr>
          <w:rFonts w:ascii="宋体" w:hAnsi="宋体"/>
          <w:b/>
          <w:color w:val="auto"/>
          <w:sz w:val="21"/>
          <w:szCs w:val="21"/>
          <w:highlight w:val="none"/>
        </w:rPr>
      </w:pPr>
      <w:bookmarkStart w:id="161" w:name="_Toc76719974"/>
      <w:r>
        <w:rPr>
          <w:rFonts w:ascii="宋体" w:hAnsi="宋体"/>
          <w:b/>
          <w:color w:val="auto"/>
          <w:sz w:val="21"/>
          <w:szCs w:val="21"/>
          <w:highlight w:val="none"/>
        </w:rPr>
        <w:t>质量保修金额</w:t>
      </w:r>
      <w:bookmarkEnd w:id="161"/>
    </w:p>
    <w:p w14:paraId="44F5BA8F">
      <w:pPr>
        <w:keepNext w:val="0"/>
        <w:keepLines w:val="0"/>
        <w:pageBreakBefore w:val="0"/>
        <w:numPr>
          <w:ilvl w:val="2"/>
          <w:numId w:val="11"/>
        </w:numPr>
        <w:tabs>
          <w:tab w:val="left" w:pos="1134"/>
          <w:tab w:val="clear" w:pos="0"/>
        </w:tabs>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ascii="宋体" w:hAnsi="宋体"/>
          <w:color w:val="auto"/>
          <w:sz w:val="21"/>
          <w:szCs w:val="21"/>
          <w:highlight w:val="none"/>
        </w:rPr>
        <w:t>质量保修金额。质量保修金额</w:t>
      </w:r>
      <w:r>
        <w:rPr>
          <w:rFonts w:hint="eastAsia" w:ascii="宋体" w:hAnsi="宋体"/>
          <w:color w:val="auto"/>
          <w:sz w:val="21"/>
          <w:szCs w:val="21"/>
          <w:highlight w:val="none"/>
        </w:rPr>
        <w:t>在专用条款中约定</w:t>
      </w:r>
      <w:r>
        <w:rPr>
          <w:rFonts w:ascii="宋体" w:hAnsi="宋体"/>
          <w:color w:val="auto"/>
          <w:sz w:val="21"/>
          <w:szCs w:val="21"/>
          <w:highlight w:val="none"/>
        </w:rPr>
        <w:t>。</w:t>
      </w:r>
    </w:p>
    <w:p w14:paraId="704F7191">
      <w:pPr>
        <w:keepNext w:val="0"/>
        <w:keepLines w:val="0"/>
        <w:pageBreakBefore w:val="0"/>
        <w:numPr>
          <w:ilvl w:val="2"/>
          <w:numId w:val="11"/>
        </w:numPr>
        <w:tabs>
          <w:tab w:val="left" w:pos="1134"/>
          <w:tab w:val="clear" w:pos="0"/>
        </w:tabs>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ascii="宋体" w:hAnsi="宋体"/>
          <w:color w:val="auto"/>
          <w:sz w:val="21"/>
          <w:szCs w:val="21"/>
          <w:highlight w:val="none"/>
        </w:rPr>
        <w:t>质量保修金额的暂扣。</w:t>
      </w:r>
      <w:r>
        <w:rPr>
          <w:rFonts w:hint="eastAsia" w:ascii="宋体" w:hAnsi="宋体"/>
          <w:color w:val="auto"/>
          <w:sz w:val="21"/>
          <w:szCs w:val="21"/>
          <w:highlight w:val="none"/>
        </w:rPr>
        <w:t>质量保修金额的暂扣方式，在专用条款中约定。</w:t>
      </w:r>
    </w:p>
    <w:p w14:paraId="7A11381B">
      <w:pPr>
        <w:keepNext w:val="0"/>
        <w:keepLines w:val="0"/>
        <w:pageBreakBefore w:val="0"/>
        <w:numPr>
          <w:ilvl w:val="2"/>
          <w:numId w:val="11"/>
        </w:numPr>
        <w:tabs>
          <w:tab w:val="left" w:pos="1134"/>
          <w:tab w:val="clear" w:pos="0"/>
        </w:tabs>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ascii="宋体" w:hAnsi="宋体"/>
          <w:color w:val="auto"/>
          <w:sz w:val="21"/>
          <w:szCs w:val="21"/>
          <w:highlight w:val="none"/>
        </w:rPr>
        <w:t>质量保修金额的支付</w:t>
      </w:r>
      <w:r>
        <w:rPr>
          <w:rFonts w:hint="eastAsia" w:ascii="宋体" w:hAnsi="宋体"/>
          <w:color w:val="auto"/>
          <w:sz w:val="21"/>
          <w:szCs w:val="21"/>
          <w:highlight w:val="none"/>
        </w:rPr>
        <w:t>以合同条款中的专用条款为准。</w:t>
      </w:r>
    </w:p>
    <w:p w14:paraId="3E05E021">
      <w:pPr>
        <w:keepNext w:val="0"/>
        <w:keepLines w:val="0"/>
        <w:pageBreakBefore w:val="0"/>
        <w:widowControl w:val="0"/>
        <w:numPr>
          <w:ilvl w:val="1"/>
          <w:numId w:val="11"/>
        </w:numPr>
        <w:kinsoku/>
        <w:wordWrap/>
        <w:overflowPunct/>
        <w:topLinePunct w:val="0"/>
        <w:autoSpaceDE/>
        <w:autoSpaceDN/>
        <w:bidi w:val="0"/>
        <w:adjustRightInd/>
        <w:snapToGrid/>
        <w:spacing w:line="360" w:lineRule="auto"/>
        <w:ind w:left="632" w:leftChars="0" w:hanging="632" w:hangingChars="300"/>
        <w:textAlignment w:val="auto"/>
        <w:outlineLvl w:val="3"/>
        <w:rPr>
          <w:rFonts w:ascii="宋体" w:hAnsi="宋体"/>
          <w:b/>
          <w:color w:val="auto"/>
          <w:sz w:val="21"/>
          <w:szCs w:val="21"/>
          <w:highlight w:val="none"/>
        </w:rPr>
      </w:pPr>
      <w:bookmarkStart w:id="162" w:name="_Toc76719975"/>
      <w:r>
        <w:rPr>
          <w:rFonts w:hint="eastAsia" w:ascii="宋体" w:hAnsi="宋体"/>
          <w:b/>
          <w:color w:val="auto"/>
          <w:sz w:val="21"/>
          <w:szCs w:val="21"/>
          <w:highlight w:val="none"/>
        </w:rPr>
        <w:t>质保期</w:t>
      </w:r>
      <w:bookmarkEnd w:id="162"/>
    </w:p>
    <w:p w14:paraId="41E3E2F6">
      <w:pPr>
        <w:keepNext w:val="0"/>
        <w:keepLines w:val="0"/>
        <w:pageBreakBefore w:val="0"/>
        <w:numPr>
          <w:ilvl w:val="2"/>
          <w:numId w:val="11"/>
        </w:numPr>
        <w:tabs>
          <w:tab w:val="left" w:pos="1134"/>
          <w:tab w:val="clear" w:pos="0"/>
        </w:tabs>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正常缺陷质保期</w:t>
      </w:r>
    </w:p>
    <w:p w14:paraId="43571ECC">
      <w:pPr>
        <w:keepNext w:val="0"/>
        <w:keepLines w:val="0"/>
        <w:pageBreakBefore w:val="0"/>
        <w:numPr>
          <w:ilvl w:val="2"/>
          <w:numId w:val="11"/>
        </w:numPr>
        <w:tabs>
          <w:tab w:val="left" w:pos="1134"/>
          <w:tab w:val="clear" w:pos="0"/>
        </w:tabs>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正常缺陷质保期从每套系统的</w:t>
      </w:r>
      <w:r>
        <w:rPr>
          <w:rFonts w:ascii="宋体" w:hAnsi="宋体"/>
          <w:color w:val="auto"/>
          <w:sz w:val="21"/>
          <w:szCs w:val="21"/>
          <w:highlight w:val="none"/>
        </w:rPr>
        <w:t>PAC</w:t>
      </w:r>
      <w:r>
        <w:rPr>
          <w:rFonts w:hint="eastAsia" w:ascii="宋体" w:hAnsi="宋体"/>
          <w:color w:val="auto"/>
          <w:sz w:val="21"/>
          <w:szCs w:val="21"/>
          <w:highlight w:val="none"/>
        </w:rPr>
        <w:t>签发日开始持续</w:t>
      </w:r>
      <w:r>
        <w:rPr>
          <w:rFonts w:hint="eastAsia" w:ascii="宋体" w:hAnsi="宋体"/>
          <w:color w:val="auto"/>
          <w:sz w:val="21"/>
          <w:szCs w:val="21"/>
          <w:highlight w:val="none"/>
          <w:lang w:val="en-US" w:eastAsia="zh-CN"/>
        </w:rPr>
        <w:t>12</w:t>
      </w:r>
      <w:r>
        <w:rPr>
          <w:rFonts w:hint="eastAsia" w:ascii="宋体" w:hAnsi="宋体"/>
          <w:color w:val="auto"/>
          <w:sz w:val="21"/>
          <w:szCs w:val="21"/>
          <w:highlight w:val="none"/>
        </w:rPr>
        <w:t>个月。逆变器质保期从初步验收证书签发日起</w:t>
      </w:r>
      <w:r>
        <w:rPr>
          <w:rFonts w:hint="eastAsia" w:ascii="宋体" w:hAnsi="宋体"/>
          <w:color w:val="auto"/>
          <w:sz w:val="21"/>
          <w:szCs w:val="21"/>
          <w:highlight w:val="none"/>
          <w:lang w:val="en-US" w:eastAsia="zh-CN"/>
        </w:rPr>
        <w:t>36</w:t>
      </w:r>
      <w:r>
        <w:rPr>
          <w:rFonts w:hint="eastAsia" w:ascii="宋体" w:hAnsi="宋体"/>
          <w:color w:val="auto"/>
          <w:sz w:val="21"/>
          <w:szCs w:val="21"/>
          <w:highlight w:val="none"/>
        </w:rPr>
        <w:t>个月。</w:t>
      </w:r>
    </w:p>
    <w:p w14:paraId="1DB88A1B">
      <w:pPr>
        <w:keepNext w:val="0"/>
        <w:keepLines w:val="0"/>
        <w:pageBreakBefore w:val="0"/>
        <w:numPr>
          <w:ilvl w:val="2"/>
          <w:numId w:val="11"/>
        </w:numPr>
        <w:tabs>
          <w:tab w:val="left" w:pos="1134"/>
          <w:tab w:val="clear" w:pos="0"/>
        </w:tabs>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 xml:space="preserve">潜在缺陷质保期    </w:t>
      </w:r>
    </w:p>
    <w:p w14:paraId="6BE09699">
      <w:pPr>
        <w:keepNext w:val="0"/>
        <w:keepLines w:val="0"/>
        <w:pageBreakBefore w:val="0"/>
        <w:numPr>
          <w:ilvl w:val="2"/>
          <w:numId w:val="11"/>
        </w:numPr>
        <w:tabs>
          <w:tab w:val="left" w:pos="1134"/>
          <w:tab w:val="clear" w:pos="0"/>
        </w:tabs>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正常缺陷质保期期满后自动延长12个月作为潜在缺陷质保期。</w:t>
      </w:r>
    </w:p>
    <w:p w14:paraId="02FE2935">
      <w:pPr>
        <w:keepNext w:val="0"/>
        <w:keepLines w:val="0"/>
        <w:pageBreakBefore w:val="0"/>
        <w:numPr>
          <w:ilvl w:val="2"/>
          <w:numId w:val="11"/>
        </w:numPr>
        <w:tabs>
          <w:tab w:val="left" w:pos="1134"/>
          <w:tab w:val="clear" w:pos="0"/>
        </w:tabs>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承包人一旦收到发包人确认潜在缺陷的书面通知</w:t>
      </w:r>
      <w:r>
        <w:rPr>
          <w:rFonts w:hint="eastAsia" w:ascii="宋体" w:hAnsi="宋体"/>
          <w:color w:val="auto"/>
          <w:sz w:val="21"/>
          <w:szCs w:val="21"/>
          <w:highlight w:val="none"/>
          <w:lang w:eastAsia="zh-CN"/>
        </w:rPr>
        <w:t>，</w:t>
      </w:r>
      <w:r>
        <w:rPr>
          <w:rFonts w:hint="eastAsia" w:ascii="宋体" w:hAnsi="宋体"/>
          <w:color w:val="auto"/>
          <w:sz w:val="21"/>
          <w:szCs w:val="21"/>
          <w:highlight w:val="none"/>
        </w:rPr>
        <w:t>即应有责任履行规定的义务。</w:t>
      </w:r>
    </w:p>
    <w:p w14:paraId="20D72EE5">
      <w:pPr>
        <w:keepNext w:val="0"/>
        <w:keepLines w:val="0"/>
        <w:pageBreakBefore w:val="0"/>
        <w:numPr>
          <w:ilvl w:val="2"/>
          <w:numId w:val="11"/>
        </w:numPr>
        <w:tabs>
          <w:tab w:val="left" w:pos="1134"/>
          <w:tab w:val="clear" w:pos="0"/>
        </w:tabs>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本条款所提的“潜在缺陷”是指上述的正常缺陷质保期满之前</w:t>
      </w:r>
      <w:r>
        <w:rPr>
          <w:rFonts w:hint="eastAsia" w:ascii="宋体" w:hAnsi="宋体"/>
          <w:color w:val="auto"/>
          <w:sz w:val="21"/>
          <w:szCs w:val="21"/>
          <w:highlight w:val="none"/>
          <w:lang w:eastAsia="zh-CN"/>
        </w:rPr>
        <w:t>，</w:t>
      </w:r>
      <w:r>
        <w:rPr>
          <w:rFonts w:hint="eastAsia" w:ascii="宋体" w:hAnsi="宋体"/>
          <w:color w:val="auto"/>
          <w:sz w:val="21"/>
          <w:szCs w:val="21"/>
          <w:highlight w:val="none"/>
        </w:rPr>
        <w:t xml:space="preserve">已经存在但不能由正常的检验发现的因承包人之过失所造成的工艺粗糙、 设计错误或材料缺陷而引起的设备和材料的缺陷，该缺陷会影响到系统的安全和可靠运行。    </w:t>
      </w:r>
    </w:p>
    <w:p w14:paraId="136D1EC0">
      <w:pPr>
        <w:keepNext w:val="0"/>
        <w:keepLines w:val="0"/>
        <w:pageBreakBefore w:val="0"/>
        <w:numPr>
          <w:ilvl w:val="2"/>
          <w:numId w:val="11"/>
        </w:numPr>
        <w:tabs>
          <w:tab w:val="left" w:pos="1134"/>
          <w:tab w:val="clear" w:pos="0"/>
        </w:tabs>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ascii="宋体" w:hAnsi="宋体"/>
          <w:color w:val="auto"/>
          <w:sz w:val="21"/>
          <w:szCs w:val="21"/>
          <w:highlight w:val="none"/>
        </w:rPr>
        <w:t>PAC</w:t>
      </w:r>
      <w:r>
        <w:rPr>
          <w:rFonts w:hint="eastAsia" w:ascii="宋体" w:hAnsi="宋体"/>
          <w:color w:val="auto"/>
          <w:sz w:val="21"/>
          <w:szCs w:val="21"/>
          <w:highlight w:val="none"/>
        </w:rPr>
        <w:t>发出后，承包人对本工程所负之义务应限于合同规定的内容，而不包括其他义务，发出</w:t>
      </w:r>
      <w:r>
        <w:rPr>
          <w:rFonts w:ascii="宋体" w:hAnsi="宋体"/>
          <w:color w:val="auto"/>
          <w:sz w:val="21"/>
          <w:szCs w:val="21"/>
          <w:highlight w:val="none"/>
        </w:rPr>
        <w:t>FAC</w:t>
      </w:r>
      <w:r>
        <w:rPr>
          <w:rFonts w:hint="eastAsia" w:ascii="宋体" w:hAnsi="宋体"/>
          <w:color w:val="auto"/>
          <w:sz w:val="21"/>
          <w:szCs w:val="21"/>
          <w:highlight w:val="none"/>
        </w:rPr>
        <w:t>之日起</w:t>
      </w:r>
      <w:r>
        <w:rPr>
          <w:rFonts w:hint="eastAsia" w:ascii="宋体" w:hAnsi="宋体"/>
          <w:color w:val="auto"/>
          <w:sz w:val="21"/>
          <w:szCs w:val="21"/>
          <w:highlight w:val="none"/>
          <w:lang w:eastAsia="zh-CN"/>
        </w:rPr>
        <w:t>，</w:t>
      </w:r>
      <w:r>
        <w:rPr>
          <w:rFonts w:hint="eastAsia" w:ascii="宋体" w:hAnsi="宋体"/>
          <w:color w:val="auto"/>
          <w:sz w:val="21"/>
          <w:szCs w:val="21"/>
          <w:highlight w:val="none"/>
        </w:rPr>
        <w:t xml:space="preserve"> 承包人的义务即告终止</w:t>
      </w:r>
      <w:r>
        <w:rPr>
          <w:rFonts w:hint="eastAsia" w:ascii="宋体" w:hAnsi="宋体"/>
          <w:color w:val="auto"/>
          <w:sz w:val="21"/>
          <w:szCs w:val="21"/>
          <w:highlight w:val="none"/>
          <w:lang w:eastAsia="zh-CN"/>
        </w:rPr>
        <w:t>，</w:t>
      </w:r>
      <w:r>
        <w:rPr>
          <w:rFonts w:hint="eastAsia" w:ascii="宋体" w:hAnsi="宋体"/>
          <w:color w:val="auto"/>
          <w:sz w:val="21"/>
          <w:szCs w:val="21"/>
          <w:highlight w:val="none"/>
        </w:rPr>
        <w:t xml:space="preserve"> 但潜在缺陷的索赔部分除外。    </w:t>
      </w:r>
    </w:p>
    <w:p w14:paraId="03877CFE">
      <w:pPr>
        <w:keepNext w:val="0"/>
        <w:keepLines w:val="0"/>
        <w:pageBreakBefore w:val="0"/>
        <w:widowControl w:val="0"/>
        <w:numPr>
          <w:ilvl w:val="1"/>
          <w:numId w:val="11"/>
        </w:numPr>
        <w:kinsoku/>
        <w:wordWrap/>
        <w:overflowPunct/>
        <w:topLinePunct w:val="0"/>
        <w:autoSpaceDE/>
        <w:autoSpaceDN/>
        <w:bidi w:val="0"/>
        <w:adjustRightInd/>
        <w:snapToGrid/>
        <w:spacing w:line="360" w:lineRule="auto"/>
        <w:ind w:left="632" w:leftChars="0" w:hanging="632" w:hangingChars="300"/>
        <w:textAlignment w:val="auto"/>
        <w:outlineLvl w:val="3"/>
        <w:rPr>
          <w:rFonts w:ascii="宋体" w:hAnsi="宋体"/>
          <w:b/>
          <w:color w:val="auto"/>
          <w:sz w:val="21"/>
          <w:szCs w:val="21"/>
          <w:highlight w:val="none"/>
        </w:rPr>
      </w:pPr>
      <w:bookmarkStart w:id="163" w:name="_Toc76719976"/>
      <w:r>
        <w:rPr>
          <w:rFonts w:hint="eastAsia" w:ascii="宋体" w:hAnsi="宋体"/>
          <w:b/>
          <w:color w:val="auto"/>
          <w:sz w:val="21"/>
          <w:szCs w:val="21"/>
          <w:highlight w:val="none"/>
        </w:rPr>
        <w:t>质保期的责任</w:t>
      </w:r>
      <w:bookmarkEnd w:id="163"/>
    </w:p>
    <w:p w14:paraId="7432CA65">
      <w:pPr>
        <w:keepNext w:val="0"/>
        <w:keepLines w:val="0"/>
        <w:pageBreakBefore w:val="0"/>
        <w:kinsoku/>
        <w:wordWrap/>
        <w:overflowPunct/>
        <w:topLinePunct w:val="0"/>
        <w:autoSpaceDE/>
        <w:autoSpaceDN/>
        <w:bidi w:val="0"/>
        <w:spacing w:line="360" w:lineRule="auto"/>
        <w:ind w:left="630" w:leftChars="300" w:firstLine="0" w:firstLineChars="0"/>
        <w:textAlignment w:val="auto"/>
        <w:rPr>
          <w:rFonts w:ascii="宋体" w:hAnsi="宋体"/>
          <w:color w:val="auto"/>
          <w:sz w:val="21"/>
          <w:szCs w:val="21"/>
          <w:highlight w:val="none"/>
        </w:rPr>
      </w:pPr>
      <w:r>
        <w:rPr>
          <w:rFonts w:hint="eastAsia" w:ascii="宋体" w:hAnsi="宋体"/>
          <w:color w:val="auto"/>
          <w:sz w:val="21"/>
          <w:szCs w:val="21"/>
          <w:highlight w:val="none"/>
        </w:rPr>
        <w:t>在正常缺陷质保期内，对设备及材料的任何部分在正常使用和操作时，由于承包人过失，因设计、材料、工艺缺陷或其它缺陷出现或发生损坏</w:t>
      </w:r>
      <w:r>
        <w:rPr>
          <w:rFonts w:hint="eastAsia" w:ascii="宋体" w:hAnsi="宋体"/>
          <w:color w:val="auto"/>
          <w:sz w:val="21"/>
          <w:szCs w:val="21"/>
          <w:highlight w:val="none"/>
          <w:lang w:eastAsia="zh-CN"/>
        </w:rPr>
        <w:t>，</w:t>
      </w:r>
      <w:r>
        <w:rPr>
          <w:rFonts w:hint="eastAsia" w:ascii="宋体" w:hAnsi="宋体"/>
          <w:color w:val="auto"/>
          <w:sz w:val="21"/>
          <w:szCs w:val="21"/>
          <w:highlight w:val="none"/>
        </w:rPr>
        <w:t xml:space="preserve"> 发包人应以书面形式通知承包人缺陷或损坏的性质及程度，承包人在收到书面通知后，5个工作日内应给予答复并开始补救</w:t>
      </w:r>
      <w:r>
        <w:rPr>
          <w:rFonts w:hint="eastAsia" w:ascii="宋体" w:hAnsi="宋体"/>
          <w:color w:val="auto"/>
          <w:sz w:val="21"/>
          <w:szCs w:val="21"/>
          <w:highlight w:val="none"/>
          <w:lang w:eastAsia="zh-CN"/>
        </w:rPr>
        <w:t>，</w:t>
      </w:r>
      <w:r>
        <w:rPr>
          <w:rFonts w:hint="eastAsia" w:ascii="宋体" w:hAnsi="宋体"/>
          <w:color w:val="auto"/>
          <w:sz w:val="21"/>
          <w:szCs w:val="21"/>
          <w:highlight w:val="none"/>
        </w:rPr>
        <w:t>并应对此承担下列责任：</w:t>
      </w:r>
    </w:p>
    <w:p w14:paraId="2B52EF91">
      <w:pPr>
        <w:keepNext w:val="0"/>
        <w:keepLines w:val="0"/>
        <w:pageBreakBefore w:val="0"/>
        <w:numPr>
          <w:ilvl w:val="2"/>
          <w:numId w:val="11"/>
        </w:numPr>
        <w:tabs>
          <w:tab w:val="left" w:pos="1134"/>
          <w:tab w:val="clear" w:pos="0"/>
        </w:tabs>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如果设备及材料的任何一部分出现缺陷，承包人应征得发包人的同意，考虑发包人对系统的可靠性和可用性的需求</w:t>
      </w:r>
      <w:r>
        <w:rPr>
          <w:rFonts w:hint="eastAsia" w:ascii="宋体" w:hAnsi="宋体"/>
          <w:color w:val="auto"/>
          <w:sz w:val="21"/>
          <w:szCs w:val="21"/>
          <w:highlight w:val="none"/>
          <w:lang w:eastAsia="zh-CN"/>
        </w:rPr>
        <w:t>，</w:t>
      </w:r>
      <w:r>
        <w:rPr>
          <w:rFonts w:hint="eastAsia" w:ascii="宋体" w:hAnsi="宋体"/>
          <w:color w:val="auto"/>
          <w:sz w:val="21"/>
          <w:szCs w:val="21"/>
          <w:highlight w:val="none"/>
        </w:rPr>
        <w:t xml:space="preserve"> 经济性及工程标准的情况下</w:t>
      </w:r>
      <w:r>
        <w:rPr>
          <w:rFonts w:hint="eastAsia" w:ascii="宋体" w:hAnsi="宋体"/>
          <w:color w:val="auto"/>
          <w:sz w:val="21"/>
          <w:szCs w:val="21"/>
          <w:highlight w:val="none"/>
          <w:lang w:eastAsia="zh-CN"/>
        </w:rPr>
        <w:t>，</w:t>
      </w:r>
      <w:r>
        <w:rPr>
          <w:rFonts w:hint="eastAsia" w:ascii="宋体" w:hAnsi="宋体"/>
          <w:color w:val="auto"/>
          <w:sz w:val="21"/>
          <w:szCs w:val="21"/>
          <w:highlight w:val="none"/>
        </w:rPr>
        <w:t>修理</w:t>
      </w:r>
      <w:r>
        <w:rPr>
          <w:rFonts w:hint="eastAsia" w:ascii="宋体" w:hAnsi="宋体"/>
          <w:color w:val="auto"/>
          <w:sz w:val="21"/>
          <w:szCs w:val="21"/>
          <w:highlight w:val="none"/>
          <w:lang w:eastAsia="zh-CN"/>
        </w:rPr>
        <w:t>，</w:t>
      </w:r>
      <w:r>
        <w:rPr>
          <w:rFonts w:hint="eastAsia" w:ascii="宋体" w:hAnsi="宋体"/>
          <w:color w:val="auto"/>
          <w:sz w:val="21"/>
          <w:szCs w:val="21"/>
          <w:highlight w:val="none"/>
        </w:rPr>
        <w:t>重新设计</w:t>
      </w:r>
      <w:r>
        <w:rPr>
          <w:rFonts w:hint="eastAsia" w:ascii="宋体" w:hAnsi="宋体"/>
          <w:color w:val="auto"/>
          <w:sz w:val="21"/>
          <w:szCs w:val="21"/>
          <w:highlight w:val="none"/>
          <w:lang w:eastAsia="zh-CN"/>
        </w:rPr>
        <w:t>，</w:t>
      </w:r>
      <w:r>
        <w:rPr>
          <w:rFonts w:hint="eastAsia" w:ascii="宋体" w:hAnsi="宋体"/>
          <w:color w:val="auto"/>
          <w:sz w:val="21"/>
          <w:szCs w:val="21"/>
          <w:highlight w:val="none"/>
        </w:rPr>
        <w:t>修改或更新设备和材料中有缺陷的地方。</w:t>
      </w:r>
    </w:p>
    <w:p w14:paraId="500CA87C">
      <w:pPr>
        <w:keepNext w:val="0"/>
        <w:keepLines w:val="0"/>
        <w:pageBreakBefore w:val="0"/>
        <w:numPr>
          <w:ilvl w:val="2"/>
          <w:numId w:val="11"/>
        </w:numPr>
        <w:tabs>
          <w:tab w:val="left" w:pos="1134"/>
          <w:tab w:val="clear" w:pos="0"/>
        </w:tabs>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所有对设备及材料的修理或更新应由承包人承担全部费用，包括但不限于修理、清除、重新安装、设备和材料往返工地的运输和保险等费用。</w:t>
      </w:r>
    </w:p>
    <w:p w14:paraId="01E822A5">
      <w:pPr>
        <w:keepNext w:val="0"/>
        <w:keepLines w:val="0"/>
        <w:pageBreakBefore w:val="0"/>
        <w:numPr>
          <w:ilvl w:val="2"/>
          <w:numId w:val="11"/>
        </w:numPr>
        <w:tabs>
          <w:tab w:val="left" w:pos="1134"/>
          <w:tab w:val="clear" w:pos="0"/>
        </w:tabs>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如果承包人对设备及材料的任何部分进行更换</w:t>
      </w:r>
      <w:r>
        <w:rPr>
          <w:rFonts w:hint="eastAsia" w:ascii="宋体" w:hAnsi="宋体"/>
          <w:color w:val="auto"/>
          <w:sz w:val="21"/>
          <w:szCs w:val="21"/>
          <w:highlight w:val="none"/>
          <w:lang w:eastAsia="zh-CN"/>
        </w:rPr>
        <w:t>，</w:t>
      </w:r>
      <w:r>
        <w:rPr>
          <w:rFonts w:hint="eastAsia" w:ascii="宋体" w:hAnsi="宋体"/>
          <w:color w:val="auto"/>
          <w:sz w:val="21"/>
          <w:szCs w:val="21"/>
          <w:highlight w:val="none"/>
        </w:rPr>
        <w:t>重新设计</w:t>
      </w:r>
      <w:r>
        <w:rPr>
          <w:rFonts w:hint="eastAsia" w:ascii="宋体" w:hAnsi="宋体"/>
          <w:color w:val="auto"/>
          <w:sz w:val="21"/>
          <w:szCs w:val="21"/>
          <w:highlight w:val="none"/>
          <w:lang w:eastAsia="zh-CN"/>
        </w:rPr>
        <w:t>，</w:t>
      </w:r>
      <w:r>
        <w:rPr>
          <w:rFonts w:hint="eastAsia" w:ascii="宋体" w:hAnsi="宋体"/>
          <w:color w:val="auto"/>
          <w:sz w:val="21"/>
          <w:szCs w:val="21"/>
          <w:highlight w:val="none"/>
        </w:rPr>
        <w:t>修改或更新</w:t>
      </w:r>
      <w:r>
        <w:rPr>
          <w:rFonts w:hint="eastAsia" w:ascii="宋体" w:hAnsi="宋体"/>
          <w:color w:val="auto"/>
          <w:sz w:val="21"/>
          <w:szCs w:val="21"/>
          <w:highlight w:val="none"/>
          <w:lang w:eastAsia="zh-CN"/>
        </w:rPr>
        <w:t>，</w:t>
      </w:r>
      <w:r>
        <w:rPr>
          <w:rFonts w:hint="eastAsia" w:ascii="宋体" w:hAnsi="宋体"/>
          <w:color w:val="auto"/>
          <w:sz w:val="21"/>
          <w:szCs w:val="21"/>
          <w:highlight w:val="none"/>
        </w:rPr>
        <w:t xml:space="preserve"> 本条款的有关规定应适用于设备及材料的更换</w:t>
      </w:r>
      <w:r>
        <w:rPr>
          <w:rFonts w:hint="eastAsia" w:ascii="宋体" w:hAnsi="宋体"/>
          <w:color w:val="auto"/>
          <w:sz w:val="21"/>
          <w:szCs w:val="21"/>
          <w:highlight w:val="none"/>
          <w:lang w:eastAsia="zh-CN"/>
        </w:rPr>
        <w:t>，</w:t>
      </w:r>
      <w:r>
        <w:rPr>
          <w:rFonts w:hint="eastAsia" w:ascii="宋体" w:hAnsi="宋体"/>
          <w:color w:val="auto"/>
          <w:sz w:val="21"/>
          <w:szCs w:val="21"/>
          <w:highlight w:val="none"/>
        </w:rPr>
        <w:t>重新设计</w:t>
      </w:r>
      <w:r>
        <w:rPr>
          <w:rFonts w:hint="eastAsia" w:ascii="宋体" w:hAnsi="宋体"/>
          <w:color w:val="auto"/>
          <w:sz w:val="21"/>
          <w:szCs w:val="21"/>
          <w:highlight w:val="none"/>
          <w:lang w:eastAsia="zh-CN"/>
        </w:rPr>
        <w:t>，</w:t>
      </w:r>
      <w:r>
        <w:rPr>
          <w:rFonts w:hint="eastAsia" w:ascii="宋体" w:hAnsi="宋体"/>
          <w:color w:val="auto"/>
          <w:sz w:val="21"/>
          <w:szCs w:val="21"/>
          <w:highlight w:val="none"/>
        </w:rPr>
        <w:t>修改或更新的部分</w:t>
      </w:r>
      <w:r>
        <w:rPr>
          <w:rFonts w:hint="eastAsia" w:ascii="宋体" w:hAnsi="宋体"/>
          <w:color w:val="auto"/>
          <w:sz w:val="21"/>
          <w:szCs w:val="21"/>
          <w:highlight w:val="none"/>
          <w:lang w:eastAsia="zh-CN"/>
        </w:rPr>
        <w:t>，</w:t>
      </w:r>
      <w:r>
        <w:rPr>
          <w:rFonts w:hint="eastAsia" w:ascii="宋体" w:hAnsi="宋体"/>
          <w:color w:val="auto"/>
          <w:sz w:val="21"/>
          <w:szCs w:val="21"/>
          <w:highlight w:val="none"/>
        </w:rPr>
        <w:t xml:space="preserve">  则正常缺陷质保期从更换</w:t>
      </w:r>
      <w:r>
        <w:rPr>
          <w:rFonts w:hint="eastAsia" w:ascii="宋体" w:hAnsi="宋体"/>
          <w:color w:val="auto"/>
          <w:sz w:val="21"/>
          <w:szCs w:val="21"/>
          <w:highlight w:val="none"/>
          <w:lang w:eastAsia="zh-CN"/>
        </w:rPr>
        <w:t>，</w:t>
      </w:r>
      <w:r>
        <w:rPr>
          <w:rFonts w:hint="eastAsia" w:ascii="宋体" w:hAnsi="宋体"/>
          <w:color w:val="auto"/>
          <w:sz w:val="21"/>
          <w:szCs w:val="21"/>
          <w:highlight w:val="none"/>
        </w:rPr>
        <w:t>重新设计，修改或更新完成之日起再延长12个月。</w:t>
      </w:r>
    </w:p>
    <w:p w14:paraId="2246038C">
      <w:pPr>
        <w:keepNext w:val="0"/>
        <w:keepLines w:val="0"/>
        <w:pageBreakBefore w:val="0"/>
        <w:numPr>
          <w:ilvl w:val="2"/>
          <w:numId w:val="11"/>
        </w:numPr>
        <w:tabs>
          <w:tab w:val="left" w:pos="1134"/>
          <w:tab w:val="clear" w:pos="0"/>
        </w:tabs>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如按本条款要求承包人提供部件替代缺陷或损坏部分</w:t>
      </w:r>
      <w:r>
        <w:rPr>
          <w:rFonts w:hint="eastAsia" w:ascii="宋体" w:hAnsi="宋体"/>
          <w:color w:val="auto"/>
          <w:sz w:val="21"/>
          <w:szCs w:val="21"/>
          <w:highlight w:val="none"/>
          <w:lang w:eastAsia="zh-CN"/>
        </w:rPr>
        <w:t>，</w:t>
      </w:r>
      <w:r>
        <w:rPr>
          <w:rFonts w:hint="eastAsia" w:ascii="宋体" w:hAnsi="宋体"/>
          <w:color w:val="auto"/>
          <w:sz w:val="21"/>
          <w:szCs w:val="21"/>
          <w:highlight w:val="none"/>
        </w:rPr>
        <w:t xml:space="preserve"> 则缺陷或损坏之部件应成为总承包人财产。</w:t>
      </w:r>
    </w:p>
    <w:p w14:paraId="2CDBD92E">
      <w:pPr>
        <w:keepNext w:val="0"/>
        <w:keepLines w:val="0"/>
        <w:pageBreakBefore w:val="0"/>
        <w:numPr>
          <w:ilvl w:val="2"/>
          <w:numId w:val="11"/>
        </w:numPr>
        <w:tabs>
          <w:tab w:val="left" w:pos="1134"/>
          <w:tab w:val="clear" w:pos="0"/>
        </w:tabs>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如承包人于收到书面通知后10日内缺陷或损坏没有完成补救</w:t>
      </w:r>
      <w:r>
        <w:rPr>
          <w:rFonts w:hint="eastAsia" w:ascii="宋体" w:hAnsi="宋体"/>
          <w:color w:val="auto"/>
          <w:sz w:val="21"/>
          <w:szCs w:val="21"/>
          <w:highlight w:val="none"/>
          <w:lang w:eastAsia="zh-CN"/>
        </w:rPr>
        <w:t>，</w:t>
      </w:r>
      <w:r>
        <w:rPr>
          <w:rFonts w:hint="eastAsia" w:ascii="宋体" w:hAnsi="宋体"/>
          <w:color w:val="auto"/>
          <w:sz w:val="21"/>
          <w:szCs w:val="21"/>
          <w:highlight w:val="none"/>
        </w:rPr>
        <w:t xml:space="preserve"> 发包人在通知承包人10天后可以开始自行进行补救工作，而承包人应负担发包人因进行补救工作所发生的所有费用及因延迟补救造成发包人的损失。发包人进行的补救工作并不解除承包人在合同项下应承担的责任。</w:t>
      </w:r>
    </w:p>
    <w:p w14:paraId="144061F5">
      <w:pPr>
        <w:keepNext w:val="0"/>
        <w:keepLines w:val="0"/>
        <w:pageBreakBefore w:val="0"/>
        <w:numPr>
          <w:ilvl w:val="2"/>
          <w:numId w:val="11"/>
        </w:numPr>
        <w:tabs>
          <w:tab w:val="left" w:pos="1134"/>
          <w:tab w:val="clear" w:pos="0"/>
        </w:tabs>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承包人违反本条约定，延期提供质保服务的，每延迟一天，应向发包人支付质保金总额万分之五的违约金。发包人自行补救的，上述违约金计至发包人完成补救工作之日。</w:t>
      </w:r>
    </w:p>
    <w:p w14:paraId="061256D7">
      <w:pPr>
        <w:keepNext w:val="0"/>
        <w:keepLines w:val="0"/>
        <w:pageBreakBefore w:val="0"/>
        <w:numPr>
          <w:ilvl w:val="2"/>
          <w:numId w:val="11"/>
        </w:numPr>
        <w:tabs>
          <w:tab w:val="left" w:pos="1134"/>
          <w:tab w:val="clear" w:pos="0"/>
        </w:tabs>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发包人有权从质保金中扣除上述违约金、费用和发包人损失，不足部分，由承包人赔偿。</w:t>
      </w:r>
    </w:p>
    <w:p w14:paraId="0E9B6499">
      <w:pPr>
        <w:keepNext w:val="0"/>
        <w:keepLines w:val="0"/>
        <w:pageBreakBefore w:val="0"/>
        <w:numPr>
          <w:ilvl w:val="2"/>
          <w:numId w:val="11"/>
        </w:numPr>
        <w:tabs>
          <w:tab w:val="left" w:pos="1134"/>
          <w:tab w:val="clear" w:pos="0"/>
        </w:tabs>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对于本条款，质保期内设备的磨损、腐蚀或老化应被视为缺陷或不足。</w:t>
      </w:r>
    </w:p>
    <w:p w14:paraId="4E0204B5">
      <w:pPr>
        <w:keepNext w:val="0"/>
        <w:keepLines w:val="0"/>
        <w:pageBreakBefore w:val="0"/>
        <w:numPr>
          <w:ilvl w:val="2"/>
          <w:numId w:val="11"/>
        </w:numPr>
        <w:tabs>
          <w:tab w:val="left" w:pos="1134"/>
          <w:tab w:val="clear" w:pos="0"/>
        </w:tabs>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在质保期内，如果上述缺陷或不足是由发包人人为原因引起的，修理或替换此缺陷或不足的费用应由发包人承担。</w:t>
      </w:r>
    </w:p>
    <w:p w14:paraId="111596DE">
      <w:pPr>
        <w:keepNext w:val="0"/>
        <w:keepLines w:val="0"/>
        <w:pageBreakBefore w:val="0"/>
        <w:widowControl w:val="0"/>
        <w:numPr>
          <w:ilvl w:val="1"/>
          <w:numId w:val="11"/>
        </w:numPr>
        <w:kinsoku/>
        <w:wordWrap/>
        <w:overflowPunct/>
        <w:topLinePunct w:val="0"/>
        <w:autoSpaceDE/>
        <w:autoSpaceDN/>
        <w:bidi w:val="0"/>
        <w:adjustRightInd/>
        <w:snapToGrid/>
        <w:spacing w:line="360" w:lineRule="auto"/>
        <w:ind w:left="632" w:leftChars="0" w:hanging="632" w:hangingChars="300"/>
        <w:textAlignment w:val="auto"/>
        <w:outlineLvl w:val="3"/>
        <w:rPr>
          <w:rFonts w:ascii="宋体" w:hAnsi="宋体"/>
          <w:b/>
          <w:color w:val="auto"/>
          <w:sz w:val="21"/>
          <w:szCs w:val="21"/>
          <w:highlight w:val="none"/>
        </w:rPr>
      </w:pPr>
      <w:bookmarkStart w:id="164" w:name="_Toc76719977"/>
      <w:r>
        <w:rPr>
          <w:rFonts w:hint="eastAsia" w:ascii="宋体" w:hAnsi="宋体"/>
          <w:b/>
          <w:color w:val="auto"/>
          <w:sz w:val="21"/>
          <w:szCs w:val="21"/>
          <w:highlight w:val="none"/>
        </w:rPr>
        <w:t>最终验收证书（</w:t>
      </w:r>
      <w:r>
        <w:rPr>
          <w:rFonts w:ascii="宋体" w:hAnsi="宋体"/>
          <w:b/>
          <w:color w:val="auto"/>
          <w:sz w:val="21"/>
          <w:szCs w:val="21"/>
          <w:highlight w:val="none"/>
        </w:rPr>
        <w:t>FAC）</w:t>
      </w:r>
      <w:bookmarkEnd w:id="164"/>
      <w:r>
        <w:rPr>
          <w:rFonts w:ascii="宋体" w:hAnsi="宋体"/>
          <w:b/>
          <w:color w:val="auto"/>
          <w:sz w:val="21"/>
          <w:szCs w:val="21"/>
          <w:highlight w:val="none"/>
        </w:rPr>
        <w:t xml:space="preserve">   </w:t>
      </w:r>
    </w:p>
    <w:p w14:paraId="702B9593">
      <w:pPr>
        <w:keepNext w:val="0"/>
        <w:keepLines w:val="0"/>
        <w:pageBreakBefore w:val="0"/>
        <w:numPr>
          <w:ilvl w:val="2"/>
          <w:numId w:val="11"/>
        </w:numPr>
        <w:tabs>
          <w:tab w:val="left" w:pos="1134"/>
          <w:tab w:val="clear" w:pos="0"/>
        </w:tabs>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 xml:space="preserve"> PAC满</w:t>
      </w:r>
      <w:r>
        <w:rPr>
          <w:rFonts w:hint="eastAsia" w:ascii="宋体" w:hAnsi="宋体"/>
          <w:color w:val="auto"/>
          <w:sz w:val="21"/>
          <w:szCs w:val="21"/>
          <w:highlight w:val="none"/>
          <w:lang w:val="en-US" w:eastAsia="zh-CN"/>
        </w:rPr>
        <w:t>一</w:t>
      </w:r>
      <w:r>
        <w:rPr>
          <w:rFonts w:hint="eastAsia" w:ascii="宋体" w:hAnsi="宋体"/>
          <w:color w:val="auto"/>
          <w:sz w:val="21"/>
          <w:szCs w:val="21"/>
          <w:highlight w:val="none"/>
        </w:rPr>
        <w:t>年，第二次性能试验符合要求，正常缺陷质保期</w:t>
      </w:r>
      <w:r>
        <w:rPr>
          <w:rFonts w:hint="eastAsia" w:ascii="宋体" w:hAnsi="宋体"/>
          <w:color w:val="auto"/>
          <w:sz w:val="21"/>
          <w:szCs w:val="21"/>
          <w:highlight w:val="none"/>
          <w:lang w:eastAsia="zh-CN"/>
        </w:rPr>
        <w:t>（</w:t>
      </w:r>
      <w:r>
        <w:rPr>
          <w:rFonts w:hint="eastAsia" w:ascii="宋体" w:hAnsi="宋体"/>
          <w:color w:val="auto"/>
          <w:sz w:val="21"/>
          <w:szCs w:val="21"/>
          <w:highlight w:val="none"/>
        </w:rPr>
        <w:t>包括延长期</w:t>
      </w:r>
      <w:r>
        <w:rPr>
          <w:rFonts w:hint="eastAsia" w:ascii="宋体" w:hAnsi="宋体"/>
          <w:color w:val="auto"/>
          <w:sz w:val="21"/>
          <w:szCs w:val="21"/>
          <w:highlight w:val="none"/>
          <w:lang w:eastAsia="zh-CN"/>
        </w:rPr>
        <w:t>）</w:t>
      </w:r>
      <w:r>
        <w:rPr>
          <w:rFonts w:hint="eastAsia" w:ascii="宋体" w:hAnsi="宋体"/>
          <w:color w:val="auto"/>
          <w:sz w:val="21"/>
          <w:szCs w:val="21"/>
          <w:highlight w:val="none"/>
        </w:rPr>
        <w:t xml:space="preserve"> 结束后的14天内</w:t>
      </w:r>
      <w:r>
        <w:rPr>
          <w:rFonts w:hint="eastAsia" w:ascii="宋体" w:hAnsi="宋体"/>
          <w:color w:val="auto"/>
          <w:sz w:val="21"/>
          <w:szCs w:val="21"/>
          <w:highlight w:val="none"/>
          <w:lang w:eastAsia="zh-CN"/>
        </w:rPr>
        <w:t>，</w:t>
      </w:r>
      <w:r>
        <w:rPr>
          <w:rFonts w:hint="eastAsia" w:ascii="宋体" w:hAnsi="宋体"/>
          <w:color w:val="auto"/>
          <w:sz w:val="21"/>
          <w:szCs w:val="21"/>
          <w:highlight w:val="none"/>
        </w:rPr>
        <w:t>为本工程或工程的特定部分签发一份最终验收证书。在正常缺陷质保期（包括延长期）结束后30天内如因发包人责任未发出最终验收证书，则应视为发包人已签发最终验收证书。</w:t>
      </w:r>
    </w:p>
    <w:p w14:paraId="2659B1DD">
      <w:pPr>
        <w:keepNext w:val="0"/>
        <w:keepLines w:val="0"/>
        <w:pageBreakBefore w:val="0"/>
        <w:numPr>
          <w:ilvl w:val="0"/>
          <w:numId w:val="11"/>
        </w:numPr>
        <w:kinsoku/>
        <w:wordWrap/>
        <w:overflowPunct/>
        <w:topLinePunct w:val="0"/>
        <w:autoSpaceDE/>
        <w:autoSpaceDN/>
        <w:bidi w:val="0"/>
        <w:spacing w:line="360" w:lineRule="auto"/>
        <w:ind w:left="632" w:leftChars="0" w:hanging="632" w:hangingChars="300"/>
        <w:textAlignment w:val="auto"/>
        <w:outlineLvl w:val="2"/>
        <w:rPr>
          <w:rFonts w:ascii="宋体" w:hAnsi="宋体"/>
          <w:b/>
          <w:color w:val="auto"/>
          <w:sz w:val="21"/>
          <w:szCs w:val="21"/>
          <w:highlight w:val="none"/>
        </w:rPr>
      </w:pPr>
      <w:bookmarkStart w:id="165" w:name="_Toc80633163"/>
      <w:bookmarkStart w:id="166" w:name="_Toc76719978"/>
      <w:bookmarkStart w:id="167" w:name="_Toc363719006"/>
      <w:r>
        <w:rPr>
          <w:rFonts w:hint="eastAsia" w:ascii="宋体" w:hAnsi="宋体"/>
          <w:b/>
          <w:color w:val="auto"/>
          <w:sz w:val="21"/>
          <w:szCs w:val="21"/>
          <w:highlight w:val="none"/>
        </w:rPr>
        <w:t>合同总价和付款</w:t>
      </w:r>
      <w:bookmarkEnd w:id="165"/>
      <w:bookmarkEnd w:id="166"/>
      <w:bookmarkEnd w:id="167"/>
    </w:p>
    <w:p w14:paraId="163E8C34">
      <w:pPr>
        <w:keepNext w:val="0"/>
        <w:keepLines w:val="0"/>
        <w:pageBreakBefore w:val="0"/>
        <w:widowControl w:val="0"/>
        <w:numPr>
          <w:ilvl w:val="1"/>
          <w:numId w:val="11"/>
        </w:numPr>
        <w:kinsoku/>
        <w:wordWrap/>
        <w:overflowPunct/>
        <w:topLinePunct w:val="0"/>
        <w:autoSpaceDE/>
        <w:autoSpaceDN/>
        <w:bidi w:val="0"/>
        <w:adjustRightInd/>
        <w:snapToGrid/>
        <w:spacing w:line="360" w:lineRule="auto"/>
        <w:ind w:left="632" w:leftChars="0" w:hanging="632" w:hangingChars="300"/>
        <w:textAlignment w:val="auto"/>
        <w:outlineLvl w:val="3"/>
        <w:rPr>
          <w:rFonts w:ascii="宋体" w:hAnsi="宋体"/>
          <w:b/>
          <w:color w:val="auto"/>
          <w:sz w:val="21"/>
          <w:szCs w:val="21"/>
          <w:highlight w:val="none"/>
        </w:rPr>
      </w:pPr>
      <w:bookmarkStart w:id="168" w:name="_Toc76719979"/>
      <w:r>
        <w:rPr>
          <w:rFonts w:hint="eastAsia" w:ascii="宋体" w:hAnsi="宋体"/>
          <w:b/>
          <w:color w:val="auto"/>
          <w:sz w:val="21"/>
          <w:szCs w:val="21"/>
          <w:highlight w:val="none"/>
        </w:rPr>
        <w:t>合同总价和付款</w:t>
      </w:r>
      <w:bookmarkEnd w:id="168"/>
    </w:p>
    <w:p w14:paraId="60B9F80E">
      <w:pPr>
        <w:keepNext w:val="0"/>
        <w:keepLines w:val="0"/>
        <w:pageBreakBefore w:val="0"/>
        <w:numPr>
          <w:ilvl w:val="2"/>
          <w:numId w:val="11"/>
        </w:numPr>
        <w:tabs>
          <w:tab w:val="left" w:pos="1134"/>
          <w:tab w:val="clear" w:pos="0"/>
        </w:tabs>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合同总价。本合同为总价合同，除根据第14条变更和合同价格的调整，以及合同中其它相关增减金额的约定外，合同价格不做调整。</w:t>
      </w:r>
    </w:p>
    <w:p w14:paraId="0768DD5D">
      <w:pPr>
        <w:keepNext w:val="0"/>
        <w:keepLines w:val="0"/>
        <w:pageBreakBefore w:val="0"/>
        <w:numPr>
          <w:ilvl w:val="2"/>
          <w:numId w:val="11"/>
        </w:numPr>
        <w:tabs>
          <w:tab w:val="left" w:pos="1134"/>
          <w:tab w:val="clear" w:pos="0"/>
        </w:tabs>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付款</w:t>
      </w:r>
    </w:p>
    <w:p w14:paraId="7EEBB902">
      <w:pPr>
        <w:keepNext w:val="0"/>
        <w:keepLines w:val="0"/>
        <w:pageBreakBefore w:val="0"/>
        <w:numPr>
          <w:ilvl w:val="0"/>
          <w:numId w:val="43"/>
        </w:numPr>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合同价款的货币币种为人民币，在中国境内支付给承包人。</w:t>
      </w:r>
    </w:p>
    <w:p w14:paraId="0C3088E5">
      <w:pPr>
        <w:keepNext w:val="0"/>
        <w:keepLines w:val="0"/>
        <w:pageBreakBefore w:val="0"/>
        <w:numPr>
          <w:ilvl w:val="0"/>
          <w:numId w:val="43"/>
        </w:numPr>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发包人依据合同约定的应付款类别和付款时间安排，以电汇方式</w:t>
      </w:r>
      <w:r>
        <w:rPr>
          <w:rFonts w:hint="eastAsia" w:ascii="宋体" w:hAnsi="宋体"/>
          <w:color w:val="auto"/>
          <w:sz w:val="21"/>
          <w:szCs w:val="21"/>
          <w:highlight w:val="none"/>
          <w:lang w:val="en-US" w:eastAsia="zh-CN"/>
        </w:rPr>
        <w:t>支付</w:t>
      </w:r>
      <w:r>
        <w:rPr>
          <w:rFonts w:hint="eastAsia" w:ascii="宋体" w:hAnsi="宋体"/>
          <w:color w:val="auto"/>
          <w:sz w:val="21"/>
          <w:szCs w:val="21"/>
          <w:highlight w:val="none"/>
        </w:rPr>
        <w:t>。</w:t>
      </w:r>
    </w:p>
    <w:p w14:paraId="1B628A27">
      <w:pPr>
        <w:keepNext w:val="0"/>
        <w:keepLines w:val="0"/>
        <w:pageBreakBefore w:val="0"/>
        <w:widowControl w:val="0"/>
        <w:numPr>
          <w:ilvl w:val="1"/>
          <w:numId w:val="11"/>
        </w:numPr>
        <w:kinsoku/>
        <w:wordWrap/>
        <w:overflowPunct/>
        <w:topLinePunct w:val="0"/>
        <w:autoSpaceDE/>
        <w:autoSpaceDN/>
        <w:bidi w:val="0"/>
        <w:adjustRightInd/>
        <w:snapToGrid/>
        <w:spacing w:line="360" w:lineRule="auto"/>
        <w:ind w:left="632" w:leftChars="0" w:hanging="632" w:hangingChars="300"/>
        <w:textAlignment w:val="auto"/>
        <w:outlineLvl w:val="3"/>
        <w:rPr>
          <w:rFonts w:ascii="宋体" w:hAnsi="宋体"/>
          <w:b/>
          <w:color w:val="auto"/>
          <w:sz w:val="21"/>
          <w:szCs w:val="21"/>
          <w:highlight w:val="none"/>
        </w:rPr>
      </w:pPr>
      <w:bookmarkStart w:id="169" w:name="_Toc76719980"/>
      <w:r>
        <w:rPr>
          <w:rFonts w:hint="eastAsia" w:ascii="宋体" w:hAnsi="宋体"/>
          <w:b/>
          <w:color w:val="auto"/>
          <w:sz w:val="21"/>
          <w:szCs w:val="21"/>
          <w:highlight w:val="none"/>
        </w:rPr>
        <w:t>担保</w:t>
      </w:r>
      <w:bookmarkEnd w:id="169"/>
    </w:p>
    <w:p w14:paraId="46A31E37">
      <w:pPr>
        <w:keepNext w:val="0"/>
        <w:keepLines w:val="0"/>
        <w:pageBreakBefore w:val="0"/>
        <w:numPr>
          <w:ilvl w:val="2"/>
          <w:numId w:val="11"/>
        </w:numPr>
        <w:tabs>
          <w:tab w:val="left" w:pos="1134"/>
          <w:tab w:val="clear" w:pos="0"/>
        </w:tabs>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履约保函。合同约定由承包人向发包人提交履约保函时，履约保函的格式、金额和提交时间，在专用条款中约定。</w:t>
      </w:r>
    </w:p>
    <w:p w14:paraId="7641869C">
      <w:pPr>
        <w:keepNext w:val="0"/>
        <w:keepLines w:val="0"/>
        <w:pageBreakBefore w:val="0"/>
        <w:numPr>
          <w:ilvl w:val="2"/>
          <w:numId w:val="11"/>
        </w:numPr>
        <w:tabs>
          <w:tab w:val="left" w:pos="1134"/>
          <w:tab w:val="clear" w:pos="0"/>
        </w:tabs>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预付款保函。在专用条款中约定。</w:t>
      </w:r>
    </w:p>
    <w:p w14:paraId="47ABA46A">
      <w:pPr>
        <w:keepNext w:val="0"/>
        <w:keepLines w:val="0"/>
        <w:pageBreakBefore w:val="0"/>
        <w:widowControl w:val="0"/>
        <w:numPr>
          <w:ilvl w:val="1"/>
          <w:numId w:val="11"/>
        </w:numPr>
        <w:kinsoku/>
        <w:wordWrap/>
        <w:overflowPunct/>
        <w:topLinePunct w:val="0"/>
        <w:autoSpaceDE/>
        <w:autoSpaceDN/>
        <w:bidi w:val="0"/>
        <w:adjustRightInd/>
        <w:snapToGrid/>
        <w:spacing w:line="360" w:lineRule="auto"/>
        <w:ind w:left="632" w:leftChars="0" w:hanging="632" w:hangingChars="300"/>
        <w:textAlignment w:val="auto"/>
        <w:outlineLvl w:val="3"/>
        <w:rPr>
          <w:rFonts w:ascii="宋体" w:hAnsi="宋体"/>
          <w:b/>
          <w:color w:val="auto"/>
          <w:sz w:val="21"/>
          <w:szCs w:val="21"/>
          <w:highlight w:val="none"/>
        </w:rPr>
      </w:pPr>
      <w:bookmarkStart w:id="170" w:name="_Toc76719981"/>
      <w:r>
        <w:rPr>
          <w:rFonts w:hint="eastAsia" w:ascii="宋体" w:hAnsi="宋体"/>
          <w:b/>
          <w:color w:val="auto"/>
          <w:sz w:val="21"/>
          <w:szCs w:val="21"/>
          <w:highlight w:val="none"/>
        </w:rPr>
        <w:t>预付款</w:t>
      </w:r>
      <w:bookmarkEnd w:id="170"/>
    </w:p>
    <w:p w14:paraId="4C8D6F98">
      <w:pPr>
        <w:keepNext w:val="0"/>
        <w:keepLines w:val="0"/>
        <w:pageBreakBefore w:val="0"/>
        <w:numPr>
          <w:ilvl w:val="2"/>
          <w:numId w:val="11"/>
        </w:numPr>
        <w:tabs>
          <w:tab w:val="left" w:pos="1134"/>
          <w:tab w:val="clear" w:pos="0"/>
        </w:tabs>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预付款金额。发包人同意按合同金额的一定比例支付预付款，具体金额在专用条款中约定。</w:t>
      </w:r>
    </w:p>
    <w:p w14:paraId="0E01681A">
      <w:pPr>
        <w:keepNext w:val="0"/>
        <w:keepLines w:val="0"/>
        <w:pageBreakBefore w:val="0"/>
        <w:numPr>
          <w:ilvl w:val="2"/>
          <w:numId w:val="11"/>
        </w:numPr>
        <w:tabs>
          <w:tab w:val="left" w:pos="1134"/>
          <w:tab w:val="clear" w:pos="0"/>
        </w:tabs>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预付款支付。预付款的支付条件在专用条款中约定。</w:t>
      </w:r>
    </w:p>
    <w:p w14:paraId="734331D9">
      <w:pPr>
        <w:keepNext w:val="0"/>
        <w:keepLines w:val="0"/>
        <w:pageBreakBefore w:val="0"/>
        <w:numPr>
          <w:ilvl w:val="2"/>
          <w:numId w:val="11"/>
        </w:numPr>
        <w:tabs>
          <w:tab w:val="left" w:pos="1134"/>
          <w:tab w:val="clear" w:pos="0"/>
        </w:tabs>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预付款抵扣</w:t>
      </w:r>
    </w:p>
    <w:p w14:paraId="09CB3CCB">
      <w:pPr>
        <w:keepNext w:val="0"/>
        <w:keepLines w:val="0"/>
        <w:pageBreakBefore w:val="0"/>
        <w:numPr>
          <w:ilvl w:val="0"/>
          <w:numId w:val="44"/>
        </w:numPr>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抵扣预付款。预付款的抵扣方式、抵扣比例和抵扣时间安排，在专用条款中约定。</w:t>
      </w:r>
    </w:p>
    <w:p w14:paraId="23282A96">
      <w:pPr>
        <w:keepNext w:val="0"/>
        <w:keepLines w:val="0"/>
        <w:pageBreakBefore w:val="0"/>
        <w:numPr>
          <w:ilvl w:val="0"/>
          <w:numId w:val="44"/>
        </w:numPr>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在发包人签发工程接收证书或合同解除时，预付款尚未抵扣完时，</w:t>
      </w:r>
    </w:p>
    <w:p w14:paraId="6C0E961B">
      <w:pPr>
        <w:keepNext w:val="0"/>
        <w:keepLines w:val="0"/>
        <w:pageBreakBefore w:val="0"/>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1）发包人有权从应付给承包人的款项中或属于承包人的款项中一次或多次扣除；</w:t>
      </w:r>
    </w:p>
    <w:p w14:paraId="1EB98E45">
      <w:pPr>
        <w:keepNext w:val="0"/>
        <w:keepLines w:val="0"/>
        <w:pageBreakBefore w:val="0"/>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2）发包人从应付给承包人的款项或属于承包人的款项中不足以抵扣时，当合同约定了承包人提交预付款保函时，发包人有权从预付款保函中扣除尚未抵扣完的预付款；</w:t>
      </w:r>
    </w:p>
    <w:p w14:paraId="05413F19">
      <w:pPr>
        <w:keepNext w:val="0"/>
        <w:keepLines w:val="0"/>
        <w:pageBreakBefore w:val="0"/>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3）发包人从应付给承包人或属于承包人的款项不足以抵扣时，合同未约定承包人提交预付款保函，但约定了履约保函时，发包人有权从履约保函中抵扣尚未扣完的预付款；</w:t>
      </w:r>
    </w:p>
    <w:p w14:paraId="5A0BE5E1">
      <w:pPr>
        <w:keepNext w:val="0"/>
        <w:keepLines w:val="0"/>
        <w:pageBreakBefore w:val="0"/>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4）发包人从应付给承包人或属于承包人的款项及预付款保函、履约保函中均不足以抵扣时，发包人尚未扣减完的预付款余额，可以要求承包人予以返还，否则不支付工程结算余款。</w:t>
      </w:r>
    </w:p>
    <w:p w14:paraId="1AD4BC55">
      <w:pPr>
        <w:keepNext w:val="0"/>
        <w:keepLines w:val="0"/>
        <w:pageBreakBefore w:val="0"/>
        <w:widowControl w:val="0"/>
        <w:numPr>
          <w:ilvl w:val="1"/>
          <w:numId w:val="11"/>
        </w:numPr>
        <w:kinsoku/>
        <w:wordWrap/>
        <w:overflowPunct/>
        <w:topLinePunct w:val="0"/>
        <w:autoSpaceDE/>
        <w:autoSpaceDN/>
        <w:bidi w:val="0"/>
        <w:adjustRightInd/>
        <w:snapToGrid/>
        <w:spacing w:line="360" w:lineRule="auto"/>
        <w:ind w:left="632" w:leftChars="0" w:hanging="632" w:hangingChars="300"/>
        <w:textAlignment w:val="auto"/>
        <w:outlineLvl w:val="3"/>
        <w:rPr>
          <w:rFonts w:ascii="宋体" w:hAnsi="宋体"/>
          <w:color w:val="auto"/>
          <w:sz w:val="21"/>
          <w:szCs w:val="21"/>
          <w:highlight w:val="none"/>
        </w:rPr>
      </w:pPr>
      <w:bookmarkStart w:id="171" w:name="_Toc76719982"/>
      <w:r>
        <w:rPr>
          <w:rFonts w:ascii="宋体" w:hAnsi="宋体"/>
          <w:b/>
          <w:color w:val="auto"/>
          <w:sz w:val="21"/>
          <w:szCs w:val="21"/>
          <w:highlight w:val="none"/>
        </w:rPr>
        <w:t>工程进度款</w:t>
      </w:r>
      <w:r>
        <w:rPr>
          <w:rFonts w:hint="eastAsia" w:ascii="宋体" w:hAnsi="宋体"/>
          <w:color w:val="auto"/>
          <w:sz w:val="21"/>
          <w:szCs w:val="21"/>
          <w:highlight w:val="none"/>
        </w:rPr>
        <w:t>：在专用条款中约定。</w:t>
      </w:r>
      <w:bookmarkEnd w:id="171"/>
    </w:p>
    <w:p w14:paraId="54BDDA2E">
      <w:pPr>
        <w:keepNext w:val="0"/>
        <w:keepLines w:val="0"/>
        <w:pageBreakBefore w:val="0"/>
        <w:numPr>
          <w:ilvl w:val="2"/>
          <w:numId w:val="11"/>
        </w:numPr>
        <w:tabs>
          <w:tab w:val="left" w:pos="1134"/>
          <w:tab w:val="clear" w:pos="0"/>
        </w:tabs>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工程进度款。工程进度款包括设计进度款、采购进度款、施工进度款、竣工试验进度款，以及竣工后试验服务费和工程总承包管理费等，支付方式、支付条件和支付时间等，在专用条款中约定。</w:t>
      </w:r>
    </w:p>
    <w:p w14:paraId="75DAFAAB">
      <w:pPr>
        <w:keepNext w:val="0"/>
        <w:keepLines w:val="0"/>
        <w:pageBreakBefore w:val="0"/>
        <w:numPr>
          <w:ilvl w:val="2"/>
          <w:numId w:val="11"/>
        </w:numPr>
        <w:tabs>
          <w:tab w:val="left" w:pos="1134"/>
          <w:tab w:val="clear" w:pos="0"/>
        </w:tabs>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根据工程具体情况，应付的其他进度款，在专用条款约定。</w:t>
      </w:r>
    </w:p>
    <w:p w14:paraId="1783FF1D">
      <w:pPr>
        <w:keepNext w:val="0"/>
        <w:keepLines w:val="0"/>
        <w:pageBreakBefore w:val="0"/>
        <w:widowControl w:val="0"/>
        <w:numPr>
          <w:ilvl w:val="1"/>
          <w:numId w:val="11"/>
        </w:numPr>
        <w:kinsoku/>
        <w:wordWrap/>
        <w:overflowPunct/>
        <w:topLinePunct w:val="0"/>
        <w:autoSpaceDE/>
        <w:autoSpaceDN/>
        <w:bidi w:val="0"/>
        <w:adjustRightInd/>
        <w:snapToGrid/>
        <w:spacing w:line="360" w:lineRule="auto"/>
        <w:ind w:left="632" w:leftChars="0" w:hanging="632" w:hangingChars="300"/>
        <w:textAlignment w:val="auto"/>
        <w:outlineLvl w:val="3"/>
        <w:rPr>
          <w:rFonts w:ascii="宋体" w:hAnsi="宋体"/>
          <w:b/>
          <w:color w:val="auto"/>
          <w:sz w:val="21"/>
          <w:szCs w:val="21"/>
          <w:highlight w:val="none"/>
        </w:rPr>
      </w:pPr>
      <w:bookmarkStart w:id="172" w:name="_Toc76719983"/>
      <w:r>
        <w:rPr>
          <w:rFonts w:hint="eastAsia" w:ascii="宋体" w:hAnsi="宋体"/>
          <w:b/>
          <w:color w:val="auto"/>
          <w:sz w:val="21"/>
          <w:szCs w:val="21"/>
          <w:highlight w:val="none"/>
        </w:rPr>
        <w:t>质量保修金额的暂扣与支付</w:t>
      </w:r>
      <w:bookmarkEnd w:id="172"/>
    </w:p>
    <w:p w14:paraId="6FD236F2">
      <w:pPr>
        <w:keepNext w:val="0"/>
        <w:keepLines w:val="0"/>
        <w:pageBreakBefore w:val="0"/>
        <w:numPr>
          <w:ilvl w:val="2"/>
          <w:numId w:val="11"/>
        </w:numPr>
        <w:tabs>
          <w:tab w:val="left" w:pos="1134"/>
          <w:tab w:val="clear" w:pos="0"/>
        </w:tabs>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ascii="宋体" w:hAnsi="宋体"/>
          <w:color w:val="auto"/>
          <w:sz w:val="21"/>
          <w:szCs w:val="21"/>
          <w:highlight w:val="none"/>
        </w:rPr>
        <w:t>根据1</w:t>
      </w:r>
      <w:r>
        <w:rPr>
          <w:rFonts w:hint="eastAsia" w:ascii="宋体" w:hAnsi="宋体"/>
          <w:color w:val="auto"/>
          <w:sz w:val="21"/>
          <w:szCs w:val="21"/>
          <w:highlight w:val="none"/>
        </w:rPr>
        <w:t>2</w:t>
      </w:r>
      <w:r>
        <w:rPr>
          <w:rFonts w:ascii="宋体" w:hAnsi="宋体"/>
          <w:color w:val="auto"/>
          <w:sz w:val="21"/>
          <w:szCs w:val="21"/>
          <w:highlight w:val="none"/>
        </w:rPr>
        <w:t>.2.1款</w:t>
      </w:r>
      <w:r>
        <w:rPr>
          <w:rFonts w:hint="eastAsia" w:ascii="宋体" w:hAnsi="宋体"/>
          <w:color w:val="auto"/>
          <w:sz w:val="21"/>
          <w:szCs w:val="21"/>
          <w:highlight w:val="none"/>
        </w:rPr>
        <w:t>约定的</w:t>
      </w:r>
      <w:r>
        <w:rPr>
          <w:rFonts w:ascii="宋体" w:hAnsi="宋体"/>
          <w:color w:val="auto"/>
          <w:sz w:val="21"/>
          <w:szCs w:val="21"/>
          <w:highlight w:val="none"/>
        </w:rPr>
        <w:t>质量保修金额和1</w:t>
      </w:r>
      <w:r>
        <w:rPr>
          <w:rFonts w:hint="eastAsia" w:ascii="宋体" w:hAnsi="宋体"/>
          <w:color w:val="auto"/>
          <w:sz w:val="21"/>
          <w:szCs w:val="21"/>
          <w:highlight w:val="none"/>
        </w:rPr>
        <w:t>2</w:t>
      </w:r>
      <w:r>
        <w:rPr>
          <w:rFonts w:ascii="宋体" w:hAnsi="宋体"/>
          <w:color w:val="auto"/>
          <w:sz w:val="21"/>
          <w:szCs w:val="21"/>
          <w:highlight w:val="none"/>
        </w:rPr>
        <w:t>.2.2款质量保修金额暂扣的</w:t>
      </w:r>
      <w:r>
        <w:rPr>
          <w:rFonts w:hint="eastAsia" w:ascii="宋体" w:hAnsi="宋体"/>
          <w:color w:val="auto"/>
          <w:sz w:val="21"/>
          <w:szCs w:val="21"/>
          <w:highlight w:val="none"/>
        </w:rPr>
        <w:t>约定暂时扣减。</w:t>
      </w:r>
    </w:p>
    <w:p w14:paraId="37CA609C">
      <w:pPr>
        <w:keepNext w:val="0"/>
        <w:keepLines w:val="0"/>
        <w:pageBreakBefore w:val="0"/>
        <w:numPr>
          <w:ilvl w:val="2"/>
          <w:numId w:val="11"/>
        </w:numPr>
        <w:tabs>
          <w:tab w:val="left" w:pos="1134"/>
          <w:tab w:val="clear" w:pos="0"/>
        </w:tabs>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ascii="宋体" w:hAnsi="宋体"/>
          <w:color w:val="auto"/>
          <w:sz w:val="21"/>
          <w:szCs w:val="21"/>
          <w:highlight w:val="none"/>
        </w:rPr>
        <w:t>质量保修金额的支付</w:t>
      </w:r>
      <w:r>
        <w:rPr>
          <w:rFonts w:hint="eastAsia" w:ascii="宋体" w:hAnsi="宋体"/>
          <w:color w:val="auto"/>
          <w:sz w:val="21"/>
          <w:szCs w:val="21"/>
          <w:highlight w:val="none"/>
        </w:rPr>
        <w:t>在专用条款中约定。</w:t>
      </w:r>
    </w:p>
    <w:p w14:paraId="54E0FAE2">
      <w:pPr>
        <w:keepNext w:val="0"/>
        <w:keepLines w:val="0"/>
        <w:pageBreakBefore w:val="0"/>
        <w:widowControl w:val="0"/>
        <w:numPr>
          <w:ilvl w:val="1"/>
          <w:numId w:val="11"/>
        </w:numPr>
        <w:kinsoku/>
        <w:wordWrap/>
        <w:overflowPunct/>
        <w:topLinePunct w:val="0"/>
        <w:autoSpaceDE/>
        <w:autoSpaceDN/>
        <w:bidi w:val="0"/>
        <w:adjustRightInd/>
        <w:snapToGrid/>
        <w:spacing w:line="360" w:lineRule="auto"/>
        <w:ind w:left="632" w:leftChars="0" w:hanging="632" w:hangingChars="300"/>
        <w:textAlignment w:val="auto"/>
        <w:outlineLvl w:val="3"/>
        <w:rPr>
          <w:rFonts w:ascii="宋体" w:hAnsi="宋体"/>
          <w:b/>
          <w:color w:val="auto"/>
          <w:sz w:val="21"/>
          <w:szCs w:val="21"/>
          <w:highlight w:val="none"/>
        </w:rPr>
      </w:pPr>
      <w:bookmarkStart w:id="173" w:name="_Toc76719984"/>
      <w:r>
        <w:rPr>
          <w:rFonts w:hint="eastAsia" w:ascii="宋体" w:hAnsi="宋体"/>
          <w:b/>
          <w:color w:val="auto"/>
          <w:sz w:val="21"/>
          <w:szCs w:val="21"/>
          <w:highlight w:val="none"/>
        </w:rPr>
        <w:t>按月工程进度申请付款</w:t>
      </w:r>
      <w:bookmarkEnd w:id="173"/>
    </w:p>
    <w:p w14:paraId="087C7160">
      <w:pPr>
        <w:keepNext w:val="0"/>
        <w:keepLines w:val="0"/>
        <w:pageBreakBefore w:val="0"/>
        <w:numPr>
          <w:ilvl w:val="2"/>
          <w:numId w:val="11"/>
        </w:numPr>
        <w:tabs>
          <w:tab w:val="left" w:pos="1134"/>
          <w:tab w:val="clear" w:pos="0"/>
        </w:tabs>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按月申请付款。按月申请付款，以合同协议书约定的合同价格为基础，按每月实际完成的工程量（含设计、采购、施工、竣工试验和竣工后试验等）的合同金额，提交付款申请。承包人提交付款申请报告的格式、内容、份数和时间，在专用条款约定。</w:t>
      </w:r>
    </w:p>
    <w:p w14:paraId="222C9685">
      <w:pPr>
        <w:keepNext w:val="0"/>
        <w:keepLines w:val="0"/>
        <w:pageBreakBefore w:val="0"/>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按月付款申请报告中的款项包括：</w:t>
      </w:r>
    </w:p>
    <w:p w14:paraId="56F25552">
      <w:pPr>
        <w:keepNext w:val="0"/>
        <w:keepLines w:val="0"/>
        <w:pageBreakBefore w:val="0"/>
        <w:numPr>
          <w:ilvl w:val="0"/>
          <w:numId w:val="45"/>
        </w:numPr>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按13.4款工程进度款约定的款项类别；</w:t>
      </w:r>
    </w:p>
    <w:p w14:paraId="6B59DA5D">
      <w:pPr>
        <w:keepNext w:val="0"/>
        <w:keepLines w:val="0"/>
        <w:pageBreakBefore w:val="0"/>
        <w:numPr>
          <w:ilvl w:val="0"/>
          <w:numId w:val="45"/>
        </w:numPr>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按14.5款变更价款确定的增减款项；</w:t>
      </w:r>
    </w:p>
    <w:p w14:paraId="031DB376">
      <w:pPr>
        <w:keepNext w:val="0"/>
        <w:keepLines w:val="0"/>
        <w:pageBreakBefore w:val="0"/>
        <w:numPr>
          <w:ilvl w:val="0"/>
          <w:numId w:val="45"/>
        </w:numPr>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按</w:t>
      </w:r>
      <w:r>
        <w:rPr>
          <w:rFonts w:ascii="宋体" w:hAnsi="宋体"/>
          <w:color w:val="auto"/>
          <w:sz w:val="21"/>
          <w:szCs w:val="21"/>
          <w:highlight w:val="none"/>
        </w:rPr>
        <w:t>1</w:t>
      </w:r>
      <w:r>
        <w:rPr>
          <w:rFonts w:hint="eastAsia" w:ascii="宋体" w:hAnsi="宋体"/>
          <w:color w:val="auto"/>
          <w:sz w:val="21"/>
          <w:szCs w:val="21"/>
          <w:highlight w:val="none"/>
        </w:rPr>
        <w:t>3</w:t>
      </w:r>
      <w:r>
        <w:rPr>
          <w:rFonts w:ascii="宋体" w:hAnsi="宋体"/>
          <w:color w:val="auto"/>
          <w:sz w:val="21"/>
          <w:szCs w:val="21"/>
          <w:highlight w:val="none"/>
        </w:rPr>
        <w:t>.</w:t>
      </w:r>
      <w:r>
        <w:rPr>
          <w:rFonts w:hint="eastAsia" w:ascii="宋体" w:hAnsi="宋体"/>
          <w:color w:val="auto"/>
          <w:sz w:val="21"/>
          <w:szCs w:val="21"/>
          <w:highlight w:val="none"/>
        </w:rPr>
        <w:t>3款预付款约定的支付及扣减的款项；</w:t>
      </w:r>
    </w:p>
    <w:p w14:paraId="1240504D">
      <w:pPr>
        <w:keepNext w:val="0"/>
        <w:keepLines w:val="0"/>
        <w:pageBreakBefore w:val="0"/>
        <w:numPr>
          <w:ilvl w:val="0"/>
          <w:numId w:val="45"/>
        </w:numPr>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按</w:t>
      </w:r>
      <w:r>
        <w:rPr>
          <w:rFonts w:ascii="宋体" w:hAnsi="宋体"/>
          <w:color w:val="auto"/>
          <w:sz w:val="21"/>
          <w:szCs w:val="21"/>
          <w:highlight w:val="none"/>
        </w:rPr>
        <w:t>1</w:t>
      </w:r>
      <w:r>
        <w:rPr>
          <w:rFonts w:hint="eastAsia" w:ascii="宋体" w:hAnsi="宋体"/>
          <w:color w:val="auto"/>
          <w:sz w:val="21"/>
          <w:szCs w:val="21"/>
          <w:highlight w:val="none"/>
        </w:rPr>
        <w:t>3</w:t>
      </w:r>
      <w:r>
        <w:rPr>
          <w:rFonts w:ascii="宋体" w:hAnsi="宋体"/>
          <w:color w:val="auto"/>
          <w:sz w:val="21"/>
          <w:szCs w:val="21"/>
          <w:highlight w:val="none"/>
        </w:rPr>
        <w:t>.5</w:t>
      </w:r>
      <w:r>
        <w:rPr>
          <w:rFonts w:hint="eastAsia" w:ascii="宋体" w:hAnsi="宋体"/>
          <w:color w:val="auto"/>
          <w:sz w:val="21"/>
          <w:szCs w:val="21"/>
          <w:highlight w:val="none"/>
        </w:rPr>
        <w:t>款质量保修金额约定的暂扣及支付的款项；</w:t>
      </w:r>
    </w:p>
    <w:p w14:paraId="2BC101AD">
      <w:pPr>
        <w:keepNext w:val="0"/>
        <w:keepLines w:val="0"/>
        <w:pageBreakBefore w:val="0"/>
        <w:numPr>
          <w:ilvl w:val="0"/>
          <w:numId w:val="45"/>
        </w:numPr>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根据16.2款索赔结果所增减的款项；</w:t>
      </w:r>
    </w:p>
    <w:p w14:paraId="4A90F652">
      <w:pPr>
        <w:keepNext w:val="0"/>
        <w:keepLines w:val="0"/>
        <w:pageBreakBefore w:val="0"/>
        <w:numPr>
          <w:ilvl w:val="0"/>
          <w:numId w:val="45"/>
        </w:numPr>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根据另行签订的本合同的补充协议增减的款项。</w:t>
      </w:r>
    </w:p>
    <w:p w14:paraId="65FCD89D">
      <w:pPr>
        <w:keepNext w:val="0"/>
        <w:keepLines w:val="0"/>
        <w:pageBreakBefore w:val="0"/>
        <w:numPr>
          <w:ilvl w:val="2"/>
          <w:numId w:val="11"/>
        </w:numPr>
        <w:tabs>
          <w:tab w:val="left" w:pos="1134"/>
          <w:tab w:val="clear" w:pos="0"/>
        </w:tabs>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约定了</w:t>
      </w:r>
      <w:r>
        <w:rPr>
          <w:rFonts w:ascii="宋体" w:hAnsi="宋体"/>
          <w:color w:val="auto"/>
          <w:sz w:val="21"/>
          <w:szCs w:val="21"/>
          <w:highlight w:val="none"/>
        </w:rPr>
        <w:t>1</w:t>
      </w:r>
      <w:r>
        <w:rPr>
          <w:rFonts w:hint="eastAsia" w:ascii="宋体" w:hAnsi="宋体"/>
          <w:color w:val="auto"/>
          <w:sz w:val="21"/>
          <w:szCs w:val="21"/>
          <w:highlight w:val="none"/>
        </w:rPr>
        <w:t>3</w:t>
      </w:r>
      <w:r>
        <w:rPr>
          <w:rFonts w:ascii="宋体" w:hAnsi="宋体"/>
          <w:color w:val="auto"/>
          <w:sz w:val="21"/>
          <w:szCs w:val="21"/>
          <w:highlight w:val="none"/>
        </w:rPr>
        <w:t>.6.1</w:t>
      </w:r>
      <w:r>
        <w:rPr>
          <w:rFonts w:hint="eastAsia" w:ascii="宋体" w:hAnsi="宋体"/>
          <w:color w:val="auto"/>
          <w:sz w:val="21"/>
          <w:szCs w:val="21"/>
          <w:highlight w:val="none"/>
        </w:rPr>
        <w:t>款按月工程进度申请付款的方式时，不能再约定按13</w:t>
      </w:r>
      <w:r>
        <w:rPr>
          <w:rFonts w:ascii="宋体" w:hAnsi="宋体"/>
          <w:color w:val="auto"/>
          <w:sz w:val="21"/>
          <w:szCs w:val="21"/>
          <w:highlight w:val="none"/>
        </w:rPr>
        <w:t>.7</w:t>
      </w:r>
      <w:r>
        <w:rPr>
          <w:rFonts w:hint="eastAsia" w:ascii="宋体" w:hAnsi="宋体"/>
          <w:color w:val="auto"/>
          <w:sz w:val="21"/>
          <w:szCs w:val="21"/>
          <w:highlight w:val="none"/>
        </w:rPr>
        <w:t>款按付款计划表申请付款的方式。</w:t>
      </w:r>
    </w:p>
    <w:p w14:paraId="0B57ED84">
      <w:pPr>
        <w:keepNext w:val="0"/>
        <w:keepLines w:val="0"/>
        <w:pageBreakBefore w:val="0"/>
        <w:widowControl w:val="0"/>
        <w:numPr>
          <w:ilvl w:val="1"/>
          <w:numId w:val="11"/>
        </w:numPr>
        <w:kinsoku/>
        <w:wordWrap/>
        <w:overflowPunct/>
        <w:topLinePunct w:val="0"/>
        <w:autoSpaceDE/>
        <w:autoSpaceDN/>
        <w:bidi w:val="0"/>
        <w:adjustRightInd/>
        <w:snapToGrid/>
        <w:spacing w:line="360" w:lineRule="auto"/>
        <w:ind w:left="632" w:leftChars="0" w:hanging="632" w:hangingChars="300"/>
        <w:textAlignment w:val="auto"/>
        <w:outlineLvl w:val="3"/>
        <w:rPr>
          <w:rFonts w:ascii="宋体" w:hAnsi="宋体"/>
          <w:b/>
          <w:color w:val="auto"/>
          <w:sz w:val="21"/>
          <w:szCs w:val="21"/>
          <w:highlight w:val="none"/>
        </w:rPr>
      </w:pPr>
      <w:bookmarkStart w:id="174" w:name="_Toc76719985"/>
      <w:r>
        <w:rPr>
          <w:rFonts w:hint="eastAsia" w:ascii="宋体" w:hAnsi="宋体"/>
          <w:b/>
          <w:color w:val="auto"/>
          <w:sz w:val="21"/>
          <w:szCs w:val="21"/>
          <w:highlight w:val="none"/>
        </w:rPr>
        <w:t>按付款计划表申请付款</w:t>
      </w:r>
      <w:bookmarkEnd w:id="174"/>
    </w:p>
    <w:p w14:paraId="13132C2C">
      <w:pPr>
        <w:keepNext w:val="0"/>
        <w:keepLines w:val="0"/>
        <w:pageBreakBefore w:val="0"/>
        <w:numPr>
          <w:ilvl w:val="2"/>
          <w:numId w:val="11"/>
        </w:numPr>
        <w:tabs>
          <w:tab w:val="left" w:pos="1134"/>
          <w:tab w:val="clear" w:pos="0"/>
        </w:tabs>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按付款计划表申请付款。按付款计划表申请付款，以合同协议书约定的合同价格为基础，按照在专用条款约定的付款期数、计划每期达到的主要形象进度或（和）完成的主要计划工程量（含设计、采购、施工、竣工试验和竣工后试验等）及每期付款金额，并依据专用条款约定的格式、内容、份数和提交时间，由承包人提交当期付款申请报告。</w:t>
      </w:r>
    </w:p>
    <w:p w14:paraId="0FD861C4">
      <w:pPr>
        <w:keepNext w:val="0"/>
        <w:keepLines w:val="0"/>
        <w:pageBreakBefore w:val="0"/>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每期付款申请报告中的款项包括：</w:t>
      </w:r>
    </w:p>
    <w:p w14:paraId="61E58CFC">
      <w:pPr>
        <w:keepNext w:val="0"/>
        <w:keepLines w:val="0"/>
        <w:pageBreakBefore w:val="0"/>
        <w:numPr>
          <w:ilvl w:val="0"/>
          <w:numId w:val="46"/>
        </w:numPr>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按在本款专用条款中约定的当期计划申请付款的金额；</w:t>
      </w:r>
    </w:p>
    <w:p w14:paraId="60035C5F">
      <w:pPr>
        <w:keepNext w:val="0"/>
        <w:keepLines w:val="0"/>
        <w:pageBreakBefore w:val="0"/>
        <w:numPr>
          <w:ilvl w:val="0"/>
          <w:numId w:val="46"/>
        </w:numPr>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按14.5款变更价款确定的增减款项；</w:t>
      </w:r>
    </w:p>
    <w:p w14:paraId="1B4A10C0">
      <w:pPr>
        <w:keepNext w:val="0"/>
        <w:keepLines w:val="0"/>
        <w:pageBreakBefore w:val="0"/>
        <w:numPr>
          <w:ilvl w:val="0"/>
          <w:numId w:val="46"/>
        </w:numPr>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按</w:t>
      </w:r>
      <w:r>
        <w:rPr>
          <w:rFonts w:ascii="宋体" w:hAnsi="宋体"/>
          <w:color w:val="auto"/>
          <w:sz w:val="21"/>
          <w:szCs w:val="21"/>
          <w:highlight w:val="none"/>
        </w:rPr>
        <w:t>1</w:t>
      </w:r>
      <w:r>
        <w:rPr>
          <w:rFonts w:hint="eastAsia" w:ascii="宋体" w:hAnsi="宋体"/>
          <w:color w:val="auto"/>
          <w:sz w:val="21"/>
          <w:szCs w:val="21"/>
          <w:highlight w:val="none"/>
        </w:rPr>
        <w:t>3</w:t>
      </w:r>
      <w:r>
        <w:rPr>
          <w:rFonts w:ascii="宋体" w:hAnsi="宋体"/>
          <w:color w:val="auto"/>
          <w:sz w:val="21"/>
          <w:szCs w:val="21"/>
          <w:highlight w:val="none"/>
        </w:rPr>
        <w:t>.3</w:t>
      </w:r>
      <w:r>
        <w:rPr>
          <w:rFonts w:hint="eastAsia" w:ascii="宋体" w:hAnsi="宋体"/>
          <w:color w:val="auto"/>
          <w:sz w:val="21"/>
          <w:szCs w:val="21"/>
          <w:highlight w:val="none"/>
        </w:rPr>
        <w:t>款预付款约定的，支付及扣减的款项；</w:t>
      </w:r>
    </w:p>
    <w:p w14:paraId="50287461">
      <w:pPr>
        <w:keepNext w:val="0"/>
        <w:keepLines w:val="0"/>
        <w:pageBreakBefore w:val="0"/>
        <w:numPr>
          <w:ilvl w:val="0"/>
          <w:numId w:val="46"/>
        </w:numPr>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按</w:t>
      </w:r>
      <w:r>
        <w:rPr>
          <w:rFonts w:ascii="宋体" w:hAnsi="宋体"/>
          <w:color w:val="auto"/>
          <w:sz w:val="21"/>
          <w:szCs w:val="21"/>
          <w:highlight w:val="none"/>
        </w:rPr>
        <w:t>1</w:t>
      </w:r>
      <w:r>
        <w:rPr>
          <w:rFonts w:hint="eastAsia" w:ascii="宋体" w:hAnsi="宋体"/>
          <w:color w:val="auto"/>
          <w:sz w:val="21"/>
          <w:szCs w:val="21"/>
          <w:highlight w:val="none"/>
        </w:rPr>
        <w:t>3</w:t>
      </w:r>
      <w:r>
        <w:rPr>
          <w:rFonts w:ascii="宋体" w:hAnsi="宋体"/>
          <w:color w:val="auto"/>
          <w:sz w:val="21"/>
          <w:szCs w:val="21"/>
          <w:highlight w:val="none"/>
        </w:rPr>
        <w:t>.5</w:t>
      </w:r>
      <w:r>
        <w:rPr>
          <w:rFonts w:hint="eastAsia" w:ascii="宋体" w:hAnsi="宋体"/>
          <w:color w:val="auto"/>
          <w:sz w:val="21"/>
          <w:szCs w:val="21"/>
          <w:highlight w:val="none"/>
        </w:rPr>
        <w:t>款质量保修金额约定的暂扣及支付的款项；</w:t>
      </w:r>
    </w:p>
    <w:p w14:paraId="173CAEE8">
      <w:pPr>
        <w:keepNext w:val="0"/>
        <w:keepLines w:val="0"/>
        <w:pageBreakBefore w:val="0"/>
        <w:numPr>
          <w:ilvl w:val="0"/>
          <w:numId w:val="46"/>
        </w:numPr>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根据16.2款索赔结果所增减的款项；</w:t>
      </w:r>
    </w:p>
    <w:p w14:paraId="1BA1781A">
      <w:pPr>
        <w:keepNext w:val="0"/>
        <w:keepLines w:val="0"/>
        <w:pageBreakBefore w:val="0"/>
        <w:numPr>
          <w:ilvl w:val="0"/>
          <w:numId w:val="46"/>
        </w:numPr>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根据另行签订的本合同的补充协议增减的款项。</w:t>
      </w:r>
    </w:p>
    <w:p w14:paraId="014ECBA8">
      <w:pPr>
        <w:keepNext w:val="0"/>
        <w:keepLines w:val="0"/>
        <w:pageBreakBefore w:val="0"/>
        <w:numPr>
          <w:ilvl w:val="2"/>
          <w:numId w:val="11"/>
        </w:numPr>
        <w:tabs>
          <w:tab w:val="left" w:pos="1134"/>
          <w:tab w:val="clear" w:pos="0"/>
        </w:tabs>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发包人按付款计划表付款时，承包人的实际工作或（和）实际进度比付款计划表约定的明显落后时，发包人有权与承包人商定减少当期付款金额，并有权与承包人共同调整付款计划表。承包人以后各期的付款申请及发包人的付款，以调整后的付款计划表为依据。</w:t>
      </w:r>
    </w:p>
    <w:p w14:paraId="3C18F397">
      <w:pPr>
        <w:keepNext w:val="0"/>
        <w:keepLines w:val="0"/>
        <w:pageBreakBefore w:val="0"/>
        <w:numPr>
          <w:ilvl w:val="2"/>
          <w:numId w:val="11"/>
        </w:numPr>
        <w:tabs>
          <w:tab w:val="left" w:pos="1134"/>
          <w:tab w:val="clear" w:pos="0"/>
        </w:tabs>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约定了按13</w:t>
      </w:r>
      <w:r>
        <w:rPr>
          <w:rFonts w:ascii="宋体" w:hAnsi="宋体"/>
          <w:color w:val="auto"/>
          <w:sz w:val="21"/>
          <w:szCs w:val="21"/>
          <w:highlight w:val="none"/>
        </w:rPr>
        <w:t>.7</w:t>
      </w:r>
      <w:r>
        <w:rPr>
          <w:rFonts w:hint="eastAsia" w:ascii="宋体" w:hAnsi="宋体"/>
          <w:color w:val="auto"/>
          <w:sz w:val="21"/>
          <w:szCs w:val="21"/>
          <w:highlight w:val="none"/>
        </w:rPr>
        <w:t>款付款计划表的方式申请付款时，不能再约定按13</w:t>
      </w:r>
      <w:r>
        <w:rPr>
          <w:rFonts w:ascii="宋体" w:hAnsi="宋体"/>
          <w:color w:val="auto"/>
          <w:sz w:val="21"/>
          <w:szCs w:val="21"/>
          <w:highlight w:val="none"/>
        </w:rPr>
        <w:t>.6</w:t>
      </w:r>
      <w:r>
        <w:rPr>
          <w:rFonts w:hint="eastAsia" w:ascii="宋体" w:hAnsi="宋体"/>
          <w:color w:val="auto"/>
          <w:sz w:val="21"/>
          <w:szCs w:val="21"/>
          <w:highlight w:val="none"/>
        </w:rPr>
        <w:t>款按月工程进度付款申请的方式。</w:t>
      </w:r>
    </w:p>
    <w:p w14:paraId="7E092036">
      <w:pPr>
        <w:keepNext w:val="0"/>
        <w:keepLines w:val="0"/>
        <w:pageBreakBefore w:val="0"/>
        <w:widowControl w:val="0"/>
        <w:numPr>
          <w:ilvl w:val="1"/>
          <w:numId w:val="11"/>
        </w:numPr>
        <w:kinsoku/>
        <w:wordWrap/>
        <w:overflowPunct/>
        <w:topLinePunct w:val="0"/>
        <w:autoSpaceDE/>
        <w:autoSpaceDN/>
        <w:bidi w:val="0"/>
        <w:adjustRightInd/>
        <w:snapToGrid/>
        <w:spacing w:line="360" w:lineRule="auto"/>
        <w:ind w:left="632" w:leftChars="0" w:hanging="632" w:hangingChars="300"/>
        <w:textAlignment w:val="auto"/>
        <w:outlineLvl w:val="3"/>
        <w:rPr>
          <w:rFonts w:ascii="宋体" w:hAnsi="宋体"/>
          <w:b/>
          <w:color w:val="auto"/>
          <w:sz w:val="21"/>
          <w:szCs w:val="21"/>
          <w:highlight w:val="none"/>
        </w:rPr>
      </w:pPr>
      <w:bookmarkStart w:id="175" w:name="_Toc76719986"/>
      <w:r>
        <w:rPr>
          <w:rFonts w:ascii="宋体" w:hAnsi="宋体"/>
          <w:b/>
          <w:color w:val="auto"/>
          <w:sz w:val="21"/>
          <w:szCs w:val="21"/>
          <w:highlight w:val="none"/>
        </w:rPr>
        <w:t>付款时间延误</w:t>
      </w:r>
      <w:bookmarkEnd w:id="175"/>
    </w:p>
    <w:p w14:paraId="0ECF2EE9">
      <w:pPr>
        <w:keepNext w:val="0"/>
        <w:keepLines w:val="0"/>
        <w:pageBreakBefore w:val="0"/>
        <w:numPr>
          <w:ilvl w:val="2"/>
          <w:numId w:val="11"/>
        </w:numPr>
        <w:tabs>
          <w:tab w:val="left" w:pos="1134"/>
          <w:tab w:val="clear" w:pos="0"/>
        </w:tabs>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ascii="宋体" w:hAnsi="宋体"/>
          <w:color w:val="auto"/>
          <w:sz w:val="21"/>
          <w:szCs w:val="21"/>
          <w:highlight w:val="none"/>
        </w:rPr>
        <w:t>因发包人的原因未能按</w:t>
      </w:r>
      <w:r>
        <w:rPr>
          <w:rFonts w:hint="eastAsia" w:ascii="宋体" w:hAnsi="宋体"/>
          <w:color w:val="auto"/>
          <w:sz w:val="21"/>
          <w:szCs w:val="21"/>
          <w:highlight w:val="none"/>
        </w:rPr>
        <w:t>约定</w:t>
      </w:r>
      <w:r>
        <w:rPr>
          <w:rFonts w:ascii="宋体" w:hAnsi="宋体"/>
          <w:color w:val="auto"/>
          <w:sz w:val="21"/>
          <w:szCs w:val="21"/>
          <w:highlight w:val="none"/>
        </w:rPr>
        <w:t>的时间向承包人支付工程进度款的，从此后的第15</w:t>
      </w:r>
      <w:r>
        <w:rPr>
          <w:rFonts w:hint="eastAsia" w:ascii="宋体" w:hAnsi="宋体"/>
          <w:color w:val="auto"/>
          <w:sz w:val="21"/>
          <w:szCs w:val="21"/>
          <w:highlight w:val="none"/>
        </w:rPr>
        <w:t>天</w:t>
      </w:r>
      <w:r>
        <w:rPr>
          <w:rFonts w:ascii="宋体" w:hAnsi="宋体"/>
          <w:color w:val="auto"/>
          <w:sz w:val="21"/>
          <w:szCs w:val="21"/>
          <w:highlight w:val="none"/>
        </w:rPr>
        <w:t>开始，以中国人民银行颁布的同期同类贷款利率向承包人支付延期付款的利息，作为延期付款的违约金额。</w:t>
      </w:r>
    </w:p>
    <w:p w14:paraId="4752C58A">
      <w:pPr>
        <w:keepNext w:val="0"/>
        <w:keepLines w:val="0"/>
        <w:pageBreakBefore w:val="0"/>
        <w:numPr>
          <w:ilvl w:val="2"/>
          <w:numId w:val="11"/>
        </w:numPr>
        <w:tabs>
          <w:tab w:val="left" w:pos="1134"/>
          <w:tab w:val="clear" w:pos="0"/>
        </w:tabs>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发包人延迟付款的情形下，承包人仍应继续按进度执行合同。此时承包人有权向发包人发出要求付款的通知。</w:t>
      </w:r>
    </w:p>
    <w:p w14:paraId="52A03AF4">
      <w:pPr>
        <w:keepNext w:val="0"/>
        <w:keepLines w:val="0"/>
        <w:pageBreakBefore w:val="0"/>
        <w:widowControl w:val="0"/>
        <w:numPr>
          <w:ilvl w:val="1"/>
          <w:numId w:val="11"/>
        </w:numPr>
        <w:kinsoku/>
        <w:wordWrap/>
        <w:overflowPunct/>
        <w:topLinePunct w:val="0"/>
        <w:autoSpaceDE/>
        <w:autoSpaceDN/>
        <w:bidi w:val="0"/>
        <w:adjustRightInd/>
        <w:snapToGrid/>
        <w:spacing w:line="360" w:lineRule="auto"/>
        <w:ind w:left="632" w:leftChars="0" w:hanging="632" w:hangingChars="300"/>
        <w:textAlignment w:val="auto"/>
        <w:outlineLvl w:val="3"/>
        <w:rPr>
          <w:rFonts w:ascii="宋体" w:hAnsi="宋体"/>
          <w:b/>
          <w:color w:val="auto"/>
          <w:sz w:val="21"/>
          <w:szCs w:val="21"/>
          <w:highlight w:val="none"/>
        </w:rPr>
      </w:pPr>
      <w:bookmarkStart w:id="176" w:name="_Toc76719987"/>
      <w:r>
        <w:rPr>
          <w:rFonts w:hint="eastAsia" w:ascii="宋体" w:hAnsi="宋体"/>
          <w:b/>
          <w:color w:val="auto"/>
          <w:sz w:val="21"/>
          <w:szCs w:val="21"/>
          <w:highlight w:val="none"/>
        </w:rPr>
        <w:t>税务与关税</w:t>
      </w:r>
      <w:bookmarkEnd w:id="176"/>
    </w:p>
    <w:p w14:paraId="5897A0BB">
      <w:pPr>
        <w:keepNext w:val="0"/>
        <w:keepLines w:val="0"/>
        <w:pageBreakBefore w:val="0"/>
        <w:numPr>
          <w:ilvl w:val="2"/>
          <w:numId w:val="11"/>
        </w:numPr>
        <w:tabs>
          <w:tab w:val="left" w:pos="1134"/>
          <w:tab w:val="clear" w:pos="0"/>
        </w:tabs>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发包人与承包人按国家有关纳税规定，各自履行各自的纳税义务，含进口关税。</w:t>
      </w:r>
    </w:p>
    <w:p w14:paraId="236F1777">
      <w:pPr>
        <w:keepNext w:val="0"/>
        <w:keepLines w:val="0"/>
        <w:pageBreakBefore w:val="0"/>
        <w:numPr>
          <w:ilvl w:val="2"/>
          <w:numId w:val="11"/>
        </w:numPr>
        <w:tabs>
          <w:tab w:val="left" w:pos="1134"/>
          <w:tab w:val="clear" w:pos="0"/>
        </w:tabs>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一方享有本合同进口工程设备、材料、设备配件等进口增值税和关税减免时，另一方有义务就办理减免税手续给予协助和配合。</w:t>
      </w:r>
    </w:p>
    <w:p w14:paraId="67CE26E3">
      <w:pPr>
        <w:keepNext w:val="0"/>
        <w:keepLines w:val="0"/>
        <w:pageBreakBefore w:val="0"/>
        <w:widowControl w:val="0"/>
        <w:numPr>
          <w:ilvl w:val="1"/>
          <w:numId w:val="11"/>
        </w:numPr>
        <w:kinsoku/>
        <w:wordWrap/>
        <w:overflowPunct/>
        <w:topLinePunct w:val="0"/>
        <w:autoSpaceDE/>
        <w:autoSpaceDN/>
        <w:bidi w:val="0"/>
        <w:adjustRightInd/>
        <w:snapToGrid/>
        <w:spacing w:line="360" w:lineRule="auto"/>
        <w:ind w:left="632" w:leftChars="0" w:hanging="632" w:hangingChars="300"/>
        <w:textAlignment w:val="auto"/>
        <w:outlineLvl w:val="3"/>
        <w:rPr>
          <w:rFonts w:ascii="宋体" w:hAnsi="宋体"/>
          <w:b/>
          <w:color w:val="auto"/>
          <w:sz w:val="21"/>
          <w:szCs w:val="21"/>
          <w:highlight w:val="none"/>
        </w:rPr>
      </w:pPr>
      <w:bookmarkStart w:id="177" w:name="_Toc76719988"/>
      <w:r>
        <w:rPr>
          <w:rFonts w:ascii="宋体" w:hAnsi="宋体"/>
          <w:b/>
          <w:color w:val="auto"/>
          <w:sz w:val="21"/>
          <w:szCs w:val="21"/>
          <w:highlight w:val="none"/>
        </w:rPr>
        <w:t>索赔款项的支付</w:t>
      </w:r>
      <w:bookmarkEnd w:id="177"/>
    </w:p>
    <w:p w14:paraId="6F55214D">
      <w:pPr>
        <w:keepNext w:val="0"/>
        <w:keepLines w:val="0"/>
        <w:pageBreakBefore w:val="0"/>
        <w:numPr>
          <w:ilvl w:val="2"/>
          <w:numId w:val="11"/>
        </w:numPr>
        <w:tabs>
          <w:tab w:val="left" w:pos="1134"/>
          <w:tab w:val="clear" w:pos="0"/>
        </w:tabs>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ascii="宋体" w:hAnsi="宋体"/>
          <w:color w:val="auto"/>
          <w:sz w:val="21"/>
          <w:szCs w:val="21"/>
          <w:highlight w:val="none"/>
        </w:rPr>
        <w:t>经协商确定的、或经仲裁</w:t>
      </w:r>
      <w:r>
        <w:rPr>
          <w:rFonts w:hint="eastAsia" w:ascii="宋体" w:hAnsi="宋体"/>
          <w:color w:val="auto"/>
          <w:sz w:val="21"/>
          <w:szCs w:val="21"/>
          <w:highlight w:val="none"/>
        </w:rPr>
        <w:t>裁定的、或法院判决</w:t>
      </w:r>
      <w:r>
        <w:rPr>
          <w:rFonts w:ascii="宋体" w:hAnsi="宋体"/>
          <w:color w:val="auto"/>
          <w:sz w:val="21"/>
          <w:szCs w:val="21"/>
          <w:highlight w:val="none"/>
        </w:rPr>
        <w:t>的发包人应得的索赔款项，发包人可从支付给承包人的当月工程进度款或当期付款计划表的付款中扣减</w:t>
      </w:r>
      <w:r>
        <w:rPr>
          <w:rFonts w:hint="eastAsia" w:ascii="宋体" w:hAnsi="宋体"/>
          <w:color w:val="auto"/>
          <w:sz w:val="21"/>
          <w:szCs w:val="21"/>
          <w:highlight w:val="none"/>
        </w:rPr>
        <w:t>该索赔款项</w:t>
      </w:r>
      <w:r>
        <w:rPr>
          <w:rFonts w:ascii="宋体" w:hAnsi="宋体"/>
          <w:color w:val="auto"/>
          <w:sz w:val="21"/>
          <w:szCs w:val="21"/>
          <w:highlight w:val="none"/>
        </w:rPr>
        <w:t>。</w:t>
      </w:r>
      <w:r>
        <w:rPr>
          <w:rFonts w:hint="eastAsia" w:ascii="宋体" w:hAnsi="宋体"/>
          <w:color w:val="auto"/>
          <w:sz w:val="21"/>
          <w:szCs w:val="21"/>
          <w:highlight w:val="none"/>
        </w:rPr>
        <w:t>当</w:t>
      </w:r>
      <w:r>
        <w:rPr>
          <w:rFonts w:ascii="宋体" w:hAnsi="宋体"/>
          <w:color w:val="auto"/>
          <w:sz w:val="21"/>
          <w:szCs w:val="21"/>
          <w:highlight w:val="none"/>
        </w:rPr>
        <w:t>支付给承包人的各期工程进度款中不足以抵扣发包人的索赔款项时，</w:t>
      </w:r>
      <w:r>
        <w:rPr>
          <w:rFonts w:hint="eastAsia" w:ascii="宋体" w:hAnsi="宋体"/>
          <w:color w:val="auto"/>
          <w:sz w:val="21"/>
          <w:szCs w:val="21"/>
          <w:highlight w:val="none"/>
        </w:rPr>
        <w:t>且合同约定了承包人提交履约保函时，</w:t>
      </w:r>
      <w:r>
        <w:rPr>
          <w:rFonts w:ascii="宋体" w:hAnsi="宋体"/>
          <w:color w:val="auto"/>
          <w:sz w:val="21"/>
          <w:szCs w:val="21"/>
          <w:highlight w:val="none"/>
        </w:rPr>
        <w:t>可从履约保函中抵扣。</w:t>
      </w:r>
      <w:r>
        <w:rPr>
          <w:rFonts w:hint="eastAsia" w:ascii="宋体" w:hAnsi="宋体"/>
          <w:color w:val="auto"/>
          <w:sz w:val="21"/>
          <w:szCs w:val="21"/>
          <w:highlight w:val="none"/>
        </w:rPr>
        <w:t>当</w:t>
      </w:r>
      <w:r>
        <w:rPr>
          <w:rFonts w:ascii="宋体" w:hAnsi="宋体"/>
          <w:color w:val="auto"/>
          <w:sz w:val="21"/>
          <w:szCs w:val="21"/>
          <w:highlight w:val="none"/>
        </w:rPr>
        <w:t>履约保函不足以抵扣</w:t>
      </w:r>
      <w:r>
        <w:rPr>
          <w:rFonts w:hint="eastAsia" w:ascii="宋体" w:hAnsi="宋体"/>
          <w:color w:val="auto"/>
          <w:sz w:val="21"/>
          <w:szCs w:val="21"/>
          <w:highlight w:val="none"/>
        </w:rPr>
        <w:t>时</w:t>
      </w:r>
      <w:r>
        <w:rPr>
          <w:rFonts w:ascii="宋体" w:hAnsi="宋体"/>
          <w:color w:val="auto"/>
          <w:sz w:val="21"/>
          <w:szCs w:val="21"/>
          <w:highlight w:val="none"/>
        </w:rPr>
        <w:t>，或未</w:t>
      </w:r>
      <w:r>
        <w:rPr>
          <w:rFonts w:hint="eastAsia" w:ascii="宋体" w:hAnsi="宋体"/>
          <w:color w:val="auto"/>
          <w:sz w:val="21"/>
          <w:szCs w:val="21"/>
          <w:highlight w:val="none"/>
        </w:rPr>
        <w:t>约定</w:t>
      </w:r>
      <w:r>
        <w:rPr>
          <w:rFonts w:ascii="宋体" w:hAnsi="宋体"/>
          <w:color w:val="auto"/>
          <w:sz w:val="21"/>
          <w:szCs w:val="21"/>
          <w:highlight w:val="none"/>
        </w:rPr>
        <w:t>履约保函</w:t>
      </w:r>
      <w:r>
        <w:rPr>
          <w:rFonts w:hint="eastAsia" w:ascii="宋体" w:hAnsi="宋体"/>
          <w:color w:val="auto"/>
          <w:sz w:val="21"/>
          <w:szCs w:val="21"/>
          <w:highlight w:val="none"/>
        </w:rPr>
        <w:t>时</w:t>
      </w:r>
      <w:r>
        <w:rPr>
          <w:rFonts w:ascii="宋体" w:hAnsi="宋体"/>
          <w:color w:val="auto"/>
          <w:sz w:val="21"/>
          <w:szCs w:val="21"/>
          <w:highlight w:val="none"/>
        </w:rPr>
        <w:t>，承包人</w:t>
      </w:r>
      <w:r>
        <w:rPr>
          <w:rFonts w:hint="eastAsia" w:ascii="宋体" w:hAnsi="宋体"/>
          <w:color w:val="auto"/>
          <w:sz w:val="21"/>
          <w:szCs w:val="21"/>
          <w:highlight w:val="none"/>
        </w:rPr>
        <w:t>须</w:t>
      </w:r>
      <w:r>
        <w:rPr>
          <w:rFonts w:ascii="宋体" w:hAnsi="宋体"/>
          <w:color w:val="auto"/>
          <w:sz w:val="21"/>
          <w:szCs w:val="21"/>
          <w:highlight w:val="none"/>
        </w:rPr>
        <w:t>另行支付</w:t>
      </w:r>
      <w:r>
        <w:rPr>
          <w:rFonts w:hint="eastAsia" w:ascii="宋体" w:hAnsi="宋体"/>
          <w:color w:val="auto"/>
          <w:sz w:val="21"/>
          <w:szCs w:val="21"/>
          <w:highlight w:val="none"/>
        </w:rPr>
        <w:t>该</w:t>
      </w:r>
      <w:r>
        <w:rPr>
          <w:rFonts w:ascii="宋体" w:hAnsi="宋体"/>
          <w:color w:val="auto"/>
          <w:sz w:val="21"/>
          <w:szCs w:val="21"/>
          <w:highlight w:val="none"/>
        </w:rPr>
        <w:t>索赔款项。</w:t>
      </w:r>
    </w:p>
    <w:p w14:paraId="6414196A">
      <w:pPr>
        <w:keepNext w:val="0"/>
        <w:keepLines w:val="0"/>
        <w:pageBreakBefore w:val="0"/>
        <w:numPr>
          <w:ilvl w:val="2"/>
          <w:numId w:val="11"/>
        </w:numPr>
        <w:tabs>
          <w:tab w:val="left" w:pos="1134"/>
          <w:tab w:val="clear" w:pos="0"/>
        </w:tabs>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ascii="宋体" w:hAnsi="宋体"/>
          <w:color w:val="auto"/>
          <w:sz w:val="21"/>
          <w:szCs w:val="21"/>
          <w:highlight w:val="none"/>
        </w:rPr>
        <w:t>经协商确定的、或经仲裁</w:t>
      </w:r>
      <w:r>
        <w:rPr>
          <w:rFonts w:hint="eastAsia" w:ascii="宋体" w:hAnsi="宋体"/>
          <w:color w:val="auto"/>
          <w:sz w:val="21"/>
          <w:szCs w:val="21"/>
          <w:highlight w:val="none"/>
        </w:rPr>
        <w:t>裁定的、或法院判决</w:t>
      </w:r>
      <w:r>
        <w:rPr>
          <w:rFonts w:ascii="宋体" w:hAnsi="宋体"/>
          <w:color w:val="auto"/>
          <w:sz w:val="21"/>
          <w:szCs w:val="21"/>
          <w:highlight w:val="none"/>
        </w:rPr>
        <w:t>的承包人应得的索赔款项，承包人</w:t>
      </w:r>
      <w:r>
        <w:rPr>
          <w:rFonts w:hint="eastAsia" w:ascii="宋体" w:hAnsi="宋体"/>
          <w:color w:val="auto"/>
          <w:sz w:val="21"/>
          <w:szCs w:val="21"/>
          <w:highlight w:val="none"/>
        </w:rPr>
        <w:t>可</w:t>
      </w:r>
      <w:r>
        <w:rPr>
          <w:rFonts w:ascii="宋体" w:hAnsi="宋体"/>
          <w:color w:val="auto"/>
          <w:sz w:val="21"/>
          <w:szCs w:val="21"/>
          <w:highlight w:val="none"/>
        </w:rPr>
        <w:t>在当月工程进度款或当期付款计划表的付款申请中单列</w:t>
      </w:r>
      <w:r>
        <w:rPr>
          <w:rFonts w:hint="eastAsia" w:ascii="宋体" w:hAnsi="宋体"/>
          <w:color w:val="auto"/>
          <w:sz w:val="21"/>
          <w:szCs w:val="21"/>
          <w:highlight w:val="none"/>
        </w:rPr>
        <w:t>该索赔</w:t>
      </w:r>
      <w:r>
        <w:rPr>
          <w:rFonts w:ascii="宋体" w:hAnsi="宋体"/>
          <w:color w:val="auto"/>
          <w:sz w:val="21"/>
          <w:szCs w:val="21"/>
          <w:highlight w:val="none"/>
        </w:rPr>
        <w:t>款项，发包人在当期付款中支付该索赔款项。</w:t>
      </w:r>
    </w:p>
    <w:p w14:paraId="3EE8BD34">
      <w:pPr>
        <w:keepNext w:val="0"/>
        <w:keepLines w:val="0"/>
        <w:pageBreakBefore w:val="0"/>
        <w:widowControl w:val="0"/>
        <w:numPr>
          <w:ilvl w:val="1"/>
          <w:numId w:val="11"/>
        </w:numPr>
        <w:kinsoku/>
        <w:wordWrap/>
        <w:overflowPunct/>
        <w:topLinePunct w:val="0"/>
        <w:autoSpaceDE/>
        <w:autoSpaceDN/>
        <w:bidi w:val="0"/>
        <w:adjustRightInd/>
        <w:snapToGrid/>
        <w:spacing w:line="360" w:lineRule="auto"/>
        <w:ind w:left="632" w:leftChars="0" w:hanging="632" w:hangingChars="300"/>
        <w:textAlignment w:val="auto"/>
        <w:outlineLvl w:val="3"/>
        <w:rPr>
          <w:rFonts w:ascii="宋体" w:hAnsi="宋体"/>
          <w:b/>
          <w:color w:val="auto"/>
          <w:sz w:val="21"/>
          <w:szCs w:val="21"/>
          <w:highlight w:val="none"/>
        </w:rPr>
      </w:pPr>
      <w:bookmarkStart w:id="178" w:name="_Toc76719989"/>
      <w:r>
        <w:rPr>
          <w:rFonts w:ascii="宋体" w:hAnsi="宋体"/>
          <w:b/>
          <w:color w:val="auto"/>
          <w:sz w:val="21"/>
          <w:szCs w:val="21"/>
          <w:highlight w:val="none"/>
        </w:rPr>
        <w:t>竣工结算</w:t>
      </w:r>
      <w:bookmarkEnd w:id="178"/>
    </w:p>
    <w:p w14:paraId="5254A6D7">
      <w:pPr>
        <w:keepNext w:val="0"/>
        <w:keepLines w:val="0"/>
        <w:pageBreakBefore w:val="0"/>
        <w:numPr>
          <w:ilvl w:val="2"/>
          <w:numId w:val="11"/>
        </w:numPr>
        <w:tabs>
          <w:tab w:val="left" w:pos="1134"/>
          <w:tab w:val="clear" w:pos="0"/>
        </w:tabs>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ascii="宋体" w:hAnsi="宋体"/>
          <w:color w:val="auto"/>
          <w:sz w:val="21"/>
          <w:szCs w:val="21"/>
          <w:highlight w:val="none"/>
        </w:rPr>
        <w:t>提交竣工结算资料。根据1</w:t>
      </w:r>
      <w:r>
        <w:rPr>
          <w:rFonts w:hint="eastAsia" w:ascii="宋体" w:hAnsi="宋体"/>
          <w:color w:val="auto"/>
          <w:sz w:val="21"/>
          <w:szCs w:val="21"/>
          <w:highlight w:val="none"/>
        </w:rPr>
        <w:t>1</w:t>
      </w:r>
      <w:r>
        <w:rPr>
          <w:rFonts w:ascii="宋体" w:hAnsi="宋体"/>
          <w:color w:val="auto"/>
          <w:sz w:val="21"/>
          <w:szCs w:val="21"/>
          <w:highlight w:val="none"/>
        </w:rPr>
        <w:t>.1款的</w:t>
      </w:r>
      <w:r>
        <w:rPr>
          <w:rFonts w:hint="eastAsia" w:ascii="宋体" w:hAnsi="宋体"/>
          <w:color w:val="auto"/>
          <w:sz w:val="21"/>
          <w:szCs w:val="21"/>
          <w:highlight w:val="none"/>
        </w:rPr>
        <w:t>约定</w:t>
      </w:r>
      <w:r>
        <w:rPr>
          <w:rFonts w:ascii="宋体" w:hAnsi="宋体"/>
          <w:color w:val="auto"/>
          <w:sz w:val="21"/>
          <w:szCs w:val="21"/>
          <w:highlight w:val="none"/>
        </w:rPr>
        <w:t>，承包人提交的</w:t>
      </w:r>
      <w:r>
        <w:rPr>
          <w:rFonts w:hint="eastAsia" w:ascii="宋体" w:hAnsi="宋体"/>
          <w:color w:val="auto"/>
          <w:sz w:val="21"/>
          <w:szCs w:val="21"/>
          <w:highlight w:val="none"/>
        </w:rPr>
        <w:t>竣工验收报告和完整的</w:t>
      </w:r>
      <w:r>
        <w:rPr>
          <w:rFonts w:ascii="宋体" w:hAnsi="宋体"/>
          <w:color w:val="auto"/>
          <w:sz w:val="21"/>
          <w:szCs w:val="21"/>
          <w:highlight w:val="none"/>
        </w:rPr>
        <w:t>竣工资料被发包人认可后的30</w:t>
      </w:r>
      <w:r>
        <w:rPr>
          <w:rFonts w:hint="eastAsia" w:ascii="宋体" w:hAnsi="宋体"/>
          <w:color w:val="auto"/>
          <w:sz w:val="21"/>
          <w:szCs w:val="21"/>
          <w:highlight w:val="none"/>
        </w:rPr>
        <w:t>日</w:t>
      </w:r>
      <w:r>
        <w:rPr>
          <w:rFonts w:ascii="宋体" w:hAnsi="宋体"/>
          <w:color w:val="auto"/>
          <w:sz w:val="21"/>
          <w:szCs w:val="21"/>
          <w:highlight w:val="none"/>
        </w:rPr>
        <w:t>内，承包人向发包人递交竣工结算报告和完整的竣工结算资料。</w:t>
      </w:r>
    </w:p>
    <w:p w14:paraId="2D0CDFDF">
      <w:pPr>
        <w:keepNext w:val="0"/>
        <w:keepLines w:val="0"/>
        <w:pageBreakBefore w:val="0"/>
        <w:numPr>
          <w:ilvl w:val="2"/>
          <w:numId w:val="11"/>
        </w:numPr>
        <w:tabs>
          <w:tab w:val="left" w:pos="1134"/>
          <w:tab w:val="clear" w:pos="0"/>
        </w:tabs>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ascii="宋体" w:hAnsi="宋体"/>
          <w:color w:val="auto"/>
          <w:sz w:val="21"/>
          <w:szCs w:val="21"/>
          <w:highlight w:val="none"/>
        </w:rPr>
        <w:t>最终竣工结算资料。发包人收到承包人提交的竣工结算报告和完整的竣工结算资料后的30</w:t>
      </w:r>
      <w:r>
        <w:rPr>
          <w:rFonts w:hint="eastAsia" w:ascii="宋体" w:hAnsi="宋体"/>
          <w:color w:val="auto"/>
          <w:sz w:val="21"/>
          <w:szCs w:val="21"/>
          <w:highlight w:val="none"/>
        </w:rPr>
        <w:t>日</w:t>
      </w:r>
      <w:r>
        <w:rPr>
          <w:rFonts w:ascii="宋体" w:hAnsi="宋体"/>
          <w:color w:val="auto"/>
          <w:sz w:val="21"/>
          <w:szCs w:val="21"/>
          <w:highlight w:val="none"/>
        </w:rPr>
        <w:t>内，</w:t>
      </w:r>
      <w:r>
        <w:rPr>
          <w:rFonts w:hint="eastAsia" w:ascii="宋体" w:hAnsi="宋体"/>
          <w:color w:val="auto"/>
          <w:sz w:val="21"/>
          <w:szCs w:val="21"/>
          <w:highlight w:val="none"/>
        </w:rPr>
        <w:t>经审查并</w:t>
      </w:r>
      <w:r>
        <w:rPr>
          <w:rFonts w:ascii="宋体" w:hAnsi="宋体"/>
          <w:color w:val="auto"/>
          <w:sz w:val="21"/>
          <w:szCs w:val="21"/>
          <w:highlight w:val="none"/>
        </w:rPr>
        <w:t>提出修改意见</w:t>
      </w:r>
      <w:r>
        <w:rPr>
          <w:rFonts w:hint="eastAsia" w:ascii="宋体" w:hAnsi="宋体"/>
          <w:color w:val="auto"/>
          <w:sz w:val="21"/>
          <w:szCs w:val="21"/>
          <w:highlight w:val="none"/>
        </w:rPr>
        <w:t>，</w:t>
      </w:r>
      <w:r>
        <w:rPr>
          <w:rFonts w:ascii="宋体" w:hAnsi="宋体"/>
          <w:color w:val="auto"/>
          <w:sz w:val="21"/>
          <w:szCs w:val="21"/>
          <w:highlight w:val="none"/>
        </w:rPr>
        <w:t>协商一致</w:t>
      </w:r>
      <w:r>
        <w:rPr>
          <w:rFonts w:hint="eastAsia" w:ascii="宋体" w:hAnsi="宋体"/>
          <w:color w:val="auto"/>
          <w:sz w:val="21"/>
          <w:szCs w:val="21"/>
          <w:highlight w:val="none"/>
        </w:rPr>
        <w:t>后</w:t>
      </w:r>
      <w:r>
        <w:rPr>
          <w:rFonts w:ascii="宋体" w:hAnsi="宋体"/>
          <w:color w:val="auto"/>
          <w:sz w:val="21"/>
          <w:szCs w:val="21"/>
          <w:highlight w:val="none"/>
        </w:rPr>
        <w:t>，</w:t>
      </w:r>
      <w:r>
        <w:rPr>
          <w:rFonts w:hint="eastAsia" w:ascii="宋体" w:hAnsi="宋体"/>
          <w:color w:val="auto"/>
          <w:sz w:val="21"/>
          <w:szCs w:val="21"/>
          <w:highlight w:val="none"/>
        </w:rPr>
        <w:t>由</w:t>
      </w:r>
      <w:r>
        <w:rPr>
          <w:rFonts w:ascii="宋体" w:hAnsi="宋体"/>
          <w:color w:val="auto"/>
          <w:sz w:val="21"/>
          <w:szCs w:val="21"/>
          <w:highlight w:val="none"/>
        </w:rPr>
        <w:t>承包人自费修正</w:t>
      </w:r>
      <w:r>
        <w:rPr>
          <w:rFonts w:hint="eastAsia" w:ascii="宋体" w:hAnsi="宋体"/>
          <w:color w:val="auto"/>
          <w:sz w:val="21"/>
          <w:szCs w:val="21"/>
          <w:highlight w:val="none"/>
        </w:rPr>
        <w:t>，</w:t>
      </w:r>
      <w:r>
        <w:rPr>
          <w:rFonts w:ascii="宋体" w:hAnsi="宋体"/>
          <w:color w:val="auto"/>
          <w:sz w:val="21"/>
          <w:szCs w:val="21"/>
          <w:highlight w:val="none"/>
        </w:rPr>
        <w:t>并提交最终的竣工结算报告和</w:t>
      </w:r>
      <w:r>
        <w:rPr>
          <w:rFonts w:hint="eastAsia" w:ascii="宋体" w:hAnsi="宋体"/>
          <w:color w:val="auto"/>
          <w:sz w:val="21"/>
          <w:szCs w:val="21"/>
          <w:highlight w:val="none"/>
        </w:rPr>
        <w:t>最终的</w:t>
      </w:r>
      <w:r>
        <w:rPr>
          <w:rFonts w:ascii="宋体" w:hAnsi="宋体"/>
          <w:color w:val="auto"/>
          <w:sz w:val="21"/>
          <w:szCs w:val="21"/>
          <w:highlight w:val="none"/>
        </w:rPr>
        <w:t>结算资料。</w:t>
      </w:r>
    </w:p>
    <w:p w14:paraId="71D94809">
      <w:pPr>
        <w:keepNext w:val="0"/>
        <w:keepLines w:val="0"/>
        <w:pageBreakBefore w:val="0"/>
        <w:numPr>
          <w:ilvl w:val="2"/>
          <w:numId w:val="11"/>
        </w:numPr>
        <w:tabs>
          <w:tab w:val="left" w:pos="1134"/>
          <w:tab w:val="clear" w:pos="0"/>
        </w:tabs>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ascii="宋体" w:hAnsi="宋体"/>
          <w:color w:val="auto"/>
          <w:sz w:val="21"/>
          <w:szCs w:val="21"/>
          <w:highlight w:val="none"/>
        </w:rPr>
        <w:t>结清竣工结算的款项。发包人在承包人按1</w:t>
      </w:r>
      <w:r>
        <w:rPr>
          <w:rFonts w:hint="eastAsia" w:ascii="宋体" w:hAnsi="宋体"/>
          <w:color w:val="auto"/>
          <w:sz w:val="21"/>
          <w:szCs w:val="21"/>
          <w:highlight w:val="none"/>
        </w:rPr>
        <w:t>3</w:t>
      </w:r>
      <w:r>
        <w:rPr>
          <w:rFonts w:ascii="宋体" w:hAnsi="宋体"/>
          <w:color w:val="auto"/>
          <w:sz w:val="21"/>
          <w:szCs w:val="21"/>
          <w:highlight w:val="none"/>
        </w:rPr>
        <w:t>.12.2款</w:t>
      </w:r>
      <w:r>
        <w:rPr>
          <w:rFonts w:hint="eastAsia" w:ascii="宋体" w:hAnsi="宋体"/>
          <w:color w:val="auto"/>
          <w:sz w:val="21"/>
          <w:szCs w:val="21"/>
          <w:highlight w:val="none"/>
        </w:rPr>
        <w:t>的约定</w:t>
      </w:r>
      <w:r>
        <w:rPr>
          <w:rFonts w:ascii="宋体" w:hAnsi="宋体"/>
          <w:color w:val="auto"/>
          <w:sz w:val="21"/>
          <w:szCs w:val="21"/>
          <w:highlight w:val="none"/>
        </w:rPr>
        <w:t>提交</w:t>
      </w:r>
      <w:r>
        <w:rPr>
          <w:rFonts w:hint="eastAsia" w:ascii="宋体" w:hAnsi="宋体"/>
          <w:color w:val="auto"/>
          <w:sz w:val="21"/>
          <w:szCs w:val="21"/>
          <w:highlight w:val="none"/>
        </w:rPr>
        <w:t>了</w:t>
      </w:r>
      <w:r>
        <w:rPr>
          <w:rFonts w:ascii="宋体" w:hAnsi="宋体"/>
          <w:color w:val="auto"/>
          <w:sz w:val="21"/>
          <w:szCs w:val="21"/>
          <w:highlight w:val="none"/>
        </w:rPr>
        <w:t>最终竣工结算资料的30</w:t>
      </w:r>
      <w:r>
        <w:rPr>
          <w:rFonts w:hint="eastAsia" w:ascii="宋体" w:hAnsi="宋体"/>
          <w:color w:val="auto"/>
          <w:sz w:val="21"/>
          <w:szCs w:val="21"/>
          <w:highlight w:val="none"/>
        </w:rPr>
        <w:t>日</w:t>
      </w:r>
      <w:r>
        <w:rPr>
          <w:rFonts w:ascii="宋体" w:hAnsi="宋体"/>
          <w:color w:val="auto"/>
          <w:sz w:val="21"/>
          <w:szCs w:val="21"/>
          <w:highlight w:val="none"/>
        </w:rPr>
        <w:t>内，结清竣工结算的款项</w:t>
      </w:r>
      <w:r>
        <w:rPr>
          <w:rFonts w:hint="eastAsia" w:ascii="宋体" w:hAnsi="宋体"/>
          <w:color w:val="auto"/>
          <w:sz w:val="21"/>
          <w:szCs w:val="21"/>
          <w:highlight w:val="none"/>
        </w:rPr>
        <w:t>。</w:t>
      </w:r>
    </w:p>
    <w:p w14:paraId="04A69208">
      <w:pPr>
        <w:keepNext w:val="0"/>
        <w:keepLines w:val="0"/>
        <w:pageBreakBefore w:val="0"/>
        <w:numPr>
          <w:ilvl w:val="2"/>
          <w:numId w:val="11"/>
        </w:numPr>
        <w:tabs>
          <w:tab w:val="left" w:pos="1134"/>
          <w:tab w:val="clear" w:pos="0"/>
        </w:tabs>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ascii="宋体" w:hAnsi="宋体"/>
          <w:color w:val="auto"/>
          <w:sz w:val="21"/>
          <w:szCs w:val="21"/>
          <w:highlight w:val="none"/>
        </w:rPr>
        <w:t>发包人未能支付竣工结算的款项</w:t>
      </w:r>
    </w:p>
    <w:p w14:paraId="0FD67D0E">
      <w:pPr>
        <w:keepNext w:val="0"/>
        <w:keepLines w:val="0"/>
        <w:pageBreakBefore w:val="0"/>
        <w:kinsoku/>
        <w:wordWrap/>
        <w:overflowPunct/>
        <w:topLinePunct w:val="0"/>
        <w:autoSpaceDE/>
        <w:autoSpaceDN/>
        <w:bidi w:val="0"/>
        <w:spacing w:line="360" w:lineRule="auto"/>
        <w:ind w:left="630" w:leftChars="300" w:firstLine="0" w:firstLineChars="0"/>
        <w:textAlignment w:val="auto"/>
        <w:rPr>
          <w:rFonts w:ascii="宋体" w:hAnsi="宋体"/>
          <w:color w:val="auto"/>
          <w:sz w:val="21"/>
          <w:szCs w:val="21"/>
          <w:highlight w:val="none"/>
        </w:rPr>
      </w:pPr>
      <w:r>
        <w:rPr>
          <w:rFonts w:ascii="宋体" w:hAnsi="宋体"/>
          <w:color w:val="auto"/>
          <w:sz w:val="21"/>
          <w:szCs w:val="21"/>
          <w:highlight w:val="none"/>
        </w:rPr>
        <w:t>根据1</w:t>
      </w:r>
      <w:r>
        <w:rPr>
          <w:rFonts w:hint="eastAsia" w:ascii="宋体" w:hAnsi="宋体"/>
          <w:color w:val="auto"/>
          <w:sz w:val="21"/>
          <w:szCs w:val="21"/>
          <w:highlight w:val="none"/>
        </w:rPr>
        <w:t>3</w:t>
      </w:r>
      <w:r>
        <w:rPr>
          <w:rFonts w:ascii="宋体" w:hAnsi="宋体"/>
          <w:color w:val="auto"/>
          <w:sz w:val="21"/>
          <w:szCs w:val="21"/>
          <w:highlight w:val="none"/>
        </w:rPr>
        <w:t>.12.</w:t>
      </w:r>
      <w:r>
        <w:rPr>
          <w:rFonts w:hint="eastAsia" w:ascii="宋体" w:hAnsi="宋体"/>
          <w:color w:val="auto"/>
          <w:sz w:val="21"/>
          <w:szCs w:val="21"/>
          <w:highlight w:val="none"/>
        </w:rPr>
        <w:t>2</w:t>
      </w:r>
      <w:r>
        <w:rPr>
          <w:rFonts w:ascii="宋体" w:hAnsi="宋体"/>
          <w:color w:val="auto"/>
          <w:sz w:val="21"/>
          <w:szCs w:val="21"/>
          <w:highlight w:val="none"/>
        </w:rPr>
        <w:t>款的</w:t>
      </w:r>
      <w:r>
        <w:rPr>
          <w:rFonts w:hint="eastAsia" w:ascii="宋体" w:hAnsi="宋体"/>
          <w:color w:val="auto"/>
          <w:sz w:val="21"/>
          <w:szCs w:val="21"/>
          <w:highlight w:val="none"/>
        </w:rPr>
        <w:t>约定</w:t>
      </w:r>
      <w:r>
        <w:rPr>
          <w:rFonts w:ascii="宋体" w:hAnsi="宋体"/>
          <w:color w:val="auto"/>
          <w:sz w:val="21"/>
          <w:szCs w:val="21"/>
          <w:highlight w:val="none"/>
        </w:rPr>
        <w:t>，发包人未能在</w:t>
      </w:r>
      <w:r>
        <w:rPr>
          <w:rFonts w:hint="eastAsia" w:ascii="宋体" w:hAnsi="宋体"/>
          <w:color w:val="auto"/>
          <w:sz w:val="21"/>
          <w:szCs w:val="21"/>
          <w:highlight w:val="none"/>
        </w:rPr>
        <w:t>约定</w:t>
      </w:r>
      <w:r>
        <w:rPr>
          <w:rFonts w:ascii="宋体" w:hAnsi="宋体"/>
          <w:color w:val="auto"/>
          <w:sz w:val="21"/>
          <w:szCs w:val="21"/>
          <w:highlight w:val="none"/>
        </w:rPr>
        <w:t>的30</w:t>
      </w:r>
      <w:r>
        <w:rPr>
          <w:rFonts w:hint="eastAsia" w:ascii="宋体" w:hAnsi="宋体"/>
          <w:color w:val="auto"/>
          <w:sz w:val="21"/>
          <w:szCs w:val="21"/>
          <w:highlight w:val="none"/>
        </w:rPr>
        <w:t>日</w:t>
      </w:r>
      <w:r>
        <w:rPr>
          <w:rFonts w:ascii="宋体" w:hAnsi="宋体"/>
          <w:color w:val="auto"/>
          <w:sz w:val="21"/>
          <w:szCs w:val="21"/>
          <w:highlight w:val="none"/>
        </w:rPr>
        <w:t>内对竣工结算资料提出修改意见和答复，也未能向承包人支付竣工结算款项的余额，从承包人提交该报告后的第31</w:t>
      </w:r>
      <w:r>
        <w:rPr>
          <w:rFonts w:hint="eastAsia" w:ascii="宋体" w:hAnsi="宋体"/>
          <w:color w:val="auto"/>
          <w:sz w:val="21"/>
          <w:szCs w:val="21"/>
          <w:highlight w:val="none"/>
        </w:rPr>
        <w:t>日</w:t>
      </w:r>
      <w:r>
        <w:rPr>
          <w:rFonts w:ascii="宋体" w:hAnsi="宋体"/>
          <w:color w:val="auto"/>
          <w:sz w:val="21"/>
          <w:szCs w:val="21"/>
          <w:highlight w:val="none"/>
        </w:rPr>
        <w:t>起，按中国人民银行同期同类的贷款利率，支付拖欠承包人的竣工结算款项的余额</w:t>
      </w:r>
      <w:r>
        <w:rPr>
          <w:rFonts w:hint="eastAsia" w:ascii="宋体" w:hAnsi="宋体"/>
          <w:color w:val="auto"/>
          <w:sz w:val="21"/>
          <w:szCs w:val="21"/>
          <w:highlight w:val="none"/>
        </w:rPr>
        <w:t>及其</w:t>
      </w:r>
      <w:r>
        <w:rPr>
          <w:rFonts w:ascii="宋体" w:hAnsi="宋体"/>
          <w:color w:val="auto"/>
          <w:sz w:val="21"/>
          <w:szCs w:val="21"/>
          <w:highlight w:val="none"/>
        </w:rPr>
        <w:t>利息。</w:t>
      </w:r>
    </w:p>
    <w:p w14:paraId="134A524C">
      <w:pPr>
        <w:keepNext w:val="0"/>
        <w:keepLines w:val="0"/>
        <w:pageBreakBefore w:val="0"/>
        <w:kinsoku/>
        <w:wordWrap/>
        <w:overflowPunct/>
        <w:topLinePunct w:val="0"/>
        <w:autoSpaceDE/>
        <w:autoSpaceDN/>
        <w:bidi w:val="0"/>
        <w:spacing w:line="360" w:lineRule="auto"/>
        <w:ind w:left="630" w:leftChars="300" w:firstLine="0" w:firstLineChars="0"/>
        <w:textAlignment w:val="auto"/>
        <w:rPr>
          <w:rFonts w:ascii="宋体" w:hAnsi="宋体"/>
          <w:color w:val="auto"/>
          <w:sz w:val="21"/>
          <w:szCs w:val="21"/>
          <w:highlight w:val="none"/>
        </w:rPr>
      </w:pPr>
      <w:r>
        <w:rPr>
          <w:rFonts w:hint="eastAsia" w:ascii="宋体" w:hAnsi="宋体"/>
          <w:color w:val="auto"/>
          <w:sz w:val="21"/>
          <w:szCs w:val="21"/>
          <w:highlight w:val="none"/>
        </w:rPr>
        <w:t>发包人在承包人提交最终竣工结算资料的90日内，仍未支付，承包人可依据第</w:t>
      </w:r>
      <w:r>
        <w:rPr>
          <w:rFonts w:ascii="宋体" w:hAnsi="宋体"/>
          <w:color w:val="auto"/>
          <w:sz w:val="21"/>
          <w:szCs w:val="21"/>
          <w:highlight w:val="none"/>
        </w:rPr>
        <w:t>16.3</w:t>
      </w:r>
      <w:r>
        <w:rPr>
          <w:rFonts w:hint="eastAsia" w:ascii="宋体" w:hAnsi="宋体"/>
          <w:color w:val="auto"/>
          <w:sz w:val="21"/>
          <w:szCs w:val="21"/>
          <w:highlight w:val="none"/>
        </w:rPr>
        <w:t>款争议和裁决的约定解决。</w:t>
      </w:r>
    </w:p>
    <w:p w14:paraId="3B375AB9">
      <w:pPr>
        <w:keepNext w:val="0"/>
        <w:keepLines w:val="0"/>
        <w:pageBreakBefore w:val="0"/>
        <w:numPr>
          <w:ilvl w:val="2"/>
          <w:numId w:val="11"/>
        </w:numPr>
        <w:tabs>
          <w:tab w:val="left" w:pos="1134"/>
          <w:tab w:val="clear" w:pos="0"/>
        </w:tabs>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ascii="宋体" w:hAnsi="宋体"/>
          <w:color w:val="auto"/>
          <w:sz w:val="21"/>
          <w:szCs w:val="21"/>
          <w:highlight w:val="none"/>
        </w:rPr>
        <w:t>未能按时提交竣工结算报告及完整的结算资料。工程竣工验收报告经发包人认可后的30</w:t>
      </w:r>
      <w:r>
        <w:rPr>
          <w:rFonts w:hint="eastAsia" w:ascii="宋体" w:hAnsi="宋体"/>
          <w:color w:val="auto"/>
          <w:sz w:val="21"/>
          <w:szCs w:val="21"/>
          <w:highlight w:val="none"/>
        </w:rPr>
        <w:t>日</w:t>
      </w:r>
      <w:r>
        <w:rPr>
          <w:rFonts w:ascii="宋体" w:hAnsi="宋体"/>
          <w:color w:val="auto"/>
          <w:sz w:val="21"/>
          <w:szCs w:val="21"/>
          <w:highlight w:val="none"/>
        </w:rPr>
        <w:t>内，承包人未能向发包人提交竣工结算报告及完整的结算资料，造成工程竣工结算不能正常进行、或工程竣工结算不能按时结清，发包人要求</w:t>
      </w:r>
      <w:r>
        <w:rPr>
          <w:rFonts w:hint="eastAsia" w:ascii="宋体" w:hAnsi="宋体"/>
          <w:color w:val="auto"/>
          <w:sz w:val="21"/>
          <w:szCs w:val="21"/>
          <w:highlight w:val="none"/>
        </w:rPr>
        <w:t>承包人</w:t>
      </w:r>
      <w:r>
        <w:rPr>
          <w:rFonts w:ascii="宋体" w:hAnsi="宋体"/>
          <w:color w:val="auto"/>
          <w:sz w:val="21"/>
          <w:szCs w:val="21"/>
          <w:highlight w:val="none"/>
        </w:rPr>
        <w:t>交付工程时，承包人须交付；发包人</w:t>
      </w:r>
      <w:r>
        <w:rPr>
          <w:rFonts w:hint="eastAsia" w:ascii="宋体" w:hAnsi="宋体"/>
          <w:color w:val="auto"/>
          <w:sz w:val="21"/>
          <w:szCs w:val="21"/>
          <w:highlight w:val="none"/>
        </w:rPr>
        <w:t>未</w:t>
      </w:r>
      <w:r>
        <w:rPr>
          <w:rFonts w:ascii="宋体" w:hAnsi="宋体"/>
          <w:color w:val="auto"/>
          <w:sz w:val="21"/>
          <w:szCs w:val="21"/>
          <w:highlight w:val="none"/>
        </w:rPr>
        <w:t>要求交付工程时，承包人须承担保管、维护和保养的费用和责任，不包括根据第9条工程接收</w:t>
      </w:r>
      <w:r>
        <w:rPr>
          <w:rFonts w:hint="eastAsia" w:ascii="宋体" w:hAnsi="宋体"/>
          <w:color w:val="auto"/>
          <w:sz w:val="21"/>
          <w:szCs w:val="21"/>
          <w:highlight w:val="none"/>
        </w:rPr>
        <w:t>的约定</w:t>
      </w:r>
      <w:r>
        <w:rPr>
          <w:rFonts w:ascii="宋体" w:hAnsi="宋体"/>
          <w:color w:val="auto"/>
          <w:sz w:val="21"/>
          <w:szCs w:val="21"/>
          <w:highlight w:val="none"/>
        </w:rPr>
        <w:t>已被发包人使用、接收的单项工程和工程的任何部分。</w:t>
      </w:r>
    </w:p>
    <w:p w14:paraId="5D06872B">
      <w:pPr>
        <w:keepNext w:val="0"/>
        <w:keepLines w:val="0"/>
        <w:pageBreakBefore w:val="0"/>
        <w:numPr>
          <w:ilvl w:val="2"/>
          <w:numId w:val="11"/>
        </w:numPr>
        <w:tabs>
          <w:tab w:val="left" w:pos="1134"/>
          <w:tab w:val="clear" w:pos="0"/>
        </w:tabs>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ascii="宋体" w:hAnsi="宋体"/>
          <w:color w:val="auto"/>
          <w:sz w:val="21"/>
          <w:szCs w:val="21"/>
          <w:highlight w:val="none"/>
        </w:rPr>
        <w:t>承包人未能支付竣工结算的款项</w:t>
      </w:r>
    </w:p>
    <w:p w14:paraId="17F7CD01">
      <w:pPr>
        <w:keepNext w:val="0"/>
        <w:keepLines w:val="0"/>
        <w:pageBreakBefore w:val="0"/>
        <w:numPr>
          <w:ilvl w:val="0"/>
          <w:numId w:val="47"/>
        </w:numPr>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ascii="宋体" w:hAnsi="宋体"/>
          <w:color w:val="auto"/>
          <w:sz w:val="21"/>
          <w:szCs w:val="21"/>
          <w:highlight w:val="none"/>
        </w:rPr>
        <w:t>承包人未能按1</w:t>
      </w:r>
      <w:r>
        <w:rPr>
          <w:rFonts w:hint="eastAsia" w:ascii="宋体" w:hAnsi="宋体"/>
          <w:color w:val="auto"/>
          <w:sz w:val="21"/>
          <w:szCs w:val="21"/>
          <w:highlight w:val="none"/>
        </w:rPr>
        <w:t>3</w:t>
      </w:r>
      <w:r>
        <w:rPr>
          <w:rFonts w:ascii="宋体" w:hAnsi="宋体"/>
          <w:color w:val="auto"/>
          <w:sz w:val="21"/>
          <w:szCs w:val="21"/>
          <w:highlight w:val="none"/>
        </w:rPr>
        <w:t>.12.3款的</w:t>
      </w:r>
      <w:r>
        <w:rPr>
          <w:rFonts w:hint="eastAsia" w:ascii="宋体" w:hAnsi="宋体"/>
          <w:color w:val="auto"/>
          <w:sz w:val="21"/>
          <w:szCs w:val="21"/>
          <w:highlight w:val="none"/>
        </w:rPr>
        <w:t>约定</w:t>
      </w:r>
      <w:r>
        <w:rPr>
          <w:rFonts w:ascii="宋体" w:hAnsi="宋体"/>
          <w:color w:val="auto"/>
          <w:sz w:val="21"/>
          <w:szCs w:val="21"/>
          <w:highlight w:val="none"/>
        </w:rPr>
        <w:t>，结清应付给发包人的竣工结算中的款项余额，发包人有权从承包人根据1</w:t>
      </w:r>
      <w:r>
        <w:rPr>
          <w:rFonts w:hint="eastAsia" w:ascii="宋体" w:hAnsi="宋体"/>
          <w:color w:val="auto"/>
          <w:sz w:val="21"/>
          <w:szCs w:val="21"/>
          <w:highlight w:val="none"/>
        </w:rPr>
        <w:t>3</w:t>
      </w:r>
      <w:r>
        <w:rPr>
          <w:rFonts w:ascii="宋体" w:hAnsi="宋体"/>
          <w:color w:val="auto"/>
          <w:sz w:val="21"/>
          <w:szCs w:val="21"/>
          <w:highlight w:val="none"/>
        </w:rPr>
        <w:t>.2.1款</w:t>
      </w:r>
      <w:r>
        <w:rPr>
          <w:rFonts w:hint="eastAsia" w:ascii="宋体" w:hAnsi="宋体"/>
          <w:color w:val="auto"/>
          <w:sz w:val="21"/>
          <w:szCs w:val="21"/>
          <w:highlight w:val="none"/>
        </w:rPr>
        <w:t>约定</w:t>
      </w:r>
      <w:r>
        <w:rPr>
          <w:rFonts w:ascii="宋体" w:hAnsi="宋体"/>
          <w:color w:val="auto"/>
          <w:sz w:val="21"/>
          <w:szCs w:val="21"/>
          <w:highlight w:val="none"/>
        </w:rPr>
        <w:t>提交的履约保函中扣减该款项的余额。</w:t>
      </w:r>
    </w:p>
    <w:p w14:paraId="4F80E1B2">
      <w:pPr>
        <w:keepNext w:val="0"/>
        <w:keepLines w:val="0"/>
        <w:pageBreakBefore w:val="0"/>
        <w:kinsoku/>
        <w:wordWrap/>
        <w:overflowPunct/>
        <w:topLinePunct w:val="0"/>
        <w:autoSpaceDE/>
        <w:autoSpaceDN/>
        <w:bidi w:val="0"/>
        <w:spacing w:line="360" w:lineRule="auto"/>
        <w:ind w:left="630" w:leftChars="300" w:firstLine="0" w:firstLineChars="0"/>
        <w:textAlignment w:val="auto"/>
        <w:rPr>
          <w:rFonts w:ascii="宋体" w:hAnsi="宋体"/>
          <w:color w:val="auto"/>
          <w:sz w:val="21"/>
          <w:szCs w:val="21"/>
          <w:highlight w:val="none"/>
        </w:rPr>
      </w:pPr>
      <w:r>
        <w:rPr>
          <w:rFonts w:ascii="宋体" w:hAnsi="宋体"/>
          <w:color w:val="auto"/>
          <w:sz w:val="21"/>
          <w:szCs w:val="21"/>
          <w:highlight w:val="none"/>
        </w:rPr>
        <w:t>履约保函</w:t>
      </w:r>
      <w:r>
        <w:rPr>
          <w:rFonts w:hint="eastAsia" w:ascii="宋体" w:hAnsi="宋体"/>
          <w:color w:val="auto"/>
          <w:sz w:val="21"/>
          <w:szCs w:val="21"/>
          <w:highlight w:val="none"/>
        </w:rPr>
        <w:t>的</w:t>
      </w:r>
      <w:r>
        <w:rPr>
          <w:rFonts w:ascii="宋体" w:hAnsi="宋体"/>
          <w:color w:val="auto"/>
          <w:sz w:val="21"/>
          <w:szCs w:val="21"/>
          <w:highlight w:val="none"/>
        </w:rPr>
        <w:t>金额不足以抵偿</w:t>
      </w:r>
      <w:r>
        <w:rPr>
          <w:rFonts w:hint="eastAsia" w:ascii="宋体" w:hAnsi="宋体"/>
          <w:color w:val="auto"/>
          <w:sz w:val="21"/>
          <w:szCs w:val="21"/>
          <w:highlight w:val="none"/>
        </w:rPr>
        <w:t>时</w:t>
      </w:r>
      <w:r>
        <w:rPr>
          <w:rFonts w:ascii="宋体" w:hAnsi="宋体"/>
          <w:color w:val="auto"/>
          <w:sz w:val="21"/>
          <w:szCs w:val="21"/>
          <w:highlight w:val="none"/>
        </w:rPr>
        <w:t>，从最终竣工结算</w:t>
      </w:r>
      <w:r>
        <w:rPr>
          <w:rFonts w:hint="eastAsia" w:ascii="宋体" w:hAnsi="宋体"/>
          <w:color w:val="auto"/>
          <w:sz w:val="21"/>
          <w:szCs w:val="21"/>
          <w:highlight w:val="none"/>
        </w:rPr>
        <w:t>资料</w:t>
      </w:r>
      <w:r>
        <w:rPr>
          <w:rFonts w:ascii="宋体" w:hAnsi="宋体"/>
          <w:color w:val="auto"/>
          <w:sz w:val="21"/>
          <w:szCs w:val="21"/>
          <w:highlight w:val="none"/>
        </w:rPr>
        <w:t>提交之后的31</w:t>
      </w:r>
      <w:r>
        <w:rPr>
          <w:rFonts w:hint="eastAsia" w:ascii="宋体" w:hAnsi="宋体"/>
          <w:color w:val="auto"/>
          <w:sz w:val="21"/>
          <w:szCs w:val="21"/>
          <w:highlight w:val="none"/>
        </w:rPr>
        <w:t>日</w:t>
      </w:r>
      <w:r>
        <w:rPr>
          <w:rFonts w:ascii="宋体" w:hAnsi="宋体"/>
          <w:color w:val="auto"/>
          <w:sz w:val="21"/>
          <w:szCs w:val="21"/>
          <w:highlight w:val="none"/>
        </w:rPr>
        <w:t>起，承包人按中国人民银行同期同类贷款利率支付拖欠的竣工结算款项的余额</w:t>
      </w:r>
      <w:r>
        <w:rPr>
          <w:rFonts w:hint="eastAsia" w:ascii="宋体" w:hAnsi="宋体"/>
          <w:color w:val="auto"/>
          <w:sz w:val="21"/>
          <w:szCs w:val="21"/>
          <w:highlight w:val="none"/>
        </w:rPr>
        <w:t>及其</w:t>
      </w:r>
      <w:r>
        <w:rPr>
          <w:rFonts w:ascii="宋体" w:hAnsi="宋体"/>
          <w:color w:val="auto"/>
          <w:sz w:val="21"/>
          <w:szCs w:val="21"/>
          <w:highlight w:val="none"/>
        </w:rPr>
        <w:t>利息。</w:t>
      </w:r>
      <w:r>
        <w:rPr>
          <w:rFonts w:hint="eastAsia" w:ascii="宋体" w:hAnsi="宋体"/>
          <w:color w:val="auto"/>
          <w:sz w:val="21"/>
          <w:szCs w:val="21"/>
          <w:highlight w:val="none"/>
        </w:rPr>
        <w:t>当</w:t>
      </w:r>
      <w:r>
        <w:rPr>
          <w:rFonts w:ascii="宋体" w:hAnsi="宋体"/>
          <w:color w:val="auto"/>
          <w:sz w:val="21"/>
          <w:szCs w:val="21"/>
          <w:highlight w:val="none"/>
        </w:rPr>
        <w:t>承包人在最终竣工结算资料提交后的90</w:t>
      </w:r>
      <w:r>
        <w:rPr>
          <w:rFonts w:hint="eastAsia" w:ascii="宋体" w:hAnsi="宋体"/>
          <w:color w:val="auto"/>
          <w:sz w:val="21"/>
          <w:szCs w:val="21"/>
          <w:highlight w:val="none"/>
        </w:rPr>
        <w:t>日</w:t>
      </w:r>
      <w:r>
        <w:rPr>
          <w:rFonts w:ascii="宋体" w:hAnsi="宋体"/>
          <w:color w:val="auto"/>
          <w:sz w:val="21"/>
          <w:szCs w:val="21"/>
          <w:highlight w:val="none"/>
        </w:rPr>
        <w:t>内仍未支付</w:t>
      </w:r>
      <w:r>
        <w:rPr>
          <w:rFonts w:hint="eastAsia" w:ascii="宋体" w:hAnsi="宋体"/>
          <w:color w:val="auto"/>
          <w:sz w:val="21"/>
          <w:szCs w:val="21"/>
          <w:highlight w:val="none"/>
        </w:rPr>
        <w:t>时</w:t>
      </w:r>
      <w:r>
        <w:rPr>
          <w:rFonts w:ascii="宋体" w:hAnsi="宋体"/>
          <w:color w:val="auto"/>
          <w:sz w:val="21"/>
          <w:szCs w:val="21"/>
          <w:highlight w:val="none"/>
        </w:rPr>
        <w:t>，发包人有权根据第16.3款争议和裁决的</w:t>
      </w:r>
      <w:r>
        <w:rPr>
          <w:rFonts w:hint="eastAsia" w:ascii="宋体" w:hAnsi="宋体"/>
          <w:color w:val="auto"/>
          <w:sz w:val="21"/>
          <w:szCs w:val="21"/>
          <w:highlight w:val="none"/>
        </w:rPr>
        <w:t>约定</w:t>
      </w:r>
      <w:r>
        <w:rPr>
          <w:rFonts w:ascii="宋体" w:hAnsi="宋体"/>
          <w:color w:val="auto"/>
          <w:sz w:val="21"/>
          <w:szCs w:val="21"/>
          <w:highlight w:val="none"/>
        </w:rPr>
        <w:t>解决。</w:t>
      </w:r>
    </w:p>
    <w:p w14:paraId="50D09503">
      <w:pPr>
        <w:keepNext w:val="0"/>
        <w:keepLines w:val="0"/>
        <w:pageBreakBefore w:val="0"/>
        <w:numPr>
          <w:ilvl w:val="0"/>
          <w:numId w:val="47"/>
        </w:numPr>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ascii="宋体" w:hAnsi="宋体"/>
          <w:color w:val="auto"/>
          <w:sz w:val="21"/>
          <w:szCs w:val="21"/>
          <w:highlight w:val="none"/>
        </w:rPr>
        <w:t>合同未</w:t>
      </w:r>
      <w:r>
        <w:rPr>
          <w:rFonts w:hint="eastAsia" w:ascii="宋体" w:hAnsi="宋体"/>
          <w:color w:val="auto"/>
          <w:sz w:val="21"/>
          <w:szCs w:val="21"/>
          <w:highlight w:val="none"/>
        </w:rPr>
        <w:t>约定</w:t>
      </w:r>
      <w:r>
        <w:rPr>
          <w:rFonts w:ascii="宋体" w:hAnsi="宋体"/>
          <w:color w:val="auto"/>
          <w:sz w:val="21"/>
          <w:szCs w:val="21"/>
          <w:highlight w:val="none"/>
        </w:rPr>
        <w:t>履约保函</w:t>
      </w:r>
      <w:r>
        <w:rPr>
          <w:rFonts w:hint="eastAsia" w:ascii="宋体" w:hAnsi="宋体"/>
          <w:color w:val="auto"/>
          <w:sz w:val="21"/>
          <w:szCs w:val="21"/>
          <w:highlight w:val="none"/>
        </w:rPr>
        <w:t>时</w:t>
      </w:r>
      <w:r>
        <w:rPr>
          <w:rFonts w:ascii="宋体" w:hAnsi="宋体"/>
          <w:color w:val="auto"/>
          <w:sz w:val="21"/>
          <w:szCs w:val="21"/>
          <w:highlight w:val="none"/>
        </w:rPr>
        <w:t>，承包人从最终竣工结算资料提交后的第31</w:t>
      </w:r>
      <w:r>
        <w:rPr>
          <w:rFonts w:hint="eastAsia" w:ascii="宋体" w:hAnsi="宋体"/>
          <w:color w:val="auto"/>
          <w:sz w:val="21"/>
          <w:szCs w:val="21"/>
          <w:highlight w:val="none"/>
        </w:rPr>
        <w:t>日</w:t>
      </w:r>
      <w:r>
        <w:rPr>
          <w:rFonts w:ascii="宋体" w:hAnsi="宋体"/>
          <w:color w:val="auto"/>
          <w:sz w:val="21"/>
          <w:szCs w:val="21"/>
          <w:highlight w:val="none"/>
        </w:rPr>
        <w:t>起，按中国人民银行同期同类贷款利率，向发包人支付拖欠的余额</w:t>
      </w:r>
      <w:r>
        <w:rPr>
          <w:rFonts w:hint="eastAsia" w:ascii="宋体" w:hAnsi="宋体"/>
          <w:color w:val="auto"/>
          <w:sz w:val="21"/>
          <w:szCs w:val="21"/>
          <w:highlight w:val="none"/>
        </w:rPr>
        <w:t>及其</w:t>
      </w:r>
      <w:r>
        <w:rPr>
          <w:rFonts w:ascii="宋体" w:hAnsi="宋体"/>
          <w:color w:val="auto"/>
          <w:sz w:val="21"/>
          <w:szCs w:val="21"/>
          <w:highlight w:val="none"/>
        </w:rPr>
        <w:t>利息。</w:t>
      </w:r>
      <w:r>
        <w:rPr>
          <w:rFonts w:hint="eastAsia" w:ascii="宋体" w:hAnsi="宋体"/>
          <w:color w:val="auto"/>
          <w:sz w:val="21"/>
          <w:szCs w:val="21"/>
          <w:highlight w:val="none"/>
        </w:rPr>
        <w:t>当</w:t>
      </w:r>
      <w:r>
        <w:rPr>
          <w:rFonts w:ascii="宋体" w:hAnsi="宋体"/>
          <w:color w:val="auto"/>
          <w:sz w:val="21"/>
          <w:szCs w:val="21"/>
          <w:highlight w:val="none"/>
        </w:rPr>
        <w:t>承包人在最终竣工结算资料提交后的90</w:t>
      </w:r>
      <w:r>
        <w:rPr>
          <w:rFonts w:hint="eastAsia" w:ascii="宋体" w:hAnsi="宋体"/>
          <w:color w:val="auto"/>
          <w:sz w:val="21"/>
          <w:szCs w:val="21"/>
          <w:highlight w:val="none"/>
        </w:rPr>
        <w:t>日</w:t>
      </w:r>
      <w:r>
        <w:rPr>
          <w:rFonts w:ascii="宋体" w:hAnsi="宋体"/>
          <w:color w:val="auto"/>
          <w:sz w:val="21"/>
          <w:szCs w:val="21"/>
          <w:highlight w:val="none"/>
        </w:rPr>
        <w:t>内仍未支付</w:t>
      </w:r>
      <w:r>
        <w:rPr>
          <w:rFonts w:hint="eastAsia" w:ascii="宋体" w:hAnsi="宋体"/>
          <w:color w:val="auto"/>
          <w:sz w:val="21"/>
          <w:szCs w:val="21"/>
          <w:highlight w:val="none"/>
        </w:rPr>
        <w:t>时</w:t>
      </w:r>
      <w:r>
        <w:rPr>
          <w:rFonts w:ascii="宋体" w:hAnsi="宋体"/>
          <w:color w:val="auto"/>
          <w:sz w:val="21"/>
          <w:szCs w:val="21"/>
          <w:highlight w:val="none"/>
        </w:rPr>
        <w:t>，发包人有权根据第16.3款争议和裁决的</w:t>
      </w:r>
      <w:r>
        <w:rPr>
          <w:rFonts w:hint="eastAsia" w:ascii="宋体" w:hAnsi="宋体"/>
          <w:color w:val="auto"/>
          <w:sz w:val="21"/>
          <w:szCs w:val="21"/>
          <w:highlight w:val="none"/>
        </w:rPr>
        <w:t>约定</w:t>
      </w:r>
      <w:r>
        <w:rPr>
          <w:rFonts w:ascii="宋体" w:hAnsi="宋体"/>
          <w:color w:val="auto"/>
          <w:sz w:val="21"/>
          <w:szCs w:val="21"/>
          <w:highlight w:val="none"/>
        </w:rPr>
        <w:t>解决。</w:t>
      </w:r>
    </w:p>
    <w:p w14:paraId="5CBF5B18">
      <w:pPr>
        <w:keepNext w:val="0"/>
        <w:keepLines w:val="0"/>
        <w:pageBreakBefore w:val="0"/>
        <w:numPr>
          <w:ilvl w:val="2"/>
          <w:numId w:val="11"/>
        </w:numPr>
        <w:tabs>
          <w:tab w:val="left" w:pos="1134"/>
          <w:tab w:val="clear" w:pos="0"/>
        </w:tabs>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竣工结算的争议。发包人收到承包人递交的竣工结算报告及完整的结算资料后的</w:t>
      </w:r>
      <w:r>
        <w:rPr>
          <w:rFonts w:ascii="宋体" w:hAnsi="宋体"/>
          <w:color w:val="auto"/>
          <w:sz w:val="21"/>
          <w:szCs w:val="21"/>
          <w:highlight w:val="none"/>
        </w:rPr>
        <w:t>30</w:t>
      </w:r>
      <w:r>
        <w:rPr>
          <w:rFonts w:hint="eastAsia" w:ascii="宋体" w:hAnsi="宋体"/>
          <w:color w:val="auto"/>
          <w:sz w:val="21"/>
          <w:szCs w:val="21"/>
          <w:highlight w:val="none"/>
        </w:rPr>
        <w:t>日内，对工程竣工结算的价款发生争议时，共同委托一家具有相应资质等级的工程造价咨询单位进行竣工结算审核，按审核结果，结清竣工结算的款项。对审核结果仍有争议时，依据第</w:t>
      </w:r>
      <w:r>
        <w:rPr>
          <w:rFonts w:ascii="宋体" w:hAnsi="宋体"/>
          <w:color w:val="auto"/>
          <w:sz w:val="21"/>
          <w:szCs w:val="21"/>
          <w:highlight w:val="none"/>
        </w:rPr>
        <w:t>16.3</w:t>
      </w:r>
      <w:r>
        <w:rPr>
          <w:rFonts w:hint="eastAsia" w:ascii="宋体" w:hAnsi="宋体"/>
          <w:color w:val="auto"/>
          <w:sz w:val="21"/>
          <w:szCs w:val="21"/>
          <w:highlight w:val="none"/>
        </w:rPr>
        <w:t>款争议和裁决的约定解决。</w:t>
      </w:r>
    </w:p>
    <w:p w14:paraId="14C99071">
      <w:pPr>
        <w:keepNext w:val="0"/>
        <w:keepLines w:val="0"/>
        <w:pageBreakBefore w:val="0"/>
        <w:numPr>
          <w:ilvl w:val="0"/>
          <w:numId w:val="11"/>
        </w:numPr>
        <w:kinsoku/>
        <w:wordWrap/>
        <w:overflowPunct/>
        <w:topLinePunct w:val="0"/>
        <w:autoSpaceDE/>
        <w:autoSpaceDN/>
        <w:bidi w:val="0"/>
        <w:spacing w:line="360" w:lineRule="auto"/>
        <w:ind w:left="632" w:leftChars="0" w:hanging="632" w:hangingChars="300"/>
        <w:textAlignment w:val="auto"/>
        <w:outlineLvl w:val="2"/>
        <w:rPr>
          <w:rFonts w:ascii="宋体" w:hAnsi="宋体"/>
          <w:b/>
          <w:color w:val="auto"/>
          <w:sz w:val="21"/>
          <w:szCs w:val="21"/>
          <w:highlight w:val="none"/>
        </w:rPr>
      </w:pPr>
      <w:bookmarkStart w:id="179" w:name="_Toc80633164"/>
      <w:bookmarkStart w:id="180" w:name="_Toc76719990"/>
      <w:r>
        <w:rPr>
          <w:rFonts w:hint="eastAsia" w:ascii="宋体" w:hAnsi="宋体"/>
          <w:b/>
          <w:color w:val="auto"/>
          <w:sz w:val="21"/>
          <w:szCs w:val="21"/>
          <w:highlight w:val="none"/>
        </w:rPr>
        <w:t>变更和合同价格调整</w:t>
      </w:r>
      <w:bookmarkEnd w:id="179"/>
      <w:bookmarkEnd w:id="180"/>
    </w:p>
    <w:p w14:paraId="2696EC30">
      <w:pPr>
        <w:keepNext w:val="0"/>
        <w:keepLines w:val="0"/>
        <w:pageBreakBefore w:val="0"/>
        <w:widowControl w:val="0"/>
        <w:numPr>
          <w:ilvl w:val="1"/>
          <w:numId w:val="11"/>
        </w:numPr>
        <w:kinsoku/>
        <w:wordWrap/>
        <w:overflowPunct/>
        <w:topLinePunct w:val="0"/>
        <w:autoSpaceDE/>
        <w:autoSpaceDN/>
        <w:bidi w:val="0"/>
        <w:adjustRightInd/>
        <w:snapToGrid/>
        <w:spacing w:line="360" w:lineRule="auto"/>
        <w:ind w:left="632" w:leftChars="0" w:hanging="632" w:hangingChars="300"/>
        <w:textAlignment w:val="auto"/>
        <w:outlineLvl w:val="3"/>
        <w:rPr>
          <w:rFonts w:ascii="宋体" w:hAnsi="宋体"/>
          <w:b/>
          <w:color w:val="auto"/>
          <w:sz w:val="21"/>
          <w:szCs w:val="21"/>
          <w:highlight w:val="none"/>
        </w:rPr>
      </w:pPr>
      <w:bookmarkStart w:id="181" w:name="_Toc76719991"/>
      <w:r>
        <w:rPr>
          <w:rFonts w:hint="eastAsia" w:ascii="宋体" w:hAnsi="宋体"/>
          <w:b/>
          <w:color w:val="auto"/>
          <w:sz w:val="21"/>
          <w:szCs w:val="21"/>
          <w:highlight w:val="none"/>
        </w:rPr>
        <w:t>变更权</w:t>
      </w:r>
      <w:bookmarkEnd w:id="181"/>
    </w:p>
    <w:p w14:paraId="451B0334">
      <w:pPr>
        <w:keepNext w:val="0"/>
        <w:keepLines w:val="0"/>
        <w:pageBreakBefore w:val="0"/>
        <w:numPr>
          <w:ilvl w:val="2"/>
          <w:numId w:val="11"/>
        </w:numPr>
        <w:tabs>
          <w:tab w:val="left" w:pos="1134"/>
          <w:tab w:val="clear" w:pos="0"/>
        </w:tabs>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变更权。发包人拥有批准变更的权限。自合同生效后至工程竣工验收前的任何时间内，发包人有权下达变更指令。变更指令以书面形式发出。</w:t>
      </w:r>
    </w:p>
    <w:p w14:paraId="5D415D3F">
      <w:pPr>
        <w:keepNext w:val="0"/>
        <w:keepLines w:val="0"/>
        <w:pageBreakBefore w:val="0"/>
        <w:numPr>
          <w:ilvl w:val="2"/>
          <w:numId w:val="11"/>
        </w:numPr>
        <w:tabs>
          <w:tab w:val="left" w:pos="1134"/>
          <w:tab w:val="clear" w:pos="0"/>
        </w:tabs>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变更。在非承包人责任的前提下，由于发包人的要求对本合同约定的工程（包括但不限于设计、采购、施工）作出的改动且由发包人批准并发出的书面变更指令，属于变更。包括：发包人直接下达的变更指令、或经发包人批准的由监理人下达的变更指令。</w:t>
      </w:r>
    </w:p>
    <w:p w14:paraId="15184F54">
      <w:pPr>
        <w:keepNext w:val="0"/>
        <w:keepLines w:val="0"/>
        <w:pageBreakBefore w:val="0"/>
        <w:kinsoku/>
        <w:wordWrap/>
        <w:overflowPunct/>
        <w:topLinePunct w:val="0"/>
        <w:autoSpaceDE/>
        <w:autoSpaceDN/>
        <w:bidi w:val="0"/>
        <w:spacing w:line="360" w:lineRule="auto"/>
        <w:ind w:left="630" w:leftChars="300" w:firstLine="0" w:firstLineChars="0"/>
        <w:textAlignment w:val="auto"/>
        <w:rPr>
          <w:rFonts w:ascii="宋体" w:hAnsi="宋体"/>
          <w:color w:val="auto"/>
          <w:sz w:val="21"/>
          <w:szCs w:val="21"/>
          <w:highlight w:val="none"/>
        </w:rPr>
      </w:pPr>
      <w:r>
        <w:rPr>
          <w:rFonts w:hint="eastAsia" w:ascii="宋体" w:hAnsi="宋体"/>
          <w:color w:val="auto"/>
          <w:sz w:val="21"/>
          <w:szCs w:val="21"/>
          <w:highlight w:val="none"/>
        </w:rPr>
        <w:t>承包人对自身的设计、采购、施工、竣工试验、竣工后试验存在的缺陷，自费修正、调整和完善，不属于变更。</w:t>
      </w:r>
    </w:p>
    <w:p w14:paraId="77F92903">
      <w:pPr>
        <w:keepNext w:val="0"/>
        <w:keepLines w:val="0"/>
        <w:pageBreakBefore w:val="0"/>
        <w:kinsoku/>
        <w:wordWrap/>
        <w:overflowPunct/>
        <w:topLinePunct w:val="0"/>
        <w:autoSpaceDE/>
        <w:autoSpaceDN/>
        <w:bidi w:val="0"/>
        <w:spacing w:line="360" w:lineRule="auto"/>
        <w:ind w:left="630" w:leftChars="300" w:firstLine="0" w:firstLineChars="0"/>
        <w:textAlignment w:val="auto"/>
        <w:rPr>
          <w:rFonts w:ascii="宋体" w:hAnsi="宋体"/>
          <w:color w:val="auto"/>
          <w:sz w:val="21"/>
          <w:szCs w:val="21"/>
          <w:highlight w:val="none"/>
        </w:rPr>
      </w:pPr>
      <w:r>
        <w:rPr>
          <w:rFonts w:hint="eastAsia" w:ascii="宋体" w:hAnsi="宋体"/>
          <w:color w:val="auto"/>
          <w:sz w:val="21"/>
          <w:szCs w:val="21"/>
          <w:highlight w:val="none"/>
        </w:rPr>
        <w:t>由于可归责于承包人的原因导致的任何变更（例如：由于承包人设计不当或预算不准，发包人要求承包人变更设计方案），承包人无权要求发包人另行支付价款，由此导致的工程量的增加及发包人的损失由承包人承担，工期不予顺延。</w:t>
      </w:r>
    </w:p>
    <w:p w14:paraId="613A41F1">
      <w:pPr>
        <w:keepNext w:val="0"/>
        <w:keepLines w:val="0"/>
        <w:pageBreakBefore w:val="0"/>
        <w:numPr>
          <w:ilvl w:val="2"/>
          <w:numId w:val="11"/>
        </w:numPr>
        <w:tabs>
          <w:tab w:val="left" w:pos="1134"/>
          <w:tab w:val="clear" w:pos="0"/>
        </w:tabs>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变更建议权。承包人有权向发包人提交书面变更建议，包括：缩短工期，降低发包人的工程、施工、维护、营运的费用，提高竣工工程的效率或价值，给发包人带来的长远利益和其他利益。发包人接到此类建议后，可根据情况提出：不采纳、采纳、补充进一步资料的书面通知。</w:t>
      </w:r>
    </w:p>
    <w:p w14:paraId="5DD3C14A">
      <w:pPr>
        <w:keepNext w:val="0"/>
        <w:keepLines w:val="0"/>
        <w:pageBreakBefore w:val="0"/>
        <w:widowControl w:val="0"/>
        <w:numPr>
          <w:ilvl w:val="1"/>
          <w:numId w:val="11"/>
        </w:numPr>
        <w:kinsoku/>
        <w:wordWrap/>
        <w:overflowPunct/>
        <w:topLinePunct w:val="0"/>
        <w:autoSpaceDE/>
        <w:autoSpaceDN/>
        <w:bidi w:val="0"/>
        <w:adjustRightInd/>
        <w:snapToGrid/>
        <w:spacing w:line="360" w:lineRule="auto"/>
        <w:ind w:left="632" w:leftChars="0" w:hanging="632" w:hangingChars="300"/>
        <w:textAlignment w:val="auto"/>
        <w:outlineLvl w:val="3"/>
        <w:rPr>
          <w:rFonts w:ascii="宋体" w:hAnsi="宋体"/>
          <w:b/>
          <w:color w:val="auto"/>
          <w:sz w:val="21"/>
          <w:szCs w:val="21"/>
          <w:highlight w:val="none"/>
        </w:rPr>
      </w:pPr>
      <w:bookmarkStart w:id="182" w:name="_Toc76719992"/>
      <w:r>
        <w:rPr>
          <w:rFonts w:hint="eastAsia" w:ascii="宋体" w:hAnsi="宋体"/>
          <w:b/>
          <w:color w:val="auto"/>
          <w:sz w:val="21"/>
          <w:szCs w:val="21"/>
          <w:highlight w:val="none"/>
        </w:rPr>
        <w:t>变更范围</w:t>
      </w:r>
      <w:bookmarkEnd w:id="182"/>
    </w:p>
    <w:p w14:paraId="5BA61D24">
      <w:pPr>
        <w:keepNext w:val="0"/>
        <w:keepLines w:val="0"/>
        <w:pageBreakBefore w:val="0"/>
        <w:kinsoku/>
        <w:wordWrap/>
        <w:overflowPunct/>
        <w:topLinePunct w:val="0"/>
        <w:autoSpaceDE/>
        <w:autoSpaceDN/>
        <w:bidi w:val="0"/>
        <w:spacing w:line="360" w:lineRule="auto"/>
        <w:ind w:left="630" w:leftChars="300" w:firstLine="0" w:firstLineChars="0"/>
        <w:textAlignment w:val="auto"/>
        <w:rPr>
          <w:rFonts w:ascii="宋体" w:hAnsi="宋体"/>
          <w:color w:val="auto"/>
          <w:sz w:val="21"/>
          <w:szCs w:val="21"/>
          <w:highlight w:val="none"/>
        </w:rPr>
      </w:pPr>
      <w:r>
        <w:rPr>
          <w:rFonts w:hint="eastAsia" w:ascii="宋体" w:hAnsi="宋体"/>
          <w:color w:val="auto"/>
          <w:sz w:val="21"/>
          <w:szCs w:val="21"/>
          <w:highlight w:val="none"/>
        </w:rPr>
        <w:t>除因发包人原因而导致的重大设计原则、方案变更</w:t>
      </w:r>
      <w:r>
        <w:rPr>
          <w:rFonts w:hint="eastAsia" w:ascii="宋体" w:hAnsi="宋体"/>
          <w:color w:val="auto"/>
          <w:sz w:val="21"/>
          <w:szCs w:val="21"/>
          <w:highlight w:val="none"/>
          <w:lang w:eastAsia="zh-CN"/>
        </w:rPr>
        <w:t>（</w:t>
      </w:r>
      <w:r>
        <w:rPr>
          <w:rFonts w:hint="eastAsia" w:ascii="宋体" w:hAnsi="宋体"/>
          <w:color w:val="auto"/>
          <w:sz w:val="21"/>
          <w:szCs w:val="21"/>
          <w:highlight w:val="none"/>
        </w:rPr>
        <w:t>指涉及工程总体的工程规模、特性、标准的变更</w:t>
      </w:r>
      <w:r>
        <w:rPr>
          <w:rFonts w:hint="eastAsia" w:ascii="宋体" w:hAnsi="宋体"/>
          <w:color w:val="auto"/>
          <w:sz w:val="21"/>
          <w:szCs w:val="21"/>
          <w:highlight w:val="none"/>
          <w:lang w:eastAsia="zh-CN"/>
        </w:rPr>
        <w:t>）</w:t>
      </w:r>
      <w:r>
        <w:rPr>
          <w:rFonts w:hint="eastAsia" w:ascii="宋体" w:hAnsi="宋体"/>
          <w:color w:val="auto"/>
          <w:sz w:val="21"/>
          <w:szCs w:val="21"/>
          <w:highlight w:val="none"/>
        </w:rPr>
        <w:t>外，合同价格不发生调整（除按暂定价列入合同总价外）。当发生上述重大变更时，单价依次参照合同价格表中相同、类似单价确定。</w:t>
      </w:r>
    </w:p>
    <w:p w14:paraId="3F788D96">
      <w:pPr>
        <w:keepNext w:val="0"/>
        <w:keepLines w:val="0"/>
        <w:pageBreakBefore w:val="0"/>
        <w:widowControl w:val="0"/>
        <w:numPr>
          <w:ilvl w:val="1"/>
          <w:numId w:val="11"/>
        </w:numPr>
        <w:kinsoku/>
        <w:wordWrap/>
        <w:overflowPunct/>
        <w:topLinePunct w:val="0"/>
        <w:autoSpaceDE/>
        <w:autoSpaceDN/>
        <w:bidi w:val="0"/>
        <w:adjustRightInd/>
        <w:snapToGrid/>
        <w:spacing w:line="360" w:lineRule="auto"/>
        <w:ind w:left="632" w:leftChars="0" w:hanging="632" w:hangingChars="300"/>
        <w:textAlignment w:val="auto"/>
        <w:outlineLvl w:val="3"/>
        <w:rPr>
          <w:rFonts w:ascii="宋体" w:hAnsi="宋体"/>
          <w:b/>
          <w:color w:val="auto"/>
          <w:sz w:val="21"/>
          <w:szCs w:val="21"/>
          <w:highlight w:val="none"/>
        </w:rPr>
      </w:pPr>
      <w:bookmarkStart w:id="183" w:name="_Toc76719993"/>
      <w:r>
        <w:rPr>
          <w:rFonts w:hint="eastAsia" w:ascii="宋体" w:hAnsi="宋体"/>
          <w:b/>
          <w:color w:val="auto"/>
          <w:sz w:val="21"/>
          <w:szCs w:val="21"/>
          <w:highlight w:val="none"/>
        </w:rPr>
        <w:t>变更程序</w:t>
      </w:r>
      <w:bookmarkEnd w:id="183"/>
    </w:p>
    <w:p w14:paraId="093FB586">
      <w:pPr>
        <w:keepNext w:val="0"/>
        <w:keepLines w:val="0"/>
        <w:pageBreakBefore w:val="0"/>
        <w:numPr>
          <w:ilvl w:val="2"/>
          <w:numId w:val="11"/>
        </w:numPr>
        <w:tabs>
          <w:tab w:val="left" w:pos="1134"/>
          <w:tab w:val="clear" w:pos="0"/>
        </w:tabs>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 xml:space="preserve">变更通知。为避免变更对工程的功能或使用功能等产生不利后果，发包人的变更事先以书面形式向承包人发出通知。 </w:t>
      </w:r>
    </w:p>
    <w:p w14:paraId="23B4488D">
      <w:pPr>
        <w:keepNext w:val="0"/>
        <w:keepLines w:val="0"/>
        <w:pageBreakBefore w:val="0"/>
        <w:numPr>
          <w:ilvl w:val="2"/>
          <w:numId w:val="11"/>
        </w:numPr>
        <w:tabs>
          <w:tab w:val="left" w:pos="1134"/>
          <w:tab w:val="clear" w:pos="0"/>
        </w:tabs>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变更通知的建议报告。承包人接到发包人的变更通知后，必须在10日内向发包人提交书面建议报告，包括：</w:t>
      </w:r>
    </w:p>
    <w:p w14:paraId="771BB2B0">
      <w:pPr>
        <w:keepNext w:val="0"/>
        <w:keepLines w:val="0"/>
        <w:pageBreakBefore w:val="0"/>
        <w:numPr>
          <w:ilvl w:val="0"/>
          <w:numId w:val="48"/>
        </w:numPr>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接受发包人变更通知中的变更时，建议报告中包括：支持此项变更的理由、实施此项变更的工作内容、设备、材料、人力、机具等资源消耗、费用增减的估算。此项变更引起竣工日期延长时，在报告中说明理由，并提交进度计划。</w:t>
      </w:r>
    </w:p>
    <w:p w14:paraId="13328517">
      <w:pPr>
        <w:keepNext w:val="0"/>
        <w:keepLines w:val="0"/>
        <w:pageBreakBefore w:val="0"/>
        <w:kinsoku/>
        <w:wordWrap/>
        <w:overflowPunct/>
        <w:topLinePunct w:val="0"/>
        <w:autoSpaceDE/>
        <w:autoSpaceDN/>
        <w:bidi w:val="0"/>
        <w:spacing w:line="360" w:lineRule="auto"/>
        <w:ind w:left="630" w:leftChars="300" w:firstLine="0" w:firstLineChars="0"/>
        <w:textAlignment w:val="auto"/>
        <w:rPr>
          <w:rFonts w:ascii="宋体" w:hAnsi="宋体"/>
          <w:color w:val="auto"/>
          <w:sz w:val="21"/>
          <w:szCs w:val="21"/>
          <w:highlight w:val="none"/>
        </w:rPr>
      </w:pPr>
      <w:r>
        <w:rPr>
          <w:rFonts w:hint="eastAsia" w:ascii="宋体" w:hAnsi="宋体"/>
          <w:color w:val="auto"/>
          <w:sz w:val="21"/>
          <w:szCs w:val="21"/>
          <w:highlight w:val="none"/>
        </w:rPr>
        <w:t>承包人未提交增加费用的估算及竣工日期延长，视为该项变更不涉及合同价格调整和竣工日期延长，发包人不再承担此项变更的任何费用及竣工日期延长的责任。</w:t>
      </w:r>
    </w:p>
    <w:p w14:paraId="310E4743">
      <w:pPr>
        <w:keepNext w:val="0"/>
        <w:keepLines w:val="0"/>
        <w:pageBreakBefore w:val="0"/>
        <w:numPr>
          <w:ilvl w:val="0"/>
          <w:numId w:val="48"/>
        </w:numPr>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不接受发包人变更通知中的变更时，建议报告中包括不支持此项变更的理由，理由包括：</w:t>
      </w:r>
    </w:p>
    <w:p w14:paraId="1225BD5F">
      <w:pPr>
        <w:keepNext w:val="0"/>
        <w:keepLines w:val="0"/>
        <w:pageBreakBefore w:val="0"/>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1）此变更不符合法律、法规等有关规定；</w:t>
      </w:r>
    </w:p>
    <w:p w14:paraId="6A122DDB">
      <w:pPr>
        <w:keepNext w:val="0"/>
        <w:keepLines w:val="0"/>
        <w:pageBreakBefore w:val="0"/>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2）或承包人难以取得变更所需的特殊设备、材料、部件；</w:t>
      </w:r>
    </w:p>
    <w:p w14:paraId="1EE6C64B">
      <w:pPr>
        <w:keepNext w:val="0"/>
        <w:keepLines w:val="0"/>
        <w:pageBreakBefore w:val="0"/>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3）或变更将降低工程的安全性、稳定性、适用性；</w:t>
      </w:r>
    </w:p>
    <w:p w14:paraId="296D7DEE">
      <w:pPr>
        <w:keepNext w:val="0"/>
        <w:keepLines w:val="0"/>
        <w:pageBreakBefore w:val="0"/>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4）或对生产性能保证值、使用功能保证的实现产生不利影响等。</w:t>
      </w:r>
    </w:p>
    <w:p w14:paraId="66AAFAE0">
      <w:pPr>
        <w:keepNext w:val="0"/>
        <w:keepLines w:val="0"/>
        <w:pageBreakBefore w:val="0"/>
        <w:numPr>
          <w:ilvl w:val="2"/>
          <w:numId w:val="11"/>
        </w:numPr>
        <w:tabs>
          <w:tab w:val="left" w:pos="1134"/>
          <w:tab w:val="clear" w:pos="0"/>
        </w:tabs>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发包人的审查和批准。发包人接到承包人根据14.3.2款约定提交的书面建议报告后，在</w:t>
      </w:r>
      <w:r>
        <w:rPr>
          <w:rFonts w:ascii="宋体" w:hAnsi="宋体"/>
          <w:color w:val="auto"/>
          <w:sz w:val="21"/>
          <w:szCs w:val="21"/>
          <w:highlight w:val="none"/>
        </w:rPr>
        <w:t>10</w:t>
      </w:r>
      <w:r>
        <w:rPr>
          <w:rFonts w:hint="eastAsia" w:ascii="宋体" w:hAnsi="宋体"/>
          <w:color w:val="auto"/>
          <w:sz w:val="21"/>
          <w:szCs w:val="21"/>
          <w:highlight w:val="none"/>
        </w:rPr>
        <w:t>日内对此项建议给予审查，并发出批准、撤销、改变、提出进一步要求的书面通知。承包人在等待发包人回复的时间内，不能停止或延误任何工作。</w:t>
      </w:r>
    </w:p>
    <w:p w14:paraId="7B09DD22">
      <w:pPr>
        <w:keepNext w:val="0"/>
        <w:keepLines w:val="0"/>
        <w:pageBreakBefore w:val="0"/>
        <w:numPr>
          <w:ilvl w:val="0"/>
          <w:numId w:val="49"/>
        </w:numPr>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发包人接到承包人根据14.3.2款第（1）项的约定提交的建议报告后，对其理由、估算、或（和）竣工日期延长进行审查批准后，以书面形式下达变更指令。</w:t>
      </w:r>
    </w:p>
    <w:p w14:paraId="7B9C320A">
      <w:pPr>
        <w:keepNext w:val="0"/>
        <w:keepLines w:val="0"/>
        <w:pageBreakBefore w:val="0"/>
        <w:numPr>
          <w:ilvl w:val="0"/>
          <w:numId w:val="49"/>
        </w:numPr>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发包人对承包人根据14.3.2款第（2）项提交的不接受此项变更的理由经发包人审查后，发出的撤销、改变、提出进一步补充资料的书面通知，承包人予以执行。</w:t>
      </w:r>
    </w:p>
    <w:p w14:paraId="3D4403EE">
      <w:pPr>
        <w:keepNext w:val="0"/>
        <w:keepLines w:val="0"/>
        <w:pageBreakBefore w:val="0"/>
        <w:numPr>
          <w:ilvl w:val="2"/>
          <w:numId w:val="11"/>
        </w:numPr>
        <w:tabs>
          <w:tab w:val="left" w:pos="1134"/>
          <w:tab w:val="clear" w:pos="0"/>
        </w:tabs>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承包人根据14.1.3 款的约定提交变更建议书的，其变更程序按照本变更程序的约定办理。</w:t>
      </w:r>
    </w:p>
    <w:p w14:paraId="6A09B1AC">
      <w:pPr>
        <w:keepNext w:val="0"/>
        <w:keepLines w:val="0"/>
        <w:pageBreakBefore w:val="0"/>
        <w:widowControl w:val="0"/>
        <w:numPr>
          <w:ilvl w:val="1"/>
          <w:numId w:val="11"/>
        </w:numPr>
        <w:kinsoku/>
        <w:wordWrap/>
        <w:overflowPunct/>
        <w:topLinePunct w:val="0"/>
        <w:autoSpaceDE/>
        <w:autoSpaceDN/>
        <w:bidi w:val="0"/>
        <w:adjustRightInd/>
        <w:snapToGrid/>
        <w:spacing w:line="360" w:lineRule="auto"/>
        <w:ind w:left="632" w:leftChars="0" w:hanging="632" w:hangingChars="300"/>
        <w:textAlignment w:val="auto"/>
        <w:outlineLvl w:val="3"/>
        <w:rPr>
          <w:rFonts w:ascii="宋体" w:hAnsi="宋体"/>
          <w:b/>
          <w:color w:val="auto"/>
          <w:sz w:val="21"/>
          <w:szCs w:val="21"/>
          <w:highlight w:val="none"/>
        </w:rPr>
      </w:pPr>
      <w:bookmarkStart w:id="184" w:name="_Toc76719994"/>
      <w:r>
        <w:rPr>
          <w:rFonts w:hint="eastAsia" w:ascii="宋体" w:hAnsi="宋体"/>
          <w:b/>
          <w:color w:val="auto"/>
          <w:sz w:val="21"/>
          <w:szCs w:val="21"/>
          <w:highlight w:val="none"/>
        </w:rPr>
        <w:t>紧急性变更程序</w:t>
      </w:r>
      <w:bookmarkEnd w:id="184"/>
    </w:p>
    <w:p w14:paraId="3F1B783E">
      <w:pPr>
        <w:keepNext w:val="0"/>
        <w:keepLines w:val="0"/>
        <w:pageBreakBefore w:val="0"/>
        <w:numPr>
          <w:ilvl w:val="2"/>
          <w:numId w:val="11"/>
        </w:numPr>
        <w:tabs>
          <w:tab w:val="left" w:pos="1134"/>
          <w:tab w:val="clear" w:pos="0"/>
        </w:tabs>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发包人有权以书面形式发出紧急性变更指令，责令承包人立即执行此项变更。承包人接到此类指令后，立即执行。发包人发出的赶工指令不属于紧急性变更指令。</w:t>
      </w:r>
    </w:p>
    <w:p w14:paraId="5A240275">
      <w:pPr>
        <w:keepNext w:val="0"/>
        <w:keepLines w:val="0"/>
        <w:pageBreakBefore w:val="0"/>
        <w:numPr>
          <w:ilvl w:val="2"/>
          <w:numId w:val="11"/>
        </w:numPr>
        <w:tabs>
          <w:tab w:val="left" w:pos="1134"/>
          <w:tab w:val="clear" w:pos="0"/>
        </w:tabs>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承包人在紧急性变更指令发出3日内将初步估算报发包人，向发包人提交实施此项变更的工作内容，以及设备、材料、人力、机具等资源实际消耗的费用及相关取费。因执行此项变更造成工程关键路径延误时，提出竣工日期延长，说明理由，并提交进度计划。</w:t>
      </w:r>
    </w:p>
    <w:p w14:paraId="455840D4">
      <w:pPr>
        <w:keepNext w:val="0"/>
        <w:keepLines w:val="0"/>
        <w:pageBreakBefore w:val="0"/>
        <w:kinsoku/>
        <w:wordWrap/>
        <w:overflowPunct/>
        <w:topLinePunct w:val="0"/>
        <w:autoSpaceDE/>
        <w:autoSpaceDN/>
        <w:bidi w:val="0"/>
        <w:spacing w:line="360" w:lineRule="auto"/>
        <w:ind w:left="630" w:leftChars="300" w:firstLine="0" w:firstLineChars="0"/>
        <w:textAlignment w:val="auto"/>
        <w:rPr>
          <w:rFonts w:ascii="宋体" w:hAnsi="宋体"/>
          <w:color w:val="auto"/>
          <w:sz w:val="21"/>
          <w:szCs w:val="21"/>
          <w:highlight w:val="none"/>
        </w:rPr>
      </w:pPr>
      <w:r>
        <w:rPr>
          <w:rFonts w:hint="eastAsia" w:ascii="宋体" w:hAnsi="宋体"/>
          <w:color w:val="auto"/>
          <w:sz w:val="21"/>
          <w:szCs w:val="21"/>
          <w:highlight w:val="none"/>
        </w:rPr>
        <w:t>承包人未能在此项变更完成后的10日内提交实际消耗的费用及相关取费、或（和）延长竣工日期的书面资料，视为该项变更不涉及合同价格调整和竣工日期延长，发包人不再承担此项变更的任何责任。</w:t>
      </w:r>
    </w:p>
    <w:p w14:paraId="26A46ECC">
      <w:pPr>
        <w:keepNext w:val="0"/>
        <w:keepLines w:val="0"/>
        <w:pageBreakBefore w:val="0"/>
        <w:numPr>
          <w:ilvl w:val="2"/>
          <w:numId w:val="11"/>
        </w:numPr>
        <w:tabs>
          <w:tab w:val="left" w:pos="1134"/>
          <w:tab w:val="clear" w:pos="0"/>
        </w:tabs>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发包人在接到承包人根据14.4.2款提交的书面资料后的10日内，以书面形式通知承包人被批准的合理费用，或（和）给予竣工日期的合理延长。</w:t>
      </w:r>
    </w:p>
    <w:p w14:paraId="2E7294D3">
      <w:pPr>
        <w:keepNext w:val="0"/>
        <w:keepLines w:val="0"/>
        <w:pageBreakBefore w:val="0"/>
        <w:widowControl w:val="0"/>
        <w:numPr>
          <w:ilvl w:val="1"/>
          <w:numId w:val="11"/>
        </w:numPr>
        <w:kinsoku/>
        <w:wordWrap/>
        <w:overflowPunct/>
        <w:topLinePunct w:val="0"/>
        <w:autoSpaceDE/>
        <w:autoSpaceDN/>
        <w:bidi w:val="0"/>
        <w:adjustRightInd/>
        <w:snapToGrid/>
        <w:spacing w:line="360" w:lineRule="auto"/>
        <w:ind w:left="632" w:leftChars="0" w:hanging="632" w:hangingChars="300"/>
        <w:textAlignment w:val="auto"/>
        <w:outlineLvl w:val="3"/>
        <w:rPr>
          <w:rFonts w:ascii="宋体" w:hAnsi="宋体"/>
          <w:b/>
          <w:color w:val="auto"/>
          <w:sz w:val="21"/>
          <w:szCs w:val="21"/>
          <w:highlight w:val="none"/>
        </w:rPr>
      </w:pPr>
      <w:bookmarkStart w:id="185" w:name="_Toc76719995"/>
      <w:r>
        <w:rPr>
          <w:rFonts w:hint="eastAsia" w:ascii="宋体" w:hAnsi="宋体"/>
          <w:b/>
          <w:color w:val="auto"/>
          <w:sz w:val="21"/>
          <w:szCs w:val="21"/>
          <w:highlight w:val="none"/>
        </w:rPr>
        <w:t>变更价款确定</w:t>
      </w:r>
      <w:bookmarkEnd w:id="185"/>
    </w:p>
    <w:p w14:paraId="68D334CA">
      <w:pPr>
        <w:keepNext w:val="0"/>
        <w:keepLines w:val="0"/>
        <w:pageBreakBefore w:val="0"/>
        <w:kinsoku/>
        <w:wordWrap/>
        <w:overflowPunct/>
        <w:topLinePunct w:val="0"/>
        <w:autoSpaceDE/>
        <w:autoSpaceDN/>
        <w:bidi w:val="0"/>
        <w:spacing w:line="360" w:lineRule="auto"/>
        <w:ind w:left="630" w:leftChars="300" w:firstLine="0" w:firstLineChars="0"/>
        <w:textAlignment w:val="auto"/>
        <w:rPr>
          <w:rFonts w:ascii="宋体" w:hAnsi="宋体"/>
          <w:color w:val="auto"/>
          <w:sz w:val="21"/>
          <w:szCs w:val="21"/>
          <w:highlight w:val="none"/>
        </w:rPr>
      </w:pPr>
      <w:r>
        <w:rPr>
          <w:rFonts w:hint="eastAsia" w:ascii="宋体" w:hAnsi="宋体"/>
          <w:color w:val="auto"/>
          <w:sz w:val="21"/>
          <w:szCs w:val="21"/>
          <w:highlight w:val="none"/>
        </w:rPr>
        <w:t>修改原则：承包人按14.2款的原则向发包人提出，经发包人审定后执行。</w:t>
      </w:r>
    </w:p>
    <w:p w14:paraId="596F5D74">
      <w:pPr>
        <w:keepNext w:val="0"/>
        <w:keepLines w:val="0"/>
        <w:pageBreakBefore w:val="0"/>
        <w:widowControl w:val="0"/>
        <w:numPr>
          <w:ilvl w:val="1"/>
          <w:numId w:val="11"/>
        </w:numPr>
        <w:kinsoku/>
        <w:wordWrap/>
        <w:overflowPunct/>
        <w:topLinePunct w:val="0"/>
        <w:autoSpaceDE/>
        <w:autoSpaceDN/>
        <w:bidi w:val="0"/>
        <w:adjustRightInd/>
        <w:snapToGrid/>
        <w:spacing w:line="360" w:lineRule="auto"/>
        <w:ind w:left="632" w:leftChars="0" w:hanging="632" w:hangingChars="300"/>
        <w:textAlignment w:val="auto"/>
        <w:outlineLvl w:val="3"/>
        <w:rPr>
          <w:rFonts w:ascii="宋体" w:hAnsi="宋体"/>
          <w:b/>
          <w:color w:val="auto"/>
          <w:sz w:val="21"/>
          <w:szCs w:val="21"/>
          <w:highlight w:val="none"/>
        </w:rPr>
      </w:pPr>
      <w:bookmarkStart w:id="186" w:name="_Toc76719996"/>
      <w:r>
        <w:rPr>
          <w:rFonts w:hint="eastAsia" w:ascii="宋体" w:hAnsi="宋体"/>
          <w:b/>
          <w:color w:val="auto"/>
          <w:sz w:val="21"/>
          <w:szCs w:val="21"/>
          <w:highlight w:val="none"/>
        </w:rPr>
        <w:t>建议变更的利益分享</w:t>
      </w:r>
      <w:bookmarkEnd w:id="186"/>
    </w:p>
    <w:p w14:paraId="0B14BEE3">
      <w:pPr>
        <w:keepNext w:val="0"/>
        <w:keepLines w:val="0"/>
        <w:pageBreakBefore w:val="0"/>
        <w:kinsoku/>
        <w:wordWrap/>
        <w:overflowPunct/>
        <w:topLinePunct w:val="0"/>
        <w:autoSpaceDE/>
        <w:autoSpaceDN/>
        <w:bidi w:val="0"/>
        <w:spacing w:line="360" w:lineRule="auto"/>
        <w:ind w:left="630" w:leftChars="300" w:firstLine="0" w:firstLineChars="0"/>
        <w:textAlignment w:val="auto"/>
        <w:rPr>
          <w:rFonts w:ascii="宋体" w:hAnsi="宋体"/>
          <w:color w:val="auto"/>
          <w:sz w:val="21"/>
          <w:szCs w:val="21"/>
          <w:highlight w:val="none"/>
        </w:rPr>
      </w:pPr>
      <w:r>
        <w:rPr>
          <w:rFonts w:hint="eastAsia" w:ascii="宋体" w:hAnsi="宋体"/>
          <w:color w:val="auto"/>
          <w:sz w:val="21"/>
          <w:szCs w:val="21"/>
          <w:highlight w:val="none"/>
        </w:rPr>
        <w:t>因发包人批准采用承包人根据14.1.3款提出的变更建议，使工程的投资减少、工期缩短、获得长期运营效益或其他利益，其利益分享办法在专用条款中约定，届时另行签订利益分享补充协议，作为合同附件。</w:t>
      </w:r>
    </w:p>
    <w:p w14:paraId="6940026B">
      <w:pPr>
        <w:keepNext w:val="0"/>
        <w:keepLines w:val="0"/>
        <w:pageBreakBefore w:val="0"/>
        <w:widowControl w:val="0"/>
        <w:numPr>
          <w:ilvl w:val="1"/>
          <w:numId w:val="11"/>
        </w:numPr>
        <w:kinsoku/>
        <w:wordWrap/>
        <w:overflowPunct/>
        <w:topLinePunct w:val="0"/>
        <w:autoSpaceDE/>
        <w:autoSpaceDN/>
        <w:bidi w:val="0"/>
        <w:adjustRightInd/>
        <w:snapToGrid/>
        <w:spacing w:line="360" w:lineRule="auto"/>
        <w:ind w:left="632" w:leftChars="0" w:hanging="632" w:hangingChars="300"/>
        <w:textAlignment w:val="auto"/>
        <w:outlineLvl w:val="3"/>
        <w:rPr>
          <w:rFonts w:ascii="宋体" w:hAnsi="宋体"/>
          <w:b/>
          <w:color w:val="auto"/>
          <w:sz w:val="21"/>
          <w:szCs w:val="21"/>
          <w:highlight w:val="none"/>
        </w:rPr>
      </w:pPr>
      <w:bookmarkStart w:id="187" w:name="_Toc76719997"/>
      <w:r>
        <w:rPr>
          <w:rFonts w:hint="eastAsia" w:ascii="宋体" w:hAnsi="宋体"/>
          <w:b/>
          <w:color w:val="auto"/>
          <w:sz w:val="21"/>
          <w:szCs w:val="21"/>
          <w:highlight w:val="none"/>
        </w:rPr>
        <w:t>合同价格调整</w:t>
      </w:r>
      <w:bookmarkEnd w:id="187"/>
    </w:p>
    <w:p w14:paraId="48CB5EB1">
      <w:pPr>
        <w:keepNext w:val="0"/>
        <w:keepLines w:val="0"/>
        <w:pageBreakBefore w:val="0"/>
        <w:kinsoku/>
        <w:wordWrap/>
        <w:overflowPunct/>
        <w:topLinePunct w:val="0"/>
        <w:autoSpaceDE/>
        <w:autoSpaceDN/>
        <w:bidi w:val="0"/>
        <w:spacing w:line="360" w:lineRule="auto"/>
        <w:ind w:left="630" w:leftChars="300" w:firstLine="0" w:firstLineChars="0"/>
        <w:textAlignment w:val="auto"/>
        <w:rPr>
          <w:rFonts w:ascii="宋体" w:hAnsi="宋体"/>
          <w:color w:val="auto"/>
          <w:sz w:val="21"/>
          <w:szCs w:val="21"/>
          <w:highlight w:val="none"/>
        </w:rPr>
      </w:pPr>
      <w:r>
        <w:rPr>
          <w:rFonts w:hint="eastAsia" w:ascii="宋体" w:hAnsi="宋体"/>
          <w:color w:val="auto"/>
          <w:sz w:val="21"/>
          <w:szCs w:val="21"/>
          <w:highlight w:val="none"/>
        </w:rPr>
        <w:t>发包人根据14.5条批准的变更费用的增减，相应调整合同价格。</w:t>
      </w:r>
    </w:p>
    <w:p w14:paraId="3ACF6EF9">
      <w:pPr>
        <w:keepNext w:val="0"/>
        <w:keepLines w:val="0"/>
        <w:pageBreakBefore w:val="0"/>
        <w:widowControl w:val="0"/>
        <w:numPr>
          <w:ilvl w:val="1"/>
          <w:numId w:val="11"/>
        </w:numPr>
        <w:kinsoku/>
        <w:wordWrap/>
        <w:overflowPunct/>
        <w:topLinePunct w:val="0"/>
        <w:autoSpaceDE/>
        <w:autoSpaceDN/>
        <w:bidi w:val="0"/>
        <w:adjustRightInd/>
        <w:snapToGrid/>
        <w:spacing w:line="360" w:lineRule="auto"/>
        <w:ind w:left="632" w:leftChars="0" w:hanging="632" w:hangingChars="300"/>
        <w:textAlignment w:val="auto"/>
        <w:outlineLvl w:val="3"/>
        <w:rPr>
          <w:rFonts w:ascii="宋体" w:hAnsi="宋体"/>
          <w:b/>
          <w:color w:val="auto"/>
          <w:sz w:val="21"/>
          <w:szCs w:val="21"/>
          <w:highlight w:val="none"/>
        </w:rPr>
      </w:pPr>
      <w:bookmarkStart w:id="188" w:name="_Toc76719998"/>
      <w:r>
        <w:rPr>
          <w:rFonts w:hint="eastAsia" w:ascii="宋体" w:hAnsi="宋体"/>
          <w:b/>
          <w:color w:val="auto"/>
          <w:sz w:val="21"/>
          <w:szCs w:val="21"/>
          <w:highlight w:val="none"/>
        </w:rPr>
        <w:t>合同价格调整的争议</w:t>
      </w:r>
      <w:bookmarkEnd w:id="188"/>
    </w:p>
    <w:p w14:paraId="573CC1A6">
      <w:pPr>
        <w:keepNext w:val="0"/>
        <w:keepLines w:val="0"/>
        <w:pageBreakBefore w:val="0"/>
        <w:kinsoku/>
        <w:wordWrap/>
        <w:overflowPunct/>
        <w:topLinePunct w:val="0"/>
        <w:autoSpaceDE/>
        <w:autoSpaceDN/>
        <w:bidi w:val="0"/>
        <w:spacing w:line="360" w:lineRule="auto"/>
        <w:ind w:left="630" w:leftChars="300" w:firstLine="0" w:firstLineChars="0"/>
        <w:textAlignment w:val="auto"/>
        <w:rPr>
          <w:rFonts w:ascii="宋体" w:hAnsi="宋体"/>
          <w:color w:val="auto"/>
          <w:sz w:val="21"/>
          <w:szCs w:val="21"/>
          <w:highlight w:val="none"/>
        </w:rPr>
      </w:pPr>
      <w:r>
        <w:rPr>
          <w:rFonts w:hint="eastAsia" w:ascii="宋体" w:hAnsi="宋体"/>
          <w:color w:val="auto"/>
          <w:sz w:val="21"/>
          <w:szCs w:val="21"/>
          <w:highlight w:val="none"/>
        </w:rPr>
        <w:t>经协商，未能对工程变更的费用、合同价格的调整或竣工日期的延长达成一致，发生争议时，根据</w:t>
      </w:r>
      <w:r>
        <w:rPr>
          <w:rFonts w:ascii="宋体" w:hAnsi="宋体"/>
          <w:color w:val="auto"/>
          <w:sz w:val="21"/>
          <w:szCs w:val="21"/>
          <w:highlight w:val="none"/>
        </w:rPr>
        <w:t>16.3</w:t>
      </w:r>
      <w:r>
        <w:rPr>
          <w:rFonts w:hint="eastAsia" w:ascii="宋体" w:hAnsi="宋体"/>
          <w:color w:val="auto"/>
          <w:sz w:val="21"/>
          <w:szCs w:val="21"/>
          <w:highlight w:val="none"/>
        </w:rPr>
        <w:t>款关于争议和裁决的约定解决。</w:t>
      </w:r>
    </w:p>
    <w:p w14:paraId="06630F21">
      <w:pPr>
        <w:keepNext w:val="0"/>
        <w:keepLines w:val="0"/>
        <w:pageBreakBefore w:val="0"/>
        <w:numPr>
          <w:ilvl w:val="0"/>
          <w:numId w:val="11"/>
        </w:numPr>
        <w:kinsoku/>
        <w:wordWrap/>
        <w:overflowPunct/>
        <w:topLinePunct w:val="0"/>
        <w:autoSpaceDE/>
        <w:autoSpaceDN/>
        <w:bidi w:val="0"/>
        <w:spacing w:line="360" w:lineRule="auto"/>
        <w:ind w:left="632" w:leftChars="0" w:hanging="632" w:hangingChars="300"/>
        <w:textAlignment w:val="auto"/>
        <w:outlineLvl w:val="2"/>
        <w:rPr>
          <w:rFonts w:ascii="宋体" w:hAnsi="宋体"/>
          <w:b/>
          <w:color w:val="auto"/>
          <w:sz w:val="21"/>
          <w:szCs w:val="21"/>
          <w:highlight w:val="none"/>
        </w:rPr>
      </w:pPr>
      <w:bookmarkStart w:id="189" w:name="_Toc76719999"/>
      <w:bookmarkStart w:id="190" w:name="_Toc80633165"/>
      <w:bookmarkStart w:id="191" w:name="_Toc363719007"/>
      <w:r>
        <w:rPr>
          <w:rFonts w:hint="eastAsia" w:ascii="宋体" w:hAnsi="宋体"/>
          <w:b/>
          <w:color w:val="auto"/>
          <w:sz w:val="21"/>
          <w:szCs w:val="21"/>
          <w:highlight w:val="none"/>
        </w:rPr>
        <w:t>保险</w:t>
      </w:r>
      <w:bookmarkEnd w:id="189"/>
      <w:bookmarkEnd w:id="190"/>
      <w:bookmarkEnd w:id="191"/>
    </w:p>
    <w:p w14:paraId="4FE068FB">
      <w:pPr>
        <w:keepNext w:val="0"/>
        <w:keepLines w:val="0"/>
        <w:pageBreakBefore w:val="0"/>
        <w:widowControl w:val="0"/>
        <w:numPr>
          <w:ilvl w:val="1"/>
          <w:numId w:val="11"/>
        </w:numPr>
        <w:kinsoku/>
        <w:wordWrap/>
        <w:overflowPunct/>
        <w:topLinePunct w:val="0"/>
        <w:autoSpaceDE/>
        <w:autoSpaceDN/>
        <w:bidi w:val="0"/>
        <w:adjustRightInd/>
        <w:snapToGrid/>
        <w:spacing w:line="360" w:lineRule="auto"/>
        <w:ind w:left="632" w:leftChars="0" w:hanging="632" w:hangingChars="300"/>
        <w:textAlignment w:val="auto"/>
        <w:outlineLvl w:val="3"/>
        <w:rPr>
          <w:rFonts w:ascii="宋体" w:hAnsi="宋体"/>
          <w:b/>
          <w:color w:val="auto"/>
          <w:sz w:val="21"/>
          <w:szCs w:val="21"/>
          <w:highlight w:val="none"/>
        </w:rPr>
      </w:pPr>
      <w:bookmarkStart w:id="192" w:name="_Toc76720000"/>
      <w:r>
        <w:rPr>
          <w:rFonts w:hint="eastAsia" w:ascii="宋体" w:hAnsi="宋体"/>
          <w:b/>
          <w:color w:val="auto"/>
          <w:sz w:val="21"/>
          <w:szCs w:val="21"/>
          <w:highlight w:val="none"/>
        </w:rPr>
        <w:t>承包人的投保</w:t>
      </w:r>
      <w:bookmarkEnd w:id="192"/>
    </w:p>
    <w:p w14:paraId="43738F70">
      <w:pPr>
        <w:keepNext w:val="0"/>
        <w:keepLines w:val="0"/>
        <w:pageBreakBefore w:val="0"/>
        <w:widowControl w:val="0"/>
        <w:numPr>
          <w:ilvl w:val="2"/>
          <w:numId w:val="11"/>
        </w:numPr>
        <w:tabs>
          <w:tab w:val="left" w:pos="1134"/>
          <w:tab w:val="clear" w:pos="0"/>
        </w:tabs>
        <w:kinsoku/>
        <w:wordWrap/>
        <w:overflowPunct/>
        <w:topLinePunct w:val="0"/>
        <w:autoSpaceDE/>
        <w:autoSpaceDN/>
        <w:bidi w:val="0"/>
        <w:adjustRightInd/>
        <w:snapToGrid/>
        <w:spacing w:line="360" w:lineRule="auto"/>
        <w:ind w:left="630" w:leftChars="0" w:hanging="630" w:hangingChars="300"/>
        <w:textAlignment w:val="auto"/>
        <w:rPr>
          <w:rFonts w:ascii="宋体" w:hAnsi="宋体"/>
          <w:color w:val="auto"/>
          <w:sz w:val="21"/>
          <w:szCs w:val="21"/>
          <w:highlight w:val="none"/>
        </w:rPr>
      </w:pPr>
      <w:r>
        <w:rPr>
          <w:rFonts w:ascii="宋体" w:hAnsi="宋体"/>
          <w:color w:val="auto"/>
          <w:sz w:val="21"/>
          <w:szCs w:val="21"/>
          <w:highlight w:val="none"/>
        </w:rPr>
        <w:t>按适用法律</w:t>
      </w:r>
      <w:r>
        <w:rPr>
          <w:rFonts w:hint="eastAsia" w:ascii="宋体" w:hAnsi="宋体"/>
          <w:color w:val="auto"/>
          <w:sz w:val="21"/>
          <w:szCs w:val="21"/>
          <w:highlight w:val="none"/>
        </w:rPr>
        <w:t>、行政法规规定和专用条款约定的投保类别，由承包人</w:t>
      </w:r>
      <w:r>
        <w:rPr>
          <w:rFonts w:ascii="宋体" w:hAnsi="宋体"/>
          <w:color w:val="auto"/>
          <w:sz w:val="21"/>
          <w:szCs w:val="21"/>
          <w:highlight w:val="none"/>
        </w:rPr>
        <w:t>投保</w:t>
      </w:r>
      <w:r>
        <w:rPr>
          <w:rFonts w:hint="eastAsia" w:ascii="宋体" w:hAnsi="宋体"/>
          <w:color w:val="auto"/>
          <w:sz w:val="21"/>
          <w:szCs w:val="21"/>
          <w:highlight w:val="none"/>
        </w:rPr>
        <w:t>的</w:t>
      </w:r>
      <w:r>
        <w:rPr>
          <w:rFonts w:ascii="宋体" w:hAnsi="宋体"/>
          <w:color w:val="auto"/>
          <w:sz w:val="21"/>
          <w:szCs w:val="21"/>
          <w:highlight w:val="none"/>
        </w:rPr>
        <w:t>保险种类</w:t>
      </w:r>
      <w:r>
        <w:rPr>
          <w:rFonts w:hint="eastAsia" w:ascii="宋体" w:hAnsi="宋体"/>
          <w:color w:val="auto"/>
          <w:sz w:val="21"/>
          <w:szCs w:val="21"/>
          <w:highlight w:val="none"/>
        </w:rPr>
        <w:t>，其</w:t>
      </w:r>
      <w:r>
        <w:rPr>
          <w:rFonts w:ascii="宋体" w:hAnsi="宋体"/>
          <w:color w:val="auto"/>
          <w:sz w:val="21"/>
          <w:szCs w:val="21"/>
          <w:highlight w:val="none"/>
        </w:rPr>
        <w:t>投保费用包含在合同价格中。</w:t>
      </w:r>
      <w:r>
        <w:rPr>
          <w:rFonts w:hint="eastAsia" w:ascii="宋体" w:hAnsi="宋体"/>
          <w:color w:val="auto"/>
          <w:sz w:val="21"/>
          <w:szCs w:val="21"/>
          <w:highlight w:val="none"/>
        </w:rPr>
        <w:t>在专用条款约定由承包人投保的保险种类、</w:t>
      </w:r>
      <w:r>
        <w:rPr>
          <w:rFonts w:ascii="宋体" w:hAnsi="宋体"/>
          <w:color w:val="auto"/>
          <w:sz w:val="21"/>
          <w:szCs w:val="21"/>
          <w:highlight w:val="none"/>
        </w:rPr>
        <w:t>保险范围、投保金额、保险期限和持续有效</w:t>
      </w:r>
      <w:r>
        <w:rPr>
          <w:rFonts w:hint="eastAsia" w:ascii="宋体" w:hAnsi="宋体"/>
          <w:color w:val="auto"/>
          <w:sz w:val="21"/>
          <w:szCs w:val="21"/>
          <w:highlight w:val="none"/>
        </w:rPr>
        <w:t>的时间</w:t>
      </w:r>
      <w:r>
        <w:rPr>
          <w:rFonts w:ascii="宋体" w:hAnsi="宋体"/>
          <w:color w:val="auto"/>
          <w:sz w:val="21"/>
          <w:szCs w:val="21"/>
          <w:highlight w:val="none"/>
        </w:rPr>
        <w:t>等。</w:t>
      </w:r>
    </w:p>
    <w:p w14:paraId="3831D13C">
      <w:pPr>
        <w:keepNext w:val="0"/>
        <w:keepLines w:val="0"/>
        <w:pageBreakBefore w:val="0"/>
        <w:numPr>
          <w:ilvl w:val="0"/>
          <w:numId w:val="50"/>
        </w:numPr>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适用法律、行政法规规定的，及本专用条款约定的，由承包人负责投保的，依据工程实施阶段的需要按期投保；</w:t>
      </w:r>
    </w:p>
    <w:p w14:paraId="5435AD8D">
      <w:pPr>
        <w:keepNext w:val="0"/>
        <w:keepLines w:val="0"/>
        <w:pageBreakBefore w:val="0"/>
        <w:numPr>
          <w:ilvl w:val="0"/>
          <w:numId w:val="50"/>
        </w:numPr>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ascii="宋体" w:hAnsi="宋体"/>
          <w:color w:val="auto"/>
          <w:sz w:val="21"/>
          <w:szCs w:val="21"/>
          <w:highlight w:val="none"/>
        </w:rPr>
        <w:t>在合同执行过程中，</w:t>
      </w:r>
      <w:r>
        <w:rPr>
          <w:rFonts w:hint="eastAsia" w:ascii="宋体" w:hAnsi="宋体"/>
          <w:color w:val="auto"/>
          <w:sz w:val="21"/>
          <w:szCs w:val="21"/>
          <w:highlight w:val="none"/>
        </w:rPr>
        <w:t>新颁布的</w:t>
      </w:r>
      <w:r>
        <w:rPr>
          <w:rFonts w:ascii="宋体" w:hAnsi="宋体"/>
          <w:color w:val="auto"/>
          <w:sz w:val="21"/>
          <w:szCs w:val="21"/>
          <w:highlight w:val="none"/>
        </w:rPr>
        <w:t>适用法律</w:t>
      </w:r>
      <w:r>
        <w:rPr>
          <w:rFonts w:hint="eastAsia" w:ascii="宋体" w:hAnsi="宋体"/>
          <w:color w:val="auto"/>
          <w:sz w:val="21"/>
          <w:szCs w:val="21"/>
          <w:highlight w:val="none"/>
        </w:rPr>
        <w:t>、法规</w:t>
      </w:r>
      <w:r>
        <w:rPr>
          <w:rFonts w:ascii="宋体" w:hAnsi="宋体"/>
          <w:color w:val="auto"/>
          <w:sz w:val="21"/>
          <w:szCs w:val="21"/>
          <w:highlight w:val="none"/>
        </w:rPr>
        <w:t>规定</w:t>
      </w:r>
      <w:r>
        <w:rPr>
          <w:rFonts w:hint="eastAsia" w:ascii="宋体" w:hAnsi="宋体"/>
          <w:color w:val="auto"/>
          <w:sz w:val="21"/>
          <w:szCs w:val="21"/>
          <w:highlight w:val="none"/>
        </w:rPr>
        <w:t>的，</w:t>
      </w:r>
      <w:r>
        <w:rPr>
          <w:rFonts w:ascii="宋体" w:hAnsi="宋体"/>
          <w:color w:val="auto"/>
          <w:sz w:val="21"/>
          <w:szCs w:val="21"/>
          <w:highlight w:val="none"/>
        </w:rPr>
        <w:t>由承包人投保的强制性保险，根据1</w:t>
      </w:r>
      <w:r>
        <w:rPr>
          <w:rFonts w:hint="eastAsia" w:ascii="宋体" w:hAnsi="宋体"/>
          <w:color w:val="auto"/>
          <w:sz w:val="21"/>
          <w:szCs w:val="21"/>
          <w:highlight w:val="none"/>
        </w:rPr>
        <w:t>4</w:t>
      </w:r>
      <w:r>
        <w:rPr>
          <w:rFonts w:ascii="宋体" w:hAnsi="宋体"/>
          <w:color w:val="auto"/>
          <w:sz w:val="21"/>
          <w:szCs w:val="21"/>
          <w:highlight w:val="none"/>
        </w:rPr>
        <w:t>条变更和合同价格调整的</w:t>
      </w:r>
      <w:r>
        <w:rPr>
          <w:rFonts w:hint="eastAsia" w:ascii="宋体" w:hAnsi="宋体"/>
          <w:color w:val="auto"/>
          <w:sz w:val="21"/>
          <w:szCs w:val="21"/>
          <w:highlight w:val="none"/>
        </w:rPr>
        <w:t>约定</w:t>
      </w:r>
      <w:r>
        <w:rPr>
          <w:rFonts w:ascii="宋体" w:hAnsi="宋体"/>
          <w:color w:val="auto"/>
          <w:sz w:val="21"/>
          <w:szCs w:val="21"/>
          <w:highlight w:val="none"/>
        </w:rPr>
        <w:t>调整合同价格。</w:t>
      </w:r>
    </w:p>
    <w:p w14:paraId="1D73F2FA">
      <w:pPr>
        <w:keepNext w:val="0"/>
        <w:keepLines w:val="0"/>
        <w:pageBreakBefore w:val="0"/>
        <w:widowControl w:val="0"/>
        <w:numPr>
          <w:ilvl w:val="2"/>
          <w:numId w:val="11"/>
        </w:numPr>
        <w:tabs>
          <w:tab w:val="left" w:pos="1134"/>
          <w:tab w:val="clear" w:pos="0"/>
        </w:tabs>
        <w:kinsoku/>
        <w:wordWrap/>
        <w:overflowPunct/>
        <w:topLinePunct w:val="0"/>
        <w:autoSpaceDE/>
        <w:autoSpaceDN/>
        <w:bidi w:val="0"/>
        <w:adjustRightInd/>
        <w:snapToGrid/>
        <w:spacing w:line="360" w:lineRule="auto"/>
        <w:ind w:left="630" w:leftChars="0" w:hanging="630" w:hangingChars="300"/>
        <w:textAlignment w:val="auto"/>
        <w:rPr>
          <w:rFonts w:ascii="宋体" w:hAnsi="宋体"/>
          <w:color w:val="auto"/>
          <w:sz w:val="21"/>
          <w:szCs w:val="21"/>
          <w:highlight w:val="none"/>
        </w:rPr>
      </w:pPr>
      <w:r>
        <w:rPr>
          <w:rFonts w:ascii="宋体" w:hAnsi="宋体"/>
          <w:color w:val="auto"/>
          <w:sz w:val="21"/>
          <w:szCs w:val="21"/>
          <w:highlight w:val="none"/>
        </w:rPr>
        <w:t>保险单对联合被保险人提供保险时，保险赔偿对每个联合被保险人分别</w:t>
      </w:r>
      <w:r>
        <w:rPr>
          <w:rFonts w:hint="eastAsia" w:ascii="宋体" w:hAnsi="宋体"/>
          <w:color w:val="auto"/>
          <w:sz w:val="21"/>
          <w:szCs w:val="21"/>
          <w:highlight w:val="none"/>
        </w:rPr>
        <w:t>适</w:t>
      </w:r>
      <w:r>
        <w:rPr>
          <w:rFonts w:ascii="宋体" w:hAnsi="宋体"/>
          <w:color w:val="auto"/>
          <w:sz w:val="21"/>
          <w:szCs w:val="21"/>
          <w:highlight w:val="none"/>
        </w:rPr>
        <w:t>用。承包人代表自己的被保险人，保证其被保险人遵守保险单</w:t>
      </w:r>
      <w:r>
        <w:rPr>
          <w:rFonts w:hint="eastAsia" w:ascii="宋体" w:hAnsi="宋体"/>
          <w:color w:val="auto"/>
          <w:sz w:val="21"/>
          <w:szCs w:val="21"/>
          <w:highlight w:val="none"/>
        </w:rPr>
        <w:t>约定</w:t>
      </w:r>
      <w:r>
        <w:rPr>
          <w:rFonts w:ascii="宋体" w:hAnsi="宋体"/>
          <w:color w:val="auto"/>
          <w:sz w:val="21"/>
          <w:szCs w:val="21"/>
          <w:highlight w:val="none"/>
        </w:rPr>
        <w:t>的条件</w:t>
      </w:r>
      <w:r>
        <w:rPr>
          <w:rFonts w:hint="eastAsia" w:ascii="宋体" w:hAnsi="宋体"/>
          <w:color w:val="auto"/>
          <w:sz w:val="21"/>
          <w:szCs w:val="21"/>
          <w:highlight w:val="none"/>
        </w:rPr>
        <w:t>及其</w:t>
      </w:r>
      <w:r>
        <w:rPr>
          <w:rFonts w:ascii="宋体" w:hAnsi="宋体"/>
          <w:color w:val="auto"/>
          <w:sz w:val="21"/>
          <w:szCs w:val="21"/>
          <w:highlight w:val="none"/>
        </w:rPr>
        <w:t>赔偿</w:t>
      </w:r>
      <w:r>
        <w:rPr>
          <w:rFonts w:hint="eastAsia" w:ascii="宋体" w:hAnsi="宋体"/>
          <w:color w:val="auto"/>
          <w:sz w:val="21"/>
          <w:szCs w:val="21"/>
          <w:highlight w:val="none"/>
        </w:rPr>
        <w:t>金额</w:t>
      </w:r>
      <w:r>
        <w:rPr>
          <w:rFonts w:ascii="宋体" w:hAnsi="宋体"/>
          <w:color w:val="auto"/>
          <w:sz w:val="21"/>
          <w:szCs w:val="21"/>
          <w:highlight w:val="none"/>
        </w:rPr>
        <w:t>。</w:t>
      </w:r>
    </w:p>
    <w:p w14:paraId="31AD315B">
      <w:pPr>
        <w:keepNext w:val="0"/>
        <w:keepLines w:val="0"/>
        <w:pageBreakBefore w:val="0"/>
        <w:widowControl w:val="0"/>
        <w:numPr>
          <w:ilvl w:val="2"/>
          <w:numId w:val="11"/>
        </w:numPr>
        <w:tabs>
          <w:tab w:val="left" w:pos="1134"/>
          <w:tab w:val="clear" w:pos="0"/>
        </w:tabs>
        <w:kinsoku/>
        <w:wordWrap/>
        <w:overflowPunct/>
        <w:topLinePunct w:val="0"/>
        <w:autoSpaceDE/>
        <w:autoSpaceDN/>
        <w:bidi w:val="0"/>
        <w:adjustRightInd/>
        <w:snapToGrid/>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承包人</w:t>
      </w:r>
      <w:r>
        <w:rPr>
          <w:rFonts w:ascii="宋体" w:hAnsi="宋体"/>
          <w:color w:val="auto"/>
          <w:sz w:val="21"/>
          <w:szCs w:val="21"/>
          <w:highlight w:val="none"/>
        </w:rPr>
        <w:t>从保险人收到的理赔款项，用于保单</w:t>
      </w:r>
      <w:r>
        <w:rPr>
          <w:rFonts w:hint="eastAsia" w:ascii="宋体" w:hAnsi="宋体"/>
          <w:color w:val="auto"/>
          <w:sz w:val="21"/>
          <w:szCs w:val="21"/>
          <w:highlight w:val="none"/>
        </w:rPr>
        <w:t>约定</w:t>
      </w:r>
      <w:r>
        <w:rPr>
          <w:rFonts w:ascii="宋体" w:hAnsi="宋体"/>
          <w:color w:val="auto"/>
          <w:sz w:val="21"/>
          <w:szCs w:val="21"/>
          <w:highlight w:val="none"/>
        </w:rPr>
        <w:t>的损失、损害、伤害的修复、购置、重建和赔偿。</w:t>
      </w:r>
    </w:p>
    <w:p w14:paraId="54B87DFD">
      <w:pPr>
        <w:keepNext w:val="0"/>
        <w:keepLines w:val="0"/>
        <w:pageBreakBefore w:val="0"/>
        <w:widowControl w:val="0"/>
        <w:numPr>
          <w:ilvl w:val="2"/>
          <w:numId w:val="11"/>
        </w:numPr>
        <w:tabs>
          <w:tab w:val="left" w:pos="1134"/>
          <w:tab w:val="clear" w:pos="0"/>
        </w:tabs>
        <w:kinsoku/>
        <w:wordWrap/>
        <w:overflowPunct/>
        <w:topLinePunct w:val="0"/>
        <w:autoSpaceDE/>
        <w:autoSpaceDN/>
        <w:bidi w:val="0"/>
        <w:adjustRightInd/>
        <w:snapToGrid/>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承包人</w:t>
      </w:r>
      <w:r>
        <w:rPr>
          <w:rFonts w:ascii="宋体" w:hAnsi="宋体"/>
          <w:color w:val="auto"/>
          <w:sz w:val="21"/>
          <w:szCs w:val="21"/>
          <w:highlight w:val="none"/>
        </w:rPr>
        <w:t>在投保项目及其</w:t>
      </w:r>
      <w:r>
        <w:rPr>
          <w:rFonts w:hint="eastAsia" w:ascii="宋体" w:hAnsi="宋体"/>
          <w:color w:val="auto"/>
          <w:sz w:val="21"/>
          <w:szCs w:val="21"/>
          <w:highlight w:val="none"/>
        </w:rPr>
        <w:t>投保</w:t>
      </w:r>
      <w:r>
        <w:rPr>
          <w:rFonts w:ascii="宋体" w:hAnsi="宋体"/>
          <w:color w:val="auto"/>
          <w:sz w:val="21"/>
          <w:szCs w:val="21"/>
          <w:highlight w:val="none"/>
        </w:rPr>
        <w:t>期限内，向</w:t>
      </w:r>
      <w:r>
        <w:rPr>
          <w:rFonts w:hint="eastAsia" w:ascii="宋体" w:hAnsi="宋体"/>
          <w:color w:val="auto"/>
          <w:sz w:val="21"/>
          <w:szCs w:val="21"/>
          <w:highlight w:val="none"/>
        </w:rPr>
        <w:t>发包人</w:t>
      </w:r>
      <w:r>
        <w:rPr>
          <w:rFonts w:ascii="宋体" w:hAnsi="宋体"/>
          <w:color w:val="auto"/>
          <w:sz w:val="21"/>
          <w:szCs w:val="21"/>
          <w:highlight w:val="none"/>
        </w:rPr>
        <w:t>提供保险单副本、保费支付单据复印件和保险单生效的证明。</w:t>
      </w:r>
    </w:p>
    <w:p w14:paraId="16353DAA">
      <w:pPr>
        <w:keepNext w:val="0"/>
        <w:keepLines w:val="0"/>
        <w:pageBreakBefore w:val="0"/>
        <w:numPr>
          <w:ilvl w:val="1"/>
          <w:numId w:val="11"/>
        </w:numPr>
        <w:kinsoku/>
        <w:wordWrap/>
        <w:overflowPunct/>
        <w:topLinePunct w:val="0"/>
        <w:autoSpaceDE/>
        <w:autoSpaceDN/>
        <w:bidi w:val="0"/>
        <w:spacing w:line="360" w:lineRule="auto"/>
        <w:ind w:left="632" w:leftChars="0" w:hanging="632" w:hangingChars="300"/>
        <w:textAlignment w:val="auto"/>
        <w:outlineLvl w:val="3"/>
        <w:rPr>
          <w:rFonts w:ascii="宋体" w:hAnsi="宋体"/>
          <w:b/>
          <w:color w:val="auto"/>
          <w:sz w:val="21"/>
          <w:szCs w:val="21"/>
          <w:highlight w:val="none"/>
        </w:rPr>
      </w:pPr>
      <w:bookmarkStart w:id="193" w:name="_Toc76720001"/>
      <w:r>
        <w:rPr>
          <w:rFonts w:ascii="宋体" w:hAnsi="宋体"/>
          <w:b/>
          <w:color w:val="auto"/>
          <w:sz w:val="21"/>
          <w:szCs w:val="21"/>
          <w:highlight w:val="none"/>
        </w:rPr>
        <w:t>一切险和第三方责任险</w:t>
      </w:r>
      <w:bookmarkEnd w:id="193"/>
    </w:p>
    <w:p w14:paraId="7B2106D9">
      <w:pPr>
        <w:keepNext w:val="0"/>
        <w:keepLines w:val="0"/>
        <w:pageBreakBefore w:val="0"/>
        <w:kinsoku/>
        <w:wordWrap/>
        <w:overflowPunct/>
        <w:topLinePunct w:val="0"/>
        <w:autoSpaceDE/>
        <w:autoSpaceDN/>
        <w:bidi w:val="0"/>
        <w:spacing w:line="360" w:lineRule="auto"/>
        <w:ind w:left="630" w:leftChars="300" w:firstLine="0" w:firstLineChars="0"/>
        <w:textAlignment w:val="auto"/>
        <w:rPr>
          <w:rFonts w:ascii="宋体" w:hAnsi="宋体"/>
          <w:color w:val="auto"/>
          <w:sz w:val="21"/>
          <w:szCs w:val="21"/>
          <w:highlight w:val="none"/>
        </w:rPr>
      </w:pPr>
      <w:r>
        <w:rPr>
          <w:rFonts w:ascii="宋体" w:hAnsi="宋体"/>
          <w:color w:val="auto"/>
          <w:sz w:val="21"/>
          <w:szCs w:val="21"/>
          <w:highlight w:val="none"/>
        </w:rPr>
        <w:t>对于建筑工程一切险、安装工程一切险和第三者责任险，无论应投保方是任何一方，其在投保时均将本合同另一方同时列为保险合同项下的被保险人。具体</w:t>
      </w:r>
      <w:r>
        <w:rPr>
          <w:rFonts w:hint="eastAsia" w:ascii="宋体" w:hAnsi="宋体"/>
          <w:color w:val="auto"/>
          <w:sz w:val="21"/>
          <w:szCs w:val="21"/>
          <w:highlight w:val="none"/>
        </w:rPr>
        <w:t>的</w:t>
      </w:r>
      <w:r>
        <w:rPr>
          <w:rFonts w:ascii="宋体" w:hAnsi="宋体"/>
          <w:color w:val="auto"/>
          <w:sz w:val="21"/>
          <w:szCs w:val="21"/>
          <w:highlight w:val="none"/>
        </w:rPr>
        <w:t>投保方在专用条款中</w:t>
      </w:r>
      <w:r>
        <w:rPr>
          <w:rFonts w:hint="eastAsia" w:ascii="宋体" w:hAnsi="宋体"/>
          <w:color w:val="auto"/>
          <w:sz w:val="21"/>
          <w:szCs w:val="21"/>
          <w:highlight w:val="none"/>
        </w:rPr>
        <w:t>约定</w:t>
      </w:r>
      <w:r>
        <w:rPr>
          <w:rFonts w:ascii="宋体" w:hAnsi="宋体"/>
          <w:color w:val="auto"/>
          <w:sz w:val="21"/>
          <w:szCs w:val="21"/>
          <w:highlight w:val="none"/>
        </w:rPr>
        <w:t>。</w:t>
      </w:r>
    </w:p>
    <w:p w14:paraId="7DC68AFA">
      <w:pPr>
        <w:keepNext w:val="0"/>
        <w:keepLines w:val="0"/>
        <w:pageBreakBefore w:val="0"/>
        <w:numPr>
          <w:ilvl w:val="1"/>
          <w:numId w:val="11"/>
        </w:numPr>
        <w:kinsoku/>
        <w:wordWrap/>
        <w:overflowPunct/>
        <w:topLinePunct w:val="0"/>
        <w:autoSpaceDE/>
        <w:autoSpaceDN/>
        <w:bidi w:val="0"/>
        <w:spacing w:line="360" w:lineRule="auto"/>
        <w:ind w:left="632" w:leftChars="0" w:hanging="632" w:hangingChars="300"/>
        <w:textAlignment w:val="auto"/>
        <w:outlineLvl w:val="3"/>
        <w:rPr>
          <w:rFonts w:ascii="宋体" w:hAnsi="宋体"/>
          <w:b/>
          <w:color w:val="auto"/>
          <w:sz w:val="21"/>
          <w:szCs w:val="21"/>
          <w:highlight w:val="none"/>
        </w:rPr>
      </w:pPr>
      <w:bookmarkStart w:id="194" w:name="_Toc76720002"/>
      <w:r>
        <w:rPr>
          <w:rFonts w:ascii="宋体" w:hAnsi="宋体"/>
          <w:b/>
          <w:color w:val="auto"/>
          <w:sz w:val="21"/>
          <w:szCs w:val="21"/>
          <w:highlight w:val="none"/>
        </w:rPr>
        <w:t>保险的其他规定</w:t>
      </w:r>
      <w:bookmarkEnd w:id="194"/>
    </w:p>
    <w:p w14:paraId="543C6FE7">
      <w:pPr>
        <w:keepNext w:val="0"/>
        <w:keepLines w:val="0"/>
        <w:pageBreakBefore w:val="0"/>
        <w:widowControl w:val="0"/>
        <w:numPr>
          <w:ilvl w:val="2"/>
          <w:numId w:val="11"/>
        </w:numPr>
        <w:tabs>
          <w:tab w:val="left" w:pos="1134"/>
          <w:tab w:val="clear" w:pos="0"/>
        </w:tabs>
        <w:kinsoku/>
        <w:wordWrap/>
        <w:overflowPunct/>
        <w:topLinePunct w:val="0"/>
        <w:autoSpaceDE/>
        <w:autoSpaceDN/>
        <w:bidi w:val="0"/>
        <w:adjustRightInd/>
        <w:snapToGrid/>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由承包人负责</w:t>
      </w:r>
      <w:r>
        <w:rPr>
          <w:rFonts w:ascii="宋体" w:hAnsi="宋体"/>
          <w:color w:val="auto"/>
          <w:sz w:val="21"/>
          <w:szCs w:val="21"/>
          <w:highlight w:val="none"/>
        </w:rPr>
        <w:t>采购运输的设备、材料、部件的运输险</w:t>
      </w:r>
      <w:r>
        <w:rPr>
          <w:rFonts w:hint="eastAsia" w:ascii="宋体" w:hAnsi="宋体"/>
          <w:color w:val="auto"/>
          <w:sz w:val="21"/>
          <w:szCs w:val="21"/>
          <w:highlight w:val="none"/>
        </w:rPr>
        <w:t>，由承包人</w:t>
      </w:r>
      <w:r>
        <w:rPr>
          <w:rFonts w:ascii="宋体" w:hAnsi="宋体"/>
          <w:color w:val="auto"/>
          <w:sz w:val="21"/>
          <w:szCs w:val="21"/>
          <w:highlight w:val="none"/>
        </w:rPr>
        <w:t>投保。此项保险费用已包含在合同价格中。</w:t>
      </w:r>
      <w:r>
        <w:rPr>
          <w:rFonts w:hint="eastAsia" w:ascii="宋体" w:hAnsi="宋体"/>
          <w:color w:val="auto"/>
          <w:sz w:val="21"/>
          <w:szCs w:val="21"/>
          <w:highlight w:val="none"/>
        </w:rPr>
        <w:t>除非专用条款中另有约定。</w:t>
      </w:r>
    </w:p>
    <w:p w14:paraId="4914508B">
      <w:pPr>
        <w:keepNext w:val="0"/>
        <w:keepLines w:val="0"/>
        <w:pageBreakBefore w:val="0"/>
        <w:widowControl w:val="0"/>
        <w:numPr>
          <w:ilvl w:val="2"/>
          <w:numId w:val="11"/>
        </w:numPr>
        <w:tabs>
          <w:tab w:val="left" w:pos="1134"/>
          <w:tab w:val="clear" w:pos="0"/>
        </w:tabs>
        <w:kinsoku/>
        <w:wordWrap/>
        <w:overflowPunct/>
        <w:topLinePunct w:val="0"/>
        <w:autoSpaceDE/>
        <w:autoSpaceDN/>
        <w:bidi w:val="0"/>
        <w:adjustRightInd/>
        <w:snapToGrid/>
        <w:spacing w:line="360" w:lineRule="auto"/>
        <w:ind w:left="630" w:leftChars="0" w:hanging="630" w:hangingChars="300"/>
        <w:textAlignment w:val="auto"/>
        <w:rPr>
          <w:rFonts w:ascii="宋体" w:hAnsi="宋体"/>
          <w:color w:val="auto"/>
          <w:sz w:val="21"/>
          <w:szCs w:val="21"/>
          <w:highlight w:val="none"/>
        </w:rPr>
      </w:pPr>
      <w:r>
        <w:rPr>
          <w:rFonts w:ascii="宋体" w:hAnsi="宋体"/>
          <w:color w:val="auto"/>
          <w:sz w:val="21"/>
          <w:szCs w:val="21"/>
          <w:highlight w:val="none"/>
        </w:rPr>
        <w:t>保险事项的</w:t>
      </w:r>
      <w:r>
        <w:rPr>
          <w:rFonts w:hint="eastAsia" w:ascii="宋体" w:hAnsi="宋体"/>
          <w:color w:val="auto"/>
          <w:sz w:val="21"/>
          <w:szCs w:val="21"/>
          <w:highlight w:val="none"/>
        </w:rPr>
        <w:t>意外事件</w:t>
      </w:r>
      <w:r>
        <w:rPr>
          <w:rFonts w:ascii="宋体" w:hAnsi="宋体"/>
          <w:color w:val="auto"/>
          <w:sz w:val="21"/>
          <w:szCs w:val="21"/>
          <w:highlight w:val="none"/>
        </w:rPr>
        <w:t>发生时，</w:t>
      </w:r>
      <w:r>
        <w:rPr>
          <w:rFonts w:hint="eastAsia" w:ascii="宋体" w:hAnsi="宋体"/>
          <w:color w:val="auto"/>
          <w:sz w:val="21"/>
          <w:szCs w:val="21"/>
          <w:highlight w:val="none"/>
        </w:rPr>
        <w:t>在场的各</w:t>
      </w:r>
      <w:r>
        <w:rPr>
          <w:rFonts w:ascii="宋体" w:hAnsi="宋体"/>
          <w:color w:val="auto"/>
          <w:sz w:val="21"/>
          <w:szCs w:val="21"/>
          <w:highlight w:val="none"/>
        </w:rPr>
        <w:t>方均有责任努力采取必要措施，防止损失、损害的扩大。</w:t>
      </w:r>
    </w:p>
    <w:p w14:paraId="68F53389">
      <w:pPr>
        <w:keepNext w:val="0"/>
        <w:keepLines w:val="0"/>
        <w:pageBreakBefore w:val="0"/>
        <w:widowControl w:val="0"/>
        <w:numPr>
          <w:ilvl w:val="2"/>
          <w:numId w:val="11"/>
        </w:numPr>
        <w:tabs>
          <w:tab w:val="left" w:pos="1134"/>
          <w:tab w:val="clear" w:pos="0"/>
        </w:tabs>
        <w:kinsoku/>
        <w:wordWrap/>
        <w:overflowPunct/>
        <w:topLinePunct w:val="0"/>
        <w:autoSpaceDE/>
        <w:autoSpaceDN/>
        <w:bidi w:val="0"/>
        <w:adjustRightInd/>
        <w:snapToGrid/>
        <w:spacing w:line="360" w:lineRule="auto"/>
        <w:ind w:left="630" w:leftChars="0" w:hanging="630" w:hangingChars="300"/>
        <w:textAlignment w:val="auto"/>
        <w:rPr>
          <w:rFonts w:ascii="宋体" w:hAnsi="宋体"/>
          <w:color w:val="auto"/>
          <w:sz w:val="21"/>
          <w:szCs w:val="21"/>
          <w:highlight w:val="none"/>
        </w:rPr>
      </w:pPr>
      <w:r>
        <w:rPr>
          <w:rFonts w:ascii="宋体" w:hAnsi="宋体"/>
          <w:color w:val="auto"/>
          <w:sz w:val="21"/>
          <w:szCs w:val="21"/>
          <w:highlight w:val="none"/>
        </w:rPr>
        <w:t>本合同</w:t>
      </w:r>
      <w:r>
        <w:rPr>
          <w:rFonts w:hint="eastAsia" w:ascii="宋体" w:hAnsi="宋体"/>
          <w:color w:val="auto"/>
          <w:sz w:val="21"/>
          <w:szCs w:val="21"/>
          <w:highlight w:val="none"/>
        </w:rPr>
        <w:t>约定</w:t>
      </w:r>
      <w:r>
        <w:rPr>
          <w:rFonts w:ascii="宋体" w:hAnsi="宋体"/>
          <w:color w:val="auto"/>
          <w:sz w:val="21"/>
          <w:szCs w:val="21"/>
          <w:highlight w:val="none"/>
        </w:rPr>
        <w:t>以外的险种，根据各自的需要自行投保，保险费用</w:t>
      </w:r>
      <w:r>
        <w:rPr>
          <w:rFonts w:hint="eastAsia" w:ascii="宋体" w:hAnsi="宋体"/>
          <w:color w:val="auto"/>
          <w:sz w:val="21"/>
          <w:szCs w:val="21"/>
          <w:highlight w:val="none"/>
        </w:rPr>
        <w:t>由</w:t>
      </w:r>
      <w:r>
        <w:rPr>
          <w:rFonts w:ascii="宋体" w:hAnsi="宋体"/>
          <w:color w:val="auto"/>
          <w:sz w:val="21"/>
          <w:szCs w:val="21"/>
          <w:highlight w:val="none"/>
        </w:rPr>
        <w:t>各自承担。</w:t>
      </w:r>
    </w:p>
    <w:p w14:paraId="1746C12A">
      <w:pPr>
        <w:keepNext w:val="0"/>
        <w:keepLines w:val="0"/>
        <w:pageBreakBefore w:val="0"/>
        <w:numPr>
          <w:ilvl w:val="0"/>
          <w:numId w:val="11"/>
        </w:numPr>
        <w:kinsoku/>
        <w:wordWrap/>
        <w:overflowPunct/>
        <w:topLinePunct w:val="0"/>
        <w:autoSpaceDE/>
        <w:autoSpaceDN/>
        <w:bidi w:val="0"/>
        <w:spacing w:line="360" w:lineRule="auto"/>
        <w:ind w:left="632" w:leftChars="0" w:hanging="632" w:hangingChars="300"/>
        <w:textAlignment w:val="auto"/>
        <w:outlineLvl w:val="2"/>
        <w:rPr>
          <w:rFonts w:ascii="宋体" w:hAnsi="宋体"/>
          <w:b/>
          <w:color w:val="auto"/>
          <w:sz w:val="21"/>
          <w:szCs w:val="21"/>
          <w:highlight w:val="none"/>
        </w:rPr>
      </w:pPr>
      <w:bookmarkStart w:id="195" w:name="_Toc80633166"/>
      <w:bookmarkStart w:id="196" w:name="_Toc363719008"/>
      <w:bookmarkStart w:id="197" w:name="_Toc76720003"/>
      <w:r>
        <w:rPr>
          <w:rFonts w:hint="eastAsia" w:ascii="宋体" w:hAnsi="宋体"/>
          <w:b/>
          <w:color w:val="auto"/>
          <w:sz w:val="21"/>
          <w:szCs w:val="21"/>
          <w:highlight w:val="none"/>
        </w:rPr>
        <w:t>违约、索赔和裁决</w:t>
      </w:r>
      <w:bookmarkEnd w:id="195"/>
      <w:bookmarkEnd w:id="196"/>
      <w:bookmarkEnd w:id="197"/>
    </w:p>
    <w:p w14:paraId="4C1C3F9D">
      <w:pPr>
        <w:keepNext w:val="0"/>
        <w:keepLines w:val="0"/>
        <w:pageBreakBefore w:val="0"/>
        <w:numPr>
          <w:ilvl w:val="1"/>
          <w:numId w:val="11"/>
        </w:numPr>
        <w:kinsoku/>
        <w:wordWrap/>
        <w:overflowPunct/>
        <w:topLinePunct w:val="0"/>
        <w:autoSpaceDE/>
        <w:autoSpaceDN/>
        <w:bidi w:val="0"/>
        <w:spacing w:line="360" w:lineRule="auto"/>
        <w:ind w:left="632" w:leftChars="0" w:hanging="632" w:hangingChars="300"/>
        <w:textAlignment w:val="auto"/>
        <w:outlineLvl w:val="3"/>
        <w:rPr>
          <w:rFonts w:ascii="宋体" w:hAnsi="宋体"/>
          <w:b/>
          <w:color w:val="auto"/>
          <w:sz w:val="21"/>
          <w:szCs w:val="21"/>
          <w:highlight w:val="none"/>
        </w:rPr>
      </w:pPr>
      <w:bookmarkStart w:id="198" w:name="_Toc76720004"/>
      <w:r>
        <w:rPr>
          <w:rFonts w:hint="eastAsia" w:ascii="宋体" w:hAnsi="宋体"/>
          <w:b/>
          <w:color w:val="auto"/>
          <w:sz w:val="21"/>
          <w:szCs w:val="21"/>
          <w:highlight w:val="none"/>
        </w:rPr>
        <w:t>违约责任</w:t>
      </w:r>
      <w:bookmarkEnd w:id="198"/>
    </w:p>
    <w:p w14:paraId="3A616433">
      <w:pPr>
        <w:keepNext w:val="0"/>
        <w:keepLines w:val="0"/>
        <w:pageBreakBefore w:val="0"/>
        <w:widowControl w:val="0"/>
        <w:numPr>
          <w:ilvl w:val="2"/>
          <w:numId w:val="11"/>
        </w:numPr>
        <w:tabs>
          <w:tab w:val="left" w:pos="1134"/>
          <w:tab w:val="clear" w:pos="0"/>
        </w:tabs>
        <w:kinsoku/>
        <w:wordWrap/>
        <w:overflowPunct/>
        <w:topLinePunct w:val="0"/>
        <w:autoSpaceDE/>
        <w:autoSpaceDN/>
        <w:bidi w:val="0"/>
        <w:adjustRightInd/>
        <w:snapToGrid/>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发包人的违约责任。当发生下列情况时：</w:t>
      </w:r>
    </w:p>
    <w:p w14:paraId="6DFC3D22">
      <w:pPr>
        <w:keepNext w:val="0"/>
        <w:keepLines w:val="0"/>
        <w:pageBreakBefore w:val="0"/>
        <w:numPr>
          <w:ilvl w:val="0"/>
          <w:numId w:val="51"/>
        </w:numPr>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发包人未能按14条的约定调整合同价格，未能按预付款、工程进度款、竣工结算约定的款项类别、金额和时间支付相应款项；</w:t>
      </w:r>
    </w:p>
    <w:p w14:paraId="395093F7">
      <w:pPr>
        <w:keepNext w:val="0"/>
        <w:keepLines w:val="0"/>
        <w:pageBreakBefore w:val="0"/>
        <w:numPr>
          <w:ilvl w:val="0"/>
          <w:numId w:val="51"/>
        </w:numPr>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发包人未能履行合同中约定的其他责任和义务。</w:t>
      </w:r>
    </w:p>
    <w:p w14:paraId="06B41004">
      <w:pPr>
        <w:keepNext w:val="0"/>
        <w:keepLines w:val="0"/>
        <w:pageBreakBefore w:val="0"/>
        <w:kinsoku/>
        <w:wordWrap/>
        <w:overflowPunct/>
        <w:topLinePunct w:val="0"/>
        <w:autoSpaceDE/>
        <w:autoSpaceDN/>
        <w:bidi w:val="0"/>
        <w:spacing w:line="360" w:lineRule="auto"/>
        <w:ind w:left="630" w:leftChars="300" w:firstLine="0" w:firstLineChars="0"/>
        <w:textAlignment w:val="auto"/>
        <w:rPr>
          <w:rFonts w:ascii="宋体" w:hAnsi="宋体"/>
          <w:color w:val="auto"/>
          <w:sz w:val="21"/>
          <w:szCs w:val="21"/>
          <w:highlight w:val="none"/>
        </w:rPr>
      </w:pPr>
      <w:r>
        <w:rPr>
          <w:rFonts w:hint="eastAsia" w:ascii="宋体" w:hAnsi="宋体"/>
          <w:color w:val="auto"/>
          <w:sz w:val="21"/>
          <w:szCs w:val="21"/>
          <w:highlight w:val="none"/>
        </w:rPr>
        <w:t>发包人采取补救措施，并赔偿因上述违约行为给承包人造成的损失。当造成工程关键路径延误时，竣工日期顺延。发包人承担的违约责任，并不能减轻或免除合同中约定的由发包人继续履行的其他责任和义务。</w:t>
      </w:r>
    </w:p>
    <w:p w14:paraId="020C5342">
      <w:pPr>
        <w:keepNext w:val="0"/>
        <w:keepLines w:val="0"/>
        <w:pageBreakBefore w:val="0"/>
        <w:widowControl w:val="0"/>
        <w:numPr>
          <w:ilvl w:val="2"/>
          <w:numId w:val="11"/>
        </w:numPr>
        <w:tabs>
          <w:tab w:val="left" w:pos="1134"/>
          <w:tab w:val="clear" w:pos="0"/>
        </w:tabs>
        <w:kinsoku/>
        <w:wordWrap/>
        <w:overflowPunct/>
        <w:topLinePunct w:val="0"/>
        <w:autoSpaceDE/>
        <w:autoSpaceDN/>
        <w:bidi w:val="0"/>
        <w:adjustRightInd/>
        <w:snapToGrid/>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承包人的违约责任。当发生下列情况时：</w:t>
      </w:r>
    </w:p>
    <w:p w14:paraId="347007C3">
      <w:pPr>
        <w:keepNext w:val="0"/>
        <w:keepLines w:val="0"/>
        <w:pageBreakBefore w:val="0"/>
        <w:numPr>
          <w:ilvl w:val="0"/>
          <w:numId w:val="52"/>
        </w:numPr>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承包人未能履行第6.2款对其提供的永久性工程设备、材料、部件进行检验的约定、</w:t>
      </w:r>
      <w:r>
        <w:rPr>
          <w:rFonts w:ascii="宋体" w:hAnsi="宋体"/>
          <w:color w:val="auto"/>
          <w:sz w:val="21"/>
          <w:szCs w:val="21"/>
          <w:highlight w:val="none"/>
        </w:rPr>
        <w:t>7.5</w:t>
      </w:r>
      <w:r>
        <w:rPr>
          <w:rFonts w:hint="eastAsia" w:ascii="宋体" w:hAnsi="宋体"/>
          <w:color w:val="auto"/>
          <w:sz w:val="21"/>
          <w:szCs w:val="21"/>
          <w:highlight w:val="none"/>
        </w:rPr>
        <w:t>款施工质量与检验的约定，未能修复缺陷；</w:t>
      </w:r>
    </w:p>
    <w:p w14:paraId="5A327961">
      <w:pPr>
        <w:keepNext w:val="0"/>
        <w:keepLines w:val="0"/>
        <w:pageBreakBefore w:val="0"/>
        <w:numPr>
          <w:ilvl w:val="0"/>
          <w:numId w:val="52"/>
        </w:numPr>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承包人经两次试验仍未能通过竣工试验、或经两次试验仍未能通过竣工后试验，导致的任何主要部分或整个工程丧失了使用价值、生产价值、使用利益；</w:t>
      </w:r>
    </w:p>
    <w:p w14:paraId="788886C3">
      <w:pPr>
        <w:keepNext w:val="0"/>
        <w:keepLines w:val="0"/>
        <w:pageBreakBefore w:val="0"/>
        <w:numPr>
          <w:ilvl w:val="0"/>
          <w:numId w:val="52"/>
        </w:numPr>
        <w:kinsoku/>
        <w:wordWrap/>
        <w:overflowPunct/>
        <w:topLinePunct w:val="0"/>
        <w:autoSpaceDE/>
        <w:autoSpaceDN/>
        <w:bidi w:val="0"/>
        <w:adjustRightInd w:val="0"/>
        <w:snapToGrid w:val="0"/>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承包人未经发包人同意、或未经必要的许可、或适用法律不允许转让的，将工程转让他人；</w:t>
      </w:r>
    </w:p>
    <w:p w14:paraId="7D5119A9">
      <w:pPr>
        <w:keepNext w:val="0"/>
        <w:keepLines w:val="0"/>
        <w:pageBreakBefore w:val="0"/>
        <w:numPr>
          <w:ilvl w:val="0"/>
          <w:numId w:val="52"/>
        </w:numPr>
        <w:kinsoku/>
        <w:wordWrap/>
        <w:overflowPunct/>
        <w:topLinePunct w:val="0"/>
        <w:autoSpaceDE/>
        <w:autoSpaceDN/>
        <w:bidi w:val="0"/>
        <w:adjustRightInd w:val="0"/>
        <w:snapToGrid w:val="0"/>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未能按约定的竣工日期竣工的；</w:t>
      </w:r>
    </w:p>
    <w:p w14:paraId="0F15A844">
      <w:pPr>
        <w:keepNext w:val="0"/>
        <w:keepLines w:val="0"/>
        <w:pageBreakBefore w:val="0"/>
        <w:numPr>
          <w:ilvl w:val="0"/>
          <w:numId w:val="52"/>
        </w:numPr>
        <w:kinsoku/>
        <w:wordWrap/>
        <w:overflowPunct/>
        <w:topLinePunct w:val="0"/>
        <w:autoSpaceDE/>
        <w:autoSpaceDN/>
        <w:bidi w:val="0"/>
        <w:adjustRightInd w:val="0"/>
        <w:snapToGrid w:val="0"/>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承包人未能履行合同约定的其他责任和义务。</w:t>
      </w:r>
    </w:p>
    <w:p w14:paraId="44CDF5AD">
      <w:pPr>
        <w:keepNext w:val="0"/>
        <w:keepLines w:val="0"/>
        <w:pageBreakBefore w:val="0"/>
        <w:kinsoku/>
        <w:wordWrap/>
        <w:overflowPunct/>
        <w:topLinePunct w:val="0"/>
        <w:autoSpaceDE/>
        <w:autoSpaceDN/>
        <w:bidi w:val="0"/>
        <w:adjustRightInd w:val="0"/>
        <w:snapToGrid w:val="0"/>
        <w:spacing w:line="360" w:lineRule="auto"/>
        <w:ind w:left="630" w:leftChars="300" w:firstLine="0" w:firstLineChars="0"/>
        <w:textAlignment w:val="auto"/>
        <w:rPr>
          <w:rFonts w:ascii="宋体" w:hAnsi="宋体"/>
          <w:color w:val="auto"/>
          <w:sz w:val="21"/>
          <w:szCs w:val="21"/>
          <w:highlight w:val="none"/>
        </w:rPr>
      </w:pPr>
      <w:r>
        <w:rPr>
          <w:rFonts w:hint="eastAsia" w:ascii="宋体" w:hAnsi="宋体"/>
          <w:color w:val="auto"/>
          <w:sz w:val="21"/>
          <w:szCs w:val="21"/>
          <w:highlight w:val="none"/>
        </w:rPr>
        <w:t>承包人应采取补救措施，如重新验收后仍达不到规定标准的，承包人应负责整改并再次提请发包人验收。发包人收到承包人验收申请后，再次组织验收。再次验收仍未通过的，发包人有权解除本合同，承包人应向发包人支付合同总额30%的违约金。并赔偿因上述违约行为给发包人造成的损失，包括要按银行同期贷款基准利率支付预付款利息（预付款计息期自发包人支付预付款之日起至发包人抵扣或承包人支付之日止）。承包人承担违约责任，并不能减轻或免除合同中约定的由承包人继续履行的其他责任和义务。</w:t>
      </w:r>
    </w:p>
    <w:p w14:paraId="2C36AE06">
      <w:pPr>
        <w:keepNext w:val="0"/>
        <w:keepLines w:val="0"/>
        <w:pageBreakBefore w:val="0"/>
        <w:numPr>
          <w:ilvl w:val="1"/>
          <w:numId w:val="11"/>
        </w:numPr>
        <w:kinsoku/>
        <w:wordWrap/>
        <w:overflowPunct/>
        <w:topLinePunct w:val="0"/>
        <w:autoSpaceDE/>
        <w:autoSpaceDN/>
        <w:bidi w:val="0"/>
        <w:spacing w:line="360" w:lineRule="auto"/>
        <w:ind w:left="632" w:leftChars="0" w:hanging="632" w:hangingChars="300"/>
        <w:textAlignment w:val="auto"/>
        <w:outlineLvl w:val="3"/>
        <w:rPr>
          <w:rFonts w:ascii="宋体" w:hAnsi="宋体"/>
          <w:b/>
          <w:color w:val="auto"/>
          <w:sz w:val="21"/>
          <w:szCs w:val="21"/>
          <w:highlight w:val="none"/>
        </w:rPr>
      </w:pPr>
      <w:bookmarkStart w:id="199" w:name="_Toc76720005"/>
      <w:r>
        <w:rPr>
          <w:rFonts w:hint="eastAsia" w:ascii="宋体" w:hAnsi="宋体"/>
          <w:b/>
          <w:color w:val="auto"/>
          <w:sz w:val="21"/>
          <w:szCs w:val="21"/>
          <w:highlight w:val="none"/>
        </w:rPr>
        <w:t>索赔</w:t>
      </w:r>
      <w:bookmarkEnd w:id="199"/>
    </w:p>
    <w:p w14:paraId="65B77662">
      <w:pPr>
        <w:keepNext w:val="0"/>
        <w:keepLines w:val="0"/>
        <w:pageBreakBefore w:val="0"/>
        <w:widowControl w:val="0"/>
        <w:numPr>
          <w:ilvl w:val="2"/>
          <w:numId w:val="11"/>
        </w:numPr>
        <w:tabs>
          <w:tab w:val="left" w:pos="1134"/>
          <w:tab w:val="clear" w:pos="0"/>
        </w:tabs>
        <w:kinsoku/>
        <w:wordWrap/>
        <w:overflowPunct/>
        <w:topLinePunct w:val="0"/>
        <w:autoSpaceDE/>
        <w:autoSpaceDN/>
        <w:bidi w:val="0"/>
        <w:adjustRightInd/>
        <w:snapToGrid/>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发包人的索赔。发包人认为，承包人未能履行合同约定的职责、责任、义务，且根据本合同约定、与本合同有关的文件、资料的相关情况与事项，认为有权得到由承包人承担的损失、损害和伤害的赔偿，承包人未能按合同约定履行其赔偿责任时，发包人有权向承包人提出索赔。索赔依据法律及合同约定，并遵循如下程序进行：</w:t>
      </w:r>
    </w:p>
    <w:p w14:paraId="613D496E">
      <w:pPr>
        <w:keepNext w:val="0"/>
        <w:keepLines w:val="0"/>
        <w:pageBreakBefore w:val="0"/>
        <w:numPr>
          <w:ilvl w:val="0"/>
          <w:numId w:val="53"/>
        </w:numPr>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发包人在索赔事件发生后向承包人送交索赔通知；</w:t>
      </w:r>
    </w:p>
    <w:p w14:paraId="6CEE6BBC">
      <w:pPr>
        <w:keepNext w:val="0"/>
        <w:keepLines w:val="0"/>
        <w:pageBreakBefore w:val="0"/>
        <w:numPr>
          <w:ilvl w:val="0"/>
          <w:numId w:val="53"/>
        </w:numPr>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发包人在发出索赔通知后的</w:t>
      </w:r>
      <w:r>
        <w:rPr>
          <w:rFonts w:ascii="宋体" w:hAnsi="宋体"/>
          <w:color w:val="auto"/>
          <w:sz w:val="21"/>
          <w:szCs w:val="21"/>
          <w:highlight w:val="none"/>
        </w:rPr>
        <w:t>30</w:t>
      </w:r>
      <w:r>
        <w:rPr>
          <w:rFonts w:hint="eastAsia" w:ascii="宋体" w:hAnsi="宋体"/>
          <w:color w:val="auto"/>
          <w:sz w:val="21"/>
          <w:szCs w:val="21"/>
          <w:highlight w:val="none"/>
        </w:rPr>
        <w:t>日内，以书面形式向承包人提供说明索赔事件的正当理由、条款根据、有效的可证实的证据和索赔估算等相关资料；</w:t>
      </w:r>
    </w:p>
    <w:p w14:paraId="27956880">
      <w:pPr>
        <w:keepNext w:val="0"/>
        <w:keepLines w:val="0"/>
        <w:pageBreakBefore w:val="0"/>
        <w:numPr>
          <w:ilvl w:val="0"/>
          <w:numId w:val="53"/>
        </w:numPr>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承包人在收到发包人送交的索赔资料后，于</w:t>
      </w:r>
      <w:r>
        <w:rPr>
          <w:rFonts w:ascii="宋体" w:hAnsi="宋体"/>
          <w:color w:val="auto"/>
          <w:sz w:val="21"/>
          <w:szCs w:val="21"/>
          <w:highlight w:val="none"/>
        </w:rPr>
        <w:t>30</w:t>
      </w:r>
      <w:r>
        <w:rPr>
          <w:rFonts w:hint="eastAsia" w:ascii="宋体" w:hAnsi="宋体"/>
          <w:color w:val="auto"/>
          <w:sz w:val="21"/>
          <w:szCs w:val="21"/>
          <w:highlight w:val="none"/>
        </w:rPr>
        <w:t>日内与发包人协商解决；</w:t>
      </w:r>
    </w:p>
    <w:p w14:paraId="6D958652">
      <w:pPr>
        <w:keepNext w:val="0"/>
        <w:keepLines w:val="0"/>
        <w:pageBreakBefore w:val="0"/>
        <w:numPr>
          <w:ilvl w:val="0"/>
          <w:numId w:val="53"/>
        </w:numPr>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承包人在收到发包人送交的索赔资料后</w:t>
      </w:r>
      <w:r>
        <w:rPr>
          <w:rFonts w:ascii="宋体" w:hAnsi="宋体"/>
          <w:color w:val="auto"/>
          <w:sz w:val="21"/>
          <w:szCs w:val="21"/>
          <w:highlight w:val="none"/>
        </w:rPr>
        <w:t>30</w:t>
      </w:r>
      <w:r>
        <w:rPr>
          <w:rFonts w:hint="eastAsia" w:ascii="宋体" w:hAnsi="宋体"/>
          <w:color w:val="auto"/>
          <w:sz w:val="21"/>
          <w:szCs w:val="21"/>
          <w:highlight w:val="none"/>
        </w:rPr>
        <w:t>日内未与发包人协商、未予答复、或未向发包人提出进一步要求，视为该项索赔已被承包人认可。</w:t>
      </w:r>
    </w:p>
    <w:p w14:paraId="26760687">
      <w:pPr>
        <w:keepNext w:val="0"/>
        <w:keepLines w:val="0"/>
        <w:pageBreakBefore w:val="0"/>
        <w:kinsoku/>
        <w:wordWrap/>
        <w:overflowPunct/>
        <w:topLinePunct w:val="0"/>
        <w:autoSpaceDE/>
        <w:autoSpaceDN/>
        <w:bidi w:val="0"/>
        <w:spacing w:line="360" w:lineRule="auto"/>
        <w:ind w:left="630" w:leftChars="300" w:firstLine="0" w:firstLineChars="0"/>
        <w:textAlignment w:val="auto"/>
        <w:rPr>
          <w:rFonts w:ascii="宋体" w:hAnsi="宋体"/>
          <w:color w:val="auto"/>
          <w:sz w:val="21"/>
          <w:szCs w:val="21"/>
          <w:highlight w:val="none"/>
        </w:rPr>
      </w:pPr>
      <w:r>
        <w:rPr>
          <w:rFonts w:hint="eastAsia" w:ascii="宋体" w:hAnsi="宋体"/>
          <w:color w:val="auto"/>
          <w:sz w:val="21"/>
          <w:szCs w:val="21"/>
          <w:highlight w:val="none"/>
        </w:rPr>
        <w:t>当发包人提出的索赔事件持续影响时，每周向承包人发出索赔事件的延续影响情况，在该索赔事件延续影响停止后的合理时间内，发包人向承包人送交最终索赔报告和最终索赔估算。</w:t>
      </w:r>
    </w:p>
    <w:p w14:paraId="3BCB5C2E">
      <w:pPr>
        <w:keepNext w:val="0"/>
        <w:keepLines w:val="0"/>
        <w:pageBreakBefore w:val="0"/>
        <w:widowControl w:val="0"/>
        <w:numPr>
          <w:ilvl w:val="2"/>
          <w:numId w:val="11"/>
        </w:numPr>
        <w:tabs>
          <w:tab w:val="left" w:pos="1134"/>
          <w:tab w:val="clear" w:pos="0"/>
        </w:tabs>
        <w:kinsoku/>
        <w:wordWrap/>
        <w:overflowPunct/>
        <w:topLinePunct w:val="0"/>
        <w:autoSpaceDE/>
        <w:autoSpaceDN/>
        <w:bidi w:val="0"/>
        <w:adjustRightInd/>
        <w:snapToGrid/>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承包人的索赔。承包人认为，发包人未能履行合同约定的职责、责任和义务，且根据本合同的任何条款的约定、与本合同有关的文件、资料的相关情况和事项，认为有权得到由发包人承担的损失、损害和伤害的赔偿及竣工日期延长，发包人未能按合同约定履行其赔偿义务时，承包人有权向发包人提出索赔。索赔依据法律和合同约定，并遵循如下程序进行：</w:t>
      </w:r>
    </w:p>
    <w:p w14:paraId="7B28822C">
      <w:pPr>
        <w:keepNext w:val="0"/>
        <w:keepLines w:val="0"/>
        <w:pageBreakBefore w:val="0"/>
        <w:numPr>
          <w:ilvl w:val="0"/>
          <w:numId w:val="54"/>
        </w:numPr>
        <w:kinsoku/>
        <w:wordWrap/>
        <w:overflowPunct/>
        <w:topLinePunct w:val="0"/>
        <w:autoSpaceDE/>
        <w:autoSpaceDN/>
        <w:bidi w:val="0"/>
        <w:spacing w:line="360" w:lineRule="auto"/>
        <w:ind w:left="630" w:leftChars="0" w:hanging="630" w:hangingChars="300"/>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索赔事件发生后30日内，向发包人发出索赔通知。未在索赔事件发生后的30日内发出索赔通知，发包人不再承担任何责任，法律另有规定除外；</w:t>
      </w:r>
    </w:p>
    <w:p w14:paraId="13243527">
      <w:pPr>
        <w:keepNext w:val="0"/>
        <w:keepLines w:val="0"/>
        <w:pageBreakBefore w:val="0"/>
        <w:numPr>
          <w:ilvl w:val="0"/>
          <w:numId w:val="54"/>
        </w:numPr>
        <w:kinsoku/>
        <w:wordWrap/>
        <w:overflowPunct/>
        <w:topLinePunct w:val="0"/>
        <w:autoSpaceDE/>
        <w:autoSpaceDN/>
        <w:bidi w:val="0"/>
        <w:spacing w:line="360" w:lineRule="auto"/>
        <w:ind w:left="630" w:leftChars="0" w:hanging="630" w:hangingChars="300"/>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承包人在发出索赔事件通知后的30日内，以书面形式向发包人提交说明索赔事件的正当理由、条款根据、有效的可证实的证据和索赔估算资料的报告；</w:t>
      </w:r>
    </w:p>
    <w:p w14:paraId="61A9EA12">
      <w:pPr>
        <w:keepNext w:val="0"/>
        <w:keepLines w:val="0"/>
        <w:pageBreakBefore w:val="0"/>
        <w:numPr>
          <w:ilvl w:val="0"/>
          <w:numId w:val="54"/>
        </w:numPr>
        <w:kinsoku/>
        <w:wordWrap/>
        <w:overflowPunct/>
        <w:topLinePunct w:val="0"/>
        <w:autoSpaceDE/>
        <w:autoSpaceDN/>
        <w:bidi w:val="0"/>
        <w:spacing w:line="360" w:lineRule="auto"/>
        <w:ind w:left="630" w:leftChars="0" w:hanging="630" w:hangingChars="300"/>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发包人在收到承包人送交的有关索赔资料的报告后，于30日内与承包人协商解决，或给予答复，或要求承包人进一步补充索赔理由和证据；</w:t>
      </w:r>
    </w:p>
    <w:p w14:paraId="3CCB8C41">
      <w:pPr>
        <w:keepNext w:val="0"/>
        <w:keepLines w:val="0"/>
        <w:pageBreakBefore w:val="0"/>
        <w:numPr>
          <w:ilvl w:val="0"/>
          <w:numId w:val="54"/>
        </w:numPr>
        <w:kinsoku/>
        <w:wordWrap/>
        <w:overflowPunct/>
        <w:topLinePunct w:val="0"/>
        <w:autoSpaceDE/>
        <w:autoSpaceDN/>
        <w:bidi w:val="0"/>
        <w:spacing w:line="360" w:lineRule="auto"/>
        <w:ind w:left="630" w:leftChars="0" w:hanging="630" w:hangingChars="300"/>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发包人在收到承包人按本款第（3）项提交的报告和补充资料后的30日内未与承包人协商、或未予答复、或未向承包人提出进一步补充要求，视为该项索赔已被发包人认可。</w:t>
      </w:r>
    </w:p>
    <w:p w14:paraId="0D8912FD">
      <w:pPr>
        <w:keepNext w:val="0"/>
        <w:keepLines w:val="0"/>
        <w:pageBreakBefore w:val="0"/>
        <w:numPr>
          <w:ilvl w:val="0"/>
          <w:numId w:val="54"/>
        </w:numPr>
        <w:kinsoku/>
        <w:wordWrap/>
        <w:overflowPunct/>
        <w:topLinePunct w:val="0"/>
        <w:autoSpaceDE/>
        <w:autoSpaceDN/>
        <w:bidi w:val="0"/>
        <w:spacing w:line="360" w:lineRule="auto"/>
        <w:ind w:left="630" w:leftChars="0" w:hanging="630" w:hangingChars="300"/>
        <w:textAlignment w:val="auto"/>
        <w:rPr>
          <w:rFonts w:hint="eastAsia" w:ascii="宋体" w:hAnsi="宋体" w:eastAsia="宋体" w:cs="Times New Roman"/>
          <w:color w:val="auto"/>
          <w:sz w:val="21"/>
          <w:szCs w:val="21"/>
          <w:highlight w:val="none"/>
        </w:rPr>
      </w:pPr>
      <w:bookmarkStart w:id="200" w:name="_Toc76720006"/>
      <w:r>
        <w:rPr>
          <w:rFonts w:hint="eastAsia" w:ascii="宋体" w:hAnsi="宋体" w:eastAsia="宋体" w:cs="Times New Roman"/>
          <w:color w:val="auto"/>
          <w:sz w:val="21"/>
          <w:szCs w:val="21"/>
          <w:highlight w:val="none"/>
        </w:rPr>
        <w:t>当承包人提出的索赔事件持续影响时，承包人每周向发包人发出索赔事件的延续影响情况，在该索赔事件延续影响停止后的30日内，承包人向发包人送交最终索赔报告和最终索赔估算。</w:t>
      </w:r>
      <w:bookmarkEnd w:id="200"/>
    </w:p>
    <w:p w14:paraId="1E8180D8">
      <w:pPr>
        <w:keepNext w:val="0"/>
        <w:keepLines w:val="0"/>
        <w:pageBreakBefore w:val="0"/>
        <w:widowControl w:val="0"/>
        <w:numPr>
          <w:ilvl w:val="1"/>
          <w:numId w:val="11"/>
        </w:numPr>
        <w:kinsoku/>
        <w:wordWrap/>
        <w:overflowPunct/>
        <w:topLinePunct w:val="0"/>
        <w:autoSpaceDE/>
        <w:autoSpaceDN/>
        <w:bidi w:val="0"/>
        <w:adjustRightInd/>
        <w:snapToGrid/>
        <w:spacing w:line="360" w:lineRule="auto"/>
        <w:ind w:left="632" w:leftChars="0" w:hanging="632" w:hangingChars="300"/>
        <w:textAlignment w:val="auto"/>
        <w:outlineLvl w:val="3"/>
        <w:rPr>
          <w:rFonts w:ascii="宋体" w:hAnsi="宋体"/>
          <w:b/>
          <w:color w:val="auto"/>
          <w:sz w:val="21"/>
          <w:szCs w:val="21"/>
          <w:highlight w:val="none"/>
        </w:rPr>
      </w:pPr>
      <w:bookmarkStart w:id="201" w:name="_Toc76720007"/>
      <w:r>
        <w:rPr>
          <w:rFonts w:hint="eastAsia" w:ascii="宋体" w:hAnsi="宋体"/>
          <w:b/>
          <w:color w:val="auto"/>
          <w:sz w:val="21"/>
          <w:szCs w:val="21"/>
          <w:highlight w:val="none"/>
        </w:rPr>
        <w:t>争议解决</w:t>
      </w:r>
      <w:bookmarkEnd w:id="201"/>
    </w:p>
    <w:p w14:paraId="7741166A">
      <w:pPr>
        <w:keepNext w:val="0"/>
        <w:keepLines w:val="0"/>
        <w:pageBreakBefore w:val="0"/>
        <w:widowControl w:val="0"/>
        <w:numPr>
          <w:ilvl w:val="2"/>
          <w:numId w:val="11"/>
        </w:numPr>
        <w:tabs>
          <w:tab w:val="left" w:pos="1134"/>
          <w:tab w:val="clear" w:pos="0"/>
        </w:tabs>
        <w:kinsoku/>
        <w:wordWrap/>
        <w:overflowPunct/>
        <w:topLinePunct w:val="0"/>
        <w:autoSpaceDE/>
        <w:autoSpaceDN/>
        <w:bidi w:val="0"/>
        <w:adjustRightInd/>
        <w:snapToGrid/>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争议的解决程序。发生争议时，当事人首先采取协商方式和解；经协商无法和解或当事人表明不愿协商和解时，采取仲裁或诉讼解决索赔争议。商定的争议解决机构的名称和地点，在专用条款中约定。</w:t>
      </w:r>
    </w:p>
    <w:p w14:paraId="09729BB9">
      <w:pPr>
        <w:keepNext w:val="0"/>
        <w:keepLines w:val="0"/>
        <w:pageBreakBefore w:val="0"/>
        <w:widowControl w:val="0"/>
        <w:numPr>
          <w:ilvl w:val="2"/>
          <w:numId w:val="11"/>
        </w:numPr>
        <w:tabs>
          <w:tab w:val="left" w:pos="1134"/>
          <w:tab w:val="clear" w:pos="0"/>
        </w:tabs>
        <w:kinsoku/>
        <w:wordWrap/>
        <w:overflowPunct/>
        <w:topLinePunct w:val="0"/>
        <w:autoSpaceDE/>
        <w:autoSpaceDN/>
        <w:bidi w:val="0"/>
        <w:adjustRightInd/>
        <w:snapToGrid/>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争议不影响履约。发生争议后，须继续履行其合同约定的责任和义务，保持工程继续实施。除非出现下列情况，任何一方不得停止工程或部分工程的实施，</w:t>
      </w:r>
    </w:p>
    <w:p w14:paraId="5B43B437">
      <w:pPr>
        <w:keepNext w:val="0"/>
        <w:keepLines w:val="0"/>
        <w:pageBreakBefore w:val="0"/>
        <w:numPr>
          <w:ilvl w:val="0"/>
          <w:numId w:val="55"/>
        </w:numPr>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当事人一方违约导致合同确已无法履行，经合同双方协议停止实施；</w:t>
      </w:r>
    </w:p>
    <w:p w14:paraId="5F88F54A">
      <w:pPr>
        <w:keepNext w:val="0"/>
        <w:keepLines w:val="0"/>
        <w:pageBreakBefore w:val="0"/>
        <w:numPr>
          <w:ilvl w:val="0"/>
          <w:numId w:val="55"/>
        </w:numPr>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法院责令停止实施。</w:t>
      </w:r>
    </w:p>
    <w:p w14:paraId="1B62AC02">
      <w:pPr>
        <w:keepNext w:val="0"/>
        <w:keepLines w:val="0"/>
        <w:pageBreakBefore w:val="0"/>
        <w:widowControl w:val="0"/>
        <w:numPr>
          <w:ilvl w:val="2"/>
          <w:numId w:val="11"/>
        </w:numPr>
        <w:tabs>
          <w:tab w:val="left" w:pos="1134"/>
          <w:tab w:val="clear" w:pos="0"/>
        </w:tabs>
        <w:kinsoku/>
        <w:wordWrap/>
        <w:overflowPunct/>
        <w:topLinePunct w:val="0"/>
        <w:autoSpaceDE/>
        <w:autoSpaceDN/>
        <w:bidi w:val="0"/>
        <w:adjustRightInd/>
        <w:snapToGrid/>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停止实施的工程保护。根据16.3.2款约定，停止实施的工程或部分工程，当事人按合同约定的职责、责任和义务，保护好与本合同工程有关的各种文件、资料、图纸、已完工程，以及尚未使用的永久性工程的设备、材料和部件。</w:t>
      </w:r>
    </w:p>
    <w:p w14:paraId="6520343B">
      <w:pPr>
        <w:keepNext w:val="0"/>
        <w:keepLines w:val="0"/>
        <w:pageBreakBefore w:val="0"/>
        <w:numPr>
          <w:ilvl w:val="0"/>
          <w:numId w:val="11"/>
        </w:numPr>
        <w:kinsoku/>
        <w:wordWrap/>
        <w:overflowPunct/>
        <w:topLinePunct w:val="0"/>
        <w:autoSpaceDE/>
        <w:autoSpaceDN/>
        <w:bidi w:val="0"/>
        <w:spacing w:line="360" w:lineRule="auto"/>
        <w:ind w:left="632" w:leftChars="0" w:hanging="632" w:hangingChars="300"/>
        <w:textAlignment w:val="auto"/>
        <w:outlineLvl w:val="2"/>
        <w:rPr>
          <w:rFonts w:ascii="宋体" w:hAnsi="宋体"/>
          <w:b/>
          <w:color w:val="auto"/>
          <w:sz w:val="21"/>
          <w:szCs w:val="21"/>
          <w:highlight w:val="none"/>
        </w:rPr>
      </w:pPr>
      <w:bookmarkStart w:id="202" w:name="_Toc363719009"/>
      <w:bookmarkStart w:id="203" w:name="_Toc80633167"/>
      <w:bookmarkStart w:id="204" w:name="_Toc76720008"/>
      <w:r>
        <w:rPr>
          <w:rFonts w:hint="eastAsia" w:ascii="宋体" w:hAnsi="宋体"/>
          <w:b/>
          <w:color w:val="auto"/>
          <w:sz w:val="21"/>
          <w:szCs w:val="21"/>
          <w:highlight w:val="none"/>
        </w:rPr>
        <w:t>不可抗力</w:t>
      </w:r>
      <w:bookmarkEnd w:id="202"/>
      <w:bookmarkEnd w:id="203"/>
      <w:bookmarkEnd w:id="204"/>
    </w:p>
    <w:p w14:paraId="268948E9">
      <w:pPr>
        <w:keepNext w:val="0"/>
        <w:keepLines w:val="0"/>
        <w:pageBreakBefore w:val="0"/>
        <w:widowControl w:val="0"/>
        <w:numPr>
          <w:ilvl w:val="1"/>
          <w:numId w:val="11"/>
        </w:numPr>
        <w:kinsoku/>
        <w:wordWrap/>
        <w:overflowPunct/>
        <w:topLinePunct w:val="0"/>
        <w:autoSpaceDE/>
        <w:autoSpaceDN/>
        <w:bidi w:val="0"/>
        <w:adjustRightInd/>
        <w:snapToGrid/>
        <w:spacing w:line="360" w:lineRule="auto"/>
        <w:ind w:left="632" w:leftChars="0" w:hanging="632" w:hangingChars="300"/>
        <w:textAlignment w:val="auto"/>
        <w:outlineLvl w:val="3"/>
        <w:rPr>
          <w:rFonts w:ascii="宋体" w:hAnsi="宋体"/>
          <w:b/>
          <w:color w:val="auto"/>
          <w:sz w:val="21"/>
          <w:szCs w:val="21"/>
          <w:highlight w:val="none"/>
        </w:rPr>
      </w:pPr>
      <w:bookmarkStart w:id="205" w:name="_Toc76720009"/>
      <w:r>
        <w:rPr>
          <w:rFonts w:ascii="宋体" w:hAnsi="宋体"/>
          <w:b/>
          <w:color w:val="auto"/>
          <w:sz w:val="21"/>
          <w:szCs w:val="21"/>
          <w:highlight w:val="none"/>
        </w:rPr>
        <w:t>不可抗力发生</w:t>
      </w:r>
      <w:r>
        <w:rPr>
          <w:rFonts w:hint="eastAsia" w:ascii="宋体" w:hAnsi="宋体"/>
          <w:b/>
          <w:color w:val="auto"/>
          <w:sz w:val="21"/>
          <w:szCs w:val="21"/>
          <w:highlight w:val="none"/>
        </w:rPr>
        <w:t>时的义务</w:t>
      </w:r>
      <w:bookmarkEnd w:id="205"/>
    </w:p>
    <w:p w14:paraId="318C76E7">
      <w:pPr>
        <w:keepNext w:val="0"/>
        <w:keepLines w:val="0"/>
        <w:pageBreakBefore w:val="0"/>
        <w:widowControl w:val="0"/>
        <w:numPr>
          <w:ilvl w:val="2"/>
          <w:numId w:val="11"/>
        </w:numPr>
        <w:tabs>
          <w:tab w:val="left" w:pos="1134"/>
          <w:tab w:val="clear" w:pos="0"/>
        </w:tabs>
        <w:kinsoku/>
        <w:wordWrap/>
        <w:overflowPunct/>
        <w:topLinePunct w:val="0"/>
        <w:autoSpaceDE/>
        <w:autoSpaceDN/>
        <w:bidi w:val="0"/>
        <w:adjustRightInd/>
        <w:snapToGrid/>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通知义务。觉察或发现不可抗力事件发生的一方，有义务立即通知另一方。根据本合同约定，承包人负责管理保护工程现场。若不可抗力事件发生致承包人履行合同义务受到阻碍，应立即通知发包人和监理人，书面说明不可抗力和受阻碍的详细情况，并提供必要的证明。</w:t>
      </w:r>
    </w:p>
    <w:p w14:paraId="148EB143">
      <w:pPr>
        <w:keepNext w:val="0"/>
        <w:keepLines w:val="0"/>
        <w:pageBreakBefore w:val="0"/>
        <w:widowControl w:val="0"/>
        <w:numPr>
          <w:ilvl w:val="2"/>
          <w:numId w:val="11"/>
        </w:numPr>
        <w:tabs>
          <w:tab w:val="left" w:pos="1134"/>
          <w:tab w:val="clear" w:pos="0"/>
        </w:tabs>
        <w:kinsoku/>
        <w:wordWrap/>
        <w:overflowPunct/>
        <w:topLinePunct w:val="0"/>
        <w:autoSpaceDE/>
        <w:autoSpaceDN/>
        <w:bidi w:val="0"/>
        <w:adjustRightInd/>
        <w:snapToGrid/>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报告义务。如不可抗力持续发生，承包人应及时向发包人和监理人提交中间报告，说明不可抗力和履行合同受阻的情况，并于不可抗力事件结束后28天内提交最终报告及有关证明材料。</w:t>
      </w:r>
    </w:p>
    <w:p w14:paraId="1B8E2458">
      <w:pPr>
        <w:keepNext w:val="0"/>
        <w:keepLines w:val="0"/>
        <w:pageBreakBefore w:val="0"/>
        <w:widowControl w:val="0"/>
        <w:numPr>
          <w:ilvl w:val="1"/>
          <w:numId w:val="11"/>
        </w:numPr>
        <w:kinsoku/>
        <w:wordWrap/>
        <w:overflowPunct/>
        <w:topLinePunct w:val="0"/>
        <w:autoSpaceDE/>
        <w:autoSpaceDN/>
        <w:bidi w:val="0"/>
        <w:adjustRightInd/>
        <w:snapToGrid/>
        <w:spacing w:line="360" w:lineRule="auto"/>
        <w:ind w:left="632" w:leftChars="0" w:hanging="632" w:hangingChars="300"/>
        <w:textAlignment w:val="auto"/>
        <w:outlineLvl w:val="3"/>
        <w:rPr>
          <w:rFonts w:ascii="宋体" w:hAnsi="宋体"/>
          <w:b/>
          <w:color w:val="auto"/>
          <w:sz w:val="21"/>
          <w:szCs w:val="21"/>
          <w:highlight w:val="none"/>
        </w:rPr>
      </w:pPr>
      <w:bookmarkStart w:id="206" w:name="_Toc76720010"/>
      <w:r>
        <w:rPr>
          <w:rFonts w:ascii="宋体" w:hAnsi="宋体"/>
          <w:b/>
          <w:color w:val="auto"/>
          <w:sz w:val="21"/>
          <w:szCs w:val="21"/>
          <w:highlight w:val="none"/>
        </w:rPr>
        <w:t>不可抗力的后果</w:t>
      </w:r>
      <w:bookmarkEnd w:id="206"/>
    </w:p>
    <w:p w14:paraId="155ACDCF">
      <w:pPr>
        <w:keepNext w:val="0"/>
        <w:keepLines w:val="0"/>
        <w:pageBreakBefore w:val="0"/>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因不可抗力事件导致的损失、损害、伤害所发生的费用及延误的竣工日期，依据如下约定，</w:t>
      </w:r>
    </w:p>
    <w:p w14:paraId="35B2E7A1">
      <w:pPr>
        <w:keepNext w:val="0"/>
        <w:keepLines w:val="0"/>
        <w:pageBreakBefore w:val="0"/>
        <w:numPr>
          <w:ilvl w:val="0"/>
          <w:numId w:val="56"/>
        </w:numPr>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永久性工程及其设备、材料、部件等损失、损害，由发包人承担；</w:t>
      </w:r>
    </w:p>
    <w:p w14:paraId="5D0FEEE3">
      <w:pPr>
        <w:keepNext w:val="0"/>
        <w:keepLines w:val="0"/>
        <w:pageBreakBefore w:val="0"/>
        <w:numPr>
          <w:ilvl w:val="0"/>
          <w:numId w:val="56"/>
        </w:numPr>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受雇人员的伤害，分别按照各自的劳动合同关系负责处理；</w:t>
      </w:r>
    </w:p>
    <w:p w14:paraId="63CFC740">
      <w:pPr>
        <w:keepNext w:val="0"/>
        <w:keepLines w:val="0"/>
        <w:pageBreakBefore w:val="0"/>
        <w:numPr>
          <w:ilvl w:val="0"/>
          <w:numId w:val="56"/>
        </w:numPr>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承包人的机具、设备、财产和临时工程的损失、损害，由承包人承担；</w:t>
      </w:r>
    </w:p>
    <w:p w14:paraId="22A49B26">
      <w:pPr>
        <w:keepNext w:val="0"/>
        <w:keepLines w:val="0"/>
        <w:pageBreakBefore w:val="0"/>
        <w:numPr>
          <w:ilvl w:val="0"/>
          <w:numId w:val="56"/>
        </w:numPr>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因不可抗力事件造成承包人的停工损失，由承包人承担；</w:t>
      </w:r>
    </w:p>
    <w:p w14:paraId="5761D128">
      <w:pPr>
        <w:keepNext w:val="0"/>
        <w:keepLines w:val="0"/>
        <w:pageBreakBefore w:val="0"/>
        <w:numPr>
          <w:ilvl w:val="0"/>
          <w:numId w:val="56"/>
        </w:numPr>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不可抗力事件发生后，因一方迟延履行合同约定的保护义务导致的延续损失、损害，由迟延履行义务的一方承担相应责任及其损失；</w:t>
      </w:r>
    </w:p>
    <w:p w14:paraId="77963339">
      <w:pPr>
        <w:keepNext w:val="0"/>
        <w:keepLines w:val="0"/>
        <w:pageBreakBefore w:val="0"/>
        <w:numPr>
          <w:ilvl w:val="0"/>
          <w:numId w:val="56"/>
        </w:numPr>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发包人通知恢复建设时，承包人在接到通知后的</w:t>
      </w:r>
      <w:r>
        <w:rPr>
          <w:rFonts w:ascii="宋体" w:hAnsi="宋体"/>
          <w:color w:val="auto"/>
          <w:sz w:val="21"/>
          <w:szCs w:val="21"/>
          <w:highlight w:val="none"/>
        </w:rPr>
        <w:t>20</w:t>
      </w:r>
      <w:r>
        <w:rPr>
          <w:rFonts w:hint="eastAsia" w:ascii="宋体" w:hAnsi="宋体"/>
          <w:color w:val="auto"/>
          <w:sz w:val="21"/>
          <w:szCs w:val="21"/>
          <w:highlight w:val="none"/>
        </w:rPr>
        <w:t>日内、或双方根据具体情况另行约定的时间内，提交清理、修复的方案及其估算，以及进度计划安排的资料和报告，经发包人确认后，所需的清理、修复费用由发包人承担。恢复建设的竣工日期相应顺延。</w:t>
      </w:r>
    </w:p>
    <w:p w14:paraId="1405FC01">
      <w:pPr>
        <w:keepNext w:val="0"/>
        <w:keepLines w:val="0"/>
        <w:pageBreakBefore w:val="0"/>
        <w:numPr>
          <w:ilvl w:val="0"/>
          <w:numId w:val="11"/>
        </w:numPr>
        <w:kinsoku/>
        <w:wordWrap/>
        <w:overflowPunct/>
        <w:topLinePunct w:val="0"/>
        <w:autoSpaceDE/>
        <w:autoSpaceDN/>
        <w:bidi w:val="0"/>
        <w:spacing w:line="360" w:lineRule="auto"/>
        <w:ind w:left="632" w:leftChars="0" w:hanging="632" w:hangingChars="300"/>
        <w:textAlignment w:val="auto"/>
        <w:outlineLvl w:val="2"/>
        <w:rPr>
          <w:rFonts w:ascii="宋体" w:hAnsi="宋体"/>
          <w:b/>
          <w:color w:val="auto"/>
          <w:sz w:val="21"/>
          <w:szCs w:val="21"/>
          <w:highlight w:val="none"/>
        </w:rPr>
      </w:pPr>
      <w:bookmarkStart w:id="207" w:name="_Toc363719010"/>
      <w:bookmarkStart w:id="208" w:name="_Toc80633168"/>
      <w:bookmarkStart w:id="209" w:name="_Toc76720011"/>
      <w:r>
        <w:rPr>
          <w:rFonts w:hint="eastAsia" w:ascii="宋体" w:hAnsi="宋体"/>
          <w:b/>
          <w:color w:val="auto"/>
          <w:sz w:val="21"/>
          <w:szCs w:val="21"/>
          <w:highlight w:val="none"/>
        </w:rPr>
        <w:t>合同解除</w:t>
      </w:r>
      <w:bookmarkEnd w:id="207"/>
      <w:bookmarkEnd w:id="208"/>
      <w:bookmarkEnd w:id="209"/>
    </w:p>
    <w:p w14:paraId="6523F5CE">
      <w:pPr>
        <w:keepNext w:val="0"/>
        <w:keepLines w:val="0"/>
        <w:pageBreakBefore w:val="0"/>
        <w:widowControl w:val="0"/>
        <w:numPr>
          <w:ilvl w:val="1"/>
          <w:numId w:val="11"/>
        </w:numPr>
        <w:kinsoku/>
        <w:wordWrap/>
        <w:overflowPunct/>
        <w:topLinePunct w:val="0"/>
        <w:autoSpaceDE/>
        <w:autoSpaceDN/>
        <w:bidi w:val="0"/>
        <w:adjustRightInd/>
        <w:snapToGrid/>
        <w:spacing w:line="360" w:lineRule="auto"/>
        <w:ind w:left="632" w:leftChars="0" w:hanging="632" w:hangingChars="300"/>
        <w:textAlignment w:val="auto"/>
        <w:outlineLvl w:val="3"/>
        <w:rPr>
          <w:rFonts w:ascii="宋体" w:hAnsi="宋体"/>
          <w:b/>
          <w:color w:val="auto"/>
          <w:sz w:val="21"/>
          <w:szCs w:val="21"/>
          <w:highlight w:val="none"/>
        </w:rPr>
      </w:pPr>
      <w:bookmarkStart w:id="210" w:name="_Toc76720012"/>
      <w:r>
        <w:rPr>
          <w:rFonts w:hint="eastAsia" w:ascii="宋体" w:hAnsi="宋体"/>
          <w:b/>
          <w:color w:val="auto"/>
          <w:sz w:val="21"/>
          <w:szCs w:val="21"/>
          <w:highlight w:val="none"/>
        </w:rPr>
        <w:t>由发包人解除合同</w:t>
      </w:r>
      <w:bookmarkEnd w:id="210"/>
    </w:p>
    <w:p w14:paraId="7368793E">
      <w:pPr>
        <w:keepNext w:val="0"/>
        <w:keepLines w:val="0"/>
        <w:pageBreakBefore w:val="0"/>
        <w:widowControl w:val="0"/>
        <w:numPr>
          <w:ilvl w:val="2"/>
          <w:numId w:val="11"/>
        </w:numPr>
        <w:tabs>
          <w:tab w:val="left" w:pos="1134"/>
          <w:tab w:val="clear" w:pos="0"/>
        </w:tabs>
        <w:kinsoku/>
        <w:wordWrap/>
        <w:overflowPunct/>
        <w:topLinePunct w:val="0"/>
        <w:autoSpaceDE/>
        <w:autoSpaceDN/>
        <w:bidi w:val="0"/>
        <w:adjustRightInd/>
        <w:snapToGrid/>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通知改正。承包人未能按合同履行其职责、责任和义务，发包人可通知承包人，要求承包人在合理的时间内纠正并补救其违约行为。</w:t>
      </w:r>
    </w:p>
    <w:p w14:paraId="156001B1">
      <w:pPr>
        <w:keepNext w:val="0"/>
        <w:keepLines w:val="0"/>
        <w:pageBreakBefore w:val="0"/>
        <w:widowControl w:val="0"/>
        <w:numPr>
          <w:ilvl w:val="2"/>
          <w:numId w:val="11"/>
        </w:numPr>
        <w:tabs>
          <w:tab w:val="left" w:pos="1134"/>
          <w:tab w:val="clear" w:pos="0"/>
        </w:tabs>
        <w:kinsoku/>
        <w:wordWrap/>
        <w:overflowPunct/>
        <w:topLinePunct w:val="0"/>
        <w:autoSpaceDE/>
        <w:autoSpaceDN/>
        <w:bidi w:val="0"/>
        <w:adjustRightInd/>
        <w:snapToGrid/>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由发包人解除合同。发包人有权基于下列原因，以书面形式通知解除合同或解除合同的部分工作。在发出解除合同通知15天前告知承包人。发包人解除合同并不影响其根据合同约定享有的任何其他权利。</w:t>
      </w:r>
    </w:p>
    <w:p w14:paraId="568B1789">
      <w:pPr>
        <w:keepNext w:val="0"/>
        <w:keepLines w:val="0"/>
        <w:pageBreakBefore w:val="0"/>
        <w:numPr>
          <w:ilvl w:val="0"/>
          <w:numId w:val="57"/>
        </w:numPr>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承包人未能遵守13.2.1款履约保函的约定；</w:t>
      </w:r>
    </w:p>
    <w:p w14:paraId="49636E0B">
      <w:pPr>
        <w:keepNext w:val="0"/>
        <w:keepLines w:val="0"/>
        <w:pageBreakBefore w:val="0"/>
        <w:numPr>
          <w:ilvl w:val="0"/>
          <w:numId w:val="57"/>
        </w:numPr>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承包人未能执行18.1.1款通知改正的约定；</w:t>
      </w:r>
    </w:p>
    <w:p w14:paraId="09E1374C">
      <w:pPr>
        <w:keepNext w:val="0"/>
        <w:keepLines w:val="0"/>
        <w:pageBreakBefore w:val="0"/>
        <w:numPr>
          <w:ilvl w:val="0"/>
          <w:numId w:val="57"/>
        </w:numPr>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承包人未能遵守3.8.1款至</w:t>
      </w:r>
      <w:r>
        <w:rPr>
          <w:rFonts w:ascii="宋体" w:hAnsi="宋体"/>
          <w:color w:val="auto"/>
          <w:sz w:val="21"/>
          <w:szCs w:val="21"/>
          <w:highlight w:val="none"/>
        </w:rPr>
        <w:t>3.</w:t>
      </w:r>
      <w:r>
        <w:rPr>
          <w:rFonts w:hint="eastAsia" w:ascii="宋体" w:hAnsi="宋体"/>
          <w:color w:val="auto"/>
          <w:sz w:val="21"/>
          <w:szCs w:val="21"/>
          <w:highlight w:val="none"/>
        </w:rPr>
        <w:t>8</w:t>
      </w:r>
      <w:r>
        <w:rPr>
          <w:rFonts w:ascii="宋体" w:hAnsi="宋体"/>
          <w:color w:val="auto"/>
          <w:sz w:val="21"/>
          <w:szCs w:val="21"/>
          <w:highlight w:val="none"/>
        </w:rPr>
        <w:t>.</w:t>
      </w:r>
      <w:r>
        <w:rPr>
          <w:rFonts w:hint="eastAsia" w:ascii="宋体" w:hAnsi="宋体"/>
          <w:color w:val="auto"/>
          <w:sz w:val="21"/>
          <w:szCs w:val="21"/>
          <w:highlight w:val="none"/>
        </w:rPr>
        <w:t>4款的有关分包和转包的约定；</w:t>
      </w:r>
    </w:p>
    <w:p w14:paraId="2CBC67A0">
      <w:pPr>
        <w:keepNext w:val="0"/>
        <w:keepLines w:val="0"/>
        <w:pageBreakBefore w:val="0"/>
        <w:numPr>
          <w:ilvl w:val="0"/>
          <w:numId w:val="57"/>
        </w:numPr>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承包人实际进度明显落后于进度计划，发包人指令其采取措施并修正进度计划以按时完工时，承包人于5日内无作为；</w:t>
      </w:r>
    </w:p>
    <w:p w14:paraId="0D47EE84">
      <w:pPr>
        <w:keepNext w:val="0"/>
        <w:keepLines w:val="0"/>
        <w:pageBreakBefore w:val="0"/>
        <w:numPr>
          <w:ilvl w:val="0"/>
          <w:numId w:val="57"/>
        </w:numPr>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工程质量有严重缺陷，承包人无正当理由使修复开始日期拖延达10天以上，或单项工程进度滞后15天以上的；</w:t>
      </w:r>
    </w:p>
    <w:p w14:paraId="54C80EB6">
      <w:pPr>
        <w:keepNext w:val="0"/>
        <w:keepLines w:val="0"/>
        <w:pageBreakBefore w:val="0"/>
        <w:numPr>
          <w:ilvl w:val="0"/>
          <w:numId w:val="57"/>
        </w:numPr>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承包人明确表示或以自己的行为明显表明不履行合同；</w:t>
      </w:r>
    </w:p>
    <w:p w14:paraId="42013A5E">
      <w:pPr>
        <w:keepNext w:val="0"/>
        <w:keepLines w:val="0"/>
        <w:pageBreakBefore w:val="0"/>
        <w:numPr>
          <w:ilvl w:val="0"/>
          <w:numId w:val="57"/>
        </w:numPr>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根据约定，未能通过的竣工试验、未能通过的竣工后试验，使整个工程的任何部分或（和）工程丧失了主要使用功能、使用功能、生产功能；</w:t>
      </w:r>
    </w:p>
    <w:p w14:paraId="1B57725D">
      <w:pPr>
        <w:keepNext w:val="0"/>
        <w:keepLines w:val="0"/>
        <w:pageBreakBefore w:val="0"/>
        <w:numPr>
          <w:ilvl w:val="0"/>
          <w:numId w:val="57"/>
        </w:numPr>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因承包人违反有关安全规定，发包人根据7.8.3款第（1）项解除本合同；</w:t>
      </w:r>
    </w:p>
    <w:p w14:paraId="12AF6B25">
      <w:pPr>
        <w:keepNext w:val="0"/>
        <w:keepLines w:val="0"/>
        <w:pageBreakBefore w:val="0"/>
        <w:numPr>
          <w:ilvl w:val="0"/>
          <w:numId w:val="57"/>
        </w:numPr>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承包人破产、停业清理或进入清算程序，或情况表明承包人将进入破产或（和）清算程序；</w:t>
      </w:r>
    </w:p>
    <w:p w14:paraId="0957D4FA">
      <w:pPr>
        <w:keepNext w:val="0"/>
        <w:keepLines w:val="0"/>
        <w:pageBreakBefore w:val="0"/>
        <w:numPr>
          <w:ilvl w:val="0"/>
          <w:numId w:val="57"/>
        </w:numPr>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出现不可抗力事件，导致继续履行合同主要义务已成为不可能或不必要；</w:t>
      </w:r>
    </w:p>
    <w:p w14:paraId="01AE4CEE">
      <w:pPr>
        <w:keepNext w:val="0"/>
        <w:keepLines w:val="0"/>
        <w:pageBreakBefore w:val="0"/>
        <w:numPr>
          <w:ilvl w:val="0"/>
          <w:numId w:val="57"/>
        </w:numPr>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承包人其他严重违反本合同约定的行为。</w:t>
      </w:r>
    </w:p>
    <w:p w14:paraId="3E401807">
      <w:pPr>
        <w:keepNext w:val="0"/>
        <w:keepLines w:val="0"/>
        <w:pageBreakBefore w:val="0"/>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发包人因承包人原因解除本合同的，除根据本条约定结算外，承包人应支付发包人合同总额10%的违约金。</w:t>
      </w:r>
    </w:p>
    <w:p w14:paraId="21316433">
      <w:pPr>
        <w:keepNext w:val="0"/>
        <w:keepLines w:val="0"/>
        <w:pageBreakBefore w:val="0"/>
        <w:widowControl w:val="0"/>
        <w:numPr>
          <w:ilvl w:val="2"/>
          <w:numId w:val="11"/>
        </w:numPr>
        <w:tabs>
          <w:tab w:val="left" w:pos="1134"/>
          <w:tab w:val="clear" w:pos="0"/>
        </w:tabs>
        <w:kinsoku/>
        <w:wordWrap/>
        <w:overflowPunct/>
        <w:topLinePunct w:val="0"/>
        <w:autoSpaceDE/>
        <w:autoSpaceDN/>
        <w:bidi w:val="0"/>
        <w:adjustRightInd/>
        <w:snapToGrid/>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承包人收到解除合同通知后的工作。在解除合同的30日内或双方约定的时间内，承包人完成以下工作：</w:t>
      </w:r>
    </w:p>
    <w:p w14:paraId="2F54AE32">
      <w:pPr>
        <w:keepNext w:val="0"/>
        <w:keepLines w:val="0"/>
        <w:pageBreakBefore w:val="0"/>
        <w:numPr>
          <w:ilvl w:val="0"/>
          <w:numId w:val="58"/>
        </w:numPr>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除了为保护生命、财产或工程安全、清理和必须执行的工作外，停止执行所有被通知解除的工作；</w:t>
      </w:r>
    </w:p>
    <w:p w14:paraId="1C94A41F">
      <w:pPr>
        <w:keepNext w:val="0"/>
        <w:keepLines w:val="0"/>
        <w:pageBreakBefore w:val="0"/>
        <w:numPr>
          <w:ilvl w:val="0"/>
          <w:numId w:val="58"/>
        </w:numPr>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发包人提供的所有信息及承包人为本工程编制的设计文件、技术资料及其他文件移交给发包人。在承包人留有的资料文件中，销毁与发包人提供的所有信息相关的数据及资料的备份；</w:t>
      </w:r>
    </w:p>
    <w:p w14:paraId="5B88F399">
      <w:pPr>
        <w:keepNext w:val="0"/>
        <w:keepLines w:val="0"/>
        <w:pageBreakBefore w:val="0"/>
        <w:numPr>
          <w:ilvl w:val="0"/>
          <w:numId w:val="58"/>
        </w:numPr>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ascii="宋体" w:hAnsi="宋体"/>
          <w:color w:val="auto"/>
          <w:sz w:val="21"/>
          <w:szCs w:val="21"/>
          <w:highlight w:val="none"/>
        </w:rPr>
        <w:t>移交</w:t>
      </w:r>
      <w:r>
        <w:rPr>
          <w:rFonts w:hint="eastAsia" w:ascii="宋体" w:hAnsi="宋体"/>
          <w:color w:val="auto"/>
          <w:sz w:val="21"/>
          <w:szCs w:val="21"/>
          <w:highlight w:val="none"/>
        </w:rPr>
        <w:t>已完成的永久性</w:t>
      </w:r>
      <w:r>
        <w:rPr>
          <w:rFonts w:ascii="宋体" w:hAnsi="宋体"/>
          <w:color w:val="auto"/>
          <w:sz w:val="21"/>
          <w:szCs w:val="21"/>
          <w:highlight w:val="none"/>
        </w:rPr>
        <w:t>工程及</w:t>
      </w:r>
      <w:r>
        <w:rPr>
          <w:rFonts w:hint="eastAsia" w:ascii="宋体" w:hAnsi="宋体"/>
          <w:color w:val="auto"/>
          <w:sz w:val="21"/>
          <w:szCs w:val="21"/>
          <w:highlight w:val="none"/>
        </w:rPr>
        <w:t>负责已运抵现场的工程物资。在移交前，</w:t>
      </w:r>
      <w:r>
        <w:rPr>
          <w:rFonts w:ascii="宋体" w:hAnsi="宋体"/>
          <w:color w:val="auto"/>
          <w:sz w:val="21"/>
          <w:szCs w:val="21"/>
          <w:highlight w:val="none"/>
        </w:rPr>
        <w:t>妥善做好已完工程和已运抵</w:t>
      </w:r>
      <w:r>
        <w:rPr>
          <w:rFonts w:hint="eastAsia" w:ascii="宋体" w:hAnsi="宋体"/>
          <w:color w:val="auto"/>
          <w:sz w:val="21"/>
          <w:szCs w:val="21"/>
          <w:highlight w:val="none"/>
        </w:rPr>
        <w:t>现场的</w:t>
      </w:r>
      <w:r>
        <w:rPr>
          <w:rFonts w:ascii="宋体" w:hAnsi="宋体"/>
          <w:color w:val="auto"/>
          <w:sz w:val="21"/>
          <w:szCs w:val="21"/>
          <w:highlight w:val="none"/>
        </w:rPr>
        <w:t>永久性工程物资的</w:t>
      </w:r>
      <w:r>
        <w:rPr>
          <w:rFonts w:hint="eastAsia" w:ascii="宋体" w:hAnsi="宋体"/>
          <w:color w:val="auto"/>
          <w:sz w:val="21"/>
          <w:szCs w:val="21"/>
          <w:highlight w:val="none"/>
        </w:rPr>
        <w:t>保管、维护和保养；</w:t>
      </w:r>
    </w:p>
    <w:p w14:paraId="066F8D3D">
      <w:pPr>
        <w:keepNext w:val="0"/>
        <w:keepLines w:val="0"/>
        <w:pageBreakBefore w:val="0"/>
        <w:numPr>
          <w:ilvl w:val="0"/>
          <w:numId w:val="58"/>
        </w:numPr>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ascii="宋体" w:hAnsi="宋体"/>
          <w:color w:val="auto"/>
          <w:sz w:val="21"/>
          <w:szCs w:val="21"/>
          <w:highlight w:val="none"/>
        </w:rPr>
        <w:t>移交相应实施阶段已经付款的并已完成的和尚待完成的设计文件、图纸、资料、操作维修手册、施工组织设计、质检资料、竣工资料等；</w:t>
      </w:r>
    </w:p>
    <w:p w14:paraId="742E077E">
      <w:pPr>
        <w:keepNext w:val="0"/>
        <w:keepLines w:val="0"/>
        <w:pageBreakBefore w:val="0"/>
        <w:numPr>
          <w:ilvl w:val="0"/>
          <w:numId w:val="58"/>
        </w:numPr>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向发包人提交全部分包合同及执行情况说明。其中包括：承包人提供的工程物资（含现场保管的、已经订货、正在加工的、运输途中的、运抵现场尚未交接的），发包人承担解除合同通知之日之前发生的、合同约定的此类款项，但发包人已支付的工程进度款中由承包人向分包人支付的部分，发包人不再另行支付。承包人有义务协助并配合处理与其有合同关系的分包人的关系；</w:t>
      </w:r>
    </w:p>
    <w:p w14:paraId="5D45CD7E">
      <w:pPr>
        <w:keepNext w:val="0"/>
        <w:keepLines w:val="0"/>
        <w:pageBreakBefore w:val="0"/>
        <w:numPr>
          <w:ilvl w:val="0"/>
          <w:numId w:val="58"/>
        </w:numPr>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经发包人批准，承包人将其与被解除合同或被解除部分工作相关的和正在执行的分包合同及相关的责任和义务转让至发包人或（和）发包人指定方的名下，包括工程及工程物资，以及相关工作；</w:t>
      </w:r>
    </w:p>
    <w:p w14:paraId="1AB7F71F">
      <w:pPr>
        <w:keepNext w:val="0"/>
        <w:keepLines w:val="0"/>
        <w:pageBreakBefore w:val="0"/>
        <w:numPr>
          <w:ilvl w:val="0"/>
          <w:numId w:val="58"/>
        </w:numPr>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承包人按照合同约定，继续履行其未被解除的合同部分工作；</w:t>
      </w:r>
    </w:p>
    <w:p w14:paraId="2AEF6730">
      <w:pPr>
        <w:keepNext w:val="0"/>
        <w:keepLines w:val="0"/>
        <w:pageBreakBefore w:val="0"/>
        <w:numPr>
          <w:ilvl w:val="0"/>
          <w:numId w:val="58"/>
        </w:numPr>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在解除合同的结算尚未结清之前，承包人不得将其机具、设备、设施、周转材料、措施材料撤离现场或（和）拆除。除非得到发包人同意。</w:t>
      </w:r>
    </w:p>
    <w:p w14:paraId="6CA1E5F5">
      <w:pPr>
        <w:keepNext w:val="0"/>
        <w:keepLines w:val="0"/>
        <w:pageBreakBefore w:val="0"/>
        <w:widowControl w:val="0"/>
        <w:numPr>
          <w:ilvl w:val="2"/>
          <w:numId w:val="11"/>
        </w:numPr>
        <w:tabs>
          <w:tab w:val="left" w:pos="1134"/>
          <w:tab w:val="clear" w:pos="0"/>
        </w:tabs>
        <w:kinsoku/>
        <w:wordWrap/>
        <w:overflowPunct/>
        <w:topLinePunct w:val="0"/>
        <w:autoSpaceDE/>
        <w:autoSpaceDN/>
        <w:bidi w:val="0"/>
        <w:adjustRightInd/>
        <w:snapToGrid/>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解除日期的结算资料</w:t>
      </w:r>
    </w:p>
    <w:p w14:paraId="3235661F">
      <w:pPr>
        <w:keepNext w:val="0"/>
        <w:keepLines w:val="0"/>
        <w:pageBreakBefore w:val="0"/>
        <w:kinsoku/>
        <w:wordWrap/>
        <w:overflowPunct/>
        <w:topLinePunct w:val="0"/>
        <w:autoSpaceDE/>
        <w:autoSpaceDN/>
        <w:bidi w:val="0"/>
        <w:spacing w:line="360" w:lineRule="auto"/>
        <w:ind w:left="630" w:leftChars="300" w:firstLine="0" w:firstLineChars="0"/>
        <w:textAlignment w:val="auto"/>
        <w:rPr>
          <w:rFonts w:ascii="宋体" w:hAnsi="宋体"/>
          <w:color w:val="auto"/>
          <w:sz w:val="21"/>
          <w:szCs w:val="21"/>
          <w:highlight w:val="none"/>
        </w:rPr>
      </w:pPr>
      <w:r>
        <w:rPr>
          <w:rFonts w:hint="eastAsia" w:ascii="宋体" w:hAnsi="宋体"/>
          <w:color w:val="auto"/>
          <w:sz w:val="21"/>
          <w:szCs w:val="21"/>
          <w:highlight w:val="none"/>
        </w:rPr>
        <w:t>根据18.1.2款的约定，承包人收到解除合同或解除合同部分工作的通知后，发包人立即与承包人商定已发生的工程款项，包括：预付款、工程进度款、合同价格调整的款项、保修金额暂扣的款项、索赔款项、本合同补充协议的款项，及合同任何条款约定的应增减的款项。经协商一致，作为解除日期的结算资料。</w:t>
      </w:r>
    </w:p>
    <w:p w14:paraId="1CE8578B">
      <w:pPr>
        <w:keepNext w:val="0"/>
        <w:keepLines w:val="0"/>
        <w:pageBreakBefore w:val="0"/>
        <w:widowControl w:val="0"/>
        <w:numPr>
          <w:ilvl w:val="2"/>
          <w:numId w:val="11"/>
        </w:numPr>
        <w:tabs>
          <w:tab w:val="left" w:pos="1134"/>
          <w:tab w:val="clear" w:pos="0"/>
        </w:tabs>
        <w:kinsoku/>
        <w:wordWrap/>
        <w:overflowPunct/>
        <w:topLinePunct w:val="0"/>
        <w:autoSpaceDE/>
        <w:autoSpaceDN/>
        <w:bidi w:val="0"/>
        <w:adjustRightInd/>
        <w:snapToGrid/>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解除合同后的结算</w:t>
      </w:r>
    </w:p>
    <w:p w14:paraId="6BC17624">
      <w:pPr>
        <w:keepNext w:val="0"/>
        <w:keepLines w:val="0"/>
        <w:pageBreakBefore w:val="0"/>
        <w:kinsoku/>
        <w:wordWrap/>
        <w:overflowPunct/>
        <w:topLinePunct w:val="0"/>
        <w:autoSpaceDE/>
        <w:autoSpaceDN/>
        <w:bidi w:val="0"/>
        <w:spacing w:line="360" w:lineRule="auto"/>
        <w:ind w:left="630" w:leftChars="300" w:firstLine="0" w:firstLineChars="0"/>
        <w:textAlignment w:val="auto"/>
        <w:rPr>
          <w:rFonts w:ascii="宋体" w:hAnsi="宋体"/>
          <w:color w:val="auto"/>
          <w:sz w:val="21"/>
          <w:szCs w:val="21"/>
          <w:highlight w:val="none"/>
        </w:rPr>
      </w:pPr>
      <w:r>
        <w:rPr>
          <w:rFonts w:hint="eastAsia" w:ascii="宋体" w:hAnsi="宋体"/>
          <w:color w:val="auto"/>
          <w:sz w:val="21"/>
          <w:szCs w:val="21"/>
          <w:highlight w:val="none"/>
        </w:rPr>
        <w:t>发包人解除合同后，若承包人已完成的工作符合约定标准或发包人要求的，发包人应按合同约定的价款向承包人支付相应费用，但支付前发包人有权先扣抵承包人应支付的赔偿金及违约金。若承包人已完成的工作不符合约定标准或发包人要求的，发包人有权拒绝支付给承包人任何费用，承包人要按发包人的要求及时退还发包人已支付的预付款，并支付赔偿金和违约金。具体事宜可按以下方式处理：</w:t>
      </w:r>
    </w:p>
    <w:p w14:paraId="336028BB">
      <w:pPr>
        <w:keepNext w:val="0"/>
        <w:keepLines w:val="0"/>
        <w:pageBreakBefore w:val="0"/>
        <w:numPr>
          <w:ilvl w:val="0"/>
          <w:numId w:val="59"/>
        </w:numPr>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根据18.1.4款解除合同日期的结算资料，结清双方应收应付款项的余额。此后，发包人将承包人提交的履约保函返还给承包人。</w:t>
      </w:r>
    </w:p>
    <w:p w14:paraId="2D7D121B">
      <w:pPr>
        <w:keepNext w:val="0"/>
        <w:keepLines w:val="0"/>
        <w:pageBreakBefore w:val="0"/>
        <w:numPr>
          <w:ilvl w:val="0"/>
          <w:numId w:val="59"/>
        </w:numPr>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合同解除时，仍有未被扣减完的预付款，发包人根据13.3.3预付款抵扣的约定扣除，此后，将约定提交的预付款保函返还给承包人。</w:t>
      </w:r>
    </w:p>
    <w:p w14:paraId="0BE66AB2">
      <w:pPr>
        <w:keepNext w:val="0"/>
        <w:keepLines w:val="0"/>
        <w:pageBreakBefore w:val="0"/>
        <w:numPr>
          <w:ilvl w:val="0"/>
          <w:numId w:val="59"/>
        </w:numPr>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发包人尚有其他未能扣减完的应收款余额（包括违约金），有权从承包人提交的履约保函中扣减，此后，将履约保函返还给承包人。</w:t>
      </w:r>
    </w:p>
    <w:p w14:paraId="4444D090">
      <w:pPr>
        <w:keepNext w:val="0"/>
        <w:keepLines w:val="0"/>
        <w:pageBreakBefore w:val="0"/>
        <w:numPr>
          <w:ilvl w:val="0"/>
          <w:numId w:val="59"/>
        </w:numPr>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发包人按上述约定扣减后，仍有未能收回的款项（包括违约金）时，或合同未能约定提交履约保函和预付款保函时，仍有未能扣减应收款项的余额（包括违约金）时，可扣留与应收款价值相当的承包人的机具、设备、设施、周转材料等作为抵偿。</w:t>
      </w:r>
    </w:p>
    <w:p w14:paraId="17DB9CE6">
      <w:pPr>
        <w:keepNext w:val="0"/>
        <w:keepLines w:val="0"/>
        <w:pageBreakBefore w:val="0"/>
        <w:widowControl w:val="0"/>
        <w:numPr>
          <w:ilvl w:val="2"/>
          <w:numId w:val="11"/>
        </w:numPr>
        <w:tabs>
          <w:tab w:val="left" w:pos="1134"/>
          <w:tab w:val="clear" w:pos="0"/>
        </w:tabs>
        <w:kinsoku/>
        <w:wordWrap/>
        <w:overflowPunct/>
        <w:topLinePunct w:val="0"/>
        <w:autoSpaceDE/>
        <w:autoSpaceDN/>
        <w:bidi w:val="0"/>
        <w:adjustRightInd/>
        <w:snapToGrid/>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承包人的撤离</w:t>
      </w:r>
    </w:p>
    <w:p w14:paraId="68936A99">
      <w:pPr>
        <w:keepNext w:val="0"/>
        <w:keepLines w:val="0"/>
        <w:pageBreakBefore w:val="0"/>
        <w:numPr>
          <w:ilvl w:val="0"/>
          <w:numId w:val="60"/>
        </w:numPr>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所有设备材料机工具，一经抵达现场，即视为本工程所专用，未经发包人所同意，承包人不得撤离。</w:t>
      </w:r>
    </w:p>
    <w:p w14:paraId="0DEC6EC9">
      <w:pPr>
        <w:keepNext w:val="0"/>
        <w:keepLines w:val="0"/>
        <w:pageBreakBefore w:val="0"/>
        <w:numPr>
          <w:ilvl w:val="0"/>
          <w:numId w:val="60"/>
        </w:numPr>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若合同解除，即使结算付款已完，如发包人要求设备材料机工具等须继续为本工程服务，承包人不得拒绝，并应提供相关便利。</w:t>
      </w:r>
    </w:p>
    <w:p w14:paraId="00D6BED9">
      <w:pPr>
        <w:keepNext w:val="0"/>
        <w:keepLines w:val="0"/>
        <w:pageBreakBefore w:val="0"/>
        <w:widowControl w:val="0"/>
        <w:numPr>
          <w:ilvl w:val="2"/>
          <w:numId w:val="11"/>
        </w:numPr>
        <w:tabs>
          <w:tab w:val="left" w:pos="1134"/>
          <w:tab w:val="clear" w:pos="0"/>
        </w:tabs>
        <w:kinsoku/>
        <w:wordWrap/>
        <w:overflowPunct/>
        <w:topLinePunct w:val="0"/>
        <w:autoSpaceDE/>
        <w:autoSpaceDN/>
        <w:bidi w:val="0"/>
        <w:adjustRightInd/>
        <w:snapToGrid/>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解除合同后继续实施工程的权利</w:t>
      </w:r>
    </w:p>
    <w:p w14:paraId="4EF102F1">
      <w:pPr>
        <w:keepNext w:val="0"/>
        <w:keepLines w:val="0"/>
        <w:pageBreakBefore w:val="0"/>
        <w:kinsoku/>
        <w:wordWrap/>
        <w:overflowPunct/>
        <w:topLinePunct w:val="0"/>
        <w:autoSpaceDE/>
        <w:autoSpaceDN/>
        <w:bidi w:val="0"/>
        <w:spacing w:line="360" w:lineRule="auto"/>
        <w:ind w:left="630" w:leftChars="300" w:firstLine="0" w:firstLineChars="0"/>
        <w:textAlignment w:val="auto"/>
        <w:rPr>
          <w:rFonts w:ascii="宋体" w:hAnsi="宋体"/>
          <w:color w:val="auto"/>
          <w:sz w:val="21"/>
          <w:szCs w:val="21"/>
          <w:highlight w:val="none"/>
        </w:rPr>
      </w:pPr>
      <w:r>
        <w:rPr>
          <w:rFonts w:hint="eastAsia" w:ascii="宋体" w:hAnsi="宋体"/>
          <w:color w:val="auto"/>
          <w:sz w:val="21"/>
          <w:szCs w:val="21"/>
          <w:highlight w:val="none"/>
        </w:rPr>
        <w:t>发包人可继续完成工程或与其他承包人继续完成工程。发包人有权与其他承包人使用已移交的永久性工程的物资，及承包人为本工程编制的设计文件、实施文件及资料，以及使用根据18.1.5款第（4）项约定扣留抵偿的设施、机具和设备。</w:t>
      </w:r>
    </w:p>
    <w:p w14:paraId="67CC5B4E">
      <w:pPr>
        <w:keepNext w:val="0"/>
        <w:keepLines w:val="0"/>
        <w:pageBreakBefore w:val="0"/>
        <w:numPr>
          <w:ilvl w:val="1"/>
          <w:numId w:val="11"/>
        </w:numPr>
        <w:kinsoku/>
        <w:wordWrap/>
        <w:overflowPunct/>
        <w:topLinePunct w:val="0"/>
        <w:autoSpaceDE/>
        <w:autoSpaceDN/>
        <w:bidi w:val="0"/>
        <w:spacing w:line="360" w:lineRule="auto"/>
        <w:ind w:left="632" w:leftChars="0" w:hanging="632" w:hangingChars="300"/>
        <w:textAlignment w:val="auto"/>
        <w:outlineLvl w:val="3"/>
        <w:rPr>
          <w:rFonts w:ascii="宋体" w:hAnsi="宋体"/>
          <w:b/>
          <w:color w:val="auto"/>
          <w:sz w:val="21"/>
          <w:szCs w:val="21"/>
          <w:highlight w:val="none"/>
        </w:rPr>
      </w:pPr>
      <w:bookmarkStart w:id="211" w:name="_Toc76720013"/>
      <w:r>
        <w:rPr>
          <w:rFonts w:hint="eastAsia" w:ascii="宋体" w:hAnsi="宋体"/>
          <w:b/>
          <w:color w:val="auto"/>
          <w:sz w:val="21"/>
          <w:szCs w:val="21"/>
          <w:highlight w:val="none"/>
        </w:rPr>
        <w:t>由承包人解除合同</w:t>
      </w:r>
      <w:bookmarkEnd w:id="211"/>
    </w:p>
    <w:p w14:paraId="2ECBE897">
      <w:pPr>
        <w:keepNext w:val="0"/>
        <w:keepLines w:val="0"/>
        <w:pageBreakBefore w:val="0"/>
        <w:kinsoku/>
        <w:wordWrap/>
        <w:overflowPunct/>
        <w:topLinePunct w:val="0"/>
        <w:autoSpaceDE/>
        <w:autoSpaceDN/>
        <w:bidi w:val="0"/>
        <w:spacing w:line="360" w:lineRule="auto"/>
        <w:ind w:left="630" w:leftChars="300" w:firstLine="0" w:firstLineChars="0"/>
        <w:textAlignment w:val="auto"/>
        <w:rPr>
          <w:rFonts w:ascii="宋体" w:hAnsi="宋体"/>
          <w:color w:val="auto"/>
          <w:sz w:val="21"/>
          <w:szCs w:val="21"/>
          <w:highlight w:val="none"/>
        </w:rPr>
      </w:pPr>
      <w:r>
        <w:rPr>
          <w:rFonts w:hint="eastAsia" w:ascii="宋体" w:hAnsi="宋体"/>
          <w:color w:val="auto"/>
          <w:sz w:val="21"/>
          <w:szCs w:val="21"/>
          <w:highlight w:val="none"/>
        </w:rPr>
        <w:t>由承包人解除合同。基于下列原因，承包人有权以书面形式通知发包人解除合同，但在发出解除合同通知15天前告知发包人：</w:t>
      </w:r>
    </w:p>
    <w:p w14:paraId="0373B47A">
      <w:pPr>
        <w:keepNext w:val="0"/>
        <w:keepLines w:val="0"/>
        <w:pageBreakBefore w:val="0"/>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（1）发包人延误付款达60天以上或要求暂停工程达180天以上；</w:t>
      </w:r>
    </w:p>
    <w:p w14:paraId="1D0E7507">
      <w:pPr>
        <w:keepNext w:val="0"/>
        <w:keepLines w:val="0"/>
        <w:pageBreakBefore w:val="0"/>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（2）发包人实质上未能根据合同约定履行其主要义务，导致承包人无法继续履行合同超过120天以上；</w:t>
      </w:r>
    </w:p>
    <w:p w14:paraId="445E0C6C">
      <w:pPr>
        <w:keepNext w:val="0"/>
        <w:keepLines w:val="0"/>
        <w:pageBreakBefore w:val="0"/>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（3）出现不可抗力事件，导致继续履行合同主要义务已成为不可能或不必要；</w:t>
      </w:r>
    </w:p>
    <w:p w14:paraId="0D3F1A17">
      <w:pPr>
        <w:keepNext w:val="0"/>
        <w:keepLines w:val="0"/>
        <w:pageBreakBefore w:val="0"/>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w:t>
      </w:r>
      <w:r>
        <w:rPr>
          <w:rFonts w:ascii="宋体" w:hAnsi="宋体"/>
          <w:color w:val="auto"/>
          <w:sz w:val="21"/>
          <w:szCs w:val="21"/>
          <w:highlight w:val="none"/>
        </w:rPr>
        <w:t>4</w:t>
      </w:r>
      <w:r>
        <w:rPr>
          <w:rFonts w:hint="eastAsia" w:ascii="宋体" w:hAnsi="宋体"/>
          <w:color w:val="auto"/>
          <w:sz w:val="21"/>
          <w:szCs w:val="21"/>
          <w:highlight w:val="none"/>
        </w:rPr>
        <w:t>）发包人破产、停业清理或进入清算程序、或情况表明发包人将进入破产或（和）清算程序，或发包人无力支付合同款项。</w:t>
      </w:r>
    </w:p>
    <w:p w14:paraId="2C1B422B">
      <w:pPr>
        <w:keepNext w:val="0"/>
        <w:keepLines w:val="0"/>
        <w:pageBreakBefore w:val="0"/>
        <w:kinsoku/>
        <w:wordWrap/>
        <w:overflowPunct/>
        <w:topLinePunct w:val="0"/>
        <w:autoSpaceDE/>
        <w:autoSpaceDN/>
        <w:bidi w:val="0"/>
        <w:spacing w:line="360" w:lineRule="auto"/>
        <w:ind w:left="630" w:leftChars="300" w:firstLine="0" w:firstLineChars="0"/>
        <w:textAlignment w:val="auto"/>
        <w:rPr>
          <w:rFonts w:ascii="宋体" w:hAnsi="宋体"/>
          <w:color w:val="auto"/>
          <w:sz w:val="21"/>
          <w:szCs w:val="21"/>
          <w:highlight w:val="none"/>
        </w:rPr>
      </w:pPr>
      <w:r>
        <w:rPr>
          <w:rFonts w:ascii="宋体" w:hAnsi="宋体"/>
          <w:color w:val="auto"/>
          <w:sz w:val="21"/>
          <w:szCs w:val="21"/>
          <w:highlight w:val="none"/>
        </w:rPr>
        <w:t>发包人接到承包人解除合同的通知后，发包人随后给予了付款，或同意复工、或继续履行其义务、或提供了支付保函时，承包人尽快安排并恢复正常工作。因此造成</w:t>
      </w:r>
      <w:r>
        <w:rPr>
          <w:rFonts w:hint="eastAsia" w:ascii="宋体" w:hAnsi="宋体"/>
          <w:color w:val="auto"/>
          <w:sz w:val="21"/>
          <w:szCs w:val="21"/>
          <w:highlight w:val="none"/>
        </w:rPr>
        <w:t>关键路线</w:t>
      </w:r>
      <w:r>
        <w:rPr>
          <w:rFonts w:ascii="宋体" w:hAnsi="宋体"/>
          <w:color w:val="auto"/>
          <w:sz w:val="21"/>
          <w:szCs w:val="21"/>
          <w:highlight w:val="none"/>
        </w:rPr>
        <w:t>延误时，竣工日期顺延；</w:t>
      </w:r>
      <w:r>
        <w:rPr>
          <w:rFonts w:hint="eastAsia" w:ascii="宋体" w:hAnsi="宋体"/>
          <w:color w:val="auto"/>
          <w:sz w:val="21"/>
          <w:szCs w:val="21"/>
          <w:highlight w:val="none"/>
        </w:rPr>
        <w:t>承包人</w:t>
      </w:r>
      <w:r>
        <w:rPr>
          <w:rFonts w:ascii="宋体" w:hAnsi="宋体"/>
          <w:color w:val="auto"/>
          <w:sz w:val="21"/>
          <w:szCs w:val="21"/>
          <w:highlight w:val="none"/>
        </w:rPr>
        <w:t>因此增加的费用，由发包人承担。</w:t>
      </w:r>
    </w:p>
    <w:p w14:paraId="7FB7E73D">
      <w:pPr>
        <w:keepNext w:val="0"/>
        <w:keepLines w:val="0"/>
        <w:pageBreakBefore w:val="0"/>
        <w:widowControl w:val="0"/>
        <w:numPr>
          <w:ilvl w:val="2"/>
          <w:numId w:val="11"/>
        </w:numPr>
        <w:tabs>
          <w:tab w:val="left" w:pos="1134"/>
          <w:tab w:val="clear" w:pos="0"/>
        </w:tabs>
        <w:kinsoku/>
        <w:wordWrap/>
        <w:overflowPunct/>
        <w:topLinePunct w:val="0"/>
        <w:autoSpaceDE/>
        <w:autoSpaceDN/>
        <w:bidi w:val="0"/>
        <w:adjustRightInd/>
        <w:snapToGrid/>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承包人发出解除合同的通知后，停止和进行的工作如下：</w:t>
      </w:r>
    </w:p>
    <w:p w14:paraId="51F2EB73">
      <w:pPr>
        <w:keepNext w:val="0"/>
        <w:keepLines w:val="0"/>
        <w:pageBreakBefore w:val="0"/>
        <w:numPr>
          <w:ilvl w:val="0"/>
          <w:numId w:val="61"/>
        </w:numPr>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除为保护生命、财产、工程安全、清理和必须执行的工作外，停止所有进一步的工作；</w:t>
      </w:r>
    </w:p>
    <w:p w14:paraId="604A532A">
      <w:pPr>
        <w:keepNext w:val="0"/>
        <w:keepLines w:val="0"/>
        <w:pageBreakBefore w:val="0"/>
        <w:numPr>
          <w:ilvl w:val="0"/>
          <w:numId w:val="61"/>
        </w:numPr>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ascii="宋体" w:hAnsi="宋体"/>
          <w:color w:val="auto"/>
          <w:sz w:val="21"/>
          <w:szCs w:val="21"/>
          <w:highlight w:val="none"/>
        </w:rPr>
        <w:t>移交</w:t>
      </w:r>
      <w:r>
        <w:rPr>
          <w:rFonts w:hint="eastAsia" w:ascii="宋体" w:hAnsi="宋体"/>
          <w:color w:val="auto"/>
          <w:sz w:val="21"/>
          <w:szCs w:val="21"/>
          <w:highlight w:val="none"/>
        </w:rPr>
        <w:t>已完成的永久性</w:t>
      </w:r>
      <w:r>
        <w:rPr>
          <w:rFonts w:ascii="宋体" w:hAnsi="宋体"/>
          <w:color w:val="auto"/>
          <w:sz w:val="21"/>
          <w:szCs w:val="21"/>
          <w:highlight w:val="none"/>
        </w:rPr>
        <w:t>工程及</w:t>
      </w:r>
      <w:r>
        <w:rPr>
          <w:rFonts w:hint="eastAsia" w:ascii="宋体" w:hAnsi="宋体"/>
          <w:color w:val="auto"/>
          <w:sz w:val="21"/>
          <w:szCs w:val="21"/>
          <w:highlight w:val="none"/>
        </w:rPr>
        <w:t>承包人提供的工程物资（包括现场保管的、已经订货的、正在加工制造的、正在运输途中的、现场尚未交接的）。在未移交之前，承包人有义务</w:t>
      </w:r>
      <w:r>
        <w:rPr>
          <w:rFonts w:ascii="宋体" w:hAnsi="宋体"/>
          <w:color w:val="auto"/>
          <w:sz w:val="21"/>
          <w:szCs w:val="21"/>
          <w:highlight w:val="none"/>
        </w:rPr>
        <w:t>妥善做好已完工程和已购工程物资</w:t>
      </w:r>
      <w:r>
        <w:rPr>
          <w:rFonts w:hint="eastAsia" w:ascii="宋体" w:hAnsi="宋体"/>
          <w:color w:val="auto"/>
          <w:sz w:val="21"/>
          <w:szCs w:val="21"/>
          <w:highlight w:val="none"/>
        </w:rPr>
        <w:t>的保管、维护和保养；</w:t>
      </w:r>
    </w:p>
    <w:p w14:paraId="30AD11B8">
      <w:pPr>
        <w:keepNext w:val="0"/>
        <w:keepLines w:val="0"/>
        <w:pageBreakBefore w:val="0"/>
        <w:numPr>
          <w:ilvl w:val="0"/>
          <w:numId w:val="61"/>
        </w:numPr>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ascii="宋体" w:hAnsi="宋体"/>
          <w:color w:val="auto"/>
          <w:sz w:val="21"/>
          <w:szCs w:val="21"/>
          <w:highlight w:val="none"/>
        </w:rPr>
        <w:t>移交已经付款</w:t>
      </w:r>
      <w:r>
        <w:rPr>
          <w:rFonts w:hint="eastAsia" w:ascii="宋体" w:hAnsi="宋体"/>
          <w:color w:val="auto"/>
          <w:sz w:val="21"/>
          <w:szCs w:val="21"/>
          <w:highlight w:val="none"/>
        </w:rPr>
        <w:t>并已经完成和尚待完成</w:t>
      </w:r>
      <w:r>
        <w:rPr>
          <w:rFonts w:ascii="宋体" w:hAnsi="宋体"/>
          <w:color w:val="auto"/>
          <w:sz w:val="21"/>
          <w:szCs w:val="21"/>
          <w:highlight w:val="none"/>
        </w:rPr>
        <w:t>的设计文件、图纸、资料、操作维修手册、施工组织设计、质检资料、竣工资料</w:t>
      </w:r>
      <w:r>
        <w:rPr>
          <w:rFonts w:hint="eastAsia" w:ascii="宋体" w:hAnsi="宋体"/>
          <w:color w:val="auto"/>
          <w:sz w:val="21"/>
          <w:szCs w:val="21"/>
          <w:highlight w:val="none"/>
        </w:rPr>
        <w:t>等。应发包人的要求，对已经完成但尚未付款的相关设计文件、图纸和资料等，按商定的价格付款后，承包人按约定的时间提交给发包人。</w:t>
      </w:r>
    </w:p>
    <w:p w14:paraId="4C586DEE">
      <w:pPr>
        <w:keepNext w:val="0"/>
        <w:keepLines w:val="0"/>
        <w:pageBreakBefore w:val="0"/>
        <w:numPr>
          <w:ilvl w:val="0"/>
          <w:numId w:val="61"/>
        </w:numPr>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向发包人提交全部分包合同及执行情况说明。</w:t>
      </w:r>
    </w:p>
    <w:p w14:paraId="248052D0">
      <w:pPr>
        <w:keepNext w:val="0"/>
        <w:keepLines w:val="0"/>
        <w:pageBreakBefore w:val="0"/>
        <w:numPr>
          <w:ilvl w:val="0"/>
          <w:numId w:val="61"/>
        </w:numPr>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应发包人的要求，承包人将分包合同转让至发包人或（和）发包人指定方的名下，包括工程及其物资，以及相关工作；</w:t>
      </w:r>
    </w:p>
    <w:p w14:paraId="15476F25">
      <w:pPr>
        <w:keepNext w:val="0"/>
        <w:keepLines w:val="0"/>
        <w:pageBreakBefore w:val="0"/>
        <w:numPr>
          <w:ilvl w:val="0"/>
          <w:numId w:val="61"/>
        </w:numPr>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在承包人自留文件资料中，销毁发包人提供的所有信息及其相关的数据及资料的备份。</w:t>
      </w:r>
    </w:p>
    <w:p w14:paraId="52DB69A1">
      <w:pPr>
        <w:keepNext w:val="0"/>
        <w:keepLines w:val="0"/>
        <w:pageBreakBefore w:val="0"/>
        <w:widowControl w:val="0"/>
        <w:numPr>
          <w:ilvl w:val="2"/>
          <w:numId w:val="11"/>
        </w:numPr>
        <w:tabs>
          <w:tab w:val="left" w:pos="1134"/>
          <w:tab w:val="clear" w:pos="0"/>
        </w:tabs>
        <w:kinsoku/>
        <w:wordWrap/>
        <w:overflowPunct/>
        <w:topLinePunct w:val="0"/>
        <w:autoSpaceDE/>
        <w:autoSpaceDN/>
        <w:bidi w:val="0"/>
        <w:adjustRightInd/>
        <w:snapToGrid/>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解除合同日期的结算资料</w:t>
      </w:r>
    </w:p>
    <w:p w14:paraId="2B6102C1">
      <w:pPr>
        <w:keepNext w:val="0"/>
        <w:keepLines w:val="0"/>
        <w:pageBreakBefore w:val="0"/>
        <w:kinsoku/>
        <w:wordWrap/>
        <w:overflowPunct/>
        <w:topLinePunct w:val="0"/>
        <w:autoSpaceDE/>
        <w:autoSpaceDN/>
        <w:bidi w:val="0"/>
        <w:spacing w:line="360" w:lineRule="auto"/>
        <w:ind w:left="630" w:leftChars="300" w:firstLine="0" w:firstLineChars="0"/>
        <w:textAlignment w:val="auto"/>
        <w:rPr>
          <w:rFonts w:ascii="宋体" w:hAnsi="宋体"/>
          <w:color w:val="auto"/>
          <w:sz w:val="21"/>
          <w:szCs w:val="21"/>
          <w:highlight w:val="none"/>
        </w:rPr>
      </w:pPr>
      <w:r>
        <w:rPr>
          <w:rFonts w:hint="eastAsia" w:ascii="宋体" w:hAnsi="宋体"/>
          <w:color w:val="auto"/>
          <w:sz w:val="21"/>
          <w:szCs w:val="21"/>
          <w:highlight w:val="none"/>
        </w:rPr>
        <w:t>发包人收到解除合同的通知后，即商定已发生的工程款项。包括：预付款、工程进度款、合同价格调整的款项、保修金额暂扣与支付的款项、索赔的款项、本合同补充协议的款项，及合同任何条款约定的增减款项，以及承包人拆除临时设施和机具、设备等撤离到承包人企业所在地的费用（当出现不可抗力的情况，撤离费用由承包人承担）。经协商一致，作为解除日期的结算资料。</w:t>
      </w:r>
    </w:p>
    <w:p w14:paraId="2AF1946B">
      <w:pPr>
        <w:keepNext w:val="0"/>
        <w:keepLines w:val="0"/>
        <w:pageBreakBefore w:val="0"/>
        <w:widowControl w:val="0"/>
        <w:numPr>
          <w:ilvl w:val="2"/>
          <w:numId w:val="11"/>
        </w:numPr>
        <w:tabs>
          <w:tab w:val="left" w:pos="1134"/>
          <w:tab w:val="clear" w:pos="0"/>
        </w:tabs>
        <w:kinsoku/>
        <w:wordWrap/>
        <w:overflowPunct/>
        <w:topLinePunct w:val="0"/>
        <w:autoSpaceDE/>
        <w:autoSpaceDN/>
        <w:bidi w:val="0"/>
        <w:adjustRightInd/>
        <w:snapToGrid/>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解除合同后的结算</w:t>
      </w:r>
    </w:p>
    <w:p w14:paraId="3908619F">
      <w:pPr>
        <w:keepNext w:val="0"/>
        <w:keepLines w:val="0"/>
        <w:pageBreakBefore w:val="0"/>
        <w:numPr>
          <w:ilvl w:val="0"/>
          <w:numId w:val="62"/>
        </w:numPr>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根据18.2.2款解除合同日期的结算资料，结清解除合同双方的应收应付款项的余额。此后，发包人将承包人提交的履约保函返还给承包人。</w:t>
      </w:r>
    </w:p>
    <w:p w14:paraId="7EE57469">
      <w:pPr>
        <w:keepNext w:val="0"/>
        <w:keepLines w:val="0"/>
        <w:pageBreakBefore w:val="0"/>
        <w:numPr>
          <w:ilvl w:val="0"/>
          <w:numId w:val="62"/>
        </w:numPr>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合同解除时发包人仍有未被扣减完的预付款，根据13.3.3预付款抵扣的约定扣除。</w:t>
      </w:r>
    </w:p>
    <w:p w14:paraId="0CA1410B">
      <w:pPr>
        <w:keepNext w:val="0"/>
        <w:keepLines w:val="0"/>
        <w:pageBreakBefore w:val="0"/>
        <w:numPr>
          <w:ilvl w:val="0"/>
          <w:numId w:val="62"/>
        </w:numPr>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承包人尚有其他未能收回的应收款余额，且发包人未能支付时，发包人根据18.2.2款的约定，经协商一致的解除合同日期结算资料后的</w:t>
      </w:r>
      <w:r>
        <w:rPr>
          <w:rFonts w:ascii="宋体" w:hAnsi="宋体"/>
          <w:color w:val="auto"/>
          <w:sz w:val="21"/>
          <w:szCs w:val="21"/>
          <w:highlight w:val="none"/>
        </w:rPr>
        <w:t>第1</w:t>
      </w:r>
      <w:r>
        <w:rPr>
          <w:rFonts w:hint="eastAsia" w:ascii="宋体" w:hAnsi="宋体"/>
          <w:color w:val="auto"/>
          <w:sz w:val="21"/>
          <w:szCs w:val="21"/>
          <w:highlight w:val="none"/>
        </w:rPr>
        <w:t>日</w:t>
      </w:r>
      <w:r>
        <w:rPr>
          <w:rFonts w:ascii="宋体" w:hAnsi="宋体"/>
          <w:color w:val="auto"/>
          <w:sz w:val="21"/>
          <w:szCs w:val="21"/>
          <w:highlight w:val="none"/>
        </w:rPr>
        <w:t>起，按中国人民银行同期同类贷款利率，支付拖欠的余额和利息。</w:t>
      </w:r>
      <w:r>
        <w:rPr>
          <w:rFonts w:hint="eastAsia" w:ascii="宋体" w:hAnsi="宋体"/>
          <w:color w:val="auto"/>
          <w:sz w:val="21"/>
          <w:szCs w:val="21"/>
          <w:highlight w:val="none"/>
        </w:rPr>
        <w:t>发</w:t>
      </w:r>
      <w:r>
        <w:rPr>
          <w:rFonts w:ascii="宋体" w:hAnsi="宋体"/>
          <w:color w:val="auto"/>
          <w:sz w:val="21"/>
          <w:szCs w:val="21"/>
          <w:highlight w:val="none"/>
        </w:rPr>
        <w:t>包人在</w:t>
      </w:r>
      <w:r>
        <w:rPr>
          <w:rFonts w:hint="eastAsia" w:ascii="宋体" w:hAnsi="宋体"/>
          <w:color w:val="auto"/>
          <w:sz w:val="21"/>
          <w:szCs w:val="21"/>
          <w:highlight w:val="none"/>
        </w:rPr>
        <w:t>此后的6</w:t>
      </w:r>
      <w:r>
        <w:rPr>
          <w:rFonts w:ascii="宋体" w:hAnsi="宋体"/>
          <w:color w:val="auto"/>
          <w:sz w:val="21"/>
          <w:szCs w:val="21"/>
          <w:highlight w:val="none"/>
        </w:rPr>
        <w:t>0</w:t>
      </w:r>
      <w:r>
        <w:rPr>
          <w:rFonts w:hint="eastAsia" w:ascii="宋体" w:hAnsi="宋体"/>
          <w:color w:val="auto"/>
          <w:sz w:val="21"/>
          <w:szCs w:val="21"/>
          <w:highlight w:val="none"/>
        </w:rPr>
        <w:t>日</w:t>
      </w:r>
      <w:r>
        <w:rPr>
          <w:rFonts w:ascii="宋体" w:hAnsi="宋体"/>
          <w:color w:val="auto"/>
          <w:sz w:val="21"/>
          <w:szCs w:val="21"/>
          <w:highlight w:val="none"/>
        </w:rPr>
        <w:t>内仍未支付，</w:t>
      </w:r>
      <w:r>
        <w:rPr>
          <w:rFonts w:hint="eastAsia" w:ascii="宋体" w:hAnsi="宋体"/>
          <w:color w:val="auto"/>
          <w:sz w:val="21"/>
          <w:szCs w:val="21"/>
          <w:highlight w:val="none"/>
        </w:rPr>
        <w:t>承</w:t>
      </w:r>
      <w:r>
        <w:rPr>
          <w:rFonts w:ascii="宋体" w:hAnsi="宋体"/>
          <w:color w:val="auto"/>
          <w:sz w:val="21"/>
          <w:szCs w:val="21"/>
          <w:highlight w:val="none"/>
        </w:rPr>
        <w:t>包人有权根据第16.3款争议和裁决的</w:t>
      </w:r>
      <w:r>
        <w:rPr>
          <w:rFonts w:hint="eastAsia" w:ascii="宋体" w:hAnsi="宋体"/>
          <w:color w:val="auto"/>
          <w:sz w:val="21"/>
          <w:szCs w:val="21"/>
          <w:highlight w:val="none"/>
        </w:rPr>
        <w:t>约定</w:t>
      </w:r>
      <w:r>
        <w:rPr>
          <w:rFonts w:ascii="宋体" w:hAnsi="宋体"/>
          <w:color w:val="auto"/>
          <w:sz w:val="21"/>
          <w:szCs w:val="21"/>
          <w:highlight w:val="none"/>
        </w:rPr>
        <w:t>解决。</w:t>
      </w:r>
    </w:p>
    <w:p w14:paraId="2FCFBB5C">
      <w:pPr>
        <w:keepNext w:val="0"/>
        <w:keepLines w:val="0"/>
        <w:pageBreakBefore w:val="0"/>
        <w:numPr>
          <w:ilvl w:val="0"/>
          <w:numId w:val="62"/>
        </w:numPr>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承包人尚有根据18.1.4款解除合同日期结算资料中未能付给发包人的付款余额，发包人有权根据18.1.5款约定的解除合同后的结算中的第（2）项至第（4）项进行结算。</w:t>
      </w:r>
    </w:p>
    <w:p w14:paraId="6FFCF6A4">
      <w:pPr>
        <w:keepNext w:val="0"/>
        <w:keepLines w:val="0"/>
        <w:pageBreakBefore w:val="0"/>
        <w:widowControl w:val="0"/>
        <w:numPr>
          <w:ilvl w:val="2"/>
          <w:numId w:val="11"/>
        </w:numPr>
        <w:tabs>
          <w:tab w:val="left" w:pos="1134"/>
          <w:tab w:val="clear" w:pos="0"/>
        </w:tabs>
        <w:kinsoku/>
        <w:wordWrap/>
        <w:overflowPunct/>
        <w:topLinePunct w:val="0"/>
        <w:autoSpaceDE/>
        <w:autoSpaceDN/>
        <w:bidi w:val="0"/>
        <w:adjustRightInd/>
        <w:snapToGrid/>
        <w:spacing w:line="360" w:lineRule="auto"/>
        <w:ind w:left="630" w:leftChars="0" w:hanging="630" w:hangingChars="300"/>
        <w:textAlignment w:val="auto"/>
        <w:rPr>
          <w:rFonts w:ascii="宋体" w:hAnsi="宋体"/>
          <w:color w:val="auto"/>
          <w:sz w:val="21"/>
          <w:szCs w:val="21"/>
          <w:highlight w:val="none"/>
        </w:rPr>
      </w:pPr>
      <w:r>
        <w:rPr>
          <w:rFonts w:hint="eastAsia" w:ascii="宋体" w:hAnsi="宋体"/>
          <w:color w:val="auto"/>
          <w:sz w:val="21"/>
          <w:szCs w:val="21"/>
          <w:highlight w:val="none"/>
        </w:rPr>
        <w:t>承包人的撤离</w:t>
      </w:r>
    </w:p>
    <w:p w14:paraId="61A903C1">
      <w:pPr>
        <w:keepNext w:val="0"/>
        <w:keepLines w:val="0"/>
        <w:pageBreakBefore w:val="0"/>
        <w:kinsoku/>
        <w:wordWrap/>
        <w:overflowPunct/>
        <w:topLinePunct w:val="0"/>
        <w:autoSpaceDE/>
        <w:autoSpaceDN/>
        <w:bidi w:val="0"/>
        <w:spacing w:line="360" w:lineRule="auto"/>
        <w:ind w:left="630" w:leftChars="300" w:firstLine="0" w:firstLineChars="0"/>
        <w:textAlignment w:val="auto"/>
        <w:rPr>
          <w:rFonts w:ascii="宋体" w:hAnsi="宋体"/>
          <w:color w:val="auto"/>
          <w:sz w:val="21"/>
          <w:szCs w:val="21"/>
          <w:highlight w:val="none"/>
        </w:rPr>
      </w:pPr>
      <w:r>
        <w:rPr>
          <w:rFonts w:hint="eastAsia" w:ascii="宋体" w:hAnsi="宋体"/>
          <w:color w:val="auto"/>
          <w:sz w:val="21"/>
          <w:szCs w:val="21"/>
          <w:highlight w:val="none"/>
        </w:rPr>
        <w:t>所有设备材料机工具，一经抵达现场，即视为本工程所专用，未经发包人所同意，承包人不得撤离。</w:t>
      </w:r>
    </w:p>
    <w:p w14:paraId="3C6BF2A4">
      <w:pPr>
        <w:keepNext w:val="0"/>
        <w:keepLines w:val="0"/>
        <w:pageBreakBefore w:val="0"/>
        <w:kinsoku/>
        <w:wordWrap/>
        <w:overflowPunct/>
        <w:topLinePunct w:val="0"/>
        <w:autoSpaceDE/>
        <w:autoSpaceDN/>
        <w:bidi w:val="0"/>
        <w:spacing w:line="360" w:lineRule="auto"/>
        <w:ind w:left="630" w:leftChars="300" w:firstLine="0" w:firstLineChars="0"/>
        <w:textAlignment w:val="auto"/>
        <w:rPr>
          <w:rFonts w:ascii="宋体" w:hAnsi="宋体"/>
          <w:color w:val="auto"/>
          <w:sz w:val="21"/>
          <w:szCs w:val="21"/>
          <w:highlight w:val="none"/>
        </w:rPr>
      </w:pPr>
      <w:r>
        <w:rPr>
          <w:rFonts w:hint="eastAsia" w:ascii="宋体" w:hAnsi="宋体"/>
          <w:color w:val="auto"/>
          <w:sz w:val="21"/>
          <w:szCs w:val="21"/>
          <w:highlight w:val="none"/>
        </w:rPr>
        <w:t>若合同解除，即使结算付款已完，如发包人要求设备材料机工具等须继续为本工程服务，承包人不得拒绝，并应提供相关便利。</w:t>
      </w:r>
    </w:p>
    <w:p w14:paraId="47DE9631">
      <w:pPr>
        <w:keepNext w:val="0"/>
        <w:keepLines w:val="0"/>
        <w:pageBreakBefore w:val="0"/>
        <w:widowControl w:val="0"/>
        <w:numPr>
          <w:ilvl w:val="1"/>
          <w:numId w:val="11"/>
        </w:numPr>
        <w:kinsoku/>
        <w:wordWrap/>
        <w:overflowPunct/>
        <w:topLinePunct w:val="0"/>
        <w:autoSpaceDE/>
        <w:autoSpaceDN/>
        <w:bidi w:val="0"/>
        <w:adjustRightInd/>
        <w:snapToGrid/>
        <w:spacing w:line="360" w:lineRule="auto"/>
        <w:ind w:left="632" w:leftChars="0" w:hanging="632" w:hangingChars="300"/>
        <w:textAlignment w:val="auto"/>
        <w:outlineLvl w:val="3"/>
        <w:rPr>
          <w:rFonts w:ascii="宋体" w:hAnsi="宋体"/>
          <w:b/>
          <w:color w:val="auto"/>
          <w:sz w:val="21"/>
          <w:szCs w:val="21"/>
          <w:highlight w:val="none"/>
        </w:rPr>
      </w:pPr>
      <w:bookmarkStart w:id="212" w:name="_Toc76720014"/>
      <w:r>
        <w:rPr>
          <w:rFonts w:ascii="宋体" w:hAnsi="宋体"/>
          <w:b/>
          <w:color w:val="auto"/>
          <w:sz w:val="21"/>
          <w:szCs w:val="21"/>
          <w:highlight w:val="none"/>
        </w:rPr>
        <w:t>合同解除后的事项</w:t>
      </w:r>
      <w:bookmarkEnd w:id="212"/>
    </w:p>
    <w:p w14:paraId="4F01FE7E">
      <w:pPr>
        <w:keepNext w:val="0"/>
        <w:keepLines w:val="0"/>
        <w:pageBreakBefore w:val="0"/>
        <w:widowControl w:val="0"/>
        <w:numPr>
          <w:ilvl w:val="2"/>
          <w:numId w:val="11"/>
        </w:numPr>
        <w:tabs>
          <w:tab w:val="left" w:pos="1134"/>
          <w:tab w:val="clear" w:pos="0"/>
        </w:tabs>
        <w:kinsoku/>
        <w:wordWrap/>
        <w:overflowPunct/>
        <w:topLinePunct w:val="0"/>
        <w:autoSpaceDE/>
        <w:autoSpaceDN/>
        <w:bidi w:val="0"/>
        <w:adjustRightInd/>
        <w:snapToGrid/>
        <w:spacing w:line="360" w:lineRule="auto"/>
        <w:ind w:left="630" w:leftChars="0" w:hanging="630" w:hangingChars="300"/>
        <w:textAlignment w:val="auto"/>
        <w:rPr>
          <w:rFonts w:ascii="宋体" w:hAnsi="宋体"/>
          <w:color w:val="auto"/>
          <w:sz w:val="21"/>
          <w:szCs w:val="21"/>
          <w:highlight w:val="none"/>
        </w:rPr>
      </w:pPr>
      <w:r>
        <w:rPr>
          <w:rFonts w:ascii="宋体" w:hAnsi="宋体"/>
          <w:color w:val="auto"/>
          <w:sz w:val="21"/>
          <w:szCs w:val="21"/>
          <w:highlight w:val="none"/>
        </w:rPr>
        <w:t>合同解除后，</w:t>
      </w:r>
      <w:r>
        <w:rPr>
          <w:rFonts w:hint="eastAsia" w:ascii="宋体" w:hAnsi="宋体"/>
          <w:color w:val="auto"/>
          <w:sz w:val="21"/>
          <w:szCs w:val="21"/>
          <w:highlight w:val="none"/>
        </w:rPr>
        <w:t>由发包人或由承包人解除合同</w:t>
      </w:r>
      <w:r>
        <w:rPr>
          <w:rFonts w:ascii="宋体" w:hAnsi="宋体"/>
          <w:color w:val="auto"/>
          <w:sz w:val="21"/>
          <w:szCs w:val="21"/>
          <w:highlight w:val="none"/>
        </w:rPr>
        <w:t>的结算</w:t>
      </w:r>
      <w:r>
        <w:rPr>
          <w:rFonts w:hint="eastAsia" w:ascii="宋体" w:hAnsi="宋体"/>
          <w:color w:val="auto"/>
          <w:sz w:val="21"/>
          <w:szCs w:val="21"/>
          <w:highlight w:val="none"/>
        </w:rPr>
        <w:t>、</w:t>
      </w:r>
      <w:r>
        <w:rPr>
          <w:rFonts w:ascii="宋体" w:hAnsi="宋体"/>
          <w:color w:val="auto"/>
          <w:sz w:val="21"/>
          <w:szCs w:val="21"/>
          <w:highlight w:val="none"/>
        </w:rPr>
        <w:t>及结算后的付款</w:t>
      </w:r>
      <w:r>
        <w:rPr>
          <w:rFonts w:hint="eastAsia" w:ascii="宋体" w:hAnsi="宋体"/>
          <w:color w:val="auto"/>
          <w:sz w:val="21"/>
          <w:szCs w:val="21"/>
          <w:highlight w:val="none"/>
        </w:rPr>
        <w:t>约定</w:t>
      </w:r>
      <w:r>
        <w:rPr>
          <w:rFonts w:ascii="宋体" w:hAnsi="宋体"/>
          <w:color w:val="auto"/>
          <w:sz w:val="21"/>
          <w:szCs w:val="21"/>
          <w:highlight w:val="none"/>
        </w:rPr>
        <w:t>仍然有效，直至</w:t>
      </w:r>
      <w:r>
        <w:rPr>
          <w:rFonts w:hint="eastAsia" w:ascii="宋体" w:hAnsi="宋体"/>
          <w:color w:val="auto"/>
          <w:sz w:val="21"/>
          <w:szCs w:val="21"/>
          <w:highlight w:val="none"/>
        </w:rPr>
        <w:t>解除合同的结算工作</w:t>
      </w:r>
      <w:r>
        <w:rPr>
          <w:rFonts w:ascii="宋体" w:hAnsi="宋体"/>
          <w:color w:val="auto"/>
          <w:sz w:val="21"/>
          <w:szCs w:val="21"/>
          <w:highlight w:val="none"/>
        </w:rPr>
        <w:t>结清。</w:t>
      </w:r>
    </w:p>
    <w:p w14:paraId="7044EA78">
      <w:pPr>
        <w:keepNext w:val="0"/>
        <w:keepLines w:val="0"/>
        <w:pageBreakBefore w:val="0"/>
        <w:widowControl w:val="0"/>
        <w:numPr>
          <w:ilvl w:val="2"/>
          <w:numId w:val="11"/>
        </w:numPr>
        <w:tabs>
          <w:tab w:val="left" w:pos="1134"/>
          <w:tab w:val="clear" w:pos="0"/>
        </w:tabs>
        <w:kinsoku/>
        <w:wordWrap/>
        <w:overflowPunct/>
        <w:topLinePunct w:val="0"/>
        <w:autoSpaceDE/>
        <w:autoSpaceDN/>
        <w:bidi w:val="0"/>
        <w:adjustRightInd/>
        <w:snapToGrid/>
        <w:spacing w:line="360" w:lineRule="auto"/>
        <w:ind w:left="630" w:leftChars="0" w:hanging="630" w:hangingChars="300"/>
        <w:textAlignment w:val="auto"/>
        <w:rPr>
          <w:rFonts w:ascii="宋体" w:hAnsi="宋体"/>
          <w:color w:val="auto"/>
          <w:sz w:val="21"/>
          <w:szCs w:val="21"/>
          <w:highlight w:val="none"/>
        </w:rPr>
      </w:pPr>
      <w:r>
        <w:rPr>
          <w:rFonts w:ascii="宋体" w:hAnsi="宋体"/>
          <w:color w:val="auto"/>
          <w:sz w:val="21"/>
          <w:szCs w:val="21"/>
          <w:highlight w:val="none"/>
        </w:rPr>
        <w:t>解除合同的争议。合同一方对解除合同、或对解除日期的结算资料有争议，</w:t>
      </w:r>
      <w:r>
        <w:rPr>
          <w:rFonts w:hint="eastAsia" w:ascii="宋体" w:hAnsi="宋体"/>
          <w:color w:val="auto"/>
          <w:sz w:val="21"/>
          <w:szCs w:val="21"/>
          <w:highlight w:val="none"/>
        </w:rPr>
        <w:t>采取</w:t>
      </w:r>
      <w:r>
        <w:rPr>
          <w:rFonts w:ascii="宋体" w:hAnsi="宋体"/>
          <w:color w:val="auto"/>
          <w:sz w:val="21"/>
          <w:szCs w:val="21"/>
          <w:highlight w:val="none"/>
        </w:rPr>
        <w:t>友好协商解决。经友好协商仍存在争议、或</w:t>
      </w:r>
      <w:r>
        <w:rPr>
          <w:rFonts w:hint="eastAsia" w:ascii="宋体" w:hAnsi="宋体"/>
          <w:color w:val="auto"/>
          <w:sz w:val="21"/>
          <w:szCs w:val="21"/>
          <w:highlight w:val="none"/>
        </w:rPr>
        <w:t>有一方</w:t>
      </w:r>
      <w:r>
        <w:rPr>
          <w:rFonts w:ascii="宋体" w:hAnsi="宋体"/>
          <w:color w:val="auto"/>
          <w:sz w:val="21"/>
          <w:szCs w:val="21"/>
          <w:highlight w:val="none"/>
        </w:rPr>
        <w:t>不接受友好协商</w:t>
      </w:r>
      <w:r>
        <w:rPr>
          <w:rFonts w:hint="eastAsia" w:ascii="宋体" w:hAnsi="宋体"/>
          <w:color w:val="auto"/>
          <w:sz w:val="21"/>
          <w:szCs w:val="21"/>
          <w:highlight w:val="none"/>
        </w:rPr>
        <w:t>时</w:t>
      </w:r>
      <w:r>
        <w:rPr>
          <w:rFonts w:ascii="宋体" w:hAnsi="宋体"/>
          <w:color w:val="auto"/>
          <w:sz w:val="21"/>
          <w:szCs w:val="21"/>
          <w:highlight w:val="none"/>
        </w:rPr>
        <w:t>，根据16.3款争议和裁决的</w:t>
      </w:r>
      <w:r>
        <w:rPr>
          <w:rFonts w:hint="eastAsia" w:ascii="宋体" w:hAnsi="宋体"/>
          <w:color w:val="auto"/>
          <w:sz w:val="21"/>
          <w:szCs w:val="21"/>
          <w:highlight w:val="none"/>
        </w:rPr>
        <w:t>约定</w:t>
      </w:r>
      <w:r>
        <w:rPr>
          <w:rFonts w:ascii="宋体" w:hAnsi="宋体"/>
          <w:color w:val="auto"/>
          <w:sz w:val="21"/>
          <w:szCs w:val="21"/>
          <w:highlight w:val="none"/>
        </w:rPr>
        <w:t>解决。</w:t>
      </w:r>
    </w:p>
    <w:p w14:paraId="65D5263F">
      <w:pPr>
        <w:keepNext w:val="0"/>
        <w:keepLines w:val="0"/>
        <w:pageBreakBefore w:val="0"/>
        <w:numPr>
          <w:ilvl w:val="0"/>
          <w:numId w:val="11"/>
        </w:numPr>
        <w:kinsoku/>
        <w:wordWrap/>
        <w:overflowPunct/>
        <w:topLinePunct w:val="0"/>
        <w:autoSpaceDE/>
        <w:autoSpaceDN/>
        <w:bidi w:val="0"/>
        <w:spacing w:line="360" w:lineRule="auto"/>
        <w:ind w:left="632" w:leftChars="0" w:hanging="632" w:hangingChars="300"/>
        <w:textAlignment w:val="auto"/>
        <w:outlineLvl w:val="2"/>
        <w:rPr>
          <w:rFonts w:ascii="宋体" w:hAnsi="宋体"/>
          <w:b/>
          <w:color w:val="auto"/>
          <w:sz w:val="21"/>
          <w:szCs w:val="21"/>
          <w:highlight w:val="none"/>
        </w:rPr>
      </w:pPr>
      <w:bookmarkStart w:id="213" w:name="_Toc363719011"/>
      <w:bookmarkStart w:id="214" w:name="_Toc76720015"/>
      <w:bookmarkStart w:id="215" w:name="_Toc80633169"/>
      <w:r>
        <w:rPr>
          <w:rFonts w:ascii="宋体" w:hAnsi="宋体"/>
          <w:b/>
          <w:color w:val="auto"/>
          <w:sz w:val="21"/>
          <w:szCs w:val="21"/>
          <w:highlight w:val="none"/>
        </w:rPr>
        <w:t>合同生效与终止</w:t>
      </w:r>
      <w:bookmarkEnd w:id="213"/>
      <w:bookmarkEnd w:id="214"/>
      <w:bookmarkEnd w:id="215"/>
    </w:p>
    <w:p w14:paraId="5C61C3C6">
      <w:pPr>
        <w:keepNext w:val="0"/>
        <w:keepLines w:val="0"/>
        <w:pageBreakBefore w:val="0"/>
        <w:widowControl w:val="0"/>
        <w:numPr>
          <w:ilvl w:val="1"/>
          <w:numId w:val="11"/>
        </w:numPr>
        <w:kinsoku/>
        <w:wordWrap/>
        <w:overflowPunct/>
        <w:topLinePunct w:val="0"/>
        <w:autoSpaceDE/>
        <w:autoSpaceDN/>
        <w:bidi w:val="0"/>
        <w:adjustRightInd/>
        <w:snapToGrid/>
        <w:spacing w:line="360" w:lineRule="auto"/>
        <w:ind w:left="630" w:leftChars="0" w:hanging="630" w:hangingChars="300"/>
        <w:textAlignment w:val="auto"/>
        <w:outlineLvl w:val="3"/>
        <w:rPr>
          <w:rFonts w:ascii="宋体" w:hAnsi="宋体"/>
          <w:color w:val="auto"/>
          <w:sz w:val="21"/>
          <w:szCs w:val="21"/>
          <w:highlight w:val="none"/>
        </w:rPr>
      </w:pPr>
      <w:bookmarkStart w:id="216" w:name="_Toc76720016"/>
      <w:r>
        <w:rPr>
          <w:rFonts w:ascii="宋体" w:hAnsi="宋体"/>
          <w:color w:val="auto"/>
          <w:sz w:val="21"/>
          <w:szCs w:val="21"/>
          <w:highlight w:val="none"/>
        </w:rPr>
        <w:t>合同生效</w:t>
      </w:r>
      <w:r>
        <w:rPr>
          <w:rFonts w:hint="eastAsia" w:ascii="宋体" w:hAnsi="宋体"/>
          <w:color w:val="auto"/>
          <w:sz w:val="21"/>
          <w:szCs w:val="21"/>
          <w:highlight w:val="none"/>
        </w:rPr>
        <w:t>。</w:t>
      </w:r>
      <w:r>
        <w:rPr>
          <w:rFonts w:ascii="宋体" w:hAnsi="宋体"/>
          <w:color w:val="auto"/>
          <w:sz w:val="21"/>
          <w:szCs w:val="21"/>
          <w:highlight w:val="none"/>
        </w:rPr>
        <w:t>在合同协议书中</w:t>
      </w:r>
      <w:r>
        <w:rPr>
          <w:rFonts w:hint="eastAsia" w:ascii="宋体" w:hAnsi="宋体"/>
          <w:color w:val="auto"/>
          <w:sz w:val="21"/>
          <w:szCs w:val="21"/>
          <w:highlight w:val="none"/>
        </w:rPr>
        <w:t>约定</w:t>
      </w:r>
      <w:r>
        <w:rPr>
          <w:rFonts w:ascii="宋体" w:hAnsi="宋体"/>
          <w:color w:val="auto"/>
          <w:sz w:val="21"/>
          <w:szCs w:val="21"/>
          <w:highlight w:val="none"/>
        </w:rPr>
        <w:t>的合同生效条件满足之日生效。合同正本、合同副本的份数在专用条款中</w:t>
      </w:r>
      <w:r>
        <w:rPr>
          <w:rFonts w:hint="eastAsia" w:ascii="宋体" w:hAnsi="宋体"/>
          <w:color w:val="auto"/>
          <w:sz w:val="21"/>
          <w:szCs w:val="21"/>
          <w:highlight w:val="none"/>
        </w:rPr>
        <w:t>约定</w:t>
      </w:r>
      <w:r>
        <w:rPr>
          <w:rFonts w:ascii="宋体" w:hAnsi="宋体"/>
          <w:color w:val="auto"/>
          <w:sz w:val="21"/>
          <w:szCs w:val="21"/>
          <w:highlight w:val="none"/>
        </w:rPr>
        <w:t>。</w:t>
      </w:r>
      <w:bookmarkEnd w:id="216"/>
    </w:p>
    <w:p w14:paraId="08DBC4CA">
      <w:pPr>
        <w:keepNext w:val="0"/>
        <w:keepLines w:val="0"/>
        <w:pageBreakBefore w:val="0"/>
        <w:widowControl w:val="0"/>
        <w:numPr>
          <w:ilvl w:val="1"/>
          <w:numId w:val="11"/>
        </w:numPr>
        <w:kinsoku/>
        <w:wordWrap/>
        <w:overflowPunct/>
        <w:topLinePunct w:val="0"/>
        <w:autoSpaceDE/>
        <w:autoSpaceDN/>
        <w:bidi w:val="0"/>
        <w:adjustRightInd/>
        <w:snapToGrid/>
        <w:spacing w:line="360" w:lineRule="auto"/>
        <w:ind w:left="630" w:leftChars="0" w:hanging="630" w:hangingChars="300"/>
        <w:textAlignment w:val="auto"/>
        <w:outlineLvl w:val="3"/>
        <w:rPr>
          <w:rFonts w:ascii="宋体" w:hAnsi="宋体"/>
          <w:color w:val="auto"/>
          <w:sz w:val="21"/>
          <w:szCs w:val="21"/>
          <w:highlight w:val="none"/>
        </w:rPr>
      </w:pPr>
      <w:bookmarkStart w:id="217" w:name="_Toc76720017"/>
      <w:r>
        <w:rPr>
          <w:rFonts w:ascii="宋体" w:hAnsi="宋体"/>
          <w:color w:val="auto"/>
          <w:sz w:val="21"/>
          <w:szCs w:val="21"/>
          <w:highlight w:val="none"/>
        </w:rPr>
        <w:t>除本合同第</w:t>
      </w:r>
      <w:r>
        <w:rPr>
          <w:rFonts w:hint="eastAsia" w:ascii="宋体" w:hAnsi="宋体"/>
          <w:color w:val="auto"/>
          <w:sz w:val="21"/>
          <w:szCs w:val="21"/>
          <w:highlight w:val="none"/>
        </w:rPr>
        <w:t>12.1</w:t>
      </w:r>
      <w:r>
        <w:rPr>
          <w:rFonts w:ascii="宋体" w:hAnsi="宋体"/>
          <w:color w:val="auto"/>
          <w:sz w:val="21"/>
          <w:szCs w:val="21"/>
          <w:highlight w:val="none"/>
        </w:rPr>
        <w:t>款质量保修责任书的</w:t>
      </w:r>
      <w:r>
        <w:rPr>
          <w:rFonts w:hint="eastAsia" w:ascii="宋体" w:hAnsi="宋体"/>
          <w:color w:val="auto"/>
          <w:sz w:val="21"/>
          <w:szCs w:val="21"/>
          <w:highlight w:val="none"/>
        </w:rPr>
        <w:t>约定</w:t>
      </w:r>
      <w:r>
        <w:rPr>
          <w:rFonts w:ascii="宋体" w:hAnsi="宋体"/>
          <w:color w:val="auto"/>
          <w:sz w:val="21"/>
          <w:szCs w:val="21"/>
          <w:highlight w:val="none"/>
        </w:rPr>
        <w:t>外，合同双方已履行了合同约定的全部义务竣工结算价款已结清，本合同即告终止。</w:t>
      </w:r>
      <w:bookmarkEnd w:id="217"/>
    </w:p>
    <w:p w14:paraId="4FDAF6F7">
      <w:pPr>
        <w:keepNext w:val="0"/>
        <w:keepLines w:val="0"/>
        <w:pageBreakBefore w:val="0"/>
        <w:widowControl w:val="0"/>
        <w:numPr>
          <w:ilvl w:val="1"/>
          <w:numId w:val="11"/>
        </w:numPr>
        <w:kinsoku/>
        <w:wordWrap/>
        <w:overflowPunct/>
        <w:topLinePunct w:val="0"/>
        <w:autoSpaceDE/>
        <w:autoSpaceDN/>
        <w:bidi w:val="0"/>
        <w:adjustRightInd/>
        <w:snapToGrid/>
        <w:spacing w:line="360" w:lineRule="auto"/>
        <w:ind w:left="630" w:leftChars="0" w:hanging="630" w:hangingChars="300"/>
        <w:textAlignment w:val="auto"/>
        <w:outlineLvl w:val="3"/>
        <w:rPr>
          <w:rFonts w:ascii="宋体" w:hAnsi="宋体"/>
          <w:color w:val="auto"/>
          <w:sz w:val="21"/>
          <w:szCs w:val="21"/>
          <w:highlight w:val="none"/>
        </w:rPr>
      </w:pPr>
      <w:bookmarkStart w:id="218" w:name="_Toc76720018"/>
      <w:r>
        <w:rPr>
          <w:rFonts w:ascii="宋体" w:hAnsi="宋体"/>
          <w:color w:val="auto"/>
          <w:sz w:val="21"/>
          <w:szCs w:val="21"/>
          <w:highlight w:val="none"/>
        </w:rPr>
        <w:t>合同双方在合同终止后，遵循诚实信用原则，履行通知、协助、保密等义务。</w:t>
      </w:r>
      <w:bookmarkEnd w:id="218"/>
    </w:p>
    <w:p w14:paraId="58A7DEF1">
      <w:pPr>
        <w:keepNext w:val="0"/>
        <w:keepLines w:val="0"/>
        <w:pageBreakBefore w:val="0"/>
        <w:numPr>
          <w:ilvl w:val="0"/>
          <w:numId w:val="11"/>
        </w:numPr>
        <w:kinsoku/>
        <w:wordWrap/>
        <w:overflowPunct/>
        <w:topLinePunct w:val="0"/>
        <w:autoSpaceDE/>
        <w:autoSpaceDN/>
        <w:bidi w:val="0"/>
        <w:spacing w:line="360" w:lineRule="auto"/>
        <w:ind w:left="632" w:leftChars="0" w:hanging="632" w:hangingChars="300"/>
        <w:textAlignment w:val="auto"/>
        <w:outlineLvl w:val="2"/>
        <w:rPr>
          <w:rFonts w:ascii="宋体" w:hAnsi="宋体"/>
          <w:b/>
          <w:color w:val="auto"/>
          <w:sz w:val="21"/>
          <w:szCs w:val="21"/>
          <w:highlight w:val="none"/>
        </w:rPr>
      </w:pPr>
      <w:bookmarkStart w:id="219" w:name="_Toc363719012"/>
      <w:bookmarkStart w:id="220" w:name="_Toc80633170"/>
      <w:bookmarkStart w:id="221" w:name="_Toc76720019"/>
      <w:r>
        <w:rPr>
          <w:rFonts w:ascii="宋体" w:hAnsi="宋体"/>
          <w:b/>
          <w:color w:val="auto"/>
          <w:sz w:val="21"/>
          <w:szCs w:val="21"/>
          <w:highlight w:val="none"/>
        </w:rPr>
        <w:t>补充条款</w:t>
      </w:r>
      <w:bookmarkEnd w:id="219"/>
      <w:bookmarkEnd w:id="220"/>
      <w:bookmarkEnd w:id="221"/>
    </w:p>
    <w:p w14:paraId="6A8EFC74">
      <w:pPr>
        <w:keepNext w:val="0"/>
        <w:keepLines w:val="0"/>
        <w:pageBreakBefore w:val="0"/>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ascii="宋体" w:hAnsi="宋体"/>
          <w:color w:val="auto"/>
          <w:sz w:val="21"/>
          <w:szCs w:val="21"/>
          <w:highlight w:val="none"/>
        </w:rPr>
        <w:t>根据有关法律</w:t>
      </w:r>
      <w:r>
        <w:rPr>
          <w:rFonts w:hint="eastAsia" w:ascii="宋体" w:hAnsi="宋体"/>
          <w:color w:val="auto"/>
          <w:sz w:val="21"/>
          <w:szCs w:val="21"/>
          <w:highlight w:val="none"/>
        </w:rPr>
        <w:t>、行政法规、行业规定</w:t>
      </w:r>
      <w:r>
        <w:rPr>
          <w:rFonts w:ascii="宋体" w:hAnsi="宋体"/>
          <w:color w:val="auto"/>
          <w:sz w:val="21"/>
          <w:szCs w:val="21"/>
          <w:highlight w:val="none"/>
        </w:rPr>
        <w:t>，结合工程实施情况，经协商一致后，可对本通用条款的内容，在专用条款中具体约定、补充或修改。</w:t>
      </w:r>
    </w:p>
    <w:p w14:paraId="1074DF82">
      <w:pPr>
        <w:keepNext w:val="0"/>
        <w:keepLines w:val="0"/>
        <w:pageBreakBefore w:val="0"/>
        <w:kinsoku/>
        <w:wordWrap/>
        <w:overflowPunct/>
        <w:topLinePunct w:val="0"/>
        <w:autoSpaceDE/>
        <w:autoSpaceDN/>
        <w:bidi w:val="0"/>
        <w:spacing w:line="360" w:lineRule="auto"/>
        <w:ind w:left="630" w:leftChars="0" w:hanging="630" w:hangingChars="300"/>
        <w:textAlignment w:val="auto"/>
        <w:rPr>
          <w:rFonts w:ascii="宋体" w:hAnsi="宋体"/>
          <w:color w:val="auto"/>
          <w:sz w:val="21"/>
          <w:szCs w:val="21"/>
          <w:highlight w:val="none"/>
        </w:rPr>
      </w:pPr>
      <w:r>
        <w:rPr>
          <w:rFonts w:ascii="宋体" w:hAnsi="宋体"/>
          <w:color w:val="auto"/>
          <w:sz w:val="21"/>
          <w:szCs w:val="21"/>
          <w:highlight w:val="none"/>
        </w:rPr>
        <w:t>本合同一式：</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捌  </w:t>
      </w:r>
      <w:r>
        <w:rPr>
          <w:rFonts w:ascii="宋体" w:hAnsi="宋体"/>
          <w:color w:val="auto"/>
          <w:sz w:val="21"/>
          <w:szCs w:val="21"/>
          <w:highlight w:val="none"/>
        </w:rPr>
        <w:t>份，</w:t>
      </w:r>
      <w:r>
        <w:rPr>
          <w:rFonts w:hint="eastAsia" w:ascii="宋体" w:hAnsi="宋体"/>
          <w:color w:val="auto"/>
          <w:sz w:val="21"/>
          <w:szCs w:val="21"/>
          <w:highlight w:val="none"/>
        </w:rPr>
        <w:t>合同双方各执</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肆</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份</w:t>
      </w:r>
      <w:r>
        <w:rPr>
          <w:rFonts w:ascii="宋体" w:hAnsi="宋体"/>
          <w:color w:val="auto"/>
          <w:sz w:val="21"/>
          <w:szCs w:val="21"/>
          <w:highlight w:val="none"/>
        </w:rPr>
        <w:t>。</w:t>
      </w:r>
    </w:p>
    <w:p w14:paraId="2BC43942">
      <w:pPr>
        <w:keepNext w:val="0"/>
        <w:keepLines w:val="0"/>
        <w:pageBreakBefore w:val="0"/>
        <w:wordWrap/>
        <w:overflowPunct/>
        <w:topLinePunct w:val="0"/>
        <w:bidi w:val="0"/>
        <w:spacing w:line="360" w:lineRule="auto"/>
        <w:ind w:left="0" w:leftChars="0" w:firstLine="0" w:firstLineChars="0"/>
        <w:textAlignment w:val="auto"/>
        <w:rPr>
          <w:rFonts w:ascii="宋体" w:hAnsi="宋体"/>
          <w:color w:val="auto"/>
          <w:szCs w:val="21"/>
          <w:highlight w:val="none"/>
        </w:rPr>
      </w:pPr>
    </w:p>
    <w:p w14:paraId="4499E9A5">
      <w:pPr>
        <w:keepNext w:val="0"/>
        <w:keepLines w:val="0"/>
        <w:pageBreakBefore w:val="0"/>
        <w:wordWrap/>
        <w:overflowPunct/>
        <w:topLinePunct w:val="0"/>
        <w:bidi w:val="0"/>
        <w:spacing w:line="360" w:lineRule="auto"/>
        <w:ind w:left="0" w:leftChars="0" w:firstLine="0" w:firstLineChars="0"/>
        <w:jc w:val="center"/>
        <w:textAlignment w:val="auto"/>
        <w:outlineLvl w:val="1"/>
        <w:rPr>
          <w:rFonts w:ascii="宋体" w:hAnsi="宋体"/>
          <w:b/>
          <w:color w:val="auto"/>
          <w:sz w:val="24"/>
          <w:highlight w:val="none"/>
        </w:rPr>
      </w:pPr>
      <w:r>
        <w:rPr>
          <w:rFonts w:ascii="宋体" w:hAnsi="宋体"/>
          <w:color w:val="auto"/>
          <w:szCs w:val="21"/>
          <w:highlight w:val="none"/>
        </w:rPr>
        <w:br w:type="page"/>
      </w:r>
      <w:bookmarkStart w:id="222" w:name="_Toc76720020"/>
      <w:bookmarkStart w:id="223" w:name="_Toc80633171"/>
      <w:bookmarkStart w:id="224" w:name="_Toc363719013"/>
      <w:bookmarkStart w:id="225" w:name="_Toc3407"/>
      <w:bookmarkStart w:id="226" w:name="_Toc413777035"/>
      <w:r>
        <w:rPr>
          <w:rFonts w:hint="eastAsia" w:ascii="宋体" w:hAnsi="宋体"/>
          <w:b/>
          <w:color w:val="auto"/>
          <w:sz w:val="32"/>
          <w:szCs w:val="32"/>
          <w:highlight w:val="none"/>
        </w:rPr>
        <w:t>第三部分 专用条款</w:t>
      </w:r>
      <w:bookmarkEnd w:id="222"/>
      <w:bookmarkEnd w:id="223"/>
      <w:bookmarkEnd w:id="224"/>
      <w:bookmarkEnd w:id="225"/>
      <w:bookmarkEnd w:id="226"/>
    </w:p>
    <w:p w14:paraId="7F63FE36">
      <w:pPr>
        <w:keepNext w:val="0"/>
        <w:keepLines w:val="0"/>
        <w:pageBreakBefore w:val="0"/>
        <w:wordWrap/>
        <w:overflowPunct/>
        <w:topLinePunct w:val="0"/>
        <w:bidi w:val="0"/>
        <w:snapToGrid w:val="0"/>
        <w:spacing w:line="360" w:lineRule="auto"/>
        <w:ind w:left="0" w:leftChars="0" w:firstLine="0" w:firstLineChars="0"/>
        <w:textAlignment w:val="auto"/>
        <w:outlineLvl w:val="2"/>
        <w:rPr>
          <w:rFonts w:ascii="宋体" w:hAnsi="宋体"/>
          <w:b/>
          <w:color w:val="auto"/>
          <w:szCs w:val="21"/>
          <w:highlight w:val="none"/>
        </w:rPr>
      </w:pPr>
      <w:bookmarkStart w:id="227" w:name="_Toc363719014"/>
      <w:bookmarkStart w:id="228" w:name="_Toc80633172"/>
      <w:bookmarkStart w:id="229" w:name="_Toc76720021"/>
      <w:r>
        <w:rPr>
          <w:rFonts w:hint="eastAsia" w:ascii="宋体" w:hAnsi="宋体"/>
          <w:b/>
          <w:color w:val="auto"/>
          <w:szCs w:val="21"/>
          <w:highlight w:val="none"/>
        </w:rPr>
        <w:t xml:space="preserve">第1条 </w:t>
      </w:r>
      <w:r>
        <w:rPr>
          <w:rFonts w:hint="eastAsia" w:ascii="宋体" w:hAnsi="宋体"/>
          <w:b/>
          <w:color w:val="auto"/>
          <w:szCs w:val="21"/>
          <w:highlight w:val="none"/>
        </w:rPr>
        <w:tab/>
      </w:r>
      <w:r>
        <w:rPr>
          <w:rFonts w:hint="eastAsia" w:ascii="宋体" w:hAnsi="宋体"/>
          <w:b/>
          <w:color w:val="auto"/>
          <w:szCs w:val="21"/>
          <w:highlight w:val="none"/>
        </w:rPr>
        <w:t>一般规定</w:t>
      </w:r>
      <w:bookmarkEnd w:id="227"/>
      <w:bookmarkEnd w:id="228"/>
      <w:bookmarkEnd w:id="229"/>
    </w:p>
    <w:p w14:paraId="3E26E15F">
      <w:pPr>
        <w:keepNext w:val="0"/>
        <w:keepLines w:val="0"/>
        <w:pageBreakBefore w:val="0"/>
        <w:wordWrap/>
        <w:overflowPunct/>
        <w:topLinePunct w:val="0"/>
        <w:bidi w:val="0"/>
        <w:snapToGrid w:val="0"/>
        <w:spacing w:line="360" w:lineRule="auto"/>
        <w:ind w:left="0" w:leftChars="0" w:firstLine="0" w:firstLineChars="0"/>
        <w:textAlignment w:val="auto"/>
        <w:outlineLvl w:val="3"/>
        <w:rPr>
          <w:rFonts w:ascii="宋体" w:hAnsi="宋体"/>
          <w:color w:val="auto"/>
          <w:szCs w:val="21"/>
          <w:highlight w:val="none"/>
        </w:rPr>
      </w:pPr>
      <w:bookmarkStart w:id="230" w:name="_Toc76720022"/>
      <w:r>
        <w:rPr>
          <w:rFonts w:hint="eastAsia" w:ascii="宋体" w:hAnsi="宋体"/>
          <w:color w:val="auto"/>
          <w:szCs w:val="21"/>
          <w:highlight w:val="none"/>
        </w:rPr>
        <w:t>1.1定义与解释</w:t>
      </w:r>
      <w:bookmarkEnd w:id="230"/>
    </w:p>
    <w:p w14:paraId="38C6142B">
      <w:pPr>
        <w:keepNext w:val="0"/>
        <w:keepLines w:val="0"/>
        <w:pageBreakBefore w:val="0"/>
        <w:wordWrap/>
        <w:overflowPunct/>
        <w:topLinePunct w:val="0"/>
        <w:bidi w:val="0"/>
        <w:snapToGrid w:val="0"/>
        <w:spacing w:line="360" w:lineRule="auto"/>
        <w:ind w:left="0" w:leftChars="0" w:firstLine="0" w:firstLineChars="0"/>
        <w:textAlignment w:val="auto"/>
        <w:rPr>
          <w:rFonts w:ascii="宋体" w:hAnsi="宋体"/>
          <w:color w:val="auto"/>
          <w:szCs w:val="21"/>
          <w:highlight w:val="none"/>
        </w:rPr>
      </w:pPr>
      <w:r>
        <w:rPr>
          <w:rFonts w:hint="eastAsia" w:ascii="宋体" w:hAnsi="宋体"/>
          <w:color w:val="auto"/>
          <w:szCs w:val="21"/>
          <w:highlight w:val="none"/>
        </w:rPr>
        <w:t>根据本合同工程的特点，补充约定的其他定义：</w:t>
      </w:r>
      <w:r>
        <w:rPr>
          <w:rFonts w:hint="eastAsia" w:ascii="宋体" w:hAnsi="宋体"/>
          <w:color w:val="auto"/>
          <w:szCs w:val="21"/>
          <w:highlight w:val="none"/>
          <w:u w:val="single"/>
        </w:rPr>
        <w:t xml:space="preserve"> 无 </w:t>
      </w:r>
      <w:r>
        <w:rPr>
          <w:rFonts w:hint="eastAsia" w:ascii="宋体" w:hAnsi="宋体"/>
          <w:color w:val="auto"/>
          <w:szCs w:val="21"/>
          <w:highlight w:val="none"/>
        </w:rPr>
        <w:t>。</w:t>
      </w:r>
    </w:p>
    <w:p w14:paraId="410D2F6F">
      <w:pPr>
        <w:keepNext w:val="0"/>
        <w:keepLines w:val="0"/>
        <w:pageBreakBefore w:val="0"/>
        <w:wordWrap/>
        <w:overflowPunct/>
        <w:topLinePunct w:val="0"/>
        <w:bidi w:val="0"/>
        <w:snapToGrid w:val="0"/>
        <w:spacing w:line="360" w:lineRule="auto"/>
        <w:ind w:left="0" w:leftChars="0" w:firstLine="0" w:firstLineChars="0"/>
        <w:textAlignment w:val="auto"/>
        <w:outlineLvl w:val="3"/>
        <w:rPr>
          <w:rFonts w:ascii="宋体" w:hAnsi="宋体"/>
          <w:color w:val="auto"/>
          <w:szCs w:val="21"/>
          <w:highlight w:val="none"/>
        </w:rPr>
      </w:pPr>
      <w:bookmarkStart w:id="231" w:name="_Toc76720023"/>
      <w:r>
        <w:rPr>
          <w:rFonts w:hint="eastAsia" w:ascii="宋体" w:hAnsi="宋体"/>
          <w:color w:val="auto"/>
          <w:szCs w:val="21"/>
          <w:highlight w:val="none"/>
        </w:rPr>
        <w:t>1.</w:t>
      </w:r>
      <w:r>
        <w:rPr>
          <w:rFonts w:hint="eastAsia" w:ascii="宋体" w:hAnsi="宋体"/>
          <w:color w:val="auto"/>
          <w:szCs w:val="21"/>
          <w:highlight w:val="none"/>
          <w:lang w:val="en-US" w:eastAsia="zh-CN"/>
        </w:rPr>
        <w:t>2</w:t>
      </w:r>
      <w:r>
        <w:rPr>
          <w:rFonts w:hint="eastAsia" w:ascii="宋体" w:hAnsi="宋体"/>
          <w:color w:val="auto"/>
          <w:szCs w:val="21"/>
          <w:highlight w:val="none"/>
        </w:rPr>
        <w:t>标准、规范</w:t>
      </w:r>
      <w:bookmarkEnd w:id="231"/>
    </w:p>
    <w:p w14:paraId="0BC6C5C5">
      <w:pPr>
        <w:keepNext w:val="0"/>
        <w:keepLines w:val="0"/>
        <w:pageBreakBefore w:val="0"/>
        <w:wordWrap/>
        <w:overflowPunct/>
        <w:topLinePunct w:val="0"/>
        <w:bidi w:val="0"/>
        <w:snapToGrid w:val="0"/>
        <w:spacing w:line="360" w:lineRule="auto"/>
        <w:ind w:left="0" w:leftChars="0" w:firstLine="0" w:firstLineChars="0"/>
        <w:textAlignment w:val="auto"/>
        <w:rPr>
          <w:rFonts w:ascii="宋体" w:hAnsi="宋体"/>
          <w:color w:val="auto"/>
          <w:szCs w:val="21"/>
          <w:highlight w:val="none"/>
          <w:u w:val="single"/>
        </w:rPr>
      </w:pPr>
      <w:r>
        <w:rPr>
          <w:rFonts w:hint="eastAsia" w:ascii="宋体" w:hAnsi="宋体"/>
          <w:color w:val="auto"/>
          <w:szCs w:val="21"/>
          <w:highlight w:val="none"/>
        </w:rPr>
        <w:t>1.</w:t>
      </w:r>
      <w:r>
        <w:rPr>
          <w:rFonts w:hint="eastAsia" w:ascii="宋体" w:hAnsi="宋体"/>
          <w:color w:val="auto"/>
          <w:szCs w:val="21"/>
          <w:highlight w:val="none"/>
          <w:lang w:val="en-US" w:eastAsia="zh-CN"/>
        </w:rPr>
        <w:t>2</w:t>
      </w:r>
      <w:r>
        <w:rPr>
          <w:rFonts w:hint="eastAsia" w:ascii="宋体" w:hAnsi="宋体"/>
          <w:color w:val="auto"/>
          <w:szCs w:val="21"/>
          <w:highlight w:val="none"/>
        </w:rPr>
        <w:t>.1本合同</w:t>
      </w:r>
      <w:r>
        <w:rPr>
          <w:rFonts w:ascii="宋体" w:hAnsi="宋体"/>
          <w:color w:val="auto"/>
          <w:szCs w:val="21"/>
          <w:highlight w:val="none"/>
        </w:rPr>
        <w:t>适用</w:t>
      </w:r>
      <w:r>
        <w:rPr>
          <w:rFonts w:hint="eastAsia" w:ascii="宋体" w:hAnsi="宋体"/>
          <w:color w:val="auto"/>
          <w:szCs w:val="21"/>
          <w:highlight w:val="none"/>
        </w:rPr>
        <w:t>的</w:t>
      </w:r>
      <w:r>
        <w:rPr>
          <w:rFonts w:ascii="宋体" w:hAnsi="宋体"/>
          <w:color w:val="auto"/>
          <w:szCs w:val="21"/>
          <w:highlight w:val="none"/>
        </w:rPr>
        <w:t>标准、规范</w:t>
      </w:r>
      <w:r>
        <w:rPr>
          <w:rFonts w:hint="eastAsia" w:ascii="宋体" w:hAnsi="宋体"/>
          <w:color w:val="auto"/>
          <w:szCs w:val="21"/>
          <w:highlight w:val="none"/>
        </w:rPr>
        <w:t>（</w:t>
      </w:r>
      <w:r>
        <w:rPr>
          <w:rFonts w:ascii="宋体" w:hAnsi="宋体"/>
          <w:color w:val="auto"/>
          <w:szCs w:val="21"/>
          <w:highlight w:val="none"/>
        </w:rPr>
        <w:t>名称</w:t>
      </w:r>
      <w:r>
        <w:rPr>
          <w:rFonts w:hint="eastAsia" w:ascii="宋体" w:hAnsi="宋体"/>
          <w:color w:val="auto"/>
          <w:szCs w:val="21"/>
          <w:highlight w:val="none"/>
        </w:rPr>
        <w:t>）</w:t>
      </w:r>
      <w:r>
        <w:rPr>
          <w:rFonts w:ascii="宋体" w:hAnsi="宋体"/>
          <w:color w:val="auto"/>
          <w:szCs w:val="21"/>
          <w:highlight w:val="none"/>
        </w:rPr>
        <w:t>：</w:t>
      </w:r>
      <w:r>
        <w:rPr>
          <w:rFonts w:hint="eastAsia" w:ascii="宋体" w:hAnsi="宋体"/>
          <w:color w:val="auto"/>
          <w:szCs w:val="21"/>
          <w:highlight w:val="none"/>
          <w:u w:val="single"/>
        </w:rPr>
        <w:t xml:space="preserve">国家标准规范、或（和）行业标准规范 </w:t>
      </w:r>
    </w:p>
    <w:p w14:paraId="32DDACE8">
      <w:pPr>
        <w:keepNext w:val="0"/>
        <w:keepLines w:val="0"/>
        <w:pageBreakBefore w:val="0"/>
        <w:wordWrap/>
        <w:overflowPunct/>
        <w:topLinePunct w:val="0"/>
        <w:bidi w:val="0"/>
        <w:snapToGrid w:val="0"/>
        <w:spacing w:line="360" w:lineRule="auto"/>
        <w:ind w:left="0" w:leftChars="0" w:firstLine="0" w:firstLineChars="0"/>
        <w:textAlignment w:val="auto"/>
        <w:outlineLvl w:val="2"/>
        <w:rPr>
          <w:rFonts w:ascii="宋体" w:hAnsi="宋体"/>
          <w:b/>
          <w:color w:val="auto"/>
          <w:szCs w:val="21"/>
          <w:highlight w:val="none"/>
        </w:rPr>
      </w:pPr>
      <w:bookmarkStart w:id="232" w:name="_Toc80633173"/>
      <w:bookmarkStart w:id="233" w:name="_Toc363719015"/>
      <w:bookmarkStart w:id="234" w:name="_Toc76720024"/>
      <w:r>
        <w:rPr>
          <w:rFonts w:hint="eastAsia" w:ascii="宋体" w:hAnsi="宋体"/>
          <w:b/>
          <w:color w:val="auto"/>
          <w:szCs w:val="21"/>
          <w:highlight w:val="none"/>
        </w:rPr>
        <w:t>第</w:t>
      </w:r>
      <w:r>
        <w:rPr>
          <w:rFonts w:ascii="宋体" w:hAnsi="宋体"/>
          <w:b/>
          <w:color w:val="auto"/>
          <w:szCs w:val="21"/>
          <w:highlight w:val="none"/>
        </w:rPr>
        <w:t>2</w:t>
      </w:r>
      <w:r>
        <w:rPr>
          <w:rFonts w:hint="eastAsia" w:ascii="宋体" w:hAnsi="宋体"/>
          <w:b/>
          <w:color w:val="auto"/>
          <w:szCs w:val="21"/>
          <w:highlight w:val="none"/>
        </w:rPr>
        <w:t xml:space="preserve">条 </w:t>
      </w:r>
      <w:r>
        <w:rPr>
          <w:rFonts w:hint="eastAsia" w:ascii="宋体" w:hAnsi="宋体"/>
          <w:b/>
          <w:color w:val="auto"/>
          <w:szCs w:val="21"/>
          <w:highlight w:val="none"/>
        </w:rPr>
        <w:tab/>
      </w:r>
      <w:r>
        <w:rPr>
          <w:rFonts w:hint="eastAsia" w:ascii="宋体" w:hAnsi="宋体"/>
          <w:b/>
          <w:color w:val="auto"/>
          <w:szCs w:val="21"/>
          <w:highlight w:val="none"/>
        </w:rPr>
        <w:t>发包人</w:t>
      </w:r>
      <w:bookmarkEnd w:id="232"/>
      <w:bookmarkEnd w:id="233"/>
      <w:bookmarkEnd w:id="234"/>
    </w:p>
    <w:p w14:paraId="795FDEB6">
      <w:pPr>
        <w:keepNext w:val="0"/>
        <w:keepLines w:val="0"/>
        <w:pageBreakBefore w:val="0"/>
        <w:wordWrap/>
        <w:overflowPunct/>
        <w:topLinePunct w:val="0"/>
        <w:bidi w:val="0"/>
        <w:snapToGrid w:val="0"/>
        <w:spacing w:line="360" w:lineRule="auto"/>
        <w:ind w:left="0" w:leftChars="0" w:firstLine="0" w:firstLineChars="0"/>
        <w:textAlignment w:val="auto"/>
        <w:outlineLvl w:val="3"/>
        <w:rPr>
          <w:rFonts w:ascii="宋体" w:hAnsi="宋体"/>
          <w:color w:val="auto"/>
          <w:szCs w:val="21"/>
          <w:highlight w:val="none"/>
        </w:rPr>
      </w:pPr>
      <w:bookmarkStart w:id="235" w:name="_Toc76720025"/>
      <w:r>
        <w:rPr>
          <w:rFonts w:hint="eastAsia" w:ascii="宋体" w:hAnsi="宋体"/>
          <w:color w:val="auto"/>
          <w:szCs w:val="21"/>
          <w:highlight w:val="none"/>
        </w:rPr>
        <w:t>2.</w:t>
      </w:r>
      <w:r>
        <w:rPr>
          <w:rFonts w:hint="eastAsia" w:ascii="宋体" w:hAnsi="宋体"/>
          <w:color w:val="auto"/>
          <w:szCs w:val="21"/>
          <w:highlight w:val="none"/>
          <w:lang w:val="en-US" w:eastAsia="zh-CN"/>
        </w:rPr>
        <w:t>1</w:t>
      </w:r>
      <w:r>
        <w:rPr>
          <w:rFonts w:hint="eastAsia" w:ascii="宋体" w:hAnsi="宋体"/>
          <w:color w:val="auto"/>
          <w:szCs w:val="21"/>
          <w:highlight w:val="none"/>
        </w:rPr>
        <w:t>发包人代表</w:t>
      </w:r>
      <w:bookmarkEnd w:id="235"/>
    </w:p>
    <w:p w14:paraId="44F51CB7">
      <w:pPr>
        <w:keepNext w:val="0"/>
        <w:keepLines w:val="0"/>
        <w:pageBreakBefore w:val="0"/>
        <w:wordWrap/>
        <w:overflowPunct/>
        <w:topLinePunct w:val="0"/>
        <w:bidi w:val="0"/>
        <w:snapToGrid w:val="0"/>
        <w:spacing w:line="360" w:lineRule="auto"/>
        <w:ind w:left="0" w:leftChars="0" w:firstLine="0" w:firstLineChars="0"/>
        <w:textAlignment w:val="auto"/>
        <w:rPr>
          <w:rFonts w:ascii="宋体" w:hAnsi="宋体"/>
          <w:color w:val="auto"/>
          <w:szCs w:val="21"/>
          <w:highlight w:val="none"/>
        </w:rPr>
      </w:pPr>
      <w:r>
        <w:rPr>
          <w:rFonts w:hint="eastAsia" w:ascii="宋体" w:hAnsi="宋体"/>
          <w:color w:val="auto"/>
          <w:szCs w:val="21"/>
          <w:highlight w:val="none"/>
        </w:rPr>
        <w:t>发包人代表的姓名：</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5FB25FB2">
      <w:pPr>
        <w:keepNext w:val="0"/>
        <w:keepLines w:val="0"/>
        <w:pageBreakBefore w:val="0"/>
        <w:wordWrap/>
        <w:overflowPunct/>
        <w:topLinePunct w:val="0"/>
        <w:bidi w:val="0"/>
        <w:snapToGrid w:val="0"/>
        <w:spacing w:line="360" w:lineRule="auto"/>
        <w:ind w:left="0" w:leftChars="0" w:firstLine="0" w:firstLineChars="0"/>
        <w:textAlignment w:val="auto"/>
        <w:rPr>
          <w:rFonts w:ascii="宋体" w:hAnsi="宋体"/>
          <w:color w:val="auto"/>
          <w:szCs w:val="21"/>
          <w:highlight w:val="none"/>
        </w:rPr>
      </w:pPr>
      <w:r>
        <w:rPr>
          <w:rFonts w:hint="eastAsia" w:ascii="宋体" w:hAnsi="宋体"/>
          <w:color w:val="auto"/>
          <w:szCs w:val="21"/>
          <w:highlight w:val="none"/>
        </w:rPr>
        <w:t>发包人代表的职务：</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31B29D77">
      <w:pPr>
        <w:keepNext w:val="0"/>
        <w:keepLines w:val="0"/>
        <w:pageBreakBefore w:val="0"/>
        <w:wordWrap/>
        <w:overflowPunct/>
        <w:topLinePunct w:val="0"/>
        <w:bidi w:val="0"/>
        <w:snapToGrid w:val="0"/>
        <w:spacing w:line="360" w:lineRule="auto"/>
        <w:ind w:left="0" w:leftChars="0" w:firstLine="0" w:firstLineChars="0"/>
        <w:textAlignment w:val="auto"/>
        <w:rPr>
          <w:rFonts w:ascii="宋体" w:hAnsi="宋体"/>
          <w:color w:val="auto"/>
          <w:szCs w:val="21"/>
          <w:highlight w:val="none"/>
        </w:rPr>
      </w:pPr>
      <w:r>
        <w:rPr>
          <w:rFonts w:hint="eastAsia" w:ascii="宋体" w:hAnsi="宋体"/>
          <w:color w:val="auto"/>
          <w:szCs w:val="21"/>
          <w:highlight w:val="none"/>
        </w:rPr>
        <w:t>发包人代表的职责：根据合同约定，负责工程进度掌控及进度款拨付的审核，</w:t>
      </w:r>
      <w:r>
        <w:rPr>
          <w:rFonts w:hint="eastAsia" w:ascii="宋体" w:hAnsi="宋体"/>
          <w:color w:val="auto"/>
          <w:szCs w:val="21"/>
          <w:highlight w:val="none"/>
          <w:u w:val="single"/>
        </w:rPr>
        <w:t>工程质量的监督，参与并按照有关规范严格进行阶段验收。对减少或免除承包人义务、责任，变更合同条款的，应由发包人盖章确认。</w:t>
      </w:r>
    </w:p>
    <w:p w14:paraId="4E59799B">
      <w:pPr>
        <w:keepNext w:val="0"/>
        <w:keepLines w:val="0"/>
        <w:pageBreakBefore w:val="0"/>
        <w:wordWrap/>
        <w:overflowPunct/>
        <w:topLinePunct w:val="0"/>
        <w:bidi w:val="0"/>
        <w:snapToGrid w:val="0"/>
        <w:spacing w:line="360" w:lineRule="auto"/>
        <w:ind w:left="0" w:leftChars="0" w:firstLine="0" w:firstLineChars="0"/>
        <w:textAlignment w:val="auto"/>
        <w:outlineLvl w:val="3"/>
        <w:rPr>
          <w:rFonts w:ascii="宋体" w:hAnsi="宋体"/>
          <w:color w:val="auto"/>
          <w:szCs w:val="21"/>
          <w:highlight w:val="none"/>
        </w:rPr>
      </w:pPr>
      <w:bookmarkStart w:id="236" w:name="_Toc76720026"/>
      <w:r>
        <w:rPr>
          <w:rFonts w:hint="eastAsia" w:ascii="宋体" w:hAnsi="宋体"/>
          <w:color w:val="auto"/>
          <w:szCs w:val="21"/>
          <w:highlight w:val="none"/>
        </w:rPr>
        <w:t>2.</w:t>
      </w:r>
      <w:r>
        <w:rPr>
          <w:rFonts w:hint="eastAsia" w:ascii="宋体" w:hAnsi="宋体"/>
          <w:color w:val="auto"/>
          <w:szCs w:val="21"/>
          <w:highlight w:val="none"/>
          <w:lang w:val="en-US" w:eastAsia="zh-CN"/>
        </w:rPr>
        <w:t>2</w:t>
      </w:r>
      <w:r>
        <w:rPr>
          <w:rFonts w:hint="eastAsia" w:ascii="宋体" w:hAnsi="宋体"/>
          <w:color w:val="auto"/>
          <w:szCs w:val="21"/>
          <w:highlight w:val="none"/>
        </w:rPr>
        <w:t>监理人（如有）</w:t>
      </w:r>
      <w:bookmarkEnd w:id="236"/>
    </w:p>
    <w:p w14:paraId="6F9F4D46">
      <w:pPr>
        <w:keepNext w:val="0"/>
        <w:keepLines w:val="0"/>
        <w:pageBreakBefore w:val="0"/>
        <w:wordWrap/>
        <w:overflowPunct/>
        <w:topLinePunct w:val="0"/>
        <w:bidi w:val="0"/>
        <w:snapToGrid w:val="0"/>
        <w:spacing w:line="360" w:lineRule="auto"/>
        <w:ind w:left="0" w:leftChars="0" w:firstLine="0" w:firstLineChars="0"/>
        <w:textAlignment w:val="auto"/>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2</w:t>
      </w:r>
      <w:r>
        <w:rPr>
          <w:rFonts w:hint="eastAsia" w:ascii="宋体" w:hAnsi="宋体"/>
          <w:color w:val="auto"/>
          <w:szCs w:val="21"/>
          <w:highlight w:val="none"/>
        </w:rPr>
        <w:t>.1监理单位名称：</w:t>
      </w:r>
      <w:r>
        <w:rPr>
          <w:rFonts w:hint="eastAsia" w:ascii="宋体" w:hAnsi="宋体"/>
          <w:color w:val="auto"/>
          <w:szCs w:val="21"/>
          <w:highlight w:val="none"/>
          <w:u w:val="single"/>
        </w:rPr>
        <w:t>监理合同签订后明确</w:t>
      </w:r>
      <w:r>
        <w:rPr>
          <w:rFonts w:hint="eastAsia" w:ascii="宋体" w:hAnsi="宋体"/>
          <w:color w:val="auto"/>
          <w:szCs w:val="21"/>
          <w:highlight w:val="none"/>
        </w:rPr>
        <w:t>；</w:t>
      </w:r>
    </w:p>
    <w:p w14:paraId="178A32C6">
      <w:pPr>
        <w:keepNext w:val="0"/>
        <w:keepLines w:val="0"/>
        <w:pageBreakBefore w:val="0"/>
        <w:wordWrap/>
        <w:overflowPunct/>
        <w:topLinePunct w:val="0"/>
        <w:bidi w:val="0"/>
        <w:snapToGrid w:val="0"/>
        <w:spacing w:line="360" w:lineRule="auto"/>
        <w:ind w:left="0" w:leftChars="0" w:firstLine="0" w:firstLineChars="0"/>
        <w:textAlignment w:val="auto"/>
        <w:rPr>
          <w:rFonts w:ascii="宋体" w:hAnsi="宋体"/>
          <w:color w:val="auto"/>
          <w:szCs w:val="21"/>
          <w:highlight w:val="none"/>
        </w:rPr>
      </w:pPr>
      <w:r>
        <w:rPr>
          <w:rFonts w:hint="eastAsia" w:ascii="宋体" w:hAnsi="宋体"/>
          <w:color w:val="auto"/>
          <w:szCs w:val="21"/>
          <w:highlight w:val="none"/>
        </w:rPr>
        <w:t>工程总监理姓名：</w:t>
      </w:r>
      <w:r>
        <w:rPr>
          <w:rFonts w:hint="eastAsia" w:ascii="宋体" w:hAnsi="宋体"/>
          <w:color w:val="auto"/>
          <w:szCs w:val="21"/>
          <w:highlight w:val="none"/>
          <w:u w:val="single"/>
        </w:rPr>
        <w:t>监理合同签订后明确</w:t>
      </w:r>
      <w:r>
        <w:rPr>
          <w:rFonts w:hint="eastAsia" w:ascii="宋体" w:hAnsi="宋体"/>
          <w:color w:val="auto"/>
          <w:szCs w:val="21"/>
          <w:highlight w:val="none"/>
        </w:rPr>
        <w:t>；</w:t>
      </w:r>
    </w:p>
    <w:p w14:paraId="56B94558">
      <w:pPr>
        <w:keepNext w:val="0"/>
        <w:keepLines w:val="0"/>
        <w:pageBreakBefore w:val="0"/>
        <w:wordWrap/>
        <w:overflowPunct/>
        <w:topLinePunct w:val="0"/>
        <w:bidi w:val="0"/>
        <w:snapToGrid w:val="0"/>
        <w:spacing w:line="360" w:lineRule="auto"/>
        <w:ind w:left="0" w:leftChars="0" w:firstLine="0" w:firstLineChars="0"/>
        <w:textAlignment w:val="auto"/>
        <w:rPr>
          <w:rFonts w:ascii="宋体" w:hAnsi="宋体"/>
          <w:color w:val="auto"/>
          <w:szCs w:val="21"/>
          <w:highlight w:val="none"/>
        </w:rPr>
      </w:pPr>
      <w:r>
        <w:rPr>
          <w:rFonts w:hint="eastAsia" w:ascii="宋体" w:hAnsi="宋体"/>
          <w:color w:val="auto"/>
          <w:szCs w:val="21"/>
          <w:highlight w:val="none"/>
        </w:rPr>
        <w:t>监理的范围：</w:t>
      </w:r>
      <w:r>
        <w:rPr>
          <w:rFonts w:hint="eastAsia" w:ascii="宋体" w:hAnsi="宋体"/>
          <w:color w:val="auto"/>
          <w:szCs w:val="21"/>
          <w:highlight w:val="none"/>
          <w:u w:val="single"/>
        </w:rPr>
        <w:t>EPC总承包工程项目的前期准备、施工、调试、验收、消缺等全过程监理</w:t>
      </w:r>
      <w:r>
        <w:rPr>
          <w:rFonts w:hint="eastAsia" w:ascii="宋体" w:hAnsi="宋体"/>
          <w:color w:val="auto"/>
          <w:szCs w:val="21"/>
          <w:highlight w:val="none"/>
        </w:rPr>
        <w:t>；</w:t>
      </w:r>
    </w:p>
    <w:p w14:paraId="0A529259">
      <w:pPr>
        <w:keepNext w:val="0"/>
        <w:keepLines w:val="0"/>
        <w:pageBreakBefore w:val="0"/>
        <w:wordWrap/>
        <w:overflowPunct/>
        <w:topLinePunct w:val="0"/>
        <w:bidi w:val="0"/>
        <w:snapToGrid w:val="0"/>
        <w:spacing w:line="360" w:lineRule="auto"/>
        <w:ind w:left="0" w:leftChars="0" w:firstLine="0" w:firstLineChars="0"/>
        <w:textAlignment w:val="auto"/>
        <w:rPr>
          <w:rFonts w:ascii="宋体" w:hAnsi="宋体"/>
          <w:color w:val="auto"/>
          <w:szCs w:val="21"/>
          <w:highlight w:val="none"/>
        </w:rPr>
      </w:pPr>
      <w:r>
        <w:rPr>
          <w:rFonts w:hint="eastAsia" w:ascii="宋体" w:hAnsi="宋体"/>
          <w:color w:val="auto"/>
          <w:szCs w:val="21"/>
          <w:highlight w:val="none"/>
        </w:rPr>
        <w:t>监理的内容：</w:t>
      </w:r>
      <w:r>
        <w:rPr>
          <w:rFonts w:hint="eastAsia" w:ascii="宋体" w:hAnsi="宋体"/>
          <w:color w:val="auto"/>
          <w:szCs w:val="21"/>
          <w:highlight w:val="none"/>
          <w:u w:val="single"/>
        </w:rPr>
        <w:t>详见发包人与监理单位签订的监理合同</w:t>
      </w:r>
      <w:r>
        <w:rPr>
          <w:rFonts w:hint="eastAsia" w:ascii="宋体" w:hAnsi="宋体"/>
          <w:color w:val="auto"/>
          <w:szCs w:val="21"/>
          <w:highlight w:val="none"/>
        </w:rPr>
        <w:t>；</w:t>
      </w:r>
    </w:p>
    <w:p w14:paraId="3E665634">
      <w:pPr>
        <w:keepNext w:val="0"/>
        <w:keepLines w:val="0"/>
        <w:pageBreakBefore w:val="0"/>
        <w:wordWrap/>
        <w:overflowPunct/>
        <w:topLinePunct w:val="0"/>
        <w:bidi w:val="0"/>
        <w:snapToGrid w:val="0"/>
        <w:spacing w:line="360" w:lineRule="auto"/>
        <w:ind w:left="0" w:leftChars="0" w:firstLine="0" w:firstLineChars="0"/>
        <w:textAlignment w:val="auto"/>
        <w:rPr>
          <w:rFonts w:ascii="宋体" w:hAnsi="宋体"/>
          <w:color w:val="auto"/>
          <w:szCs w:val="21"/>
          <w:highlight w:val="none"/>
        </w:rPr>
      </w:pPr>
      <w:r>
        <w:rPr>
          <w:rFonts w:hint="eastAsia" w:ascii="宋体" w:hAnsi="宋体"/>
          <w:color w:val="auto"/>
          <w:szCs w:val="21"/>
          <w:highlight w:val="none"/>
        </w:rPr>
        <w:t>监理的职权：</w:t>
      </w:r>
      <w:r>
        <w:rPr>
          <w:rFonts w:hint="eastAsia" w:ascii="宋体" w:hAnsi="宋体"/>
          <w:color w:val="auto"/>
          <w:szCs w:val="21"/>
          <w:highlight w:val="none"/>
          <w:u w:val="single"/>
        </w:rPr>
        <w:t>设备材料进场检验，来料进场后进行质量、型号的确认，隐蔽工程验收等</w:t>
      </w:r>
      <w:r>
        <w:rPr>
          <w:rFonts w:hint="eastAsia" w:ascii="宋体" w:hAnsi="宋体"/>
          <w:color w:val="auto"/>
          <w:szCs w:val="21"/>
          <w:highlight w:val="none"/>
        </w:rPr>
        <w:t>；</w:t>
      </w:r>
    </w:p>
    <w:p w14:paraId="433D2832">
      <w:pPr>
        <w:keepNext w:val="0"/>
        <w:keepLines w:val="0"/>
        <w:pageBreakBefore w:val="0"/>
        <w:wordWrap/>
        <w:overflowPunct/>
        <w:topLinePunct w:val="0"/>
        <w:bidi w:val="0"/>
        <w:snapToGrid w:val="0"/>
        <w:spacing w:line="360" w:lineRule="auto"/>
        <w:ind w:left="0" w:leftChars="0" w:firstLine="0" w:firstLineChars="0"/>
        <w:textAlignment w:val="auto"/>
        <w:rPr>
          <w:rFonts w:ascii="宋体" w:hAnsi="宋体"/>
          <w:color w:val="auto"/>
          <w:szCs w:val="21"/>
          <w:highlight w:val="none"/>
        </w:rPr>
      </w:pPr>
      <w:r>
        <w:rPr>
          <w:rFonts w:hint="eastAsia" w:ascii="宋体" w:hAnsi="宋体"/>
          <w:color w:val="auto"/>
          <w:szCs w:val="21"/>
          <w:highlight w:val="none"/>
        </w:rPr>
        <w:t>监理的权限：</w:t>
      </w:r>
      <w:r>
        <w:rPr>
          <w:rFonts w:hint="eastAsia" w:ascii="宋体" w:hAnsi="宋体"/>
          <w:color w:val="auto"/>
          <w:szCs w:val="21"/>
          <w:highlight w:val="none"/>
          <w:u w:val="single"/>
        </w:rPr>
        <w:t xml:space="preserve">详见发包人与监理单位签订的监理合同 </w:t>
      </w:r>
      <w:r>
        <w:rPr>
          <w:rFonts w:hint="eastAsia" w:ascii="宋体" w:hAnsi="宋体"/>
          <w:color w:val="auto"/>
          <w:szCs w:val="21"/>
          <w:highlight w:val="none"/>
        </w:rPr>
        <w:t>。</w:t>
      </w:r>
    </w:p>
    <w:p w14:paraId="4550FEF6">
      <w:pPr>
        <w:keepNext w:val="0"/>
        <w:keepLines w:val="0"/>
        <w:pageBreakBefore w:val="0"/>
        <w:wordWrap/>
        <w:overflowPunct/>
        <w:topLinePunct w:val="0"/>
        <w:bidi w:val="0"/>
        <w:snapToGrid w:val="0"/>
        <w:spacing w:line="360" w:lineRule="auto"/>
        <w:ind w:left="0" w:leftChars="0" w:firstLine="0" w:firstLineChars="0"/>
        <w:textAlignment w:val="auto"/>
        <w:rPr>
          <w:rFonts w:ascii="宋体" w:hAnsi="宋体"/>
          <w:b/>
          <w:color w:val="auto"/>
          <w:szCs w:val="21"/>
          <w:highlight w:val="none"/>
        </w:rPr>
      </w:pPr>
      <w:bookmarkStart w:id="237" w:name="_Toc363719016"/>
      <w:r>
        <w:rPr>
          <w:rFonts w:hint="eastAsia" w:ascii="宋体" w:hAnsi="宋体"/>
          <w:b/>
          <w:color w:val="auto"/>
          <w:szCs w:val="21"/>
          <w:highlight w:val="none"/>
        </w:rPr>
        <w:t>第</w:t>
      </w:r>
      <w:r>
        <w:rPr>
          <w:rFonts w:ascii="宋体" w:hAnsi="宋体"/>
          <w:b/>
          <w:color w:val="auto"/>
          <w:szCs w:val="21"/>
          <w:highlight w:val="none"/>
        </w:rPr>
        <w:t>3</w:t>
      </w:r>
      <w:r>
        <w:rPr>
          <w:rFonts w:hint="eastAsia" w:ascii="宋体" w:hAnsi="宋体"/>
          <w:b/>
          <w:color w:val="auto"/>
          <w:szCs w:val="21"/>
          <w:highlight w:val="none"/>
        </w:rPr>
        <w:t>条</w:t>
      </w:r>
      <w:r>
        <w:rPr>
          <w:rFonts w:hint="eastAsia" w:ascii="宋体" w:hAnsi="宋体"/>
          <w:b/>
          <w:color w:val="auto"/>
          <w:szCs w:val="21"/>
          <w:highlight w:val="none"/>
        </w:rPr>
        <w:tab/>
      </w:r>
      <w:r>
        <w:rPr>
          <w:rFonts w:hint="eastAsia" w:ascii="宋体" w:hAnsi="宋体"/>
          <w:b/>
          <w:color w:val="auto"/>
          <w:szCs w:val="21"/>
          <w:highlight w:val="none"/>
        </w:rPr>
        <w:t>承包人</w:t>
      </w:r>
      <w:bookmarkEnd w:id="237"/>
    </w:p>
    <w:p w14:paraId="6EA0B96A">
      <w:pPr>
        <w:keepNext w:val="0"/>
        <w:keepLines w:val="0"/>
        <w:pageBreakBefore w:val="0"/>
        <w:wordWrap/>
        <w:overflowPunct/>
        <w:topLinePunct w:val="0"/>
        <w:bidi w:val="0"/>
        <w:snapToGrid w:val="0"/>
        <w:spacing w:line="360" w:lineRule="auto"/>
        <w:ind w:left="0" w:leftChars="0" w:firstLine="0" w:firstLineChars="0"/>
        <w:textAlignment w:val="auto"/>
        <w:outlineLvl w:val="3"/>
        <w:rPr>
          <w:rFonts w:ascii="宋体" w:hAnsi="宋体"/>
          <w:color w:val="auto"/>
          <w:szCs w:val="21"/>
          <w:highlight w:val="none"/>
        </w:rPr>
      </w:pPr>
      <w:bookmarkStart w:id="238" w:name="_Toc76720027"/>
      <w:r>
        <w:rPr>
          <w:rFonts w:hint="eastAsia" w:ascii="宋体" w:hAnsi="宋体"/>
          <w:color w:val="auto"/>
          <w:szCs w:val="21"/>
          <w:highlight w:val="none"/>
        </w:rPr>
        <w:t>3.1  承包人的义务和权利</w:t>
      </w:r>
      <w:bookmarkEnd w:id="238"/>
    </w:p>
    <w:p w14:paraId="69F7FDC3">
      <w:pPr>
        <w:keepNext w:val="0"/>
        <w:keepLines w:val="0"/>
        <w:pageBreakBefore w:val="0"/>
        <w:wordWrap/>
        <w:overflowPunct/>
        <w:topLinePunct w:val="0"/>
        <w:bidi w:val="0"/>
        <w:snapToGrid w:val="0"/>
        <w:spacing w:line="360" w:lineRule="auto"/>
        <w:ind w:left="0" w:leftChars="0" w:firstLine="0" w:firstLineChars="0"/>
        <w:textAlignment w:val="auto"/>
        <w:rPr>
          <w:rFonts w:ascii="宋体" w:hAnsi="宋体"/>
          <w:color w:val="auto"/>
          <w:szCs w:val="21"/>
          <w:highlight w:val="none"/>
        </w:rPr>
      </w:pPr>
      <w:r>
        <w:rPr>
          <w:rFonts w:hint="eastAsia" w:ascii="宋体" w:hAnsi="宋体"/>
          <w:color w:val="auto"/>
          <w:szCs w:val="21"/>
          <w:highlight w:val="none"/>
        </w:rPr>
        <w:t>3.1.1 承包人的其他义务和权利：</w:t>
      </w:r>
      <w:r>
        <w:rPr>
          <w:rFonts w:hint="eastAsia" w:ascii="宋体" w:hAnsi="宋体"/>
          <w:color w:val="auto"/>
          <w:szCs w:val="21"/>
          <w:highlight w:val="none"/>
          <w:u w:val="single"/>
        </w:rPr>
        <w:t>无</w:t>
      </w:r>
      <w:r>
        <w:rPr>
          <w:rFonts w:hint="eastAsia" w:ascii="宋体" w:hAnsi="宋体"/>
          <w:color w:val="auto"/>
          <w:szCs w:val="21"/>
          <w:highlight w:val="none"/>
        </w:rPr>
        <w:t>；</w:t>
      </w:r>
    </w:p>
    <w:p w14:paraId="5D7388C6">
      <w:pPr>
        <w:keepNext w:val="0"/>
        <w:keepLines w:val="0"/>
        <w:pageBreakBefore w:val="0"/>
        <w:wordWrap/>
        <w:overflowPunct/>
        <w:topLinePunct w:val="0"/>
        <w:bidi w:val="0"/>
        <w:snapToGrid w:val="0"/>
        <w:spacing w:line="360" w:lineRule="auto"/>
        <w:ind w:left="0" w:leftChars="0" w:firstLine="0" w:firstLineChars="0"/>
        <w:textAlignment w:val="auto"/>
        <w:outlineLvl w:val="3"/>
        <w:rPr>
          <w:rFonts w:ascii="宋体" w:hAnsi="宋体"/>
          <w:color w:val="auto"/>
          <w:szCs w:val="21"/>
          <w:highlight w:val="none"/>
        </w:rPr>
      </w:pPr>
      <w:bookmarkStart w:id="239" w:name="_Toc76720028"/>
      <w:r>
        <w:rPr>
          <w:rFonts w:hint="eastAsia" w:ascii="宋体" w:hAnsi="宋体"/>
          <w:color w:val="auto"/>
          <w:szCs w:val="21"/>
          <w:highlight w:val="none"/>
        </w:rPr>
        <w:t>3.2  工程总承包项目经理（即：本项目的项目负责人）</w:t>
      </w:r>
      <w:bookmarkEnd w:id="239"/>
    </w:p>
    <w:p w14:paraId="0782F919">
      <w:pPr>
        <w:keepNext w:val="0"/>
        <w:keepLines w:val="0"/>
        <w:pageBreakBefore w:val="0"/>
        <w:wordWrap/>
        <w:overflowPunct/>
        <w:topLinePunct w:val="0"/>
        <w:bidi w:val="0"/>
        <w:snapToGrid w:val="0"/>
        <w:spacing w:line="360" w:lineRule="auto"/>
        <w:ind w:left="0" w:leftChars="0" w:firstLine="0" w:firstLineChars="0"/>
        <w:textAlignment w:val="auto"/>
        <w:rPr>
          <w:rFonts w:ascii="宋体" w:hAnsi="宋体"/>
          <w:color w:val="auto"/>
          <w:szCs w:val="21"/>
          <w:highlight w:val="none"/>
        </w:rPr>
      </w:pPr>
      <w:r>
        <w:rPr>
          <w:rFonts w:hint="eastAsia" w:ascii="宋体" w:hAnsi="宋体"/>
          <w:color w:val="auto"/>
          <w:szCs w:val="21"/>
          <w:highlight w:val="none"/>
        </w:rPr>
        <w:t>3.2.1  工程总承包项目经理姓名：</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79BB4408">
      <w:pPr>
        <w:keepNext w:val="0"/>
        <w:keepLines w:val="0"/>
        <w:pageBreakBefore w:val="0"/>
        <w:wordWrap/>
        <w:overflowPunct/>
        <w:topLinePunct w:val="0"/>
        <w:bidi w:val="0"/>
        <w:snapToGrid w:val="0"/>
        <w:spacing w:line="360" w:lineRule="auto"/>
        <w:ind w:left="0" w:leftChars="0" w:firstLine="0" w:firstLineChars="0"/>
        <w:textAlignment w:val="auto"/>
        <w:rPr>
          <w:rFonts w:ascii="宋体" w:hAnsi="宋体"/>
          <w:color w:val="auto"/>
          <w:szCs w:val="21"/>
          <w:highlight w:val="none"/>
          <w:u w:val="single"/>
        </w:rPr>
      </w:pPr>
      <w:r>
        <w:rPr>
          <w:rFonts w:hint="eastAsia" w:ascii="宋体" w:hAnsi="宋体"/>
          <w:color w:val="auto"/>
          <w:szCs w:val="21"/>
          <w:highlight w:val="none"/>
        </w:rPr>
        <w:t>工程总承包项目经理职责：</w:t>
      </w:r>
      <w:r>
        <w:rPr>
          <w:rFonts w:hint="eastAsia" w:ascii="宋体" w:hAnsi="宋体"/>
          <w:color w:val="auto"/>
          <w:szCs w:val="21"/>
          <w:highlight w:val="none"/>
          <w:u w:val="single"/>
        </w:rPr>
        <w:t xml:space="preserve">履行本合同约定的职责 </w:t>
      </w:r>
      <w:r>
        <w:rPr>
          <w:rFonts w:hint="eastAsia" w:ascii="宋体" w:hAnsi="宋体"/>
          <w:color w:val="auto"/>
          <w:szCs w:val="21"/>
          <w:highlight w:val="none"/>
        </w:rPr>
        <w:t>；</w:t>
      </w:r>
    </w:p>
    <w:p w14:paraId="39D4A2DD">
      <w:pPr>
        <w:keepNext w:val="0"/>
        <w:keepLines w:val="0"/>
        <w:pageBreakBefore w:val="0"/>
        <w:wordWrap/>
        <w:overflowPunct/>
        <w:topLinePunct w:val="0"/>
        <w:bidi w:val="0"/>
        <w:snapToGrid w:val="0"/>
        <w:spacing w:line="360" w:lineRule="auto"/>
        <w:ind w:left="0" w:leftChars="0" w:firstLine="0" w:firstLineChars="0"/>
        <w:textAlignment w:val="auto"/>
        <w:rPr>
          <w:rFonts w:ascii="宋体" w:hAnsi="宋体"/>
          <w:color w:val="auto"/>
          <w:szCs w:val="21"/>
          <w:highlight w:val="none"/>
        </w:rPr>
      </w:pPr>
      <w:r>
        <w:rPr>
          <w:rFonts w:hint="eastAsia" w:ascii="宋体" w:hAnsi="宋体"/>
          <w:color w:val="auto"/>
          <w:szCs w:val="21"/>
          <w:highlight w:val="none"/>
        </w:rPr>
        <w:t>工程总承包项目经理权限：</w:t>
      </w:r>
      <w:r>
        <w:rPr>
          <w:rFonts w:hint="eastAsia" w:ascii="宋体" w:hAnsi="宋体"/>
          <w:color w:val="auto"/>
          <w:szCs w:val="21"/>
          <w:highlight w:val="none"/>
          <w:u w:val="single"/>
        </w:rPr>
        <w:t>根据承包人法定代表人的授权，全面履行合同约定的全部工作</w:t>
      </w:r>
      <w:r>
        <w:rPr>
          <w:rFonts w:hint="eastAsia" w:ascii="宋体" w:hAnsi="宋体"/>
          <w:color w:val="auto"/>
          <w:szCs w:val="21"/>
          <w:highlight w:val="none"/>
        </w:rPr>
        <w:t>；</w:t>
      </w:r>
    </w:p>
    <w:p w14:paraId="4CD669D3">
      <w:pPr>
        <w:keepNext w:val="0"/>
        <w:keepLines w:val="0"/>
        <w:pageBreakBefore w:val="0"/>
        <w:wordWrap/>
        <w:overflowPunct/>
        <w:topLinePunct w:val="0"/>
        <w:bidi w:val="0"/>
        <w:spacing w:line="360" w:lineRule="auto"/>
        <w:ind w:left="0" w:leftChars="0" w:firstLine="0" w:firstLineChars="0"/>
        <w:textAlignment w:val="auto"/>
        <w:rPr>
          <w:rFonts w:ascii="宋体" w:hAnsi="宋体" w:cs="宋体"/>
          <w:color w:val="auto"/>
          <w:sz w:val="24"/>
          <w:highlight w:val="none"/>
        </w:rPr>
      </w:pPr>
      <w:r>
        <w:rPr>
          <w:rFonts w:hint="eastAsia" w:ascii="宋体" w:hAnsi="宋体" w:cs="宋体"/>
          <w:color w:val="auto"/>
          <w:szCs w:val="21"/>
          <w:highlight w:val="none"/>
          <w:lang w:eastAsia="zh-CN"/>
        </w:rPr>
        <w:t>工程总承包</w:t>
      </w:r>
      <w:r>
        <w:rPr>
          <w:rFonts w:hint="eastAsia" w:ascii="宋体" w:hAnsi="宋体" w:cs="宋体"/>
          <w:color w:val="auto"/>
          <w:szCs w:val="21"/>
          <w:highlight w:val="none"/>
        </w:rPr>
        <w:t>项目经理未经批准擅自离开施工现场的违约责任：</w:t>
      </w:r>
      <w:r>
        <w:rPr>
          <w:rFonts w:hint="eastAsia" w:ascii="宋体" w:hAnsi="宋体"/>
          <w:color w:val="auto"/>
          <w:szCs w:val="21"/>
          <w:highlight w:val="none"/>
          <w:u w:val="single"/>
        </w:rPr>
        <w:t>收取违约金</w:t>
      </w:r>
      <w:r>
        <w:rPr>
          <w:rFonts w:hint="eastAsia" w:ascii="宋体" w:hAnsi="宋体"/>
          <w:color w:val="auto"/>
          <w:szCs w:val="21"/>
          <w:highlight w:val="none"/>
          <w:u w:val="single"/>
          <w:lang w:val="en-US" w:eastAsia="zh-CN"/>
        </w:rPr>
        <w:t>1</w:t>
      </w:r>
      <w:r>
        <w:rPr>
          <w:rFonts w:hint="eastAsia" w:ascii="宋体" w:hAnsi="宋体"/>
          <w:color w:val="auto"/>
          <w:szCs w:val="21"/>
          <w:highlight w:val="none"/>
          <w:u w:val="single"/>
        </w:rPr>
        <w:t>000元/次（指不在现场且电话通知1个小时内未到场）。</w:t>
      </w:r>
    </w:p>
    <w:p w14:paraId="65443455">
      <w:pPr>
        <w:keepNext w:val="0"/>
        <w:keepLines w:val="0"/>
        <w:pageBreakBefore w:val="0"/>
        <w:wordWrap/>
        <w:overflowPunct/>
        <w:topLinePunct w:val="0"/>
        <w:bidi w:val="0"/>
        <w:snapToGrid w:val="0"/>
        <w:spacing w:line="360" w:lineRule="auto"/>
        <w:ind w:left="0" w:leftChars="0" w:firstLine="0" w:firstLineChars="0"/>
        <w:textAlignment w:val="auto"/>
        <w:rPr>
          <w:rFonts w:ascii="宋体" w:hAnsi="宋体"/>
          <w:color w:val="auto"/>
          <w:szCs w:val="21"/>
          <w:highlight w:val="none"/>
          <w:u w:val="single"/>
        </w:rPr>
      </w:pPr>
      <w:r>
        <w:rPr>
          <w:rFonts w:hint="eastAsia" w:ascii="宋体" w:hAnsi="宋体"/>
          <w:color w:val="auto"/>
          <w:szCs w:val="21"/>
          <w:highlight w:val="none"/>
        </w:rPr>
        <w:t>未经发包人同意，承包人擅自更换工程总承包项目经理或工程总承包项目经理兼职其他项目经理的违约约定：</w:t>
      </w:r>
      <w:r>
        <w:rPr>
          <w:rFonts w:hint="eastAsia" w:ascii="宋体" w:hAnsi="宋体"/>
          <w:color w:val="auto"/>
          <w:szCs w:val="21"/>
          <w:highlight w:val="none"/>
          <w:u w:val="single"/>
        </w:rPr>
        <w:t>收取</w:t>
      </w:r>
      <w:r>
        <w:rPr>
          <w:rFonts w:hint="eastAsia" w:ascii="宋体" w:hAnsi="宋体"/>
          <w:bCs/>
          <w:color w:val="auto"/>
          <w:szCs w:val="21"/>
          <w:highlight w:val="none"/>
          <w:u w:val="single"/>
        </w:rPr>
        <w:t>违约金5万元，</w:t>
      </w:r>
      <w:r>
        <w:rPr>
          <w:rFonts w:hint="eastAsia" w:ascii="宋体" w:hAnsi="宋体"/>
          <w:color w:val="auto"/>
          <w:szCs w:val="21"/>
          <w:highlight w:val="none"/>
          <w:u w:val="single"/>
        </w:rPr>
        <w:t>并按发包人要求修正。</w:t>
      </w:r>
    </w:p>
    <w:p w14:paraId="11D8FFB1">
      <w:pPr>
        <w:pStyle w:val="2"/>
        <w:keepNext w:val="0"/>
        <w:keepLines w:val="0"/>
        <w:pageBreakBefore w:val="0"/>
        <w:wordWrap/>
        <w:overflowPunct/>
        <w:topLinePunct w:val="0"/>
        <w:bidi w:val="0"/>
        <w:spacing w:line="360" w:lineRule="auto"/>
        <w:ind w:left="0" w:leftChars="0" w:firstLine="0" w:firstLineChars="0"/>
        <w:textAlignment w:val="auto"/>
        <w:rPr>
          <w:rFonts w:hint="eastAsia" w:ascii="宋体" w:hAnsi="宋体" w:cs="宋体"/>
          <w:color w:val="auto"/>
          <w:szCs w:val="21"/>
          <w:highlight w:val="none"/>
        </w:rPr>
      </w:pPr>
      <w:r>
        <w:rPr>
          <w:rFonts w:hint="eastAsia" w:ascii="宋体" w:hAnsi="宋体"/>
          <w:color w:val="auto"/>
          <w:szCs w:val="21"/>
          <w:highlight w:val="none"/>
        </w:rPr>
        <w:t>承包人无正当理由拒绝更换工程总承包项目经理的违约责任</w:t>
      </w:r>
      <w:r>
        <w:rPr>
          <w:rFonts w:hint="eastAsia" w:ascii="宋体" w:hAnsi="宋体"/>
          <w:color w:val="auto"/>
          <w:szCs w:val="21"/>
          <w:highlight w:val="none"/>
          <w:lang w:eastAsia="zh-CN"/>
        </w:rPr>
        <w:t>：</w:t>
      </w:r>
      <w:r>
        <w:rPr>
          <w:rFonts w:hint="eastAsia" w:ascii="宋体" w:hAnsi="宋体" w:cs="宋体"/>
          <w:color w:val="auto"/>
          <w:szCs w:val="21"/>
          <w:highlight w:val="none"/>
          <w:u w:val="single"/>
        </w:rPr>
        <w:t>发包人有权要求承包人停工，并按10万/人/次收取违约金；承包人更换项目经理后，仍不能正常履行职责的发包人有权终止合同，并收取违约金10万元，对承包人验收合格的工程部分据实结算。承包人应于合同终止后5个工作日内退出施工现场，由此造成的一切损失均由承包人承担</w:t>
      </w:r>
      <w:r>
        <w:rPr>
          <w:rFonts w:hint="eastAsia" w:ascii="宋体" w:hAnsi="宋体" w:cs="宋体"/>
          <w:color w:val="auto"/>
          <w:szCs w:val="21"/>
          <w:highlight w:val="none"/>
        </w:rPr>
        <w:t>。</w:t>
      </w:r>
    </w:p>
    <w:p w14:paraId="416A6D88">
      <w:pPr>
        <w:spacing w:line="360" w:lineRule="auto"/>
        <w:rPr>
          <w:rFonts w:hint="default" w:eastAsia="宋体"/>
          <w:color w:val="auto"/>
          <w:highlight w:val="none"/>
          <w:lang w:val="en-US" w:eastAsia="zh-CN"/>
        </w:rPr>
      </w:pPr>
      <w:r>
        <w:rPr>
          <w:rFonts w:hint="eastAsia" w:ascii="宋体" w:hAnsi="宋体" w:cs="宋体"/>
          <w:color w:val="auto"/>
          <w:szCs w:val="21"/>
          <w:highlight w:val="none"/>
          <w:lang w:val="en-US" w:eastAsia="zh-CN"/>
        </w:rPr>
        <w:t>3.2.2承包人组建管理人员项目部的主要施工管理人员和技术人员的最低要求详见合同附件9《承包人主要管理人员和技术人员最低要求》。</w:t>
      </w:r>
    </w:p>
    <w:p w14:paraId="6EB9145E">
      <w:pPr>
        <w:keepNext w:val="0"/>
        <w:keepLines w:val="0"/>
        <w:pageBreakBefore w:val="0"/>
        <w:wordWrap/>
        <w:overflowPunct/>
        <w:topLinePunct w:val="0"/>
        <w:bidi w:val="0"/>
        <w:snapToGrid w:val="0"/>
        <w:spacing w:line="360" w:lineRule="auto"/>
        <w:ind w:left="0" w:leftChars="0" w:firstLine="0" w:firstLineChars="0"/>
        <w:textAlignment w:val="auto"/>
        <w:outlineLvl w:val="3"/>
        <w:rPr>
          <w:rFonts w:ascii="宋体" w:hAnsi="宋体"/>
          <w:color w:val="auto"/>
          <w:szCs w:val="21"/>
          <w:highlight w:val="none"/>
        </w:rPr>
      </w:pPr>
      <w:bookmarkStart w:id="240" w:name="_Toc76720029"/>
      <w:r>
        <w:rPr>
          <w:rFonts w:hint="eastAsia" w:ascii="宋体" w:hAnsi="宋体"/>
          <w:color w:val="auto"/>
          <w:szCs w:val="21"/>
          <w:highlight w:val="none"/>
        </w:rPr>
        <w:t>3.</w:t>
      </w:r>
      <w:r>
        <w:rPr>
          <w:rFonts w:hint="eastAsia" w:ascii="宋体" w:hAnsi="宋体"/>
          <w:color w:val="auto"/>
          <w:szCs w:val="21"/>
          <w:highlight w:val="none"/>
          <w:lang w:val="en-US" w:eastAsia="zh-CN"/>
        </w:rPr>
        <w:t>3</w:t>
      </w:r>
      <w:r>
        <w:rPr>
          <w:rFonts w:hint="eastAsia" w:ascii="宋体" w:hAnsi="宋体"/>
          <w:color w:val="auto"/>
          <w:szCs w:val="21"/>
          <w:highlight w:val="none"/>
        </w:rPr>
        <w:t xml:space="preserve"> 分包</w:t>
      </w:r>
      <w:bookmarkEnd w:id="240"/>
    </w:p>
    <w:p w14:paraId="0F271D1A">
      <w:pPr>
        <w:keepNext w:val="0"/>
        <w:keepLines w:val="0"/>
        <w:pageBreakBefore w:val="0"/>
        <w:wordWrap/>
        <w:overflowPunct/>
        <w:topLinePunct w:val="0"/>
        <w:bidi w:val="0"/>
        <w:snapToGrid w:val="0"/>
        <w:spacing w:line="360" w:lineRule="auto"/>
        <w:ind w:left="0" w:leftChars="0" w:firstLine="0" w:firstLineChars="0"/>
        <w:textAlignment w:val="auto"/>
        <w:rPr>
          <w:rFonts w:ascii="宋体" w:hAnsi="宋体"/>
          <w:color w:val="auto"/>
          <w:szCs w:val="21"/>
          <w:highlight w:val="none"/>
        </w:rPr>
      </w:pPr>
      <w:r>
        <w:rPr>
          <w:rFonts w:hint="eastAsia" w:ascii="宋体" w:hAnsi="宋体"/>
          <w:color w:val="auto"/>
          <w:szCs w:val="21"/>
          <w:highlight w:val="none"/>
        </w:rPr>
        <w:t>3.</w:t>
      </w:r>
      <w:r>
        <w:rPr>
          <w:rFonts w:hint="eastAsia" w:ascii="宋体" w:hAnsi="宋体"/>
          <w:color w:val="auto"/>
          <w:szCs w:val="21"/>
          <w:highlight w:val="none"/>
          <w:lang w:val="en-US" w:eastAsia="zh-CN"/>
        </w:rPr>
        <w:t>3</w:t>
      </w:r>
      <w:r>
        <w:rPr>
          <w:rFonts w:hint="eastAsia" w:ascii="宋体" w:hAnsi="宋体"/>
          <w:color w:val="auto"/>
          <w:szCs w:val="21"/>
          <w:highlight w:val="none"/>
        </w:rPr>
        <w:t>.1 分包约定</w:t>
      </w:r>
    </w:p>
    <w:p w14:paraId="702C0540">
      <w:pPr>
        <w:pStyle w:val="2"/>
        <w:keepNext w:val="0"/>
        <w:keepLines w:val="0"/>
        <w:pageBreakBefore w:val="0"/>
        <w:wordWrap/>
        <w:overflowPunct/>
        <w:topLinePunct w:val="0"/>
        <w:bidi w:val="0"/>
        <w:spacing w:line="360" w:lineRule="auto"/>
        <w:ind w:left="0" w:leftChars="0" w:firstLine="0" w:firstLineChars="0"/>
        <w:textAlignment w:val="auto"/>
        <w:rPr>
          <w:rFonts w:hint="eastAsia" w:ascii="宋体" w:hAnsi="宋体"/>
          <w:color w:val="auto"/>
          <w:szCs w:val="21"/>
          <w:highlight w:val="none"/>
        </w:rPr>
      </w:pPr>
      <w:r>
        <w:rPr>
          <w:rFonts w:hint="eastAsia" w:ascii="宋体" w:hAnsi="宋体"/>
          <w:color w:val="auto"/>
          <w:szCs w:val="21"/>
          <w:highlight w:val="none"/>
        </w:rPr>
        <w:t>允许分包的工程包括：</w:t>
      </w:r>
      <w:r>
        <w:rPr>
          <w:rFonts w:hint="eastAsia" w:ascii="宋体" w:hAnsi="宋体"/>
          <w:color w:val="auto"/>
          <w:szCs w:val="21"/>
          <w:highlight w:val="none"/>
          <w:u w:val="single"/>
        </w:rPr>
        <w:t xml:space="preserve"> 除主体结构、关键性工作或者适合专业化队伍的专业工作或者劳务分包。分包须不违反相关法律法规，并须经监理单位、发包人同意 </w:t>
      </w:r>
      <w:r>
        <w:rPr>
          <w:rFonts w:hint="eastAsia" w:ascii="宋体" w:hAnsi="宋体"/>
          <w:color w:val="auto"/>
          <w:szCs w:val="21"/>
          <w:highlight w:val="none"/>
        </w:rPr>
        <w:t xml:space="preserve"> 。</w:t>
      </w:r>
    </w:p>
    <w:p w14:paraId="2B9578B4">
      <w:pPr>
        <w:pStyle w:val="2"/>
        <w:keepNext w:val="0"/>
        <w:keepLines w:val="0"/>
        <w:pageBreakBefore w:val="0"/>
        <w:wordWrap/>
        <w:overflowPunct/>
        <w:topLinePunct w:val="0"/>
        <w:bidi w:val="0"/>
        <w:spacing w:line="360" w:lineRule="auto"/>
        <w:ind w:left="0" w:leftChars="0" w:firstLine="0" w:firstLineChars="0"/>
        <w:textAlignment w:val="auto"/>
        <w:rPr>
          <w:rFonts w:ascii="宋体" w:hAnsi="宋体"/>
          <w:color w:val="auto"/>
          <w:szCs w:val="21"/>
          <w:highlight w:val="none"/>
        </w:rPr>
      </w:pPr>
      <w:r>
        <w:rPr>
          <w:rFonts w:hint="eastAsia" w:ascii="宋体" w:hAnsi="宋体"/>
          <w:color w:val="auto"/>
          <w:szCs w:val="21"/>
          <w:highlight w:val="none"/>
        </w:rPr>
        <w:t>其他关于分包的约定：</w:t>
      </w:r>
      <w:r>
        <w:rPr>
          <w:rFonts w:hint="eastAsia" w:ascii="宋体" w:hAnsi="宋体"/>
          <w:color w:val="auto"/>
          <w:szCs w:val="21"/>
          <w:highlight w:val="none"/>
          <w:u w:val="single"/>
        </w:rPr>
        <w:t xml:space="preserve">  接受分包的第三人资质要求：分包单位的资格能力应与分包工程（或工作）的标准和规模相适应，且符合国家法律法规相关规定  </w:t>
      </w:r>
      <w:r>
        <w:rPr>
          <w:rFonts w:hint="eastAsia" w:ascii="宋体" w:hAnsi="宋体"/>
          <w:color w:val="auto"/>
          <w:szCs w:val="21"/>
          <w:highlight w:val="none"/>
        </w:rPr>
        <w:t>。</w:t>
      </w:r>
    </w:p>
    <w:p w14:paraId="49506851">
      <w:pPr>
        <w:pStyle w:val="2"/>
        <w:keepNext w:val="0"/>
        <w:keepLines w:val="0"/>
        <w:pageBreakBefore w:val="0"/>
        <w:wordWrap/>
        <w:overflowPunct/>
        <w:topLinePunct w:val="0"/>
        <w:bidi w:val="0"/>
        <w:spacing w:line="360" w:lineRule="auto"/>
        <w:ind w:left="0" w:leftChars="0" w:firstLine="0" w:firstLineChars="0"/>
        <w:textAlignment w:val="auto"/>
        <w:rPr>
          <w:rFonts w:ascii="宋体" w:hAnsi="宋体"/>
          <w:color w:val="auto"/>
          <w:szCs w:val="21"/>
          <w:highlight w:val="none"/>
        </w:rPr>
      </w:pPr>
    </w:p>
    <w:p w14:paraId="059D205F">
      <w:pPr>
        <w:keepNext w:val="0"/>
        <w:keepLines w:val="0"/>
        <w:pageBreakBefore w:val="0"/>
        <w:wordWrap/>
        <w:overflowPunct/>
        <w:topLinePunct w:val="0"/>
        <w:bidi w:val="0"/>
        <w:snapToGrid w:val="0"/>
        <w:spacing w:line="360" w:lineRule="auto"/>
        <w:ind w:left="0" w:leftChars="0" w:firstLine="0" w:firstLineChars="0"/>
        <w:textAlignment w:val="auto"/>
        <w:outlineLvl w:val="2"/>
        <w:rPr>
          <w:rFonts w:ascii="宋体" w:hAnsi="宋体"/>
          <w:b/>
          <w:color w:val="auto"/>
          <w:szCs w:val="21"/>
          <w:highlight w:val="none"/>
        </w:rPr>
      </w:pPr>
      <w:bookmarkStart w:id="241" w:name="_Toc80633174"/>
      <w:bookmarkStart w:id="242" w:name="_Toc76720033"/>
      <w:bookmarkStart w:id="243" w:name="_Toc363719017"/>
      <w:r>
        <w:rPr>
          <w:rFonts w:hint="eastAsia" w:ascii="宋体" w:hAnsi="宋体"/>
          <w:b/>
          <w:color w:val="auto"/>
          <w:szCs w:val="21"/>
          <w:highlight w:val="none"/>
        </w:rPr>
        <w:t>第4条</w:t>
      </w:r>
      <w:r>
        <w:rPr>
          <w:rFonts w:hint="eastAsia" w:ascii="宋体" w:hAnsi="宋体"/>
          <w:b/>
          <w:color w:val="auto"/>
          <w:szCs w:val="21"/>
          <w:highlight w:val="none"/>
        </w:rPr>
        <w:tab/>
      </w:r>
      <w:r>
        <w:rPr>
          <w:rFonts w:hint="eastAsia" w:ascii="宋体" w:hAnsi="宋体"/>
          <w:b/>
          <w:color w:val="auto"/>
          <w:szCs w:val="21"/>
          <w:highlight w:val="none"/>
        </w:rPr>
        <w:t>进度计划、延误和暂停</w:t>
      </w:r>
      <w:bookmarkEnd w:id="241"/>
      <w:bookmarkEnd w:id="242"/>
      <w:bookmarkEnd w:id="243"/>
    </w:p>
    <w:p w14:paraId="0504E68D">
      <w:pPr>
        <w:keepNext w:val="0"/>
        <w:keepLines w:val="0"/>
        <w:pageBreakBefore w:val="0"/>
        <w:wordWrap/>
        <w:overflowPunct/>
        <w:topLinePunct w:val="0"/>
        <w:bidi w:val="0"/>
        <w:snapToGrid w:val="0"/>
        <w:spacing w:line="360" w:lineRule="auto"/>
        <w:ind w:left="0" w:leftChars="0" w:firstLine="0" w:firstLineChars="0"/>
        <w:textAlignment w:val="auto"/>
        <w:outlineLvl w:val="3"/>
        <w:rPr>
          <w:rFonts w:ascii="宋体" w:hAnsi="宋体"/>
          <w:color w:val="auto"/>
          <w:szCs w:val="21"/>
          <w:highlight w:val="none"/>
        </w:rPr>
      </w:pPr>
      <w:bookmarkStart w:id="244" w:name="_Toc76720034"/>
      <w:r>
        <w:rPr>
          <w:rFonts w:hint="eastAsia" w:ascii="宋体" w:hAnsi="宋体"/>
          <w:color w:val="auto"/>
          <w:szCs w:val="21"/>
          <w:highlight w:val="none"/>
        </w:rPr>
        <w:t>4.1   项目进度计划</w:t>
      </w:r>
      <w:bookmarkEnd w:id="244"/>
    </w:p>
    <w:p w14:paraId="3623AE62">
      <w:pPr>
        <w:keepNext w:val="0"/>
        <w:keepLines w:val="0"/>
        <w:pageBreakBefore w:val="0"/>
        <w:wordWrap/>
        <w:overflowPunct/>
        <w:topLinePunct w:val="0"/>
        <w:bidi w:val="0"/>
        <w:snapToGrid w:val="0"/>
        <w:spacing w:line="360" w:lineRule="auto"/>
        <w:ind w:left="0" w:leftChars="0" w:firstLine="0" w:firstLineChars="0"/>
        <w:textAlignment w:val="auto"/>
        <w:rPr>
          <w:rFonts w:ascii="宋体" w:hAnsi="宋体"/>
          <w:color w:val="auto"/>
          <w:szCs w:val="21"/>
          <w:highlight w:val="none"/>
          <w:u w:val="single"/>
        </w:rPr>
      </w:pPr>
      <w:r>
        <w:rPr>
          <w:rFonts w:hint="eastAsia" w:ascii="宋体" w:hAnsi="宋体"/>
          <w:color w:val="auto"/>
          <w:szCs w:val="21"/>
          <w:highlight w:val="none"/>
        </w:rPr>
        <w:t>4.1.1  承包人提交项目进度计划的份数和时间：</w:t>
      </w:r>
      <w:r>
        <w:rPr>
          <w:rFonts w:hint="eastAsia" w:ascii="宋体" w:hAnsi="宋体"/>
          <w:color w:val="auto"/>
          <w:szCs w:val="21"/>
          <w:highlight w:val="none"/>
          <w:u w:val="single"/>
        </w:rPr>
        <w:t>合同生效后5个日</w:t>
      </w:r>
      <w:r>
        <w:rPr>
          <w:rFonts w:hint="eastAsia" w:ascii="宋体" w:hAnsi="宋体"/>
          <w:color w:val="auto"/>
          <w:szCs w:val="21"/>
          <w:highlight w:val="none"/>
          <w:u w:val="single"/>
          <w:lang w:eastAsia="zh-CN"/>
        </w:rPr>
        <w:t>历天</w:t>
      </w:r>
      <w:r>
        <w:rPr>
          <w:rFonts w:hint="eastAsia" w:ascii="宋体" w:hAnsi="宋体"/>
          <w:color w:val="auto"/>
          <w:szCs w:val="21"/>
          <w:highlight w:val="none"/>
          <w:u w:val="single"/>
        </w:rPr>
        <w:t>内提交2份。</w:t>
      </w:r>
    </w:p>
    <w:p w14:paraId="3BD8000E">
      <w:pPr>
        <w:keepNext w:val="0"/>
        <w:keepLines w:val="0"/>
        <w:pageBreakBefore w:val="0"/>
        <w:wordWrap/>
        <w:overflowPunct/>
        <w:topLinePunct w:val="0"/>
        <w:bidi w:val="0"/>
        <w:snapToGrid w:val="0"/>
        <w:spacing w:line="360" w:lineRule="auto"/>
        <w:ind w:left="0" w:leftChars="0" w:firstLine="0" w:firstLineChars="0"/>
        <w:textAlignment w:val="auto"/>
        <w:outlineLvl w:val="3"/>
        <w:rPr>
          <w:rFonts w:ascii="宋体" w:hAnsi="宋体"/>
          <w:color w:val="auto"/>
          <w:szCs w:val="21"/>
          <w:highlight w:val="none"/>
        </w:rPr>
      </w:pPr>
      <w:bookmarkStart w:id="245" w:name="_Toc76720035"/>
      <w:r>
        <w:rPr>
          <w:rFonts w:hint="eastAsia" w:ascii="宋体" w:hAnsi="宋体"/>
          <w:color w:val="auto"/>
          <w:szCs w:val="21"/>
          <w:highlight w:val="none"/>
        </w:rPr>
        <w:t>4.</w:t>
      </w:r>
      <w:r>
        <w:rPr>
          <w:rFonts w:hint="eastAsia" w:ascii="宋体" w:hAnsi="宋体"/>
          <w:color w:val="auto"/>
          <w:szCs w:val="21"/>
          <w:highlight w:val="none"/>
          <w:lang w:val="en-US" w:eastAsia="zh-CN"/>
        </w:rPr>
        <w:t>2</w:t>
      </w:r>
      <w:r>
        <w:rPr>
          <w:rFonts w:hint="eastAsia" w:ascii="宋体" w:hAnsi="宋体"/>
          <w:color w:val="auto"/>
          <w:szCs w:val="21"/>
          <w:highlight w:val="none"/>
        </w:rPr>
        <w:t xml:space="preserve">   采购进度计划</w:t>
      </w:r>
      <w:bookmarkEnd w:id="245"/>
    </w:p>
    <w:p w14:paraId="5AF2B91D">
      <w:pPr>
        <w:keepNext w:val="0"/>
        <w:keepLines w:val="0"/>
        <w:pageBreakBefore w:val="0"/>
        <w:wordWrap/>
        <w:overflowPunct/>
        <w:topLinePunct w:val="0"/>
        <w:bidi w:val="0"/>
        <w:snapToGrid w:val="0"/>
        <w:spacing w:line="360" w:lineRule="auto"/>
        <w:ind w:left="0" w:leftChars="0" w:firstLine="0" w:firstLineChars="0"/>
        <w:textAlignment w:val="auto"/>
        <w:rPr>
          <w:rFonts w:ascii="宋体" w:hAnsi="宋体"/>
          <w:color w:val="auto"/>
          <w:szCs w:val="21"/>
          <w:highlight w:val="none"/>
          <w:u w:val="single"/>
        </w:rPr>
      </w:pPr>
      <w:r>
        <w:rPr>
          <w:rFonts w:hint="eastAsia" w:ascii="宋体" w:hAnsi="宋体"/>
          <w:color w:val="auto"/>
          <w:szCs w:val="21"/>
          <w:highlight w:val="none"/>
        </w:rPr>
        <w:t>4.</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val="en-US" w:eastAsia="zh-CN"/>
        </w:rPr>
        <w:t>1</w:t>
      </w:r>
      <w:r>
        <w:rPr>
          <w:rFonts w:hint="eastAsia" w:ascii="宋体" w:hAnsi="宋体"/>
          <w:color w:val="auto"/>
          <w:szCs w:val="21"/>
          <w:highlight w:val="none"/>
        </w:rPr>
        <w:t xml:space="preserve">   采购开始日期。工程物资采购及开始日期的约定：合同生效后，乙方应派人进驻设备材料供应商处，跟进主要材料的生产和供应进度，</w:t>
      </w:r>
      <w:r>
        <w:rPr>
          <w:rFonts w:hint="eastAsia" w:ascii="宋体" w:hAnsi="宋体"/>
          <w:color w:val="auto"/>
          <w:szCs w:val="21"/>
          <w:highlight w:val="none"/>
          <w:u w:val="single"/>
        </w:rPr>
        <w:t>每周向甲方提供组件、支架、</w:t>
      </w:r>
      <w:r>
        <w:rPr>
          <w:rFonts w:hint="eastAsia" w:ascii="宋体" w:hAnsi="宋体"/>
          <w:color w:val="auto"/>
          <w:szCs w:val="21"/>
          <w:highlight w:val="none"/>
          <w:u w:val="single"/>
          <w:lang w:eastAsia="zh-CN"/>
        </w:rPr>
        <w:t>并网</w:t>
      </w:r>
      <w:r>
        <w:rPr>
          <w:rFonts w:hint="eastAsia" w:ascii="宋体" w:hAnsi="宋体"/>
          <w:color w:val="auto"/>
          <w:szCs w:val="21"/>
          <w:highlight w:val="none"/>
          <w:u w:val="single"/>
        </w:rPr>
        <w:t>柜和逆变器等材料的进度报告。</w:t>
      </w:r>
    </w:p>
    <w:p w14:paraId="738ECA94">
      <w:pPr>
        <w:keepNext w:val="0"/>
        <w:keepLines w:val="0"/>
        <w:pageBreakBefore w:val="0"/>
        <w:wordWrap/>
        <w:overflowPunct/>
        <w:topLinePunct w:val="0"/>
        <w:bidi w:val="0"/>
        <w:snapToGrid w:val="0"/>
        <w:spacing w:line="360" w:lineRule="auto"/>
        <w:ind w:left="0" w:leftChars="0" w:firstLine="0" w:firstLineChars="0"/>
        <w:textAlignment w:val="auto"/>
        <w:outlineLvl w:val="3"/>
        <w:rPr>
          <w:rFonts w:ascii="宋体" w:hAnsi="宋体"/>
          <w:color w:val="auto"/>
          <w:szCs w:val="21"/>
          <w:highlight w:val="none"/>
        </w:rPr>
      </w:pPr>
      <w:bookmarkStart w:id="246" w:name="_Toc76720036"/>
      <w:r>
        <w:rPr>
          <w:rFonts w:hint="eastAsia" w:ascii="宋体" w:hAnsi="宋体"/>
          <w:color w:val="auto"/>
          <w:szCs w:val="21"/>
          <w:highlight w:val="none"/>
        </w:rPr>
        <w:t>4.</w:t>
      </w:r>
      <w:r>
        <w:rPr>
          <w:rFonts w:hint="eastAsia" w:ascii="宋体" w:hAnsi="宋体"/>
          <w:color w:val="auto"/>
          <w:szCs w:val="21"/>
          <w:highlight w:val="none"/>
          <w:lang w:val="en-US" w:eastAsia="zh-CN"/>
        </w:rPr>
        <w:t>3</w:t>
      </w:r>
      <w:r>
        <w:rPr>
          <w:rFonts w:hint="eastAsia" w:ascii="宋体" w:hAnsi="宋体"/>
          <w:color w:val="auto"/>
          <w:szCs w:val="21"/>
          <w:highlight w:val="none"/>
        </w:rPr>
        <w:t xml:space="preserve">    施工进度计划</w:t>
      </w:r>
      <w:bookmarkEnd w:id="246"/>
    </w:p>
    <w:p w14:paraId="49A84FA7">
      <w:pPr>
        <w:keepNext w:val="0"/>
        <w:keepLines w:val="0"/>
        <w:pageBreakBefore w:val="0"/>
        <w:wordWrap/>
        <w:overflowPunct/>
        <w:topLinePunct w:val="0"/>
        <w:bidi w:val="0"/>
        <w:snapToGrid w:val="0"/>
        <w:spacing w:line="360" w:lineRule="auto"/>
        <w:ind w:left="0" w:leftChars="0" w:firstLine="0" w:firstLineChars="0"/>
        <w:textAlignment w:val="auto"/>
        <w:rPr>
          <w:rFonts w:ascii="宋体" w:hAnsi="宋体"/>
          <w:color w:val="auto"/>
          <w:szCs w:val="21"/>
          <w:highlight w:val="none"/>
        </w:rPr>
      </w:pPr>
      <w:r>
        <w:rPr>
          <w:rFonts w:hint="eastAsia" w:ascii="宋体" w:hAnsi="宋体"/>
          <w:color w:val="auto"/>
          <w:szCs w:val="21"/>
          <w:highlight w:val="none"/>
        </w:rPr>
        <w:t>4.</w:t>
      </w:r>
      <w:r>
        <w:rPr>
          <w:rFonts w:hint="eastAsia" w:ascii="宋体" w:hAnsi="宋体"/>
          <w:color w:val="auto"/>
          <w:szCs w:val="21"/>
          <w:highlight w:val="none"/>
          <w:lang w:val="en-US" w:eastAsia="zh-CN"/>
        </w:rPr>
        <w:t>3</w:t>
      </w:r>
      <w:r>
        <w:rPr>
          <w:rFonts w:hint="eastAsia" w:ascii="宋体" w:hAnsi="宋体"/>
          <w:color w:val="auto"/>
          <w:szCs w:val="21"/>
          <w:highlight w:val="none"/>
        </w:rPr>
        <w:t>.1  施工进度计划（以表格或文字表述）</w:t>
      </w:r>
    </w:p>
    <w:p w14:paraId="52BFB80B">
      <w:pPr>
        <w:keepNext w:val="0"/>
        <w:keepLines w:val="0"/>
        <w:pageBreakBefore w:val="0"/>
        <w:wordWrap/>
        <w:overflowPunct/>
        <w:topLinePunct w:val="0"/>
        <w:bidi w:val="0"/>
        <w:snapToGrid w:val="0"/>
        <w:spacing w:line="360" w:lineRule="auto"/>
        <w:ind w:left="0" w:leftChars="0" w:firstLine="0" w:firstLineChars="0"/>
        <w:textAlignment w:val="auto"/>
        <w:rPr>
          <w:rFonts w:ascii="宋体" w:hAnsi="宋体"/>
          <w:color w:val="auto"/>
          <w:szCs w:val="21"/>
          <w:highlight w:val="none"/>
          <w:u w:val="single"/>
        </w:rPr>
      </w:pPr>
      <w:r>
        <w:rPr>
          <w:rFonts w:hint="eastAsia" w:ascii="宋体" w:hAnsi="宋体"/>
          <w:color w:val="auto"/>
          <w:szCs w:val="21"/>
          <w:highlight w:val="none"/>
        </w:rPr>
        <w:t>提交关键单项工程施工计划（名称）：</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6C3C1FCB">
      <w:pPr>
        <w:keepNext w:val="0"/>
        <w:keepLines w:val="0"/>
        <w:pageBreakBefore w:val="0"/>
        <w:wordWrap/>
        <w:overflowPunct/>
        <w:topLinePunct w:val="0"/>
        <w:bidi w:val="0"/>
        <w:snapToGrid w:val="0"/>
        <w:spacing w:line="360" w:lineRule="auto"/>
        <w:ind w:left="0" w:leftChars="0" w:firstLine="0" w:firstLineChars="0"/>
        <w:textAlignment w:val="auto"/>
        <w:rPr>
          <w:rFonts w:ascii="宋体" w:hAnsi="宋体"/>
          <w:color w:val="auto"/>
          <w:szCs w:val="21"/>
          <w:highlight w:val="none"/>
          <w:u w:val="single"/>
        </w:rPr>
      </w:pPr>
      <w:r>
        <w:rPr>
          <w:rFonts w:hint="eastAsia" w:ascii="宋体" w:hAnsi="宋体"/>
          <w:color w:val="auto"/>
          <w:szCs w:val="21"/>
          <w:highlight w:val="none"/>
        </w:rPr>
        <w:t>提交关键分部分项工程施工计划（名称）：</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02DF5E3D">
      <w:pPr>
        <w:keepNext w:val="0"/>
        <w:keepLines w:val="0"/>
        <w:pageBreakBefore w:val="0"/>
        <w:wordWrap/>
        <w:overflowPunct/>
        <w:topLinePunct w:val="0"/>
        <w:bidi w:val="0"/>
        <w:snapToGrid w:val="0"/>
        <w:spacing w:line="360" w:lineRule="auto"/>
        <w:ind w:left="0" w:leftChars="0" w:firstLine="0" w:firstLineChars="0"/>
        <w:textAlignment w:val="auto"/>
        <w:outlineLvl w:val="3"/>
        <w:rPr>
          <w:rFonts w:ascii="宋体" w:hAnsi="宋体"/>
          <w:color w:val="auto"/>
          <w:szCs w:val="21"/>
          <w:highlight w:val="none"/>
        </w:rPr>
      </w:pPr>
      <w:bookmarkStart w:id="247" w:name="_Toc76720037"/>
      <w:r>
        <w:rPr>
          <w:rFonts w:hint="eastAsia" w:ascii="宋体" w:hAnsi="宋体"/>
          <w:color w:val="auto"/>
          <w:szCs w:val="21"/>
          <w:highlight w:val="none"/>
        </w:rPr>
        <w:t>4.</w:t>
      </w:r>
      <w:r>
        <w:rPr>
          <w:rFonts w:hint="eastAsia" w:ascii="宋体" w:hAnsi="宋体"/>
          <w:color w:val="auto"/>
          <w:szCs w:val="21"/>
          <w:highlight w:val="none"/>
          <w:lang w:val="en-US" w:eastAsia="zh-CN"/>
        </w:rPr>
        <w:t>4</w:t>
      </w:r>
      <w:r>
        <w:rPr>
          <w:rFonts w:hint="eastAsia" w:ascii="宋体" w:hAnsi="宋体"/>
          <w:color w:val="auto"/>
          <w:szCs w:val="21"/>
          <w:highlight w:val="none"/>
        </w:rPr>
        <w:t xml:space="preserve">    误期赔偿</w:t>
      </w:r>
      <w:bookmarkEnd w:id="247"/>
    </w:p>
    <w:p w14:paraId="0811FA64">
      <w:pPr>
        <w:keepNext w:val="0"/>
        <w:keepLines w:val="0"/>
        <w:pageBreakBefore w:val="0"/>
        <w:wordWrap/>
        <w:overflowPunct/>
        <w:topLinePunct w:val="0"/>
        <w:bidi w:val="0"/>
        <w:snapToGrid w:val="0"/>
        <w:spacing w:line="360" w:lineRule="auto"/>
        <w:ind w:left="0" w:leftChars="0" w:firstLine="0" w:firstLineChars="0"/>
        <w:textAlignment w:val="auto"/>
        <w:rPr>
          <w:rFonts w:ascii="宋体" w:hAnsi="宋体"/>
          <w:color w:val="auto"/>
          <w:szCs w:val="21"/>
          <w:highlight w:val="none"/>
        </w:rPr>
      </w:pPr>
      <w:r>
        <w:rPr>
          <w:rFonts w:hint="eastAsia" w:ascii="宋体" w:hAnsi="宋体"/>
          <w:color w:val="auto"/>
          <w:szCs w:val="21"/>
          <w:highlight w:val="none"/>
        </w:rPr>
        <w:t>承包人提交施工进度计划，发包人按此计划进行考核，与工程进度款拨付挂钩。</w:t>
      </w:r>
    </w:p>
    <w:p w14:paraId="16DB65AA">
      <w:pPr>
        <w:keepNext w:val="0"/>
        <w:keepLines w:val="0"/>
        <w:pageBreakBefore w:val="0"/>
        <w:wordWrap/>
        <w:overflowPunct/>
        <w:topLinePunct w:val="0"/>
        <w:bidi w:val="0"/>
        <w:adjustRightInd w:val="0"/>
        <w:snapToGrid w:val="0"/>
        <w:spacing w:line="360" w:lineRule="auto"/>
        <w:ind w:left="0" w:leftChars="0" w:firstLine="0" w:firstLineChars="0"/>
        <w:textAlignment w:val="auto"/>
        <w:rPr>
          <w:rFonts w:ascii="宋体" w:hAnsi="宋体"/>
          <w:color w:val="auto"/>
          <w:szCs w:val="21"/>
          <w:highlight w:val="none"/>
        </w:rPr>
      </w:pPr>
      <w:r>
        <w:rPr>
          <w:rFonts w:hint="eastAsia" w:ascii="宋体" w:hAnsi="宋体"/>
          <w:color w:val="auto"/>
          <w:highlight w:val="none"/>
        </w:rPr>
        <w:t>因承包人原因造成竣工日期延误的，每延误一天，发包人可</w:t>
      </w:r>
      <w:r>
        <w:rPr>
          <w:rFonts w:hint="eastAsia" w:ascii="宋体" w:hAnsi="宋体"/>
          <w:color w:val="auto"/>
          <w:highlight w:val="none"/>
          <w:lang w:eastAsia="zh-CN"/>
        </w:rPr>
        <w:t>赔偿</w:t>
      </w:r>
      <w:r>
        <w:rPr>
          <w:rFonts w:hint="eastAsia" w:ascii="宋体" w:hAnsi="宋体"/>
          <w:color w:val="auto"/>
          <w:highlight w:val="none"/>
          <w:lang w:val="en-US" w:eastAsia="zh-CN"/>
        </w:rPr>
        <w:t>0.5</w:t>
      </w:r>
      <w:r>
        <w:rPr>
          <w:rFonts w:hint="eastAsia" w:ascii="宋体" w:hAnsi="宋体"/>
          <w:color w:val="auto"/>
          <w:highlight w:val="none"/>
        </w:rPr>
        <w:t>万元。如延误工期达2个月或承包人不履行合同责任使本工程不能正常推进、无实质性进展，发包人除按上述原则追究违约责任、有权终止合同、保留要求承包人赔偿发包人因此而产生损失及追索承包人其他责任的权利外，要求承包人向发包人额外支付违约金</w:t>
      </w:r>
      <w:r>
        <w:rPr>
          <w:rFonts w:hint="eastAsia" w:ascii="宋体" w:hAnsi="宋体"/>
          <w:color w:val="auto"/>
          <w:highlight w:val="none"/>
          <w:lang w:eastAsia="zh-CN"/>
        </w:rPr>
        <w:t>3</w:t>
      </w:r>
      <w:r>
        <w:rPr>
          <w:rFonts w:hint="eastAsia" w:ascii="宋体" w:hAnsi="宋体"/>
          <w:color w:val="auto"/>
          <w:highlight w:val="none"/>
          <w:lang w:val="en-US" w:eastAsia="zh-CN"/>
        </w:rPr>
        <w:t>0</w:t>
      </w:r>
      <w:r>
        <w:rPr>
          <w:rFonts w:hint="eastAsia" w:ascii="宋体" w:hAnsi="宋体"/>
          <w:color w:val="auto"/>
          <w:highlight w:val="none"/>
        </w:rPr>
        <w:t>万元，该违约金可以由承包人支付给发包人，也可以由发包人直接从合同总价中扣除。</w:t>
      </w:r>
    </w:p>
    <w:p w14:paraId="6E20037E">
      <w:pPr>
        <w:keepNext w:val="0"/>
        <w:keepLines w:val="0"/>
        <w:pageBreakBefore w:val="0"/>
        <w:wordWrap/>
        <w:overflowPunct/>
        <w:topLinePunct w:val="0"/>
        <w:bidi w:val="0"/>
        <w:snapToGrid w:val="0"/>
        <w:spacing w:line="360" w:lineRule="auto"/>
        <w:ind w:left="0" w:leftChars="0" w:firstLine="0" w:firstLineChars="0"/>
        <w:textAlignment w:val="auto"/>
        <w:outlineLvl w:val="2"/>
        <w:rPr>
          <w:rFonts w:ascii="宋体" w:hAnsi="宋体"/>
          <w:b/>
          <w:color w:val="auto"/>
          <w:szCs w:val="21"/>
          <w:highlight w:val="none"/>
        </w:rPr>
      </w:pPr>
      <w:bookmarkStart w:id="248" w:name="_Toc80633175"/>
      <w:bookmarkStart w:id="249" w:name="_Toc363719018"/>
      <w:bookmarkStart w:id="250" w:name="_Toc76720038"/>
      <w:r>
        <w:rPr>
          <w:rFonts w:hint="eastAsia" w:ascii="宋体" w:hAnsi="宋体"/>
          <w:b/>
          <w:color w:val="auto"/>
          <w:szCs w:val="21"/>
          <w:highlight w:val="none"/>
        </w:rPr>
        <w:t>第</w:t>
      </w:r>
      <w:r>
        <w:rPr>
          <w:rFonts w:ascii="宋体" w:hAnsi="宋体"/>
          <w:b/>
          <w:color w:val="auto"/>
          <w:szCs w:val="21"/>
          <w:highlight w:val="none"/>
        </w:rPr>
        <w:t>5</w:t>
      </w:r>
      <w:r>
        <w:rPr>
          <w:rFonts w:hint="eastAsia" w:ascii="宋体" w:hAnsi="宋体"/>
          <w:b/>
          <w:color w:val="auto"/>
          <w:szCs w:val="21"/>
          <w:highlight w:val="none"/>
        </w:rPr>
        <w:t xml:space="preserve">条 </w:t>
      </w:r>
      <w:r>
        <w:rPr>
          <w:rFonts w:hint="eastAsia" w:ascii="宋体" w:hAnsi="宋体"/>
          <w:b/>
          <w:color w:val="auto"/>
          <w:szCs w:val="21"/>
          <w:highlight w:val="none"/>
        </w:rPr>
        <w:tab/>
      </w:r>
      <w:r>
        <w:rPr>
          <w:rFonts w:hint="eastAsia" w:ascii="宋体" w:hAnsi="宋体"/>
          <w:b/>
          <w:color w:val="auto"/>
          <w:szCs w:val="21"/>
          <w:highlight w:val="none"/>
        </w:rPr>
        <w:t>技术与设计</w:t>
      </w:r>
      <w:bookmarkEnd w:id="248"/>
      <w:bookmarkEnd w:id="249"/>
      <w:bookmarkEnd w:id="250"/>
    </w:p>
    <w:p w14:paraId="11BA5682">
      <w:pPr>
        <w:keepNext w:val="0"/>
        <w:keepLines w:val="0"/>
        <w:pageBreakBefore w:val="0"/>
        <w:wordWrap/>
        <w:overflowPunct/>
        <w:topLinePunct w:val="0"/>
        <w:bidi w:val="0"/>
        <w:snapToGrid w:val="0"/>
        <w:spacing w:line="360" w:lineRule="auto"/>
        <w:ind w:left="0" w:leftChars="0" w:firstLine="0" w:firstLineChars="0"/>
        <w:textAlignment w:val="auto"/>
        <w:outlineLvl w:val="3"/>
        <w:rPr>
          <w:rFonts w:ascii="宋体" w:hAnsi="宋体"/>
          <w:color w:val="auto"/>
          <w:szCs w:val="21"/>
          <w:highlight w:val="none"/>
        </w:rPr>
      </w:pPr>
      <w:bookmarkStart w:id="251" w:name="_Toc76720039"/>
      <w:r>
        <w:rPr>
          <w:rFonts w:hint="eastAsia" w:ascii="宋体" w:hAnsi="宋体"/>
          <w:color w:val="auto"/>
          <w:szCs w:val="21"/>
          <w:highlight w:val="none"/>
        </w:rPr>
        <w:t>5.</w:t>
      </w:r>
      <w:r>
        <w:rPr>
          <w:rFonts w:hint="eastAsia" w:ascii="宋体" w:hAnsi="宋体"/>
          <w:color w:val="auto"/>
          <w:szCs w:val="21"/>
          <w:highlight w:val="none"/>
          <w:lang w:val="en-US" w:eastAsia="zh-CN"/>
        </w:rPr>
        <w:t>1</w:t>
      </w:r>
      <w:r>
        <w:rPr>
          <w:rFonts w:hint="eastAsia" w:ascii="宋体" w:hAnsi="宋体"/>
          <w:color w:val="auto"/>
          <w:szCs w:val="21"/>
          <w:highlight w:val="none"/>
        </w:rPr>
        <w:t xml:space="preserve">  设计</w:t>
      </w:r>
      <w:bookmarkEnd w:id="251"/>
    </w:p>
    <w:p w14:paraId="591CB61B">
      <w:pPr>
        <w:keepNext w:val="0"/>
        <w:keepLines w:val="0"/>
        <w:pageBreakBefore w:val="0"/>
        <w:wordWrap/>
        <w:overflowPunct/>
        <w:topLinePunct w:val="0"/>
        <w:bidi w:val="0"/>
        <w:snapToGrid w:val="0"/>
        <w:spacing w:line="360" w:lineRule="auto"/>
        <w:ind w:left="0" w:leftChars="0" w:firstLine="0" w:firstLineChars="0"/>
        <w:textAlignment w:val="auto"/>
        <w:rPr>
          <w:rFonts w:ascii="宋体" w:hAnsi="宋体"/>
          <w:color w:val="auto"/>
          <w:szCs w:val="21"/>
          <w:highlight w:val="none"/>
        </w:rPr>
      </w:pPr>
      <w:r>
        <w:rPr>
          <w:rFonts w:hint="eastAsia" w:ascii="宋体" w:hAnsi="宋体"/>
          <w:color w:val="auto"/>
          <w:szCs w:val="21"/>
          <w:highlight w:val="none"/>
        </w:rPr>
        <w:t>5.</w:t>
      </w:r>
      <w:r>
        <w:rPr>
          <w:rFonts w:hint="eastAsia" w:ascii="宋体" w:hAnsi="宋体"/>
          <w:color w:val="auto"/>
          <w:szCs w:val="21"/>
          <w:highlight w:val="none"/>
          <w:lang w:val="en-US" w:eastAsia="zh-CN"/>
        </w:rPr>
        <w:t>1</w:t>
      </w:r>
      <w:r>
        <w:rPr>
          <w:rFonts w:hint="eastAsia" w:ascii="宋体" w:hAnsi="宋体"/>
          <w:color w:val="auto"/>
          <w:szCs w:val="21"/>
          <w:highlight w:val="none"/>
        </w:rPr>
        <w:t>.1   发包人的义务</w:t>
      </w:r>
    </w:p>
    <w:p w14:paraId="4A2FF585">
      <w:pPr>
        <w:keepNext w:val="0"/>
        <w:keepLines w:val="0"/>
        <w:pageBreakBefore w:val="0"/>
        <w:wordWrap/>
        <w:overflowPunct/>
        <w:topLinePunct w:val="0"/>
        <w:bidi w:val="0"/>
        <w:snapToGrid w:val="0"/>
        <w:spacing w:line="360" w:lineRule="auto"/>
        <w:ind w:left="0" w:leftChars="0" w:firstLine="0" w:firstLineChars="0"/>
        <w:textAlignment w:val="auto"/>
        <w:rPr>
          <w:rFonts w:ascii="宋体" w:hAnsi="宋体"/>
          <w:color w:val="auto"/>
          <w:szCs w:val="21"/>
          <w:highlight w:val="none"/>
        </w:rPr>
      </w:pPr>
      <w:r>
        <w:rPr>
          <w:rFonts w:hint="eastAsia" w:ascii="宋体" w:hAnsi="宋体"/>
          <w:color w:val="auto"/>
          <w:szCs w:val="21"/>
          <w:highlight w:val="none"/>
        </w:rPr>
        <w:t>（1）提供项目基础资料。发包人提供的项目基础资料的类别、内容、份数和时间：</w:t>
      </w:r>
      <w:r>
        <w:rPr>
          <w:rFonts w:hint="eastAsia" w:ascii="宋体" w:hAnsi="宋体"/>
          <w:color w:val="auto"/>
          <w:szCs w:val="21"/>
          <w:highlight w:val="none"/>
          <w:u w:val="single"/>
        </w:rPr>
        <w:t>双方另行协商确定</w:t>
      </w:r>
      <w:r>
        <w:rPr>
          <w:rFonts w:hint="eastAsia" w:ascii="宋体" w:hAnsi="宋体"/>
          <w:color w:val="auto"/>
          <w:szCs w:val="21"/>
          <w:highlight w:val="none"/>
        </w:rPr>
        <w:t>；</w:t>
      </w:r>
    </w:p>
    <w:p w14:paraId="21EE64CF">
      <w:pPr>
        <w:keepNext w:val="0"/>
        <w:keepLines w:val="0"/>
        <w:pageBreakBefore w:val="0"/>
        <w:wordWrap/>
        <w:overflowPunct/>
        <w:topLinePunct w:val="0"/>
        <w:bidi w:val="0"/>
        <w:snapToGrid w:val="0"/>
        <w:spacing w:line="360" w:lineRule="auto"/>
        <w:ind w:left="0" w:leftChars="0" w:firstLine="0" w:firstLineChars="0"/>
        <w:textAlignment w:val="auto"/>
        <w:rPr>
          <w:rFonts w:ascii="宋体" w:hAnsi="宋体"/>
          <w:color w:val="auto"/>
          <w:szCs w:val="21"/>
          <w:highlight w:val="none"/>
        </w:rPr>
      </w:pPr>
      <w:r>
        <w:rPr>
          <w:rFonts w:hint="eastAsia" w:ascii="宋体" w:hAnsi="宋体"/>
          <w:color w:val="auto"/>
          <w:szCs w:val="21"/>
          <w:highlight w:val="none"/>
        </w:rPr>
        <w:t>（2）提供现场障碍资料。发包人提供的现场障碍资料的类别、内容、份数和时间：</w:t>
      </w:r>
      <w:r>
        <w:rPr>
          <w:rFonts w:hint="eastAsia" w:ascii="宋体" w:hAnsi="宋体"/>
          <w:color w:val="auto"/>
          <w:szCs w:val="21"/>
          <w:highlight w:val="none"/>
          <w:u w:val="single"/>
        </w:rPr>
        <w:t>由承包人根据投标前现场勘察获取的及发包人尽可能提供的资料</w:t>
      </w:r>
      <w:r>
        <w:rPr>
          <w:rFonts w:hint="eastAsia" w:ascii="宋体" w:hAnsi="宋体"/>
          <w:color w:val="auto"/>
          <w:szCs w:val="21"/>
          <w:highlight w:val="none"/>
        </w:rPr>
        <w:t>；</w:t>
      </w:r>
    </w:p>
    <w:p w14:paraId="6928CE7F">
      <w:pPr>
        <w:keepNext w:val="0"/>
        <w:keepLines w:val="0"/>
        <w:pageBreakBefore w:val="0"/>
        <w:wordWrap/>
        <w:overflowPunct/>
        <w:topLinePunct w:val="0"/>
        <w:bidi w:val="0"/>
        <w:snapToGrid w:val="0"/>
        <w:spacing w:line="360" w:lineRule="auto"/>
        <w:ind w:left="0" w:leftChars="0" w:firstLine="0" w:firstLineChars="0"/>
        <w:textAlignment w:val="auto"/>
        <w:rPr>
          <w:rFonts w:ascii="宋体" w:hAnsi="宋体"/>
          <w:color w:val="auto"/>
          <w:szCs w:val="21"/>
          <w:highlight w:val="none"/>
        </w:rPr>
      </w:pPr>
      <w:r>
        <w:rPr>
          <w:rFonts w:hint="eastAsia" w:ascii="宋体" w:hAnsi="宋体"/>
          <w:color w:val="auto"/>
          <w:szCs w:val="21"/>
          <w:highlight w:val="none"/>
        </w:rPr>
        <w:t>5.</w:t>
      </w:r>
      <w:r>
        <w:rPr>
          <w:rFonts w:hint="eastAsia" w:ascii="宋体" w:hAnsi="宋体"/>
          <w:color w:val="auto"/>
          <w:szCs w:val="21"/>
          <w:highlight w:val="none"/>
          <w:lang w:val="en-US" w:eastAsia="zh-CN"/>
        </w:rPr>
        <w:t>1</w:t>
      </w: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 xml:space="preserve"> 操作维修手册。</w:t>
      </w:r>
    </w:p>
    <w:p w14:paraId="656493BE">
      <w:pPr>
        <w:keepNext w:val="0"/>
        <w:keepLines w:val="0"/>
        <w:pageBreakBefore w:val="0"/>
        <w:wordWrap/>
        <w:overflowPunct/>
        <w:topLinePunct w:val="0"/>
        <w:bidi w:val="0"/>
        <w:snapToGrid w:val="0"/>
        <w:spacing w:line="360" w:lineRule="auto"/>
        <w:ind w:left="0" w:leftChars="0" w:firstLine="0" w:firstLineChars="0"/>
        <w:textAlignment w:val="auto"/>
        <w:rPr>
          <w:rFonts w:ascii="宋体" w:hAnsi="宋体"/>
          <w:color w:val="auto"/>
          <w:szCs w:val="21"/>
          <w:highlight w:val="none"/>
        </w:rPr>
      </w:pPr>
      <w:r>
        <w:rPr>
          <w:rFonts w:hint="eastAsia" w:ascii="宋体" w:hAnsi="宋体"/>
          <w:color w:val="auto"/>
          <w:szCs w:val="21"/>
          <w:highlight w:val="none"/>
        </w:rPr>
        <w:t>提交的份数和最终提交期限：</w:t>
      </w:r>
      <w:r>
        <w:rPr>
          <w:rFonts w:hint="eastAsia" w:ascii="宋体" w:hAnsi="宋体"/>
          <w:color w:val="auto"/>
          <w:szCs w:val="21"/>
          <w:highlight w:val="none"/>
          <w:u w:val="single"/>
        </w:rPr>
        <w:t>竣工后试验开始前10日提交10份</w:t>
      </w:r>
      <w:r>
        <w:rPr>
          <w:rFonts w:hint="eastAsia" w:ascii="宋体" w:hAnsi="宋体"/>
          <w:color w:val="auto"/>
          <w:szCs w:val="21"/>
          <w:highlight w:val="none"/>
        </w:rPr>
        <w:t>；</w:t>
      </w:r>
    </w:p>
    <w:p w14:paraId="39F6FA81">
      <w:pPr>
        <w:keepNext w:val="0"/>
        <w:keepLines w:val="0"/>
        <w:pageBreakBefore w:val="0"/>
        <w:wordWrap/>
        <w:overflowPunct/>
        <w:topLinePunct w:val="0"/>
        <w:bidi w:val="0"/>
        <w:snapToGrid w:val="0"/>
        <w:spacing w:line="360" w:lineRule="auto"/>
        <w:ind w:left="0" w:leftChars="0" w:firstLine="0" w:firstLineChars="0"/>
        <w:textAlignment w:val="auto"/>
        <w:rPr>
          <w:rFonts w:ascii="宋体" w:hAnsi="宋体"/>
          <w:color w:val="auto"/>
          <w:szCs w:val="21"/>
          <w:highlight w:val="none"/>
        </w:rPr>
      </w:pPr>
      <w:r>
        <w:rPr>
          <w:rFonts w:hint="eastAsia" w:ascii="宋体" w:hAnsi="宋体"/>
          <w:color w:val="auto"/>
          <w:szCs w:val="21"/>
          <w:highlight w:val="none"/>
        </w:rPr>
        <w:t>5.</w:t>
      </w:r>
      <w:r>
        <w:rPr>
          <w:rFonts w:hint="eastAsia" w:ascii="宋体" w:hAnsi="宋体"/>
          <w:color w:val="auto"/>
          <w:szCs w:val="21"/>
          <w:highlight w:val="none"/>
          <w:lang w:val="en-US" w:eastAsia="zh-CN"/>
        </w:rPr>
        <w:t>1</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 xml:space="preserve">  设计文件的份数和提交时间</w:t>
      </w:r>
    </w:p>
    <w:p w14:paraId="1B472035">
      <w:pPr>
        <w:keepNext w:val="0"/>
        <w:keepLines w:val="0"/>
        <w:pageBreakBefore w:val="0"/>
        <w:wordWrap/>
        <w:overflowPunct/>
        <w:topLinePunct w:val="0"/>
        <w:bidi w:val="0"/>
        <w:snapToGrid w:val="0"/>
        <w:spacing w:line="360" w:lineRule="auto"/>
        <w:ind w:left="0" w:leftChars="0" w:firstLine="0" w:firstLineChars="0"/>
        <w:textAlignment w:val="auto"/>
        <w:rPr>
          <w:rFonts w:ascii="宋体" w:hAnsi="宋体"/>
          <w:color w:val="auto"/>
          <w:szCs w:val="21"/>
          <w:highlight w:val="none"/>
        </w:rPr>
      </w:pPr>
      <w:r>
        <w:rPr>
          <w:rFonts w:hint="eastAsia" w:ascii="宋体" w:hAnsi="宋体"/>
          <w:color w:val="auto"/>
          <w:szCs w:val="21"/>
          <w:highlight w:val="none"/>
        </w:rPr>
        <w:t>光伏系统主体部分设计必须在合同生效后</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7</w:t>
      </w:r>
      <w:r>
        <w:rPr>
          <w:rFonts w:hint="eastAsia" w:ascii="宋体" w:hAnsi="宋体"/>
          <w:color w:val="auto"/>
          <w:szCs w:val="21"/>
          <w:highlight w:val="none"/>
          <w:u w:val="single"/>
        </w:rPr>
        <w:t xml:space="preserve"> </w:t>
      </w:r>
      <w:r>
        <w:rPr>
          <w:rFonts w:hint="eastAsia" w:ascii="宋体" w:hAnsi="宋体"/>
          <w:color w:val="auto"/>
          <w:szCs w:val="21"/>
          <w:highlight w:val="none"/>
        </w:rPr>
        <w:t>天内完成，光伏组件的排布必须方便维护，主要电气设备选型、关键设备的关键元件、接入系统设计须经过业主确认，接入系统方案可研报告（如含在EPC内），在合同生效后</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eastAsia="zh-CN"/>
        </w:rPr>
        <w:t>7</w:t>
      </w:r>
      <w:r>
        <w:rPr>
          <w:rFonts w:hint="eastAsia" w:ascii="宋体" w:hAnsi="宋体"/>
          <w:color w:val="auto"/>
          <w:szCs w:val="21"/>
          <w:highlight w:val="none"/>
          <w:u w:val="single"/>
        </w:rPr>
        <w:t xml:space="preserve"> </w:t>
      </w:r>
      <w:r>
        <w:rPr>
          <w:rFonts w:hint="eastAsia" w:ascii="宋体" w:hAnsi="宋体"/>
          <w:color w:val="auto"/>
          <w:szCs w:val="21"/>
          <w:highlight w:val="none"/>
        </w:rPr>
        <w:t>天内完成，初步设计</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如有</w:t>
      </w:r>
      <w:r>
        <w:rPr>
          <w:rFonts w:hint="eastAsia" w:ascii="宋体" w:hAnsi="宋体"/>
          <w:color w:val="auto"/>
          <w:szCs w:val="21"/>
          <w:highlight w:val="none"/>
          <w:lang w:eastAsia="zh-CN"/>
        </w:rPr>
        <w:t>）</w:t>
      </w:r>
      <w:r>
        <w:rPr>
          <w:rFonts w:hint="eastAsia" w:ascii="宋体" w:hAnsi="宋体"/>
          <w:color w:val="auto"/>
          <w:szCs w:val="21"/>
          <w:highlight w:val="none"/>
        </w:rPr>
        <w:t>在合同生效后</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eastAsia="zh-CN"/>
        </w:rPr>
        <w:t>1</w:t>
      </w:r>
      <w:r>
        <w:rPr>
          <w:rFonts w:hint="eastAsia" w:ascii="宋体" w:hAnsi="宋体"/>
          <w:color w:val="auto"/>
          <w:szCs w:val="21"/>
          <w:highlight w:val="none"/>
          <w:u w:val="single"/>
          <w:lang w:val="en-US" w:eastAsia="zh-CN"/>
        </w:rPr>
        <w:t>0</w:t>
      </w:r>
      <w:r>
        <w:rPr>
          <w:rFonts w:hint="eastAsia" w:ascii="宋体" w:hAnsi="宋体"/>
          <w:color w:val="auto"/>
          <w:szCs w:val="21"/>
          <w:highlight w:val="none"/>
          <w:u w:val="single"/>
        </w:rPr>
        <w:t xml:space="preserve"> </w:t>
      </w:r>
      <w:r>
        <w:rPr>
          <w:rFonts w:hint="eastAsia" w:ascii="宋体" w:hAnsi="宋体"/>
          <w:color w:val="auto"/>
          <w:szCs w:val="21"/>
          <w:highlight w:val="none"/>
        </w:rPr>
        <w:t>天内完成，经审查通过后，施工图设计在合同生效后</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eastAsia="zh-CN"/>
        </w:rPr>
        <w:t>1</w:t>
      </w:r>
      <w:r>
        <w:rPr>
          <w:rFonts w:hint="eastAsia" w:ascii="宋体" w:hAnsi="宋体"/>
          <w:color w:val="auto"/>
          <w:szCs w:val="21"/>
          <w:highlight w:val="none"/>
          <w:u w:val="single"/>
          <w:lang w:val="en-US" w:eastAsia="zh-CN"/>
        </w:rPr>
        <w:t>5</w:t>
      </w:r>
      <w:r>
        <w:rPr>
          <w:rFonts w:hint="eastAsia" w:ascii="宋体" w:hAnsi="宋体"/>
          <w:color w:val="auto"/>
          <w:szCs w:val="21"/>
          <w:highlight w:val="none"/>
          <w:u w:val="single"/>
        </w:rPr>
        <w:t xml:space="preserve"> </w:t>
      </w:r>
      <w:r>
        <w:rPr>
          <w:rFonts w:hint="eastAsia" w:ascii="宋体" w:hAnsi="宋体"/>
          <w:color w:val="auto"/>
          <w:szCs w:val="21"/>
          <w:highlight w:val="none"/>
        </w:rPr>
        <w:t>天内完成。合同生效后</w:t>
      </w:r>
      <w:r>
        <w:rPr>
          <w:rFonts w:hint="eastAsia" w:ascii="宋体" w:hAnsi="宋体"/>
          <w:color w:val="auto"/>
          <w:szCs w:val="21"/>
          <w:highlight w:val="none"/>
          <w:u w:val="single"/>
          <w:lang w:eastAsia="zh-CN"/>
        </w:rPr>
        <w:t>1</w:t>
      </w:r>
      <w:r>
        <w:rPr>
          <w:rFonts w:hint="eastAsia" w:ascii="宋体" w:hAnsi="宋体"/>
          <w:color w:val="auto"/>
          <w:szCs w:val="21"/>
          <w:highlight w:val="none"/>
          <w:u w:val="single"/>
          <w:lang w:val="en-US" w:eastAsia="zh-CN"/>
        </w:rPr>
        <w:t>5</w:t>
      </w:r>
      <w:r>
        <w:rPr>
          <w:rFonts w:hint="eastAsia" w:ascii="宋体" w:hAnsi="宋体"/>
          <w:color w:val="auto"/>
          <w:szCs w:val="21"/>
          <w:highlight w:val="none"/>
        </w:rPr>
        <w:t>天内，项目所有经批准、盖章的纸版施工图纸</w:t>
      </w:r>
      <w:r>
        <w:rPr>
          <w:rFonts w:hint="eastAsia" w:ascii="宋体" w:hAnsi="宋体"/>
          <w:color w:val="auto"/>
          <w:szCs w:val="21"/>
          <w:highlight w:val="none"/>
          <w:lang w:val="en-US" w:eastAsia="zh-CN"/>
        </w:rPr>
        <w:t>(含预算书)</w:t>
      </w:r>
      <w:r>
        <w:rPr>
          <w:rFonts w:hint="eastAsia" w:ascii="宋体" w:hAnsi="宋体"/>
          <w:color w:val="auto"/>
          <w:szCs w:val="21"/>
          <w:highlight w:val="none"/>
        </w:rPr>
        <w:t>发至发包人项目部。</w:t>
      </w:r>
    </w:p>
    <w:p w14:paraId="063CCBE7">
      <w:pPr>
        <w:keepNext w:val="0"/>
        <w:keepLines w:val="0"/>
        <w:pageBreakBefore w:val="0"/>
        <w:wordWrap/>
        <w:overflowPunct/>
        <w:topLinePunct w:val="0"/>
        <w:bidi w:val="0"/>
        <w:snapToGrid w:val="0"/>
        <w:spacing w:line="360" w:lineRule="auto"/>
        <w:ind w:left="0" w:leftChars="0" w:firstLine="0" w:firstLineChars="0"/>
        <w:textAlignment w:val="auto"/>
        <w:rPr>
          <w:rFonts w:ascii="宋体" w:hAnsi="宋体"/>
          <w:color w:val="auto"/>
          <w:szCs w:val="21"/>
          <w:highlight w:val="none"/>
        </w:rPr>
      </w:pPr>
      <w:r>
        <w:rPr>
          <w:rFonts w:hint="eastAsia" w:ascii="宋体" w:hAnsi="宋体"/>
          <w:color w:val="auto"/>
          <w:szCs w:val="21"/>
          <w:highlight w:val="none"/>
          <w:u w:val="single"/>
        </w:rPr>
        <w:t>承包人承诺发包人可使用其设计的各项成果及其专利权，并不得索取任何费用。承包人承诺发包人有权综合所有承包人的设计成果并使用到该工程中。承包人不得拒绝或提出费用要求。</w:t>
      </w:r>
    </w:p>
    <w:p w14:paraId="6D705D4E">
      <w:pPr>
        <w:keepNext w:val="0"/>
        <w:keepLines w:val="0"/>
        <w:pageBreakBefore w:val="0"/>
        <w:wordWrap/>
        <w:overflowPunct/>
        <w:topLinePunct w:val="0"/>
        <w:bidi w:val="0"/>
        <w:snapToGrid w:val="0"/>
        <w:spacing w:line="360" w:lineRule="auto"/>
        <w:ind w:left="0" w:leftChars="0" w:firstLine="0" w:firstLineChars="0"/>
        <w:textAlignment w:val="auto"/>
        <w:outlineLvl w:val="3"/>
        <w:rPr>
          <w:rFonts w:ascii="宋体" w:hAnsi="宋体"/>
          <w:color w:val="auto"/>
          <w:szCs w:val="21"/>
          <w:highlight w:val="none"/>
        </w:rPr>
      </w:pPr>
      <w:bookmarkStart w:id="252" w:name="_Toc76720040"/>
      <w:r>
        <w:rPr>
          <w:rFonts w:hint="eastAsia" w:ascii="宋体" w:hAnsi="宋体"/>
          <w:color w:val="auto"/>
          <w:szCs w:val="21"/>
          <w:highlight w:val="none"/>
        </w:rPr>
        <w:t>5.</w:t>
      </w:r>
      <w:r>
        <w:rPr>
          <w:rFonts w:hint="eastAsia" w:ascii="宋体" w:hAnsi="宋体"/>
          <w:color w:val="auto"/>
          <w:szCs w:val="21"/>
          <w:highlight w:val="none"/>
          <w:lang w:val="en-US" w:eastAsia="zh-CN"/>
        </w:rPr>
        <w:t>2</w:t>
      </w:r>
      <w:r>
        <w:rPr>
          <w:rFonts w:hint="eastAsia" w:ascii="宋体" w:hAnsi="宋体"/>
          <w:color w:val="auto"/>
          <w:szCs w:val="21"/>
          <w:highlight w:val="none"/>
        </w:rPr>
        <w:t xml:space="preserve">   设计阶段审查</w:t>
      </w:r>
      <w:bookmarkEnd w:id="252"/>
    </w:p>
    <w:p w14:paraId="151B6719">
      <w:pPr>
        <w:keepNext w:val="0"/>
        <w:keepLines w:val="0"/>
        <w:pageBreakBefore w:val="0"/>
        <w:wordWrap/>
        <w:overflowPunct/>
        <w:topLinePunct w:val="0"/>
        <w:bidi w:val="0"/>
        <w:snapToGrid w:val="0"/>
        <w:spacing w:line="360" w:lineRule="auto"/>
        <w:ind w:left="0" w:leftChars="0" w:firstLine="0" w:firstLineChars="0"/>
        <w:textAlignment w:val="auto"/>
        <w:rPr>
          <w:rFonts w:ascii="宋体" w:hAnsi="宋体"/>
          <w:color w:val="auto"/>
          <w:szCs w:val="21"/>
          <w:highlight w:val="none"/>
        </w:rPr>
      </w:pPr>
      <w:r>
        <w:rPr>
          <w:rFonts w:hint="eastAsia" w:ascii="宋体" w:hAnsi="宋体"/>
          <w:color w:val="auto"/>
          <w:szCs w:val="21"/>
          <w:highlight w:val="none"/>
        </w:rPr>
        <w:t>5.</w:t>
      </w:r>
      <w:r>
        <w:rPr>
          <w:rFonts w:hint="eastAsia" w:ascii="宋体" w:hAnsi="宋体"/>
          <w:color w:val="auto"/>
          <w:szCs w:val="21"/>
          <w:highlight w:val="none"/>
          <w:lang w:val="en-US" w:eastAsia="zh-CN"/>
        </w:rPr>
        <w:t>2</w:t>
      </w:r>
      <w:r>
        <w:rPr>
          <w:rFonts w:hint="eastAsia" w:ascii="宋体" w:hAnsi="宋体"/>
          <w:color w:val="auto"/>
          <w:szCs w:val="21"/>
          <w:highlight w:val="none"/>
        </w:rPr>
        <w:t>.1   设计审查阶段及审查会议时间</w:t>
      </w:r>
    </w:p>
    <w:p w14:paraId="001DE131">
      <w:pPr>
        <w:keepNext w:val="0"/>
        <w:keepLines w:val="0"/>
        <w:pageBreakBefore w:val="0"/>
        <w:wordWrap/>
        <w:overflowPunct/>
        <w:topLinePunct w:val="0"/>
        <w:bidi w:val="0"/>
        <w:snapToGrid w:val="0"/>
        <w:spacing w:line="360" w:lineRule="auto"/>
        <w:ind w:left="0" w:leftChars="0" w:firstLine="0" w:firstLineChars="0"/>
        <w:textAlignment w:val="auto"/>
        <w:rPr>
          <w:rFonts w:ascii="宋体" w:hAnsi="宋体"/>
          <w:color w:val="auto"/>
          <w:szCs w:val="21"/>
          <w:highlight w:val="none"/>
        </w:rPr>
      </w:pPr>
      <w:r>
        <w:rPr>
          <w:rFonts w:hint="eastAsia" w:ascii="宋体" w:hAnsi="宋体"/>
          <w:color w:val="auto"/>
          <w:szCs w:val="21"/>
          <w:highlight w:val="none"/>
        </w:rPr>
        <w:t>本工程的设计阶段（名称）：</w:t>
      </w:r>
      <w:r>
        <w:rPr>
          <w:rFonts w:hint="eastAsia" w:ascii="宋体" w:hAnsi="宋体"/>
          <w:color w:val="auto"/>
          <w:szCs w:val="21"/>
          <w:highlight w:val="none"/>
          <w:u w:val="single"/>
        </w:rPr>
        <w:t>施工图设计阶段</w:t>
      </w:r>
      <w:r>
        <w:rPr>
          <w:rFonts w:hint="eastAsia" w:ascii="宋体" w:hAnsi="宋体"/>
          <w:color w:val="auto"/>
          <w:szCs w:val="21"/>
          <w:highlight w:val="none"/>
        </w:rPr>
        <w:t>；</w:t>
      </w:r>
    </w:p>
    <w:p w14:paraId="177865AC">
      <w:pPr>
        <w:keepNext w:val="0"/>
        <w:keepLines w:val="0"/>
        <w:pageBreakBefore w:val="0"/>
        <w:wordWrap/>
        <w:overflowPunct/>
        <w:topLinePunct w:val="0"/>
        <w:bidi w:val="0"/>
        <w:snapToGrid w:val="0"/>
        <w:spacing w:line="360" w:lineRule="auto"/>
        <w:ind w:left="0" w:leftChars="0" w:firstLine="0" w:firstLineChars="0"/>
        <w:textAlignment w:val="auto"/>
        <w:rPr>
          <w:rFonts w:ascii="宋体" w:hAnsi="宋体"/>
          <w:color w:val="auto"/>
          <w:szCs w:val="21"/>
          <w:highlight w:val="none"/>
          <w:u w:val="single"/>
        </w:rPr>
      </w:pPr>
      <w:r>
        <w:rPr>
          <w:rFonts w:hint="eastAsia" w:ascii="宋体" w:hAnsi="宋体"/>
          <w:color w:val="auto"/>
          <w:szCs w:val="21"/>
          <w:highlight w:val="none"/>
        </w:rPr>
        <w:t>设计审查阶段及其审查会议的时间安排：</w:t>
      </w:r>
      <w:r>
        <w:rPr>
          <w:rFonts w:hint="eastAsia" w:ascii="宋体" w:hAnsi="宋体"/>
          <w:color w:val="auto"/>
          <w:szCs w:val="21"/>
          <w:highlight w:val="none"/>
          <w:u w:val="single"/>
        </w:rPr>
        <w:t>承包人施工图设计完成后，发包人组织设计审查</w:t>
      </w:r>
      <w:r>
        <w:rPr>
          <w:rFonts w:hint="eastAsia" w:ascii="宋体" w:hAnsi="宋体"/>
          <w:color w:val="auto"/>
          <w:szCs w:val="21"/>
          <w:highlight w:val="none"/>
        </w:rPr>
        <w:t>；</w:t>
      </w:r>
    </w:p>
    <w:p w14:paraId="4E455152">
      <w:pPr>
        <w:keepNext w:val="0"/>
        <w:keepLines w:val="0"/>
        <w:pageBreakBefore w:val="0"/>
        <w:wordWrap/>
        <w:overflowPunct/>
        <w:topLinePunct w:val="0"/>
        <w:bidi w:val="0"/>
        <w:snapToGrid w:val="0"/>
        <w:spacing w:line="360" w:lineRule="auto"/>
        <w:ind w:left="0" w:leftChars="0" w:firstLine="0" w:firstLineChars="0"/>
        <w:textAlignment w:val="auto"/>
        <w:rPr>
          <w:rFonts w:hint="eastAsia" w:ascii="宋体" w:hAnsi="宋体"/>
          <w:color w:val="auto"/>
          <w:szCs w:val="21"/>
          <w:highlight w:val="none"/>
        </w:rPr>
      </w:pPr>
      <w:r>
        <w:rPr>
          <w:rFonts w:hint="eastAsia" w:ascii="宋体" w:hAnsi="宋体"/>
          <w:color w:val="auto"/>
          <w:szCs w:val="21"/>
          <w:highlight w:val="none"/>
        </w:rPr>
        <w:t>设计单位审核：</w:t>
      </w:r>
      <w:r>
        <w:rPr>
          <w:rFonts w:hint="eastAsia" w:ascii="宋体" w:hAnsi="宋体"/>
          <w:color w:val="auto"/>
          <w:szCs w:val="21"/>
          <w:highlight w:val="none"/>
          <w:u w:val="single"/>
        </w:rPr>
        <w:t>承包人施工图设计完成后，需经设计单位审核</w:t>
      </w:r>
      <w:r>
        <w:rPr>
          <w:rFonts w:hint="eastAsia" w:ascii="宋体" w:hAnsi="宋体"/>
          <w:color w:val="auto"/>
          <w:szCs w:val="21"/>
          <w:highlight w:val="none"/>
        </w:rPr>
        <w:t>。</w:t>
      </w:r>
    </w:p>
    <w:p w14:paraId="5077D56B">
      <w:pPr>
        <w:keepNext w:val="0"/>
        <w:keepLines w:val="0"/>
        <w:pageBreakBefore w:val="0"/>
        <w:wordWrap/>
        <w:overflowPunct/>
        <w:topLinePunct w:val="0"/>
        <w:bidi w:val="0"/>
        <w:snapToGrid w:val="0"/>
        <w:spacing w:line="360" w:lineRule="auto"/>
        <w:ind w:left="0" w:leftChars="0" w:firstLine="0" w:firstLineChars="0"/>
        <w:textAlignment w:val="auto"/>
        <w:outlineLvl w:val="3"/>
        <w:rPr>
          <w:rFonts w:hint="default" w:ascii="宋体" w:hAnsi="宋体" w:eastAsia="宋体"/>
          <w:color w:val="auto"/>
          <w:szCs w:val="21"/>
          <w:highlight w:val="none"/>
          <w:lang w:val="en-US" w:eastAsia="zh-CN"/>
        </w:rPr>
      </w:pPr>
      <w:r>
        <w:rPr>
          <w:rFonts w:hint="eastAsia" w:ascii="宋体" w:hAnsi="宋体"/>
          <w:color w:val="auto"/>
          <w:szCs w:val="21"/>
          <w:highlight w:val="none"/>
        </w:rPr>
        <w:t>5.</w:t>
      </w:r>
      <w:r>
        <w:rPr>
          <w:rFonts w:hint="eastAsia" w:ascii="宋体" w:hAnsi="宋体"/>
          <w:color w:val="auto"/>
          <w:szCs w:val="21"/>
          <w:highlight w:val="none"/>
          <w:lang w:val="en-US" w:eastAsia="zh-CN"/>
        </w:rPr>
        <w:t>3</w:t>
      </w:r>
      <w:r>
        <w:rPr>
          <w:rFonts w:hint="eastAsia" w:ascii="宋体" w:hAnsi="宋体"/>
          <w:color w:val="auto"/>
          <w:szCs w:val="21"/>
          <w:highlight w:val="none"/>
        </w:rPr>
        <w:t xml:space="preserve">   </w:t>
      </w:r>
      <w:r>
        <w:rPr>
          <w:rFonts w:hint="eastAsia" w:ascii="宋体" w:hAnsi="宋体"/>
          <w:color w:val="auto"/>
          <w:szCs w:val="21"/>
          <w:highlight w:val="none"/>
          <w:lang w:val="en-US" w:eastAsia="zh-CN"/>
        </w:rPr>
        <w:t>编制依据</w:t>
      </w:r>
    </w:p>
    <w:p w14:paraId="781C7C03">
      <w:pPr>
        <w:snapToGrid w:val="0"/>
        <w:spacing w:line="360" w:lineRule="auto"/>
        <w:ind w:firstLine="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（1）项目划分：依据《光伏发电工程设计概算编制规定及费用标准》NB/T 32027-2016。</w:t>
      </w:r>
    </w:p>
    <w:p w14:paraId="15035530">
      <w:pPr>
        <w:snapToGrid w:val="0"/>
        <w:spacing w:line="360" w:lineRule="auto"/>
        <w:ind w:firstLine="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lang w:val="en-US" w:eastAsia="zh-CN"/>
        </w:rPr>
        <w:t>2</w:t>
      </w:r>
      <w:r>
        <w:rPr>
          <w:rFonts w:hint="eastAsia" w:ascii="宋体" w:hAnsi="宋体" w:eastAsia="宋体" w:cs="Times New Roman"/>
          <w:color w:val="auto"/>
          <w:szCs w:val="21"/>
          <w:highlight w:val="none"/>
        </w:rPr>
        <w:t>）定额及取费：执行《光伏发电工程概算定额》NB/T32035-2016，不足部分参照《电力建设工程定额》（2018版）进行补充。其它费用取费依据《光伏发电工程设计概算编制规定及费用标准》NB/T 32027-2016。</w:t>
      </w:r>
    </w:p>
    <w:p w14:paraId="4892A2B3">
      <w:pPr>
        <w:snapToGrid w:val="0"/>
        <w:spacing w:line="360" w:lineRule="auto"/>
        <w:ind w:firstLine="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lang w:val="en-US" w:eastAsia="zh-CN"/>
        </w:rPr>
        <w:t>3</w:t>
      </w:r>
      <w:r>
        <w:rPr>
          <w:rFonts w:hint="eastAsia" w:ascii="宋体" w:hAnsi="宋体" w:eastAsia="宋体" w:cs="Times New Roman"/>
          <w:color w:val="auto"/>
          <w:szCs w:val="21"/>
          <w:highlight w:val="none"/>
        </w:rPr>
        <w:t>）工程量：各专业提供</w:t>
      </w:r>
      <w:r>
        <w:rPr>
          <w:rFonts w:hint="eastAsia" w:ascii="宋体" w:hAnsi="宋体" w:eastAsia="宋体" w:cs="Times New Roman"/>
          <w:color w:val="auto"/>
          <w:szCs w:val="21"/>
          <w:highlight w:val="none"/>
          <w:lang w:eastAsia="zh-CN"/>
        </w:rPr>
        <w:t>的</w:t>
      </w:r>
      <w:r>
        <w:rPr>
          <w:rFonts w:hint="eastAsia" w:ascii="宋体" w:hAnsi="宋体" w:eastAsia="宋体" w:cs="Times New Roman"/>
          <w:color w:val="auto"/>
          <w:szCs w:val="21"/>
          <w:highlight w:val="none"/>
          <w:lang w:val="en-US" w:eastAsia="zh-CN"/>
        </w:rPr>
        <w:t>施工图设计图纸、说明书及主要设备材料清册</w:t>
      </w:r>
      <w:r>
        <w:rPr>
          <w:rFonts w:hint="eastAsia" w:ascii="宋体" w:hAnsi="宋体" w:eastAsia="宋体" w:cs="Times New Roman"/>
          <w:color w:val="auto"/>
          <w:szCs w:val="21"/>
          <w:highlight w:val="none"/>
        </w:rPr>
        <w:t>。</w:t>
      </w:r>
    </w:p>
    <w:p w14:paraId="49B2BD1E">
      <w:pPr>
        <w:snapToGrid w:val="0"/>
        <w:spacing w:line="360" w:lineRule="auto"/>
        <w:ind w:firstLine="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lang w:val="en-US" w:eastAsia="zh-CN"/>
        </w:rPr>
        <w:t>4</w:t>
      </w:r>
      <w:r>
        <w:rPr>
          <w:rFonts w:hint="eastAsia" w:ascii="宋体" w:hAnsi="宋体" w:eastAsia="宋体" w:cs="Times New Roman"/>
          <w:color w:val="auto"/>
          <w:szCs w:val="21"/>
          <w:highlight w:val="none"/>
        </w:rPr>
        <w:t>）建设期贷款利率按最新公布五年期LPR贷款利率计算</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资本金比例按20%考虑。</w:t>
      </w:r>
    </w:p>
    <w:p w14:paraId="7EE30F48">
      <w:pPr>
        <w:snapToGrid w:val="0"/>
        <w:spacing w:line="360" w:lineRule="auto"/>
        <w:ind w:firstLine="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lang w:val="en-US" w:eastAsia="zh-CN"/>
        </w:rPr>
        <w:t>5</w:t>
      </w:r>
      <w:r>
        <w:rPr>
          <w:rFonts w:hint="eastAsia" w:ascii="宋体" w:hAnsi="宋体" w:eastAsia="宋体" w:cs="Times New Roman"/>
          <w:color w:val="auto"/>
          <w:szCs w:val="21"/>
          <w:highlight w:val="none"/>
        </w:rPr>
        <w:t>）增值税依据《关于调整水电工程、风电场工程及光伏发电工程计价依据中建筑安装工程增值税税率及相关系数的通知》-可再生定额〔2019〕14号。</w:t>
      </w:r>
    </w:p>
    <w:p w14:paraId="2AD64FFF">
      <w:pPr>
        <w:snapToGrid w:val="0"/>
        <w:spacing w:line="360" w:lineRule="auto"/>
        <w:ind w:firstLine="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lang w:val="en-US" w:eastAsia="zh-CN"/>
        </w:rPr>
        <w:t>6</w:t>
      </w: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lang w:val="en-US" w:eastAsia="zh-CN"/>
        </w:rPr>
        <w:t>安全文明施工措施费根据可再生定额【2022】39号文建筑工程5%，安装工程3.75%。</w:t>
      </w:r>
    </w:p>
    <w:p w14:paraId="7813F874">
      <w:pPr>
        <w:snapToGrid w:val="0"/>
        <w:spacing w:line="360" w:lineRule="auto"/>
        <w:ind w:firstLine="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lang w:val="en-US" w:eastAsia="zh-CN"/>
        </w:rPr>
        <w:t>7</w:t>
      </w: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lang w:val="en-US" w:eastAsia="zh-CN"/>
        </w:rPr>
        <w:t>人材机价格依据：</w:t>
      </w:r>
    </w:p>
    <w:p w14:paraId="29D424B1">
      <w:pPr>
        <w:snapToGrid w:val="0"/>
        <w:spacing w:line="360" w:lineRule="auto"/>
        <w:ind w:firstLine="0" w:firstLineChars="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1</w:t>
      </w:r>
      <w:r>
        <w:rPr>
          <w:rFonts w:hint="eastAsia" w:ascii="宋体" w:hAnsi="宋体" w:eastAsia="宋体" w:cs="Times New Roman"/>
          <w:color w:val="auto"/>
          <w:szCs w:val="21"/>
          <w:highlight w:val="none"/>
        </w:rPr>
        <w:t>）人工预算单价按光伏发电定额管理机构发布费用标准计算。</w:t>
      </w:r>
    </w:p>
    <w:p w14:paraId="2D31EB08">
      <w:pPr>
        <w:snapToGrid w:val="0"/>
        <w:spacing w:line="360" w:lineRule="auto"/>
        <w:ind w:firstLine="0" w:firstLineChars="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2）材料：主要消耗性材料按照</w:t>
      </w:r>
      <w:r>
        <w:rPr>
          <w:rFonts w:hint="eastAsia" w:ascii="宋体" w:hAnsi="宋体" w:eastAsia="宋体" w:cs="Times New Roman"/>
          <w:color w:val="auto"/>
          <w:szCs w:val="21"/>
          <w:highlight w:val="none"/>
          <w:lang w:val="en-US" w:eastAsia="zh-CN"/>
        </w:rPr>
        <w:t>当地最新</w:t>
      </w:r>
      <w:r>
        <w:rPr>
          <w:rFonts w:hint="eastAsia" w:ascii="宋体" w:hAnsi="宋体" w:eastAsia="宋体" w:cs="Times New Roman"/>
          <w:color w:val="auto"/>
          <w:szCs w:val="21"/>
          <w:highlight w:val="none"/>
        </w:rPr>
        <w:t>建筑工程信息价计列，装置性材料按近期市场同类价格或按照电力建设工程装置性材料预算价格计列。</w:t>
      </w:r>
    </w:p>
    <w:p w14:paraId="6DAF34A4">
      <w:pPr>
        <w:snapToGrid w:val="0"/>
        <w:spacing w:line="360" w:lineRule="auto"/>
        <w:ind w:firstLine="0" w:firstLineChars="0"/>
        <w:rPr>
          <w:rFonts w:hint="eastAsia" w:ascii="宋体" w:hAnsi="宋体"/>
          <w:color w:val="auto"/>
          <w:szCs w:val="21"/>
          <w:highlight w:val="none"/>
          <w:lang w:val="en-US" w:eastAsia="zh-CN"/>
        </w:rPr>
      </w:pPr>
      <w:r>
        <w:rPr>
          <w:rFonts w:hint="eastAsia" w:ascii="宋体" w:hAnsi="宋体" w:eastAsia="宋体" w:cs="Times New Roman"/>
          <w:color w:val="auto"/>
          <w:szCs w:val="21"/>
          <w:highlight w:val="none"/>
          <w:lang w:val="en-US" w:eastAsia="zh-CN"/>
        </w:rPr>
        <w:t>3</w:t>
      </w:r>
      <w:r>
        <w:rPr>
          <w:rFonts w:hint="eastAsia" w:ascii="宋体" w:hAnsi="宋体" w:eastAsia="宋体" w:cs="Times New Roman"/>
          <w:color w:val="auto"/>
          <w:szCs w:val="21"/>
          <w:highlight w:val="none"/>
        </w:rPr>
        <w:t>）设备价格</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参考</w:t>
      </w:r>
      <w:r>
        <w:rPr>
          <w:rFonts w:hint="eastAsia" w:ascii="宋体" w:hAnsi="宋体" w:eastAsia="宋体" w:cs="Times New Roman"/>
          <w:color w:val="auto"/>
          <w:szCs w:val="21"/>
          <w:highlight w:val="none"/>
          <w:lang w:val="en-US" w:eastAsia="zh-CN"/>
        </w:rPr>
        <w:t>最新设备材料信息价或市场询价、</w:t>
      </w:r>
      <w:r>
        <w:rPr>
          <w:rFonts w:hint="eastAsia" w:ascii="宋体" w:hAnsi="宋体" w:eastAsia="宋体" w:cs="Times New Roman"/>
          <w:color w:val="auto"/>
          <w:szCs w:val="21"/>
          <w:highlight w:val="none"/>
        </w:rPr>
        <w:t>近期同类工程合同价计列。</w:t>
      </w:r>
    </w:p>
    <w:p w14:paraId="1A1D8F6B">
      <w:pPr>
        <w:pStyle w:val="2"/>
        <w:ind w:firstLine="0" w:firstLineChars="0"/>
        <w:rPr>
          <w:color w:val="auto"/>
          <w:highlight w:val="none"/>
        </w:rPr>
      </w:pPr>
    </w:p>
    <w:p w14:paraId="4DCF05BD">
      <w:pPr>
        <w:keepNext w:val="0"/>
        <w:keepLines w:val="0"/>
        <w:pageBreakBefore w:val="0"/>
        <w:wordWrap/>
        <w:overflowPunct/>
        <w:topLinePunct w:val="0"/>
        <w:bidi w:val="0"/>
        <w:snapToGrid w:val="0"/>
        <w:spacing w:line="360" w:lineRule="auto"/>
        <w:ind w:left="0" w:leftChars="0" w:firstLine="0" w:firstLineChars="0"/>
        <w:textAlignment w:val="auto"/>
        <w:outlineLvl w:val="2"/>
        <w:rPr>
          <w:rFonts w:ascii="宋体" w:hAnsi="宋体"/>
          <w:b/>
          <w:color w:val="auto"/>
          <w:szCs w:val="21"/>
          <w:highlight w:val="none"/>
        </w:rPr>
      </w:pPr>
      <w:bookmarkStart w:id="253" w:name="_Toc80633176"/>
      <w:bookmarkStart w:id="254" w:name="_Toc363719019"/>
      <w:bookmarkStart w:id="255" w:name="_Toc76720041"/>
      <w:r>
        <w:rPr>
          <w:rFonts w:hint="eastAsia" w:ascii="宋体" w:hAnsi="宋体"/>
          <w:b/>
          <w:color w:val="auto"/>
          <w:szCs w:val="21"/>
          <w:highlight w:val="none"/>
        </w:rPr>
        <w:t>第</w:t>
      </w:r>
      <w:r>
        <w:rPr>
          <w:rFonts w:ascii="宋体" w:hAnsi="宋体"/>
          <w:b/>
          <w:color w:val="auto"/>
          <w:szCs w:val="21"/>
          <w:highlight w:val="none"/>
        </w:rPr>
        <w:t>6</w:t>
      </w:r>
      <w:r>
        <w:rPr>
          <w:rFonts w:hint="eastAsia" w:ascii="宋体" w:hAnsi="宋体"/>
          <w:b/>
          <w:color w:val="auto"/>
          <w:szCs w:val="21"/>
          <w:highlight w:val="none"/>
        </w:rPr>
        <w:t>条</w:t>
      </w:r>
      <w:r>
        <w:rPr>
          <w:rFonts w:hint="eastAsia" w:ascii="宋体" w:hAnsi="宋体"/>
          <w:b/>
          <w:color w:val="auto"/>
          <w:szCs w:val="21"/>
          <w:highlight w:val="none"/>
        </w:rPr>
        <w:tab/>
      </w:r>
      <w:r>
        <w:rPr>
          <w:rFonts w:hint="eastAsia" w:ascii="宋体" w:hAnsi="宋体"/>
          <w:b/>
          <w:color w:val="auto"/>
          <w:szCs w:val="21"/>
          <w:highlight w:val="none"/>
        </w:rPr>
        <w:t>工程物资</w:t>
      </w:r>
      <w:bookmarkEnd w:id="253"/>
      <w:bookmarkEnd w:id="254"/>
      <w:bookmarkEnd w:id="255"/>
    </w:p>
    <w:p w14:paraId="0BE23DAC">
      <w:pPr>
        <w:keepNext w:val="0"/>
        <w:keepLines w:val="0"/>
        <w:pageBreakBefore w:val="0"/>
        <w:wordWrap/>
        <w:overflowPunct/>
        <w:topLinePunct w:val="0"/>
        <w:bidi w:val="0"/>
        <w:snapToGrid w:val="0"/>
        <w:spacing w:line="360" w:lineRule="auto"/>
        <w:ind w:left="0" w:leftChars="0" w:firstLine="0" w:firstLineChars="0"/>
        <w:textAlignment w:val="auto"/>
        <w:outlineLvl w:val="3"/>
        <w:rPr>
          <w:rFonts w:ascii="宋体" w:hAnsi="宋体"/>
          <w:color w:val="auto"/>
          <w:szCs w:val="21"/>
          <w:highlight w:val="none"/>
        </w:rPr>
      </w:pPr>
      <w:bookmarkStart w:id="256" w:name="_Toc76720042"/>
      <w:r>
        <w:rPr>
          <w:rFonts w:hint="eastAsia" w:ascii="宋体" w:hAnsi="宋体"/>
          <w:color w:val="auto"/>
          <w:szCs w:val="21"/>
          <w:highlight w:val="none"/>
        </w:rPr>
        <w:t>6.1    工程物资的提供</w:t>
      </w:r>
      <w:bookmarkEnd w:id="256"/>
    </w:p>
    <w:p w14:paraId="3617700E">
      <w:pPr>
        <w:keepNext w:val="0"/>
        <w:keepLines w:val="0"/>
        <w:pageBreakBefore w:val="0"/>
        <w:tabs>
          <w:tab w:val="left" w:pos="900"/>
        </w:tabs>
        <w:wordWrap/>
        <w:overflowPunct/>
        <w:topLinePunct w:val="0"/>
        <w:bidi w:val="0"/>
        <w:snapToGrid w:val="0"/>
        <w:spacing w:line="360" w:lineRule="auto"/>
        <w:ind w:left="0" w:leftChars="0" w:firstLine="0" w:firstLineChars="0"/>
        <w:textAlignment w:val="auto"/>
        <w:rPr>
          <w:rFonts w:ascii="宋体" w:hAnsi="宋体"/>
          <w:color w:val="auto"/>
          <w:szCs w:val="21"/>
          <w:highlight w:val="none"/>
          <w:u w:val="single"/>
        </w:rPr>
      </w:pPr>
      <w:r>
        <w:rPr>
          <w:rFonts w:hint="eastAsia" w:ascii="宋体" w:hAnsi="宋体"/>
          <w:color w:val="auto"/>
          <w:szCs w:val="21"/>
          <w:highlight w:val="none"/>
        </w:rPr>
        <w:t>6.1.1   发包人提供的永久性工程的设备、材料和部件类别、估算数量或（和）规格清单：</w:t>
      </w:r>
      <w:r>
        <w:rPr>
          <w:rFonts w:hint="eastAsia" w:ascii="宋体" w:hAnsi="宋体"/>
          <w:color w:val="auto"/>
          <w:szCs w:val="21"/>
          <w:highlight w:val="none"/>
          <w:u w:val="single"/>
        </w:rPr>
        <w:t xml:space="preserve">   无  </w:t>
      </w:r>
      <w:r>
        <w:rPr>
          <w:rFonts w:hint="eastAsia" w:ascii="宋体" w:hAnsi="宋体"/>
          <w:color w:val="auto"/>
          <w:szCs w:val="21"/>
          <w:highlight w:val="none"/>
        </w:rPr>
        <w:t>；</w:t>
      </w:r>
    </w:p>
    <w:p w14:paraId="769820FD">
      <w:pPr>
        <w:keepNext w:val="0"/>
        <w:keepLines w:val="0"/>
        <w:pageBreakBefore w:val="0"/>
        <w:tabs>
          <w:tab w:val="left" w:pos="900"/>
        </w:tabs>
        <w:wordWrap/>
        <w:overflowPunct/>
        <w:topLinePunct w:val="0"/>
        <w:bidi w:val="0"/>
        <w:snapToGrid w:val="0"/>
        <w:spacing w:line="360" w:lineRule="auto"/>
        <w:ind w:left="0" w:leftChars="0" w:firstLine="0" w:firstLineChars="0"/>
        <w:textAlignment w:val="auto"/>
        <w:rPr>
          <w:rFonts w:ascii="宋体" w:hAnsi="宋体"/>
          <w:color w:val="auto"/>
          <w:szCs w:val="21"/>
          <w:highlight w:val="none"/>
        </w:rPr>
      </w:pPr>
      <w:r>
        <w:rPr>
          <w:rFonts w:hint="eastAsia" w:ascii="宋体" w:hAnsi="宋体"/>
          <w:color w:val="auto"/>
          <w:szCs w:val="21"/>
          <w:highlight w:val="none"/>
        </w:rPr>
        <w:t>6.1.2   承包人提供永久性工程的设备、材料和部件类别、估算数量或（和）规格清单：</w:t>
      </w:r>
      <w:r>
        <w:rPr>
          <w:rFonts w:hint="eastAsia" w:ascii="宋体" w:hAnsi="宋体"/>
          <w:color w:val="auto"/>
          <w:szCs w:val="21"/>
          <w:highlight w:val="none"/>
          <w:u w:val="single"/>
        </w:rPr>
        <w:t>承包人负责提供除发包人依据本合同约定提供的设备、材料和部件以外的本工程的全部永久性工程的设备、材料和部件</w:t>
      </w:r>
      <w:r>
        <w:rPr>
          <w:rFonts w:hint="eastAsia" w:ascii="宋体" w:hAnsi="宋体"/>
          <w:color w:val="auto"/>
          <w:szCs w:val="21"/>
          <w:highlight w:val="none"/>
        </w:rPr>
        <w:t>；</w:t>
      </w:r>
    </w:p>
    <w:tbl>
      <w:tblPr>
        <w:tblStyle w:val="470"/>
        <w:tblW w:w="91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2227"/>
        <w:gridCol w:w="6114"/>
      </w:tblGrid>
      <w:tr w14:paraId="37906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29" w:type="dxa"/>
            <w:noWrap w:val="0"/>
            <w:vAlign w:val="top"/>
          </w:tcPr>
          <w:p w14:paraId="10316089">
            <w:pPr>
              <w:pStyle w:val="2"/>
              <w:ind w:firstLine="0" w:firstLineChars="0"/>
              <w:jc w:val="center"/>
              <w:rPr>
                <w:rFonts w:hint="eastAsia"/>
                <w:color w:val="auto"/>
                <w:highlight w:val="none"/>
              </w:rPr>
            </w:pPr>
            <w:r>
              <w:rPr>
                <w:rFonts w:hint="eastAsia" w:ascii="宋体" w:hAnsi="宋体" w:cs="宋体"/>
                <w:b/>
                <w:bCs/>
                <w:color w:val="auto"/>
                <w:kern w:val="0"/>
                <w:szCs w:val="21"/>
                <w:highlight w:val="none"/>
              </w:rPr>
              <w:t>序号</w:t>
            </w:r>
          </w:p>
        </w:tc>
        <w:tc>
          <w:tcPr>
            <w:tcW w:w="2227" w:type="dxa"/>
            <w:noWrap w:val="0"/>
            <w:vAlign w:val="top"/>
          </w:tcPr>
          <w:p w14:paraId="5198D1A7">
            <w:pPr>
              <w:pStyle w:val="2"/>
              <w:ind w:firstLine="0" w:firstLineChars="0"/>
              <w:jc w:val="center"/>
              <w:rPr>
                <w:rFonts w:hint="eastAsia"/>
                <w:color w:val="auto"/>
                <w:highlight w:val="none"/>
              </w:rPr>
            </w:pPr>
            <w:r>
              <w:rPr>
                <w:rFonts w:hint="eastAsia" w:ascii="宋体" w:hAnsi="宋体" w:cs="宋体"/>
                <w:b/>
                <w:bCs/>
                <w:color w:val="auto"/>
                <w:kern w:val="0"/>
                <w:szCs w:val="21"/>
                <w:highlight w:val="none"/>
              </w:rPr>
              <w:t>名称</w:t>
            </w:r>
          </w:p>
        </w:tc>
        <w:tc>
          <w:tcPr>
            <w:tcW w:w="6114" w:type="dxa"/>
            <w:noWrap w:val="0"/>
            <w:vAlign w:val="top"/>
          </w:tcPr>
          <w:p w14:paraId="6C638B4B">
            <w:pPr>
              <w:pStyle w:val="2"/>
              <w:ind w:firstLine="0" w:firstLineChars="0"/>
              <w:jc w:val="center"/>
              <w:rPr>
                <w:rFonts w:hint="eastAsia"/>
                <w:color w:val="auto"/>
                <w:highlight w:val="none"/>
              </w:rPr>
            </w:pPr>
            <w:r>
              <w:rPr>
                <w:rFonts w:hint="eastAsia" w:ascii="宋体" w:hAnsi="宋体" w:cs="宋体"/>
                <w:b/>
                <w:bCs/>
                <w:color w:val="auto"/>
                <w:kern w:val="0"/>
                <w:szCs w:val="21"/>
                <w:highlight w:val="none"/>
              </w:rPr>
              <w:t>型号</w:t>
            </w:r>
          </w:p>
        </w:tc>
      </w:tr>
      <w:tr w14:paraId="42682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829" w:type="dxa"/>
            <w:noWrap w:val="0"/>
            <w:vAlign w:val="center"/>
          </w:tcPr>
          <w:p w14:paraId="6242DDDD">
            <w:pPr>
              <w:pStyle w:val="2"/>
              <w:ind w:firstLine="0" w:firstLineChars="0"/>
              <w:jc w:val="center"/>
              <w:rPr>
                <w:rFonts w:hint="eastAsia"/>
                <w:color w:val="auto"/>
                <w:highlight w:val="none"/>
              </w:rPr>
            </w:pPr>
            <w:r>
              <w:rPr>
                <w:rFonts w:hint="eastAsia"/>
                <w:color w:val="auto"/>
                <w:highlight w:val="none"/>
              </w:rPr>
              <w:t>1</w:t>
            </w:r>
          </w:p>
        </w:tc>
        <w:tc>
          <w:tcPr>
            <w:tcW w:w="2227" w:type="dxa"/>
            <w:noWrap w:val="0"/>
            <w:vAlign w:val="center"/>
          </w:tcPr>
          <w:p w14:paraId="2516D363">
            <w:pPr>
              <w:pStyle w:val="2"/>
              <w:ind w:firstLine="0" w:firstLineChars="0"/>
              <w:rPr>
                <w:rFonts w:hint="eastAsia"/>
                <w:color w:val="auto"/>
                <w:highlight w:val="none"/>
              </w:rPr>
            </w:pPr>
            <w:r>
              <w:rPr>
                <w:rFonts w:hint="eastAsia" w:ascii="宋体" w:hAnsi="宋体"/>
                <w:color w:val="auto"/>
                <w:kern w:val="0"/>
                <w:sz w:val="20"/>
                <w:highlight w:val="none"/>
              </w:rPr>
              <w:t>光伏组件</w:t>
            </w:r>
          </w:p>
        </w:tc>
        <w:tc>
          <w:tcPr>
            <w:tcW w:w="6114" w:type="dxa"/>
            <w:noWrap w:val="0"/>
            <w:vAlign w:val="top"/>
          </w:tcPr>
          <w:p w14:paraId="6D401332">
            <w:pPr>
              <w:pStyle w:val="2"/>
              <w:ind w:firstLine="0" w:firstLineChars="0"/>
              <w:rPr>
                <w:rFonts w:hint="eastAsia"/>
                <w:color w:val="auto"/>
                <w:highlight w:val="none"/>
              </w:rPr>
            </w:pPr>
            <w:r>
              <w:rPr>
                <w:rFonts w:hint="eastAsia" w:ascii="宋体" w:hAnsi="宋体" w:cs="宋体"/>
                <w:color w:val="auto"/>
                <w:kern w:val="0"/>
                <w:szCs w:val="21"/>
                <w:highlight w:val="none"/>
                <w:lang w:val="en-US" w:eastAsia="zh-CN"/>
              </w:rPr>
              <w:t>选用双玻双面</w:t>
            </w:r>
            <w:r>
              <w:rPr>
                <w:rFonts w:hint="eastAsia" w:ascii="宋体" w:hAnsi="宋体" w:cs="宋体"/>
                <w:color w:val="auto"/>
                <w:kern w:val="0"/>
                <w:szCs w:val="21"/>
                <w:highlight w:val="none"/>
              </w:rPr>
              <w:t>单晶硅，参照品牌：天合、</w:t>
            </w:r>
            <w:r>
              <w:rPr>
                <w:rFonts w:hint="eastAsia" w:ascii="宋体" w:hAnsi="宋体" w:cs="宋体"/>
                <w:color w:val="auto"/>
                <w:kern w:val="0"/>
                <w:szCs w:val="21"/>
                <w:highlight w:val="none"/>
                <w:lang w:val="en-US" w:eastAsia="zh-CN"/>
              </w:rPr>
              <w:t>通威</w:t>
            </w:r>
            <w:r>
              <w:rPr>
                <w:rFonts w:hint="eastAsia" w:ascii="宋体" w:hAnsi="宋体" w:cs="宋体"/>
                <w:color w:val="auto"/>
                <w:kern w:val="0"/>
                <w:szCs w:val="21"/>
                <w:highlight w:val="none"/>
              </w:rPr>
              <w:t>、晶科</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（或其他</w:t>
            </w:r>
            <w:r>
              <w:rPr>
                <w:rFonts w:hint="eastAsia" w:ascii="宋体" w:hAnsi="宋体" w:eastAsia="宋体" w:cs="宋体"/>
                <w:color w:val="auto"/>
                <w:kern w:val="0"/>
                <w:szCs w:val="21"/>
                <w:highlight w:val="none"/>
              </w:rPr>
              <w:t>同等</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或以上</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档次品牌或者生产供应商</w:t>
            </w:r>
            <w:r>
              <w:rPr>
                <w:rFonts w:hint="eastAsia" w:ascii="宋体" w:hAnsi="宋体" w:eastAsia="宋体" w:cs="宋体"/>
                <w:color w:val="auto"/>
                <w:kern w:val="0"/>
                <w:szCs w:val="21"/>
                <w:highlight w:val="none"/>
              </w:rPr>
              <w:t>）</w:t>
            </w:r>
          </w:p>
        </w:tc>
      </w:tr>
      <w:tr w14:paraId="25917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jc w:val="center"/>
        </w:trPr>
        <w:tc>
          <w:tcPr>
            <w:tcW w:w="829" w:type="dxa"/>
            <w:noWrap w:val="0"/>
            <w:vAlign w:val="center"/>
          </w:tcPr>
          <w:p w14:paraId="7434EB6D">
            <w:pPr>
              <w:pStyle w:val="2"/>
              <w:ind w:firstLine="0" w:firstLineChars="0"/>
              <w:jc w:val="center"/>
              <w:rPr>
                <w:rFonts w:hint="eastAsia"/>
                <w:color w:val="auto"/>
                <w:highlight w:val="none"/>
              </w:rPr>
            </w:pPr>
            <w:r>
              <w:rPr>
                <w:rFonts w:hint="eastAsia"/>
                <w:color w:val="auto"/>
                <w:highlight w:val="none"/>
              </w:rPr>
              <w:t>2</w:t>
            </w:r>
          </w:p>
        </w:tc>
        <w:tc>
          <w:tcPr>
            <w:tcW w:w="2227" w:type="dxa"/>
            <w:noWrap w:val="0"/>
            <w:vAlign w:val="center"/>
          </w:tcPr>
          <w:p w14:paraId="6F659176">
            <w:pPr>
              <w:pStyle w:val="2"/>
              <w:ind w:firstLine="0" w:firstLineChars="0"/>
              <w:rPr>
                <w:rFonts w:hint="eastAsia" w:eastAsia="宋体"/>
                <w:color w:val="auto"/>
                <w:highlight w:val="none"/>
                <w:lang w:eastAsia="zh-CN"/>
              </w:rPr>
            </w:pPr>
            <w:r>
              <w:rPr>
                <w:rFonts w:hint="eastAsia" w:ascii="宋体" w:hAnsi="宋体"/>
                <w:color w:val="auto"/>
                <w:kern w:val="0"/>
                <w:sz w:val="20"/>
                <w:szCs w:val="20"/>
                <w:highlight w:val="none"/>
              </w:rPr>
              <w:t>低压开关柜</w:t>
            </w:r>
            <w:r>
              <w:rPr>
                <w:rFonts w:hint="eastAsia" w:ascii="宋体" w:hAnsi="宋体"/>
                <w:color w:val="auto"/>
                <w:kern w:val="0"/>
                <w:sz w:val="20"/>
                <w:szCs w:val="20"/>
                <w:highlight w:val="none"/>
                <w:lang w:eastAsia="zh-CN"/>
              </w:rPr>
              <w:t>（</w:t>
            </w:r>
            <w:r>
              <w:rPr>
                <w:rFonts w:hint="eastAsia" w:ascii="宋体" w:hAnsi="宋体"/>
                <w:color w:val="auto"/>
                <w:kern w:val="0"/>
                <w:sz w:val="20"/>
                <w:szCs w:val="20"/>
                <w:highlight w:val="none"/>
                <w:lang w:val="en-US" w:eastAsia="zh-CN"/>
              </w:rPr>
              <w:t>开关品牌</w:t>
            </w:r>
            <w:r>
              <w:rPr>
                <w:rFonts w:hint="eastAsia" w:ascii="宋体" w:hAnsi="宋体"/>
                <w:color w:val="auto"/>
                <w:kern w:val="0"/>
                <w:sz w:val="20"/>
                <w:szCs w:val="20"/>
                <w:highlight w:val="none"/>
                <w:lang w:eastAsia="zh-CN"/>
              </w:rPr>
              <w:t>）</w:t>
            </w:r>
          </w:p>
        </w:tc>
        <w:tc>
          <w:tcPr>
            <w:tcW w:w="6114" w:type="dxa"/>
            <w:noWrap w:val="0"/>
            <w:vAlign w:val="top"/>
          </w:tcPr>
          <w:p w14:paraId="461108D0">
            <w:pPr>
              <w:widowControl/>
              <w:spacing w:line="360" w:lineRule="auto"/>
              <w:jc w:val="left"/>
              <w:rPr>
                <w:rFonts w:hint="eastAsia"/>
                <w:color w:val="auto"/>
                <w:highlight w:val="none"/>
              </w:rPr>
            </w:pPr>
            <w:r>
              <w:rPr>
                <w:rFonts w:hint="eastAsia"/>
                <w:color w:val="auto"/>
                <w:highlight w:val="none"/>
              </w:rPr>
              <w:t>低压开关柜（具体按</w:t>
            </w:r>
            <w:r>
              <w:rPr>
                <w:rFonts w:hint="eastAsia"/>
                <w:color w:val="auto"/>
                <w:highlight w:val="none"/>
                <w:lang w:val="en-US" w:eastAsia="zh-CN"/>
              </w:rPr>
              <w:t>供电局</w:t>
            </w:r>
            <w:r>
              <w:rPr>
                <w:rFonts w:hint="eastAsia"/>
                <w:color w:val="auto"/>
                <w:highlight w:val="none"/>
              </w:rPr>
              <w:t>审核通过的图纸）</w:t>
            </w:r>
          </w:p>
          <w:p w14:paraId="4E82108F">
            <w:pPr>
              <w:pStyle w:val="2"/>
              <w:ind w:firstLine="0" w:firstLineChars="0"/>
              <w:rPr>
                <w:rFonts w:hint="eastAsia"/>
                <w:color w:val="auto"/>
                <w:highlight w:val="none"/>
              </w:rPr>
            </w:pPr>
            <w:r>
              <w:rPr>
                <w:rFonts w:hint="eastAsia"/>
                <w:color w:val="auto"/>
                <w:highlight w:val="none"/>
              </w:rPr>
              <w:t>参照品牌：国瑞、</w:t>
            </w:r>
            <w:r>
              <w:rPr>
                <w:rFonts w:hint="eastAsia"/>
                <w:color w:val="auto"/>
                <w:highlight w:val="none"/>
                <w:lang w:val="en-US" w:eastAsia="zh-CN"/>
              </w:rPr>
              <w:t>白云电气、</w:t>
            </w:r>
            <w:r>
              <w:rPr>
                <w:rFonts w:hint="eastAsia"/>
                <w:color w:val="auto"/>
                <w:highlight w:val="none"/>
              </w:rPr>
              <w:t>爱斯凯（或其他同等</w:t>
            </w:r>
            <w:r>
              <w:rPr>
                <w:rFonts w:hint="eastAsia"/>
                <w:color w:val="auto"/>
                <w:highlight w:val="none"/>
                <w:lang w:eastAsia="zh-CN"/>
              </w:rPr>
              <w:t>（</w:t>
            </w:r>
            <w:r>
              <w:rPr>
                <w:rFonts w:hint="eastAsia"/>
                <w:color w:val="auto"/>
                <w:highlight w:val="none"/>
                <w:lang w:val="en-US" w:eastAsia="zh-CN"/>
              </w:rPr>
              <w:t>或以上</w:t>
            </w:r>
            <w:r>
              <w:rPr>
                <w:rFonts w:hint="eastAsia"/>
                <w:color w:val="auto"/>
                <w:highlight w:val="none"/>
                <w:lang w:eastAsia="zh-CN"/>
              </w:rPr>
              <w:t>）</w:t>
            </w:r>
            <w:r>
              <w:rPr>
                <w:rFonts w:hint="eastAsia"/>
                <w:color w:val="auto"/>
                <w:highlight w:val="none"/>
                <w:lang w:val="en-US" w:eastAsia="zh-CN"/>
              </w:rPr>
              <w:t>档次品牌或者生产供应商</w:t>
            </w:r>
            <w:r>
              <w:rPr>
                <w:rFonts w:hint="eastAsia"/>
                <w:color w:val="auto"/>
                <w:highlight w:val="none"/>
              </w:rPr>
              <w:t>）</w:t>
            </w:r>
          </w:p>
          <w:p w14:paraId="576E83D6">
            <w:pPr>
              <w:pStyle w:val="2"/>
              <w:ind w:firstLine="0" w:firstLineChars="0"/>
              <w:rPr>
                <w:rFonts w:hint="eastAsia"/>
                <w:color w:val="auto"/>
                <w:highlight w:val="none"/>
              </w:rPr>
            </w:pPr>
            <w:r>
              <w:rPr>
                <w:rFonts w:hint="eastAsia" w:ascii="宋体" w:hAnsi="宋体" w:eastAsia="宋体" w:cs="宋体"/>
                <w:color w:val="auto"/>
                <w:kern w:val="0"/>
                <w:szCs w:val="21"/>
                <w:highlight w:val="none"/>
                <w:lang w:val="en-US" w:eastAsia="zh-CN"/>
              </w:rPr>
              <w:t>高低压柜中的开关品牌要求：常熟、良信、大全</w:t>
            </w:r>
            <w:r>
              <w:rPr>
                <w:rFonts w:hint="eastAsia" w:ascii="宋体" w:hAnsi="宋体" w:cs="宋体"/>
                <w:color w:val="auto"/>
                <w:kern w:val="0"/>
                <w:szCs w:val="21"/>
                <w:highlight w:val="none"/>
                <w:lang w:val="en-US" w:eastAsia="zh-CN"/>
              </w:rPr>
              <w:t>、正泰</w:t>
            </w:r>
            <w:r>
              <w:rPr>
                <w:rFonts w:hint="eastAsia"/>
                <w:color w:val="auto"/>
                <w:highlight w:val="none"/>
              </w:rPr>
              <w:t>（或其他同等</w:t>
            </w:r>
            <w:r>
              <w:rPr>
                <w:rFonts w:hint="eastAsia"/>
                <w:color w:val="auto"/>
                <w:highlight w:val="none"/>
                <w:lang w:eastAsia="zh-CN"/>
              </w:rPr>
              <w:t>（</w:t>
            </w:r>
            <w:r>
              <w:rPr>
                <w:rFonts w:hint="eastAsia"/>
                <w:color w:val="auto"/>
                <w:highlight w:val="none"/>
                <w:lang w:val="en-US" w:eastAsia="zh-CN"/>
              </w:rPr>
              <w:t>或以上</w:t>
            </w:r>
            <w:r>
              <w:rPr>
                <w:rFonts w:hint="eastAsia"/>
                <w:color w:val="auto"/>
                <w:highlight w:val="none"/>
                <w:lang w:eastAsia="zh-CN"/>
              </w:rPr>
              <w:t>）</w:t>
            </w:r>
            <w:r>
              <w:rPr>
                <w:rFonts w:hint="eastAsia"/>
                <w:color w:val="auto"/>
                <w:highlight w:val="none"/>
                <w:lang w:val="en-US" w:eastAsia="zh-CN"/>
              </w:rPr>
              <w:t>档次品牌或者生产供应商</w:t>
            </w:r>
            <w:r>
              <w:rPr>
                <w:rFonts w:hint="eastAsia"/>
                <w:color w:val="auto"/>
                <w:highlight w:val="none"/>
              </w:rPr>
              <w:t>）</w:t>
            </w:r>
          </w:p>
          <w:p w14:paraId="5C95E23E">
            <w:pPr>
              <w:rPr>
                <w:rFonts w:hint="default" w:eastAsia="宋体"/>
                <w:color w:val="auto"/>
                <w:highlight w:val="none"/>
                <w:lang w:val="en-US" w:eastAsia="zh-CN"/>
              </w:rPr>
            </w:pPr>
          </w:p>
        </w:tc>
      </w:tr>
      <w:tr w14:paraId="786D0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jc w:val="center"/>
        </w:trPr>
        <w:tc>
          <w:tcPr>
            <w:tcW w:w="829" w:type="dxa"/>
            <w:noWrap w:val="0"/>
            <w:vAlign w:val="center"/>
          </w:tcPr>
          <w:p w14:paraId="367B1F85">
            <w:pPr>
              <w:pStyle w:val="2"/>
              <w:ind w:firstLine="0" w:firstLineChars="0"/>
              <w:jc w:val="center"/>
              <w:rPr>
                <w:rFonts w:hint="eastAsia"/>
                <w:color w:val="auto"/>
                <w:highlight w:val="none"/>
              </w:rPr>
            </w:pPr>
            <w:r>
              <w:rPr>
                <w:rFonts w:hint="eastAsia"/>
                <w:color w:val="auto"/>
                <w:highlight w:val="none"/>
              </w:rPr>
              <w:t>3</w:t>
            </w:r>
          </w:p>
        </w:tc>
        <w:tc>
          <w:tcPr>
            <w:tcW w:w="2227" w:type="dxa"/>
            <w:noWrap w:val="0"/>
            <w:vAlign w:val="center"/>
          </w:tcPr>
          <w:p w14:paraId="37EA532F">
            <w:pPr>
              <w:pStyle w:val="2"/>
              <w:ind w:firstLine="0" w:firstLineChars="0"/>
              <w:rPr>
                <w:rFonts w:hint="eastAsia"/>
                <w:color w:val="auto"/>
                <w:highlight w:val="none"/>
              </w:rPr>
            </w:pPr>
            <w:r>
              <w:rPr>
                <w:rFonts w:hint="eastAsia" w:ascii="宋体" w:hAnsi="宋体"/>
                <w:color w:val="auto"/>
                <w:kern w:val="0"/>
                <w:sz w:val="20"/>
                <w:szCs w:val="20"/>
                <w:highlight w:val="none"/>
              </w:rPr>
              <w:t>箱变</w:t>
            </w:r>
          </w:p>
        </w:tc>
        <w:tc>
          <w:tcPr>
            <w:tcW w:w="6114" w:type="dxa"/>
            <w:noWrap w:val="0"/>
            <w:vAlign w:val="top"/>
          </w:tcPr>
          <w:p w14:paraId="04840573">
            <w:pPr>
              <w:widowControl/>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10kV升压箱变（具体型号按供电局审核通过的图纸）</w:t>
            </w:r>
          </w:p>
          <w:p w14:paraId="7CA38D7C">
            <w:pPr>
              <w:pStyle w:val="2"/>
              <w:ind w:firstLine="0" w:firstLineChars="0"/>
              <w:rPr>
                <w:rFonts w:hint="eastAsia"/>
                <w:color w:val="auto"/>
                <w:highlight w:val="none"/>
              </w:rPr>
            </w:pPr>
            <w:r>
              <w:rPr>
                <w:rFonts w:hint="eastAsia" w:ascii="宋体" w:hAnsi="宋体" w:cs="宋体"/>
                <w:color w:val="auto"/>
                <w:kern w:val="0"/>
                <w:szCs w:val="21"/>
                <w:highlight w:val="none"/>
              </w:rPr>
              <w:t>参照</w:t>
            </w:r>
            <w:r>
              <w:rPr>
                <w:rFonts w:hint="eastAsia" w:ascii="宋体" w:hAnsi="宋体" w:eastAsia="宋体" w:cs="宋体"/>
                <w:color w:val="auto"/>
                <w:kern w:val="0"/>
                <w:szCs w:val="21"/>
                <w:highlight w:val="none"/>
              </w:rPr>
              <w:t>品牌：顺特电气、特变、</w:t>
            </w:r>
            <w:r>
              <w:rPr>
                <w:rFonts w:hint="eastAsia" w:ascii="宋体" w:hAnsi="宋体" w:cs="宋体"/>
                <w:color w:val="auto"/>
                <w:kern w:val="0"/>
                <w:szCs w:val="21"/>
                <w:highlight w:val="none"/>
                <w:lang w:val="en-US" w:eastAsia="zh-CN"/>
              </w:rPr>
              <w:t>广特</w:t>
            </w:r>
            <w:r>
              <w:rPr>
                <w:rFonts w:hint="eastAsia" w:ascii="宋体" w:hAnsi="宋体" w:cs="宋体"/>
                <w:color w:val="auto"/>
                <w:kern w:val="0"/>
                <w:szCs w:val="21"/>
                <w:highlight w:val="none"/>
              </w:rPr>
              <w:t>（或其他</w:t>
            </w:r>
            <w:r>
              <w:rPr>
                <w:rFonts w:hint="eastAsia" w:ascii="宋体" w:hAnsi="宋体" w:eastAsia="宋体" w:cs="宋体"/>
                <w:color w:val="auto"/>
                <w:kern w:val="0"/>
                <w:szCs w:val="21"/>
                <w:highlight w:val="none"/>
              </w:rPr>
              <w:t>同等</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或以上</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档次品牌或者生产供应商</w:t>
            </w:r>
            <w:r>
              <w:rPr>
                <w:rFonts w:hint="eastAsia" w:ascii="宋体" w:hAnsi="宋体" w:eastAsia="宋体" w:cs="宋体"/>
                <w:color w:val="auto"/>
                <w:kern w:val="0"/>
                <w:szCs w:val="21"/>
                <w:highlight w:val="none"/>
              </w:rPr>
              <w:t>）</w:t>
            </w:r>
          </w:p>
        </w:tc>
      </w:tr>
      <w:tr w14:paraId="6A211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jc w:val="center"/>
        </w:trPr>
        <w:tc>
          <w:tcPr>
            <w:tcW w:w="829" w:type="dxa"/>
            <w:noWrap w:val="0"/>
            <w:vAlign w:val="center"/>
          </w:tcPr>
          <w:p w14:paraId="07AD4721">
            <w:pPr>
              <w:pStyle w:val="2"/>
              <w:ind w:firstLine="0" w:firstLineChars="0"/>
              <w:jc w:val="center"/>
              <w:rPr>
                <w:rFonts w:hint="eastAsia"/>
                <w:color w:val="auto"/>
                <w:highlight w:val="none"/>
              </w:rPr>
            </w:pPr>
            <w:r>
              <w:rPr>
                <w:rFonts w:hint="eastAsia"/>
                <w:color w:val="auto"/>
                <w:highlight w:val="none"/>
              </w:rPr>
              <w:t>4</w:t>
            </w:r>
          </w:p>
        </w:tc>
        <w:tc>
          <w:tcPr>
            <w:tcW w:w="2227" w:type="dxa"/>
            <w:noWrap w:val="0"/>
            <w:vAlign w:val="center"/>
          </w:tcPr>
          <w:p w14:paraId="70156FAB">
            <w:pPr>
              <w:pStyle w:val="2"/>
              <w:ind w:firstLine="0" w:firstLineChars="0"/>
              <w:rPr>
                <w:rFonts w:hint="eastAsia"/>
                <w:color w:val="auto"/>
                <w:highlight w:val="none"/>
              </w:rPr>
            </w:pPr>
            <w:r>
              <w:rPr>
                <w:rFonts w:hint="eastAsia" w:ascii="宋体" w:hAnsi="宋体"/>
                <w:color w:val="auto"/>
                <w:kern w:val="0"/>
                <w:sz w:val="20"/>
                <w:highlight w:val="none"/>
              </w:rPr>
              <w:t>并网逆变器</w:t>
            </w:r>
          </w:p>
        </w:tc>
        <w:tc>
          <w:tcPr>
            <w:tcW w:w="6114" w:type="dxa"/>
            <w:noWrap w:val="0"/>
            <w:vAlign w:val="top"/>
          </w:tcPr>
          <w:p w14:paraId="490BDCEC">
            <w:pPr>
              <w:widowControl/>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具体型号按供电局审核通过的图纸;</w:t>
            </w:r>
          </w:p>
          <w:p w14:paraId="4EAC779E">
            <w:pPr>
              <w:pStyle w:val="2"/>
              <w:ind w:firstLine="0" w:firstLineChars="0"/>
              <w:rPr>
                <w:rFonts w:hint="eastAsia"/>
                <w:color w:val="auto"/>
                <w:highlight w:val="none"/>
              </w:rPr>
            </w:pPr>
            <w:r>
              <w:rPr>
                <w:rFonts w:hint="eastAsia" w:ascii="宋体" w:hAnsi="宋体" w:cs="宋体"/>
                <w:color w:val="auto"/>
                <w:kern w:val="0"/>
                <w:szCs w:val="21"/>
                <w:highlight w:val="none"/>
              </w:rPr>
              <w:t>参照品牌：华为、阳光电源</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古瑞瓦特</w:t>
            </w:r>
            <w:r>
              <w:rPr>
                <w:rFonts w:hint="eastAsia" w:ascii="宋体" w:hAnsi="宋体" w:cs="宋体"/>
                <w:color w:val="auto"/>
                <w:kern w:val="0"/>
                <w:szCs w:val="21"/>
                <w:highlight w:val="none"/>
              </w:rPr>
              <w:t>（或其他</w:t>
            </w:r>
            <w:r>
              <w:rPr>
                <w:rFonts w:hint="eastAsia" w:ascii="宋体" w:hAnsi="宋体" w:eastAsia="宋体" w:cs="宋体"/>
                <w:color w:val="auto"/>
                <w:kern w:val="0"/>
                <w:szCs w:val="21"/>
                <w:highlight w:val="none"/>
              </w:rPr>
              <w:t>同等</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或以上</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档次品牌或者生产供应商</w:t>
            </w:r>
            <w:r>
              <w:rPr>
                <w:rFonts w:hint="eastAsia" w:ascii="宋体" w:hAnsi="宋体" w:eastAsia="宋体" w:cs="宋体"/>
                <w:color w:val="auto"/>
                <w:kern w:val="0"/>
                <w:szCs w:val="21"/>
                <w:highlight w:val="none"/>
              </w:rPr>
              <w:t>）</w:t>
            </w:r>
          </w:p>
        </w:tc>
      </w:tr>
      <w:tr w14:paraId="04CCA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829" w:type="dxa"/>
            <w:noWrap w:val="0"/>
            <w:vAlign w:val="center"/>
          </w:tcPr>
          <w:p w14:paraId="189FCE01">
            <w:pPr>
              <w:pStyle w:val="2"/>
              <w:ind w:firstLine="0" w:firstLineChars="0"/>
              <w:jc w:val="center"/>
              <w:rPr>
                <w:rFonts w:hint="eastAsia"/>
                <w:color w:val="auto"/>
                <w:highlight w:val="none"/>
              </w:rPr>
            </w:pPr>
            <w:r>
              <w:rPr>
                <w:rFonts w:hint="eastAsia"/>
                <w:color w:val="auto"/>
                <w:highlight w:val="none"/>
              </w:rPr>
              <w:t>5</w:t>
            </w:r>
          </w:p>
        </w:tc>
        <w:tc>
          <w:tcPr>
            <w:tcW w:w="2227" w:type="dxa"/>
            <w:noWrap w:val="0"/>
            <w:vAlign w:val="center"/>
          </w:tcPr>
          <w:p w14:paraId="4B6D85F0">
            <w:pPr>
              <w:pStyle w:val="2"/>
              <w:ind w:firstLine="0" w:firstLineChars="0"/>
              <w:rPr>
                <w:rFonts w:hint="eastAsia"/>
                <w:color w:val="auto"/>
                <w:highlight w:val="none"/>
              </w:rPr>
            </w:pPr>
            <w:r>
              <w:rPr>
                <w:rFonts w:hint="eastAsia" w:ascii="宋体" w:hAnsi="宋体"/>
                <w:color w:val="auto"/>
                <w:kern w:val="0"/>
                <w:sz w:val="20"/>
                <w:szCs w:val="20"/>
                <w:highlight w:val="none"/>
              </w:rPr>
              <w:t>光伏电缆</w:t>
            </w:r>
          </w:p>
        </w:tc>
        <w:tc>
          <w:tcPr>
            <w:tcW w:w="6114" w:type="dxa"/>
            <w:noWrap w:val="0"/>
            <w:vAlign w:val="top"/>
          </w:tcPr>
          <w:p w14:paraId="1C99FBC5">
            <w:pPr>
              <w:pStyle w:val="2"/>
              <w:ind w:firstLine="0" w:firstLineChars="0"/>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PV-1*4mm</w:t>
            </w:r>
            <w:r>
              <w:rPr>
                <w:rFonts w:hint="eastAsia" w:ascii="宋体" w:hAnsi="宋体" w:cs="宋体"/>
                <w:color w:val="auto"/>
                <w:kern w:val="0"/>
                <w:szCs w:val="21"/>
                <w:highlight w:val="none"/>
                <w:vertAlign w:val="superscript"/>
              </w:rPr>
              <w:t>2</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 xml:space="preserve"> PV-1*</w:t>
            </w:r>
            <w:r>
              <w:rPr>
                <w:rFonts w:hint="eastAsia" w:ascii="宋体" w:hAnsi="宋体" w:cs="宋体"/>
                <w:color w:val="auto"/>
                <w:kern w:val="0"/>
                <w:szCs w:val="21"/>
                <w:highlight w:val="none"/>
                <w:lang w:val="en-US" w:eastAsia="zh-CN"/>
              </w:rPr>
              <w:t>6</w:t>
            </w:r>
            <w:r>
              <w:rPr>
                <w:rFonts w:hint="eastAsia" w:ascii="宋体" w:hAnsi="宋体" w:cs="宋体"/>
                <w:color w:val="auto"/>
                <w:kern w:val="0"/>
                <w:szCs w:val="21"/>
                <w:highlight w:val="none"/>
              </w:rPr>
              <w:t>mm</w:t>
            </w:r>
            <w:r>
              <w:rPr>
                <w:rFonts w:hint="eastAsia" w:ascii="宋体" w:hAnsi="宋体" w:cs="宋体"/>
                <w:color w:val="auto"/>
                <w:kern w:val="0"/>
                <w:szCs w:val="21"/>
                <w:highlight w:val="none"/>
                <w:vertAlign w:val="superscript"/>
              </w:rPr>
              <w:t>2</w:t>
            </w:r>
            <w:r>
              <w:rPr>
                <w:rFonts w:hint="eastAsia" w:ascii="宋体" w:hAnsi="宋体" w:cs="宋体"/>
                <w:color w:val="auto"/>
                <w:kern w:val="0"/>
                <w:szCs w:val="21"/>
                <w:highlight w:val="none"/>
              </w:rPr>
              <w:t xml:space="preserve">                      </w:t>
            </w:r>
          </w:p>
          <w:p w14:paraId="23727051">
            <w:pPr>
              <w:pStyle w:val="2"/>
              <w:ind w:firstLine="0" w:firstLineChars="0"/>
              <w:rPr>
                <w:rFonts w:hint="eastAsia"/>
                <w:color w:val="auto"/>
                <w:highlight w:val="none"/>
              </w:rPr>
            </w:pPr>
            <w:r>
              <w:rPr>
                <w:rFonts w:hint="eastAsia" w:ascii="宋体" w:hAnsi="宋体" w:cs="宋体"/>
                <w:color w:val="auto"/>
                <w:kern w:val="0"/>
                <w:szCs w:val="21"/>
                <w:highlight w:val="none"/>
              </w:rPr>
              <w:t>参照品牌：</w:t>
            </w:r>
            <w:r>
              <w:rPr>
                <w:rFonts w:hint="eastAsia" w:ascii="宋体" w:hAnsi="宋体" w:cs="宋体"/>
                <w:color w:val="auto"/>
                <w:kern w:val="0"/>
                <w:szCs w:val="21"/>
                <w:highlight w:val="none"/>
                <w:lang w:val="en-US" w:eastAsia="zh-CN"/>
              </w:rPr>
              <w:t>广东电缆、</w:t>
            </w:r>
            <w:r>
              <w:rPr>
                <w:rFonts w:hint="eastAsia" w:ascii="宋体" w:hAnsi="宋体" w:cs="宋体"/>
                <w:color w:val="auto"/>
                <w:kern w:val="0"/>
                <w:szCs w:val="21"/>
                <w:highlight w:val="none"/>
              </w:rPr>
              <w:t>远东、珠江</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华美</w:t>
            </w:r>
            <w:r>
              <w:rPr>
                <w:rFonts w:hint="eastAsia" w:ascii="宋体" w:hAnsi="宋体" w:cs="宋体"/>
                <w:color w:val="auto"/>
                <w:kern w:val="0"/>
                <w:szCs w:val="21"/>
                <w:highlight w:val="none"/>
              </w:rPr>
              <w:t>（或其他</w:t>
            </w:r>
            <w:r>
              <w:rPr>
                <w:rFonts w:hint="eastAsia" w:ascii="宋体" w:hAnsi="宋体" w:eastAsia="宋体" w:cs="宋体"/>
                <w:color w:val="auto"/>
                <w:kern w:val="0"/>
                <w:szCs w:val="21"/>
                <w:highlight w:val="none"/>
              </w:rPr>
              <w:t>同等</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或以上</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档次品牌或者生产供应商</w:t>
            </w:r>
            <w:r>
              <w:rPr>
                <w:rFonts w:hint="eastAsia" w:ascii="宋体" w:hAnsi="宋体" w:eastAsia="宋体" w:cs="宋体"/>
                <w:color w:val="auto"/>
                <w:kern w:val="0"/>
                <w:szCs w:val="21"/>
                <w:highlight w:val="none"/>
              </w:rPr>
              <w:t>）</w:t>
            </w:r>
          </w:p>
        </w:tc>
      </w:tr>
      <w:tr w14:paraId="064DA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29" w:type="dxa"/>
            <w:noWrap w:val="0"/>
            <w:vAlign w:val="center"/>
          </w:tcPr>
          <w:p w14:paraId="6DB79CE5">
            <w:pPr>
              <w:pStyle w:val="2"/>
              <w:ind w:firstLine="0" w:firstLineChars="0"/>
              <w:jc w:val="center"/>
              <w:rPr>
                <w:rFonts w:hint="eastAsia"/>
                <w:color w:val="auto"/>
                <w:highlight w:val="none"/>
              </w:rPr>
            </w:pPr>
            <w:r>
              <w:rPr>
                <w:rFonts w:hint="eastAsia"/>
                <w:color w:val="auto"/>
                <w:highlight w:val="none"/>
              </w:rPr>
              <w:t>6</w:t>
            </w:r>
          </w:p>
        </w:tc>
        <w:tc>
          <w:tcPr>
            <w:tcW w:w="2227" w:type="dxa"/>
            <w:noWrap w:val="0"/>
            <w:vAlign w:val="center"/>
          </w:tcPr>
          <w:p w14:paraId="44F41A58">
            <w:pPr>
              <w:pStyle w:val="2"/>
              <w:ind w:firstLine="0" w:firstLineChars="0"/>
              <w:rPr>
                <w:rFonts w:hint="eastAsia"/>
                <w:color w:val="auto"/>
                <w:highlight w:val="none"/>
              </w:rPr>
            </w:pPr>
            <w:r>
              <w:rPr>
                <w:rFonts w:hint="eastAsia" w:ascii="宋体" w:hAnsi="宋体"/>
                <w:color w:val="auto"/>
                <w:kern w:val="0"/>
                <w:sz w:val="20"/>
                <w:szCs w:val="20"/>
                <w:highlight w:val="none"/>
              </w:rPr>
              <w:t>光伏专用接头</w:t>
            </w:r>
          </w:p>
        </w:tc>
        <w:tc>
          <w:tcPr>
            <w:tcW w:w="6114" w:type="dxa"/>
            <w:noWrap w:val="0"/>
            <w:vAlign w:val="top"/>
          </w:tcPr>
          <w:p w14:paraId="26F15C9C">
            <w:pPr>
              <w:pStyle w:val="2"/>
              <w:ind w:firstLine="0" w:firstLineChars="0"/>
              <w:rPr>
                <w:rFonts w:hint="eastAsia"/>
                <w:color w:val="auto"/>
                <w:highlight w:val="none"/>
              </w:rPr>
            </w:pPr>
            <w:r>
              <w:rPr>
                <w:rFonts w:hint="eastAsia" w:ascii="宋体" w:hAnsi="宋体" w:cs="宋体"/>
                <w:color w:val="auto"/>
                <w:kern w:val="0"/>
                <w:szCs w:val="21"/>
                <w:highlight w:val="none"/>
              </w:rPr>
              <w:t>MC-4或可兼容产品</w:t>
            </w:r>
          </w:p>
        </w:tc>
      </w:tr>
      <w:tr w14:paraId="7FD29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829" w:type="dxa"/>
            <w:noWrap w:val="0"/>
            <w:vAlign w:val="center"/>
          </w:tcPr>
          <w:p w14:paraId="4519F86E">
            <w:pPr>
              <w:pStyle w:val="2"/>
              <w:ind w:firstLine="0" w:firstLineChars="0"/>
              <w:jc w:val="center"/>
              <w:rPr>
                <w:rFonts w:hint="eastAsia" w:eastAsia="宋体"/>
                <w:color w:val="auto"/>
                <w:highlight w:val="none"/>
                <w:lang w:eastAsia="zh-CN"/>
              </w:rPr>
            </w:pPr>
            <w:r>
              <w:rPr>
                <w:rFonts w:hint="eastAsia"/>
                <w:color w:val="auto"/>
                <w:highlight w:val="none"/>
                <w:lang w:val="en-US" w:eastAsia="zh-CN"/>
              </w:rPr>
              <w:t>7</w:t>
            </w:r>
          </w:p>
        </w:tc>
        <w:tc>
          <w:tcPr>
            <w:tcW w:w="2227" w:type="dxa"/>
            <w:noWrap w:val="0"/>
            <w:vAlign w:val="center"/>
          </w:tcPr>
          <w:p w14:paraId="10F05C09">
            <w:pPr>
              <w:pStyle w:val="2"/>
              <w:ind w:firstLine="0" w:firstLineChars="0"/>
              <w:rPr>
                <w:rFonts w:hint="eastAsia"/>
                <w:color w:val="auto"/>
                <w:highlight w:val="none"/>
              </w:rPr>
            </w:pPr>
            <w:r>
              <w:rPr>
                <w:rFonts w:hint="eastAsia" w:ascii="宋体" w:hAnsi="宋体"/>
                <w:color w:val="auto"/>
                <w:kern w:val="0"/>
                <w:sz w:val="20"/>
                <w:szCs w:val="20"/>
                <w:highlight w:val="none"/>
              </w:rPr>
              <w:t>交流线缆</w:t>
            </w:r>
          </w:p>
        </w:tc>
        <w:tc>
          <w:tcPr>
            <w:tcW w:w="6114" w:type="dxa"/>
            <w:noWrap w:val="0"/>
            <w:vAlign w:val="top"/>
          </w:tcPr>
          <w:p w14:paraId="6EF40D54">
            <w:pPr>
              <w:pStyle w:val="2"/>
              <w:ind w:firstLine="0" w:firstLineChars="0"/>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 xml:space="preserve">具体型号按供电局审核通过的图纸            </w:t>
            </w:r>
          </w:p>
          <w:p w14:paraId="584C74EA">
            <w:pPr>
              <w:pStyle w:val="2"/>
              <w:ind w:firstLine="0" w:firstLineChars="0"/>
              <w:rPr>
                <w:rFonts w:hint="eastAsia"/>
                <w:color w:val="auto"/>
                <w:highlight w:val="none"/>
              </w:rPr>
            </w:pPr>
            <w:r>
              <w:rPr>
                <w:rFonts w:hint="eastAsia" w:ascii="宋体" w:hAnsi="宋体" w:cs="宋体"/>
                <w:color w:val="auto"/>
                <w:kern w:val="0"/>
                <w:szCs w:val="21"/>
                <w:highlight w:val="none"/>
              </w:rPr>
              <w:t>参照品牌：珠江、</w:t>
            </w:r>
            <w:r>
              <w:rPr>
                <w:rFonts w:hint="eastAsia" w:ascii="宋体" w:hAnsi="宋体" w:cs="宋体"/>
                <w:color w:val="auto"/>
                <w:kern w:val="0"/>
                <w:szCs w:val="21"/>
                <w:highlight w:val="none"/>
                <w:lang w:eastAsia="zh-CN"/>
              </w:rPr>
              <w:t>南洋、</w:t>
            </w:r>
            <w:r>
              <w:rPr>
                <w:rFonts w:ascii="宋体" w:hAnsi="宋体" w:cs="宋体"/>
                <w:color w:val="auto"/>
                <w:kern w:val="0"/>
                <w:szCs w:val="21"/>
                <w:highlight w:val="none"/>
              </w:rPr>
              <w:t>新兴</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华美</w:t>
            </w:r>
            <w:r>
              <w:rPr>
                <w:rFonts w:hint="eastAsia" w:ascii="宋体" w:hAnsi="宋体" w:cs="宋体"/>
                <w:color w:val="auto"/>
                <w:kern w:val="0"/>
                <w:szCs w:val="21"/>
                <w:highlight w:val="none"/>
              </w:rPr>
              <w:t>（或其他</w:t>
            </w:r>
            <w:r>
              <w:rPr>
                <w:rFonts w:hint="eastAsia" w:ascii="宋体" w:hAnsi="宋体" w:eastAsia="宋体" w:cs="宋体"/>
                <w:color w:val="auto"/>
                <w:kern w:val="0"/>
                <w:szCs w:val="21"/>
                <w:highlight w:val="none"/>
              </w:rPr>
              <w:t>同等</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或以上</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档次品牌或者生产供应商</w:t>
            </w:r>
            <w:r>
              <w:rPr>
                <w:rFonts w:hint="eastAsia" w:ascii="宋体" w:hAnsi="宋体" w:eastAsia="宋体" w:cs="宋体"/>
                <w:color w:val="auto"/>
                <w:kern w:val="0"/>
                <w:szCs w:val="21"/>
                <w:highlight w:val="none"/>
              </w:rPr>
              <w:t>）</w:t>
            </w:r>
          </w:p>
        </w:tc>
      </w:tr>
      <w:tr w14:paraId="57A61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829" w:type="dxa"/>
            <w:noWrap w:val="0"/>
            <w:vAlign w:val="center"/>
          </w:tcPr>
          <w:p w14:paraId="0F11E5A3">
            <w:pPr>
              <w:pStyle w:val="2"/>
              <w:ind w:firstLine="0" w:firstLineChars="0"/>
              <w:jc w:val="center"/>
              <w:rPr>
                <w:rFonts w:hint="eastAsia" w:eastAsia="宋体"/>
                <w:color w:val="auto"/>
                <w:highlight w:val="none"/>
                <w:lang w:eastAsia="zh-CN"/>
              </w:rPr>
            </w:pPr>
            <w:r>
              <w:rPr>
                <w:rFonts w:hint="eastAsia"/>
                <w:color w:val="auto"/>
                <w:highlight w:val="none"/>
                <w:lang w:val="en-US" w:eastAsia="zh-CN"/>
              </w:rPr>
              <w:t>8</w:t>
            </w:r>
          </w:p>
        </w:tc>
        <w:tc>
          <w:tcPr>
            <w:tcW w:w="2227" w:type="dxa"/>
            <w:noWrap w:val="0"/>
            <w:vAlign w:val="center"/>
          </w:tcPr>
          <w:p w14:paraId="135791DA">
            <w:pPr>
              <w:pStyle w:val="2"/>
              <w:ind w:firstLine="0" w:firstLineChars="0"/>
              <w:rPr>
                <w:rFonts w:hint="eastAsia"/>
                <w:color w:val="auto"/>
                <w:highlight w:val="none"/>
              </w:rPr>
            </w:pPr>
            <w:r>
              <w:rPr>
                <w:rFonts w:hint="eastAsia" w:ascii="宋体" w:hAnsi="宋体"/>
                <w:color w:val="auto"/>
                <w:kern w:val="0"/>
                <w:sz w:val="20"/>
                <w:szCs w:val="20"/>
                <w:highlight w:val="none"/>
              </w:rPr>
              <w:t>高压线缆</w:t>
            </w:r>
          </w:p>
        </w:tc>
        <w:tc>
          <w:tcPr>
            <w:tcW w:w="6114" w:type="dxa"/>
            <w:noWrap w:val="0"/>
            <w:vAlign w:val="top"/>
          </w:tcPr>
          <w:p w14:paraId="0767118D">
            <w:pPr>
              <w:pStyle w:val="2"/>
              <w:ind w:firstLine="0" w:firstLineChars="0"/>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 xml:space="preserve">具体型号按供电局审核通过的图纸         </w:t>
            </w:r>
          </w:p>
          <w:p w14:paraId="1BCA600E">
            <w:pPr>
              <w:pStyle w:val="2"/>
              <w:ind w:firstLine="0" w:firstLineChars="0"/>
              <w:rPr>
                <w:rFonts w:hint="eastAsia"/>
                <w:color w:val="auto"/>
                <w:highlight w:val="none"/>
              </w:rPr>
            </w:pPr>
            <w:r>
              <w:rPr>
                <w:rFonts w:hint="eastAsia" w:ascii="宋体" w:hAnsi="宋体" w:cs="宋体"/>
                <w:color w:val="auto"/>
                <w:kern w:val="0"/>
                <w:szCs w:val="21"/>
                <w:highlight w:val="none"/>
              </w:rPr>
              <w:t>参照品牌：珠江、</w:t>
            </w:r>
            <w:r>
              <w:rPr>
                <w:rFonts w:hint="eastAsia" w:ascii="宋体" w:hAnsi="宋体" w:cs="宋体"/>
                <w:color w:val="auto"/>
                <w:kern w:val="0"/>
                <w:szCs w:val="21"/>
                <w:highlight w:val="none"/>
                <w:lang w:eastAsia="zh-CN"/>
              </w:rPr>
              <w:t>南洋、</w:t>
            </w:r>
            <w:r>
              <w:rPr>
                <w:rFonts w:ascii="宋体" w:hAnsi="宋体" w:cs="宋体"/>
                <w:color w:val="auto"/>
                <w:kern w:val="0"/>
                <w:szCs w:val="21"/>
                <w:highlight w:val="none"/>
              </w:rPr>
              <w:t>新兴</w:t>
            </w:r>
            <w:r>
              <w:rPr>
                <w:rFonts w:hint="eastAsia" w:ascii="宋体" w:hAnsi="宋体" w:cs="宋体"/>
                <w:color w:val="auto"/>
                <w:kern w:val="0"/>
                <w:szCs w:val="21"/>
                <w:highlight w:val="none"/>
              </w:rPr>
              <w:t>（或其他</w:t>
            </w:r>
            <w:r>
              <w:rPr>
                <w:rFonts w:hint="eastAsia" w:ascii="宋体" w:hAnsi="宋体" w:eastAsia="宋体" w:cs="宋体"/>
                <w:color w:val="auto"/>
                <w:kern w:val="0"/>
                <w:szCs w:val="21"/>
                <w:highlight w:val="none"/>
              </w:rPr>
              <w:t>同等</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或以上</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档次品牌或者生产供应商</w:t>
            </w:r>
            <w:r>
              <w:rPr>
                <w:rFonts w:hint="eastAsia" w:ascii="宋体" w:hAnsi="宋体" w:eastAsia="宋体" w:cs="宋体"/>
                <w:color w:val="auto"/>
                <w:kern w:val="0"/>
                <w:szCs w:val="21"/>
                <w:highlight w:val="none"/>
              </w:rPr>
              <w:t>）</w:t>
            </w:r>
          </w:p>
        </w:tc>
      </w:tr>
      <w:tr w14:paraId="03EC3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829" w:type="dxa"/>
            <w:noWrap w:val="0"/>
            <w:vAlign w:val="center"/>
          </w:tcPr>
          <w:p w14:paraId="5B7CC1CF">
            <w:pPr>
              <w:pStyle w:val="2"/>
              <w:ind w:firstLine="0" w:firstLineChars="0"/>
              <w:jc w:val="center"/>
              <w:rPr>
                <w:rFonts w:hint="eastAsia" w:eastAsia="宋体"/>
                <w:color w:val="auto"/>
                <w:highlight w:val="none"/>
                <w:lang w:eastAsia="zh-CN"/>
              </w:rPr>
            </w:pPr>
            <w:r>
              <w:rPr>
                <w:rFonts w:hint="eastAsia"/>
                <w:color w:val="auto"/>
                <w:highlight w:val="none"/>
                <w:lang w:val="en-US" w:eastAsia="zh-CN"/>
              </w:rPr>
              <w:t>9</w:t>
            </w:r>
          </w:p>
        </w:tc>
        <w:tc>
          <w:tcPr>
            <w:tcW w:w="2227" w:type="dxa"/>
            <w:noWrap w:val="0"/>
            <w:vAlign w:val="center"/>
          </w:tcPr>
          <w:p w14:paraId="3E58C651">
            <w:pPr>
              <w:pStyle w:val="2"/>
              <w:ind w:firstLine="0" w:firstLineChars="0"/>
              <w:rPr>
                <w:rFonts w:hint="eastAsia"/>
                <w:color w:val="auto"/>
                <w:highlight w:val="none"/>
              </w:rPr>
            </w:pPr>
            <w:r>
              <w:rPr>
                <w:rFonts w:hint="eastAsia" w:ascii="宋体" w:hAnsi="宋体"/>
                <w:color w:val="auto"/>
                <w:kern w:val="0"/>
                <w:sz w:val="20"/>
                <w:szCs w:val="20"/>
                <w:highlight w:val="none"/>
              </w:rPr>
              <w:t>综合自动化</w:t>
            </w:r>
          </w:p>
        </w:tc>
        <w:tc>
          <w:tcPr>
            <w:tcW w:w="6114" w:type="dxa"/>
            <w:noWrap w:val="0"/>
            <w:vAlign w:val="top"/>
          </w:tcPr>
          <w:p w14:paraId="583E6D64">
            <w:pPr>
              <w:pStyle w:val="2"/>
              <w:ind w:firstLine="0" w:firstLineChars="0"/>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 xml:space="preserve">具体型号按供电局审核通过的图纸         </w:t>
            </w:r>
          </w:p>
          <w:p w14:paraId="2EE3FF51">
            <w:pPr>
              <w:pStyle w:val="2"/>
              <w:ind w:firstLine="0" w:firstLineChars="0"/>
              <w:rPr>
                <w:rFonts w:hint="eastAsia"/>
                <w:color w:val="auto"/>
                <w:highlight w:val="none"/>
              </w:rPr>
            </w:pPr>
            <w:r>
              <w:rPr>
                <w:rFonts w:hint="eastAsia" w:ascii="宋体" w:hAnsi="宋体" w:cs="宋体"/>
                <w:color w:val="auto"/>
                <w:kern w:val="0"/>
                <w:szCs w:val="21"/>
                <w:highlight w:val="none"/>
              </w:rPr>
              <w:t>参照品牌：中电、</w:t>
            </w:r>
            <w:r>
              <w:rPr>
                <w:rFonts w:hint="eastAsia" w:ascii="宋体" w:hAnsi="宋体" w:cs="宋体"/>
                <w:color w:val="auto"/>
                <w:kern w:val="0"/>
                <w:szCs w:val="21"/>
                <w:highlight w:val="none"/>
                <w:lang w:eastAsia="zh-CN"/>
              </w:rPr>
              <w:t>南瑞、</w:t>
            </w:r>
            <w:r>
              <w:rPr>
                <w:rFonts w:hint="eastAsia" w:ascii="宋体" w:hAnsi="宋体" w:cs="宋体"/>
                <w:color w:val="auto"/>
                <w:kern w:val="0"/>
                <w:szCs w:val="21"/>
                <w:highlight w:val="none"/>
              </w:rPr>
              <w:t>深瑞（或其他</w:t>
            </w:r>
            <w:r>
              <w:rPr>
                <w:rFonts w:hint="eastAsia" w:ascii="宋体" w:hAnsi="宋体" w:eastAsia="宋体" w:cs="宋体"/>
                <w:color w:val="auto"/>
                <w:kern w:val="0"/>
                <w:szCs w:val="21"/>
                <w:highlight w:val="none"/>
              </w:rPr>
              <w:t>同等</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或以上</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档次品牌或者生产供应商</w:t>
            </w:r>
            <w:r>
              <w:rPr>
                <w:rFonts w:hint="eastAsia" w:ascii="宋体" w:hAnsi="宋体" w:eastAsia="宋体" w:cs="宋体"/>
                <w:color w:val="auto"/>
                <w:kern w:val="0"/>
                <w:szCs w:val="21"/>
                <w:highlight w:val="none"/>
              </w:rPr>
              <w:t>）</w:t>
            </w:r>
          </w:p>
        </w:tc>
      </w:tr>
    </w:tbl>
    <w:p w14:paraId="6AAC0F00">
      <w:pPr>
        <w:pStyle w:val="2"/>
        <w:keepNext w:val="0"/>
        <w:keepLines w:val="0"/>
        <w:pageBreakBefore w:val="0"/>
        <w:wordWrap/>
        <w:overflowPunct/>
        <w:topLinePunct w:val="0"/>
        <w:bidi w:val="0"/>
        <w:spacing w:line="360" w:lineRule="auto"/>
        <w:ind w:left="0" w:leftChars="0" w:firstLine="0" w:firstLineChars="0"/>
        <w:textAlignment w:val="auto"/>
        <w:rPr>
          <w:rFonts w:hint="eastAsia"/>
          <w:color w:val="auto"/>
          <w:highlight w:val="none"/>
        </w:rPr>
      </w:pPr>
    </w:p>
    <w:p w14:paraId="33DF6D9B">
      <w:pPr>
        <w:keepNext w:val="0"/>
        <w:keepLines w:val="0"/>
        <w:pageBreakBefore w:val="0"/>
        <w:wordWrap/>
        <w:overflowPunct/>
        <w:topLinePunct w:val="0"/>
        <w:bidi w:val="0"/>
        <w:snapToGrid w:val="0"/>
        <w:spacing w:line="360" w:lineRule="auto"/>
        <w:ind w:left="0" w:leftChars="0" w:firstLine="420" w:firstLineChars="200"/>
        <w:textAlignment w:val="auto"/>
        <w:rPr>
          <w:rFonts w:ascii="宋体" w:hAnsi="宋体"/>
          <w:color w:val="auto"/>
          <w:szCs w:val="21"/>
          <w:highlight w:val="none"/>
        </w:rPr>
      </w:pPr>
      <w:r>
        <w:rPr>
          <w:rFonts w:hint="eastAsia" w:ascii="宋体" w:hAnsi="宋体"/>
          <w:color w:val="auto"/>
          <w:szCs w:val="21"/>
          <w:highlight w:val="none"/>
        </w:rPr>
        <w:t>承包人</w:t>
      </w:r>
      <w:r>
        <w:rPr>
          <w:rFonts w:hint="eastAsia" w:ascii="宋体" w:hAnsi="宋体"/>
          <w:color w:val="auto"/>
          <w:szCs w:val="21"/>
          <w:highlight w:val="none"/>
          <w:lang w:eastAsia="zh-CN"/>
        </w:rPr>
        <w:t>应在招标文件</w:t>
      </w:r>
      <w:r>
        <w:rPr>
          <w:rFonts w:hint="eastAsia" w:ascii="宋体" w:hAnsi="宋体"/>
          <w:color w:val="auto"/>
          <w:szCs w:val="21"/>
          <w:highlight w:val="none"/>
        </w:rPr>
        <w:t>规定的参照范围内选择主要设备与材料（包括逆变器、汇流柜、电缆等），主要设备与材料的采购结果须经过发包人书面确认，</w:t>
      </w:r>
      <w:r>
        <w:rPr>
          <w:rFonts w:hint="eastAsia" w:ascii="宋体" w:hAnsi="宋体"/>
          <w:color w:val="auto"/>
          <w:szCs w:val="21"/>
          <w:highlight w:val="none"/>
          <w:lang w:eastAsia="zh-CN"/>
        </w:rPr>
        <w:t>综合单价</w:t>
      </w:r>
      <w:r>
        <w:rPr>
          <w:rFonts w:hint="eastAsia" w:ascii="宋体" w:hAnsi="宋体"/>
          <w:color w:val="auto"/>
          <w:szCs w:val="21"/>
          <w:highlight w:val="none"/>
        </w:rPr>
        <w:t>金额不予调整。上述设备采购合同签订后</w:t>
      </w:r>
      <w:r>
        <w:rPr>
          <w:rFonts w:ascii="宋体" w:hAnsi="宋体"/>
          <w:color w:val="auto"/>
          <w:szCs w:val="21"/>
          <w:highlight w:val="none"/>
        </w:rPr>
        <w:t>2天内提交合同复印件给发包人（涉密部分除外）。</w:t>
      </w:r>
      <w:r>
        <w:rPr>
          <w:rFonts w:hint="eastAsia" w:ascii="宋体" w:hAnsi="宋体"/>
          <w:color w:val="auto"/>
          <w:szCs w:val="21"/>
          <w:highlight w:val="none"/>
        </w:rPr>
        <w:t>发包人对采购结果的审核和确认，并不能减轻或免除承包人的任何合同责任和合同义务。</w:t>
      </w:r>
    </w:p>
    <w:p w14:paraId="027B43EA">
      <w:pPr>
        <w:keepNext w:val="0"/>
        <w:keepLines w:val="0"/>
        <w:pageBreakBefore w:val="0"/>
        <w:tabs>
          <w:tab w:val="left" w:pos="900"/>
        </w:tabs>
        <w:wordWrap/>
        <w:overflowPunct/>
        <w:topLinePunct w:val="0"/>
        <w:bidi w:val="0"/>
        <w:snapToGrid w:val="0"/>
        <w:spacing w:line="360" w:lineRule="auto"/>
        <w:ind w:left="0" w:leftChars="0" w:firstLine="0" w:firstLineChars="0"/>
        <w:textAlignment w:val="auto"/>
        <w:rPr>
          <w:rFonts w:ascii="宋体" w:hAnsi="宋体"/>
          <w:color w:val="auto"/>
          <w:szCs w:val="21"/>
          <w:highlight w:val="none"/>
        </w:rPr>
      </w:pPr>
      <w:r>
        <w:rPr>
          <w:rFonts w:hint="eastAsia" w:ascii="宋体" w:hAnsi="宋体"/>
          <w:color w:val="auto"/>
          <w:szCs w:val="21"/>
          <w:highlight w:val="none"/>
        </w:rPr>
        <w:t>6.1.3    暂定价报价的工程：</w:t>
      </w:r>
      <w:r>
        <w:rPr>
          <w:rFonts w:hint="eastAsia" w:ascii="宋体" w:hAnsi="宋体"/>
          <w:color w:val="auto"/>
          <w:szCs w:val="21"/>
          <w:highlight w:val="none"/>
          <w:u w:val="single"/>
        </w:rPr>
        <w:t xml:space="preserve">无 </w:t>
      </w:r>
      <w:r>
        <w:rPr>
          <w:rFonts w:hint="eastAsia" w:ascii="宋体" w:hAnsi="宋体"/>
          <w:color w:val="auto"/>
          <w:szCs w:val="21"/>
          <w:highlight w:val="none"/>
        </w:rPr>
        <w:t>；</w:t>
      </w:r>
    </w:p>
    <w:p w14:paraId="66407E78">
      <w:pPr>
        <w:keepNext w:val="0"/>
        <w:keepLines w:val="0"/>
        <w:pageBreakBefore w:val="0"/>
        <w:tabs>
          <w:tab w:val="left" w:pos="900"/>
        </w:tabs>
        <w:wordWrap/>
        <w:overflowPunct/>
        <w:topLinePunct w:val="0"/>
        <w:bidi w:val="0"/>
        <w:snapToGrid w:val="0"/>
        <w:spacing w:line="360" w:lineRule="auto"/>
        <w:ind w:left="0" w:leftChars="0" w:firstLine="0" w:firstLineChars="0"/>
        <w:textAlignment w:val="auto"/>
        <w:rPr>
          <w:rFonts w:ascii="宋体" w:hAnsi="宋体"/>
          <w:color w:val="auto"/>
          <w:szCs w:val="21"/>
          <w:highlight w:val="none"/>
        </w:rPr>
      </w:pPr>
      <w:r>
        <w:rPr>
          <w:rFonts w:hint="eastAsia" w:ascii="宋体" w:hAnsi="宋体"/>
          <w:color w:val="auto"/>
          <w:szCs w:val="21"/>
          <w:highlight w:val="none"/>
        </w:rPr>
        <w:t>6.1.4    承包人向发包人提供的永久性工程设备、材料、部件和备品备件，及竣工后试验物资的强制性检查、检验、监测和试验的报告内容、报告期和提交份数：</w:t>
      </w:r>
      <w:r>
        <w:rPr>
          <w:rFonts w:hint="eastAsia" w:ascii="宋体" w:hAnsi="宋体"/>
          <w:color w:val="auto"/>
          <w:szCs w:val="21"/>
          <w:highlight w:val="none"/>
          <w:u w:val="single"/>
        </w:rPr>
        <w:t>双方另行协商确定</w:t>
      </w:r>
      <w:r>
        <w:rPr>
          <w:rFonts w:hint="eastAsia" w:ascii="宋体" w:hAnsi="宋体"/>
          <w:color w:val="auto"/>
          <w:szCs w:val="21"/>
          <w:highlight w:val="none"/>
        </w:rPr>
        <w:t>；</w:t>
      </w:r>
    </w:p>
    <w:p w14:paraId="1C6B8A7A">
      <w:pPr>
        <w:keepNext w:val="0"/>
        <w:keepLines w:val="0"/>
        <w:pageBreakBefore w:val="0"/>
        <w:wordWrap/>
        <w:overflowPunct/>
        <w:topLinePunct w:val="0"/>
        <w:bidi w:val="0"/>
        <w:snapToGrid w:val="0"/>
        <w:spacing w:line="360" w:lineRule="auto"/>
        <w:ind w:left="0" w:leftChars="0" w:firstLine="0" w:firstLineChars="0"/>
        <w:textAlignment w:val="auto"/>
        <w:outlineLvl w:val="3"/>
        <w:rPr>
          <w:rFonts w:ascii="宋体" w:hAnsi="宋体"/>
          <w:color w:val="auto"/>
          <w:szCs w:val="21"/>
          <w:highlight w:val="none"/>
        </w:rPr>
      </w:pPr>
      <w:bookmarkStart w:id="257" w:name="_Toc76720043"/>
      <w:r>
        <w:rPr>
          <w:rFonts w:hint="eastAsia" w:ascii="宋体" w:hAnsi="宋体"/>
          <w:color w:val="auto"/>
          <w:szCs w:val="21"/>
          <w:highlight w:val="none"/>
        </w:rPr>
        <w:t>6.</w:t>
      </w:r>
      <w:r>
        <w:rPr>
          <w:rFonts w:hint="eastAsia" w:ascii="宋体" w:hAnsi="宋体"/>
          <w:color w:val="auto"/>
          <w:szCs w:val="21"/>
          <w:highlight w:val="none"/>
          <w:lang w:val="en-US" w:eastAsia="zh-CN"/>
        </w:rPr>
        <w:t>2</w:t>
      </w:r>
      <w:r>
        <w:rPr>
          <w:rFonts w:hint="eastAsia" w:ascii="宋体" w:hAnsi="宋体"/>
          <w:color w:val="auto"/>
          <w:szCs w:val="21"/>
          <w:highlight w:val="none"/>
        </w:rPr>
        <w:t xml:space="preserve">  工程物资保管与剩余</w:t>
      </w:r>
      <w:bookmarkEnd w:id="257"/>
    </w:p>
    <w:p w14:paraId="3B0C400A">
      <w:pPr>
        <w:keepNext w:val="0"/>
        <w:keepLines w:val="0"/>
        <w:pageBreakBefore w:val="0"/>
        <w:wordWrap/>
        <w:overflowPunct/>
        <w:topLinePunct w:val="0"/>
        <w:bidi w:val="0"/>
        <w:snapToGrid w:val="0"/>
        <w:spacing w:line="360" w:lineRule="auto"/>
        <w:ind w:left="0" w:leftChars="0" w:firstLine="0" w:firstLineChars="0"/>
        <w:textAlignment w:val="auto"/>
        <w:rPr>
          <w:rFonts w:ascii="宋体" w:hAnsi="宋体"/>
          <w:color w:val="auto"/>
          <w:szCs w:val="21"/>
          <w:highlight w:val="none"/>
        </w:rPr>
      </w:pPr>
      <w:r>
        <w:rPr>
          <w:rFonts w:hint="eastAsia" w:ascii="宋体" w:hAnsi="宋体"/>
          <w:color w:val="auto"/>
          <w:szCs w:val="21"/>
          <w:highlight w:val="none"/>
        </w:rPr>
        <w:t>6.</w:t>
      </w:r>
      <w:r>
        <w:rPr>
          <w:rFonts w:hint="eastAsia" w:ascii="宋体" w:hAnsi="宋体"/>
          <w:color w:val="auto"/>
          <w:szCs w:val="21"/>
          <w:highlight w:val="none"/>
          <w:lang w:val="en-US" w:eastAsia="zh-CN"/>
        </w:rPr>
        <w:t>2</w:t>
      </w:r>
      <w:r>
        <w:rPr>
          <w:rFonts w:hint="eastAsia" w:ascii="宋体" w:hAnsi="宋体"/>
          <w:color w:val="auto"/>
          <w:szCs w:val="21"/>
          <w:highlight w:val="none"/>
        </w:rPr>
        <w:t>.1   工程物资保管</w:t>
      </w:r>
    </w:p>
    <w:p w14:paraId="412D07BD">
      <w:pPr>
        <w:keepNext w:val="0"/>
        <w:keepLines w:val="0"/>
        <w:pageBreakBefore w:val="0"/>
        <w:wordWrap/>
        <w:overflowPunct/>
        <w:topLinePunct w:val="0"/>
        <w:bidi w:val="0"/>
        <w:snapToGrid w:val="0"/>
        <w:spacing w:line="360" w:lineRule="auto"/>
        <w:ind w:left="0" w:leftChars="0" w:firstLine="0" w:firstLineChars="0"/>
        <w:textAlignment w:val="auto"/>
        <w:rPr>
          <w:rFonts w:ascii="宋体" w:hAnsi="宋体"/>
          <w:color w:val="auto"/>
          <w:szCs w:val="21"/>
          <w:highlight w:val="none"/>
        </w:rPr>
      </w:pPr>
      <w:r>
        <w:rPr>
          <w:rFonts w:hint="eastAsia" w:ascii="宋体" w:hAnsi="宋体"/>
          <w:color w:val="auto"/>
          <w:szCs w:val="21"/>
          <w:highlight w:val="none"/>
        </w:rPr>
        <w:t>承包人提交保管、维护方案的时间：</w:t>
      </w:r>
      <w:r>
        <w:rPr>
          <w:rFonts w:hint="eastAsia" w:ascii="宋体" w:hAnsi="宋体"/>
          <w:color w:val="auto"/>
          <w:szCs w:val="21"/>
          <w:highlight w:val="none"/>
          <w:u w:val="single"/>
        </w:rPr>
        <w:t>竣工试验完成14天前</w:t>
      </w:r>
      <w:r>
        <w:rPr>
          <w:rFonts w:hint="eastAsia" w:ascii="宋体" w:hAnsi="宋体"/>
          <w:color w:val="auto"/>
          <w:szCs w:val="21"/>
          <w:highlight w:val="none"/>
        </w:rPr>
        <w:t>；</w:t>
      </w:r>
    </w:p>
    <w:p w14:paraId="42FBA9B1">
      <w:pPr>
        <w:keepNext w:val="0"/>
        <w:keepLines w:val="0"/>
        <w:pageBreakBefore w:val="0"/>
        <w:wordWrap/>
        <w:overflowPunct/>
        <w:topLinePunct w:val="0"/>
        <w:bidi w:val="0"/>
        <w:snapToGrid w:val="0"/>
        <w:spacing w:line="360" w:lineRule="auto"/>
        <w:ind w:left="0" w:leftChars="0" w:firstLine="0" w:firstLineChars="0"/>
        <w:textAlignment w:val="auto"/>
        <w:rPr>
          <w:rFonts w:ascii="宋体" w:hAnsi="宋体"/>
          <w:color w:val="auto"/>
          <w:szCs w:val="21"/>
          <w:highlight w:val="none"/>
        </w:rPr>
      </w:pPr>
      <w:r>
        <w:rPr>
          <w:rFonts w:hint="eastAsia" w:ascii="宋体" w:hAnsi="宋体"/>
          <w:color w:val="auto"/>
          <w:szCs w:val="21"/>
          <w:highlight w:val="none"/>
        </w:rPr>
        <w:t>由发包人提供的库房、堆场、设施及设备：</w:t>
      </w:r>
      <w:r>
        <w:rPr>
          <w:rFonts w:hint="eastAsia" w:ascii="宋体" w:hAnsi="宋体"/>
          <w:color w:val="auto"/>
          <w:szCs w:val="21"/>
          <w:highlight w:val="none"/>
          <w:u w:val="single"/>
        </w:rPr>
        <w:t>发包人不提供。</w:t>
      </w:r>
    </w:p>
    <w:p w14:paraId="7581CFB2">
      <w:pPr>
        <w:keepNext w:val="0"/>
        <w:keepLines w:val="0"/>
        <w:pageBreakBefore w:val="0"/>
        <w:wordWrap/>
        <w:overflowPunct/>
        <w:topLinePunct w:val="0"/>
        <w:bidi w:val="0"/>
        <w:snapToGrid w:val="0"/>
        <w:spacing w:line="360" w:lineRule="auto"/>
        <w:ind w:left="0" w:leftChars="0" w:firstLine="0" w:firstLineChars="0"/>
        <w:textAlignment w:val="auto"/>
        <w:outlineLvl w:val="2"/>
        <w:rPr>
          <w:rFonts w:ascii="宋体" w:hAnsi="宋体"/>
          <w:b/>
          <w:color w:val="auto"/>
          <w:szCs w:val="21"/>
          <w:highlight w:val="none"/>
        </w:rPr>
      </w:pPr>
      <w:bookmarkStart w:id="258" w:name="_Toc363719020"/>
      <w:bookmarkStart w:id="259" w:name="_Toc76720044"/>
      <w:bookmarkStart w:id="260" w:name="_Toc80633177"/>
      <w:r>
        <w:rPr>
          <w:rFonts w:hint="eastAsia" w:ascii="宋体" w:hAnsi="宋体"/>
          <w:b/>
          <w:color w:val="auto"/>
          <w:szCs w:val="21"/>
          <w:highlight w:val="none"/>
        </w:rPr>
        <w:t>第</w:t>
      </w:r>
      <w:r>
        <w:rPr>
          <w:rFonts w:ascii="宋体" w:hAnsi="宋体"/>
          <w:b/>
          <w:color w:val="auto"/>
          <w:szCs w:val="21"/>
          <w:highlight w:val="none"/>
        </w:rPr>
        <w:t>7</w:t>
      </w:r>
      <w:r>
        <w:rPr>
          <w:rFonts w:hint="eastAsia" w:ascii="宋体" w:hAnsi="宋体"/>
          <w:b/>
          <w:color w:val="auto"/>
          <w:szCs w:val="21"/>
          <w:highlight w:val="none"/>
        </w:rPr>
        <w:t>条</w:t>
      </w:r>
      <w:r>
        <w:rPr>
          <w:rFonts w:hint="eastAsia" w:ascii="宋体" w:hAnsi="宋体"/>
          <w:b/>
          <w:color w:val="auto"/>
          <w:szCs w:val="21"/>
          <w:highlight w:val="none"/>
        </w:rPr>
        <w:tab/>
      </w:r>
      <w:r>
        <w:rPr>
          <w:rFonts w:hint="eastAsia" w:ascii="宋体" w:hAnsi="宋体"/>
          <w:b/>
          <w:color w:val="auto"/>
          <w:szCs w:val="21"/>
          <w:highlight w:val="none"/>
        </w:rPr>
        <w:t>施工</w:t>
      </w:r>
      <w:bookmarkEnd w:id="258"/>
      <w:bookmarkEnd w:id="259"/>
      <w:bookmarkEnd w:id="260"/>
    </w:p>
    <w:p w14:paraId="246DD675">
      <w:pPr>
        <w:keepNext w:val="0"/>
        <w:keepLines w:val="0"/>
        <w:pageBreakBefore w:val="0"/>
        <w:wordWrap/>
        <w:overflowPunct/>
        <w:topLinePunct w:val="0"/>
        <w:bidi w:val="0"/>
        <w:snapToGrid w:val="0"/>
        <w:spacing w:line="360" w:lineRule="auto"/>
        <w:ind w:left="0" w:leftChars="0" w:firstLine="0" w:firstLineChars="0"/>
        <w:textAlignment w:val="auto"/>
        <w:outlineLvl w:val="3"/>
        <w:rPr>
          <w:rFonts w:ascii="宋体" w:hAnsi="宋体"/>
          <w:color w:val="auto"/>
          <w:szCs w:val="21"/>
          <w:highlight w:val="none"/>
        </w:rPr>
      </w:pPr>
      <w:bookmarkStart w:id="261" w:name="_Toc76720045"/>
      <w:r>
        <w:rPr>
          <w:rFonts w:hint="eastAsia" w:ascii="宋体" w:hAnsi="宋体"/>
          <w:color w:val="auto"/>
          <w:szCs w:val="21"/>
          <w:highlight w:val="none"/>
        </w:rPr>
        <w:t>7.1    发包人的义务</w:t>
      </w:r>
      <w:bookmarkEnd w:id="261"/>
    </w:p>
    <w:p w14:paraId="634671C0">
      <w:pPr>
        <w:keepNext w:val="0"/>
        <w:keepLines w:val="0"/>
        <w:pageBreakBefore w:val="0"/>
        <w:wordWrap/>
        <w:overflowPunct/>
        <w:topLinePunct w:val="0"/>
        <w:bidi w:val="0"/>
        <w:snapToGrid w:val="0"/>
        <w:spacing w:line="360" w:lineRule="auto"/>
        <w:ind w:left="0" w:leftChars="0" w:firstLine="0" w:firstLineChars="0"/>
        <w:textAlignment w:val="auto"/>
        <w:rPr>
          <w:rFonts w:ascii="宋体" w:hAnsi="宋体"/>
          <w:color w:val="auto"/>
          <w:szCs w:val="21"/>
          <w:highlight w:val="none"/>
        </w:rPr>
      </w:pPr>
      <w:r>
        <w:rPr>
          <w:rFonts w:hint="eastAsia" w:ascii="宋体" w:hAnsi="宋体"/>
          <w:color w:val="auto"/>
          <w:szCs w:val="21"/>
          <w:highlight w:val="none"/>
        </w:rPr>
        <w:t>7.1.1   提供基准坐标资料</w:t>
      </w:r>
    </w:p>
    <w:p w14:paraId="5FDDE552">
      <w:pPr>
        <w:keepNext w:val="0"/>
        <w:keepLines w:val="0"/>
        <w:pageBreakBefore w:val="0"/>
        <w:wordWrap/>
        <w:overflowPunct/>
        <w:topLinePunct w:val="0"/>
        <w:bidi w:val="0"/>
        <w:snapToGrid w:val="0"/>
        <w:spacing w:line="360" w:lineRule="auto"/>
        <w:ind w:left="0" w:leftChars="0" w:firstLine="0" w:firstLineChars="0"/>
        <w:textAlignment w:val="auto"/>
        <w:rPr>
          <w:rFonts w:ascii="宋体" w:hAnsi="宋体"/>
          <w:color w:val="auto"/>
          <w:szCs w:val="21"/>
          <w:highlight w:val="none"/>
        </w:rPr>
      </w:pPr>
      <w:r>
        <w:rPr>
          <w:rFonts w:hint="eastAsia" w:ascii="宋体" w:hAnsi="宋体"/>
          <w:color w:val="auto"/>
          <w:szCs w:val="21"/>
          <w:highlight w:val="none"/>
        </w:rPr>
        <w:t>提供的基准坐标资料的内容和时间：</w:t>
      </w:r>
      <w:r>
        <w:rPr>
          <w:rFonts w:hint="eastAsia" w:ascii="宋体" w:hAnsi="宋体"/>
          <w:color w:val="auto"/>
          <w:szCs w:val="21"/>
          <w:highlight w:val="none"/>
          <w:u w:val="single"/>
        </w:rPr>
        <w:t>发包人不另提供。由承包人根据发包人提供的资料及承包人实际勘测确定</w:t>
      </w:r>
      <w:r>
        <w:rPr>
          <w:rFonts w:hint="eastAsia" w:ascii="宋体" w:hAnsi="宋体"/>
          <w:color w:val="auto"/>
          <w:szCs w:val="21"/>
          <w:highlight w:val="none"/>
        </w:rPr>
        <w:t>；</w:t>
      </w:r>
    </w:p>
    <w:p w14:paraId="0B45871F">
      <w:pPr>
        <w:keepNext w:val="0"/>
        <w:keepLines w:val="0"/>
        <w:pageBreakBefore w:val="0"/>
        <w:wordWrap/>
        <w:overflowPunct/>
        <w:topLinePunct w:val="0"/>
        <w:bidi w:val="0"/>
        <w:snapToGrid w:val="0"/>
        <w:spacing w:line="360" w:lineRule="auto"/>
        <w:ind w:left="0" w:leftChars="0" w:firstLine="0" w:firstLineChars="0"/>
        <w:textAlignment w:val="auto"/>
        <w:rPr>
          <w:rFonts w:ascii="宋体" w:hAnsi="宋体"/>
          <w:color w:val="auto"/>
          <w:szCs w:val="21"/>
          <w:highlight w:val="none"/>
        </w:rPr>
      </w:pPr>
      <w:r>
        <w:rPr>
          <w:rFonts w:hint="eastAsia" w:ascii="宋体" w:hAnsi="宋体"/>
          <w:color w:val="auto"/>
          <w:szCs w:val="21"/>
          <w:highlight w:val="none"/>
        </w:rPr>
        <w:t>7.1.</w:t>
      </w:r>
      <w:r>
        <w:rPr>
          <w:rFonts w:hint="eastAsia" w:ascii="宋体" w:hAnsi="宋体"/>
          <w:color w:val="auto"/>
          <w:szCs w:val="21"/>
          <w:highlight w:val="none"/>
          <w:lang w:val="en-US" w:eastAsia="zh-CN"/>
        </w:rPr>
        <w:t>2</w:t>
      </w:r>
      <w:r>
        <w:rPr>
          <w:rFonts w:hint="eastAsia" w:ascii="宋体" w:hAnsi="宋体"/>
          <w:color w:val="auto"/>
          <w:szCs w:val="21"/>
          <w:highlight w:val="none"/>
        </w:rPr>
        <w:t xml:space="preserve">    进场条件和进场日期</w:t>
      </w:r>
    </w:p>
    <w:p w14:paraId="56D3BB5B">
      <w:pPr>
        <w:keepNext w:val="0"/>
        <w:keepLines w:val="0"/>
        <w:pageBreakBefore w:val="0"/>
        <w:wordWrap/>
        <w:overflowPunct/>
        <w:topLinePunct w:val="0"/>
        <w:bidi w:val="0"/>
        <w:snapToGrid w:val="0"/>
        <w:spacing w:line="360" w:lineRule="auto"/>
        <w:ind w:left="0" w:leftChars="0" w:firstLine="0" w:firstLineChars="0"/>
        <w:textAlignment w:val="auto"/>
        <w:rPr>
          <w:rFonts w:ascii="宋体" w:hAnsi="宋体"/>
          <w:color w:val="auto"/>
          <w:szCs w:val="21"/>
          <w:highlight w:val="none"/>
        </w:rPr>
      </w:pPr>
      <w:r>
        <w:rPr>
          <w:rFonts w:hint="eastAsia" w:ascii="宋体" w:hAnsi="宋体"/>
          <w:color w:val="auto"/>
          <w:szCs w:val="21"/>
          <w:highlight w:val="none"/>
        </w:rPr>
        <w:t>承包人的进场条件：</w:t>
      </w:r>
      <w:r>
        <w:rPr>
          <w:rFonts w:hint="eastAsia" w:ascii="宋体" w:hAnsi="宋体"/>
          <w:color w:val="auto"/>
          <w:szCs w:val="21"/>
          <w:highlight w:val="none"/>
          <w:u w:val="single"/>
        </w:rPr>
        <w:t>承包人应按发包人要求进场</w:t>
      </w:r>
      <w:r>
        <w:rPr>
          <w:rFonts w:hint="eastAsia" w:ascii="宋体" w:hAnsi="宋体"/>
          <w:color w:val="auto"/>
          <w:szCs w:val="21"/>
          <w:highlight w:val="none"/>
        </w:rPr>
        <w:t>；</w:t>
      </w:r>
    </w:p>
    <w:p w14:paraId="066D08F5">
      <w:pPr>
        <w:keepNext w:val="0"/>
        <w:keepLines w:val="0"/>
        <w:pageBreakBefore w:val="0"/>
        <w:wordWrap/>
        <w:overflowPunct/>
        <w:topLinePunct w:val="0"/>
        <w:bidi w:val="0"/>
        <w:snapToGrid w:val="0"/>
        <w:spacing w:line="360" w:lineRule="auto"/>
        <w:ind w:left="0" w:leftChars="0" w:firstLine="0" w:firstLineChars="0"/>
        <w:textAlignment w:val="auto"/>
        <w:rPr>
          <w:rFonts w:ascii="宋体" w:hAnsi="宋体"/>
          <w:color w:val="auto"/>
          <w:szCs w:val="21"/>
          <w:highlight w:val="none"/>
        </w:rPr>
      </w:pPr>
      <w:r>
        <w:rPr>
          <w:rFonts w:hint="eastAsia" w:ascii="宋体" w:hAnsi="宋体"/>
          <w:color w:val="auto"/>
          <w:szCs w:val="21"/>
          <w:highlight w:val="none"/>
        </w:rPr>
        <w:t>承包人的进场日期：</w:t>
      </w:r>
      <w:r>
        <w:rPr>
          <w:rFonts w:hint="eastAsia" w:ascii="宋体" w:hAnsi="宋体"/>
          <w:color w:val="auto"/>
          <w:szCs w:val="21"/>
          <w:highlight w:val="none"/>
          <w:u w:val="single"/>
        </w:rPr>
        <w:t>见本合同工期要求</w:t>
      </w:r>
      <w:r>
        <w:rPr>
          <w:rFonts w:hint="eastAsia" w:ascii="宋体" w:hAnsi="宋体"/>
          <w:color w:val="auto"/>
          <w:szCs w:val="21"/>
          <w:highlight w:val="none"/>
        </w:rPr>
        <w:t>；</w:t>
      </w:r>
    </w:p>
    <w:p w14:paraId="6942FEC0">
      <w:pPr>
        <w:keepNext w:val="0"/>
        <w:keepLines w:val="0"/>
        <w:pageBreakBefore w:val="0"/>
        <w:numPr>
          <w:ilvl w:val="0"/>
          <w:numId w:val="0"/>
        </w:numPr>
        <w:wordWrap/>
        <w:overflowPunct/>
        <w:topLinePunct w:val="0"/>
        <w:bidi w:val="0"/>
        <w:snapToGrid w:val="0"/>
        <w:spacing w:line="360" w:lineRule="auto"/>
        <w:ind w:leftChars="0"/>
        <w:textAlignment w:val="auto"/>
        <w:rPr>
          <w:rFonts w:ascii="宋体" w:hAnsi="宋体"/>
          <w:color w:val="auto"/>
          <w:szCs w:val="21"/>
          <w:highlight w:val="none"/>
        </w:rPr>
      </w:pPr>
      <w:r>
        <w:rPr>
          <w:rFonts w:hint="eastAsia" w:ascii="宋体" w:hAnsi="宋体"/>
          <w:color w:val="auto"/>
          <w:szCs w:val="21"/>
          <w:highlight w:val="none"/>
          <w:lang w:val="en-US" w:eastAsia="zh-CN"/>
        </w:rPr>
        <w:t xml:space="preserve">7.1.3   </w:t>
      </w:r>
      <w:r>
        <w:rPr>
          <w:rFonts w:hint="eastAsia" w:ascii="宋体" w:hAnsi="宋体"/>
          <w:color w:val="auto"/>
          <w:szCs w:val="21"/>
          <w:highlight w:val="none"/>
        </w:rPr>
        <w:t>临时用水电等提供和节点铺设：</w:t>
      </w:r>
      <w:r>
        <w:rPr>
          <w:rFonts w:hint="eastAsia" w:ascii="宋体" w:hAnsi="宋体"/>
          <w:color w:val="auto"/>
          <w:szCs w:val="21"/>
          <w:highlight w:val="none"/>
          <w:u w:val="single"/>
        </w:rPr>
        <w:t>承包人与相关单位协商，必要时发包人提供适当协助</w:t>
      </w:r>
      <w:r>
        <w:rPr>
          <w:rFonts w:hint="eastAsia" w:ascii="宋体" w:hAnsi="宋体"/>
          <w:color w:val="auto"/>
          <w:szCs w:val="21"/>
          <w:highlight w:val="none"/>
        </w:rPr>
        <w:t>；</w:t>
      </w:r>
    </w:p>
    <w:p w14:paraId="4A4AB9E2">
      <w:pPr>
        <w:keepNext w:val="0"/>
        <w:keepLines w:val="0"/>
        <w:pageBreakBefore w:val="0"/>
        <w:numPr>
          <w:ilvl w:val="0"/>
          <w:numId w:val="0"/>
        </w:numPr>
        <w:wordWrap/>
        <w:overflowPunct/>
        <w:topLinePunct w:val="0"/>
        <w:bidi w:val="0"/>
        <w:snapToGrid w:val="0"/>
        <w:spacing w:line="360" w:lineRule="auto"/>
        <w:ind w:leftChars="0"/>
        <w:textAlignment w:val="auto"/>
        <w:rPr>
          <w:rFonts w:ascii="宋体" w:hAnsi="宋体"/>
          <w:color w:val="auto"/>
          <w:szCs w:val="21"/>
          <w:highlight w:val="none"/>
        </w:rPr>
      </w:pPr>
      <w:r>
        <w:rPr>
          <w:rFonts w:hint="eastAsia" w:ascii="宋体" w:hAnsi="宋体"/>
          <w:color w:val="auto"/>
          <w:szCs w:val="21"/>
          <w:highlight w:val="none"/>
          <w:lang w:val="en-US" w:eastAsia="zh-CN"/>
        </w:rPr>
        <w:t xml:space="preserve">7.1.4   </w:t>
      </w:r>
      <w:r>
        <w:rPr>
          <w:rFonts w:hint="eastAsia" w:ascii="宋体" w:hAnsi="宋体"/>
          <w:color w:val="auto"/>
          <w:szCs w:val="21"/>
          <w:highlight w:val="none"/>
        </w:rPr>
        <w:t>施工用电单价：</w:t>
      </w:r>
      <w:r>
        <w:rPr>
          <w:rFonts w:hint="eastAsia" w:ascii="宋体" w:hAnsi="宋体"/>
          <w:color w:val="auto"/>
          <w:szCs w:val="21"/>
          <w:highlight w:val="none"/>
          <w:u w:val="single"/>
        </w:rPr>
        <w:t>以工程实际发生为准，由承包人承担</w:t>
      </w:r>
      <w:r>
        <w:rPr>
          <w:rFonts w:hint="eastAsia" w:ascii="宋体" w:hAnsi="宋体"/>
          <w:color w:val="auto"/>
          <w:szCs w:val="21"/>
          <w:highlight w:val="none"/>
        </w:rPr>
        <w:t>；</w:t>
      </w:r>
    </w:p>
    <w:p w14:paraId="552733DB">
      <w:pPr>
        <w:keepNext w:val="0"/>
        <w:keepLines w:val="0"/>
        <w:pageBreakBefore w:val="0"/>
        <w:numPr>
          <w:ilvl w:val="0"/>
          <w:numId w:val="0"/>
        </w:numPr>
        <w:wordWrap/>
        <w:overflowPunct/>
        <w:topLinePunct w:val="0"/>
        <w:bidi w:val="0"/>
        <w:snapToGrid w:val="0"/>
        <w:spacing w:line="360" w:lineRule="auto"/>
        <w:ind w:leftChars="0"/>
        <w:textAlignment w:val="auto"/>
        <w:rPr>
          <w:rFonts w:ascii="宋体" w:hAnsi="宋体"/>
          <w:color w:val="auto"/>
          <w:szCs w:val="21"/>
          <w:highlight w:val="none"/>
        </w:rPr>
      </w:pPr>
      <w:r>
        <w:rPr>
          <w:rFonts w:hint="eastAsia" w:ascii="宋体" w:hAnsi="宋体"/>
          <w:color w:val="auto"/>
          <w:szCs w:val="21"/>
          <w:highlight w:val="none"/>
          <w:lang w:val="en-US" w:eastAsia="zh-CN"/>
        </w:rPr>
        <w:t xml:space="preserve">7.1.5   </w:t>
      </w:r>
      <w:r>
        <w:rPr>
          <w:rFonts w:hint="eastAsia" w:ascii="宋体" w:hAnsi="宋体"/>
          <w:color w:val="auto"/>
          <w:szCs w:val="21"/>
          <w:highlight w:val="none"/>
        </w:rPr>
        <w:t>施工用水单价：</w:t>
      </w:r>
      <w:r>
        <w:rPr>
          <w:rFonts w:hint="eastAsia" w:ascii="宋体" w:hAnsi="宋体"/>
          <w:color w:val="auto"/>
          <w:szCs w:val="21"/>
          <w:highlight w:val="none"/>
          <w:u w:val="single"/>
        </w:rPr>
        <w:t>以工程实际发生为准，由承包人承担</w:t>
      </w:r>
      <w:r>
        <w:rPr>
          <w:rFonts w:hint="eastAsia" w:ascii="宋体" w:hAnsi="宋体"/>
          <w:color w:val="auto"/>
          <w:szCs w:val="21"/>
          <w:highlight w:val="none"/>
        </w:rPr>
        <w:t>；</w:t>
      </w:r>
    </w:p>
    <w:p w14:paraId="47E2B294">
      <w:pPr>
        <w:pStyle w:val="477"/>
        <w:keepNext w:val="0"/>
        <w:keepLines w:val="0"/>
        <w:pageBreakBefore w:val="0"/>
        <w:wordWrap/>
        <w:overflowPunct/>
        <w:topLinePunct w:val="0"/>
        <w:bidi w:val="0"/>
        <w:snapToGrid w:val="0"/>
        <w:spacing w:line="360" w:lineRule="auto"/>
        <w:ind w:left="0" w:leftChars="0" w:firstLine="0" w:firstLineChars="0"/>
        <w:textAlignment w:val="auto"/>
        <w:outlineLvl w:val="3"/>
        <w:rPr>
          <w:rFonts w:ascii="宋体" w:hAnsi="宋体"/>
          <w:color w:val="auto"/>
          <w:szCs w:val="21"/>
          <w:highlight w:val="none"/>
        </w:rPr>
      </w:pPr>
      <w:bookmarkStart w:id="262" w:name="_Toc76720046"/>
      <w:r>
        <w:rPr>
          <w:rFonts w:hint="eastAsia" w:ascii="宋体" w:hAnsi="宋体"/>
          <w:color w:val="auto"/>
          <w:szCs w:val="21"/>
          <w:highlight w:val="none"/>
        </w:rPr>
        <w:t>7.1.</w:t>
      </w:r>
      <w:r>
        <w:rPr>
          <w:rFonts w:hint="eastAsia" w:ascii="宋体" w:hAnsi="宋体"/>
          <w:color w:val="auto"/>
          <w:szCs w:val="21"/>
          <w:highlight w:val="none"/>
          <w:lang w:val="en-US" w:eastAsia="zh-CN"/>
        </w:rPr>
        <w:t>6</w:t>
      </w:r>
      <w:r>
        <w:rPr>
          <w:rFonts w:hint="eastAsia" w:ascii="宋体" w:hAnsi="宋体"/>
          <w:color w:val="auto"/>
          <w:szCs w:val="21"/>
          <w:highlight w:val="none"/>
        </w:rPr>
        <w:t xml:space="preserve">    由发包人履行的其他义务：</w:t>
      </w:r>
      <w:r>
        <w:rPr>
          <w:rFonts w:hint="eastAsia" w:ascii="宋体" w:hAnsi="宋体"/>
          <w:color w:val="auto"/>
          <w:szCs w:val="21"/>
          <w:highlight w:val="none"/>
          <w:u w:val="single"/>
        </w:rPr>
        <w:t xml:space="preserve">  无  </w:t>
      </w:r>
      <w:r>
        <w:rPr>
          <w:rFonts w:hint="eastAsia" w:ascii="宋体" w:hAnsi="宋体"/>
          <w:color w:val="auto"/>
          <w:szCs w:val="21"/>
          <w:highlight w:val="none"/>
        </w:rPr>
        <w:t>；</w:t>
      </w:r>
      <w:bookmarkEnd w:id="262"/>
    </w:p>
    <w:p w14:paraId="72D22E64">
      <w:pPr>
        <w:keepNext w:val="0"/>
        <w:keepLines w:val="0"/>
        <w:pageBreakBefore w:val="0"/>
        <w:wordWrap/>
        <w:overflowPunct/>
        <w:topLinePunct w:val="0"/>
        <w:bidi w:val="0"/>
        <w:snapToGrid w:val="0"/>
        <w:spacing w:line="360" w:lineRule="auto"/>
        <w:ind w:left="0" w:leftChars="0" w:firstLine="0" w:firstLineChars="0"/>
        <w:textAlignment w:val="auto"/>
        <w:outlineLvl w:val="3"/>
        <w:rPr>
          <w:rFonts w:ascii="宋体" w:hAnsi="宋体"/>
          <w:color w:val="auto"/>
          <w:szCs w:val="21"/>
          <w:highlight w:val="none"/>
        </w:rPr>
      </w:pPr>
      <w:bookmarkStart w:id="263" w:name="_Toc76720047"/>
      <w:r>
        <w:rPr>
          <w:rFonts w:hint="eastAsia" w:ascii="宋体" w:hAnsi="宋体"/>
          <w:color w:val="auto"/>
          <w:szCs w:val="21"/>
          <w:highlight w:val="none"/>
        </w:rPr>
        <w:t>7.2    承包人的义务</w:t>
      </w:r>
      <w:bookmarkEnd w:id="263"/>
    </w:p>
    <w:p w14:paraId="6F15A1A3">
      <w:pPr>
        <w:keepNext w:val="0"/>
        <w:keepLines w:val="0"/>
        <w:pageBreakBefore w:val="0"/>
        <w:wordWrap/>
        <w:overflowPunct/>
        <w:topLinePunct w:val="0"/>
        <w:bidi w:val="0"/>
        <w:snapToGrid w:val="0"/>
        <w:spacing w:line="360" w:lineRule="auto"/>
        <w:ind w:left="0" w:leftChars="0" w:firstLine="0" w:firstLineChars="0"/>
        <w:textAlignment w:val="auto"/>
        <w:rPr>
          <w:rFonts w:ascii="宋体" w:hAnsi="宋体"/>
          <w:color w:val="auto"/>
          <w:szCs w:val="21"/>
          <w:highlight w:val="none"/>
        </w:rPr>
      </w:pPr>
      <w:r>
        <w:rPr>
          <w:rFonts w:hint="eastAsia" w:ascii="宋体" w:hAnsi="宋体"/>
          <w:color w:val="auto"/>
          <w:szCs w:val="21"/>
          <w:highlight w:val="none"/>
        </w:rPr>
        <w:t>7.2.</w:t>
      </w:r>
      <w:r>
        <w:rPr>
          <w:rFonts w:hint="eastAsia" w:ascii="宋体" w:hAnsi="宋体"/>
          <w:color w:val="auto"/>
          <w:szCs w:val="21"/>
          <w:highlight w:val="none"/>
          <w:lang w:val="en-US" w:eastAsia="zh-CN"/>
        </w:rPr>
        <w:t>1</w:t>
      </w:r>
      <w:r>
        <w:rPr>
          <w:rFonts w:hint="eastAsia" w:ascii="宋体" w:hAnsi="宋体"/>
          <w:color w:val="auto"/>
          <w:szCs w:val="21"/>
          <w:highlight w:val="none"/>
        </w:rPr>
        <w:t xml:space="preserve">    施工组织设计</w:t>
      </w:r>
    </w:p>
    <w:p w14:paraId="570BB445">
      <w:pPr>
        <w:keepNext w:val="0"/>
        <w:keepLines w:val="0"/>
        <w:pageBreakBefore w:val="0"/>
        <w:wordWrap/>
        <w:overflowPunct/>
        <w:topLinePunct w:val="0"/>
        <w:bidi w:val="0"/>
        <w:snapToGrid w:val="0"/>
        <w:spacing w:line="360" w:lineRule="auto"/>
        <w:ind w:left="0" w:leftChars="0" w:firstLine="0" w:firstLineChars="0"/>
        <w:textAlignment w:val="auto"/>
        <w:rPr>
          <w:rFonts w:ascii="宋体" w:hAnsi="宋体"/>
          <w:color w:val="auto"/>
          <w:szCs w:val="21"/>
          <w:highlight w:val="none"/>
        </w:rPr>
      </w:pPr>
      <w:r>
        <w:rPr>
          <w:rFonts w:hint="eastAsia" w:ascii="宋体" w:hAnsi="宋体"/>
          <w:color w:val="auto"/>
          <w:szCs w:val="21"/>
          <w:highlight w:val="none"/>
        </w:rPr>
        <w:t>提交工程总体施工组织设计的份数和时间：</w:t>
      </w:r>
      <w:r>
        <w:rPr>
          <w:rFonts w:hint="eastAsia" w:ascii="宋体" w:hAnsi="宋体"/>
          <w:color w:val="auto"/>
          <w:szCs w:val="21"/>
          <w:highlight w:val="none"/>
          <w:u w:val="single"/>
        </w:rPr>
        <w:t>2份，承包人于投标阶段提供</w:t>
      </w:r>
      <w:r>
        <w:rPr>
          <w:rFonts w:hint="eastAsia" w:ascii="宋体" w:hAnsi="宋体"/>
          <w:color w:val="auto"/>
          <w:szCs w:val="21"/>
          <w:highlight w:val="none"/>
        </w:rPr>
        <w:t>；</w:t>
      </w:r>
    </w:p>
    <w:p w14:paraId="639E6051">
      <w:pPr>
        <w:keepNext w:val="0"/>
        <w:keepLines w:val="0"/>
        <w:pageBreakBefore w:val="0"/>
        <w:wordWrap/>
        <w:overflowPunct/>
        <w:topLinePunct w:val="0"/>
        <w:bidi w:val="0"/>
        <w:snapToGrid w:val="0"/>
        <w:spacing w:line="360" w:lineRule="auto"/>
        <w:ind w:left="0" w:leftChars="0" w:firstLine="0" w:firstLineChars="0"/>
        <w:textAlignment w:val="auto"/>
        <w:rPr>
          <w:rFonts w:ascii="宋体" w:hAnsi="宋体"/>
          <w:color w:val="auto"/>
          <w:szCs w:val="21"/>
          <w:highlight w:val="none"/>
        </w:rPr>
      </w:pPr>
      <w:r>
        <w:rPr>
          <w:rFonts w:hint="eastAsia" w:ascii="宋体" w:hAnsi="宋体"/>
          <w:color w:val="auto"/>
          <w:szCs w:val="21"/>
          <w:highlight w:val="none"/>
        </w:rPr>
        <w:t>需要提交主要单项工程、分部分项工程施工组织设计的名称、份数和时间：</w:t>
      </w:r>
      <w:r>
        <w:rPr>
          <w:rFonts w:hint="eastAsia" w:ascii="宋体" w:hAnsi="宋体"/>
          <w:color w:val="auto"/>
          <w:szCs w:val="21"/>
          <w:highlight w:val="none"/>
          <w:u w:val="single"/>
        </w:rPr>
        <w:t>无</w:t>
      </w:r>
      <w:r>
        <w:rPr>
          <w:rFonts w:hint="eastAsia" w:ascii="宋体" w:hAnsi="宋体"/>
          <w:color w:val="auto"/>
          <w:szCs w:val="21"/>
          <w:highlight w:val="none"/>
        </w:rPr>
        <w:t>；</w:t>
      </w:r>
    </w:p>
    <w:p w14:paraId="6B56536D">
      <w:pPr>
        <w:keepNext w:val="0"/>
        <w:keepLines w:val="0"/>
        <w:pageBreakBefore w:val="0"/>
        <w:wordWrap/>
        <w:overflowPunct/>
        <w:topLinePunct w:val="0"/>
        <w:bidi w:val="0"/>
        <w:snapToGrid w:val="0"/>
        <w:spacing w:line="360" w:lineRule="auto"/>
        <w:ind w:left="0" w:leftChars="0" w:firstLine="0" w:firstLineChars="0"/>
        <w:textAlignment w:val="auto"/>
        <w:rPr>
          <w:rFonts w:ascii="宋体" w:hAnsi="宋体"/>
          <w:color w:val="auto"/>
          <w:szCs w:val="21"/>
          <w:highlight w:val="none"/>
        </w:rPr>
      </w:pPr>
      <w:r>
        <w:rPr>
          <w:rFonts w:hint="eastAsia" w:ascii="宋体" w:hAnsi="宋体"/>
          <w:color w:val="auto"/>
          <w:szCs w:val="21"/>
          <w:highlight w:val="none"/>
        </w:rPr>
        <w:t>7.2.</w:t>
      </w:r>
      <w:r>
        <w:rPr>
          <w:rFonts w:hint="eastAsia" w:ascii="宋体" w:hAnsi="宋体"/>
          <w:color w:val="auto"/>
          <w:szCs w:val="21"/>
          <w:highlight w:val="none"/>
          <w:lang w:val="en-US" w:eastAsia="zh-CN"/>
        </w:rPr>
        <w:t>2</w:t>
      </w:r>
      <w:r>
        <w:rPr>
          <w:rFonts w:hint="eastAsia" w:ascii="宋体" w:hAnsi="宋体"/>
          <w:color w:val="auto"/>
          <w:szCs w:val="21"/>
          <w:highlight w:val="none"/>
        </w:rPr>
        <w:t xml:space="preserve">   提交临时占地资料</w:t>
      </w:r>
    </w:p>
    <w:p w14:paraId="5689F282">
      <w:pPr>
        <w:keepNext w:val="0"/>
        <w:keepLines w:val="0"/>
        <w:pageBreakBefore w:val="0"/>
        <w:wordWrap/>
        <w:overflowPunct/>
        <w:topLinePunct w:val="0"/>
        <w:bidi w:val="0"/>
        <w:snapToGrid w:val="0"/>
        <w:spacing w:line="360" w:lineRule="auto"/>
        <w:ind w:left="0" w:leftChars="0" w:firstLine="0" w:firstLineChars="0"/>
        <w:textAlignment w:val="auto"/>
        <w:rPr>
          <w:rFonts w:ascii="宋体" w:hAnsi="宋体"/>
          <w:color w:val="auto"/>
          <w:szCs w:val="21"/>
          <w:highlight w:val="none"/>
        </w:rPr>
      </w:pPr>
      <w:r>
        <w:rPr>
          <w:rFonts w:hint="eastAsia" w:ascii="宋体" w:hAnsi="宋体"/>
          <w:color w:val="auto"/>
          <w:szCs w:val="21"/>
          <w:highlight w:val="none"/>
        </w:rPr>
        <w:t>提交临时占地资料的时间：</w:t>
      </w:r>
      <w:r>
        <w:rPr>
          <w:rFonts w:hint="eastAsia" w:ascii="宋体" w:hAnsi="宋体"/>
          <w:color w:val="auto"/>
          <w:szCs w:val="21"/>
          <w:highlight w:val="none"/>
          <w:u w:val="single"/>
        </w:rPr>
        <w:t>双方协商确定</w:t>
      </w:r>
      <w:r>
        <w:rPr>
          <w:rFonts w:hint="eastAsia" w:ascii="宋体" w:hAnsi="宋体"/>
          <w:color w:val="auto"/>
          <w:szCs w:val="21"/>
          <w:highlight w:val="none"/>
        </w:rPr>
        <w:t>；</w:t>
      </w:r>
    </w:p>
    <w:p w14:paraId="555AC7FA">
      <w:pPr>
        <w:keepNext w:val="0"/>
        <w:keepLines w:val="0"/>
        <w:pageBreakBefore w:val="0"/>
        <w:wordWrap/>
        <w:overflowPunct/>
        <w:topLinePunct w:val="0"/>
        <w:bidi w:val="0"/>
        <w:snapToGrid w:val="0"/>
        <w:spacing w:line="360" w:lineRule="auto"/>
        <w:ind w:left="0" w:leftChars="0" w:firstLine="0" w:firstLineChars="0"/>
        <w:textAlignment w:val="auto"/>
        <w:rPr>
          <w:rFonts w:ascii="宋体" w:hAnsi="宋体"/>
          <w:color w:val="auto"/>
          <w:szCs w:val="21"/>
          <w:highlight w:val="none"/>
        </w:rPr>
      </w:pPr>
      <w:r>
        <w:rPr>
          <w:rFonts w:hint="eastAsia" w:ascii="宋体" w:hAnsi="宋体"/>
          <w:color w:val="auto"/>
          <w:szCs w:val="21"/>
          <w:highlight w:val="none"/>
        </w:rPr>
        <w:t>7.2.</w:t>
      </w:r>
      <w:r>
        <w:rPr>
          <w:rFonts w:hint="eastAsia" w:ascii="宋体" w:hAnsi="宋体"/>
          <w:color w:val="auto"/>
          <w:szCs w:val="21"/>
          <w:highlight w:val="none"/>
          <w:lang w:val="en-US" w:eastAsia="zh-CN"/>
        </w:rPr>
        <w:t>3</w:t>
      </w:r>
      <w:r>
        <w:rPr>
          <w:rFonts w:hint="eastAsia" w:ascii="宋体" w:hAnsi="宋体"/>
          <w:color w:val="auto"/>
          <w:szCs w:val="21"/>
          <w:highlight w:val="none"/>
        </w:rPr>
        <w:t xml:space="preserve">    提供临时用水电等资料</w:t>
      </w:r>
    </w:p>
    <w:p w14:paraId="0CE3FD77">
      <w:pPr>
        <w:keepNext w:val="0"/>
        <w:keepLines w:val="0"/>
        <w:pageBreakBefore w:val="0"/>
        <w:wordWrap/>
        <w:overflowPunct/>
        <w:topLinePunct w:val="0"/>
        <w:bidi w:val="0"/>
        <w:snapToGrid w:val="0"/>
        <w:spacing w:line="360" w:lineRule="auto"/>
        <w:ind w:left="0" w:leftChars="0" w:firstLine="0" w:firstLineChars="0"/>
        <w:textAlignment w:val="auto"/>
        <w:rPr>
          <w:rFonts w:ascii="宋体" w:hAnsi="宋体"/>
          <w:color w:val="auto"/>
          <w:szCs w:val="21"/>
          <w:highlight w:val="none"/>
        </w:rPr>
      </w:pPr>
      <w:r>
        <w:rPr>
          <w:rFonts w:hint="eastAsia" w:ascii="宋体" w:hAnsi="宋体"/>
          <w:color w:val="auto"/>
          <w:szCs w:val="21"/>
          <w:highlight w:val="none"/>
        </w:rPr>
        <w:t>承包人需要水电等品质、正常用量、高峰量和使用时间：</w:t>
      </w:r>
      <w:r>
        <w:rPr>
          <w:rFonts w:hint="eastAsia" w:ascii="宋体" w:hAnsi="宋体"/>
          <w:color w:val="auto"/>
          <w:szCs w:val="21"/>
          <w:highlight w:val="none"/>
          <w:u w:val="single"/>
        </w:rPr>
        <w:t>双方协商确定</w:t>
      </w:r>
      <w:r>
        <w:rPr>
          <w:rFonts w:hint="eastAsia" w:ascii="宋体" w:hAnsi="宋体"/>
          <w:color w:val="auto"/>
          <w:szCs w:val="21"/>
          <w:highlight w:val="none"/>
        </w:rPr>
        <w:t>；</w:t>
      </w:r>
    </w:p>
    <w:p w14:paraId="1BB557B5">
      <w:pPr>
        <w:keepNext w:val="0"/>
        <w:keepLines w:val="0"/>
        <w:pageBreakBefore w:val="0"/>
        <w:wordWrap/>
        <w:overflowPunct/>
        <w:topLinePunct w:val="0"/>
        <w:bidi w:val="0"/>
        <w:snapToGrid w:val="0"/>
        <w:spacing w:line="360" w:lineRule="auto"/>
        <w:ind w:left="0" w:leftChars="0" w:firstLine="0" w:firstLineChars="0"/>
        <w:textAlignment w:val="auto"/>
        <w:rPr>
          <w:rFonts w:ascii="宋体" w:hAnsi="宋体"/>
          <w:color w:val="auto"/>
          <w:szCs w:val="21"/>
          <w:highlight w:val="none"/>
        </w:rPr>
      </w:pPr>
      <w:r>
        <w:rPr>
          <w:rFonts w:hint="eastAsia" w:ascii="宋体" w:hAnsi="宋体"/>
          <w:color w:val="auto"/>
          <w:szCs w:val="21"/>
          <w:highlight w:val="none"/>
        </w:rPr>
        <w:t>发包人能够提供施工临时用水、电等类别和数量：</w:t>
      </w:r>
      <w:r>
        <w:rPr>
          <w:rFonts w:hint="eastAsia" w:ascii="宋体" w:hAnsi="宋体"/>
          <w:color w:val="auto"/>
          <w:szCs w:val="21"/>
          <w:highlight w:val="none"/>
          <w:u w:val="single"/>
        </w:rPr>
        <w:t>施工用电、用水的接出点位置接出由承包人负责实施，计量方式为表式计量</w:t>
      </w:r>
      <w:r>
        <w:rPr>
          <w:rFonts w:hint="eastAsia" w:ascii="宋体" w:hAnsi="宋体"/>
          <w:color w:val="auto"/>
          <w:szCs w:val="21"/>
          <w:highlight w:val="none"/>
        </w:rPr>
        <w:t>；</w:t>
      </w:r>
    </w:p>
    <w:p w14:paraId="11A09979">
      <w:pPr>
        <w:keepNext w:val="0"/>
        <w:keepLines w:val="0"/>
        <w:pageBreakBefore w:val="0"/>
        <w:wordWrap/>
        <w:overflowPunct/>
        <w:topLinePunct w:val="0"/>
        <w:bidi w:val="0"/>
        <w:snapToGrid w:val="0"/>
        <w:spacing w:line="360" w:lineRule="auto"/>
        <w:ind w:left="0" w:leftChars="0" w:firstLine="0" w:firstLineChars="0"/>
        <w:textAlignment w:val="auto"/>
        <w:rPr>
          <w:rFonts w:ascii="宋体" w:hAnsi="宋体"/>
          <w:color w:val="auto"/>
          <w:szCs w:val="21"/>
          <w:highlight w:val="none"/>
        </w:rPr>
      </w:pPr>
      <w:r>
        <w:rPr>
          <w:rFonts w:hint="eastAsia" w:ascii="宋体" w:hAnsi="宋体"/>
          <w:color w:val="auto"/>
          <w:szCs w:val="21"/>
          <w:highlight w:val="none"/>
        </w:rPr>
        <w:t>水电等接口位置资料的提交时间：</w:t>
      </w:r>
      <w:r>
        <w:rPr>
          <w:rFonts w:hint="eastAsia" w:ascii="宋体" w:hAnsi="宋体"/>
          <w:color w:val="auto"/>
          <w:szCs w:val="21"/>
          <w:highlight w:val="none"/>
          <w:u w:val="single"/>
        </w:rPr>
        <w:t>双方协商确定</w:t>
      </w:r>
      <w:r>
        <w:rPr>
          <w:rFonts w:hint="eastAsia" w:ascii="宋体" w:hAnsi="宋体"/>
          <w:color w:val="auto"/>
          <w:szCs w:val="21"/>
          <w:highlight w:val="none"/>
        </w:rPr>
        <w:t>；</w:t>
      </w:r>
    </w:p>
    <w:p w14:paraId="4C15A029">
      <w:pPr>
        <w:keepNext w:val="0"/>
        <w:keepLines w:val="0"/>
        <w:pageBreakBefore w:val="0"/>
        <w:wordWrap/>
        <w:overflowPunct/>
        <w:topLinePunct w:val="0"/>
        <w:bidi w:val="0"/>
        <w:snapToGrid w:val="0"/>
        <w:spacing w:line="360" w:lineRule="auto"/>
        <w:ind w:left="0" w:leftChars="0" w:firstLine="0" w:firstLineChars="0"/>
        <w:textAlignment w:val="auto"/>
        <w:rPr>
          <w:rFonts w:ascii="宋体" w:hAnsi="宋体"/>
          <w:color w:val="auto"/>
          <w:szCs w:val="21"/>
          <w:highlight w:val="none"/>
        </w:rPr>
      </w:pPr>
      <w:r>
        <w:rPr>
          <w:rFonts w:hint="eastAsia" w:ascii="宋体" w:hAnsi="宋体"/>
          <w:color w:val="auto"/>
          <w:szCs w:val="21"/>
          <w:highlight w:val="none"/>
        </w:rPr>
        <w:t>7.2.</w:t>
      </w:r>
      <w:r>
        <w:rPr>
          <w:rFonts w:hint="eastAsia" w:ascii="宋体" w:hAnsi="宋体"/>
          <w:color w:val="auto"/>
          <w:szCs w:val="21"/>
          <w:highlight w:val="none"/>
          <w:lang w:val="en-US" w:eastAsia="zh-CN"/>
        </w:rPr>
        <w:t>4</w:t>
      </w:r>
      <w:r>
        <w:rPr>
          <w:rFonts w:hint="eastAsia" w:ascii="宋体" w:hAnsi="宋体"/>
          <w:color w:val="auto"/>
          <w:szCs w:val="21"/>
          <w:highlight w:val="none"/>
        </w:rPr>
        <w:t xml:space="preserve">   由承包人履行的其他义务：</w:t>
      </w:r>
    </w:p>
    <w:p w14:paraId="2215E1BA">
      <w:pPr>
        <w:keepNext w:val="0"/>
        <w:keepLines w:val="0"/>
        <w:pageBreakBefore w:val="0"/>
        <w:wordWrap/>
        <w:overflowPunct/>
        <w:topLinePunct w:val="0"/>
        <w:bidi w:val="0"/>
        <w:snapToGrid w:val="0"/>
        <w:spacing w:line="360" w:lineRule="auto"/>
        <w:ind w:left="0" w:leftChars="0" w:firstLine="0" w:firstLineChars="0"/>
        <w:textAlignment w:val="auto"/>
        <w:rPr>
          <w:rFonts w:ascii="宋体" w:hAnsi="宋体"/>
          <w:color w:val="auto"/>
          <w:szCs w:val="21"/>
          <w:highlight w:val="none"/>
        </w:rPr>
      </w:pPr>
      <w:r>
        <w:rPr>
          <w:rFonts w:hint="eastAsia" w:ascii="宋体" w:hAnsi="宋体"/>
          <w:color w:val="auto"/>
          <w:szCs w:val="21"/>
          <w:highlight w:val="none"/>
        </w:rPr>
        <w:t>（1）与建筑业主单位的日常协调工作由承包人牵头负责，</w:t>
      </w:r>
      <w:r>
        <w:rPr>
          <w:rFonts w:hint="eastAsia" w:ascii="宋体" w:hAnsi="宋体" w:cs="宋体"/>
          <w:color w:val="auto"/>
          <w:szCs w:val="21"/>
          <w:highlight w:val="none"/>
        </w:rPr>
        <w:t>必要时发包人可予以协助</w:t>
      </w:r>
      <w:r>
        <w:rPr>
          <w:rFonts w:hint="eastAsia" w:ascii="宋体" w:hAnsi="宋体"/>
          <w:color w:val="auto"/>
          <w:szCs w:val="21"/>
          <w:highlight w:val="none"/>
        </w:rPr>
        <w:t>；</w:t>
      </w:r>
    </w:p>
    <w:p w14:paraId="33A5F474">
      <w:pPr>
        <w:keepNext w:val="0"/>
        <w:keepLines w:val="0"/>
        <w:pageBreakBefore w:val="0"/>
        <w:wordWrap/>
        <w:overflowPunct/>
        <w:topLinePunct w:val="0"/>
        <w:bidi w:val="0"/>
        <w:snapToGrid w:val="0"/>
        <w:spacing w:line="360" w:lineRule="auto"/>
        <w:ind w:left="0" w:leftChars="0" w:firstLine="0" w:firstLineChars="0"/>
        <w:textAlignment w:val="auto"/>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eastAsia="zh-CN"/>
        </w:rPr>
        <w:t>承包人</w:t>
      </w:r>
      <w:r>
        <w:rPr>
          <w:rFonts w:hint="eastAsia" w:ascii="宋体" w:hAnsi="宋体"/>
          <w:color w:val="auto"/>
          <w:szCs w:val="21"/>
          <w:highlight w:val="none"/>
        </w:rPr>
        <w:t>现场项目部人员组成必须满足：所有人员在现场必须穿戴统一的工作服和工作帽。每天工作时间必须服从发包人安排，要离开现场时，必须跟发包人项目部领导请假。</w:t>
      </w:r>
    </w:p>
    <w:p w14:paraId="41E7CC85">
      <w:pPr>
        <w:keepNext w:val="0"/>
        <w:keepLines w:val="0"/>
        <w:pageBreakBefore w:val="0"/>
        <w:wordWrap/>
        <w:overflowPunct/>
        <w:topLinePunct w:val="0"/>
        <w:bidi w:val="0"/>
        <w:snapToGrid w:val="0"/>
        <w:spacing w:line="360" w:lineRule="auto"/>
        <w:ind w:left="0" w:leftChars="0" w:firstLine="0" w:firstLineChars="0"/>
        <w:textAlignment w:val="auto"/>
        <w:rPr>
          <w:rFonts w:ascii="宋体" w:hAnsi="宋体"/>
          <w:color w:val="auto"/>
          <w:szCs w:val="21"/>
          <w:highlight w:val="none"/>
        </w:rPr>
      </w:pPr>
      <w:r>
        <w:rPr>
          <w:rFonts w:hint="eastAsia" w:ascii="宋体" w:hAnsi="宋体"/>
          <w:color w:val="auto"/>
          <w:szCs w:val="21"/>
          <w:highlight w:val="none"/>
        </w:rPr>
        <w:t>（3）在施工或计划的关键节点，设备厂家（含光伏组件、逆变器、电缆、汇流柜等）现场服务人员须由承包人联系，并保证相关厂家的固定人员在此期间现场服务。如不满足要求，承包人按照影响工期的程度承担违约责任。</w:t>
      </w:r>
    </w:p>
    <w:p w14:paraId="39439334">
      <w:pPr>
        <w:keepNext w:val="0"/>
        <w:keepLines w:val="0"/>
        <w:pageBreakBefore w:val="0"/>
        <w:wordWrap/>
        <w:overflowPunct/>
        <w:topLinePunct w:val="0"/>
        <w:bidi w:val="0"/>
        <w:snapToGrid w:val="0"/>
        <w:spacing w:line="360" w:lineRule="auto"/>
        <w:ind w:left="0" w:leftChars="0" w:firstLine="0" w:firstLineChars="0"/>
        <w:textAlignment w:val="auto"/>
        <w:rPr>
          <w:rFonts w:ascii="宋体" w:hAnsi="宋体"/>
          <w:color w:val="auto"/>
          <w:szCs w:val="21"/>
          <w:highlight w:val="none"/>
        </w:rPr>
      </w:pPr>
      <w:r>
        <w:rPr>
          <w:rFonts w:hint="eastAsia" w:ascii="宋体" w:hAnsi="宋体"/>
          <w:color w:val="auto"/>
          <w:szCs w:val="21"/>
          <w:highlight w:val="none"/>
        </w:rPr>
        <w:t>（4）项目工程需要进行的全部测试和试验，全部由</w:t>
      </w:r>
      <w:r>
        <w:rPr>
          <w:rFonts w:hint="eastAsia" w:ascii="宋体" w:hAnsi="宋体"/>
          <w:color w:val="auto"/>
          <w:szCs w:val="21"/>
          <w:highlight w:val="none"/>
          <w:lang w:eastAsia="zh-CN"/>
        </w:rPr>
        <w:t>承包人</w:t>
      </w:r>
      <w:r>
        <w:rPr>
          <w:rFonts w:hint="eastAsia" w:ascii="宋体" w:hAnsi="宋体"/>
          <w:color w:val="auto"/>
          <w:szCs w:val="21"/>
          <w:highlight w:val="none"/>
        </w:rPr>
        <w:t>负责实施，费用已含在合同价格中。</w:t>
      </w:r>
    </w:p>
    <w:p w14:paraId="3726326D">
      <w:pPr>
        <w:keepNext w:val="0"/>
        <w:keepLines w:val="0"/>
        <w:pageBreakBefore w:val="0"/>
        <w:wordWrap/>
        <w:overflowPunct/>
        <w:topLinePunct w:val="0"/>
        <w:bidi w:val="0"/>
        <w:snapToGrid w:val="0"/>
        <w:spacing w:line="360" w:lineRule="auto"/>
        <w:ind w:left="0" w:leftChars="0" w:firstLine="0" w:firstLineChars="0"/>
        <w:textAlignment w:val="auto"/>
        <w:rPr>
          <w:color w:val="auto"/>
          <w:szCs w:val="21"/>
          <w:highlight w:val="none"/>
          <w:shd w:val="clear" w:color="auto" w:fill="FFFFFF"/>
        </w:rPr>
      </w:pPr>
      <w:r>
        <w:rPr>
          <w:rFonts w:hint="eastAsia" w:ascii="宋体" w:hAnsi="宋体"/>
          <w:color w:val="auto"/>
          <w:szCs w:val="21"/>
          <w:highlight w:val="none"/>
        </w:rPr>
        <w:t>（5</w:t>
      </w:r>
      <w:r>
        <w:rPr>
          <w:rFonts w:ascii="宋体" w:hAnsi="宋体"/>
          <w:color w:val="auto"/>
          <w:szCs w:val="21"/>
          <w:highlight w:val="none"/>
        </w:rPr>
        <w:t>）现场文明施工</w:t>
      </w:r>
      <w:r>
        <w:rPr>
          <w:rFonts w:hint="eastAsia" w:ascii="宋体" w:hAnsi="宋体"/>
          <w:color w:val="auto"/>
          <w:szCs w:val="21"/>
          <w:highlight w:val="none"/>
        </w:rPr>
        <w:t>要求：</w:t>
      </w:r>
      <w:r>
        <w:rPr>
          <w:rFonts w:hint="eastAsia"/>
          <w:color w:val="auto"/>
          <w:szCs w:val="21"/>
          <w:highlight w:val="none"/>
          <w:shd w:val="clear" w:color="auto" w:fill="FFFFFF"/>
        </w:rPr>
        <w:t>现场文明施工：高空作业要经安全交底并有</w:t>
      </w:r>
      <w:r>
        <w:rPr>
          <w:rFonts w:hint="eastAsia"/>
          <w:b/>
          <w:bCs/>
          <w:color w:val="auto"/>
          <w:szCs w:val="21"/>
          <w:highlight w:val="none"/>
          <w:shd w:val="clear" w:color="auto" w:fill="FFFFFF"/>
        </w:rPr>
        <w:t>专职安全员</w:t>
      </w:r>
      <w:r>
        <w:rPr>
          <w:rFonts w:hint="eastAsia"/>
          <w:color w:val="auto"/>
          <w:szCs w:val="21"/>
          <w:highlight w:val="none"/>
          <w:shd w:val="clear" w:color="auto" w:fill="FFFFFF"/>
        </w:rPr>
        <w:t>现场全过程监督，施工现场每天下班前做到“工完料尽场地清”。施工作业现场配备合格、足够的安全文明设施，作业人员必须正确使用个人防护用品和安全绝缘工器具，确保人身和设备安全。配电屏（盘）或配电线路维修时，应悬挂停电标志牌，停、送电必须由专人负责。现场严禁吸烟。管理应满足《基建工程安全文明施工管理规定》和《光伏发电站施工规范》的要求。</w:t>
      </w:r>
    </w:p>
    <w:p w14:paraId="54EE25C2">
      <w:pPr>
        <w:keepNext w:val="0"/>
        <w:keepLines w:val="0"/>
        <w:pageBreakBefore w:val="0"/>
        <w:wordWrap/>
        <w:overflowPunct/>
        <w:topLinePunct w:val="0"/>
        <w:bidi w:val="0"/>
        <w:snapToGrid w:val="0"/>
        <w:spacing w:line="360" w:lineRule="auto"/>
        <w:ind w:left="0" w:leftChars="0" w:firstLine="0" w:firstLineChars="0"/>
        <w:textAlignment w:val="auto"/>
        <w:rPr>
          <w:rFonts w:ascii="宋体" w:hAnsi="宋体"/>
          <w:color w:val="auto"/>
          <w:szCs w:val="21"/>
          <w:highlight w:val="none"/>
        </w:rPr>
      </w:pPr>
      <w:r>
        <w:rPr>
          <w:rFonts w:hint="eastAsia" w:ascii="宋体" w:hAnsi="宋体"/>
          <w:color w:val="auto"/>
          <w:szCs w:val="21"/>
          <w:highlight w:val="none"/>
        </w:rPr>
        <w:t>（6</w:t>
      </w:r>
      <w:r>
        <w:rPr>
          <w:rFonts w:ascii="宋体" w:hAnsi="宋体"/>
          <w:color w:val="auto"/>
          <w:szCs w:val="21"/>
          <w:highlight w:val="none"/>
        </w:rPr>
        <w:t>）</w:t>
      </w:r>
      <w:r>
        <w:rPr>
          <w:rFonts w:hint="eastAsia" w:ascii="宋体" w:hAnsi="宋体"/>
          <w:color w:val="auto"/>
          <w:szCs w:val="21"/>
          <w:highlight w:val="none"/>
        </w:rPr>
        <w:t>发包人项目部发出书面指令后， 承包人若未按要求执行或延误执行，承包人须按每项1000元人民币/天的标准向发包人支付违约金。</w:t>
      </w:r>
    </w:p>
    <w:p w14:paraId="7D3652EC">
      <w:pPr>
        <w:keepNext w:val="0"/>
        <w:keepLines w:val="0"/>
        <w:pageBreakBefore w:val="0"/>
        <w:wordWrap/>
        <w:overflowPunct/>
        <w:topLinePunct w:val="0"/>
        <w:bidi w:val="0"/>
        <w:snapToGrid w:val="0"/>
        <w:spacing w:line="360" w:lineRule="auto"/>
        <w:ind w:left="0" w:leftChars="0" w:firstLine="0" w:firstLineChars="0"/>
        <w:textAlignment w:val="auto"/>
        <w:rPr>
          <w:rFonts w:ascii="宋体" w:hAnsi="宋体"/>
          <w:color w:val="auto"/>
          <w:szCs w:val="21"/>
          <w:highlight w:val="none"/>
        </w:rPr>
      </w:pPr>
      <w:r>
        <w:rPr>
          <w:rFonts w:hint="eastAsia" w:ascii="宋体" w:hAnsi="宋体"/>
          <w:color w:val="auto"/>
          <w:szCs w:val="21"/>
          <w:highlight w:val="none"/>
        </w:rPr>
        <w:t>（7</w:t>
      </w:r>
      <w:r>
        <w:rPr>
          <w:rFonts w:ascii="宋体" w:hAnsi="宋体"/>
          <w:color w:val="auto"/>
          <w:szCs w:val="21"/>
          <w:highlight w:val="none"/>
        </w:rPr>
        <w:t>）</w:t>
      </w:r>
      <w:r>
        <w:rPr>
          <w:rFonts w:hint="eastAsia" w:ascii="宋体" w:hAnsi="宋体"/>
          <w:color w:val="auto"/>
          <w:szCs w:val="21"/>
          <w:highlight w:val="none"/>
        </w:rPr>
        <w:t>项目开工前相应的开工报告、施工方案、作业指导书等承包人未报发包人批准就违章施工的，承包人须按每项1000元人民币/天的标准向发包人支付违约金。</w:t>
      </w:r>
    </w:p>
    <w:p w14:paraId="0CD4DE19">
      <w:pPr>
        <w:keepNext w:val="0"/>
        <w:keepLines w:val="0"/>
        <w:pageBreakBefore w:val="0"/>
        <w:wordWrap/>
        <w:overflowPunct/>
        <w:topLinePunct w:val="0"/>
        <w:bidi w:val="0"/>
        <w:snapToGrid w:val="0"/>
        <w:spacing w:line="360" w:lineRule="auto"/>
        <w:ind w:left="0" w:leftChars="0" w:firstLine="0" w:firstLineChars="0"/>
        <w:textAlignment w:val="auto"/>
        <w:rPr>
          <w:rFonts w:ascii="宋体" w:hAnsi="宋体"/>
          <w:color w:val="auto"/>
          <w:szCs w:val="21"/>
          <w:highlight w:val="none"/>
        </w:rPr>
      </w:pPr>
      <w:r>
        <w:rPr>
          <w:rFonts w:hint="eastAsia" w:ascii="宋体" w:hAnsi="宋体"/>
          <w:color w:val="auto"/>
          <w:szCs w:val="21"/>
          <w:highlight w:val="none"/>
        </w:rPr>
        <w:t>（8</w:t>
      </w:r>
      <w:r>
        <w:rPr>
          <w:rFonts w:ascii="宋体" w:hAnsi="宋体"/>
          <w:color w:val="auto"/>
          <w:szCs w:val="21"/>
          <w:highlight w:val="none"/>
        </w:rPr>
        <w:t>）</w:t>
      </w:r>
      <w:r>
        <w:rPr>
          <w:rFonts w:hint="eastAsia" w:ascii="宋体" w:hAnsi="宋体"/>
          <w:color w:val="auto"/>
          <w:szCs w:val="21"/>
          <w:highlight w:val="none"/>
        </w:rPr>
        <w:t>承包人现场质量管理、安全管理、进度管理等违反相关规定或要求的，承包人须按500元/项～50000元/项的标准向发包人支付违约金。</w:t>
      </w:r>
    </w:p>
    <w:p w14:paraId="17A1905C">
      <w:pPr>
        <w:keepNext w:val="0"/>
        <w:keepLines w:val="0"/>
        <w:pageBreakBefore w:val="0"/>
        <w:wordWrap/>
        <w:overflowPunct/>
        <w:topLinePunct w:val="0"/>
        <w:bidi w:val="0"/>
        <w:snapToGrid w:val="0"/>
        <w:spacing w:line="360" w:lineRule="auto"/>
        <w:ind w:left="0" w:leftChars="0" w:firstLine="0" w:firstLineChars="0"/>
        <w:textAlignment w:val="auto"/>
        <w:rPr>
          <w:rFonts w:ascii="宋体" w:hAnsi="宋体" w:cs="宋体"/>
          <w:color w:val="auto"/>
          <w:szCs w:val="21"/>
          <w:highlight w:val="none"/>
        </w:rPr>
      </w:pPr>
      <w:r>
        <w:rPr>
          <w:rFonts w:hint="eastAsia" w:ascii="宋体" w:hAnsi="宋体"/>
          <w:color w:val="auto"/>
          <w:szCs w:val="21"/>
          <w:highlight w:val="none"/>
        </w:rPr>
        <w:t>（9）</w:t>
      </w:r>
      <w:r>
        <w:rPr>
          <w:rFonts w:hint="eastAsia" w:ascii="宋体" w:hAnsi="宋体" w:cs="宋体"/>
          <w:color w:val="auto"/>
          <w:szCs w:val="21"/>
          <w:highlight w:val="none"/>
        </w:rPr>
        <w:t>承包人应当按照国家及广东省、</w:t>
      </w:r>
      <w:r>
        <w:rPr>
          <w:rFonts w:hint="eastAsia" w:ascii="宋体" w:hAnsi="宋体" w:cs="宋体"/>
          <w:color w:val="auto"/>
          <w:szCs w:val="21"/>
          <w:highlight w:val="none"/>
          <w:lang w:val="en-US" w:eastAsia="zh-CN"/>
        </w:rPr>
        <w:t>广州</w:t>
      </w:r>
      <w:r>
        <w:rPr>
          <w:rFonts w:hint="eastAsia" w:ascii="宋体" w:hAnsi="宋体" w:cs="宋体"/>
          <w:color w:val="auto"/>
          <w:szCs w:val="21"/>
          <w:highlight w:val="none"/>
        </w:rPr>
        <w:t>市</w:t>
      </w:r>
      <w:r>
        <w:rPr>
          <w:rFonts w:hint="eastAsia" w:ascii="宋体" w:hAnsi="宋体" w:cs="宋体"/>
          <w:color w:val="auto"/>
          <w:szCs w:val="21"/>
          <w:highlight w:val="none"/>
          <w:lang w:val="en-US" w:eastAsia="zh-CN"/>
        </w:rPr>
        <w:t>白云区</w:t>
      </w:r>
      <w:r>
        <w:rPr>
          <w:rFonts w:hint="eastAsia" w:ascii="宋体" w:hAnsi="宋体" w:cs="宋体"/>
          <w:color w:val="auto"/>
          <w:szCs w:val="21"/>
          <w:highlight w:val="none"/>
        </w:rPr>
        <w:t>的有关规定和本合同的有关约定加强其参与本工程建设人员（包括施工人员）的管理，</w:t>
      </w:r>
      <w:r>
        <w:rPr>
          <w:rFonts w:ascii="宋体" w:hAnsi="宋体" w:cs="宋体"/>
          <w:color w:val="auto"/>
          <w:szCs w:val="21"/>
          <w:highlight w:val="none"/>
        </w:rPr>
        <w:t>设立工人工资支付分账管理制度，确保农民工资请及时足额发放</w:t>
      </w:r>
      <w:r>
        <w:rPr>
          <w:rFonts w:hint="eastAsia" w:ascii="宋体" w:hAnsi="宋体" w:cs="宋体"/>
          <w:color w:val="auto"/>
          <w:szCs w:val="21"/>
          <w:highlight w:val="none"/>
        </w:rPr>
        <w:t>。</w:t>
      </w:r>
    </w:p>
    <w:p w14:paraId="568536F2">
      <w:pPr>
        <w:keepNext w:val="0"/>
        <w:keepLines w:val="0"/>
        <w:pageBreakBefore w:val="0"/>
        <w:widowControl/>
        <w:wordWrap/>
        <w:overflowPunct/>
        <w:topLinePunct w:val="0"/>
        <w:autoSpaceDE w:val="0"/>
        <w:autoSpaceDN w:val="0"/>
        <w:bidi w:val="0"/>
        <w:adjustRightInd w:val="0"/>
        <w:spacing w:line="360" w:lineRule="auto"/>
        <w:ind w:left="0" w:leftChars="0" w:firstLine="0" w:firstLineChars="0"/>
        <w:jc w:val="left"/>
        <w:textAlignment w:val="auto"/>
        <w:rPr>
          <w:rFonts w:ascii="宋体" w:hAnsi="宋体" w:cs="宋体"/>
          <w:color w:val="auto"/>
          <w:szCs w:val="21"/>
          <w:highlight w:val="none"/>
        </w:rPr>
      </w:pPr>
      <w:r>
        <w:rPr>
          <w:rFonts w:hint="eastAsia" w:ascii="宋体" w:hAnsi="宋体" w:cs="宋体"/>
          <w:color w:val="auto"/>
          <w:szCs w:val="21"/>
          <w:highlight w:val="none"/>
        </w:rPr>
        <w:t>①承包人应保证每期所获进度款优先安排民工工资的发放，否则，发包人有权在下一期支付给承包人的款项中扣除一定款项作为民工工资保证金，必要时直接支付给民工个人。</w:t>
      </w:r>
    </w:p>
    <w:p w14:paraId="4F0F8DD4">
      <w:pPr>
        <w:keepNext w:val="0"/>
        <w:keepLines w:val="0"/>
        <w:pageBreakBefore w:val="0"/>
        <w:widowControl/>
        <w:wordWrap/>
        <w:overflowPunct/>
        <w:topLinePunct w:val="0"/>
        <w:autoSpaceDE w:val="0"/>
        <w:autoSpaceDN w:val="0"/>
        <w:bidi w:val="0"/>
        <w:adjustRightInd w:val="0"/>
        <w:spacing w:line="360" w:lineRule="auto"/>
        <w:ind w:left="0" w:leftChars="0" w:firstLine="0" w:firstLineChars="0"/>
        <w:jc w:val="left"/>
        <w:textAlignment w:val="auto"/>
        <w:rPr>
          <w:rFonts w:ascii="宋体" w:hAnsi="宋体" w:cs="宋体"/>
          <w:color w:val="auto"/>
          <w:szCs w:val="21"/>
          <w:highlight w:val="none"/>
        </w:rPr>
      </w:pPr>
      <w:r>
        <w:rPr>
          <w:rFonts w:hint="eastAsia" w:ascii="宋体" w:hAnsi="宋体" w:cs="宋体"/>
          <w:color w:val="auto"/>
          <w:szCs w:val="21"/>
          <w:highlight w:val="none"/>
        </w:rPr>
        <w:t>②承包人须根据劳动合同约定的民工工资标准等内容，按照依法签订的集体合同或劳动合同约定的日期按月支付工资。</w:t>
      </w:r>
    </w:p>
    <w:p w14:paraId="0C5BED0A">
      <w:pPr>
        <w:keepNext w:val="0"/>
        <w:keepLines w:val="0"/>
        <w:pageBreakBefore w:val="0"/>
        <w:widowControl/>
        <w:wordWrap/>
        <w:overflowPunct/>
        <w:topLinePunct w:val="0"/>
        <w:autoSpaceDE w:val="0"/>
        <w:autoSpaceDN w:val="0"/>
        <w:bidi w:val="0"/>
        <w:adjustRightInd w:val="0"/>
        <w:spacing w:line="360" w:lineRule="auto"/>
        <w:ind w:left="0" w:leftChars="0" w:firstLine="0" w:firstLineChars="0"/>
        <w:jc w:val="left"/>
        <w:textAlignment w:val="auto"/>
        <w:rPr>
          <w:rFonts w:ascii="宋体" w:hAnsi="宋体" w:cs="宋体"/>
          <w:color w:val="auto"/>
          <w:szCs w:val="21"/>
          <w:highlight w:val="none"/>
        </w:rPr>
      </w:pPr>
      <w:r>
        <w:rPr>
          <w:rFonts w:hint="eastAsia" w:ascii="宋体" w:hAnsi="宋体" w:cs="宋体"/>
          <w:color w:val="auto"/>
          <w:szCs w:val="21"/>
          <w:highlight w:val="none"/>
        </w:rPr>
        <w:t>③承包人应对其专业分包或劳务分包单位工资支付情况进行监督，督促其依法支付民工工资。</w:t>
      </w:r>
    </w:p>
    <w:p w14:paraId="2E641C73">
      <w:pPr>
        <w:keepNext w:val="0"/>
        <w:keepLines w:val="0"/>
        <w:pageBreakBefore w:val="0"/>
        <w:widowControl/>
        <w:wordWrap/>
        <w:overflowPunct/>
        <w:topLinePunct w:val="0"/>
        <w:autoSpaceDE w:val="0"/>
        <w:autoSpaceDN w:val="0"/>
        <w:bidi w:val="0"/>
        <w:adjustRightInd w:val="0"/>
        <w:spacing w:line="360" w:lineRule="auto"/>
        <w:ind w:left="0" w:leftChars="0" w:firstLine="0" w:firstLineChars="0"/>
        <w:jc w:val="left"/>
        <w:textAlignment w:val="auto"/>
        <w:rPr>
          <w:rFonts w:ascii="宋体" w:hAnsi="宋体" w:cs="宋体"/>
          <w:color w:val="auto"/>
          <w:szCs w:val="21"/>
          <w:highlight w:val="none"/>
        </w:rPr>
      </w:pPr>
      <w:r>
        <w:rPr>
          <w:rFonts w:hint="eastAsia" w:ascii="宋体" w:hAnsi="宋体" w:cs="宋体"/>
          <w:color w:val="auto"/>
          <w:szCs w:val="21"/>
          <w:highlight w:val="none"/>
        </w:rPr>
        <w:t>④承包人应按上述要求及国家、地方有关规定按时支付民工工资.如果承包人或其分包人拖欠、克扣本工程劳动者工资，造成发包人承担连带责任垫付工人工资，则发包人有权在工程款中扣除并保留进一步向承包人索偿的权利。</w:t>
      </w:r>
    </w:p>
    <w:p w14:paraId="45D45D96">
      <w:pPr>
        <w:pStyle w:val="2"/>
        <w:keepNext w:val="0"/>
        <w:keepLines w:val="0"/>
        <w:pageBreakBefore w:val="0"/>
        <w:wordWrap/>
        <w:overflowPunct/>
        <w:topLinePunct w:val="0"/>
        <w:bidi w:val="0"/>
        <w:spacing w:line="360" w:lineRule="auto"/>
        <w:ind w:left="0" w:leftChars="0" w:firstLine="0" w:firstLineChars="0"/>
        <w:textAlignment w:val="auto"/>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⑤</w:t>
      </w:r>
      <w:r>
        <w:rPr>
          <w:rFonts w:hint="eastAsia" w:ascii="宋体" w:hAnsi="宋体"/>
          <w:color w:val="auto"/>
          <w:szCs w:val="21"/>
          <w:highlight w:val="none"/>
        </w:rPr>
        <w:t>承包人应当执行《关于印发&lt;</w:t>
      </w:r>
      <w:r>
        <w:rPr>
          <w:rFonts w:hint="eastAsia" w:ascii="宋体" w:hAnsi="宋体"/>
          <w:color w:val="auto"/>
          <w:szCs w:val="21"/>
          <w:highlight w:val="none"/>
          <w:lang w:val="en-US" w:eastAsia="zh-CN"/>
        </w:rPr>
        <w:t>广州</w:t>
      </w:r>
      <w:r>
        <w:rPr>
          <w:rFonts w:hint="eastAsia" w:ascii="宋体" w:hAnsi="宋体"/>
          <w:color w:val="auto"/>
          <w:szCs w:val="21"/>
          <w:highlight w:val="none"/>
        </w:rPr>
        <w:t>市建设领域工资支付管理暂行办法&gt;的通知及有关法律法规的规定执行。在合同履行过程中应及时、足额的发放所有劳动者的工资及相关费用，不得拖欠、克扣本工程劳动者工资。若承包人在合同履行过程中未能及时、足额的发放劳动者工资及相关费用，一经查实，发包人有权在承包人的工程进度款项或保留金中扣留相应的费用，用于支付劳动者工资及相关费用，承包人不得有异议，若承包人拖欠、克扣劳动者工资引发影响公共秩序的事件，如民工上访、聚众闹事、斗殴、游行、阻工等相关事件，发包人有权收取每次10万元/次作为违约金；承包人的法定代表人或者主要经营者应在以上事件发生后1小时内到现场协助处理事件；未到现场的，依据《广东省工资支付条例》第五十一条，由劳动保障行政部门处一万元以上五万元以下</w:t>
      </w:r>
      <w:r>
        <w:rPr>
          <w:rFonts w:hint="eastAsia" w:ascii="宋体" w:hAnsi="宋体"/>
          <w:color w:val="auto"/>
          <w:szCs w:val="21"/>
          <w:highlight w:val="none"/>
          <w:lang w:eastAsia="zh-CN"/>
        </w:rPr>
        <w:t>赔偿</w:t>
      </w:r>
      <w:r>
        <w:rPr>
          <w:rFonts w:hint="eastAsia" w:ascii="宋体" w:hAnsi="宋体"/>
          <w:color w:val="auto"/>
          <w:szCs w:val="21"/>
          <w:highlight w:val="none"/>
        </w:rPr>
        <w:t>。若事件给业主造成了信誉伤害，承包人应承担赔偿责任。</w:t>
      </w:r>
    </w:p>
    <w:p w14:paraId="4719227F">
      <w:pPr>
        <w:rPr>
          <w:color w:val="auto"/>
          <w:highlight w:val="none"/>
        </w:rPr>
      </w:pPr>
    </w:p>
    <w:p w14:paraId="2B9FE3D6">
      <w:pPr>
        <w:keepNext w:val="0"/>
        <w:keepLines w:val="0"/>
        <w:pageBreakBefore w:val="0"/>
        <w:wordWrap/>
        <w:overflowPunct/>
        <w:topLinePunct w:val="0"/>
        <w:bidi w:val="0"/>
        <w:snapToGrid w:val="0"/>
        <w:spacing w:line="360" w:lineRule="auto"/>
        <w:ind w:left="0" w:leftChars="0" w:firstLine="0" w:firstLineChars="0"/>
        <w:textAlignment w:val="auto"/>
        <w:outlineLvl w:val="3"/>
        <w:rPr>
          <w:rFonts w:ascii="宋体" w:hAnsi="宋体"/>
          <w:color w:val="auto"/>
          <w:szCs w:val="21"/>
          <w:highlight w:val="none"/>
        </w:rPr>
      </w:pPr>
      <w:bookmarkStart w:id="264" w:name="_Toc76720048"/>
      <w:r>
        <w:rPr>
          <w:rFonts w:hint="eastAsia" w:ascii="宋体" w:hAnsi="宋体"/>
          <w:color w:val="auto"/>
          <w:szCs w:val="21"/>
          <w:highlight w:val="none"/>
        </w:rPr>
        <w:t>7.</w:t>
      </w:r>
      <w:r>
        <w:rPr>
          <w:rFonts w:hint="eastAsia" w:ascii="宋体" w:hAnsi="宋体"/>
          <w:color w:val="auto"/>
          <w:szCs w:val="21"/>
          <w:highlight w:val="none"/>
          <w:lang w:val="en-US" w:eastAsia="zh-CN"/>
        </w:rPr>
        <w:t>3</w:t>
      </w:r>
      <w:r>
        <w:rPr>
          <w:rFonts w:hint="eastAsia" w:ascii="宋体" w:hAnsi="宋体"/>
          <w:color w:val="auto"/>
          <w:szCs w:val="21"/>
          <w:highlight w:val="none"/>
        </w:rPr>
        <w:t xml:space="preserve">   人力和机具资源</w:t>
      </w:r>
      <w:bookmarkEnd w:id="264"/>
    </w:p>
    <w:p w14:paraId="3D794663">
      <w:pPr>
        <w:keepNext w:val="0"/>
        <w:keepLines w:val="0"/>
        <w:pageBreakBefore w:val="0"/>
        <w:wordWrap/>
        <w:overflowPunct/>
        <w:topLinePunct w:val="0"/>
        <w:bidi w:val="0"/>
        <w:snapToGrid w:val="0"/>
        <w:spacing w:line="360" w:lineRule="auto"/>
        <w:ind w:left="0" w:leftChars="0" w:firstLine="0" w:firstLineChars="0"/>
        <w:textAlignment w:val="auto"/>
        <w:rPr>
          <w:rFonts w:ascii="宋体" w:hAnsi="宋体"/>
          <w:color w:val="auto"/>
          <w:szCs w:val="21"/>
          <w:highlight w:val="none"/>
        </w:rPr>
      </w:pPr>
      <w:r>
        <w:rPr>
          <w:rFonts w:hint="eastAsia" w:ascii="宋体" w:hAnsi="宋体"/>
          <w:color w:val="auto"/>
          <w:szCs w:val="21"/>
          <w:highlight w:val="none"/>
        </w:rPr>
        <w:t>7.</w:t>
      </w:r>
      <w:r>
        <w:rPr>
          <w:rFonts w:hint="eastAsia" w:ascii="宋体" w:hAnsi="宋体"/>
          <w:color w:val="auto"/>
          <w:szCs w:val="21"/>
          <w:highlight w:val="none"/>
          <w:lang w:val="en-US" w:eastAsia="zh-CN"/>
        </w:rPr>
        <w:t>3</w:t>
      </w:r>
      <w:r>
        <w:rPr>
          <w:rFonts w:hint="eastAsia" w:ascii="宋体" w:hAnsi="宋体"/>
          <w:color w:val="auto"/>
          <w:szCs w:val="21"/>
          <w:highlight w:val="none"/>
        </w:rPr>
        <w:t>.1    人力资源计划一览表的格式、内容、份数和提交时间：</w:t>
      </w:r>
      <w:r>
        <w:rPr>
          <w:rFonts w:hint="eastAsia" w:ascii="宋体" w:hAnsi="宋体"/>
          <w:color w:val="auto"/>
          <w:szCs w:val="21"/>
          <w:highlight w:val="none"/>
          <w:u w:val="single"/>
        </w:rPr>
        <w:t>见承包人施工组织设计</w:t>
      </w:r>
      <w:r>
        <w:rPr>
          <w:rFonts w:hint="eastAsia" w:ascii="宋体" w:hAnsi="宋体"/>
          <w:color w:val="auto"/>
          <w:szCs w:val="21"/>
          <w:highlight w:val="none"/>
        </w:rPr>
        <w:t>；</w:t>
      </w:r>
    </w:p>
    <w:p w14:paraId="69A98441">
      <w:pPr>
        <w:keepNext w:val="0"/>
        <w:keepLines w:val="0"/>
        <w:pageBreakBefore w:val="0"/>
        <w:wordWrap/>
        <w:overflowPunct/>
        <w:topLinePunct w:val="0"/>
        <w:bidi w:val="0"/>
        <w:snapToGrid w:val="0"/>
        <w:spacing w:line="360" w:lineRule="auto"/>
        <w:ind w:left="0" w:leftChars="0" w:firstLine="0" w:firstLineChars="0"/>
        <w:textAlignment w:val="auto"/>
        <w:rPr>
          <w:rFonts w:ascii="宋体" w:hAnsi="宋体"/>
          <w:color w:val="auto"/>
          <w:szCs w:val="21"/>
          <w:highlight w:val="none"/>
          <w:u w:val="single"/>
        </w:rPr>
      </w:pPr>
      <w:r>
        <w:rPr>
          <w:rFonts w:hint="eastAsia" w:ascii="宋体" w:hAnsi="宋体"/>
          <w:color w:val="auto"/>
          <w:szCs w:val="21"/>
          <w:highlight w:val="none"/>
        </w:rPr>
        <w:t>人力资源实际进场的报表格式、份数和报告期：</w:t>
      </w:r>
      <w:r>
        <w:rPr>
          <w:rFonts w:hint="eastAsia" w:ascii="宋体" w:hAnsi="宋体"/>
          <w:color w:val="auto"/>
          <w:szCs w:val="21"/>
          <w:highlight w:val="none"/>
          <w:u w:val="single"/>
        </w:rPr>
        <w:t>格式参照承包人施工组织设计，2份，施工队伍进场后</w:t>
      </w:r>
      <w:r>
        <w:rPr>
          <w:rFonts w:hint="eastAsia" w:ascii="宋体" w:hAnsi="宋体"/>
          <w:color w:val="auto"/>
          <w:szCs w:val="21"/>
          <w:highlight w:val="none"/>
          <w:u w:val="single"/>
          <w:lang w:val="en-US" w:eastAsia="zh-CN"/>
        </w:rPr>
        <w:t>5</w:t>
      </w:r>
      <w:r>
        <w:rPr>
          <w:rFonts w:hint="eastAsia" w:ascii="宋体" w:hAnsi="宋体"/>
          <w:color w:val="auto"/>
          <w:szCs w:val="21"/>
          <w:highlight w:val="none"/>
          <w:u w:val="single"/>
        </w:rPr>
        <w:t>日</w:t>
      </w:r>
      <w:r>
        <w:rPr>
          <w:rFonts w:hint="eastAsia" w:ascii="宋体" w:hAnsi="宋体"/>
          <w:color w:val="auto"/>
          <w:szCs w:val="21"/>
          <w:highlight w:val="none"/>
          <w:u w:val="single"/>
          <w:lang w:eastAsia="zh-CN"/>
        </w:rPr>
        <w:t>历天</w:t>
      </w:r>
      <w:r>
        <w:rPr>
          <w:rFonts w:hint="eastAsia" w:ascii="宋体" w:hAnsi="宋体"/>
          <w:color w:val="auto"/>
          <w:szCs w:val="21"/>
          <w:highlight w:val="none"/>
          <w:u w:val="single"/>
        </w:rPr>
        <w:t>内，提交2份。</w:t>
      </w:r>
    </w:p>
    <w:p w14:paraId="2BB1E1A8">
      <w:pPr>
        <w:keepNext w:val="0"/>
        <w:keepLines w:val="0"/>
        <w:pageBreakBefore w:val="0"/>
        <w:wordWrap/>
        <w:overflowPunct/>
        <w:topLinePunct w:val="0"/>
        <w:bidi w:val="0"/>
        <w:snapToGrid w:val="0"/>
        <w:spacing w:line="360" w:lineRule="auto"/>
        <w:ind w:left="0" w:leftChars="0" w:firstLine="0" w:firstLineChars="0"/>
        <w:textAlignment w:val="auto"/>
        <w:rPr>
          <w:rFonts w:ascii="宋体" w:hAnsi="宋体"/>
          <w:color w:val="auto"/>
          <w:szCs w:val="21"/>
          <w:highlight w:val="none"/>
        </w:rPr>
      </w:pPr>
      <w:r>
        <w:rPr>
          <w:rFonts w:hint="eastAsia" w:ascii="宋体" w:hAnsi="宋体"/>
          <w:color w:val="auto"/>
          <w:szCs w:val="21"/>
          <w:highlight w:val="none"/>
        </w:rPr>
        <w:t>乙方应向甲方提供每天的施工人数计划，并严格按计划安排人员施工，如有调整，应事先报甲方批准。未经甲方同意，施工人数与计划不符时，甲方有权按100元/人天的标准收取违约金。</w:t>
      </w:r>
    </w:p>
    <w:p w14:paraId="436BF94B">
      <w:pPr>
        <w:keepNext w:val="0"/>
        <w:keepLines w:val="0"/>
        <w:pageBreakBefore w:val="0"/>
        <w:wordWrap/>
        <w:overflowPunct/>
        <w:topLinePunct w:val="0"/>
        <w:bidi w:val="0"/>
        <w:snapToGrid w:val="0"/>
        <w:spacing w:line="360" w:lineRule="auto"/>
        <w:ind w:left="0" w:leftChars="0" w:firstLine="0" w:firstLineChars="0"/>
        <w:textAlignment w:val="auto"/>
        <w:rPr>
          <w:rFonts w:ascii="宋体" w:hAnsi="宋体"/>
          <w:color w:val="auto"/>
          <w:szCs w:val="21"/>
          <w:highlight w:val="none"/>
        </w:rPr>
      </w:pPr>
      <w:r>
        <w:rPr>
          <w:rFonts w:hint="eastAsia" w:ascii="宋体" w:hAnsi="宋体"/>
          <w:color w:val="auto"/>
          <w:szCs w:val="21"/>
          <w:highlight w:val="none"/>
        </w:rPr>
        <w:t>7.</w:t>
      </w:r>
      <w:r>
        <w:rPr>
          <w:rFonts w:hint="eastAsia" w:ascii="宋体" w:hAnsi="宋体"/>
          <w:color w:val="auto"/>
          <w:szCs w:val="21"/>
          <w:highlight w:val="none"/>
          <w:lang w:val="en-US" w:eastAsia="zh-CN"/>
        </w:rPr>
        <w:t>3</w:t>
      </w:r>
      <w:r>
        <w:rPr>
          <w:rFonts w:hint="eastAsia" w:ascii="宋体" w:hAnsi="宋体"/>
          <w:color w:val="auto"/>
          <w:szCs w:val="21"/>
          <w:highlight w:val="none"/>
        </w:rPr>
        <w:t>.2   主要机具计划一览表的格式、内容、份数和提交时间：</w:t>
      </w:r>
      <w:r>
        <w:rPr>
          <w:rFonts w:hint="eastAsia" w:ascii="宋体" w:hAnsi="宋体"/>
          <w:color w:val="auto"/>
          <w:szCs w:val="21"/>
          <w:highlight w:val="none"/>
          <w:u w:val="single"/>
        </w:rPr>
        <w:t>格式参照承包人施工组织设计，2份，施工队伍进场后</w:t>
      </w:r>
      <w:r>
        <w:rPr>
          <w:rFonts w:hint="eastAsia" w:ascii="宋体" w:hAnsi="宋体"/>
          <w:color w:val="auto"/>
          <w:szCs w:val="21"/>
          <w:highlight w:val="none"/>
          <w:u w:val="single"/>
          <w:lang w:val="en-US" w:eastAsia="zh-CN"/>
        </w:rPr>
        <w:t>5</w:t>
      </w:r>
      <w:r>
        <w:rPr>
          <w:rFonts w:hint="eastAsia" w:ascii="宋体" w:hAnsi="宋体"/>
          <w:color w:val="auto"/>
          <w:szCs w:val="21"/>
          <w:highlight w:val="none"/>
          <w:u w:val="single"/>
        </w:rPr>
        <w:t>日</w:t>
      </w:r>
      <w:r>
        <w:rPr>
          <w:rFonts w:hint="eastAsia" w:ascii="宋体" w:hAnsi="宋体"/>
          <w:color w:val="auto"/>
          <w:szCs w:val="21"/>
          <w:highlight w:val="none"/>
          <w:u w:val="single"/>
          <w:lang w:eastAsia="zh-CN"/>
        </w:rPr>
        <w:t>历天</w:t>
      </w:r>
      <w:r>
        <w:rPr>
          <w:rFonts w:hint="eastAsia" w:ascii="宋体" w:hAnsi="宋体"/>
          <w:color w:val="auto"/>
          <w:szCs w:val="21"/>
          <w:highlight w:val="none"/>
          <w:u w:val="single"/>
        </w:rPr>
        <w:t>内，提交2份</w:t>
      </w:r>
      <w:r>
        <w:rPr>
          <w:rFonts w:hint="eastAsia" w:ascii="宋体" w:hAnsi="宋体"/>
          <w:color w:val="auto"/>
          <w:szCs w:val="21"/>
          <w:highlight w:val="none"/>
        </w:rPr>
        <w:t>；</w:t>
      </w:r>
    </w:p>
    <w:p w14:paraId="1EEE0659">
      <w:pPr>
        <w:keepNext w:val="0"/>
        <w:keepLines w:val="0"/>
        <w:pageBreakBefore w:val="0"/>
        <w:wordWrap/>
        <w:overflowPunct/>
        <w:topLinePunct w:val="0"/>
        <w:bidi w:val="0"/>
        <w:snapToGrid w:val="0"/>
        <w:spacing w:line="360" w:lineRule="auto"/>
        <w:ind w:left="0" w:leftChars="0" w:firstLine="0" w:firstLineChars="0"/>
        <w:textAlignment w:val="auto"/>
        <w:rPr>
          <w:rFonts w:ascii="宋体" w:hAnsi="宋体"/>
          <w:color w:val="auto"/>
          <w:szCs w:val="21"/>
          <w:highlight w:val="none"/>
          <w:u w:val="single"/>
        </w:rPr>
      </w:pPr>
      <w:r>
        <w:rPr>
          <w:rFonts w:hint="eastAsia" w:ascii="宋体" w:hAnsi="宋体"/>
          <w:color w:val="auto"/>
          <w:szCs w:val="21"/>
          <w:highlight w:val="none"/>
        </w:rPr>
        <w:t>主要机具实际进场的报表格式、份数和报告期：</w:t>
      </w:r>
      <w:r>
        <w:rPr>
          <w:rFonts w:hint="eastAsia" w:ascii="宋体" w:hAnsi="宋体"/>
          <w:color w:val="auto"/>
          <w:szCs w:val="21"/>
          <w:highlight w:val="none"/>
          <w:u w:val="single"/>
        </w:rPr>
        <w:t>格式参照承包人施工组织设计，2份，施工队伍进场后</w:t>
      </w:r>
      <w:r>
        <w:rPr>
          <w:rFonts w:hint="eastAsia" w:ascii="宋体" w:hAnsi="宋体"/>
          <w:color w:val="auto"/>
          <w:szCs w:val="21"/>
          <w:highlight w:val="none"/>
          <w:u w:val="single"/>
          <w:lang w:val="en-US" w:eastAsia="zh-CN"/>
        </w:rPr>
        <w:t>5</w:t>
      </w:r>
      <w:r>
        <w:rPr>
          <w:rFonts w:hint="eastAsia" w:ascii="宋体" w:hAnsi="宋体"/>
          <w:color w:val="auto"/>
          <w:szCs w:val="21"/>
          <w:highlight w:val="none"/>
          <w:u w:val="single"/>
        </w:rPr>
        <w:t>日</w:t>
      </w:r>
      <w:r>
        <w:rPr>
          <w:rFonts w:hint="eastAsia" w:ascii="宋体" w:hAnsi="宋体"/>
          <w:color w:val="auto"/>
          <w:szCs w:val="21"/>
          <w:highlight w:val="none"/>
          <w:u w:val="single"/>
          <w:lang w:eastAsia="zh-CN"/>
        </w:rPr>
        <w:t>历天</w:t>
      </w:r>
      <w:r>
        <w:rPr>
          <w:rFonts w:hint="eastAsia" w:ascii="宋体" w:hAnsi="宋体"/>
          <w:color w:val="auto"/>
          <w:szCs w:val="21"/>
          <w:highlight w:val="none"/>
          <w:u w:val="single"/>
        </w:rPr>
        <w:t>内，提交2份</w:t>
      </w:r>
      <w:r>
        <w:rPr>
          <w:rFonts w:hint="eastAsia" w:ascii="宋体" w:hAnsi="宋体"/>
          <w:color w:val="auto"/>
          <w:szCs w:val="21"/>
          <w:highlight w:val="none"/>
        </w:rPr>
        <w:t>；</w:t>
      </w:r>
    </w:p>
    <w:p w14:paraId="153EADC9">
      <w:pPr>
        <w:keepNext w:val="0"/>
        <w:keepLines w:val="0"/>
        <w:pageBreakBefore w:val="0"/>
        <w:wordWrap/>
        <w:overflowPunct/>
        <w:topLinePunct w:val="0"/>
        <w:bidi w:val="0"/>
        <w:snapToGrid w:val="0"/>
        <w:spacing w:line="360" w:lineRule="auto"/>
        <w:ind w:left="0" w:leftChars="0" w:firstLine="0" w:firstLineChars="0"/>
        <w:textAlignment w:val="auto"/>
        <w:outlineLvl w:val="3"/>
        <w:rPr>
          <w:rFonts w:ascii="宋体" w:hAnsi="宋体"/>
          <w:color w:val="auto"/>
          <w:szCs w:val="21"/>
          <w:highlight w:val="none"/>
        </w:rPr>
      </w:pPr>
      <w:bookmarkStart w:id="265" w:name="_Toc76720049"/>
      <w:r>
        <w:rPr>
          <w:rFonts w:hint="eastAsia" w:ascii="宋体" w:hAnsi="宋体"/>
          <w:color w:val="auto"/>
          <w:szCs w:val="21"/>
          <w:highlight w:val="none"/>
        </w:rPr>
        <w:t>7.</w:t>
      </w:r>
      <w:r>
        <w:rPr>
          <w:rFonts w:hint="eastAsia" w:ascii="宋体" w:hAnsi="宋体"/>
          <w:color w:val="auto"/>
          <w:szCs w:val="21"/>
          <w:highlight w:val="none"/>
          <w:lang w:val="en-US" w:eastAsia="zh-CN"/>
        </w:rPr>
        <w:t>4</w:t>
      </w:r>
      <w:r>
        <w:rPr>
          <w:rFonts w:hint="eastAsia" w:ascii="宋体" w:hAnsi="宋体"/>
          <w:color w:val="auto"/>
          <w:szCs w:val="21"/>
          <w:highlight w:val="none"/>
        </w:rPr>
        <w:t xml:space="preserve">   质量与检验</w:t>
      </w:r>
      <w:bookmarkEnd w:id="265"/>
    </w:p>
    <w:p w14:paraId="3AB86A9C">
      <w:pPr>
        <w:keepNext w:val="0"/>
        <w:keepLines w:val="0"/>
        <w:pageBreakBefore w:val="0"/>
        <w:wordWrap/>
        <w:overflowPunct/>
        <w:topLinePunct w:val="0"/>
        <w:bidi w:val="0"/>
        <w:snapToGrid w:val="0"/>
        <w:spacing w:line="360" w:lineRule="auto"/>
        <w:ind w:left="0" w:leftChars="0" w:firstLine="0" w:firstLineChars="0"/>
        <w:textAlignment w:val="auto"/>
        <w:rPr>
          <w:rFonts w:ascii="宋体" w:hAnsi="宋体"/>
          <w:color w:val="auto"/>
          <w:szCs w:val="21"/>
          <w:highlight w:val="none"/>
        </w:rPr>
      </w:pPr>
      <w:r>
        <w:rPr>
          <w:rFonts w:hint="eastAsia" w:ascii="宋体" w:hAnsi="宋体"/>
          <w:color w:val="auto"/>
          <w:szCs w:val="21"/>
          <w:highlight w:val="none"/>
        </w:rPr>
        <w:t>7.</w:t>
      </w:r>
      <w:r>
        <w:rPr>
          <w:rFonts w:hint="eastAsia" w:ascii="宋体" w:hAnsi="宋体"/>
          <w:color w:val="auto"/>
          <w:szCs w:val="21"/>
          <w:highlight w:val="none"/>
          <w:lang w:val="en-US" w:eastAsia="zh-CN"/>
        </w:rPr>
        <w:t>4</w:t>
      </w:r>
      <w:r>
        <w:rPr>
          <w:rFonts w:hint="eastAsia" w:ascii="宋体" w:hAnsi="宋体"/>
          <w:color w:val="auto"/>
          <w:szCs w:val="21"/>
          <w:highlight w:val="none"/>
        </w:rPr>
        <w:t>.</w:t>
      </w:r>
      <w:r>
        <w:rPr>
          <w:rFonts w:hint="eastAsia" w:ascii="宋体" w:hAnsi="宋体"/>
          <w:color w:val="auto"/>
          <w:szCs w:val="21"/>
          <w:highlight w:val="none"/>
          <w:lang w:val="en-US" w:eastAsia="zh-CN"/>
        </w:rPr>
        <w:t>1</w:t>
      </w:r>
      <w:r>
        <w:rPr>
          <w:rFonts w:hint="eastAsia" w:ascii="宋体" w:hAnsi="宋体"/>
          <w:color w:val="auto"/>
          <w:szCs w:val="21"/>
          <w:highlight w:val="none"/>
        </w:rPr>
        <w:t xml:space="preserve">   质检部位与参检方</w:t>
      </w:r>
    </w:p>
    <w:p w14:paraId="05A27C9C">
      <w:pPr>
        <w:keepNext w:val="0"/>
        <w:keepLines w:val="0"/>
        <w:pageBreakBefore w:val="0"/>
        <w:wordWrap/>
        <w:overflowPunct/>
        <w:topLinePunct w:val="0"/>
        <w:bidi w:val="0"/>
        <w:snapToGrid w:val="0"/>
        <w:spacing w:line="360" w:lineRule="auto"/>
        <w:ind w:left="0" w:leftChars="0" w:firstLine="0" w:firstLineChars="0"/>
        <w:textAlignment w:val="auto"/>
        <w:rPr>
          <w:rFonts w:ascii="宋体" w:hAnsi="宋体"/>
          <w:color w:val="auto"/>
          <w:szCs w:val="21"/>
          <w:highlight w:val="none"/>
        </w:rPr>
      </w:pPr>
      <w:r>
        <w:rPr>
          <w:rFonts w:hint="eastAsia" w:ascii="宋体" w:hAnsi="宋体"/>
          <w:color w:val="auto"/>
          <w:szCs w:val="21"/>
          <w:highlight w:val="none"/>
        </w:rPr>
        <w:t>三方参检的部位、标准及表格形式：</w:t>
      </w:r>
      <w:r>
        <w:rPr>
          <w:rFonts w:hint="eastAsia" w:ascii="宋体" w:hAnsi="宋体"/>
          <w:color w:val="auto"/>
          <w:szCs w:val="21"/>
          <w:highlight w:val="none"/>
          <w:u w:val="single"/>
        </w:rPr>
        <w:t>满足国家标准规范、或（和）行业标准规范要求</w:t>
      </w:r>
      <w:r>
        <w:rPr>
          <w:rFonts w:hint="eastAsia" w:ascii="宋体" w:hAnsi="宋体"/>
          <w:color w:val="auto"/>
          <w:szCs w:val="21"/>
          <w:highlight w:val="none"/>
        </w:rPr>
        <w:t>；</w:t>
      </w:r>
    </w:p>
    <w:p w14:paraId="5369B16C">
      <w:pPr>
        <w:keepNext w:val="0"/>
        <w:keepLines w:val="0"/>
        <w:pageBreakBefore w:val="0"/>
        <w:wordWrap/>
        <w:overflowPunct/>
        <w:topLinePunct w:val="0"/>
        <w:bidi w:val="0"/>
        <w:snapToGrid w:val="0"/>
        <w:spacing w:line="360" w:lineRule="auto"/>
        <w:ind w:left="0" w:leftChars="0" w:firstLine="0" w:firstLineChars="0"/>
        <w:textAlignment w:val="auto"/>
        <w:rPr>
          <w:rFonts w:ascii="宋体" w:hAnsi="宋体"/>
          <w:color w:val="auto"/>
          <w:szCs w:val="21"/>
          <w:highlight w:val="none"/>
        </w:rPr>
      </w:pPr>
      <w:r>
        <w:rPr>
          <w:rFonts w:hint="eastAsia" w:ascii="宋体" w:hAnsi="宋体"/>
          <w:color w:val="auto"/>
          <w:szCs w:val="21"/>
          <w:highlight w:val="none"/>
        </w:rPr>
        <w:t>两方参检的部位、标准及表格形式：</w:t>
      </w:r>
      <w:r>
        <w:rPr>
          <w:rFonts w:hint="eastAsia" w:ascii="宋体" w:hAnsi="宋体"/>
          <w:color w:val="auto"/>
          <w:szCs w:val="21"/>
          <w:highlight w:val="none"/>
          <w:u w:val="single"/>
        </w:rPr>
        <w:t>满足国家标准规范、或（和）行业标准规范要求</w:t>
      </w:r>
      <w:r>
        <w:rPr>
          <w:rFonts w:hint="eastAsia" w:ascii="宋体" w:hAnsi="宋体"/>
          <w:color w:val="auto"/>
          <w:szCs w:val="21"/>
          <w:highlight w:val="none"/>
        </w:rPr>
        <w:t>；</w:t>
      </w:r>
    </w:p>
    <w:p w14:paraId="3CF4491B">
      <w:pPr>
        <w:keepNext w:val="0"/>
        <w:keepLines w:val="0"/>
        <w:pageBreakBefore w:val="0"/>
        <w:wordWrap/>
        <w:overflowPunct/>
        <w:topLinePunct w:val="0"/>
        <w:bidi w:val="0"/>
        <w:snapToGrid w:val="0"/>
        <w:spacing w:line="360" w:lineRule="auto"/>
        <w:ind w:left="0" w:leftChars="0" w:firstLine="0" w:firstLineChars="0"/>
        <w:textAlignment w:val="auto"/>
        <w:rPr>
          <w:rFonts w:ascii="宋体" w:hAnsi="宋体"/>
          <w:color w:val="auto"/>
          <w:szCs w:val="21"/>
          <w:highlight w:val="none"/>
        </w:rPr>
      </w:pPr>
      <w:r>
        <w:rPr>
          <w:rFonts w:hint="eastAsia" w:ascii="宋体" w:hAnsi="宋体"/>
          <w:color w:val="auto"/>
          <w:szCs w:val="21"/>
          <w:highlight w:val="none"/>
        </w:rPr>
        <w:t>承包人自检的部位、标准及表格形式：</w:t>
      </w:r>
      <w:r>
        <w:rPr>
          <w:rFonts w:hint="eastAsia" w:ascii="宋体" w:hAnsi="宋体"/>
          <w:color w:val="auto"/>
          <w:szCs w:val="21"/>
          <w:highlight w:val="none"/>
          <w:u w:val="single"/>
        </w:rPr>
        <w:t>满足国家标准规范、或（和）行业标准规范要求</w:t>
      </w:r>
      <w:r>
        <w:rPr>
          <w:rFonts w:hint="eastAsia" w:ascii="宋体" w:hAnsi="宋体"/>
          <w:color w:val="auto"/>
          <w:szCs w:val="21"/>
          <w:highlight w:val="none"/>
        </w:rPr>
        <w:t>；</w:t>
      </w:r>
    </w:p>
    <w:p w14:paraId="704A71E8">
      <w:pPr>
        <w:keepNext w:val="0"/>
        <w:keepLines w:val="0"/>
        <w:pageBreakBefore w:val="0"/>
        <w:wordWrap/>
        <w:overflowPunct/>
        <w:topLinePunct w:val="0"/>
        <w:bidi w:val="0"/>
        <w:snapToGrid w:val="0"/>
        <w:spacing w:line="360" w:lineRule="auto"/>
        <w:ind w:left="0" w:leftChars="0" w:firstLine="0" w:firstLineChars="0"/>
        <w:textAlignment w:val="auto"/>
        <w:rPr>
          <w:rFonts w:ascii="宋体" w:hAnsi="宋体"/>
          <w:color w:val="auto"/>
          <w:szCs w:val="21"/>
          <w:highlight w:val="none"/>
        </w:rPr>
      </w:pPr>
      <w:r>
        <w:rPr>
          <w:rFonts w:hint="eastAsia" w:ascii="宋体" w:hAnsi="宋体"/>
          <w:color w:val="auto"/>
          <w:szCs w:val="21"/>
          <w:highlight w:val="none"/>
        </w:rPr>
        <w:t>第三方检查的部位、标准及表格形式：</w:t>
      </w:r>
      <w:r>
        <w:rPr>
          <w:rFonts w:hint="eastAsia" w:ascii="宋体" w:hAnsi="宋体"/>
          <w:color w:val="auto"/>
          <w:szCs w:val="21"/>
          <w:highlight w:val="none"/>
          <w:u w:val="single"/>
        </w:rPr>
        <w:t>满足国家标准规范、或（和）行业标准规范要求</w:t>
      </w:r>
      <w:r>
        <w:rPr>
          <w:rFonts w:hint="eastAsia" w:ascii="宋体" w:hAnsi="宋体"/>
          <w:color w:val="auto"/>
          <w:szCs w:val="21"/>
          <w:highlight w:val="none"/>
        </w:rPr>
        <w:t>。</w:t>
      </w:r>
    </w:p>
    <w:p w14:paraId="5A8E823D">
      <w:pPr>
        <w:keepNext w:val="0"/>
        <w:keepLines w:val="0"/>
        <w:pageBreakBefore w:val="0"/>
        <w:wordWrap/>
        <w:overflowPunct/>
        <w:topLinePunct w:val="0"/>
        <w:bidi w:val="0"/>
        <w:snapToGrid w:val="0"/>
        <w:spacing w:line="360" w:lineRule="auto"/>
        <w:ind w:left="0" w:leftChars="0" w:firstLine="0" w:firstLineChars="0"/>
        <w:textAlignment w:val="auto"/>
        <w:outlineLvl w:val="3"/>
        <w:rPr>
          <w:rFonts w:ascii="宋体" w:hAnsi="宋体"/>
          <w:color w:val="auto"/>
          <w:szCs w:val="21"/>
          <w:highlight w:val="none"/>
        </w:rPr>
      </w:pPr>
      <w:bookmarkStart w:id="266" w:name="_Toc76720050"/>
      <w:r>
        <w:rPr>
          <w:rFonts w:hint="eastAsia" w:ascii="宋体" w:hAnsi="宋体"/>
          <w:color w:val="auto"/>
          <w:szCs w:val="21"/>
          <w:highlight w:val="none"/>
        </w:rPr>
        <w:t>7.</w:t>
      </w:r>
      <w:r>
        <w:rPr>
          <w:rFonts w:hint="eastAsia" w:ascii="宋体" w:hAnsi="宋体"/>
          <w:color w:val="auto"/>
          <w:szCs w:val="21"/>
          <w:highlight w:val="none"/>
          <w:lang w:val="en-US" w:eastAsia="zh-CN"/>
        </w:rPr>
        <w:t>5</w:t>
      </w:r>
      <w:r>
        <w:rPr>
          <w:rFonts w:hint="eastAsia" w:ascii="宋体" w:hAnsi="宋体"/>
          <w:color w:val="auto"/>
          <w:szCs w:val="21"/>
          <w:highlight w:val="none"/>
        </w:rPr>
        <w:t xml:space="preserve">   隐蔽工程和中间验收部位</w:t>
      </w:r>
      <w:bookmarkEnd w:id="266"/>
    </w:p>
    <w:p w14:paraId="72B163EA">
      <w:pPr>
        <w:keepNext w:val="0"/>
        <w:keepLines w:val="0"/>
        <w:pageBreakBefore w:val="0"/>
        <w:wordWrap/>
        <w:overflowPunct/>
        <w:topLinePunct w:val="0"/>
        <w:bidi w:val="0"/>
        <w:snapToGrid w:val="0"/>
        <w:spacing w:line="360" w:lineRule="auto"/>
        <w:ind w:left="0" w:leftChars="0" w:firstLine="0" w:firstLineChars="0"/>
        <w:textAlignment w:val="auto"/>
        <w:rPr>
          <w:rFonts w:ascii="宋体" w:hAnsi="宋体"/>
          <w:color w:val="auto"/>
          <w:szCs w:val="21"/>
          <w:highlight w:val="none"/>
        </w:rPr>
      </w:pPr>
      <w:r>
        <w:rPr>
          <w:rFonts w:hint="eastAsia" w:ascii="宋体" w:hAnsi="宋体"/>
          <w:color w:val="auto"/>
          <w:szCs w:val="21"/>
          <w:highlight w:val="none"/>
        </w:rPr>
        <w:t>7.</w:t>
      </w:r>
      <w:r>
        <w:rPr>
          <w:rFonts w:hint="eastAsia" w:ascii="宋体" w:hAnsi="宋体"/>
          <w:color w:val="auto"/>
          <w:szCs w:val="21"/>
          <w:highlight w:val="none"/>
          <w:lang w:val="en-US" w:eastAsia="zh-CN"/>
        </w:rPr>
        <w:t>5</w:t>
      </w:r>
      <w:r>
        <w:rPr>
          <w:rFonts w:hint="eastAsia" w:ascii="宋体" w:hAnsi="宋体"/>
          <w:color w:val="auto"/>
          <w:szCs w:val="21"/>
          <w:highlight w:val="none"/>
        </w:rPr>
        <w:t>.1   隐蔽工程和中间验收。</w:t>
      </w:r>
    </w:p>
    <w:p w14:paraId="112D4941">
      <w:pPr>
        <w:keepNext w:val="0"/>
        <w:keepLines w:val="0"/>
        <w:pageBreakBefore w:val="0"/>
        <w:wordWrap/>
        <w:overflowPunct/>
        <w:topLinePunct w:val="0"/>
        <w:bidi w:val="0"/>
        <w:snapToGrid w:val="0"/>
        <w:spacing w:line="360" w:lineRule="auto"/>
        <w:ind w:left="0" w:leftChars="0" w:firstLine="0" w:firstLineChars="0"/>
        <w:textAlignment w:val="auto"/>
        <w:rPr>
          <w:rFonts w:ascii="宋体" w:hAnsi="宋体"/>
          <w:color w:val="auto"/>
          <w:szCs w:val="21"/>
          <w:highlight w:val="none"/>
        </w:rPr>
      </w:pPr>
      <w:r>
        <w:rPr>
          <w:rFonts w:hint="eastAsia" w:ascii="宋体" w:hAnsi="宋体"/>
          <w:color w:val="auto"/>
          <w:szCs w:val="21"/>
          <w:highlight w:val="none"/>
        </w:rPr>
        <w:t>需要质检的隐蔽工程和中间验收部位的分类、部位、质检内容、标准、表格和参检方的约定：</w:t>
      </w:r>
      <w:r>
        <w:rPr>
          <w:rFonts w:hint="eastAsia" w:ascii="宋体" w:hAnsi="宋体"/>
          <w:color w:val="auto"/>
          <w:szCs w:val="21"/>
          <w:highlight w:val="none"/>
          <w:u w:val="single"/>
        </w:rPr>
        <w:t>满足</w:t>
      </w:r>
      <w:r>
        <w:rPr>
          <w:rFonts w:hint="eastAsia" w:ascii="宋体" w:hAnsi="宋体"/>
          <w:color w:val="auto"/>
          <w:szCs w:val="21"/>
          <w:highlight w:val="none"/>
          <w:u w:val="single"/>
          <w:lang w:eastAsia="zh-CN"/>
        </w:rPr>
        <w:t>招标文件</w:t>
      </w:r>
      <w:r>
        <w:rPr>
          <w:rFonts w:hint="eastAsia" w:ascii="宋体" w:hAnsi="宋体"/>
          <w:color w:val="auto"/>
          <w:szCs w:val="21"/>
          <w:highlight w:val="none"/>
          <w:u w:val="single"/>
        </w:rPr>
        <w:t>及国家、行业规范要求；</w:t>
      </w:r>
    </w:p>
    <w:p w14:paraId="48B95548">
      <w:pPr>
        <w:keepNext w:val="0"/>
        <w:keepLines w:val="0"/>
        <w:pageBreakBefore w:val="0"/>
        <w:wordWrap/>
        <w:overflowPunct/>
        <w:topLinePunct w:val="0"/>
        <w:bidi w:val="0"/>
        <w:snapToGrid w:val="0"/>
        <w:spacing w:line="360" w:lineRule="auto"/>
        <w:ind w:left="0" w:leftChars="0" w:firstLine="0" w:firstLineChars="0"/>
        <w:textAlignment w:val="auto"/>
        <w:outlineLvl w:val="3"/>
        <w:rPr>
          <w:rFonts w:ascii="宋体" w:hAnsi="宋体"/>
          <w:color w:val="auto"/>
          <w:szCs w:val="21"/>
          <w:highlight w:val="none"/>
        </w:rPr>
      </w:pPr>
      <w:bookmarkStart w:id="267" w:name="_Toc76720051"/>
      <w:r>
        <w:rPr>
          <w:rFonts w:hint="eastAsia" w:ascii="宋体" w:hAnsi="宋体"/>
          <w:color w:val="auto"/>
          <w:szCs w:val="21"/>
          <w:highlight w:val="none"/>
        </w:rPr>
        <w:t>健康、安全、环境</w:t>
      </w:r>
      <w:bookmarkEnd w:id="267"/>
    </w:p>
    <w:p w14:paraId="2AE86899">
      <w:pPr>
        <w:keepNext w:val="0"/>
        <w:keepLines w:val="0"/>
        <w:pageBreakBefore w:val="0"/>
        <w:wordWrap/>
        <w:overflowPunct/>
        <w:topLinePunct w:val="0"/>
        <w:bidi w:val="0"/>
        <w:snapToGrid w:val="0"/>
        <w:spacing w:line="360" w:lineRule="auto"/>
        <w:ind w:left="0" w:leftChars="0" w:firstLine="0" w:firstLineChars="0"/>
        <w:textAlignment w:val="auto"/>
        <w:rPr>
          <w:rFonts w:ascii="宋体" w:hAnsi="宋体"/>
          <w:color w:val="auto"/>
          <w:szCs w:val="21"/>
          <w:highlight w:val="none"/>
        </w:rPr>
      </w:pPr>
      <w:r>
        <w:rPr>
          <w:rFonts w:hint="eastAsia" w:ascii="宋体" w:hAnsi="宋体"/>
          <w:color w:val="auto"/>
          <w:szCs w:val="21"/>
          <w:highlight w:val="none"/>
        </w:rPr>
        <w:t>7.</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 xml:space="preserve">  健康、安全、环境管理</w:t>
      </w:r>
    </w:p>
    <w:p w14:paraId="77F8B034">
      <w:pPr>
        <w:keepNext w:val="0"/>
        <w:keepLines w:val="0"/>
        <w:pageBreakBefore w:val="0"/>
        <w:wordWrap/>
        <w:overflowPunct/>
        <w:topLinePunct w:val="0"/>
        <w:bidi w:val="0"/>
        <w:snapToGrid w:val="0"/>
        <w:spacing w:line="360" w:lineRule="auto"/>
        <w:ind w:left="0" w:leftChars="0" w:firstLine="0" w:firstLineChars="0"/>
        <w:textAlignment w:val="auto"/>
        <w:rPr>
          <w:rFonts w:ascii="宋体" w:hAnsi="宋体"/>
          <w:color w:val="auto"/>
          <w:szCs w:val="21"/>
          <w:highlight w:val="none"/>
        </w:rPr>
      </w:pPr>
      <w:r>
        <w:rPr>
          <w:rFonts w:hint="eastAsia" w:ascii="宋体" w:hAnsi="宋体"/>
          <w:color w:val="auto"/>
          <w:szCs w:val="21"/>
          <w:highlight w:val="none"/>
          <w:lang w:val="en-US" w:eastAsia="zh-CN"/>
        </w:rPr>
        <w:t xml:space="preserve">7.6.1   </w:t>
      </w:r>
      <w:r>
        <w:rPr>
          <w:rFonts w:hint="eastAsia" w:ascii="宋体" w:hAnsi="宋体"/>
          <w:color w:val="auto"/>
          <w:szCs w:val="21"/>
          <w:highlight w:val="none"/>
        </w:rPr>
        <w:t>提交健康、安全、环境管理计划的份数和时间：</w:t>
      </w:r>
      <w:r>
        <w:rPr>
          <w:rFonts w:hint="eastAsia" w:ascii="宋体" w:hAnsi="宋体"/>
          <w:color w:val="auto"/>
          <w:szCs w:val="21"/>
          <w:highlight w:val="none"/>
          <w:u w:val="single"/>
        </w:rPr>
        <w:t>施工队伍进场后</w:t>
      </w:r>
      <w:r>
        <w:rPr>
          <w:rFonts w:hint="eastAsia" w:ascii="宋体" w:hAnsi="宋体"/>
          <w:color w:val="auto"/>
          <w:szCs w:val="21"/>
          <w:highlight w:val="none"/>
          <w:u w:val="single"/>
          <w:lang w:val="en-US" w:eastAsia="zh-CN"/>
        </w:rPr>
        <w:t>5</w:t>
      </w:r>
      <w:r>
        <w:rPr>
          <w:rFonts w:hint="eastAsia" w:ascii="宋体" w:hAnsi="宋体"/>
          <w:color w:val="auto"/>
          <w:szCs w:val="21"/>
          <w:highlight w:val="none"/>
          <w:u w:val="single"/>
        </w:rPr>
        <w:t>日</w:t>
      </w:r>
      <w:r>
        <w:rPr>
          <w:rFonts w:hint="eastAsia" w:ascii="宋体" w:hAnsi="宋体"/>
          <w:color w:val="auto"/>
          <w:szCs w:val="21"/>
          <w:highlight w:val="none"/>
          <w:u w:val="single"/>
          <w:lang w:eastAsia="zh-CN"/>
        </w:rPr>
        <w:t>历天</w:t>
      </w:r>
      <w:r>
        <w:rPr>
          <w:rFonts w:hint="eastAsia" w:ascii="宋体" w:hAnsi="宋体"/>
          <w:color w:val="auto"/>
          <w:szCs w:val="21"/>
          <w:highlight w:val="none"/>
          <w:u w:val="single"/>
        </w:rPr>
        <w:t>内，提交2份</w:t>
      </w:r>
      <w:r>
        <w:rPr>
          <w:rFonts w:hint="eastAsia" w:ascii="宋体" w:hAnsi="宋体"/>
          <w:color w:val="auto"/>
          <w:szCs w:val="21"/>
          <w:highlight w:val="none"/>
        </w:rPr>
        <w:t>；</w:t>
      </w:r>
    </w:p>
    <w:p w14:paraId="4AA6D991">
      <w:pPr>
        <w:keepNext w:val="0"/>
        <w:keepLines w:val="0"/>
        <w:pageBreakBefore w:val="0"/>
        <w:wordWrap/>
        <w:overflowPunct/>
        <w:topLinePunct w:val="0"/>
        <w:bidi w:val="0"/>
        <w:snapToGrid w:val="0"/>
        <w:spacing w:line="360" w:lineRule="auto"/>
        <w:ind w:left="0" w:leftChars="0" w:firstLine="0" w:firstLineChars="0"/>
        <w:textAlignment w:val="auto"/>
        <w:outlineLvl w:val="2"/>
        <w:rPr>
          <w:rFonts w:ascii="宋体" w:hAnsi="宋体"/>
          <w:b/>
          <w:color w:val="auto"/>
          <w:szCs w:val="21"/>
          <w:highlight w:val="none"/>
        </w:rPr>
      </w:pPr>
      <w:bookmarkStart w:id="268" w:name="_Toc363719021"/>
      <w:bookmarkStart w:id="269" w:name="_Toc76720052"/>
      <w:bookmarkStart w:id="270" w:name="_Toc80633178"/>
      <w:r>
        <w:rPr>
          <w:rFonts w:hint="eastAsia" w:ascii="宋体" w:hAnsi="宋体"/>
          <w:b/>
          <w:color w:val="auto"/>
          <w:szCs w:val="21"/>
          <w:highlight w:val="none"/>
        </w:rPr>
        <w:t>第</w:t>
      </w:r>
      <w:r>
        <w:rPr>
          <w:rFonts w:ascii="宋体" w:hAnsi="宋体"/>
          <w:b/>
          <w:color w:val="auto"/>
          <w:szCs w:val="21"/>
          <w:highlight w:val="none"/>
        </w:rPr>
        <w:t>8</w:t>
      </w:r>
      <w:r>
        <w:rPr>
          <w:rFonts w:hint="eastAsia" w:ascii="宋体" w:hAnsi="宋体"/>
          <w:b/>
          <w:color w:val="auto"/>
          <w:szCs w:val="21"/>
          <w:highlight w:val="none"/>
        </w:rPr>
        <w:t>条</w:t>
      </w:r>
      <w:r>
        <w:rPr>
          <w:rFonts w:hint="eastAsia" w:ascii="宋体" w:hAnsi="宋体"/>
          <w:b/>
          <w:color w:val="auto"/>
          <w:szCs w:val="21"/>
          <w:highlight w:val="none"/>
        </w:rPr>
        <w:tab/>
      </w:r>
      <w:r>
        <w:rPr>
          <w:rFonts w:hint="eastAsia" w:ascii="宋体" w:hAnsi="宋体"/>
          <w:b/>
          <w:color w:val="auto"/>
          <w:szCs w:val="21"/>
          <w:highlight w:val="none"/>
        </w:rPr>
        <w:t>竣工试验</w:t>
      </w:r>
      <w:bookmarkEnd w:id="268"/>
      <w:bookmarkEnd w:id="269"/>
      <w:bookmarkEnd w:id="270"/>
    </w:p>
    <w:p w14:paraId="4BF9B992">
      <w:pPr>
        <w:keepNext w:val="0"/>
        <w:keepLines w:val="0"/>
        <w:pageBreakBefore w:val="0"/>
        <w:wordWrap/>
        <w:overflowPunct/>
        <w:topLinePunct w:val="0"/>
        <w:bidi w:val="0"/>
        <w:snapToGrid w:val="0"/>
        <w:spacing w:line="360" w:lineRule="auto"/>
        <w:ind w:left="0" w:leftChars="0" w:firstLine="0" w:firstLineChars="0"/>
        <w:textAlignment w:val="auto"/>
        <w:rPr>
          <w:rFonts w:ascii="宋体" w:hAnsi="宋体"/>
          <w:color w:val="auto"/>
          <w:szCs w:val="21"/>
          <w:highlight w:val="none"/>
        </w:rPr>
      </w:pPr>
      <w:r>
        <w:rPr>
          <w:rFonts w:hint="eastAsia" w:ascii="宋体" w:hAnsi="宋体"/>
          <w:color w:val="auto"/>
          <w:szCs w:val="21"/>
          <w:highlight w:val="none"/>
        </w:rPr>
        <w:t>本合同工程包含竣工试验。</w:t>
      </w:r>
    </w:p>
    <w:p w14:paraId="430092EC">
      <w:pPr>
        <w:keepNext w:val="0"/>
        <w:keepLines w:val="0"/>
        <w:pageBreakBefore w:val="0"/>
        <w:wordWrap/>
        <w:overflowPunct/>
        <w:topLinePunct w:val="0"/>
        <w:bidi w:val="0"/>
        <w:snapToGrid w:val="0"/>
        <w:spacing w:line="360" w:lineRule="auto"/>
        <w:ind w:left="0" w:leftChars="0" w:firstLine="0" w:firstLineChars="0"/>
        <w:textAlignment w:val="auto"/>
        <w:outlineLvl w:val="3"/>
        <w:rPr>
          <w:rFonts w:ascii="宋体" w:hAnsi="宋体"/>
          <w:color w:val="auto"/>
          <w:szCs w:val="21"/>
          <w:highlight w:val="none"/>
        </w:rPr>
      </w:pPr>
      <w:bookmarkStart w:id="271" w:name="_Toc76720053"/>
      <w:r>
        <w:rPr>
          <w:rFonts w:hint="eastAsia" w:ascii="宋体" w:hAnsi="宋体"/>
          <w:color w:val="auto"/>
          <w:szCs w:val="21"/>
          <w:highlight w:val="none"/>
        </w:rPr>
        <w:t>8.1   竣工试验的义务</w:t>
      </w:r>
      <w:bookmarkEnd w:id="271"/>
    </w:p>
    <w:p w14:paraId="2BD15CA7">
      <w:pPr>
        <w:keepNext w:val="0"/>
        <w:keepLines w:val="0"/>
        <w:pageBreakBefore w:val="0"/>
        <w:wordWrap/>
        <w:overflowPunct/>
        <w:topLinePunct w:val="0"/>
        <w:bidi w:val="0"/>
        <w:snapToGrid w:val="0"/>
        <w:spacing w:line="360" w:lineRule="auto"/>
        <w:ind w:left="0" w:leftChars="0" w:firstLine="0" w:firstLineChars="0"/>
        <w:textAlignment w:val="auto"/>
        <w:rPr>
          <w:rFonts w:ascii="宋体" w:hAnsi="宋体"/>
          <w:color w:val="auto"/>
          <w:szCs w:val="21"/>
          <w:highlight w:val="none"/>
        </w:rPr>
      </w:pPr>
      <w:r>
        <w:rPr>
          <w:rFonts w:hint="eastAsia" w:ascii="宋体" w:hAnsi="宋体"/>
          <w:color w:val="auto"/>
          <w:szCs w:val="21"/>
          <w:highlight w:val="none"/>
        </w:rPr>
        <w:t>8.1.1   承包人的一般义务</w:t>
      </w:r>
    </w:p>
    <w:p w14:paraId="785B705F">
      <w:pPr>
        <w:keepNext w:val="0"/>
        <w:keepLines w:val="0"/>
        <w:pageBreakBefore w:val="0"/>
        <w:wordWrap/>
        <w:overflowPunct/>
        <w:topLinePunct w:val="0"/>
        <w:bidi w:val="0"/>
        <w:snapToGrid w:val="0"/>
        <w:spacing w:line="360" w:lineRule="auto"/>
        <w:ind w:left="0" w:leftChars="0" w:firstLine="0" w:firstLineChars="0"/>
        <w:textAlignment w:val="auto"/>
        <w:rPr>
          <w:rFonts w:ascii="宋体" w:hAnsi="宋体"/>
          <w:color w:val="auto"/>
          <w:szCs w:val="21"/>
          <w:highlight w:val="none"/>
        </w:rPr>
      </w:pPr>
      <w:r>
        <w:rPr>
          <w:rFonts w:hint="eastAsia" w:ascii="宋体" w:hAnsi="宋体"/>
          <w:color w:val="auto"/>
          <w:szCs w:val="21"/>
          <w:highlight w:val="none"/>
        </w:rPr>
        <w:t>竣工试验方案</w:t>
      </w:r>
      <w:r>
        <w:rPr>
          <w:rFonts w:hint="eastAsia" w:ascii="宋体" w:hAnsi="宋体"/>
          <w:color w:val="auto"/>
          <w:szCs w:val="21"/>
          <w:highlight w:val="none"/>
          <w:lang w:eastAsia="zh-CN"/>
        </w:rPr>
        <w:t>：</w:t>
      </w:r>
      <w:r>
        <w:rPr>
          <w:rFonts w:hint="eastAsia" w:ascii="宋体" w:hAnsi="宋体"/>
          <w:color w:val="auto"/>
          <w:szCs w:val="21"/>
          <w:highlight w:val="none"/>
        </w:rPr>
        <w:t>提交竣工试验方案的份数和时间：</w:t>
      </w:r>
      <w:r>
        <w:rPr>
          <w:rFonts w:hint="eastAsia" w:ascii="宋体" w:hAnsi="宋体"/>
          <w:color w:val="auto"/>
          <w:szCs w:val="21"/>
          <w:highlight w:val="none"/>
          <w:u w:val="single"/>
        </w:rPr>
        <w:t>竣工试验计划开始14天前提交3份</w:t>
      </w:r>
      <w:r>
        <w:rPr>
          <w:rFonts w:hint="eastAsia" w:ascii="宋体" w:hAnsi="宋体"/>
          <w:color w:val="auto"/>
          <w:szCs w:val="21"/>
          <w:highlight w:val="none"/>
        </w:rPr>
        <w:t>；</w:t>
      </w:r>
    </w:p>
    <w:p w14:paraId="0792F7AC">
      <w:pPr>
        <w:keepNext w:val="0"/>
        <w:keepLines w:val="0"/>
        <w:pageBreakBefore w:val="0"/>
        <w:wordWrap/>
        <w:overflowPunct/>
        <w:topLinePunct w:val="0"/>
        <w:bidi w:val="0"/>
        <w:snapToGrid w:val="0"/>
        <w:spacing w:line="360" w:lineRule="auto"/>
        <w:ind w:left="0" w:leftChars="0" w:firstLine="0" w:firstLineChars="0"/>
        <w:textAlignment w:val="auto"/>
        <w:outlineLvl w:val="2"/>
        <w:rPr>
          <w:rFonts w:ascii="宋体" w:hAnsi="宋体"/>
          <w:b/>
          <w:color w:val="auto"/>
          <w:szCs w:val="21"/>
          <w:highlight w:val="none"/>
        </w:rPr>
      </w:pPr>
      <w:bookmarkStart w:id="272" w:name="_Toc363719022"/>
      <w:bookmarkStart w:id="273" w:name="_Toc80633179"/>
      <w:bookmarkStart w:id="274" w:name="_Toc76720054"/>
      <w:r>
        <w:rPr>
          <w:rFonts w:hint="eastAsia" w:ascii="宋体" w:hAnsi="宋体"/>
          <w:b/>
          <w:color w:val="auto"/>
          <w:szCs w:val="21"/>
          <w:highlight w:val="none"/>
        </w:rPr>
        <w:t xml:space="preserve">第9条 </w:t>
      </w:r>
      <w:r>
        <w:rPr>
          <w:rFonts w:hint="eastAsia" w:ascii="宋体" w:hAnsi="宋体"/>
          <w:b/>
          <w:color w:val="auto"/>
          <w:szCs w:val="21"/>
          <w:highlight w:val="none"/>
        </w:rPr>
        <w:tab/>
      </w:r>
      <w:r>
        <w:rPr>
          <w:rFonts w:hint="eastAsia" w:ascii="宋体" w:hAnsi="宋体"/>
          <w:b/>
          <w:color w:val="auto"/>
          <w:szCs w:val="21"/>
          <w:highlight w:val="none"/>
        </w:rPr>
        <w:t>工程接收</w:t>
      </w:r>
      <w:bookmarkEnd w:id="272"/>
      <w:bookmarkEnd w:id="273"/>
      <w:bookmarkEnd w:id="274"/>
    </w:p>
    <w:p w14:paraId="0FAC94C5">
      <w:pPr>
        <w:keepNext w:val="0"/>
        <w:keepLines w:val="0"/>
        <w:pageBreakBefore w:val="0"/>
        <w:wordWrap/>
        <w:overflowPunct/>
        <w:topLinePunct w:val="0"/>
        <w:bidi w:val="0"/>
        <w:snapToGrid w:val="0"/>
        <w:spacing w:line="360" w:lineRule="auto"/>
        <w:ind w:left="0" w:leftChars="0" w:firstLine="0" w:firstLineChars="0"/>
        <w:textAlignment w:val="auto"/>
        <w:outlineLvl w:val="3"/>
        <w:rPr>
          <w:rFonts w:ascii="宋体" w:hAnsi="宋体"/>
          <w:color w:val="auto"/>
          <w:szCs w:val="21"/>
          <w:highlight w:val="none"/>
        </w:rPr>
      </w:pPr>
      <w:bookmarkStart w:id="275" w:name="_Toc76720055"/>
      <w:r>
        <w:rPr>
          <w:rFonts w:hint="eastAsia" w:ascii="宋体" w:hAnsi="宋体"/>
          <w:color w:val="auto"/>
          <w:szCs w:val="21"/>
          <w:highlight w:val="none"/>
        </w:rPr>
        <w:t>9.1   工程接收</w:t>
      </w:r>
      <w:bookmarkEnd w:id="275"/>
    </w:p>
    <w:p w14:paraId="593882A0">
      <w:pPr>
        <w:keepNext w:val="0"/>
        <w:keepLines w:val="0"/>
        <w:pageBreakBefore w:val="0"/>
        <w:wordWrap/>
        <w:overflowPunct/>
        <w:topLinePunct w:val="0"/>
        <w:bidi w:val="0"/>
        <w:snapToGrid w:val="0"/>
        <w:spacing w:line="360" w:lineRule="auto"/>
        <w:ind w:left="0" w:leftChars="0" w:firstLine="0" w:firstLineChars="0"/>
        <w:textAlignment w:val="auto"/>
        <w:rPr>
          <w:rFonts w:ascii="宋体" w:hAnsi="宋体"/>
          <w:color w:val="auto"/>
          <w:szCs w:val="21"/>
          <w:highlight w:val="none"/>
        </w:rPr>
      </w:pPr>
      <w:r>
        <w:rPr>
          <w:rFonts w:hint="eastAsia" w:ascii="宋体" w:hAnsi="宋体"/>
          <w:color w:val="auto"/>
          <w:szCs w:val="21"/>
          <w:highlight w:val="none"/>
        </w:rPr>
        <w:t>9.1.1   按单项工程或（和）按工程接收</w:t>
      </w:r>
    </w:p>
    <w:p w14:paraId="741576A2">
      <w:pPr>
        <w:keepNext w:val="0"/>
        <w:keepLines w:val="0"/>
        <w:pageBreakBefore w:val="0"/>
        <w:wordWrap/>
        <w:overflowPunct/>
        <w:topLinePunct w:val="0"/>
        <w:bidi w:val="0"/>
        <w:snapToGrid w:val="0"/>
        <w:spacing w:line="360" w:lineRule="auto"/>
        <w:ind w:left="0" w:leftChars="0" w:firstLine="0" w:firstLineChars="0"/>
        <w:textAlignment w:val="auto"/>
        <w:rPr>
          <w:rFonts w:ascii="宋体" w:hAnsi="宋体"/>
          <w:color w:val="auto"/>
          <w:szCs w:val="21"/>
          <w:highlight w:val="none"/>
        </w:rPr>
      </w:pPr>
      <w:r>
        <w:rPr>
          <w:rFonts w:hint="eastAsia" w:ascii="宋体" w:hAnsi="宋体"/>
          <w:color w:val="auto"/>
          <w:szCs w:val="21"/>
          <w:highlight w:val="none"/>
        </w:rPr>
        <w:t>按单项工程或（和）工程接收</w:t>
      </w:r>
    </w:p>
    <w:p w14:paraId="26E18339">
      <w:pPr>
        <w:keepNext w:val="0"/>
        <w:keepLines w:val="0"/>
        <w:pageBreakBefore w:val="0"/>
        <w:wordWrap/>
        <w:overflowPunct/>
        <w:topLinePunct w:val="0"/>
        <w:bidi w:val="0"/>
        <w:snapToGrid w:val="0"/>
        <w:spacing w:line="360" w:lineRule="auto"/>
        <w:ind w:left="0" w:leftChars="0" w:firstLine="0" w:firstLineChars="0"/>
        <w:textAlignment w:val="auto"/>
        <w:rPr>
          <w:rFonts w:ascii="宋体" w:hAnsi="宋体"/>
          <w:color w:val="auto"/>
          <w:szCs w:val="21"/>
          <w:highlight w:val="none"/>
        </w:rPr>
      </w:pPr>
      <w:r>
        <w:rPr>
          <w:rFonts w:hint="eastAsia" w:ascii="宋体" w:hAnsi="宋体"/>
          <w:color w:val="auto"/>
          <w:szCs w:val="21"/>
          <w:highlight w:val="none"/>
        </w:rPr>
        <w:t>按工程接收的日期：</w:t>
      </w:r>
      <w:r>
        <w:rPr>
          <w:rFonts w:hint="eastAsia" w:ascii="宋体" w:hAnsi="宋体"/>
          <w:color w:val="auto"/>
          <w:szCs w:val="21"/>
          <w:highlight w:val="none"/>
          <w:u w:val="single"/>
        </w:rPr>
        <w:t>承包人完成扫尾工程和缺陷修复5天内</w:t>
      </w:r>
      <w:r>
        <w:rPr>
          <w:rFonts w:hint="eastAsia" w:ascii="宋体" w:hAnsi="宋体"/>
          <w:color w:val="auto"/>
          <w:szCs w:val="21"/>
          <w:highlight w:val="none"/>
        </w:rPr>
        <w:t>；</w:t>
      </w:r>
    </w:p>
    <w:p w14:paraId="25D1C089">
      <w:pPr>
        <w:keepNext w:val="0"/>
        <w:keepLines w:val="0"/>
        <w:pageBreakBefore w:val="0"/>
        <w:wordWrap/>
        <w:overflowPunct/>
        <w:topLinePunct w:val="0"/>
        <w:bidi w:val="0"/>
        <w:snapToGrid w:val="0"/>
        <w:spacing w:line="360" w:lineRule="auto"/>
        <w:ind w:left="0" w:leftChars="0" w:firstLine="0" w:firstLineChars="0"/>
        <w:textAlignment w:val="auto"/>
        <w:rPr>
          <w:rFonts w:ascii="宋体" w:hAnsi="宋体"/>
          <w:color w:val="auto"/>
          <w:szCs w:val="21"/>
          <w:highlight w:val="none"/>
        </w:rPr>
      </w:pPr>
      <w:r>
        <w:rPr>
          <w:rFonts w:hint="eastAsia" w:ascii="宋体" w:hAnsi="宋体"/>
          <w:color w:val="auto"/>
          <w:szCs w:val="21"/>
          <w:highlight w:val="none"/>
        </w:rPr>
        <w:t>9.1.2   接收工程提交的资料</w:t>
      </w:r>
    </w:p>
    <w:p w14:paraId="2980DA6E">
      <w:pPr>
        <w:keepNext w:val="0"/>
        <w:keepLines w:val="0"/>
        <w:pageBreakBefore w:val="0"/>
        <w:wordWrap/>
        <w:overflowPunct/>
        <w:topLinePunct w:val="0"/>
        <w:bidi w:val="0"/>
        <w:snapToGrid w:val="0"/>
        <w:spacing w:line="360" w:lineRule="auto"/>
        <w:ind w:left="0" w:leftChars="0" w:firstLine="0" w:firstLineChars="0"/>
        <w:textAlignment w:val="auto"/>
        <w:rPr>
          <w:rFonts w:ascii="宋体" w:hAnsi="宋体"/>
          <w:color w:val="auto"/>
          <w:szCs w:val="21"/>
          <w:highlight w:val="none"/>
        </w:rPr>
      </w:pPr>
      <w:r>
        <w:rPr>
          <w:rFonts w:hint="eastAsia" w:ascii="宋体" w:hAnsi="宋体"/>
          <w:color w:val="auto"/>
          <w:szCs w:val="21"/>
          <w:highlight w:val="none"/>
        </w:rPr>
        <w:t>提交竣工试验资料的类别、内容、份数和时间：</w:t>
      </w:r>
      <w:r>
        <w:rPr>
          <w:rFonts w:hint="eastAsia" w:ascii="宋体" w:hAnsi="宋体"/>
          <w:color w:val="auto"/>
          <w:szCs w:val="21"/>
          <w:highlight w:val="none"/>
          <w:u w:val="single"/>
        </w:rPr>
        <w:t>类别及内容按照有关规定和发包人的要求确定，竣工试验完成10天内提交2份</w:t>
      </w:r>
      <w:r>
        <w:rPr>
          <w:rFonts w:hint="eastAsia" w:ascii="宋体" w:hAnsi="宋体"/>
          <w:color w:val="auto"/>
          <w:szCs w:val="21"/>
          <w:highlight w:val="none"/>
        </w:rPr>
        <w:t>；</w:t>
      </w:r>
    </w:p>
    <w:p w14:paraId="6A79D962">
      <w:pPr>
        <w:keepNext w:val="0"/>
        <w:keepLines w:val="0"/>
        <w:pageBreakBefore w:val="0"/>
        <w:wordWrap/>
        <w:overflowPunct/>
        <w:topLinePunct w:val="0"/>
        <w:bidi w:val="0"/>
        <w:snapToGrid w:val="0"/>
        <w:spacing w:line="360" w:lineRule="auto"/>
        <w:ind w:left="0" w:leftChars="0" w:firstLine="0" w:firstLineChars="0"/>
        <w:textAlignment w:val="auto"/>
        <w:outlineLvl w:val="2"/>
        <w:rPr>
          <w:rFonts w:ascii="宋体" w:hAnsi="宋体"/>
          <w:b/>
          <w:color w:val="auto"/>
          <w:szCs w:val="21"/>
          <w:highlight w:val="none"/>
        </w:rPr>
      </w:pPr>
      <w:bookmarkStart w:id="276" w:name="_Toc363719023"/>
      <w:bookmarkStart w:id="277" w:name="_Toc76720056"/>
      <w:bookmarkStart w:id="278" w:name="_Toc80633180"/>
      <w:r>
        <w:rPr>
          <w:rFonts w:hint="eastAsia" w:ascii="宋体" w:hAnsi="宋体"/>
          <w:b/>
          <w:color w:val="auto"/>
          <w:szCs w:val="21"/>
          <w:highlight w:val="none"/>
        </w:rPr>
        <w:t>第</w:t>
      </w:r>
      <w:r>
        <w:rPr>
          <w:rFonts w:ascii="宋体" w:hAnsi="宋体"/>
          <w:b/>
          <w:color w:val="auto"/>
          <w:szCs w:val="21"/>
          <w:highlight w:val="none"/>
        </w:rPr>
        <w:t>10</w:t>
      </w:r>
      <w:r>
        <w:rPr>
          <w:rFonts w:hint="eastAsia" w:ascii="宋体" w:hAnsi="宋体"/>
          <w:b/>
          <w:color w:val="auto"/>
          <w:szCs w:val="21"/>
          <w:highlight w:val="none"/>
        </w:rPr>
        <w:t>条</w:t>
      </w:r>
      <w:r>
        <w:rPr>
          <w:rFonts w:hint="eastAsia" w:ascii="宋体" w:hAnsi="宋体"/>
          <w:b/>
          <w:color w:val="auto"/>
          <w:szCs w:val="21"/>
          <w:highlight w:val="none"/>
        </w:rPr>
        <w:tab/>
      </w:r>
      <w:r>
        <w:rPr>
          <w:rFonts w:hint="eastAsia" w:ascii="宋体" w:hAnsi="宋体"/>
          <w:b/>
          <w:color w:val="auto"/>
          <w:szCs w:val="21"/>
          <w:highlight w:val="none"/>
        </w:rPr>
        <w:t>竣工后试验</w:t>
      </w:r>
      <w:bookmarkEnd w:id="276"/>
      <w:bookmarkEnd w:id="277"/>
      <w:bookmarkEnd w:id="278"/>
    </w:p>
    <w:p w14:paraId="3F2E03CF">
      <w:pPr>
        <w:keepNext w:val="0"/>
        <w:keepLines w:val="0"/>
        <w:pageBreakBefore w:val="0"/>
        <w:wordWrap/>
        <w:overflowPunct/>
        <w:topLinePunct w:val="0"/>
        <w:bidi w:val="0"/>
        <w:snapToGrid w:val="0"/>
        <w:spacing w:line="360" w:lineRule="auto"/>
        <w:ind w:left="0" w:leftChars="0" w:firstLine="0" w:firstLineChars="0"/>
        <w:textAlignment w:val="auto"/>
        <w:outlineLvl w:val="3"/>
        <w:rPr>
          <w:rFonts w:ascii="宋体" w:hAnsi="宋体"/>
          <w:color w:val="auto"/>
          <w:szCs w:val="21"/>
          <w:highlight w:val="none"/>
        </w:rPr>
      </w:pPr>
      <w:bookmarkStart w:id="279" w:name="_Toc76720057"/>
      <w:r>
        <w:rPr>
          <w:rFonts w:hint="eastAsia" w:ascii="宋体" w:hAnsi="宋体"/>
          <w:color w:val="auto"/>
          <w:szCs w:val="21"/>
          <w:highlight w:val="none"/>
        </w:rPr>
        <w:t>10.1   责任与义务</w:t>
      </w:r>
      <w:bookmarkEnd w:id="279"/>
    </w:p>
    <w:p w14:paraId="1712D485">
      <w:pPr>
        <w:keepNext w:val="0"/>
        <w:keepLines w:val="0"/>
        <w:pageBreakBefore w:val="0"/>
        <w:wordWrap/>
        <w:overflowPunct/>
        <w:topLinePunct w:val="0"/>
        <w:bidi w:val="0"/>
        <w:spacing w:line="360" w:lineRule="auto"/>
        <w:ind w:left="0" w:leftChars="0" w:firstLine="0" w:firstLineChars="0"/>
        <w:textAlignment w:val="auto"/>
        <w:rPr>
          <w:color w:val="auto"/>
          <w:highlight w:val="none"/>
        </w:rPr>
      </w:pPr>
      <w:r>
        <w:rPr>
          <w:rFonts w:hint="eastAsia" w:ascii="宋体" w:hAnsi="宋体"/>
          <w:color w:val="auto"/>
          <w:szCs w:val="21"/>
          <w:highlight w:val="none"/>
        </w:rPr>
        <w:t>10.1.1</w:t>
      </w:r>
      <w:r>
        <w:rPr>
          <w:rFonts w:hint="eastAsia"/>
          <w:color w:val="auto"/>
          <w:highlight w:val="none"/>
        </w:rPr>
        <w:t>发包人的义务</w:t>
      </w:r>
    </w:p>
    <w:p w14:paraId="26822120">
      <w:pPr>
        <w:keepNext w:val="0"/>
        <w:keepLines w:val="0"/>
        <w:pageBreakBefore w:val="0"/>
        <w:wordWrap/>
        <w:overflowPunct/>
        <w:topLinePunct w:val="0"/>
        <w:bidi w:val="0"/>
        <w:snapToGrid w:val="0"/>
        <w:spacing w:line="360" w:lineRule="auto"/>
        <w:textAlignment w:val="auto"/>
        <w:rPr>
          <w:rFonts w:ascii="宋体" w:hAnsi="宋体"/>
          <w:color w:val="auto"/>
          <w:szCs w:val="21"/>
          <w:highlight w:val="none"/>
        </w:rPr>
      </w:pPr>
      <w:r>
        <w:rPr>
          <w:rFonts w:hint="eastAsia" w:ascii="宋体" w:hAnsi="宋体"/>
          <w:color w:val="auto"/>
          <w:szCs w:val="21"/>
          <w:highlight w:val="none"/>
        </w:rPr>
        <w:t>其他义务和工作：</w:t>
      </w:r>
      <w:r>
        <w:rPr>
          <w:rFonts w:hint="eastAsia" w:ascii="宋体" w:hAnsi="宋体"/>
          <w:color w:val="auto"/>
          <w:szCs w:val="21"/>
          <w:highlight w:val="none"/>
          <w:u w:val="single"/>
        </w:rPr>
        <w:t>无。</w:t>
      </w:r>
    </w:p>
    <w:p w14:paraId="2DCD3209">
      <w:pPr>
        <w:keepNext w:val="0"/>
        <w:keepLines w:val="0"/>
        <w:pageBreakBefore w:val="0"/>
        <w:wordWrap/>
        <w:overflowPunct/>
        <w:topLinePunct w:val="0"/>
        <w:bidi w:val="0"/>
        <w:spacing w:line="360" w:lineRule="auto"/>
        <w:ind w:left="0" w:leftChars="0" w:firstLine="0" w:firstLineChars="0"/>
        <w:textAlignment w:val="auto"/>
        <w:rPr>
          <w:rFonts w:ascii="宋体" w:hAnsi="宋体"/>
          <w:color w:val="auto"/>
          <w:szCs w:val="21"/>
          <w:highlight w:val="none"/>
        </w:rPr>
      </w:pPr>
      <w:r>
        <w:rPr>
          <w:rFonts w:hint="eastAsia" w:ascii="宋体" w:hAnsi="宋体"/>
          <w:color w:val="auto"/>
          <w:szCs w:val="21"/>
          <w:highlight w:val="none"/>
        </w:rPr>
        <w:t>10.1.2</w:t>
      </w:r>
      <w:r>
        <w:rPr>
          <w:rFonts w:hint="eastAsia"/>
          <w:color w:val="auto"/>
          <w:highlight w:val="none"/>
        </w:rPr>
        <w:t>承包人的义务</w:t>
      </w:r>
    </w:p>
    <w:p w14:paraId="1EAE0568">
      <w:pPr>
        <w:keepNext w:val="0"/>
        <w:keepLines w:val="0"/>
        <w:pageBreakBefore w:val="0"/>
        <w:wordWrap/>
        <w:overflowPunct/>
        <w:topLinePunct w:val="0"/>
        <w:bidi w:val="0"/>
        <w:snapToGrid w:val="0"/>
        <w:spacing w:line="360" w:lineRule="auto"/>
        <w:ind w:left="0" w:leftChars="0" w:firstLine="0" w:firstLineChars="0"/>
        <w:textAlignment w:val="auto"/>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1</w:t>
      </w:r>
      <w:r>
        <w:rPr>
          <w:rFonts w:hint="eastAsia" w:ascii="宋体" w:hAnsi="宋体"/>
          <w:color w:val="auto"/>
          <w:szCs w:val="21"/>
          <w:highlight w:val="none"/>
        </w:rPr>
        <w:t>） 提交给发包人的竣工后试验方案的份数和时间：</w:t>
      </w:r>
      <w:r>
        <w:rPr>
          <w:rFonts w:hint="eastAsia" w:ascii="宋体" w:hAnsi="宋体"/>
          <w:color w:val="auto"/>
          <w:szCs w:val="21"/>
          <w:highlight w:val="none"/>
          <w:u w:val="single"/>
        </w:rPr>
        <w:t>2份，竣工后试验开始14天前提交</w:t>
      </w:r>
      <w:r>
        <w:rPr>
          <w:rFonts w:hint="eastAsia" w:ascii="宋体" w:hAnsi="宋体"/>
          <w:color w:val="auto"/>
          <w:szCs w:val="21"/>
          <w:highlight w:val="none"/>
        </w:rPr>
        <w:t>；</w:t>
      </w:r>
    </w:p>
    <w:p w14:paraId="4FBD682D">
      <w:pPr>
        <w:keepNext w:val="0"/>
        <w:keepLines w:val="0"/>
        <w:pageBreakBefore w:val="0"/>
        <w:wordWrap/>
        <w:overflowPunct/>
        <w:topLinePunct w:val="0"/>
        <w:bidi w:val="0"/>
        <w:snapToGrid w:val="0"/>
        <w:spacing w:line="360" w:lineRule="auto"/>
        <w:ind w:left="0" w:leftChars="0" w:firstLine="0" w:firstLineChars="0"/>
        <w:textAlignment w:val="auto"/>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）其他义务和工作：</w:t>
      </w:r>
      <w:r>
        <w:rPr>
          <w:rFonts w:hint="eastAsia" w:ascii="宋体" w:hAnsi="宋体"/>
          <w:color w:val="auto"/>
          <w:szCs w:val="21"/>
          <w:highlight w:val="none"/>
          <w:u w:val="single"/>
        </w:rPr>
        <w:t>无。</w:t>
      </w:r>
    </w:p>
    <w:p w14:paraId="02007D66">
      <w:pPr>
        <w:keepNext w:val="0"/>
        <w:keepLines w:val="0"/>
        <w:pageBreakBefore w:val="0"/>
        <w:wordWrap/>
        <w:overflowPunct/>
        <w:topLinePunct w:val="0"/>
        <w:bidi w:val="0"/>
        <w:snapToGrid w:val="0"/>
        <w:spacing w:line="360" w:lineRule="auto"/>
        <w:ind w:left="0" w:leftChars="0" w:firstLine="0" w:firstLineChars="0"/>
        <w:textAlignment w:val="auto"/>
        <w:outlineLvl w:val="3"/>
        <w:rPr>
          <w:rFonts w:ascii="宋体" w:hAnsi="宋体"/>
          <w:color w:val="auto"/>
          <w:szCs w:val="21"/>
          <w:highlight w:val="none"/>
        </w:rPr>
      </w:pPr>
      <w:bookmarkStart w:id="280" w:name="_Toc76720058"/>
      <w:r>
        <w:rPr>
          <w:rFonts w:hint="eastAsia" w:ascii="宋体" w:hAnsi="宋体"/>
          <w:color w:val="auto"/>
          <w:szCs w:val="21"/>
          <w:highlight w:val="none"/>
        </w:rPr>
        <w:t>10.2   竣工后试验程序</w:t>
      </w:r>
      <w:bookmarkEnd w:id="280"/>
      <w:r>
        <w:rPr>
          <w:rFonts w:hint="eastAsia" w:ascii="宋体" w:hAnsi="宋体"/>
          <w:color w:val="auto"/>
          <w:szCs w:val="21"/>
          <w:highlight w:val="none"/>
        </w:rPr>
        <w:t xml:space="preserve"> </w:t>
      </w:r>
    </w:p>
    <w:p w14:paraId="3E9E1200">
      <w:pPr>
        <w:keepNext w:val="0"/>
        <w:keepLines w:val="0"/>
        <w:pageBreakBefore w:val="0"/>
        <w:wordWrap/>
        <w:overflowPunct/>
        <w:topLinePunct w:val="0"/>
        <w:bidi w:val="0"/>
        <w:snapToGrid w:val="0"/>
        <w:spacing w:line="360" w:lineRule="auto"/>
        <w:ind w:left="0" w:leftChars="0" w:firstLine="0" w:firstLineChars="0"/>
        <w:textAlignment w:val="auto"/>
        <w:rPr>
          <w:rFonts w:ascii="宋体" w:hAnsi="宋体"/>
          <w:color w:val="auto"/>
          <w:szCs w:val="21"/>
          <w:highlight w:val="none"/>
        </w:rPr>
      </w:pPr>
      <w:r>
        <w:rPr>
          <w:rFonts w:hint="eastAsia" w:ascii="宋体" w:hAnsi="宋体"/>
          <w:color w:val="auto"/>
          <w:szCs w:val="21"/>
          <w:highlight w:val="none"/>
        </w:rPr>
        <w:t>竣工试验完成并且整个系统完工并网后，对项目进行竣工后试验。</w:t>
      </w:r>
    </w:p>
    <w:p w14:paraId="40C05C3A">
      <w:pPr>
        <w:keepNext w:val="0"/>
        <w:keepLines w:val="0"/>
        <w:pageBreakBefore w:val="0"/>
        <w:wordWrap/>
        <w:overflowPunct/>
        <w:topLinePunct w:val="0"/>
        <w:bidi w:val="0"/>
        <w:snapToGrid w:val="0"/>
        <w:spacing w:line="360" w:lineRule="auto"/>
        <w:ind w:left="0" w:leftChars="0" w:firstLine="0" w:firstLineChars="0"/>
        <w:textAlignment w:val="auto"/>
        <w:rPr>
          <w:rFonts w:ascii="宋体" w:hAnsi="宋体"/>
          <w:color w:val="auto"/>
          <w:szCs w:val="21"/>
          <w:highlight w:val="none"/>
        </w:rPr>
      </w:pPr>
      <w:r>
        <w:rPr>
          <w:rFonts w:hint="eastAsia" w:ascii="宋体" w:hAnsi="宋体"/>
          <w:color w:val="auto"/>
          <w:szCs w:val="21"/>
          <w:highlight w:val="none"/>
        </w:rPr>
        <w:t>10.2.</w:t>
      </w:r>
      <w:r>
        <w:rPr>
          <w:rFonts w:hint="eastAsia" w:ascii="宋体" w:hAnsi="宋体"/>
          <w:color w:val="auto"/>
          <w:szCs w:val="21"/>
          <w:highlight w:val="none"/>
          <w:lang w:val="en-US" w:eastAsia="zh-CN"/>
        </w:rPr>
        <w:t>1</w:t>
      </w:r>
      <w:r>
        <w:rPr>
          <w:rFonts w:hint="eastAsia" w:ascii="宋体" w:hAnsi="宋体"/>
          <w:color w:val="auto"/>
          <w:szCs w:val="21"/>
          <w:highlight w:val="none"/>
        </w:rPr>
        <w:t xml:space="preserve">  竣工后试验日期的通知</w:t>
      </w:r>
    </w:p>
    <w:p w14:paraId="240ED30F">
      <w:pPr>
        <w:keepNext w:val="0"/>
        <w:keepLines w:val="0"/>
        <w:pageBreakBefore w:val="0"/>
        <w:wordWrap/>
        <w:overflowPunct/>
        <w:topLinePunct w:val="0"/>
        <w:bidi w:val="0"/>
        <w:snapToGrid w:val="0"/>
        <w:spacing w:line="360" w:lineRule="auto"/>
        <w:ind w:left="0" w:leftChars="0" w:firstLine="0" w:firstLineChars="0"/>
        <w:textAlignment w:val="auto"/>
        <w:rPr>
          <w:rFonts w:ascii="宋体" w:hAnsi="宋体"/>
          <w:color w:val="auto"/>
          <w:szCs w:val="21"/>
          <w:highlight w:val="none"/>
        </w:rPr>
      </w:pPr>
      <w:r>
        <w:rPr>
          <w:rFonts w:hint="eastAsia" w:ascii="宋体" w:hAnsi="宋体"/>
          <w:color w:val="auto"/>
          <w:szCs w:val="21"/>
          <w:highlight w:val="none"/>
        </w:rPr>
        <w:t>单项工程或（和）工程竣工后试验开始日期：</w:t>
      </w:r>
      <w:r>
        <w:rPr>
          <w:rFonts w:hint="eastAsia" w:ascii="宋体" w:hAnsi="宋体"/>
          <w:color w:val="auto"/>
          <w:szCs w:val="21"/>
          <w:highlight w:val="none"/>
          <w:u w:val="single"/>
        </w:rPr>
        <w:t>竣工试验完成并且整个系统完工并网后，由发包人确定</w:t>
      </w:r>
      <w:r>
        <w:rPr>
          <w:rFonts w:hint="eastAsia" w:ascii="宋体" w:hAnsi="宋体"/>
          <w:color w:val="auto"/>
          <w:szCs w:val="21"/>
          <w:highlight w:val="none"/>
        </w:rPr>
        <w:t>；</w:t>
      </w:r>
    </w:p>
    <w:p w14:paraId="79669A32">
      <w:pPr>
        <w:keepNext w:val="0"/>
        <w:keepLines w:val="0"/>
        <w:pageBreakBefore w:val="0"/>
        <w:wordWrap/>
        <w:overflowPunct/>
        <w:topLinePunct w:val="0"/>
        <w:bidi w:val="0"/>
        <w:snapToGrid w:val="0"/>
        <w:spacing w:line="360" w:lineRule="auto"/>
        <w:ind w:left="0" w:leftChars="0" w:firstLine="0" w:firstLineChars="0"/>
        <w:textAlignment w:val="auto"/>
        <w:rPr>
          <w:rFonts w:ascii="宋体" w:hAnsi="宋体"/>
          <w:color w:val="auto"/>
          <w:szCs w:val="21"/>
          <w:highlight w:val="none"/>
        </w:rPr>
      </w:pPr>
      <w:r>
        <w:rPr>
          <w:rFonts w:hint="eastAsia" w:ascii="宋体" w:hAnsi="宋体"/>
          <w:color w:val="auto"/>
          <w:szCs w:val="21"/>
          <w:highlight w:val="none"/>
        </w:rPr>
        <w:t>10.3   竣工后试验及试运行考核</w:t>
      </w:r>
    </w:p>
    <w:p w14:paraId="74D7C0ED">
      <w:pPr>
        <w:keepNext w:val="0"/>
        <w:keepLines w:val="0"/>
        <w:pageBreakBefore w:val="0"/>
        <w:wordWrap/>
        <w:overflowPunct/>
        <w:topLinePunct w:val="0"/>
        <w:bidi w:val="0"/>
        <w:snapToGrid w:val="0"/>
        <w:spacing w:line="360" w:lineRule="auto"/>
        <w:ind w:left="0" w:leftChars="0" w:firstLine="0" w:firstLineChars="0"/>
        <w:textAlignment w:val="auto"/>
        <w:rPr>
          <w:rFonts w:ascii="宋体" w:hAnsi="宋体"/>
          <w:color w:val="auto"/>
          <w:szCs w:val="21"/>
          <w:highlight w:val="none"/>
        </w:rPr>
      </w:pPr>
      <w:r>
        <w:rPr>
          <w:rFonts w:hint="eastAsia" w:ascii="宋体" w:hAnsi="宋体"/>
          <w:color w:val="auto"/>
          <w:szCs w:val="21"/>
          <w:highlight w:val="none"/>
        </w:rPr>
        <w:t>10.3.1   试运行考核</w:t>
      </w:r>
    </w:p>
    <w:p w14:paraId="5B48B44E">
      <w:pPr>
        <w:keepNext w:val="0"/>
        <w:keepLines w:val="0"/>
        <w:pageBreakBefore w:val="0"/>
        <w:wordWrap/>
        <w:overflowPunct/>
        <w:topLinePunct w:val="0"/>
        <w:bidi w:val="0"/>
        <w:snapToGrid w:val="0"/>
        <w:spacing w:line="360" w:lineRule="auto"/>
        <w:ind w:left="0" w:leftChars="0" w:firstLine="0" w:firstLineChars="0"/>
        <w:textAlignment w:val="auto"/>
        <w:rPr>
          <w:rFonts w:ascii="宋体" w:hAnsi="宋体"/>
          <w:color w:val="auto"/>
          <w:szCs w:val="21"/>
          <w:highlight w:val="none"/>
        </w:rPr>
      </w:pPr>
      <w:r>
        <w:rPr>
          <w:rFonts w:hint="eastAsia" w:ascii="宋体" w:hAnsi="宋体"/>
          <w:color w:val="auto"/>
          <w:szCs w:val="21"/>
          <w:highlight w:val="none"/>
        </w:rPr>
        <w:t>试运行考核周期：</w:t>
      </w:r>
      <w:r>
        <w:rPr>
          <w:rFonts w:hint="eastAsia" w:ascii="宋体" w:hAnsi="宋体"/>
          <w:color w:val="auto"/>
          <w:szCs w:val="21"/>
          <w:highlight w:val="none"/>
          <w:u w:val="single"/>
        </w:rPr>
        <w:t>168</w:t>
      </w:r>
      <w:r>
        <w:rPr>
          <w:rFonts w:hint="eastAsia" w:ascii="宋体" w:hAnsi="宋体"/>
          <w:color w:val="auto"/>
          <w:szCs w:val="21"/>
          <w:highlight w:val="none"/>
        </w:rPr>
        <w:t>小时</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7天</w:t>
      </w:r>
      <w:r>
        <w:rPr>
          <w:rFonts w:hint="eastAsia" w:ascii="宋体" w:hAnsi="宋体"/>
          <w:color w:val="auto"/>
          <w:szCs w:val="21"/>
          <w:highlight w:val="none"/>
          <w:lang w:eastAsia="zh-CN"/>
        </w:rPr>
        <w:t>）</w:t>
      </w:r>
      <w:r>
        <w:rPr>
          <w:rFonts w:hint="eastAsia" w:ascii="宋体" w:hAnsi="宋体"/>
          <w:color w:val="auto"/>
          <w:szCs w:val="21"/>
          <w:highlight w:val="none"/>
        </w:rPr>
        <w:t>。</w:t>
      </w:r>
    </w:p>
    <w:p w14:paraId="006636E2">
      <w:pPr>
        <w:keepNext w:val="0"/>
        <w:keepLines w:val="0"/>
        <w:pageBreakBefore w:val="0"/>
        <w:wordWrap/>
        <w:overflowPunct/>
        <w:topLinePunct w:val="0"/>
        <w:bidi w:val="0"/>
        <w:snapToGrid w:val="0"/>
        <w:spacing w:line="360" w:lineRule="auto"/>
        <w:ind w:left="0" w:leftChars="0" w:firstLine="0" w:firstLineChars="0"/>
        <w:textAlignment w:val="auto"/>
        <w:outlineLvl w:val="3"/>
        <w:rPr>
          <w:rFonts w:ascii="宋体" w:hAnsi="宋体"/>
          <w:color w:val="auto"/>
          <w:szCs w:val="21"/>
          <w:highlight w:val="none"/>
        </w:rPr>
      </w:pPr>
      <w:bookmarkStart w:id="281" w:name="_Toc76720059"/>
      <w:r>
        <w:rPr>
          <w:rFonts w:hint="eastAsia" w:ascii="宋体" w:hAnsi="宋体"/>
          <w:color w:val="auto"/>
          <w:szCs w:val="21"/>
          <w:highlight w:val="none"/>
        </w:rPr>
        <w:t>10.</w:t>
      </w:r>
      <w:r>
        <w:rPr>
          <w:rFonts w:hint="eastAsia" w:ascii="宋体" w:hAnsi="宋体"/>
          <w:color w:val="auto"/>
          <w:szCs w:val="21"/>
          <w:highlight w:val="none"/>
          <w:lang w:val="en-US" w:eastAsia="zh-CN"/>
        </w:rPr>
        <w:t>4</w:t>
      </w:r>
      <w:r>
        <w:rPr>
          <w:rFonts w:hint="eastAsia" w:ascii="宋体" w:hAnsi="宋体"/>
          <w:color w:val="auto"/>
          <w:szCs w:val="21"/>
          <w:highlight w:val="none"/>
        </w:rPr>
        <w:t xml:space="preserve">  未能通过考核</w:t>
      </w:r>
      <w:bookmarkEnd w:id="281"/>
    </w:p>
    <w:p w14:paraId="283F7D95">
      <w:pPr>
        <w:keepNext w:val="0"/>
        <w:keepLines w:val="0"/>
        <w:pageBreakBefore w:val="0"/>
        <w:wordWrap/>
        <w:overflowPunct/>
        <w:topLinePunct w:val="0"/>
        <w:bidi w:val="0"/>
        <w:snapToGrid w:val="0"/>
        <w:spacing w:line="360" w:lineRule="auto"/>
        <w:ind w:left="0" w:leftChars="0" w:firstLine="0" w:firstLineChars="0"/>
        <w:textAlignment w:val="auto"/>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 xml:space="preserve">10.4.1 </w:t>
      </w:r>
      <w:r>
        <w:rPr>
          <w:rFonts w:hint="eastAsia" w:ascii="宋体" w:hAnsi="宋体"/>
          <w:color w:val="auto"/>
          <w:szCs w:val="21"/>
          <w:highlight w:val="none"/>
        </w:rPr>
        <w:t>未能通过试运行考核的</w:t>
      </w:r>
      <w:r>
        <w:rPr>
          <w:rFonts w:hint="eastAsia" w:ascii="宋体" w:hAnsi="宋体"/>
          <w:color w:val="auto"/>
          <w:szCs w:val="21"/>
          <w:highlight w:val="none"/>
          <w:lang w:eastAsia="zh-CN"/>
        </w:rPr>
        <w:t>违约金</w:t>
      </w:r>
    </w:p>
    <w:p w14:paraId="11410A92">
      <w:pPr>
        <w:keepNext w:val="0"/>
        <w:keepLines w:val="0"/>
        <w:pageBreakBefore w:val="0"/>
        <w:wordWrap/>
        <w:overflowPunct/>
        <w:topLinePunct w:val="0"/>
        <w:bidi w:val="0"/>
        <w:snapToGrid w:val="0"/>
        <w:spacing w:line="360" w:lineRule="auto"/>
        <w:ind w:left="0" w:leftChars="0" w:firstLine="0" w:firstLineChars="0"/>
        <w:textAlignment w:val="auto"/>
        <w:rPr>
          <w:rFonts w:ascii="宋体" w:hAnsi="宋体"/>
          <w:color w:val="auto"/>
          <w:szCs w:val="21"/>
          <w:highlight w:val="none"/>
          <w:lang w:val="en-AU"/>
        </w:rPr>
      </w:pPr>
      <w:bookmarkStart w:id="282" w:name="_Toc363719024"/>
      <w:r>
        <w:rPr>
          <w:rFonts w:hint="eastAsia" w:ascii="宋体" w:hAnsi="宋体"/>
          <w:color w:val="auto"/>
          <w:szCs w:val="21"/>
          <w:highlight w:val="none"/>
        </w:rPr>
        <w:t>承包人提供的光伏发电系统应能满足发包人提出的性能及质量要求，当由第三方所做的第一次性能试验证明承包人不能达到</w:t>
      </w:r>
      <w:r>
        <w:rPr>
          <w:rFonts w:hint="eastAsia" w:ascii="宋体" w:hAnsi="宋体"/>
          <w:color w:val="auto"/>
          <w:szCs w:val="21"/>
          <w:highlight w:val="none"/>
          <w:lang w:eastAsia="zh-CN"/>
        </w:rPr>
        <w:t>招标文件</w:t>
      </w:r>
      <w:r>
        <w:rPr>
          <w:rFonts w:hint="eastAsia" w:ascii="宋体" w:hAnsi="宋体"/>
          <w:color w:val="auto"/>
          <w:szCs w:val="21"/>
          <w:highlight w:val="none"/>
        </w:rPr>
        <w:t>技术部分规定的技术指标，</w:t>
      </w:r>
      <w:r>
        <w:rPr>
          <w:rFonts w:hint="eastAsia" w:ascii="宋体" w:hAnsi="宋体"/>
          <w:color w:val="auto"/>
          <w:szCs w:val="21"/>
          <w:highlight w:val="none"/>
          <w:lang w:eastAsia="zh-CN"/>
        </w:rPr>
        <w:t>承包人需向</w:t>
      </w:r>
      <w:r>
        <w:rPr>
          <w:rFonts w:hint="eastAsia" w:ascii="宋体" w:hAnsi="宋体"/>
          <w:color w:val="auto"/>
          <w:szCs w:val="21"/>
          <w:highlight w:val="none"/>
        </w:rPr>
        <w:t>发包人</w:t>
      </w:r>
      <w:r>
        <w:rPr>
          <w:rFonts w:hint="eastAsia" w:ascii="宋体" w:hAnsi="宋体"/>
          <w:color w:val="auto"/>
          <w:szCs w:val="21"/>
          <w:highlight w:val="none"/>
          <w:lang w:eastAsia="zh-CN"/>
        </w:rPr>
        <w:t>支付违约金</w:t>
      </w:r>
      <w:r>
        <w:rPr>
          <w:rFonts w:hint="eastAsia" w:ascii="宋体" w:hAnsi="宋体"/>
          <w:color w:val="auto"/>
          <w:szCs w:val="21"/>
          <w:highlight w:val="none"/>
        </w:rPr>
        <w:t>。如果整个工艺过程不能满足运行保证中所许诺的要求，则承包人应负责修理、替换或者处理所有的物料、设备，以便满足运行保证要求。这部分费用由承包人负责（包括修理、替换或者处理、拆卸和安装所需要的费用）。在完成修理、替换或者其它处理后，整个工艺过程应按合同重新进行试验，费用由承包人负责。在此之前的某些试验阶段，一些试验保证已经成功地被验证，如果由于修理、替换或者其它处理措施对已验证了的运行保证产生可能的不利影响，则整个工艺系统还需要按所有要求重新试验，费用由承包人负责。因承包人技术工艺、性能指标达不到要求造成发包人损失的，且违约金不足以覆盖损失的，由承包人负责赔偿。</w:t>
      </w:r>
    </w:p>
    <w:p w14:paraId="374F20E0">
      <w:pPr>
        <w:keepNext w:val="0"/>
        <w:keepLines w:val="0"/>
        <w:pageBreakBefore w:val="0"/>
        <w:wordWrap/>
        <w:overflowPunct/>
        <w:topLinePunct w:val="0"/>
        <w:bidi w:val="0"/>
        <w:snapToGrid w:val="0"/>
        <w:spacing w:line="360" w:lineRule="auto"/>
        <w:ind w:left="0" w:leftChars="0" w:firstLine="422" w:firstLineChars="200"/>
        <w:textAlignment w:val="auto"/>
        <w:rPr>
          <w:rFonts w:hint="eastAsia" w:ascii="宋体" w:hAnsi="宋体"/>
          <w:b/>
          <w:color w:val="auto"/>
          <w:szCs w:val="21"/>
          <w:highlight w:val="none"/>
          <w:u w:val="single"/>
          <w:lang w:eastAsia="zh-CN"/>
        </w:rPr>
      </w:pPr>
      <w:r>
        <w:rPr>
          <w:rFonts w:hint="eastAsia" w:ascii="宋体" w:hAnsi="宋体"/>
          <w:b/>
          <w:color w:val="auto"/>
          <w:szCs w:val="21"/>
          <w:highlight w:val="none"/>
          <w:u w:val="single"/>
        </w:rPr>
        <w:t>违约金计算</w:t>
      </w:r>
      <w:r>
        <w:rPr>
          <w:rFonts w:hint="eastAsia" w:ascii="宋体" w:hAnsi="宋体"/>
          <w:b/>
          <w:color w:val="auto"/>
          <w:szCs w:val="21"/>
          <w:highlight w:val="none"/>
          <w:u w:val="single"/>
          <w:lang w:val="en-US" w:eastAsia="zh-CN"/>
        </w:rPr>
        <w:t>方式</w:t>
      </w:r>
      <w:r>
        <w:rPr>
          <w:rFonts w:hint="eastAsia" w:ascii="宋体" w:hAnsi="宋体"/>
          <w:b/>
          <w:color w:val="auto"/>
          <w:szCs w:val="21"/>
          <w:highlight w:val="none"/>
          <w:u w:val="single"/>
        </w:rPr>
        <w:t>如下</w:t>
      </w:r>
      <w:r>
        <w:rPr>
          <w:rFonts w:hint="eastAsia" w:ascii="宋体" w:hAnsi="宋体"/>
          <w:b/>
          <w:color w:val="auto"/>
          <w:szCs w:val="21"/>
          <w:highlight w:val="none"/>
          <w:u w:val="single"/>
          <w:lang w:eastAsia="zh-CN"/>
        </w:rPr>
        <w:t>：</w:t>
      </w:r>
    </w:p>
    <w:p w14:paraId="68E8C9BB">
      <w:pPr>
        <w:keepNext w:val="0"/>
        <w:keepLines w:val="0"/>
        <w:pageBreakBefore w:val="0"/>
        <w:wordWrap/>
        <w:overflowPunct/>
        <w:topLinePunct w:val="0"/>
        <w:bidi w:val="0"/>
        <w:snapToGrid w:val="0"/>
        <w:spacing w:line="360" w:lineRule="auto"/>
        <w:ind w:left="0" w:leftChars="0" w:firstLine="422" w:firstLineChars="200"/>
        <w:textAlignment w:val="auto"/>
        <w:rPr>
          <w:rFonts w:hint="eastAsia" w:ascii="宋体" w:hAnsi="宋体"/>
          <w:b/>
          <w:color w:val="auto"/>
          <w:szCs w:val="21"/>
          <w:highlight w:val="none"/>
          <w:u w:val="single"/>
        </w:rPr>
      </w:pPr>
      <w:r>
        <w:rPr>
          <w:rFonts w:hint="eastAsia" w:ascii="宋体" w:hAnsi="宋体"/>
          <w:b/>
          <w:color w:val="auto"/>
          <w:szCs w:val="21"/>
          <w:highlight w:val="none"/>
          <w:u w:val="single"/>
          <w:lang w:val="en-US" w:eastAsia="zh-CN"/>
        </w:rPr>
        <w:t>①</w:t>
      </w:r>
      <w:r>
        <w:rPr>
          <w:rFonts w:hint="eastAsia" w:ascii="宋体" w:hAnsi="宋体"/>
          <w:b/>
          <w:color w:val="auto"/>
          <w:szCs w:val="21"/>
          <w:highlight w:val="none"/>
          <w:u w:val="single"/>
        </w:rPr>
        <w:t>如逆变器2年内年运行效率值低于97.5%的，</w:t>
      </w:r>
      <w:r>
        <w:rPr>
          <w:rFonts w:hint="eastAsia" w:ascii="宋体" w:hAnsi="宋体"/>
          <w:b/>
          <w:color w:val="auto"/>
          <w:szCs w:val="21"/>
          <w:highlight w:val="none"/>
          <w:u w:val="single"/>
          <w:lang w:eastAsia="zh-CN"/>
        </w:rPr>
        <w:t>承包人</w:t>
      </w:r>
      <w:r>
        <w:rPr>
          <w:rFonts w:hint="eastAsia" w:ascii="宋体" w:hAnsi="宋体"/>
          <w:b/>
          <w:color w:val="auto"/>
          <w:szCs w:val="21"/>
          <w:highlight w:val="none"/>
          <w:u w:val="single"/>
        </w:rPr>
        <w:t>必须免费更换为满足要求的逆变器，期间造成发电损失的，</w:t>
      </w:r>
      <w:r>
        <w:rPr>
          <w:rFonts w:hint="eastAsia" w:ascii="宋体" w:hAnsi="宋体"/>
          <w:b/>
          <w:color w:val="auto"/>
          <w:szCs w:val="21"/>
          <w:highlight w:val="none"/>
          <w:u w:val="single"/>
          <w:lang w:eastAsia="zh-CN"/>
        </w:rPr>
        <w:t>承包人</w:t>
      </w:r>
      <w:r>
        <w:rPr>
          <w:rFonts w:hint="eastAsia" w:ascii="宋体" w:hAnsi="宋体"/>
          <w:b/>
          <w:color w:val="auto"/>
          <w:szCs w:val="21"/>
          <w:highlight w:val="none"/>
          <w:u w:val="single"/>
        </w:rPr>
        <w:t>应按2倍于发电量损失来赔偿</w:t>
      </w:r>
      <w:r>
        <w:rPr>
          <w:rFonts w:hint="eastAsia" w:ascii="宋体" w:hAnsi="宋体"/>
          <w:b/>
          <w:color w:val="auto"/>
          <w:szCs w:val="21"/>
          <w:highlight w:val="none"/>
          <w:u w:val="single"/>
          <w:lang w:eastAsia="zh-CN"/>
        </w:rPr>
        <w:t>发包人</w:t>
      </w:r>
      <w:r>
        <w:rPr>
          <w:rFonts w:hint="eastAsia" w:ascii="宋体" w:hAnsi="宋体"/>
          <w:b/>
          <w:color w:val="auto"/>
          <w:szCs w:val="21"/>
          <w:highlight w:val="none"/>
          <w:u w:val="single"/>
        </w:rPr>
        <w:t>：发电量损失=当地峰值电价*（η0/η1-1）*运行期实际发电量；</w:t>
      </w:r>
    </w:p>
    <w:p w14:paraId="19E65706">
      <w:pPr>
        <w:keepNext w:val="0"/>
        <w:keepLines w:val="0"/>
        <w:pageBreakBefore w:val="0"/>
        <w:wordWrap/>
        <w:overflowPunct/>
        <w:topLinePunct w:val="0"/>
        <w:bidi w:val="0"/>
        <w:snapToGrid w:val="0"/>
        <w:spacing w:line="360" w:lineRule="auto"/>
        <w:ind w:left="0" w:leftChars="0" w:firstLine="422" w:firstLineChars="200"/>
        <w:textAlignment w:val="auto"/>
        <w:rPr>
          <w:rFonts w:hint="eastAsia" w:ascii="宋体" w:hAnsi="宋体"/>
          <w:b/>
          <w:color w:val="auto"/>
          <w:szCs w:val="21"/>
          <w:highlight w:val="none"/>
          <w:u w:val="single"/>
        </w:rPr>
      </w:pPr>
      <w:r>
        <w:rPr>
          <w:rFonts w:hint="eastAsia" w:ascii="宋体" w:hAnsi="宋体"/>
          <w:b/>
          <w:color w:val="auto"/>
          <w:szCs w:val="21"/>
          <w:highlight w:val="none"/>
          <w:u w:val="single"/>
        </w:rPr>
        <w:t>其中：</w:t>
      </w:r>
    </w:p>
    <w:p w14:paraId="78B8C204">
      <w:pPr>
        <w:keepNext w:val="0"/>
        <w:keepLines w:val="0"/>
        <w:pageBreakBefore w:val="0"/>
        <w:wordWrap/>
        <w:overflowPunct/>
        <w:topLinePunct w:val="0"/>
        <w:bidi w:val="0"/>
        <w:snapToGrid w:val="0"/>
        <w:spacing w:line="360" w:lineRule="auto"/>
        <w:ind w:left="0" w:leftChars="0" w:firstLine="422" w:firstLineChars="200"/>
        <w:textAlignment w:val="auto"/>
        <w:rPr>
          <w:rFonts w:hint="eastAsia" w:ascii="宋体" w:hAnsi="宋体"/>
          <w:b/>
          <w:color w:val="auto"/>
          <w:szCs w:val="21"/>
          <w:highlight w:val="none"/>
          <w:u w:val="single"/>
        </w:rPr>
      </w:pPr>
      <w:r>
        <w:rPr>
          <w:rFonts w:hint="eastAsia" w:ascii="宋体" w:hAnsi="宋体"/>
          <w:b/>
          <w:color w:val="auto"/>
          <w:szCs w:val="21"/>
          <w:highlight w:val="none"/>
          <w:u w:val="single"/>
        </w:rPr>
        <w:t>η1为交流功率/直流功率曲线顶部平段部分的拟合值（有资质第三方单位现场进行效率检测，检测单位需得到双方认可，若监测不合格检测费用由</w:t>
      </w:r>
      <w:r>
        <w:rPr>
          <w:rFonts w:hint="eastAsia" w:ascii="宋体" w:hAnsi="宋体"/>
          <w:b/>
          <w:color w:val="auto"/>
          <w:szCs w:val="21"/>
          <w:highlight w:val="none"/>
          <w:u w:val="single"/>
          <w:lang w:val="en-US" w:eastAsia="zh-CN"/>
        </w:rPr>
        <w:t>承包人</w:t>
      </w:r>
      <w:r>
        <w:rPr>
          <w:rFonts w:hint="eastAsia" w:ascii="宋体" w:hAnsi="宋体"/>
          <w:b/>
          <w:color w:val="auto"/>
          <w:szCs w:val="21"/>
          <w:highlight w:val="none"/>
          <w:u w:val="single"/>
        </w:rPr>
        <w:t>承担，若监测合格，监测费用由</w:t>
      </w:r>
      <w:r>
        <w:rPr>
          <w:rFonts w:hint="eastAsia" w:ascii="宋体" w:hAnsi="宋体"/>
          <w:b/>
          <w:color w:val="auto"/>
          <w:szCs w:val="21"/>
          <w:highlight w:val="none"/>
          <w:u w:val="single"/>
          <w:lang w:val="en-US" w:eastAsia="zh-CN"/>
        </w:rPr>
        <w:t>发包人</w:t>
      </w:r>
      <w:r>
        <w:rPr>
          <w:rFonts w:hint="eastAsia" w:ascii="宋体" w:hAnsi="宋体"/>
          <w:b/>
          <w:color w:val="auto"/>
          <w:szCs w:val="21"/>
          <w:highlight w:val="none"/>
          <w:u w:val="single"/>
        </w:rPr>
        <w:t>承担）；</w:t>
      </w:r>
    </w:p>
    <w:p w14:paraId="5B8A0346">
      <w:pPr>
        <w:keepNext w:val="0"/>
        <w:keepLines w:val="0"/>
        <w:pageBreakBefore w:val="0"/>
        <w:wordWrap/>
        <w:overflowPunct/>
        <w:topLinePunct w:val="0"/>
        <w:bidi w:val="0"/>
        <w:snapToGrid w:val="0"/>
        <w:spacing w:line="360" w:lineRule="auto"/>
        <w:ind w:left="0" w:leftChars="0" w:firstLine="422" w:firstLineChars="200"/>
        <w:textAlignment w:val="auto"/>
        <w:rPr>
          <w:rFonts w:hint="eastAsia" w:ascii="宋体" w:hAnsi="宋体"/>
          <w:b/>
          <w:color w:val="auto"/>
          <w:szCs w:val="21"/>
          <w:highlight w:val="none"/>
          <w:u w:val="single"/>
        </w:rPr>
      </w:pPr>
      <w:r>
        <w:rPr>
          <w:rFonts w:hint="eastAsia" w:ascii="宋体" w:hAnsi="宋体"/>
          <w:b/>
          <w:color w:val="auto"/>
          <w:szCs w:val="21"/>
          <w:highlight w:val="none"/>
          <w:u w:val="single"/>
        </w:rPr>
        <w:t>η0为欧洲效率。</w:t>
      </w:r>
    </w:p>
    <w:p w14:paraId="748089F3">
      <w:pPr>
        <w:keepNext w:val="0"/>
        <w:keepLines w:val="0"/>
        <w:pageBreakBefore w:val="0"/>
        <w:wordWrap/>
        <w:overflowPunct/>
        <w:topLinePunct w:val="0"/>
        <w:bidi w:val="0"/>
        <w:snapToGrid w:val="0"/>
        <w:spacing w:line="360" w:lineRule="auto"/>
        <w:ind w:left="0" w:leftChars="0" w:firstLine="422" w:firstLineChars="200"/>
        <w:textAlignment w:val="auto"/>
        <w:rPr>
          <w:rFonts w:hint="eastAsia" w:ascii="宋体" w:hAnsi="宋体"/>
          <w:b/>
          <w:color w:val="auto"/>
          <w:szCs w:val="21"/>
          <w:highlight w:val="none"/>
          <w:u w:val="single"/>
        </w:rPr>
      </w:pPr>
      <w:r>
        <w:rPr>
          <w:rFonts w:hint="eastAsia" w:ascii="宋体" w:hAnsi="宋体"/>
          <w:b/>
          <w:color w:val="auto"/>
          <w:szCs w:val="21"/>
          <w:highlight w:val="none"/>
          <w:u w:val="single"/>
          <w:lang w:val="en-US" w:eastAsia="zh-CN"/>
        </w:rPr>
        <w:t>②</w:t>
      </w:r>
      <w:r>
        <w:rPr>
          <w:rFonts w:hint="eastAsia" w:ascii="宋体" w:hAnsi="宋体"/>
          <w:b/>
          <w:color w:val="auto"/>
          <w:szCs w:val="21"/>
          <w:highlight w:val="none"/>
          <w:u w:val="single"/>
        </w:rPr>
        <w:t>第3-</w:t>
      </w:r>
      <w:r>
        <w:rPr>
          <w:rFonts w:hint="eastAsia" w:ascii="宋体" w:hAnsi="宋体"/>
          <w:b/>
          <w:color w:val="auto"/>
          <w:szCs w:val="21"/>
          <w:highlight w:val="none"/>
          <w:u w:val="single"/>
          <w:lang w:val="en-US" w:eastAsia="zh-CN"/>
        </w:rPr>
        <w:t>5</w:t>
      </w:r>
      <w:r>
        <w:rPr>
          <w:rFonts w:hint="eastAsia" w:ascii="宋体" w:hAnsi="宋体"/>
          <w:b/>
          <w:color w:val="auto"/>
          <w:szCs w:val="21"/>
          <w:highlight w:val="none"/>
          <w:u w:val="single"/>
        </w:rPr>
        <w:t>年实际运行效率值低于97%的，</w:t>
      </w:r>
      <w:r>
        <w:rPr>
          <w:rFonts w:hint="eastAsia" w:ascii="宋体" w:hAnsi="宋体"/>
          <w:b/>
          <w:color w:val="auto"/>
          <w:szCs w:val="21"/>
          <w:highlight w:val="none"/>
          <w:u w:val="single"/>
          <w:lang w:eastAsia="zh-CN"/>
        </w:rPr>
        <w:t>承包人</w:t>
      </w:r>
      <w:r>
        <w:rPr>
          <w:rFonts w:hint="eastAsia" w:ascii="宋体" w:hAnsi="宋体"/>
          <w:b/>
          <w:color w:val="auto"/>
          <w:szCs w:val="21"/>
          <w:highlight w:val="none"/>
          <w:u w:val="single"/>
        </w:rPr>
        <w:t>必须免费更换成满足要求的逆变器，造成发电损失的，</w:t>
      </w:r>
      <w:r>
        <w:rPr>
          <w:rFonts w:hint="eastAsia" w:ascii="宋体" w:hAnsi="宋体"/>
          <w:b/>
          <w:color w:val="auto"/>
          <w:szCs w:val="21"/>
          <w:highlight w:val="none"/>
          <w:u w:val="single"/>
          <w:lang w:eastAsia="zh-CN"/>
        </w:rPr>
        <w:t>承包人</w:t>
      </w:r>
      <w:r>
        <w:rPr>
          <w:rFonts w:hint="eastAsia" w:ascii="宋体" w:hAnsi="宋体"/>
          <w:b/>
          <w:color w:val="auto"/>
          <w:szCs w:val="21"/>
          <w:highlight w:val="none"/>
          <w:u w:val="single"/>
        </w:rPr>
        <w:t>应按2倍于发电量损失来赔偿</w:t>
      </w:r>
      <w:r>
        <w:rPr>
          <w:rFonts w:hint="eastAsia" w:ascii="宋体" w:hAnsi="宋体"/>
          <w:b/>
          <w:color w:val="auto"/>
          <w:szCs w:val="21"/>
          <w:highlight w:val="none"/>
          <w:u w:val="single"/>
          <w:lang w:eastAsia="zh-CN"/>
        </w:rPr>
        <w:t>发包人</w:t>
      </w:r>
      <w:r>
        <w:rPr>
          <w:rFonts w:hint="eastAsia" w:ascii="宋体" w:hAnsi="宋体"/>
          <w:b/>
          <w:color w:val="auto"/>
          <w:szCs w:val="21"/>
          <w:highlight w:val="none"/>
          <w:u w:val="single"/>
        </w:rPr>
        <w:t>，发电量损失=当地峰值电价*（η0/η1-1）*运行期实际发电量；</w:t>
      </w:r>
    </w:p>
    <w:p w14:paraId="65230708">
      <w:pPr>
        <w:keepNext w:val="0"/>
        <w:keepLines w:val="0"/>
        <w:pageBreakBefore w:val="0"/>
        <w:wordWrap/>
        <w:overflowPunct/>
        <w:topLinePunct w:val="0"/>
        <w:bidi w:val="0"/>
        <w:snapToGrid w:val="0"/>
        <w:spacing w:line="360" w:lineRule="auto"/>
        <w:ind w:left="0" w:leftChars="0" w:firstLine="422" w:firstLineChars="200"/>
        <w:textAlignment w:val="auto"/>
        <w:rPr>
          <w:rFonts w:hint="eastAsia" w:ascii="宋体" w:hAnsi="宋体"/>
          <w:b/>
          <w:color w:val="auto"/>
          <w:szCs w:val="21"/>
          <w:highlight w:val="none"/>
          <w:u w:val="single"/>
        </w:rPr>
      </w:pPr>
      <w:r>
        <w:rPr>
          <w:rFonts w:hint="eastAsia" w:ascii="宋体" w:hAnsi="宋体"/>
          <w:b/>
          <w:color w:val="auto"/>
          <w:szCs w:val="21"/>
          <w:highlight w:val="none"/>
          <w:u w:val="single"/>
        </w:rPr>
        <w:t>其中：</w:t>
      </w:r>
    </w:p>
    <w:p w14:paraId="075A271A">
      <w:pPr>
        <w:keepNext w:val="0"/>
        <w:keepLines w:val="0"/>
        <w:pageBreakBefore w:val="0"/>
        <w:wordWrap/>
        <w:overflowPunct/>
        <w:topLinePunct w:val="0"/>
        <w:bidi w:val="0"/>
        <w:snapToGrid w:val="0"/>
        <w:spacing w:line="360" w:lineRule="auto"/>
        <w:ind w:left="0" w:leftChars="0" w:firstLine="422" w:firstLineChars="200"/>
        <w:textAlignment w:val="auto"/>
        <w:rPr>
          <w:rFonts w:hint="eastAsia" w:ascii="宋体" w:hAnsi="宋体"/>
          <w:b/>
          <w:color w:val="auto"/>
          <w:szCs w:val="21"/>
          <w:highlight w:val="none"/>
          <w:u w:val="single"/>
        </w:rPr>
      </w:pPr>
      <w:r>
        <w:rPr>
          <w:rFonts w:hint="eastAsia" w:ascii="宋体" w:hAnsi="宋体"/>
          <w:b/>
          <w:color w:val="auto"/>
          <w:szCs w:val="21"/>
          <w:highlight w:val="none"/>
          <w:u w:val="single"/>
        </w:rPr>
        <w:t>η1为交流功率/直流功率曲线顶部平段部分的拟合值（有资质第三方单位现场进行效率检测，检测单位需得到双方认可，若监测不合格检测费用由</w:t>
      </w:r>
      <w:r>
        <w:rPr>
          <w:rFonts w:hint="eastAsia" w:ascii="宋体" w:hAnsi="宋体"/>
          <w:b/>
          <w:color w:val="auto"/>
          <w:szCs w:val="21"/>
          <w:highlight w:val="none"/>
          <w:u w:val="single"/>
          <w:lang w:eastAsia="zh-CN"/>
        </w:rPr>
        <w:t>承包人</w:t>
      </w:r>
      <w:r>
        <w:rPr>
          <w:rFonts w:hint="eastAsia" w:ascii="宋体" w:hAnsi="宋体"/>
          <w:b/>
          <w:color w:val="auto"/>
          <w:szCs w:val="21"/>
          <w:highlight w:val="none"/>
          <w:u w:val="single"/>
        </w:rPr>
        <w:t>承担，若监测合格，监测费用由</w:t>
      </w:r>
      <w:r>
        <w:rPr>
          <w:rFonts w:hint="eastAsia" w:ascii="宋体" w:hAnsi="宋体"/>
          <w:b/>
          <w:color w:val="auto"/>
          <w:szCs w:val="21"/>
          <w:highlight w:val="none"/>
          <w:u w:val="single"/>
          <w:lang w:val="en-US" w:eastAsia="zh-CN"/>
        </w:rPr>
        <w:t>发包人</w:t>
      </w:r>
      <w:r>
        <w:rPr>
          <w:rFonts w:hint="eastAsia" w:ascii="宋体" w:hAnsi="宋体"/>
          <w:b/>
          <w:color w:val="auto"/>
          <w:szCs w:val="21"/>
          <w:highlight w:val="none"/>
          <w:u w:val="single"/>
        </w:rPr>
        <w:t>承担）；</w:t>
      </w:r>
    </w:p>
    <w:p w14:paraId="2F7C8698">
      <w:pPr>
        <w:keepNext w:val="0"/>
        <w:keepLines w:val="0"/>
        <w:pageBreakBefore w:val="0"/>
        <w:wordWrap/>
        <w:overflowPunct/>
        <w:topLinePunct w:val="0"/>
        <w:bidi w:val="0"/>
        <w:snapToGrid w:val="0"/>
        <w:spacing w:line="360" w:lineRule="auto"/>
        <w:ind w:left="0" w:leftChars="0" w:firstLine="0" w:firstLineChars="0"/>
        <w:textAlignment w:val="auto"/>
        <w:rPr>
          <w:rFonts w:hint="eastAsia" w:ascii="宋体" w:hAnsi="宋体"/>
          <w:b/>
          <w:color w:val="auto"/>
          <w:szCs w:val="21"/>
          <w:highlight w:val="none"/>
          <w:u w:val="single"/>
        </w:rPr>
      </w:pPr>
      <w:r>
        <w:rPr>
          <w:rFonts w:hint="eastAsia" w:ascii="宋体" w:hAnsi="宋体"/>
          <w:b/>
          <w:color w:val="auto"/>
          <w:szCs w:val="21"/>
          <w:highlight w:val="none"/>
          <w:u w:val="single"/>
        </w:rPr>
        <w:t>η0为欧洲效率。</w:t>
      </w:r>
    </w:p>
    <w:p w14:paraId="7877B10B">
      <w:pPr>
        <w:keepNext w:val="0"/>
        <w:keepLines w:val="0"/>
        <w:pageBreakBefore w:val="0"/>
        <w:wordWrap/>
        <w:overflowPunct/>
        <w:topLinePunct w:val="0"/>
        <w:bidi w:val="0"/>
        <w:snapToGrid w:val="0"/>
        <w:spacing w:line="360" w:lineRule="auto"/>
        <w:ind w:left="0" w:leftChars="0" w:firstLine="422" w:firstLineChars="200"/>
        <w:textAlignment w:val="auto"/>
        <w:rPr>
          <w:rFonts w:hint="eastAsia" w:ascii="宋体" w:hAnsi="宋体"/>
          <w:b/>
          <w:color w:val="auto"/>
          <w:szCs w:val="21"/>
          <w:highlight w:val="none"/>
          <w:u w:val="single"/>
        </w:rPr>
      </w:pPr>
      <w:r>
        <w:rPr>
          <w:rFonts w:hint="eastAsia" w:ascii="宋体" w:hAnsi="宋体"/>
          <w:b/>
          <w:color w:val="auto"/>
          <w:szCs w:val="21"/>
          <w:highlight w:val="none"/>
          <w:u w:val="single"/>
        </w:rPr>
        <w:t>并且，该逆变器品牌1年内不得进入合格供应商范围。以上电量差额赔偿期自上次性能检测合格日起，不合格的，自发电计量日起。</w:t>
      </w:r>
    </w:p>
    <w:p w14:paraId="10A35765">
      <w:pPr>
        <w:keepNext w:val="0"/>
        <w:keepLines w:val="0"/>
        <w:pageBreakBefore w:val="0"/>
        <w:wordWrap/>
        <w:overflowPunct/>
        <w:topLinePunct w:val="0"/>
        <w:bidi w:val="0"/>
        <w:snapToGrid w:val="0"/>
        <w:spacing w:line="360" w:lineRule="auto"/>
        <w:ind w:left="0" w:leftChars="0" w:firstLine="422" w:firstLineChars="200"/>
        <w:textAlignment w:val="auto"/>
        <w:rPr>
          <w:rFonts w:ascii="宋体" w:hAnsi="宋体"/>
          <w:color w:val="auto"/>
          <w:szCs w:val="21"/>
          <w:highlight w:val="none"/>
        </w:rPr>
      </w:pPr>
      <w:r>
        <w:rPr>
          <w:rFonts w:hint="eastAsia" w:ascii="宋体" w:hAnsi="宋体"/>
          <w:b/>
          <w:color w:val="auto"/>
          <w:szCs w:val="21"/>
          <w:highlight w:val="none"/>
          <w:u w:val="single"/>
          <w:lang w:val="en-US" w:eastAsia="zh-CN"/>
        </w:rPr>
        <w:t>③</w:t>
      </w:r>
      <w:r>
        <w:rPr>
          <w:rFonts w:hint="eastAsia" w:ascii="宋体" w:hAnsi="宋体"/>
          <w:color w:val="auto"/>
          <w:szCs w:val="21"/>
          <w:highlight w:val="none"/>
        </w:rPr>
        <w:t>本条约定的违约金，</w:t>
      </w:r>
      <w:r>
        <w:rPr>
          <w:rFonts w:hint="eastAsia" w:ascii="宋体" w:hAnsi="宋体"/>
          <w:color w:val="auto"/>
          <w:szCs w:val="21"/>
          <w:highlight w:val="none"/>
          <w:u w:val="single"/>
        </w:rPr>
        <w:t>最高违约金金额不超过合同总价的</w:t>
      </w:r>
      <w:r>
        <w:rPr>
          <w:rFonts w:hint="eastAsia" w:ascii="宋体" w:hAnsi="宋体"/>
          <w:color w:val="auto"/>
          <w:szCs w:val="21"/>
          <w:highlight w:val="none"/>
          <w:u w:val="single"/>
          <w:lang w:val="en-US" w:eastAsia="zh-CN"/>
        </w:rPr>
        <w:t>10</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4B1B4AC5">
      <w:pPr>
        <w:keepNext w:val="0"/>
        <w:keepLines w:val="0"/>
        <w:pageBreakBefore w:val="0"/>
        <w:wordWrap/>
        <w:overflowPunct/>
        <w:topLinePunct w:val="0"/>
        <w:bidi w:val="0"/>
        <w:snapToGrid w:val="0"/>
        <w:spacing w:line="360" w:lineRule="auto"/>
        <w:ind w:left="0" w:leftChars="0" w:firstLine="0" w:firstLineChars="0"/>
        <w:textAlignment w:val="auto"/>
        <w:rPr>
          <w:rFonts w:ascii="宋体" w:hAnsi="宋体"/>
          <w:color w:val="auto"/>
          <w:szCs w:val="21"/>
          <w:highlight w:val="none"/>
        </w:rPr>
      </w:pPr>
      <w:r>
        <w:rPr>
          <w:rFonts w:hint="eastAsia" w:ascii="宋体" w:hAnsi="宋体"/>
          <w:color w:val="auto"/>
          <w:szCs w:val="21"/>
          <w:highlight w:val="none"/>
        </w:rPr>
        <w:t>10.</w:t>
      </w:r>
      <w:r>
        <w:rPr>
          <w:rFonts w:hint="eastAsia" w:ascii="宋体" w:hAnsi="宋体"/>
          <w:color w:val="auto"/>
          <w:szCs w:val="21"/>
          <w:highlight w:val="none"/>
          <w:lang w:val="en-US" w:eastAsia="zh-CN"/>
        </w:rPr>
        <w:t>5</w:t>
      </w:r>
      <w:r>
        <w:rPr>
          <w:rFonts w:hint="eastAsia" w:ascii="宋体" w:hAnsi="宋体"/>
          <w:color w:val="auto"/>
          <w:szCs w:val="21"/>
          <w:highlight w:val="none"/>
        </w:rPr>
        <w:t xml:space="preserve">   初步验收证书（PAC）</w:t>
      </w:r>
    </w:p>
    <w:p w14:paraId="369054B7">
      <w:pPr>
        <w:keepNext w:val="0"/>
        <w:keepLines w:val="0"/>
        <w:pageBreakBefore w:val="0"/>
        <w:wordWrap/>
        <w:overflowPunct/>
        <w:topLinePunct w:val="0"/>
        <w:bidi w:val="0"/>
        <w:spacing w:line="360" w:lineRule="auto"/>
        <w:ind w:left="0" w:leftChars="0" w:firstLine="0" w:firstLineChars="0"/>
        <w:textAlignment w:val="auto"/>
        <w:rPr>
          <w:color w:val="auto"/>
          <w:highlight w:val="none"/>
        </w:rPr>
      </w:pPr>
      <w:r>
        <w:rPr>
          <w:rFonts w:hint="eastAsia" w:asciiTheme="majorEastAsia" w:hAnsiTheme="majorEastAsia" w:eastAsiaTheme="majorEastAsia" w:cstheme="majorEastAsia"/>
          <w:color w:val="auto"/>
          <w:highlight w:val="none"/>
        </w:rPr>
        <w:t>10.</w:t>
      </w:r>
      <w:r>
        <w:rPr>
          <w:rFonts w:hint="eastAsia" w:asciiTheme="majorEastAsia" w:hAnsiTheme="majorEastAsia" w:eastAsiaTheme="majorEastAsia" w:cstheme="majorEastAsia"/>
          <w:color w:val="auto"/>
          <w:highlight w:val="none"/>
          <w:lang w:val="en-US" w:eastAsia="zh-CN"/>
        </w:rPr>
        <w:t>5</w:t>
      </w:r>
      <w:r>
        <w:rPr>
          <w:rFonts w:hint="eastAsia" w:asciiTheme="majorEastAsia" w:hAnsiTheme="majorEastAsia" w:eastAsiaTheme="majorEastAsia" w:cstheme="majorEastAsia"/>
          <w:color w:val="auto"/>
          <w:highlight w:val="none"/>
        </w:rPr>
        <w:t xml:space="preserve">.1 </w:t>
      </w:r>
      <w:r>
        <w:rPr>
          <w:rFonts w:hint="eastAsia"/>
          <w:color w:val="auto"/>
          <w:highlight w:val="none"/>
        </w:rPr>
        <w:t xml:space="preserve">  本合同按工程颁发初步验收证书</w:t>
      </w:r>
      <w:r>
        <w:rPr>
          <w:rFonts w:hint="eastAsia" w:ascii="宋体" w:hAnsi="宋体"/>
          <w:color w:val="auto"/>
          <w:szCs w:val="21"/>
          <w:highlight w:val="none"/>
        </w:rPr>
        <w:t>（PAC）</w:t>
      </w:r>
      <w:r>
        <w:rPr>
          <w:rFonts w:hint="eastAsia"/>
          <w:color w:val="auto"/>
          <w:highlight w:val="none"/>
        </w:rPr>
        <w:t>。</w:t>
      </w:r>
    </w:p>
    <w:p w14:paraId="28A59692">
      <w:pPr>
        <w:keepNext w:val="0"/>
        <w:keepLines w:val="0"/>
        <w:pageBreakBefore w:val="0"/>
        <w:wordWrap/>
        <w:overflowPunct/>
        <w:topLinePunct w:val="0"/>
        <w:bidi w:val="0"/>
        <w:snapToGrid w:val="0"/>
        <w:spacing w:line="360" w:lineRule="auto"/>
        <w:ind w:left="0" w:leftChars="0" w:firstLine="0" w:firstLineChars="0"/>
        <w:textAlignment w:val="auto"/>
        <w:outlineLvl w:val="2"/>
        <w:rPr>
          <w:rFonts w:ascii="宋体" w:hAnsi="宋体"/>
          <w:b/>
          <w:color w:val="auto"/>
          <w:szCs w:val="21"/>
          <w:highlight w:val="none"/>
        </w:rPr>
      </w:pPr>
      <w:bookmarkStart w:id="283" w:name="_Toc80633181"/>
      <w:bookmarkStart w:id="284" w:name="_Toc76720060"/>
      <w:r>
        <w:rPr>
          <w:rFonts w:hint="eastAsia" w:ascii="宋体" w:hAnsi="宋体"/>
          <w:b/>
          <w:color w:val="auto"/>
          <w:szCs w:val="21"/>
          <w:highlight w:val="none"/>
        </w:rPr>
        <w:t>第</w:t>
      </w:r>
      <w:r>
        <w:rPr>
          <w:rFonts w:ascii="宋体" w:hAnsi="宋体"/>
          <w:b/>
          <w:color w:val="auto"/>
          <w:szCs w:val="21"/>
          <w:highlight w:val="none"/>
        </w:rPr>
        <w:t>1</w:t>
      </w:r>
      <w:r>
        <w:rPr>
          <w:rFonts w:hint="eastAsia" w:ascii="宋体" w:hAnsi="宋体"/>
          <w:b/>
          <w:color w:val="auto"/>
          <w:szCs w:val="21"/>
          <w:highlight w:val="none"/>
        </w:rPr>
        <w:t xml:space="preserve">1条 </w:t>
      </w:r>
      <w:r>
        <w:rPr>
          <w:rFonts w:hint="eastAsia" w:ascii="宋体" w:hAnsi="宋体"/>
          <w:b/>
          <w:color w:val="auto"/>
          <w:szCs w:val="21"/>
          <w:highlight w:val="none"/>
        </w:rPr>
        <w:tab/>
      </w:r>
      <w:r>
        <w:rPr>
          <w:rFonts w:hint="eastAsia" w:ascii="宋体" w:hAnsi="宋体"/>
          <w:b/>
          <w:color w:val="auto"/>
          <w:szCs w:val="21"/>
          <w:highlight w:val="none"/>
        </w:rPr>
        <w:t>工程竣工验收</w:t>
      </w:r>
      <w:bookmarkEnd w:id="283"/>
      <w:bookmarkEnd w:id="284"/>
    </w:p>
    <w:p w14:paraId="3F1ABF02">
      <w:pPr>
        <w:keepNext w:val="0"/>
        <w:keepLines w:val="0"/>
        <w:pageBreakBefore w:val="0"/>
        <w:wordWrap/>
        <w:overflowPunct/>
        <w:topLinePunct w:val="0"/>
        <w:bidi w:val="0"/>
        <w:snapToGrid w:val="0"/>
        <w:spacing w:line="360" w:lineRule="auto"/>
        <w:ind w:left="0" w:leftChars="0" w:firstLine="0" w:firstLineChars="0"/>
        <w:textAlignment w:val="auto"/>
        <w:outlineLvl w:val="3"/>
        <w:rPr>
          <w:rFonts w:ascii="宋体" w:hAnsi="宋体"/>
          <w:color w:val="auto"/>
          <w:szCs w:val="21"/>
          <w:highlight w:val="none"/>
        </w:rPr>
      </w:pPr>
      <w:bookmarkStart w:id="285" w:name="_Toc76720061"/>
      <w:r>
        <w:rPr>
          <w:rFonts w:hint="eastAsia" w:ascii="宋体" w:hAnsi="宋体"/>
          <w:color w:val="auto"/>
          <w:szCs w:val="21"/>
          <w:highlight w:val="none"/>
        </w:rPr>
        <w:t>11.1   竣工资料及竣工验收报告</w:t>
      </w:r>
      <w:bookmarkEnd w:id="285"/>
    </w:p>
    <w:p w14:paraId="60913162">
      <w:pPr>
        <w:keepNext w:val="0"/>
        <w:keepLines w:val="0"/>
        <w:pageBreakBefore w:val="0"/>
        <w:wordWrap/>
        <w:overflowPunct/>
        <w:topLinePunct w:val="0"/>
        <w:bidi w:val="0"/>
        <w:spacing w:line="360" w:lineRule="auto"/>
        <w:ind w:left="0" w:leftChars="0" w:firstLine="0" w:firstLineChars="0"/>
        <w:textAlignment w:val="auto"/>
        <w:rPr>
          <w:color w:val="auto"/>
          <w:highlight w:val="none"/>
        </w:rPr>
      </w:pPr>
      <w:r>
        <w:rPr>
          <w:rFonts w:hint="eastAsia" w:ascii="宋体" w:hAnsi="宋体"/>
          <w:color w:val="auto"/>
          <w:szCs w:val="21"/>
          <w:highlight w:val="none"/>
        </w:rPr>
        <w:t xml:space="preserve">11.1.1 </w:t>
      </w:r>
      <w:r>
        <w:rPr>
          <w:rFonts w:hint="eastAsia"/>
          <w:color w:val="auto"/>
          <w:highlight w:val="none"/>
        </w:rPr>
        <w:t>竣工资料和竣工验收报告</w:t>
      </w:r>
    </w:p>
    <w:p w14:paraId="68FB77A4">
      <w:pPr>
        <w:keepNext w:val="0"/>
        <w:keepLines w:val="0"/>
        <w:pageBreakBefore w:val="0"/>
        <w:wordWrap/>
        <w:overflowPunct/>
        <w:topLinePunct w:val="0"/>
        <w:bidi w:val="0"/>
        <w:snapToGrid w:val="0"/>
        <w:spacing w:line="360" w:lineRule="auto"/>
        <w:ind w:left="0" w:leftChars="0" w:firstLine="0" w:firstLineChars="0"/>
        <w:textAlignment w:val="auto"/>
        <w:rPr>
          <w:rFonts w:ascii="宋体" w:hAnsi="宋体"/>
          <w:color w:val="auto"/>
          <w:szCs w:val="21"/>
          <w:highlight w:val="none"/>
        </w:rPr>
      </w:pPr>
      <w:r>
        <w:rPr>
          <w:rFonts w:hint="eastAsia" w:ascii="宋体" w:hAnsi="宋体"/>
          <w:color w:val="auto"/>
          <w:szCs w:val="21"/>
          <w:highlight w:val="none"/>
        </w:rPr>
        <w:t>竣工验收报告的格式、份数和提交时间：</w:t>
      </w:r>
      <w:r>
        <w:rPr>
          <w:rFonts w:hint="eastAsia" w:ascii="宋体" w:hAnsi="宋体"/>
          <w:color w:val="auto"/>
          <w:szCs w:val="21"/>
          <w:highlight w:val="none"/>
          <w:u w:val="single"/>
        </w:rPr>
        <w:t>格式及份数按照行业相关规定和发包人的要求确定，竣工试验后7天内  ；</w:t>
      </w:r>
    </w:p>
    <w:p w14:paraId="2A01C7F5">
      <w:pPr>
        <w:keepNext w:val="0"/>
        <w:keepLines w:val="0"/>
        <w:pageBreakBefore w:val="0"/>
        <w:wordWrap/>
        <w:overflowPunct/>
        <w:topLinePunct w:val="0"/>
        <w:bidi w:val="0"/>
        <w:snapToGrid w:val="0"/>
        <w:spacing w:line="360" w:lineRule="auto"/>
        <w:ind w:left="0" w:leftChars="0" w:firstLine="0" w:firstLineChars="0"/>
        <w:textAlignment w:val="auto"/>
        <w:rPr>
          <w:rFonts w:ascii="宋体" w:hAnsi="宋体"/>
          <w:color w:val="auto"/>
          <w:szCs w:val="21"/>
          <w:highlight w:val="none"/>
        </w:rPr>
      </w:pPr>
      <w:r>
        <w:rPr>
          <w:rFonts w:hint="eastAsia" w:ascii="宋体" w:hAnsi="宋体"/>
          <w:color w:val="auto"/>
          <w:szCs w:val="21"/>
          <w:highlight w:val="none"/>
        </w:rPr>
        <w:t>完整竣工资料的格式、份数和提交时间：</w:t>
      </w:r>
      <w:r>
        <w:rPr>
          <w:rFonts w:hint="eastAsia" w:ascii="宋体" w:hAnsi="宋体"/>
          <w:color w:val="auto"/>
          <w:szCs w:val="21"/>
          <w:highlight w:val="none"/>
          <w:u w:val="single"/>
        </w:rPr>
        <w:t>格式及份数按照行业相关规定和发包人的要求确定，完成扫尾工程及缺陷修复后7天内  ；</w:t>
      </w:r>
    </w:p>
    <w:p w14:paraId="7D57BBAC">
      <w:pPr>
        <w:keepNext w:val="0"/>
        <w:keepLines w:val="0"/>
        <w:pageBreakBefore w:val="0"/>
        <w:wordWrap/>
        <w:overflowPunct/>
        <w:topLinePunct w:val="0"/>
        <w:bidi w:val="0"/>
        <w:snapToGrid w:val="0"/>
        <w:spacing w:line="360" w:lineRule="auto"/>
        <w:ind w:left="0" w:leftChars="0" w:firstLine="0" w:firstLineChars="0"/>
        <w:textAlignment w:val="auto"/>
        <w:outlineLvl w:val="2"/>
        <w:rPr>
          <w:rFonts w:ascii="宋体" w:hAnsi="宋体"/>
          <w:b/>
          <w:color w:val="auto"/>
          <w:szCs w:val="21"/>
          <w:highlight w:val="none"/>
        </w:rPr>
      </w:pPr>
      <w:bookmarkStart w:id="286" w:name="_Toc76720062"/>
      <w:bookmarkStart w:id="287" w:name="_Toc80633182"/>
      <w:r>
        <w:rPr>
          <w:rFonts w:ascii="宋体" w:hAnsi="宋体"/>
          <w:b/>
          <w:color w:val="auto"/>
          <w:szCs w:val="21"/>
          <w:highlight w:val="none"/>
        </w:rPr>
        <w:t>第1</w:t>
      </w:r>
      <w:r>
        <w:rPr>
          <w:rFonts w:hint="eastAsia" w:ascii="宋体" w:hAnsi="宋体"/>
          <w:b/>
          <w:color w:val="auto"/>
          <w:szCs w:val="21"/>
          <w:highlight w:val="none"/>
        </w:rPr>
        <w:t>2</w:t>
      </w:r>
      <w:r>
        <w:rPr>
          <w:rFonts w:ascii="宋体" w:hAnsi="宋体"/>
          <w:b/>
          <w:color w:val="auto"/>
          <w:szCs w:val="21"/>
          <w:highlight w:val="none"/>
        </w:rPr>
        <w:t>条</w:t>
      </w:r>
      <w:r>
        <w:rPr>
          <w:rFonts w:hint="eastAsia" w:ascii="宋体" w:hAnsi="宋体"/>
          <w:b/>
          <w:color w:val="auto"/>
          <w:szCs w:val="21"/>
          <w:highlight w:val="none"/>
        </w:rPr>
        <w:tab/>
      </w:r>
      <w:r>
        <w:rPr>
          <w:rFonts w:ascii="宋体" w:hAnsi="宋体"/>
          <w:b/>
          <w:color w:val="auto"/>
          <w:szCs w:val="21"/>
          <w:highlight w:val="none"/>
        </w:rPr>
        <w:t>质量保修责任</w:t>
      </w:r>
      <w:bookmarkEnd w:id="282"/>
      <w:bookmarkEnd w:id="286"/>
      <w:bookmarkEnd w:id="287"/>
    </w:p>
    <w:p w14:paraId="29906FBA">
      <w:pPr>
        <w:keepNext w:val="0"/>
        <w:keepLines w:val="0"/>
        <w:pageBreakBefore w:val="0"/>
        <w:wordWrap/>
        <w:overflowPunct/>
        <w:topLinePunct w:val="0"/>
        <w:bidi w:val="0"/>
        <w:snapToGrid w:val="0"/>
        <w:spacing w:line="360" w:lineRule="auto"/>
        <w:ind w:left="0" w:leftChars="0" w:firstLine="0" w:firstLineChars="0"/>
        <w:textAlignment w:val="auto"/>
        <w:outlineLvl w:val="3"/>
        <w:rPr>
          <w:rFonts w:ascii="宋体" w:hAnsi="宋体"/>
          <w:color w:val="auto"/>
          <w:szCs w:val="21"/>
          <w:highlight w:val="none"/>
        </w:rPr>
      </w:pPr>
      <w:bookmarkStart w:id="288" w:name="_Toc76720063"/>
      <w:r>
        <w:rPr>
          <w:rFonts w:hint="eastAsia" w:ascii="宋体" w:hAnsi="宋体"/>
          <w:color w:val="auto"/>
          <w:szCs w:val="21"/>
          <w:highlight w:val="none"/>
        </w:rPr>
        <w:t>12.</w:t>
      </w:r>
      <w:r>
        <w:rPr>
          <w:rFonts w:hint="eastAsia" w:ascii="宋体" w:hAnsi="宋体"/>
          <w:color w:val="auto"/>
          <w:szCs w:val="21"/>
          <w:highlight w:val="none"/>
          <w:lang w:val="en-US" w:eastAsia="zh-CN"/>
        </w:rPr>
        <w:t>1</w:t>
      </w:r>
      <w:r>
        <w:rPr>
          <w:rFonts w:hint="eastAsia" w:ascii="宋体" w:hAnsi="宋体"/>
          <w:color w:val="auto"/>
          <w:szCs w:val="21"/>
          <w:highlight w:val="none"/>
        </w:rPr>
        <w:t xml:space="preserve">   质量保修金额</w:t>
      </w:r>
      <w:bookmarkEnd w:id="288"/>
    </w:p>
    <w:p w14:paraId="474C0F23">
      <w:pPr>
        <w:keepNext w:val="0"/>
        <w:keepLines w:val="0"/>
        <w:pageBreakBefore w:val="0"/>
        <w:wordWrap/>
        <w:overflowPunct/>
        <w:topLinePunct w:val="0"/>
        <w:bidi w:val="0"/>
        <w:spacing w:line="360" w:lineRule="auto"/>
        <w:ind w:left="0" w:leftChars="0" w:firstLine="0" w:firstLineChars="0"/>
        <w:textAlignment w:val="auto"/>
        <w:rPr>
          <w:color w:val="auto"/>
          <w:highlight w:val="none"/>
        </w:rPr>
      </w:pPr>
      <w:r>
        <w:rPr>
          <w:rFonts w:hint="eastAsia" w:ascii="宋体" w:hAnsi="宋体"/>
          <w:color w:val="auto"/>
          <w:szCs w:val="21"/>
          <w:highlight w:val="none"/>
        </w:rPr>
        <w:t>12.</w:t>
      </w:r>
      <w:r>
        <w:rPr>
          <w:rFonts w:hint="eastAsia" w:ascii="宋体" w:hAnsi="宋体"/>
          <w:color w:val="auto"/>
          <w:szCs w:val="21"/>
          <w:highlight w:val="none"/>
          <w:lang w:val="en-US" w:eastAsia="zh-CN"/>
        </w:rPr>
        <w:t>1</w:t>
      </w:r>
      <w:r>
        <w:rPr>
          <w:rFonts w:hint="eastAsia" w:ascii="宋体" w:hAnsi="宋体"/>
          <w:color w:val="auto"/>
          <w:szCs w:val="21"/>
          <w:highlight w:val="none"/>
        </w:rPr>
        <w:t xml:space="preserve">.1 </w:t>
      </w:r>
      <w:r>
        <w:rPr>
          <w:rFonts w:hint="eastAsia"/>
          <w:color w:val="auto"/>
          <w:highlight w:val="none"/>
        </w:rPr>
        <w:t>质量保修金额</w:t>
      </w:r>
    </w:p>
    <w:p w14:paraId="4CD3A209">
      <w:pPr>
        <w:keepNext w:val="0"/>
        <w:keepLines w:val="0"/>
        <w:pageBreakBefore w:val="0"/>
        <w:wordWrap/>
        <w:overflowPunct/>
        <w:topLinePunct w:val="0"/>
        <w:bidi w:val="0"/>
        <w:snapToGrid w:val="0"/>
        <w:spacing w:line="360" w:lineRule="auto"/>
        <w:ind w:left="0" w:leftChars="0" w:firstLine="0" w:firstLineChars="0"/>
        <w:textAlignment w:val="auto"/>
        <w:rPr>
          <w:rFonts w:ascii="宋体" w:hAnsi="宋体"/>
          <w:color w:val="auto"/>
          <w:szCs w:val="21"/>
          <w:highlight w:val="none"/>
        </w:rPr>
      </w:pPr>
      <w:r>
        <w:rPr>
          <w:rFonts w:hint="eastAsia" w:ascii="宋体" w:hAnsi="宋体"/>
          <w:color w:val="auto"/>
          <w:szCs w:val="21"/>
          <w:highlight w:val="none"/>
          <w:lang w:val="en-US" w:eastAsia="zh-CN"/>
        </w:rPr>
        <w:t>1、</w:t>
      </w:r>
      <w:r>
        <w:rPr>
          <w:rFonts w:hint="eastAsia" w:ascii="宋体" w:hAnsi="宋体"/>
          <w:color w:val="auto"/>
          <w:szCs w:val="21"/>
          <w:highlight w:val="none"/>
        </w:rPr>
        <w:t>质量保修金额为竣工结算价的：3%。</w:t>
      </w:r>
    </w:p>
    <w:p w14:paraId="560A5F4B">
      <w:pPr>
        <w:keepNext w:val="0"/>
        <w:keepLines w:val="0"/>
        <w:pageBreakBefore w:val="0"/>
        <w:wordWrap/>
        <w:overflowPunct/>
        <w:topLinePunct w:val="0"/>
        <w:bidi w:val="0"/>
        <w:snapToGrid w:val="0"/>
        <w:spacing w:line="360" w:lineRule="auto"/>
        <w:ind w:left="0" w:leftChars="0" w:firstLine="0" w:firstLineChars="0"/>
        <w:textAlignment w:val="auto"/>
        <w:rPr>
          <w:rFonts w:ascii="宋体" w:hAnsi="宋体"/>
          <w:color w:val="auto"/>
          <w:szCs w:val="21"/>
          <w:highlight w:val="none"/>
          <w:u w:val="single"/>
        </w:rPr>
      </w:pPr>
      <w:r>
        <w:rPr>
          <w:rFonts w:hint="eastAsia" w:ascii="宋体" w:hAnsi="宋体"/>
          <w:color w:val="auto"/>
          <w:szCs w:val="21"/>
          <w:highlight w:val="none"/>
          <w:lang w:val="en-US" w:eastAsia="zh-CN"/>
        </w:rPr>
        <w:t>2、</w:t>
      </w:r>
      <w:r>
        <w:rPr>
          <w:rFonts w:hint="eastAsia" w:ascii="宋体" w:hAnsi="宋体"/>
          <w:color w:val="auto"/>
          <w:szCs w:val="21"/>
          <w:highlight w:val="none"/>
        </w:rPr>
        <w:t>质量保修金额的暂扣方式：</w:t>
      </w:r>
      <w:r>
        <w:rPr>
          <w:rFonts w:hint="eastAsia" w:ascii="宋体" w:hAnsi="宋体"/>
          <w:color w:val="auto"/>
          <w:szCs w:val="21"/>
          <w:highlight w:val="none"/>
          <w:u w:val="single"/>
        </w:rPr>
        <w:t>发包人付款至合同</w:t>
      </w:r>
      <w:r>
        <w:rPr>
          <w:rFonts w:hint="eastAsia" w:ascii="宋体" w:hAnsi="宋体"/>
          <w:color w:val="auto"/>
          <w:szCs w:val="21"/>
          <w:highlight w:val="none"/>
          <w:u w:val="single"/>
          <w:lang w:eastAsia="zh-CN"/>
        </w:rPr>
        <w:t>竣工</w:t>
      </w:r>
      <w:r>
        <w:rPr>
          <w:rFonts w:hint="eastAsia" w:ascii="宋体" w:hAnsi="宋体"/>
          <w:color w:val="auto"/>
          <w:szCs w:val="21"/>
          <w:highlight w:val="none"/>
          <w:u w:val="single"/>
        </w:rPr>
        <w:t>结算价款的97%时停止支付，其余部分作为质量保修金；</w:t>
      </w:r>
    </w:p>
    <w:p w14:paraId="546036DD">
      <w:pPr>
        <w:keepNext w:val="0"/>
        <w:keepLines w:val="0"/>
        <w:pageBreakBefore w:val="0"/>
        <w:wordWrap/>
        <w:overflowPunct/>
        <w:topLinePunct w:val="0"/>
        <w:bidi w:val="0"/>
        <w:snapToGrid w:val="0"/>
        <w:spacing w:line="360" w:lineRule="auto"/>
        <w:ind w:left="0" w:leftChars="0" w:firstLine="0" w:firstLineChars="0"/>
        <w:textAlignment w:val="auto"/>
        <w:rPr>
          <w:rFonts w:ascii="宋体" w:hAnsi="宋体"/>
          <w:color w:val="auto"/>
          <w:szCs w:val="21"/>
          <w:highlight w:val="none"/>
        </w:rPr>
      </w:pPr>
      <w:r>
        <w:rPr>
          <w:rFonts w:hint="eastAsia" w:ascii="宋体" w:hAnsi="宋体"/>
          <w:color w:val="auto"/>
          <w:szCs w:val="21"/>
          <w:highlight w:val="none"/>
          <w:lang w:val="en-US" w:eastAsia="zh-CN"/>
        </w:rPr>
        <w:t>3、</w:t>
      </w:r>
      <w:r>
        <w:rPr>
          <w:rFonts w:hint="eastAsia" w:ascii="宋体" w:hAnsi="宋体"/>
          <w:color w:val="auto"/>
          <w:szCs w:val="21"/>
          <w:highlight w:val="none"/>
        </w:rPr>
        <w:t>质量保修金额的支付方式：</w:t>
      </w:r>
    </w:p>
    <w:p w14:paraId="7A23CE89">
      <w:pPr>
        <w:keepNext w:val="0"/>
        <w:keepLines w:val="0"/>
        <w:pageBreakBefore w:val="0"/>
        <w:wordWrap/>
        <w:overflowPunct/>
        <w:topLinePunct w:val="0"/>
        <w:bidi w:val="0"/>
        <w:snapToGrid w:val="0"/>
        <w:spacing w:line="360" w:lineRule="auto"/>
        <w:ind w:left="0" w:leftChars="0" w:firstLine="0" w:firstLineChars="0"/>
        <w:textAlignment w:val="auto"/>
        <w:rPr>
          <w:rFonts w:ascii="宋体" w:hAnsi="宋体"/>
          <w:color w:val="auto"/>
          <w:szCs w:val="21"/>
          <w:highlight w:val="none"/>
          <w:u w:val="single"/>
        </w:rPr>
      </w:pPr>
      <w:r>
        <w:rPr>
          <w:rFonts w:hint="eastAsia" w:ascii="宋体" w:hAnsi="宋体"/>
          <w:color w:val="auto"/>
          <w:szCs w:val="21"/>
          <w:highlight w:val="none"/>
          <w:u w:val="single"/>
        </w:rPr>
        <w:t>竣工结算价的3%作为质保金，</w:t>
      </w:r>
      <w:r>
        <w:rPr>
          <w:rFonts w:hint="eastAsia" w:ascii="宋体" w:hAnsi="宋体"/>
          <w:color w:val="auto"/>
          <w:szCs w:val="21"/>
          <w:highlight w:val="none"/>
        </w:rPr>
        <w:t>在本项目</w:t>
      </w:r>
      <w:r>
        <w:rPr>
          <w:rFonts w:hint="eastAsia" w:ascii="宋体" w:hAnsi="宋体"/>
          <w:color w:val="auto"/>
          <w:szCs w:val="21"/>
          <w:highlight w:val="none"/>
          <w:lang w:eastAsia="zh-CN"/>
        </w:rPr>
        <w:t>缺陷责任期（</w:t>
      </w:r>
      <w:r>
        <w:rPr>
          <w:rFonts w:hint="eastAsia" w:ascii="宋体" w:hAnsi="宋体"/>
          <w:color w:val="auto"/>
          <w:szCs w:val="21"/>
          <w:highlight w:val="none"/>
        </w:rPr>
        <w:t>包括延长期</w:t>
      </w:r>
      <w:r>
        <w:rPr>
          <w:rFonts w:hint="eastAsia" w:ascii="宋体" w:hAnsi="宋体"/>
          <w:color w:val="auto"/>
          <w:szCs w:val="21"/>
          <w:highlight w:val="none"/>
          <w:lang w:eastAsia="zh-CN"/>
        </w:rPr>
        <w:t>）届</w:t>
      </w:r>
      <w:r>
        <w:rPr>
          <w:rFonts w:hint="eastAsia" w:ascii="宋体" w:hAnsi="宋体"/>
          <w:color w:val="auto"/>
          <w:szCs w:val="21"/>
          <w:highlight w:val="none"/>
        </w:rPr>
        <w:t>期满后且发包人在收到承包人提供的相应金额的合法有效增值税专用发票后20个工作日内不计息返还。</w:t>
      </w:r>
    </w:p>
    <w:p w14:paraId="045912E8">
      <w:pPr>
        <w:keepNext w:val="0"/>
        <w:keepLines w:val="0"/>
        <w:pageBreakBefore w:val="0"/>
        <w:wordWrap/>
        <w:overflowPunct/>
        <w:topLinePunct w:val="0"/>
        <w:bidi w:val="0"/>
        <w:snapToGrid w:val="0"/>
        <w:spacing w:line="360" w:lineRule="auto"/>
        <w:ind w:left="0" w:leftChars="0" w:firstLine="0" w:firstLineChars="0"/>
        <w:textAlignment w:val="auto"/>
        <w:outlineLvl w:val="2"/>
        <w:rPr>
          <w:rFonts w:ascii="宋体" w:hAnsi="宋体"/>
          <w:b/>
          <w:color w:val="auto"/>
          <w:szCs w:val="21"/>
          <w:highlight w:val="none"/>
        </w:rPr>
      </w:pPr>
      <w:bookmarkStart w:id="289" w:name="_Toc363719027"/>
      <w:bookmarkStart w:id="290" w:name="_Toc80633183"/>
      <w:bookmarkStart w:id="291" w:name="_Toc76720064"/>
      <w:r>
        <w:rPr>
          <w:rFonts w:hint="eastAsia" w:ascii="宋体" w:hAnsi="宋体"/>
          <w:b/>
          <w:color w:val="auto"/>
          <w:szCs w:val="21"/>
          <w:highlight w:val="none"/>
        </w:rPr>
        <w:t>第</w:t>
      </w:r>
      <w:r>
        <w:rPr>
          <w:rFonts w:ascii="宋体" w:hAnsi="宋体"/>
          <w:b/>
          <w:color w:val="auto"/>
          <w:szCs w:val="21"/>
          <w:highlight w:val="none"/>
        </w:rPr>
        <w:t>1</w:t>
      </w:r>
      <w:r>
        <w:rPr>
          <w:rFonts w:hint="eastAsia" w:ascii="宋体" w:hAnsi="宋体"/>
          <w:b/>
          <w:color w:val="auto"/>
          <w:szCs w:val="21"/>
          <w:highlight w:val="none"/>
        </w:rPr>
        <w:t>3条 合同总价和付款</w:t>
      </w:r>
      <w:bookmarkEnd w:id="289"/>
      <w:bookmarkEnd w:id="290"/>
      <w:bookmarkEnd w:id="291"/>
    </w:p>
    <w:p w14:paraId="74904904">
      <w:pPr>
        <w:keepNext w:val="0"/>
        <w:keepLines w:val="0"/>
        <w:pageBreakBefore w:val="0"/>
        <w:wordWrap/>
        <w:overflowPunct/>
        <w:topLinePunct w:val="0"/>
        <w:bidi w:val="0"/>
        <w:snapToGrid w:val="0"/>
        <w:spacing w:line="360" w:lineRule="auto"/>
        <w:ind w:left="0" w:leftChars="0" w:firstLine="0" w:firstLineChars="0"/>
        <w:textAlignment w:val="auto"/>
        <w:outlineLvl w:val="3"/>
        <w:rPr>
          <w:rFonts w:ascii="宋体" w:hAnsi="宋体"/>
          <w:color w:val="auto"/>
          <w:szCs w:val="21"/>
          <w:highlight w:val="none"/>
        </w:rPr>
      </w:pPr>
      <w:bookmarkStart w:id="292" w:name="_Toc76720065"/>
      <w:r>
        <w:rPr>
          <w:rFonts w:hint="eastAsia" w:ascii="宋体" w:hAnsi="宋体"/>
          <w:color w:val="auto"/>
          <w:szCs w:val="21"/>
          <w:highlight w:val="none"/>
        </w:rPr>
        <w:t>13.1 付款</w:t>
      </w:r>
      <w:bookmarkEnd w:id="292"/>
    </w:p>
    <w:p w14:paraId="20DA8496">
      <w:pPr>
        <w:keepNext w:val="0"/>
        <w:keepLines w:val="0"/>
        <w:pageBreakBefore w:val="0"/>
        <w:wordWrap/>
        <w:overflowPunct/>
        <w:topLinePunct w:val="0"/>
        <w:bidi w:val="0"/>
        <w:spacing w:line="360" w:lineRule="auto"/>
        <w:ind w:left="0" w:leftChars="0" w:firstLine="0" w:firstLineChars="0"/>
        <w:textAlignment w:val="auto"/>
        <w:rPr>
          <w:rFonts w:ascii="宋体" w:hAnsi="宋体"/>
          <w:b/>
          <w:color w:val="auto"/>
          <w:highlight w:val="none"/>
        </w:rPr>
      </w:pPr>
      <w:r>
        <w:rPr>
          <w:rFonts w:hint="eastAsia" w:ascii="宋体" w:hAnsi="宋体"/>
          <w:b/>
          <w:color w:val="auto"/>
          <w:highlight w:val="none"/>
        </w:rPr>
        <w:t>价款结算条件说明：</w:t>
      </w:r>
    </w:p>
    <w:p w14:paraId="3F956BC5">
      <w:pPr>
        <w:keepNext w:val="0"/>
        <w:keepLines w:val="0"/>
        <w:pageBreakBefore w:val="0"/>
        <w:wordWrap/>
        <w:overflowPunct/>
        <w:topLinePunct w:val="0"/>
        <w:bidi w:val="0"/>
        <w:spacing w:line="360" w:lineRule="auto"/>
        <w:ind w:left="0" w:leftChars="0" w:firstLine="0" w:firstLineChars="0"/>
        <w:textAlignment w:val="auto"/>
        <w:rPr>
          <w:rFonts w:hint="eastAsia" w:ascii="宋体" w:hAnsi="宋体"/>
          <w:color w:val="auto"/>
          <w:highlight w:val="none"/>
        </w:rPr>
      </w:pPr>
      <w:r>
        <w:rPr>
          <w:rFonts w:hint="eastAsia" w:ascii="宋体" w:hAnsi="宋体"/>
          <w:color w:val="auto"/>
          <w:highlight w:val="none"/>
        </w:rPr>
        <w:t>1、本项目所有款项支付或结算均按照“价款结算条件”要求逐项支付。</w:t>
      </w:r>
    </w:p>
    <w:p w14:paraId="77BEB44F">
      <w:pPr>
        <w:snapToGrid w:val="0"/>
        <w:spacing w:line="360" w:lineRule="auto"/>
        <w:ind w:firstLine="0" w:firstLineChars="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2、结算价</w:t>
      </w:r>
    </w:p>
    <w:p w14:paraId="01B652B2">
      <w:pPr>
        <w:snapToGrid w:val="0"/>
        <w:spacing w:line="360" w:lineRule="auto"/>
        <w:ind w:firstLine="420" w:firstLineChars="200"/>
        <w:rPr>
          <w:rFonts w:hint="eastAsia" w:ascii="宋体" w:hAnsi="宋体"/>
          <w:color w:val="auto"/>
          <w:szCs w:val="21"/>
          <w:highlight w:val="none"/>
          <w:lang w:val="en-US" w:eastAsia="zh-CN"/>
        </w:rPr>
      </w:pPr>
      <w:r>
        <w:rPr>
          <w:rFonts w:hint="eastAsia" w:ascii="宋体" w:hAnsi="宋体"/>
          <w:color w:val="auto"/>
          <w:szCs w:val="21"/>
          <w:highlight w:val="none"/>
        </w:rPr>
        <w:t>本项目</w:t>
      </w:r>
      <w:r>
        <w:rPr>
          <w:rFonts w:hint="eastAsia" w:ascii="宋体" w:hAnsi="宋体"/>
          <w:color w:val="auto"/>
          <w:szCs w:val="21"/>
          <w:highlight w:val="none"/>
          <w:lang w:val="en-US" w:eastAsia="zh-CN"/>
        </w:rPr>
        <w:t>结算价</w:t>
      </w:r>
      <w:r>
        <w:rPr>
          <w:rFonts w:hint="eastAsia" w:ascii="宋体" w:hAnsi="宋体"/>
          <w:color w:val="auto"/>
          <w:szCs w:val="21"/>
          <w:highlight w:val="none"/>
        </w:rPr>
        <w:t>根据实际装机容量进行结算</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结算计算公式如下：</w:t>
      </w:r>
    </w:p>
    <w:p w14:paraId="5AB18A78">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lang w:val="en-US" w:eastAsia="zh-CN"/>
        </w:rPr>
        <w:t>结算价=光伏组件实际</w:t>
      </w:r>
      <w:r>
        <w:rPr>
          <w:rFonts w:hint="eastAsia" w:ascii="宋体" w:hAnsi="宋体"/>
          <w:color w:val="auto"/>
          <w:szCs w:val="21"/>
          <w:highlight w:val="none"/>
        </w:rPr>
        <w:t>装机容量×</w:t>
      </w:r>
      <w:r>
        <w:rPr>
          <w:rFonts w:hint="eastAsia" w:ascii="宋体" w:hAnsi="宋体"/>
          <w:color w:val="auto"/>
          <w:szCs w:val="21"/>
          <w:highlight w:val="none"/>
          <w:lang w:val="en-US" w:eastAsia="zh-CN"/>
        </w:rPr>
        <w:t>中标</w:t>
      </w:r>
      <w:r>
        <w:rPr>
          <w:rFonts w:hint="eastAsia" w:ascii="宋体" w:hAnsi="宋体"/>
          <w:color w:val="auto"/>
          <w:szCs w:val="21"/>
          <w:highlight w:val="none"/>
        </w:rPr>
        <w:t>每瓦综合单价</w:t>
      </w:r>
    </w:p>
    <w:p w14:paraId="2C02A721">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lang w:val="en-US" w:eastAsia="zh-CN"/>
        </w:rPr>
        <w:t>最终结算价不得超过招标控制总价。</w:t>
      </w:r>
    </w:p>
    <w:p w14:paraId="1F6A3427">
      <w:pPr>
        <w:snapToGrid w:val="0"/>
        <w:spacing w:line="360" w:lineRule="auto"/>
        <w:ind w:firstLine="420" w:firstLineChars="200"/>
        <w:rPr>
          <w:color w:val="auto"/>
          <w:highlight w:val="none"/>
        </w:rPr>
      </w:pPr>
      <w:r>
        <w:rPr>
          <w:rFonts w:hint="eastAsia" w:ascii="宋体" w:hAnsi="宋体"/>
          <w:color w:val="auto"/>
          <w:szCs w:val="21"/>
          <w:highlight w:val="none"/>
        </w:rPr>
        <w:t>注：本项目的</w:t>
      </w:r>
      <w:r>
        <w:rPr>
          <w:rFonts w:hint="eastAsia" w:ascii="宋体" w:hAnsi="宋体"/>
          <w:color w:val="auto"/>
          <w:szCs w:val="21"/>
          <w:highlight w:val="none"/>
          <w:lang w:val="en-US" w:eastAsia="zh-CN"/>
        </w:rPr>
        <w:t>结算价已</w:t>
      </w:r>
      <w:r>
        <w:rPr>
          <w:rFonts w:hint="eastAsia" w:ascii="宋体" w:hAnsi="宋体"/>
          <w:color w:val="auto"/>
          <w:szCs w:val="21"/>
          <w:highlight w:val="none"/>
        </w:rPr>
        <w:t>包括但不限于建安工程费、施工图设计费、工程保险费、生产准备费、结构校核费</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储能项目费、路灯改造费</w:t>
      </w:r>
      <w:r>
        <w:rPr>
          <w:rFonts w:hint="eastAsia" w:ascii="宋体" w:hAnsi="宋体"/>
          <w:color w:val="auto"/>
          <w:szCs w:val="21"/>
          <w:highlight w:val="none"/>
        </w:rPr>
        <w:t>以及其他各种因素的直接费、间接费、利润、税金、保险等一切因对本项目的设计施工实施而产生的应预见和不可预见的全部费用及企业利润。</w:t>
      </w:r>
    </w:p>
    <w:p w14:paraId="4DB56A04">
      <w:pPr>
        <w:pStyle w:val="2"/>
        <w:ind w:firstLine="0" w:firstLineChars="0"/>
        <w:rPr>
          <w:color w:val="auto"/>
          <w:highlight w:val="none"/>
        </w:rPr>
      </w:pPr>
    </w:p>
    <w:p w14:paraId="29B3A0B0">
      <w:pPr>
        <w:keepNext w:val="0"/>
        <w:keepLines w:val="0"/>
        <w:pageBreakBefore w:val="0"/>
        <w:wordWrap/>
        <w:overflowPunct/>
        <w:topLinePunct w:val="0"/>
        <w:bidi w:val="0"/>
        <w:spacing w:line="360" w:lineRule="auto"/>
        <w:ind w:left="0" w:leftChars="0" w:firstLine="0" w:firstLineChars="0"/>
        <w:textAlignment w:val="auto"/>
        <w:rPr>
          <w:rFonts w:hAnsi="宋体"/>
          <w:b/>
          <w:color w:val="auto"/>
          <w:highlight w:val="none"/>
        </w:rPr>
      </w:pPr>
      <w:r>
        <w:rPr>
          <w:rFonts w:hint="eastAsia" w:ascii="宋体" w:hAnsi="宋体"/>
          <w:color w:val="auto"/>
          <w:highlight w:val="none"/>
          <w:lang w:val="en-US" w:eastAsia="zh-CN"/>
        </w:rPr>
        <w:t>3</w:t>
      </w:r>
      <w:r>
        <w:rPr>
          <w:rFonts w:hint="eastAsia" w:ascii="宋体" w:hAnsi="宋体"/>
          <w:color w:val="auto"/>
          <w:highlight w:val="none"/>
        </w:rPr>
        <w:t>、工程价款结算方式及要求：</w:t>
      </w:r>
    </w:p>
    <w:p w14:paraId="386CB6C0">
      <w:pPr>
        <w:keepNext w:val="0"/>
        <w:keepLines w:val="0"/>
        <w:pageBreakBefore w:val="0"/>
        <w:wordWrap/>
        <w:overflowPunct/>
        <w:topLinePunct w:val="0"/>
        <w:bidi w:val="0"/>
        <w:spacing w:line="360" w:lineRule="auto"/>
        <w:ind w:left="0" w:leftChars="0" w:firstLine="0" w:firstLineChars="0"/>
        <w:textAlignment w:val="auto"/>
        <w:rPr>
          <w:rFonts w:ascii="宋体" w:hAnsi="宋体"/>
          <w:b/>
          <w:bCs/>
          <w:color w:val="auto"/>
          <w:szCs w:val="21"/>
          <w:highlight w:val="none"/>
        </w:rPr>
      </w:pPr>
      <w:r>
        <w:rPr>
          <w:rFonts w:hint="eastAsia" w:ascii="宋体" w:hAnsi="宋体"/>
          <w:color w:val="auto"/>
          <w:szCs w:val="21"/>
          <w:highlight w:val="none"/>
        </w:rPr>
        <w:t>（</w:t>
      </w:r>
      <w:r>
        <w:rPr>
          <w:rFonts w:hint="eastAsia" w:ascii="宋体" w:hAnsi="宋体"/>
          <w:b/>
          <w:bCs/>
          <w:color w:val="auto"/>
          <w:szCs w:val="21"/>
          <w:highlight w:val="none"/>
        </w:rPr>
        <w:t>1）工程预付款在合同生效后承包人提供增值税发票后</w:t>
      </w:r>
      <w:r>
        <w:rPr>
          <w:rFonts w:hint="eastAsia" w:ascii="宋体" w:hAnsi="宋体"/>
          <w:b/>
          <w:bCs/>
          <w:color w:val="auto"/>
          <w:szCs w:val="21"/>
          <w:highlight w:val="none"/>
          <w:lang w:val="en-US" w:eastAsia="zh-CN"/>
        </w:rPr>
        <w:t>1</w:t>
      </w:r>
      <w:r>
        <w:rPr>
          <w:rFonts w:hint="eastAsia" w:ascii="宋体" w:hAnsi="宋体"/>
          <w:b/>
          <w:bCs/>
          <w:color w:val="auto"/>
          <w:szCs w:val="21"/>
          <w:highlight w:val="none"/>
        </w:rPr>
        <w:t>0个工作日内，发包人按合同</w:t>
      </w:r>
      <w:r>
        <w:rPr>
          <w:rFonts w:hint="eastAsia" w:ascii="宋体" w:hAnsi="宋体" w:cs="宋体"/>
          <w:b/>
          <w:bCs/>
          <w:color w:val="auto"/>
          <w:szCs w:val="21"/>
          <w:highlight w:val="none"/>
          <w:lang w:eastAsia="zh-CN"/>
        </w:rPr>
        <w:t>暂定总</w:t>
      </w:r>
      <w:r>
        <w:rPr>
          <w:rFonts w:hint="eastAsia" w:ascii="宋体" w:hAnsi="宋体"/>
          <w:b/>
          <w:bCs/>
          <w:color w:val="auto"/>
          <w:szCs w:val="21"/>
          <w:highlight w:val="none"/>
        </w:rPr>
        <w:t>价款的</w:t>
      </w:r>
      <w:r>
        <w:rPr>
          <w:rFonts w:hint="eastAsia" w:ascii="宋体" w:hAnsi="宋体"/>
          <w:b/>
          <w:bCs/>
          <w:color w:val="auto"/>
          <w:szCs w:val="21"/>
          <w:highlight w:val="none"/>
          <w:lang w:val="en-US" w:eastAsia="zh-CN"/>
        </w:rPr>
        <w:t>20</w:t>
      </w:r>
      <w:r>
        <w:rPr>
          <w:rFonts w:hint="eastAsia" w:ascii="宋体" w:hAnsi="宋体"/>
          <w:b/>
          <w:bCs/>
          <w:color w:val="auto"/>
          <w:szCs w:val="21"/>
          <w:highlight w:val="none"/>
        </w:rPr>
        <w:t>%，即人民币</w:t>
      </w:r>
      <w:r>
        <w:rPr>
          <w:rFonts w:hint="eastAsia" w:ascii="宋体" w:hAnsi="宋体"/>
          <w:b/>
          <w:bCs/>
          <w:color w:val="auto"/>
          <w:szCs w:val="21"/>
          <w:highlight w:val="none"/>
          <w:u w:val="single"/>
        </w:rPr>
        <w:t xml:space="preserve">（ </w:t>
      </w:r>
      <w:r>
        <w:rPr>
          <w:rFonts w:ascii="宋体" w:hAnsi="宋体"/>
          <w:b/>
          <w:bCs/>
          <w:color w:val="auto"/>
          <w:szCs w:val="21"/>
          <w:highlight w:val="none"/>
          <w:u w:val="single"/>
        </w:rPr>
        <w:t xml:space="preserve">   </w:t>
      </w:r>
      <w:r>
        <w:rPr>
          <w:rFonts w:hint="eastAsia" w:ascii="宋体" w:hAnsi="宋体"/>
          <w:b/>
          <w:bCs/>
          <w:color w:val="auto"/>
          <w:szCs w:val="21"/>
          <w:highlight w:val="none"/>
          <w:u w:val="single"/>
        </w:rPr>
        <w:t>）</w:t>
      </w:r>
      <w:r>
        <w:rPr>
          <w:rFonts w:hint="eastAsia" w:ascii="宋体" w:hAnsi="宋体"/>
          <w:b/>
          <w:bCs/>
          <w:color w:val="auto"/>
          <w:szCs w:val="21"/>
          <w:highlight w:val="none"/>
        </w:rPr>
        <w:t>元支付（</w:t>
      </w:r>
      <w:r>
        <w:rPr>
          <w:rFonts w:hint="eastAsia" w:ascii="宋体" w:hAnsi="宋体" w:cs="宋体"/>
          <w:b/>
          <w:bCs/>
          <w:color w:val="auto"/>
          <w:szCs w:val="21"/>
          <w:highlight w:val="none"/>
        </w:rPr>
        <w:t>本项目预付款已包含全额</w:t>
      </w:r>
      <w:r>
        <w:rPr>
          <w:rFonts w:hint="eastAsia" w:ascii="宋体"/>
          <w:b/>
          <w:bCs/>
          <w:color w:val="auto"/>
          <w:kern w:val="0"/>
          <w:szCs w:val="21"/>
          <w:highlight w:val="none"/>
        </w:rPr>
        <w:t>绿色施工安全防护措施费、工人工资支付保证金在内</w:t>
      </w:r>
      <w:r>
        <w:rPr>
          <w:rFonts w:hint="eastAsia" w:ascii="宋体" w:hAnsi="宋体" w:cs="宋体"/>
          <w:b/>
          <w:bCs/>
          <w:color w:val="auto"/>
          <w:szCs w:val="21"/>
          <w:highlight w:val="none"/>
        </w:rPr>
        <w:t>）</w:t>
      </w:r>
      <w:r>
        <w:rPr>
          <w:rFonts w:hint="eastAsia" w:ascii="宋体" w:hAnsi="宋体"/>
          <w:b/>
          <w:bCs/>
          <w:color w:val="auto"/>
          <w:szCs w:val="21"/>
          <w:highlight w:val="none"/>
        </w:rPr>
        <w:t>。</w:t>
      </w:r>
    </w:p>
    <w:p w14:paraId="5DCDFC5A">
      <w:pPr>
        <w:keepNext w:val="0"/>
        <w:keepLines w:val="0"/>
        <w:pageBreakBefore w:val="0"/>
        <w:wordWrap/>
        <w:overflowPunct/>
        <w:topLinePunct w:val="0"/>
        <w:bidi w:val="0"/>
        <w:spacing w:line="360" w:lineRule="auto"/>
        <w:ind w:left="0" w:leftChars="0" w:firstLine="0" w:firstLineChars="0"/>
        <w:textAlignment w:val="auto"/>
        <w:rPr>
          <w:rFonts w:hint="eastAsia" w:ascii="宋体" w:hAnsi="宋体"/>
          <w:b/>
          <w:bCs/>
          <w:color w:val="auto"/>
          <w:szCs w:val="21"/>
          <w:highlight w:val="none"/>
        </w:rPr>
      </w:pPr>
      <w:r>
        <w:rPr>
          <w:rFonts w:hint="eastAsia" w:ascii="宋体" w:hAnsi="宋体"/>
          <w:b/>
          <w:bCs/>
          <w:color w:val="auto"/>
          <w:szCs w:val="21"/>
          <w:highlight w:val="none"/>
        </w:rPr>
        <w:t>（2）进度款结算方式：以形象进度分段结算与支付。</w:t>
      </w:r>
    </w:p>
    <w:p w14:paraId="29C7E7AA">
      <w:pPr>
        <w:pStyle w:val="2"/>
        <w:spacing w:line="360" w:lineRule="auto"/>
        <w:ind w:firstLine="422"/>
        <w:rPr>
          <w:rFonts w:hint="eastAsia" w:ascii="宋体" w:hAnsi="宋体" w:eastAsia="宋体" w:cs="宋体"/>
          <w:b/>
          <w:bCs/>
          <w:color w:val="auto"/>
          <w:szCs w:val="21"/>
          <w:highlight w:val="none"/>
        </w:rPr>
      </w:pPr>
      <w:r>
        <w:rPr>
          <w:rFonts w:hint="eastAsia" w:ascii="宋体" w:hAnsi="宋体" w:cs="宋体"/>
          <w:b/>
          <w:bCs/>
          <w:color w:val="auto"/>
          <w:szCs w:val="21"/>
          <w:highlight w:val="none"/>
          <w:lang w:val="en-US" w:eastAsia="zh-CN"/>
        </w:rPr>
        <w:t>1</w:t>
      </w:r>
      <w:r>
        <w:rPr>
          <w:rFonts w:hint="eastAsia" w:ascii="宋体" w:hAnsi="宋体" w:eastAsia="宋体" w:cs="宋体"/>
          <w:b/>
          <w:bCs/>
          <w:color w:val="auto"/>
          <w:szCs w:val="21"/>
          <w:highlight w:val="none"/>
          <w:lang w:val="en-US" w:eastAsia="zh-CN"/>
        </w:rPr>
        <w:t>）</w:t>
      </w:r>
      <w:r>
        <w:rPr>
          <w:rFonts w:hint="eastAsia" w:ascii="宋体" w:hAnsi="宋体" w:eastAsia="宋体" w:cs="宋体"/>
          <w:b/>
          <w:bCs/>
          <w:color w:val="auto"/>
          <w:szCs w:val="21"/>
          <w:highlight w:val="none"/>
        </w:rPr>
        <w:t>本项目主要材料设备（组件、逆变器、组件支架</w:t>
      </w:r>
      <w:r>
        <w:rPr>
          <w:rFonts w:hint="eastAsia" w:ascii="宋体" w:hAnsi="宋体" w:eastAsia="宋体" w:cs="宋体"/>
          <w:b/>
          <w:bCs/>
          <w:color w:val="auto"/>
          <w:szCs w:val="21"/>
          <w:highlight w:val="none"/>
          <w:lang w:eastAsia="zh-CN"/>
        </w:rPr>
        <w:t>）</w:t>
      </w:r>
      <w:r>
        <w:rPr>
          <w:rFonts w:hint="eastAsia" w:ascii="宋体" w:hAnsi="宋体" w:eastAsia="宋体" w:cs="宋体"/>
          <w:b/>
          <w:bCs/>
          <w:color w:val="auto"/>
          <w:szCs w:val="21"/>
          <w:highlight w:val="none"/>
        </w:rPr>
        <w:t>进场（</w:t>
      </w:r>
      <w:r>
        <w:rPr>
          <w:rFonts w:hint="eastAsia" w:ascii="宋体" w:hAnsi="宋体" w:eastAsia="宋体" w:cs="宋体"/>
          <w:b/>
          <w:bCs/>
          <w:color w:val="auto"/>
          <w:szCs w:val="21"/>
          <w:highlight w:val="none"/>
          <w:lang w:eastAsia="zh-CN"/>
        </w:rPr>
        <w:t>凭</w:t>
      </w:r>
      <w:r>
        <w:rPr>
          <w:rFonts w:hint="eastAsia" w:ascii="宋体" w:hAnsi="宋体" w:eastAsia="宋体" w:cs="宋体"/>
          <w:b/>
          <w:bCs/>
          <w:color w:val="auto"/>
          <w:szCs w:val="21"/>
          <w:highlight w:val="none"/>
        </w:rPr>
        <w:t>收货单</w:t>
      </w:r>
      <w:r>
        <w:rPr>
          <w:rFonts w:hint="eastAsia" w:ascii="宋体" w:hAnsi="宋体" w:eastAsia="宋体" w:cs="宋体"/>
          <w:b/>
          <w:bCs/>
          <w:color w:val="auto"/>
          <w:szCs w:val="21"/>
          <w:highlight w:val="none"/>
          <w:lang w:eastAsia="zh-CN"/>
        </w:rPr>
        <w:t>据</w:t>
      </w:r>
      <w:r>
        <w:rPr>
          <w:rFonts w:hint="eastAsia" w:ascii="宋体" w:hAnsi="宋体" w:eastAsia="宋体" w:cs="宋体"/>
          <w:b/>
          <w:bCs/>
          <w:color w:val="auto"/>
          <w:szCs w:val="21"/>
          <w:highlight w:val="none"/>
        </w:rPr>
        <w:t>）后且发包人在收到承包人提供的相应金额的合法有效增值税专用发票后</w:t>
      </w:r>
      <w:r>
        <w:rPr>
          <w:rFonts w:hint="eastAsia" w:ascii="宋体" w:hAnsi="宋体" w:cs="宋体"/>
          <w:b/>
          <w:bCs/>
          <w:color w:val="auto"/>
          <w:szCs w:val="21"/>
          <w:highlight w:val="none"/>
          <w:lang w:val="en-US" w:eastAsia="zh-CN"/>
        </w:rPr>
        <w:t>2</w:t>
      </w:r>
      <w:r>
        <w:rPr>
          <w:rFonts w:hint="eastAsia" w:ascii="宋体" w:hAnsi="宋体" w:eastAsia="宋体" w:cs="宋体"/>
          <w:b/>
          <w:bCs/>
          <w:color w:val="auto"/>
          <w:szCs w:val="21"/>
          <w:highlight w:val="none"/>
          <w:lang w:val="en-US" w:eastAsia="zh-CN"/>
        </w:rPr>
        <w:t>0</w:t>
      </w:r>
      <w:r>
        <w:rPr>
          <w:rFonts w:hint="eastAsia" w:ascii="宋体" w:hAnsi="宋体" w:eastAsia="宋体" w:cs="宋体"/>
          <w:b/>
          <w:bCs/>
          <w:color w:val="auto"/>
          <w:szCs w:val="21"/>
          <w:highlight w:val="none"/>
        </w:rPr>
        <w:t>个工作日内，向承包人支付进度款至合同</w:t>
      </w:r>
      <w:r>
        <w:rPr>
          <w:rFonts w:hint="eastAsia" w:ascii="宋体" w:hAnsi="宋体" w:eastAsia="宋体" w:cs="宋体"/>
          <w:b/>
          <w:bCs/>
          <w:color w:val="auto"/>
          <w:szCs w:val="21"/>
          <w:highlight w:val="none"/>
          <w:lang w:val="en-US" w:eastAsia="zh-CN"/>
        </w:rPr>
        <w:t>暂定</w:t>
      </w:r>
      <w:r>
        <w:rPr>
          <w:rFonts w:hint="eastAsia" w:ascii="宋体" w:hAnsi="宋体" w:eastAsia="宋体" w:cs="宋体"/>
          <w:b/>
          <w:bCs/>
          <w:color w:val="auto"/>
          <w:szCs w:val="21"/>
          <w:highlight w:val="none"/>
        </w:rPr>
        <w:t>总价的</w:t>
      </w:r>
      <w:r>
        <w:rPr>
          <w:rFonts w:hint="eastAsia" w:ascii="宋体" w:hAnsi="宋体" w:cs="宋体"/>
          <w:b/>
          <w:bCs/>
          <w:color w:val="auto"/>
          <w:szCs w:val="21"/>
          <w:highlight w:val="none"/>
          <w:lang w:val="en-US" w:eastAsia="zh-CN"/>
        </w:rPr>
        <w:t>5</w:t>
      </w:r>
      <w:r>
        <w:rPr>
          <w:rFonts w:hint="eastAsia" w:ascii="宋体" w:hAnsi="宋体" w:eastAsia="宋体" w:cs="宋体"/>
          <w:b/>
          <w:bCs/>
          <w:color w:val="auto"/>
          <w:szCs w:val="21"/>
          <w:highlight w:val="none"/>
        </w:rPr>
        <w:t>0%</w:t>
      </w:r>
      <w:r>
        <w:rPr>
          <w:rFonts w:hint="eastAsia" w:ascii="宋体" w:hAnsi="宋体" w:eastAsia="宋体" w:cs="宋体"/>
          <w:b/>
          <w:bCs/>
          <w:color w:val="auto"/>
          <w:szCs w:val="21"/>
          <w:highlight w:val="none"/>
          <w:lang w:eastAsia="zh-CN"/>
        </w:rPr>
        <w:t>，</w:t>
      </w:r>
      <w:r>
        <w:rPr>
          <w:rFonts w:hint="eastAsia" w:ascii="宋体" w:hAnsi="宋体" w:eastAsia="宋体" w:cs="宋体"/>
          <w:b/>
          <w:bCs/>
          <w:color w:val="auto"/>
          <w:szCs w:val="21"/>
          <w:highlight w:val="none"/>
        </w:rPr>
        <w:t>即人民币</w:t>
      </w:r>
      <w:r>
        <w:rPr>
          <w:rFonts w:hint="eastAsia" w:ascii="宋体" w:hAnsi="宋体" w:eastAsia="宋体" w:cs="宋体"/>
          <w:b/>
          <w:bCs/>
          <w:color w:val="auto"/>
          <w:szCs w:val="21"/>
          <w:highlight w:val="none"/>
          <w:u w:val="single"/>
        </w:rPr>
        <w:t>（    ）</w:t>
      </w:r>
      <w:r>
        <w:rPr>
          <w:rFonts w:hint="eastAsia" w:ascii="宋体" w:hAnsi="宋体" w:eastAsia="宋体" w:cs="宋体"/>
          <w:b/>
          <w:bCs/>
          <w:color w:val="auto"/>
          <w:szCs w:val="21"/>
          <w:highlight w:val="none"/>
        </w:rPr>
        <w:t>元。</w:t>
      </w:r>
    </w:p>
    <w:p w14:paraId="133AF79D">
      <w:pPr>
        <w:pStyle w:val="2"/>
        <w:numPr>
          <w:ilvl w:val="0"/>
          <w:numId w:val="0"/>
        </w:numPr>
        <w:spacing w:line="360" w:lineRule="auto"/>
        <w:ind w:firstLine="422" w:firstLineChars="200"/>
        <w:jc w:val="left"/>
        <w:rPr>
          <w:rFonts w:hint="eastAsia" w:ascii="宋体" w:hAnsi="宋体" w:eastAsia="宋体" w:cs="宋体"/>
          <w:b/>
          <w:bCs/>
          <w:color w:val="auto"/>
          <w:szCs w:val="21"/>
          <w:highlight w:val="none"/>
        </w:rPr>
      </w:pPr>
      <w:r>
        <w:rPr>
          <w:rFonts w:hint="eastAsia" w:ascii="宋体" w:hAnsi="宋体" w:cs="宋体"/>
          <w:b/>
          <w:bCs/>
          <w:color w:val="auto"/>
          <w:szCs w:val="21"/>
          <w:highlight w:val="none"/>
          <w:lang w:val="en-US" w:eastAsia="zh-CN"/>
        </w:rPr>
        <w:t>2</w:t>
      </w:r>
      <w:r>
        <w:rPr>
          <w:rFonts w:hint="eastAsia" w:ascii="宋体" w:hAnsi="宋体" w:eastAsia="宋体" w:cs="宋体"/>
          <w:b/>
          <w:bCs/>
          <w:color w:val="auto"/>
          <w:szCs w:val="21"/>
          <w:highlight w:val="none"/>
          <w:lang w:val="en-US" w:eastAsia="zh-CN"/>
        </w:rPr>
        <w:t>）</w:t>
      </w:r>
      <w:r>
        <w:rPr>
          <w:rFonts w:hint="eastAsia" w:ascii="宋体" w:hAnsi="宋体" w:eastAsia="宋体" w:cs="宋体"/>
          <w:b/>
          <w:bCs/>
          <w:color w:val="auto"/>
          <w:szCs w:val="21"/>
          <w:highlight w:val="none"/>
        </w:rPr>
        <w:t>本项目</w:t>
      </w:r>
      <w:r>
        <w:rPr>
          <w:rFonts w:hint="eastAsia" w:ascii="宋体" w:hAnsi="宋体" w:eastAsia="宋体" w:cs="宋体"/>
          <w:b/>
          <w:bCs/>
          <w:color w:val="auto"/>
          <w:szCs w:val="21"/>
          <w:highlight w:val="none"/>
          <w:lang w:val="en-US" w:eastAsia="zh-CN"/>
        </w:rPr>
        <w:t>完成安装</w:t>
      </w:r>
      <w:r>
        <w:rPr>
          <w:rFonts w:hint="eastAsia" w:ascii="宋体" w:hAnsi="宋体" w:eastAsia="宋体" w:cs="宋体"/>
          <w:b/>
          <w:bCs/>
          <w:color w:val="auto"/>
          <w:szCs w:val="21"/>
          <w:highlight w:val="none"/>
        </w:rPr>
        <w:t>后</w:t>
      </w:r>
      <w:r>
        <w:rPr>
          <w:rFonts w:hint="eastAsia" w:ascii="宋体" w:hAnsi="宋体" w:cs="宋体"/>
          <w:b/>
          <w:bCs/>
          <w:color w:val="auto"/>
          <w:szCs w:val="21"/>
          <w:highlight w:val="none"/>
          <w:lang w:eastAsia="zh-CN"/>
        </w:rPr>
        <w:t>（凭完工证）</w:t>
      </w:r>
      <w:r>
        <w:rPr>
          <w:rFonts w:hint="eastAsia" w:ascii="宋体" w:hAnsi="宋体" w:eastAsia="宋体" w:cs="宋体"/>
          <w:b/>
          <w:bCs/>
          <w:color w:val="auto"/>
          <w:szCs w:val="21"/>
          <w:highlight w:val="none"/>
        </w:rPr>
        <w:t>且发包人在收到承包人提供的相应金额的合法有效增值税专用发票后</w:t>
      </w:r>
      <w:r>
        <w:rPr>
          <w:rFonts w:hint="eastAsia" w:ascii="宋体" w:hAnsi="宋体" w:cs="宋体"/>
          <w:b/>
          <w:bCs/>
          <w:color w:val="auto"/>
          <w:szCs w:val="21"/>
          <w:highlight w:val="none"/>
          <w:lang w:val="en-US" w:eastAsia="zh-CN"/>
        </w:rPr>
        <w:t>2</w:t>
      </w:r>
      <w:r>
        <w:rPr>
          <w:rFonts w:hint="eastAsia" w:ascii="宋体" w:hAnsi="宋体" w:eastAsia="宋体" w:cs="宋体"/>
          <w:b/>
          <w:bCs/>
          <w:color w:val="auto"/>
          <w:szCs w:val="21"/>
          <w:highlight w:val="none"/>
          <w:lang w:val="en-US" w:eastAsia="zh-CN"/>
        </w:rPr>
        <w:t>0</w:t>
      </w:r>
      <w:r>
        <w:rPr>
          <w:rFonts w:hint="eastAsia" w:ascii="宋体" w:hAnsi="宋体" w:eastAsia="宋体" w:cs="宋体"/>
          <w:b/>
          <w:bCs/>
          <w:color w:val="auto"/>
          <w:szCs w:val="21"/>
          <w:highlight w:val="none"/>
        </w:rPr>
        <w:t>个工作日内，向承包人支付进度款至合同</w:t>
      </w:r>
      <w:r>
        <w:rPr>
          <w:rFonts w:hint="eastAsia" w:ascii="宋体" w:hAnsi="宋体" w:eastAsia="宋体" w:cs="宋体"/>
          <w:b/>
          <w:bCs/>
          <w:color w:val="auto"/>
          <w:szCs w:val="21"/>
          <w:highlight w:val="none"/>
          <w:lang w:val="en-US" w:eastAsia="zh-CN"/>
        </w:rPr>
        <w:t>暂定</w:t>
      </w:r>
      <w:r>
        <w:rPr>
          <w:rFonts w:hint="eastAsia" w:ascii="宋体" w:hAnsi="宋体" w:eastAsia="宋体" w:cs="宋体"/>
          <w:b/>
          <w:bCs/>
          <w:color w:val="auto"/>
          <w:szCs w:val="21"/>
          <w:highlight w:val="none"/>
        </w:rPr>
        <w:t>总价的</w:t>
      </w:r>
      <w:r>
        <w:rPr>
          <w:rFonts w:hint="eastAsia" w:ascii="宋体" w:hAnsi="宋体" w:eastAsia="宋体" w:cs="宋体"/>
          <w:b/>
          <w:bCs/>
          <w:color w:val="auto"/>
          <w:szCs w:val="21"/>
          <w:highlight w:val="none"/>
          <w:lang w:val="en-US" w:eastAsia="zh-CN"/>
        </w:rPr>
        <w:t>80</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eastAsia="zh-CN"/>
        </w:rPr>
        <w:t>，</w:t>
      </w:r>
      <w:r>
        <w:rPr>
          <w:rFonts w:hint="eastAsia" w:ascii="宋体" w:hAnsi="宋体" w:eastAsia="宋体" w:cs="宋体"/>
          <w:b/>
          <w:bCs/>
          <w:color w:val="auto"/>
          <w:szCs w:val="21"/>
          <w:highlight w:val="none"/>
        </w:rPr>
        <w:t>即人民币</w:t>
      </w:r>
      <w:r>
        <w:rPr>
          <w:rFonts w:hint="eastAsia" w:ascii="宋体" w:hAnsi="宋体" w:eastAsia="宋体" w:cs="宋体"/>
          <w:b/>
          <w:bCs/>
          <w:color w:val="auto"/>
          <w:szCs w:val="21"/>
          <w:highlight w:val="none"/>
          <w:u w:val="single"/>
        </w:rPr>
        <w:t>（    ）</w:t>
      </w:r>
      <w:r>
        <w:rPr>
          <w:rFonts w:hint="eastAsia" w:ascii="宋体" w:hAnsi="宋体" w:eastAsia="宋体" w:cs="宋体"/>
          <w:b/>
          <w:bCs/>
          <w:color w:val="auto"/>
          <w:szCs w:val="21"/>
          <w:highlight w:val="none"/>
        </w:rPr>
        <w:t>元</w:t>
      </w:r>
    </w:p>
    <w:p w14:paraId="08C8A2AF">
      <w:pPr>
        <w:pStyle w:val="2"/>
        <w:numPr>
          <w:ilvl w:val="0"/>
          <w:numId w:val="0"/>
        </w:numPr>
        <w:spacing w:line="360" w:lineRule="auto"/>
        <w:ind w:firstLine="422" w:firstLineChars="200"/>
        <w:jc w:val="left"/>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val="en-US" w:eastAsia="zh-CN"/>
        </w:rPr>
        <w:t>3</w:t>
      </w:r>
      <w:r>
        <w:rPr>
          <w:rFonts w:hint="eastAsia" w:ascii="宋体" w:hAnsi="宋体" w:eastAsia="宋体" w:cs="宋体"/>
          <w:b/>
          <w:bCs/>
          <w:color w:val="auto"/>
          <w:szCs w:val="21"/>
          <w:highlight w:val="none"/>
          <w:lang w:val="en-US" w:eastAsia="zh-CN"/>
        </w:rPr>
        <w:t>）</w:t>
      </w:r>
      <w:r>
        <w:rPr>
          <w:rFonts w:hint="eastAsia" w:ascii="宋体" w:hAnsi="宋体" w:eastAsia="宋体" w:cs="宋体"/>
          <w:b/>
          <w:bCs/>
          <w:color w:val="auto"/>
          <w:szCs w:val="21"/>
          <w:highlight w:val="none"/>
        </w:rPr>
        <w:t>本项目竣工验收合格且竣工结算审核通过后，发包人在收到承包人提供的相应金额的合法有效增值税专用发票后</w:t>
      </w:r>
      <w:r>
        <w:rPr>
          <w:rFonts w:hint="eastAsia" w:ascii="宋体" w:hAnsi="宋体" w:cs="宋体"/>
          <w:b/>
          <w:bCs/>
          <w:color w:val="auto"/>
          <w:szCs w:val="21"/>
          <w:highlight w:val="none"/>
          <w:lang w:val="en-US" w:eastAsia="zh-CN"/>
        </w:rPr>
        <w:t>2</w:t>
      </w:r>
      <w:r>
        <w:rPr>
          <w:rFonts w:hint="eastAsia" w:ascii="宋体" w:hAnsi="宋体" w:eastAsia="宋体" w:cs="宋体"/>
          <w:b/>
          <w:bCs/>
          <w:color w:val="auto"/>
          <w:szCs w:val="21"/>
          <w:highlight w:val="none"/>
          <w:lang w:val="en-US" w:eastAsia="zh-CN"/>
        </w:rPr>
        <w:t>0</w:t>
      </w:r>
      <w:r>
        <w:rPr>
          <w:rFonts w:hint="eastAsia" w:ascii="宋体" w:hAnsi="宋体" w:eastAsia="宋体" w:cs="宋体"/>
          <w:b/>
          <w:bCs/>
          <w:color w:val="auto"/>
          <w:szCs w:val="21"/>
          <w:highlight w:val="none"/>
          <w:lang w:eastAsia="zh-CN"/>
        </w:rPr>
        <w:t>个工作日内付款，本次付款金额为合同结算总价扣除发包人已支付的款项以及工程质量保证金。</w:t>
      </w:r>
    </w:p>
    <w:p w14:paraId="530BB16A">
      <w:pPr>
        <w:pStyle w:val="2"/>
        <w:keepNext w:val="0"/>
        <w:keepLines w:val="0"/>
        <w:pageBreakBefore w:val="0"/>
        <w:wordWrap/>
        <w:overflowPunct/>
        <w:topLinePunct w:val="0"/>
        <w:bidi w:val="0"/>
        <w:adjustRightInd w:val="0"/>
        <w:snapToGrid w:val="0"/>
        <w:spacing w:line="360" w:lineRule="auto"/>
        <w:ind w:left="0" w:leftChars="0" w:firstLine="422" w:firstLineChars="200"/>
        <w:textAlignment w:val="auto"/>
        <w:rPr>
          <w:color w:val="auto"/>
          <w:szCs w:val="21"/>
          <w:highlight w:val="none"/>
        </w:rPr>
      </w:pPr>
      <w:r>
        <w:rPr>
          <w:rFonts w:hint="eastAsia" w:ascii="宋体" w:hAnsi="宋体" w:cs="宋体"/>
          <w:b/>
          <w:bCs/>
          <w:color w:val="auto"/>
          <w:szCs w:val="21"/>
          <w:highlight w:val="none"/>
          <w:lang w:val="en-US" w:eastAsia="zh-CN"/>
        </w:rPr>
        <w:t>4</w:t>
      </w:r>
      <w:r>
        <w:rPr>
          <w:rFonts w:hint="eastAsia" w:ascii="宋体" w:hAnsi="宋体" w:cs="宋体"/>
          <w:b/>
          <w:bCs/>
          <w:color w:val="auto"/>
          <w:szCs w:val="21"/>
          <w:highlight w:val="none"/>
        </w:rPr>
        <w:t>）</w:t>
      </w:r>
      <w:r>
        <w:rPr>
          <w:rFonts w:hint="eastAsia" w:ascii="宋体" w:hAnsi="宋体" w:cs="宋体"/>
          <w:b/>
          <w:bCs/>
          <w:color w:val="auto"/>
          <w:szCs w:val="21"/>
          <w:highlight w:val="none"/>
          <w:lang w:eastAsia="zh-CN"/>
        </w:rPr>
        <w:t>工程质量保证金为合同结算总价的3%</w:t>
      </w:r>
      <w:r>
        <w:rPr>
          <w:rFonts w:hint="eastAsia" w:ascii="宋体" w:hAnsi="宋体" w:cs="宋体"/>
          <w:b/>
          <w:bCs/>
          <w:color w:val="auto"/>
          <w:szCs w:val="21"/>
          <w:highlight w:val="none"/>
        </w:rPr>
        <w:t>，在本项目缺陷责任期</w:t>
      </w:r>
      <w:r>
        <w:rPr>
          <w:rFonts w:hint="eastAsia" w:ascii="宋体" w:hAnsi="宋体" w:cs="宋体"/>
          <w:b/>
          <w:bCs/>
          <w:color w:val="auto"/>
          <w:szCs w:val="21"/>
          <w:highlight w:val="none"/>
          <w:lang w:eastAsia="zh-CN"/>
        </w:rPr>
        <w:t>届</w:t>
      </w:r>
      <w:r>
        <w:rPr>
          <w:rFonts w:hint="eastAsia" w:ascii="宋体" w:hAnsi="宋体" w:cs="宋体"/>
          <w:b/>
          <w:bCs/>
          <w:color w:val="auto"/>
          <w:szCs w:val="21"/>
          <w:highlight w:val="none"/>
        </w:rPr>
        <w:t>满后且发包人在收到承包人提供的相应金额的合法有效增值税专用发票后</w:t>
      </w:r>
      <w:r>
        <w:rPr>
          <w:rFonts w:hint="eastAsia" w:ascii="宋体" w:hAnsi="宋体" w:cs="宋体"/>
          <w:b/>
          <w:bCs/>
          <w:color w:val="auto"/>
          <w:szCs w:val="21"/>
          <w:highlight w:val="none"/>
          <w:lang w:val="en-US" w:eastAsia="zh-CN"/>
        </w:rPr>
        <w:t>20</w:t>
      </w:r>
      <w:r>
        <w:rPr>
          <w:rFonts w:hint="eastAsia" w:ascii="宋体" w:hAnsi="宋体" w:cs="宋体"/>
          <w:b/>
          <w:bCs/>
          <w:color w:val="auto"/>
          <w:szCs w:val="21"/>
          <w:highlight w:val="none"/>
        </w:rPr>
        <w:t>个工作日内不计息返还。</w:t>
      </w:r>
    </w:p>
    <w:p w14:paraId="135D09FB">
      <w:pPr>
        <w:pStyle w:val="2"/>
        <w:keepNext w:val="0"/>
        <w:keepLines w:val="0"/>
        <w:pageBreakBefore w:val="0"/>
        <w:wordWrap/>
        <w:overflowPunct/>
        <w:topLinePunct w:val="0"/>
        <w:bidi w:val="0"/>
        <w:spacing w:line="360" w:lineRule="auto"/>
        <w:ind w:left="0" w:leftChars="0"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注 1：对于外来企业（即注册地为</w:t>
      </w:r>
      <w:r>
        <w:rPr>
          <w:rFonts w:hint="eastAsia" w:ascii="宋体" w:hAnsi="宋体" w:cs="宋体"/>
          <w:color w:val="auto"/>
          <w:szCs w:val="21"/>
          <w:highlight w:val="none"/>
          <w:lang w:val="en-US" w:eastAsia="zh-CN"/>
        </w:rPr>
        <w:t>广州</w:t>
      </w:r>
      <w:r>
        <w:rPr>
          <w:rFonts w:hint="eastAsia" w:ascii="宋体" w:hAnsi="宋体" w:cs="宋体"/>
          <w:color w:val="auto"/>
          <w:szCs w:val="21"/>
          <w:highlight w:val="none"/>
        </w:rPr>
        <w:t>市以外的企业）必须执行以下要求：</w:t>
      </w:r>
    </w:p>
    <w:p w14:paraId="41D8804B">
      <w:pPr>
        <w:pStyle w:val="2"/>
        <w:keepNext w:val="0"/>
        <w:keepLines w:val="0"/>
        <w:pageBreakBefore w:val="0"/>
        <w:wordWrap/>
        <w:overflowPunct/>
        <w:topLinePunct w:val="0"/>
        <w:bidi w:val="0"/>
        <w:spacing w:line="360" w:lineRule="auto"/>
        <w:ind w:left="0" w:leftChars="0"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①必须按照税法规定在建设工程劳务发生地（</w:t>
      </w:r>
      <w:r>
        <w:rPr>
          <w:rFonts w:hint="eastAsia" w:ascii="宋体" w:hAnsi="宋体" w:cs="宋体"/>
          <w:color w:val="auto"/>
          <w:szCs w:val="21"/>
          <w:highlight w:val="none"/>
          <w:lang w:val="en-US" w:eastAsia="zh-CN"/>
        </w:rPr>
        <w:t>广州市</w:t>
      </w:r>
      <w:r>
        <w:rPr>
          <w:rFonts w:hint="eastAsia" w:ascii="宋体" w:hAnsi="宋体" w:cs="宋体"/>
          <w:color w:val="auto"/>
          <w:szCs w:val="21"/>
          <w:highlight w:val="none"/>
        </w:rPr>
        <w:t>）预缴税款；</w:t>
      </w:r>
    </w:p>
    <w:p w14:paraId="09E1F94A">
      <w:pPr>
        <w:pStyle w:val="2"/>
        <w:keepNext w:val="0"/>
        <w:keepLines w:val="0"/>
        <w:pageBreakBefore w:val="0"/>
        <w:wordWrap/>
        <w:overflowPunct/>
        <w:topLinePunct w:val="0"/>
        <w:bidi w:val="0"/>
        <w:spacing w:line="360" w:lineRule="auto"/>
        <w:ind w:left="0" w:leftChars="0"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②</w:t>
      </w:r>
      <w:r>
        <w:rPr>
          <w:rFonts w:hint="eastAsia" w:ascii="宋体" w:hAnsi="宋体" w:cs="宋体"/>
          <w:color w:val="auto"/>
          <w:szCs w:val="21"/>
          <w:highlight w:val="none"/>
        </w:rPr>
        <w:t>在收取工程款前，如向发包人提供的发票是非</w:t>
      </w:r>
      <w:r>
        <w:rPr>
          <w:rFonts w:hint="eastAsia" w:ascii="宋体" w:hAnsi="宋体" w:cs="宋体"/>
          <w:color w:val="auto"/>
          <w:szCs w:val="21"/>
          <w:highlight w:val="none"/>
          <w:lang w:val="en-US" w:eastAsia="zh-CN"/>
        </w:rPr>
        <w:t>广州市</w:t>
      </w:r>
      <w:r>
        <w:rPr>
          <w:rFonts w:hint="eastAsia" w:ascii="宋体" w:hAnsi="宋体" w:cs="宋体"/>
          <w:color w:val="auto"/>
          <w:szCs w:val="21"/>
          <w:highlight w:val="none"/>
        </w:rPr>
        <w:t>税务机关开具的发票的，必须向发包人提供其在</w:t>
      </w:r>
      <w:r>
        <w:rPr>
          <w:rFonts w:hint="eastAsia" w:ascii="宋体" w:hAnsi="宋体" w:cs="宋体"/>
          <w:color w:val="auto"/>
          <w:szCs w:val="21"/>
          <w:highlight w:val="none"/>
          <w:lang w:val="en-US" w:eastAsia="zh-CN"/>
        </w:rPr>
        <w:t>广州市</w:t>
      </w:r>
      <w:r>
        <w:rPr>
          <w:rFonts w:hint="eastAsia" w:ascii="宋体" w:hAnsi="宋体" w:cs="宋体"/>
          <w:color w:val="auto"/>
          <w:szCs w:val="21"/>
          <w:highlight w:val="none"/>
        </w:rPr>
        <w:t>税务机关取得的《增值税预缴税款表》。</w:t>
      </w:r>
    </w:p>
    <w:p w14:paraId="7A6FCA2E">
      <w:pPr>
        <w:pStyle w:val="2"/>
        <w:keepNext w:val="0"/>
        <w:keepLines w:val="0"/>
        <w:pageBreakBefore w:val="0"/>
        <w:wordWrap/>
        <w:overflowPunct/>
        <w:topLinePunct w:val="0"/>
        <w:bidi w:val="0"/>
        <w:spacing w:line="360" w:lineRule="auto"/>
        <w:ind w:left="0" w:leftChars="0"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③</w:t>
      </w:r>
      <w:r>
        <w:rPr>
          <w:rFonts w:hint="eastAsia" w:ascii="宋体" w:hAnsi="宋体" w:cs="宋体"/>
          <w:color w:val="auto"/>
          <w:szCs w:val="21"/>
          <w:highlight w:val="none"/>
        </w:rPr>
        <w:t>发包人关于增值税专用发票的开票要求：</w:t>
      </w:r>
    </w:p>
    <w:p w14:paraId="2FDD1562">
      <w:pPr>
        <w:pStyle w:val="2"/>
        <w:keepNext w:val="0"/>
        <w:keepLines w:val="0"/>
        <w:pageBreakBefore w:val="0"/>
        <w:wordWrap/>
        <w:overflowPunct/>
        <w:topLinePunct w:val="0"/>
        <w:bidi w:val="0"/>
        <w:spacing w:line="360" w:lineRule="auto"/>
        <w:ind w:left="0" w:leftChars="0"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承包人应根据不同业务开具相应增值税专用发票，其中，设备及材料需开具增值税税率为 13%的销售发票，设计等中介服务需开具增值税税率为 6%的服务发票，工程建设安装需按照税法规定开具 9%或者 13%的建筑安装服务发票。</w:t>
      </w:r>
    </w:p>
    <w:p w14:paraId="5733A904">
      <w:pPr>
        <w:keepNext w:val="0"/>
        <w:keepLines w:val="0"/>
        <w:pageBreakBefore w:val="0"/>
        <w:wordWrap/>
        <w:overflowPunct/>
        <w:topLinePunct w:val="0"/>
        <w:bidi w:val="0"/>
        <w:snapToGrid w:val="0"/>
        <w:spacing w:line="360" w:lineRule="auto"/>
        <w:ind w:left="0" w:leftChars="0" w:firstLine="0" w:firstLineChars="0"/>
        <w:textAlignment w:val="auto"/>
        <w:outlineLvl w:val="3"/>
        <w:rPr>
          <w:rFonts w:ascii="宋体" w:hAnsi="宋体"/>
          <w:color w:val="auto"/>
          <w:szCs w:val="21"/>
          <w:highlight w:val="none"/>
        </w:rPr>
      </w:pPr>
      <w:bookmarkStart w:id="293" w:name="_Toc76720066"/>
      <w:r>
        <w:rPr>
          <w:rFonts w:hint="eastAsia" w:ascii="宋体" w:hAnsi="宋体"/>
          <w:color w:val="auto"/>
          <w:szCs w:val="21"/>
          <w:highlight w:val="none"/>
        </w:rPr>
        <w:t>13.2   担保</w:t>
      </w:r>
      <w:bookmarkEnd w:id="293"/>
    </w:p>
    <w:p w14:paraId="3A779AE5">
      <w:pPr>
        <w:keepNext w:val="0"/>
        <w:keepLines w:val="0"/>
        <w:pageBreakBefore w:val="0"/>
        <w:tabs>
          <w:tab w:val="center" w:pos="4153"/>
        </w:tabs>
        <w:wordWrap/>
        <w:overflowPunct/>
        <w:topLinePunct w:val="0"/>
        <w:bidi w:val="0"/>
        <w:snapToGrid w:val="0"/>
        <w:spacing w:line="360" w:lineRule="auto"/>
        <w:ind w:left="0" w:leftChars="0" w:firstLine="0" w:firstLineChars="0"/>
        <w:textAlignment w:val="auto"/>
        <w:rPr>
          <w:rFonts w:ascii="宋体" w:hAnsi="宋体"/>
          <w:color w:val="auto"/>
          <w:szCs w:val="21"/>
          <w:highlight w:val="none"/>
        </w:rPr>
      </w:pPr>
      <w:r>
        <w:rPr>
          <w:rFonts w:hint="eastAsia" w:ascii="宋体" w:hAnsi="宋体"/>
          <w:color w:val="auto"/>
          <w:szCs w:val="21"/>
          <w:highlight w:val="none"/>
        </w:rPr>
        <w:t>13.2.1   履约担保（即：履约保证金）</w:t>
      </w:r>
      <w:r>
        <w:rPr>
          <w:rFonts w:hint="eastAsia" w:ascii="宋体" w:hAnsi="宋体"/>
          <w:color w:val="auto"/>
          <w:szCs w:val="21"/>
          <w:highlight w:val="none"/>
        </w:rPr>
        <w:tab/>
      </w:r>
    </w:p>
    <w:p w14:paraId="17A5C51A">
      <w:pPr>
        <w:keepNext w:val="0"/>
        <w:keepLines w:val="0"/>
        <w:pageBreakBefore w:val="0"/>
        <w:wordWrap/>
        <w:overflowPunct/>
        <w:topLinePunct w:val="0"/>
        <w:bidi w:val="0"/>
        <w:snapToGrid w:val="0"/>
        <w:spacing w:line="360" w:lineRule="auto"/>
        <w:ind w:left="0" w:leftChars="0" w:firstLine="0" w:firstLineChars="0"/>
        <w:textAlignment w:val="auto"/>
        <w:rPr>
          <w:rFonts w:ascii="宋体" w:hAnsi="宋体"/>
          <w:color w:val="auto"/>
          <w:szCs w:val="21"/>
          <w:highlight w:val="none"/>
          <w:u w:val="single"/>
        </w:rPr>
      </w:pPr>
      <w:r>
        <w:rPr>
          <w:rFonts w:hint="eastAsia" w:ascii="宋体" w:hAnsi="宋体"/>
          <w:color w:val="auto"/>
          <w:szCs w:val="21"/>
          <w:highlight w:val="none"/>
        </w:rPr>
        <w:t>履约保证金形式：</w:t>
      </w:r>
      <w:r>
        <w:rPr>
          <w:rFonts w:hint="eastAsia" w:ascii="宋体" w:hAnsi="宋体"/>
          <w:color w:val="auto"/>
          <w:szCs w:val="21"/>
          <w:highlight w:val="none"/>
          <w:u w:val="single"/>
        </w:rPr>
        <w:t>可采用现金</w:t>
      </w:r>
      <w:r>
        <w:rPr>
          <w:rFonts w:hint="eastAsia" w:ascii="宋体" w:hAnsi="宋体"/>
          <w:color w:val="auto"/>
          <w:szCs w:val="21"/>
          <w:highlight w:val="none"/>
          <w:u w:val="single"/>
          <w:lang w:eastAsia="zh-CN"/>
        </w:rPr>
        <w:t>（</w:t>
      </w:r>
      <w:r>
        <w:rPr>
          <w:rFonts w:hint="eastAsia" w:ascii="宋体" w:hAnsi="宋体"/>
          <w:color w:val="auto"/>
          <w:szCs w:val="21"/>
          <w:highlight w:val="none"/>
          <w:u w:val="single"/>
          <w:lang w:val="en-US" w:eastAsia="zh-CN"/>
        </w:rPr>
        <w:t>不计利息</w:t>
      </w:r>
      <w:r>
        <w:rPr>
          <w:rFonts w:hint="eastAsia" w:ascii="宋体" w:hAnsi="宋体"/>
          <w:color w:val="auto"/>
          <w:szCs w:val="21"/>
          <w:highlight w:val="none"/>
          <w:u w:val="single"/>
          <w:lang w:eastAsia="zh-CN"/>
        </w:rPr>
        <w:t>）</w:t>
      </w:r>
      <w:r>
        <w:rPr>
          <w:rFonts w:hint="eastAsia" w:ascii="宋体" w:hAnsi="宋体"/>
          <w:color w:val="auto"/>
          <w:szCs w:val="21"/>
          <w:highlight w:val="none"/>
          <w:u w:val="single"/>
        </w:rPr>
        <w:t>或者银行保函、工程保证保险保单、专业担保公司保函等形式。</w:t>
      </w:r>
    </w:p>
    <w:p w14:paraId="195B6933">
      <w:pPr>
        <w:keepNext w:val="0"/>
        <w:keepLines w:val="0"/>
        <w:pageBreakBefore w:val="0"/>
        <w:wordWrap/>
        <w:overflowPunct/>
        <w:topLinePunct w:val="0"/>
        <w:bidi w:val="0"/>
        <w:snapToGrid w:val="0"/>
        <w:spacing w:line="360" w:lineRule="auto"/>
        <w:ind w:left="0" w:leftChars="0" w:firstLine="0" w:firstLineChars="0"/>
        <w:textAlignment w:val="auto"/>
        <w:rPr>
          <w:rFonts w:ascii="宋体" w:hAnsi="宋体"/>
          <w:color w:val="auto"/>
          <w:szCs w:val="21"/>
          <w:highlight w:val="none"/>
        </w:rPr>
      </w:pPr>
      <w:r>
        <w:rPr>
          <w:rFonts w:hint="eastAsia" w:ascii="宋体" w:hAnsi="宋体"/>
          <w:color w:val="auto"/>
          <w:szCs w:val="21"/>
          <w:highlight w:val="none"/>
        </w:rPr>
        <w:t>提交履约保函的格式、金额和时间：</w:t>
      </w:r>
      <w:r>
        <w:rPr>
          <w:rFonts w:hint="eastAsia" w:ascii="宋体" w:hAnsi="宋体"/>
          <w:color w:val="auto"/>
          <w:szCs w:val="21"/>
          <w:highlight w:val="none"/>
          <w:u w:val="single"/>
        </w:rPr>
        <w:t>履约保函格式见本合同附件；金额为合同金额的</w:t>
      </w:r>
      <w:r>
        <w:rPr>
          <w:rFonts w:ascii="宋体" w:hAnsi="宋体"/>
          <w:color w:val="auto"/>
          <w:szCs w:val="21"/>
          <w:highlight w:val="none"/>
          <w:u w:val="single"/>
        </w:rPr>
        <w:t>10%；合同签订后7</w:t>
      </w:r>
      <w:r>
        <w:rPr>
          <w:rFonts w:hint="eastAsia" w:ascii="宋体" w:hAnsi="宋体"/>
          <w:color w:val="auto"/>
          <w:szCs w:val="21"/>
          <w:highlight w:val="none"/>
          <w:u w:val="single"/>
        </w:rPr>
        <w:t>个工作日内</w:t>
      </w:r>
      <w:r>
        <w:rPr>
          <w:rFonts w:ascii="宋体" w:hAnsi="宋体"/>
          <w:color w:val="auto"/>
          <w:szCs w:val="21"/>
          <w:highlight w:val="none"/>
          <w:u w:val="single"/>
        </w:rPr>
        <w:t xml:space="preserve"> ；</w:t>
      </w:r>
      <w:r>
        <w:rPr>
          <w:rFonts w:hint="eastAsia" w:ascii="宋体" w:hAnsi="宋体"/>
          <w:color w:val="auto"/>
          <w:szCs w:val="21"/>
          <w:highlight w:val="none"/>
          <w:u w:val="single"/>
        </w:rPr>
        <w:t>履约保函的有效期应涵盖至本合同竣工验收结束，如果工程发生了延期，承包人需免费延长履约保函有效期</w:t>
      </w:r>
      <w:r>
        <w:rPr>
          <w:rFonts w:hint="eastAsia" w:ascii="宋体" w:hAnsi="宋体"/>
          <w:color w:val="auto"/>
          <w:szCs w:val="21"/>
          <w:highlight w:val="none"/>
        </w:rPr>
        <w:t>。</w:t>
      </w:r>
    </w:p>
    <w:p w14:paraId="4C82058D">
      <w:pPr>
        <w:pStyle w:val="2"/>
        <w:keepNext w:val="0"/>
        <w:keepLines w:val="0"/>
        <w:pageBreakBefore w:val="0"/>
        <w:wordWrap/>
        <w:overflowPunct/>
        <w:topLinePunct w:val="0"/>
        <w:bidi w:val="0"/>
        <w:spacing w:line="360" w:lineRule="auto"/>
        <w:ind w:left="0" w:leftChars="0" w:firstLine="0" w:firstLineChars="0"/>
        <w:textAlignment w:val="auto"/>
        <w:rPr>
          <w:color w:val="auto"/>
          <w:highlight w:val="none"/>
        </w:rPr>
      </w:pPr>
    </w:p>
    <w:p w14:paraId="51947004">
      <w:pPr>
        <w:keepNext w:val="0"/>
        <w:keepLines w:val="0"/>
        <w:pageBreakBefore w:val="0"/>
        <w:wordWrap/>
        <w:overflowPunct/>
        <w:topLinePunct w:val="0"/>
        <w:bidi w:val="0"/>
        <w:snapToGrid w:val="0"/>
        <w:spacing w:line="360" w:lineRule="auto"/>
        <w:ind w:left="0" w:leftChars="0" w:firstLine="0" w:firstLineChars="0"/>
        <w:textAlignment w:val="auto"/>
        <w:rPr>
          <w:rFonts w:hint="eastAsia" w:ascii="宋体" w:hAnsi="宋体"/>
          <w:color w:val="auto"/>
          <w:szCs w:val="21"/>
          <w:highlight w:val="none"/>
        </w:rPr>
      </w:pPr>
      <w:r>
        <w:rPr>
          <w:rFonts w:hint="eastAsia" w:ascii="宋体" w:hAnsi="宋体"/>
          <w:color w:val="auto"/>
          <w:szCs w:val="21"/>
          <w:highlight w:val="none"/>
        </w:rPr>
        <w:t>13.2.2 预付款担保</w:t>
      </w:r>
    </w:p>
    <w:p w14:paraId="14CC2467">
      <w:pPr>
        <w:keepNext w:val="0"/>
        <w:keepLines w:val="0"/>
        <w:pageBreakBefore w:val="0"/>
        <w:wordWrap/>
        <w:overflowPunct/>
        <w:topLinePunct w:val="0"/>
        <w:bidi w:val="0"/>
        <w:snapToGrid w:val="0"/>
        <w:spacing w:line="360" w:lineRule="auto"/>
        <w:ind w:left="0" w:leftChars="0" w:firstLine="0" w:firstLineChars="0"/>
        <w:textAlignment w:val="auto"/>
        <w:rPr>
          <w:rFonts w:hint="eastAsia" w:ascii="宋体" w:hAnsi="宋体"/>
          <w:color w:val="auto"/>
          <w:szCs w:val="21"/>
          <w:highlight w:val="none"/>
        </w:rPr>
      </w:pPr>
      <w:r>
        <w:rPr>
          <w:rFonts w:hint="eastAsia" w:ascii="宋体" w:hAnsi="宋体"/>
          <w:color w:val="auto"/>
          <w:szCs w:val="21"/>
          <w:highlight w:val="none"/>
        </w:rPr>
        <w:t>承包人提交预付款担保的期限：</w:t>
      </w:r>
      <w:r>
        <w:rPr>
          <w:rFonts w:hint="eastAsia" w:ascii="宋体" w:hAnsi="宋体"/>
          <w:color w:val="auto"/>
          <w:szCs w:val="21"/>
          <w:highlight w:val="none"/>
          <w:u w:val="single"/>
        </w:rPr>
        <w:t xml:space="preserve">       /             </w:t>
      </w:r>
      <w:r>
        <w:rPr>
          <w:rFonts w:hint="eastAsia" w:ascii="宋体" w:hAnsi="宋体"/>
          <w:color w:val="auto"/>
          <w:szCs w:val="21"/>
          <w:highlight w:val="none"/>
        </w:rPr>
        <w:t>。</w:t>
      </w:r>
    </w:p>
    <w:p w14:paraId="5E17E9A5">
      <w:pPr>
        <w:keepNext w:val="0"/>
        <w:keepLines w:val="0"/>
        <w:pageBreakBefore w:val="0"/>
        <w:wordWrap/>
        <w:overflowPunct/>
        <w:topLinePunct w:val="0"/>
        <w:bidi w:val="0"/>
        <w:snapToGrid w:val="0"/>
        <w:spacing w:line="360" w:lineRule="auto"/>
        <w:ind w:left="0" w:leftChars="0" w:firstLine="0" w:firstLineChars="0"/>
        <w:textAlignment w:val="auto"/>
        <w:outlineLvl w:val="9"/>
        <w:rPr>
          <w:rFonts w:hint="eastAsia" w:ascii="宋体" w:hAnsi="宋体"/>
          <w:color w:val="auto"/>
          <w:szCs w:val="21"/>
          <w:highlight w:val="none"/>
        </w:rPr>
      </w:pPr>
      <w:r>
        <w:rPr>
          <w:rFonts w:hint="eastAsia" w:ascii="宋体" w:hAnsi="宋体"/>
          <w:color w:val="auto"/>
          <w:szCs w:val="21"/>
          <w:highlight w:val="none"/>
        </w:rPr>
        <w:t>预付款担保的形式为</w:t>
      </w:r>
      <w:r>
        <w:rPr>
          <w:rFonts w:hint="eastAsia" w:ascii="宋体" w:hAnsi="宋体"/>
          <w:color w:val="auto"/>
          <w:szCs w:val="21"/>
          <w:highlight w:val="none"/>
          <w:lang w:eastAsia="zh-CN"/>
        </w:rPr>
        <w:t>：</w:t>
      </w:r>
      <w:r>
        <w:rPr>
          <w:rFonts w:hint="eastAsia" w:ascii="宋体" w:hAnsi="宋体"/>
          <w:color w:val="auto"/>
          <w:szCs w:val="21"/>
          <w:highlight w:val="none"/>
          <w:u w:val="single"/>
        </w:rPr>
        <w:t xml:space="preserve">      /              </w:t>
      </w:r>
      <w:r>
        <w:rPr>
          <w:rFonts w:hint="eastAsia" w:ascii="宋体" w:hAnsi="宋体"/>
          <w:color w:val="auto"/>
          <w:szCs w:val="21"/>
          <w:highlight w:val="none"/>
        </w:rPr>
        <w:t>。</w:t>
      </w:r>
      <w:bookmarkStart w:id="294" w:name="_Toc76720067"/>
    </w:p>
    <w:p w14:paraId="16FDA77B">
      <w:pPr>
        <w:keepNext w:val="0"/>
        <w:keepLines w:val="0"/>
        <w:pageBreakBefore w:val="0"/>
        <w:wordWrap/>
        <w:overflowPunct/>
        <w:topLinePunct w:val="0"/>
        <w:bidi w:val="0"/>
        <w:snapToGrid w:val="0"/>
        <w:spacing w:line="360" w:lineRule="auto"/>
        <w:ind w:left="0" w:leftChars="0" w:firstLine="0" w:firstLineChars="0"/>
        <w:textAlignment w:val="auto"/>
        <w:outlineLvl w:val="3"/>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13.2.3 支付担保</w:t>
      </w:r>
    </w:p>
    <w:p w14:paraId="42EC6E81">
      <w:pPr>
        <w:pageBreakBefore w:val="0"/>
        <w:kinsoku/>
        <w:wordWrap/>
        <w:overflowPunct/>
        <w:topLinePunct w:val="0"/>
        <w:bidi w:val="0"/>
        <w:spacing w:line="360" w:lineRule="auto"/>
        <w:ind w:firstLine="0" w:firstLineChars="0"/>
        <w:rPr>
          <w:rFonts w:hint="eastAsia" w:ascii="宋体" w:cs="宋体"/>
          <w:color w:val="auto"/>
          <w:sz w:val="21"/>
          <w:szCs w:val="21"/>
          <w:highlight w:val="none"/>
          <w:u w:val="single"/>
        </w:rPr>
      </w:pPr>
      <w:r>
        <w:rPr>
          <w:rFonts w:hint="eastAsia" w:ascii="宋体" w:cs="宋体"/>
          <w:color w:val="auto"/>
          <w:sz w:val="21"/>
          <w:szCs w:val="21"/>
          <w:highlight w:val="none"/>
        </w:rPr>
        <w:t>发包人是否提供支付担保：</w:t>
      </w:r>
      <w:r>
        <w:rPr>
          <w:rFonts w:hint="eastAsia" w:ascii="宋体" w:cs="宋体"/>
          <w:color w:val="auto"/>
          <w:sz w:val="21"/>
          <w:szCs w:val="21"/>
          <w:highlight w:val="none"/>
          <w:u w:val="single"/>
        </w:rPr>
        <w:t xml:space="preserve"> </w:t>
      </w:r>
      <w:r>
        <w:rPr>
          <w:rFonts w:hint="eastAsia" w:ascii="宋体" w:cs="宋体"/>
          <w:color w:val="auto"/>
          <w:sz w:val="21"/>
          <w:szCs w:val="21"/>
          <w:highlight w:val="none"/>
          <w:u w:val="single"/>
          <w:lang w:eastAsia="zh-CN"/>
        </w:rPr>
        <w:t>承包人要求提供的，发包人于</w:t>
      </w:r>
      <w:r>
        <w:rPr>
          <w:rFonts w:hint="eastAsia" w:ascii="宋体" w:cs="宋体"/>
          <w:color w:val="auto"/>
          <w:sz w:val="21"/>
          <w:szCs w:val="21"/>
          <w:highlight w:val="none"/>
          <w:u w:val="single"/>
          <w:lang w:val="en-US" w:eastAsia="zh-CN"/>
        </w:rPr>
        <w:t>10天内</w:t>
      </w:r>
      <w:r>
        <w:rPr>
          <w:rFonts w:hint="eastAsia" w:ascii="宋体" w:cs="宋体"/>
          <w:color w:val="auto"/>
          <w:sz w:val="21"/>
          <w:szCs w:val="21"/>
          <w:highlight w:val="none"/>
          <w:u w:val="single"/>
          <w:lang w:eastAsia="zh-CN"/>
        </w:rPr>
        <w:t>提供</w:t>
      </w:r>
      <w:r>
        <w:rPr>
          <w:rFonts w:hint="eastAsia" w:ascii="宋体" w:cs="宋体"/>
          <w:color w:val="auto"/>
          <w:sz w:val="21"/>
          <w:szCs w:val="21"/>
          <w:highlight w:val="none"/>
          <w:u w:val="single"/>
        </w:rPr>
        <w:t>。</w:t>
      </w:r>
    </w:p>
    <w:p w14:paraId="73744C50">
      <w:pPr>
        <w:pageBreakBefore w:val="0"/>
        <w:kinsoku/>
        <w:wordWrap/>
        <w:overflowPunct/>
        <w:topLinePunct w:val="0"/>
        <w:bidi w:val="0"/>
        <w:spacing w:line="360" w:lineRule="auto"/>
        <w:ind w:firstLine="0" w:firstLineChars="0"/>
        <w:rPr>
          <w:rFonts w:hint="eastAsia" w:ascii="宋体" w:cs="宋体"/>
          <w:color w:val="auto"/>
          <w:sz w:val="21"/>
          <w:szCs w:val="21"/>
          <w:highlight w:val="none"/>
          <w:u w:val="single"/>
        </w:rPr>
      </w:pPr>
      <w:r>
        <w:rPr>
          <w:rFonts w:hint="eastAsia" w:ascii="宋体" w:cs="宋体"/>
          <w:color w:val="auto"/>
          <w:sz w:val="21"/>
          <w:szCs w:val="21"/>
          <w:highlight w:val="none"/>
        </w:rPr>
        <w:t>发包人提供支付担保的形式：</w:t>
      </w:r>
      <w:r>
        <w:rPr>
          <w:rFonts w:hint="eastAsia" w:ascii="宋体" w:cs="宋体"/>
          <w:color w:val="auto"/>
          <w:sz w:val="21"/>
          <w:szCs w:val="21"/>
          <w:highlight w:val="none"/>
          <w:u w:val="single"/>
        </w:rPr>
        <w:t xml:space="preserve"> 银行保函形式 。</w:t>
      </w:r>
    </w:p>
    <w:p w14:paraId="59DFBE95">
      <w:pPr>
        <w:pageBreakBefore w:val="0"/>
        <w:kinsoku/>
        <w:wordWrap/>
        <w:overflowPunct/>
        <w:topLinePunct w:val="0"/>
        <w:bidi w:val="0"/>
        <w:spacing w:line="360" w:lineRule="auto"/>
        <w:ind w:firstLine="0" w:firstLineChars="0"/>
        <w:rPr>
          <w:rFonts w:hint="eastAsia" w:ascii="宋体" w:cs="宋体"/>
          <w:color w:val="auto"/>
          <w:sz w:val="21"/>
          <w:szCs w:val="21"/>
          <w:highlight w:val="none"/>
          <w:u w:val="single"/>
        </w:rPr>
      </w:pPr>
      <w:r>
        <w:rPr>
          <w:rFonts w:hint="eastAsia" w:ascii="宋体" w:cs="宋体"/>
          <w:color w:val="auto"/>
          <w:sz w:val="21"/>
          <w:szCs w:val="21"/>
          <w:highlight w:val="none"/>
        </w:rPr>
        <w:t>出具银行保函的银行级别：</w:t>
      </w:r>
      <w:r>
        <w:rPr>
          <w:rFonts w:hint="eastAsia" w:ascii="宋体" w:cs="宋体"/>
          <w:color w:val="auto"/>
          <w:sz w:val="21"/>
          <w:szCs w:val="21"/>
          <w:highlight w:val="none"/>
          <w:u w:val="single"/>
        </w:rPr>
        <w:t>国有商业银行或股份制商业银行的二级分（支）行或以上级别的银行</w:t>
      </w:r>
      <w:r>
        <w:rPr>
          <w:rFonts w:hint="eastAsia" w:ascii="宋体" w:cs="宋体"/>
          <w:color w:val="auto"/>
          <w:sz w:val="21"/>
          <w:szCs w:val="21"/>
          <w:highlight w:val="none"/>
          <w:u w:val="single"/>
          <w:lang w:eastAsia="zh-CN"/>
        </w:rPr>
        <w:t>。</w:t>
      </w:r>
      <w:r>
        <w:rPr>
          <w:rFonts w:hint="eastAsia" w:ascii="宋体" w:cs="宋体"/>
          <w:color w:val="auto"/>
          <w:sz w:val="21"/>
          <w:szCs w:val="21"/>
          <w:highlight w:val="none"/>
          <w:u w:val="single"/>
        </w:rPr>
        <w:t>若在银行保函有效期满后工程尚未完工，</w:t>
      </w:r>
      <w:r>
        <w:rPr>
          <w:rFonts w:hint="eastAsia" w:ascii="宋体" w:cs="宋体"/>
          <w:color w:val="auto"/>
          <w:sz w:val="21"/>
          <w:szCs w:val="21"/>
          <w:highlight w:val="none"/>
          <w:u w:val="single"/>
          <w:lang w:eastAsia="zh-CN"/>
        </w:rPr>
        <w:t>发</w:t>
      </w:r>
      <w:r>
        <w:rPr>
          <w:rFonts w:hint="eastAsia" w:ascii="宋体" w:cs="宋体"/>
          <w:color w:val="auto"/>
          <w:sz w:val="21"/>
          <w:szCs w:val="21"/>
          <w:highlight w:val="none"/>
          <w:u w:val="single"/>
        </w:rPr>
        <w:t>包人须办理续保手续。</w:t>
      </w:r>
    </w:p>
    <w:p w14:paraId="1D144FC0">
      <w:pPr>
        <w:pageBreakBefore w:val="0"/>
        <w:kinsoku/>
        <w:wordWrap/>
        <w:overflowPunct/>
        <w:topLinePunct w:val="0"/>
        <w:bidi w:val="0"/>
        <w:spacing w:line="360" w:lineRule="auto"/>
        <w:ind w:firstLine="0" w:firstLineChars="0"/>
        <w:rPr>
          <w:rFonts w:hint="eastAsia" w:ascii="宋体" w:cs="宋体"/>
          <w:b/>
          <w:color w:val="auto"/>
          <w:sz w:val="21"/>
          <w:szCs w:val="21"/>
          <w:highlight w:val="none"/>
          <w:u w:val="single"/>
        </w:rPr>
      </w:pPr>
      <w:r>
        <w:rPr>
          <w:rFonts w:hint="eastAsia" w:ascii="宋体" w:cs="宋体"/>
          <w:color w:val="auto"/>
          <w:sz w:val="21"/>
          <w:szCs w:val="21"/>
          <w:highlight w:val="none"/>
          <w:lang w:eastAsia="zh-CN"/>
        </w:rPr>
        <w:t>支付</w:t>
      </w:r>
      <w:r>
        <w:rPr>
          <w:rFonts w:hint="eastAsia" w:ascii="宋体" w:cs="宋体"/>
          <w:color w:val="auto"/>
          <w:sz w:val="21"/>
          <w:szCs w:val="21"/>
          <w:highlight w:val="none"/>
        </w:rPr>
        <w:t>担保金额：</w:t>
      </w:r>
      <w:r>
        <w:rPr>
          <w:rFonts w:hint="eastAsia" w:ascii="宋体" w:cs="宋体"/>
          <w:b/>
          <w:bCs/>
          <w:color w:val="auto"/>
          <w:sz w:val="21"/>
          <w:szCs w:val="21"/>
          <w:highlight w:val="none"/>
          <w:u w:val="single"/>
          <w:lang w:val="en-US" w:eastAsia="zh-CN"/>
        </w:rPr>
        <w:t>合同总价</w:t>
      </w:r>
      <w:r>
        <w:rPr>
          <w:rFonts w:hint="eastAsia" w:ascii="宋体" w:cs="宋体"/>
          <w:b/>
          <w:color w:val="auto"/>
          <w:sz w:val="21"/>
          <w:szCs w:val="21"/>
          <w:highlight w:val="none"/>
          <w:u w:val="single"/>
        </w:rPr>
        <w:t>的10%，即</w:t>
      </w:r>
      <w:r>
        <w:rPr>
          <w:rFonts w:hint="eastAsia" w:ascii="宋体" w:cs="宋体"/>
          <w:b/>
          <w:color w:val="auto"/>
          <w:sz w:val="21"/>
          <w:szCs w:val="21"/>
          <w:highlight w:val="none"/>
          <w:u w:val="single"/>
          <w:lang w:eastAsia="zh-CN"/>
        </w:rPr>
        <w:t>￥</w:t>
      </w:r>
      <w:r>
        <w:rPr>
          <w:rFonts w:hint="eastAsia" w:ascii="宋体" w:cs="宋体"/>
          <w:b/>
          <w:color w:val="auto"/>
          <w:sz w:val="21"/>
          <w:szCs w:val="21"/>
          <w:highlight w:val="none"/>
          <w:u w:val="single"/>
          <w:lang w:val="en-US" w:eastAsia="zh-CN"/>
        </w:rPr>
        <w:t xml:space="preserve">         元</w:t>
      </w:r>
      <w:r>
        <w:rPr>
          <w:rFonts w:hint="eastAsia" w:ascii="宋体" w:cs="宋体"/>
          <w:b/>
          <w:color w:val="auto"/>
          <w:sz w:val="21"/>
          <w:szCs w:val="21"/>
          <w:highlight w:val="none"/>
          <w:u w:val="single"/>
        </w:rPr>
        <w:t>；</w:t>
      </w:r>
    </w:p>
    <w:p w14:paraId="69D85FB5">
      <w:pPr>
        <w:pageBreakBefore w:val="0"/>
        <w:kinsoku/>
        <w:wordWrap/>
        <w:overflowPunct/>
        <w:topLinePunct w:val="0"/>
        <w:bidi w:val="0"/>
        <w:spacing w:line="360" w:lineRule="auto"/>
        <w:ind w:firstLine="0" w:firstLineChars="0"/>
        <w:jc w:val="left"/>
        <w:rPr>
          <w:rFonts w:hint="eastAsia" w:ascii="宋体" w:cs="宋体"/>
          <w:b/>
          <w:color w:val="auto"/>
          <w:sz w:val="21"/>
          <w:szCs w:val="21"/>
          <w:highlight w:val="none"/>
          <w:u w:val="single"/>
        </w:rPr>
      </w:pPr>
      <w:r>
        <w:rPr>
          <w:rFonts w:hint="eastAsia" w:ascii="宋体" w:cs="宋体"/>
          <w:color w:val="auto"/>
          <w:sz w:val="21"/>
          <w:szCs w:val="21"/>
          <w:highlight w:val="none"/>
        </w:rPr>
        <w:t>期限：</w:t>
      </w:r>
      <w:r>
        <w:rPr>
          <w:rFonts w:hint="eastAsia" w:ascii="宋体" w:cs="宋体"/>
          <w:color w:val="auto"/>
          <w:sz w:val="21"/>
          <w:szCs w:val="21"/>
          <w:highlight w:val="none"/>
          <w:lang w:eastAsia="zh-CN"/>
        </w:rPr>
        <w:t>支付担保</w:t>
      </w:r>
      <w:r>
        <w:rPr>
          <w:rFonts w:hint="eastAsia" w:ascii="宋体" w:cs="宋体"/>
          <w:color w:val="auto"/>
          <w:sz w:val="21"/>
          <w:szCs w:val="21"/>
          <w:highlight w:val="none"/>
        </w:rPr>
        <w:t>有效期</w:t>
      </w:r>
      <w:r>
        <w:rPr>
          <w:rFonts w:hint="eastAsia" w:ascii="宋体" w:cs="宋体"/>
          <w:color w:val="auto"/>
          <w:sz w:val="21"/>
          <w:szCs w:val="21"/>
          <w:highlight w:val="none"/>
          <w:lang w:eastAsia="zh-CN"/>
        </w:rPr>
        <w:t>与合同执行期一致</w:t>
      </w:r>
      <w:r>
        <w:rPr>
          <w:rFonts w:hint="eastAsia" w:ascii="宋体" w:cs="宋体"/>
          <w:color w:val="auto"/>
          <w:sz w:val="21"/>
          <w:szCs w:val="21"/>
          <w:highlight w:val="none"/>
        </w:rPr>
        <w:t>。</w:t>
      </w:r>
    </w:p>
    <w:p w14:paraId="7DD38BDA">
      <w:pPr>
        <w:pStyle w:val="2"/>
        <w:spacing w:line="360" w:lineRule="auto"/>
        <w:ind w:firstLine="0" w:firstLineChars="0"/>
        <w:rPr>
          <w:rFonts w:hint="default"/>
          <w:color w:val="auto"/>
          <w:highlight w:val="none"/>
        </w:rPr>
      </w:pPr>
      <w:r>
        <w:rPr>
          <w:rFonts w:hint="eastAsia" w:asciiTheme="majorEastAsia" w:hAnsiTheme="majorEastAsia" w:eastAsiaTheme="majorEastAsia" w:cstheme="majorEastAsia"/>
          <w:color w:val="auto"/>
          <w:highlight w:val="none"/>
          <w:lang w:val="en-US" w:eastAsia="zh-CN"/>
        </w:rPr>
        <w:t>13.2.4</w:t>
      </w:r>
      <w:r>
        <w:rPr>
          <w:rFonts w:hint="eastAsia"/>
          <w:color w:val="auto"/>
          <w:highlight w:val="none"/>
          <w:lang w:val="en-US" w:eastAsia="zh-CN"/>
        </w:rPr>
        <w:t xml:space="preserve"> </w:t>
      </w:r>
      <w:r>
        <w:rPr>
          <w:rFonts w:hint="default"/>
          <w:color w:val="auto"/>
          <w:highlight w:val="none"/>
        </w:rPr>
        <w:t>低价风险担保</w:t>
      </w:r>
    </w:p>
    <w:p w14:paraId="267D7DD0">
      <w:pPr>
        <w:snapToGrid w:val="0"/>
        <w:spacing w:line="360" w:lineRule="auto"/>
        <w:ind w:firstLine="0" w:firstLineChars="0"/>
        <w:rPr>
          <w:rFonts w:hint="eastAsia" w:ascii="宋体" w:hAnsi="宋体" w:eastAsia="宋体" w:cs="Times New Roman"/>
          <w:color w:val="auto"/>
          <w:szCs w:val="21"/>
          <w:highlight w:val="none"/>
          <w:u w:val="single"/>
          <w:lang w:val="en-US" w:eastAsia="zh-CN"/>
        </w:rPr>
      </w:pPr>
      <w:r>
        <w:rPr>
          <w:rFonts w:hint="default" w:ascii="宋体" w:hAnsi="宋体" w:eastAsia="宋体" w:cs="Times New Roman"/>
          <w:color w:val="auto"/>
          <w:szCs w:val="21"/>
          <w:highlight w:val="none"/>
          <w:u w:val="single"/>
        </w:rPr>
        <w:t>当中标价低于风险控制价时，</w:t>
      </w:r>
      <w:r>
        <w:rPr>
          <w:rFonts w:hint="eastAsia" w:ascii="宋体" w:hAnsi="宋体" w:eastAsia="宋体" w:cs="Times New Roman"/>
          <w:color w:val="auto"/>
          <w:szCs w:val="21"/>
          <w:highlight w:val="none"/>
          <w:u w:val="single"/>
          <w:lang w:val="en-US" w:eastAsia="zh-CN"/>
        </w:rPr>
        <w:t>承包人</w:t>
      </w:r>
      <w:r>
        <w:rPr>
          <w:rFonts w:hint="default" w:ascii="宋体" w:hAnsi="宋体" w:eastAsia="宋体" w:cs="Times New Roman"/>
          <w:color w:val="auto"/>
          <w:szCs w:val="21"/>
          <w:highlight w:val="none"/>
          <w:u w:val="single"/>
        </w:rPr>
        <w:t>应当在合同签订前提供</w:t>
      </w:r>
      <w:r>
        <w:rPr>
          <w:rFonts w:hint="eastAsia" w:ascii="宋体" w:hAnsi="宋体" w:eastAsia="宋体" w:cs="Times New Roman"/>
          <w:color w:val="auto"/>
          <w:szCs w:val="21"/>
          <w:highlight w:val="none"/>
          <w:u w:val="single"/>
          <w:lang w:val="en-US" w:eastAsia="zh-CN"/>
        </w:rPr>
        <w:t>低</w:t>
      </w:r>
      <w:r>
        <w:rPr>
          <w:rFonts w:hint="default" w:ascii="宋体" w:hAnsi="宋体" w:eastAsia="宋体" w:cs="Times New Roman"/>
          <w:color w:val="auto"/>
          <w:szCs w:val="21"/>
          <w:highlight w:val="none"/>
          <w:u w:val="single"/>
        </w:rPr>
        <w:t>价风险担保。</w:t>
      </w:r>
      <w:r>
        <w:rPr>
          <w:rFonts w:hint="eastAsia" w:ascii="宋体" w:hAnsi="宋体" w:eastAsia="宋体" w:cs="Times New Roman"/>
          <w:color w:val="auto"/>
          <w:szCs w:val="21"/>
          <w:highlight w:val="none"/>
          <w:u w:val="single"/>
          <w:lang w:val="en-US" w:eastAsia="zh-CN"/>
        </w:rPr>
        <w:t>担保形式</w:t>
      </w:r>
      <w:r>
        <w:rPr>
          <w:rFonts w:hint="eastAsia" w:ascii="宋体" w:hAnsi="宋体"/>
          <w:color w:val="auto"/>
          <w:szCs w:val="21"/>
          <w:highlight w:val="none"/>
          <w:u w:val="single"/>
        </w:rPr>
        <w:t>可采用现金</w:t>
      </w:r>
      <w:r>
        <w:rPr>
          <w:rFonts w:hint="eastAsia" w:ascii="宋体" w:hAnsi="宋体"/>
          <w:color w:val="auto"/>
          <w:szCs w:val="21"/>
          <w:highlight w:val="none"/>
          <w:u w:val="single"/>
          <w:lang w:eastAsia="zh-CN"/>
        </w:rPr>
        <w:t>（</w:t>
      </w:r>
      <w:r>
        <w:rPr>
          <w:rFonts w:hint="eastAsia" w:ascii="宋体" w:hAnsi="宋体"/>
          <w:color w:val="auto"/>
          <w:szCs w:val="21"/>
          <w:highlight w:val="none"/>
          <w:u w:val="single"/>
          <w:lang w:val="en-US" w:eastAsia="zh-CN"/>
        </w:rPr>
        <w:t>不计利息</w:t>
      </w:r>
      <w:r>
        <w:rPr>
          <w:rFonts w:hint="eastAsia" w:ascii="宋体" w:hAnsi="宋体"/>
          <w:color w:val="auto"/>
          <w:szCs w:val="21"/>
          <w:highlight w:val="none"/>
          <w:u w:val="single"/>
          <w:lang w:eastAsia="zh-CN"/>
        </w:rPr>
        <w:t>）</w:t>
      </w:r>
      <w:r>
        <w:rPr>
          <w:rFonts w:hint="eastAsia" w:ascii="宋体" w:hAnsi="宋体"/>
          <w:color w:val="auto"/>
          <w:szCs w:val="21"/>
          <w:highlight w:val="none"/>
          <w:u w:val="single"/>
        </w:rPr>
        <w:t>或者银行保函、工程保证保险保单、专业担保公司保函等形式。</w:t>
      </w:r>
      <w:r>
        <w:rPr>
          <w:rFonts w:hint="default" w:ascii="宋体" w:hAnsi="宋体" w:eastAsia="宋体" w:cs="Times New Roman"/>
          <w:color w:val="auto"/>
          <w:szCs w:val="21"/>
          <w:highlight w:val="none"/>
          <w:u w:val="single"/>
        </w:rPr>
        <w:t>低价风险担保金额＝风险控制价-中标价。低价风险担保在项目验收后30日内进行退还。</w:t>
      </w:r>
    </w:p>
    <w:p w14:paraId="79BC4950">
      <w:pPr>
        <w:pStyle w:val="2"/>
        <w:ind w:firstLine="0" w:firstLineChars="0"/>
        <w:rPr>
          <w:rFonts w:hint="default"/>
          <w:color w:val="auto"/>
          <w:highlight w:val="none"/>
          <w:lang w:val="en-US" w:eastAsia="zh-CN"/>
        </w:rPr>
      </w:pPr>
    </w:p>
    <w:p w14:paraId="05EA2C04">
      <w:pPr>
        <w:keepNext w:val="0"/>
        <w:keepLines w:val="0"/>
        <w:pageBreakBefore w:val="0"/>
        <w:wordWrap/>
        <w:overflowPunct/>
        <w:topLinePunct w:val="0"/>
        <w:bidi w:val="0"/>
        <w:snapToGrid w:val="0"/>
        <w:spacing w:line="360" w:lineRule="auto"/>
        <w:ind w:left="0" w:leftChars="0" w:firstLine="0" w:firstLineChars="0"/>
        <w:textAlignment w:val="auto"/>
        <w:outlineLvl w:val="3"/>
        <w:rPr>
          <w:rFonts w:ascii="宋体" w:hAnsi="宋体"/>
          <w:color w:val="auto"/>
          <w:szCs w:val="21"/>
          <w:highlight w:val="none"/>
        </w:rPr>
      </w:pPr>
      <w:r>
        <w:rPr>
          <w:rFonts w:hint="eastAsia" w:ascii="宋体" w:hAnsi="宋体"/>
          <w:color w:val="auto"/>
          <w:szCs w:val="21"/>
          <w:highlight w:val="none"/>
        </w:rPr>
        <w:t xml:space="preserve">13.3   </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预付款</w:t>
      </w:r>
      <w:bookmarkEnd w:id="294"/>
    </w:p>
    <w:p w14:paraId="67C25414">
      <w:pPr>
        <w:keepNext w:val="0"/>
        <w:keepLines w:val="0"/>
        <w:pageBreakBefore w:val="0"/>
        <w:wordWrap/>
        <w:overflowPunct/>
        <w:topLinePunct w:val="0"/>
        <w:bidi w:val="0"/>
        <w:snapToGrid w:val="0"/>
        <w:spacing w:line="360" w:lineRule="auto"/>
        <w:ind w:left="0" w:leftChars="0" w:firstLine="0" w:firstLineChars="0"/>
        <w:textAlignment w:val="auto"/>
        <w:rPr>
          <w:rFonts w:ascii="宋体" w:hAnsi="宋体"/>
          <w:color w:val="auto"/>
          <w:szCs w:val="21"/>
          <w:highlight w:val="none"/>
        </w:rPr>
      </w:pPr>
      <w:r>
        <w:rPr>
          <w:rFonts w:hint="eastAsia" w:ascii="宋体" w:hAnsi="宋体"/>
          <w:color w:val="auto"/>
          <w:szCs w:val="21"/>
          <w:highlight w:val="none"/>
        </w:rPr>
        <w:t>13.3.1   预付款金额</w:t>
      </w:r>
    </w:p>
    <w:p w14:paraId="2A0B4C48">
      <w:pPr>
        <w:keepNext w:val="0"/>
        <w:keepLines w:val="0"/>
        <w:pageBreakBefore w:val="0"/>
        <w:wordWrap/>
        <w:overflowPunct/>
        <w:topLinePunct w:val="0"/>
        <w:bidi w:val="0"/>
        <w:snapToGrid w:val="0"/>
        <w:spacing w:line="360" w:lineRule="auto"/>
        <w:ind w:left="0" w:leftChars="0" w:firstLine="0" w:firstLineChars="0"/>
        <w:textAlignment w:val="auto"/>
        <w:rPr>
          <w:rFonts w:ascii="宋体" w:hAnsi="宋体"/>
          <w:color w:val="auto"/>
          <w:szCs w:val="21"/>
          <w:highlight w:val="none"/>
        </w:rPr>
      </w:pPr>
      <w:r>
        <w:rPr>
          <w:rFonts w:hint="eastAsia" w:ascii="宋体" w:hAnsi="宋体"/>
          <w:color w:val="auto"/>
          <w:szCs w:val="21"/>
          <w:highlight w:val="none"/>
        </w:rPr>
        <w:t>预付款的金额为：</w:t>
      </w:r>
      <w:r>
        <w:rPr>
          <w:rFonts w:hint="eastAsia" w:ascii="宋体" w:hAnsi="宋体"/>
          <w:color w:val="auto"/>
          <w:szCs w:val="21"/>
          <w:highlight w:val="none"/>
          <w:u w:val="single"/>
        </w:rPr>
        <w:t>合同金额的</w:t>
      </w:r>
      <w:r>
        <w:rPr>
          <w:rFonts w:hint="eastAsia" w:ascii="宋体" w:hAnsi="宋体"/>
          <w:color w:val="auto"/>
          <w:szCs w:val="21"/>
          <w:highlight w:val="none"/>
          <w:u w:val="single"/>
          <w:lang w:val="en-US" w:eastAsia="zh-CN"/>
        </w:rPr>
        <w:t>20</w:t>
      </w:r>
      <w:r>
        <w:rPr>
          <w:rFonts w:hint="eastAsia" w:ascii="宋体" w:hAnsi="宋体"/>
          <w:color w:val="auto"/>
          <w:szCs w:val="21"/>
          <w:highlight w:val="none"/>
          <w:u w:val="single"/>
        </w:rPr>
        <w:t>%，</w:t>
      </w:r>
      <w:r>
        <w:rPr>
          <w:rFonts w:hint="eastAsia" w:ascii="宋体" w:hAnsi="宋体"/>
          <w:color w:val="auto"/>
          <w:szCs w:val="21"/>
          <w:highlight w:val="none"/>
        </w:rPr>
        <w:t>即人民币</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w:t>
      </w:r>
      <w:r>
        <w:rPr>
          <w:rFonts w:hint="eastAsia" w:ascii="宋体" w:hAnsi="宋体"/>
          <w:color w:val="auto"/>
          <w:szCs w:val="21"/>
          <w:highlight w:val="none"/>
        </w:rPr>
        <w:t>元</w:t>
      </w:r>
      <w:r>
        <w:rPr>
          <w:rFonts w:hint="eastAsia" w:ascii="宋体" w:hAnsi="宋体"/>
          <w:color w:val="auto"/>
          <w:szCs w:val="21"/>
          <w:highlight w:val="none"/>
          <w:u w:val="single"/>
        </w:rPr>
        <w:t>（本项目预付款已包含全额绿色施工安全防护措施费、工人工资支付保证金在内。）</w:t>
      </w:r>
      <w:r>
        <w:rPr>
          <w:rFonts w:hint="eastAsia" w:ascii="宋体" w:hAnsi="宋体"/>
          <w:color w:val="auto"/>
          <w:szCs w:val="21"/>
          <w:highlight w:val="none"/>
        </w:rPr>
        <w:t>；</w:t>
      </w:r>
    </w:p>
    <w:p w14:paraId="33FF65DA">
      <w:pPr>
        <w:keepNext w:val="0"/>
        <w:keepLines w:val="0"/>
        <w:pageBreakBefore w:val="0"/>
        <w:wordWrap/>
        <w:overflowPunct/>
        <w:topLinePunct w:val="0"/>
        <w:bidi w:val="0"/>
        <w:snapToGrid w:val="0"/>
        <w:spacing w:line="360" w:lineRule="auto"/>
        <w:ind w:left="0" w:leftChars="0" w:firstLine="0" w:firstLineChars="0"/>
        <w:textAlignment w:val="auto"/>
        <w:rPr>
          <w:rFonts w:hint="eastAsia" w:ascii="宋体" w:hAnsi="宋体" w:eastAsia="宋体"/>
          <w:color w:val="auto"/>
          <w:szCs w:val="21"/>
          <w:highlight w:val="none"/>
          <w:lang w:eastAsia="zh-CN"/>
        </w:rPr>
      </w:pPr>
      <w:r>
        <w:rPr>
          <w:rFonts w:hint="eastAsia" w:ascii="宋体" w:hAnsi="宋体"/>
          <w:color w:val="auto"/>
          <w:szCs w:val="21"/>
          <w:highlight w:val="none"/>
        </w:rPr>
        <w:t>13.3.2   预付款支付：</w:t>
      </w:r>
      <w:r>
        <w:rPr>
          <w:rFonts w:hint="eastAsia" w:ascii="宋体" w:hAnsi="宋体"/>
          <w:b/>
          <w:bCs/>
          <w:color w:val="auto"/>
          <w:szCs w:val="21"/>
          <w:highlight w:val="none"/>
        </w:rPr>
        <w:t>在合同生效后承包人提供增值税发票后</w:t>
      </w:r>
      <w:r>
        <w:rPr>
          <w:rFonts w:hint="eastAsia" w:ascii="宋体" w:hAnsi="宋体"/>
          <w:b/>
          <w:bCs/>
          <w:color w:val="auto"/>
          <w:szCs w:val="21"/>
          <w:highlight w:val="none"/>
          <w:lang w:val="en-US" w:eastAsia="zh-CN"/>
        </w:rPr>
        <w:t>1</w:t>
      </w:r>
      <w:r>
        <w:rPr>
          <w:rFonts w:hint="eastAsia" w:ascii="宋体" w:hAnsi="宋体"/>
          <w:b/>
          <w:bCs/>
          <w:color w:val="auto"/>
          <w:szCs w:val="21"/>
          <w:highlight w:val="none"/>
        </w:rPr>
        <w:t>0个工作日内，发包人按合同</w:t>
      </w:r>
      <w:r>
        <w:rPr>
          <w:rFonts w:hint="eastAsia" w:ascii="宋体" w:hAnsi="宋体" w:cs="宋体"/>
          <w:b/>
          <w:bCs/>
          <w:color w:val="auto"/>
          <w:szCs w:val="21"/>
          <w:highlight w:val="none"/>
          <w:lang w:eastAsia="zh-CN"/>
        </w:rPr>
        <w:t>暂定总</w:t>
      </w:r>
      <w:r>
        <w:rPr>
          <w:rFonts w:hint="eastAsia" w:ascii="宋体" w:hAnsi="宋体"/>
          <w:b/>
          <w:bCs/>
          <w:color w:val="auto"/>
          <w:szCs w:val="21"/>
          <w:highlight w:val="none"/>
        </w:rPr>
        <w:t>价款的</w:t>
      </w:r>
      <w:r>
        <w:rPr>
          <w:rFonts w:hint="eastAsia" w:ascii="宋体" w:hAnsi="宋体"/>
          <w:b/>
          <w:bCs/>
          <w:color w:val="auto"/>
          <w:szCs w:val="21"/>
          <w:highlight w:val="none"/>
          <w:lang w:val="en-US" w:eastAsia="zh-CN"/>
        </w:rPr>
        <w:t>20%</w:t>
      </w:r>
      <w:r>
        <w:rPr>
          <w:rFonts w:hint="eastAsia" w:ascii="宋体" w:hAnsi="宋体"/>
          <w:b/>
          <w:bCs/>
          <w:color w:val="auto"/>
          <w:szCs w:val="21"/>
          <w:highlight w:val="none"/>
        </w:rPr>
        <w:t>支付（</w:t>
      </w:r>
      <w:r>
        <w:rPr>
          <w:rFonts w:hint="eastAsia" w:ascii="宋体" w:hAnsi="宋体" w:cs="宋体"/>
          <w:b/>
          <w:bCs/>
          <w:color w:val="auto"/>
          <w:szCs w:val="21"/>
          <w:highlight w:val="none"/>
        </w:rPr>
        <w:t>本项目预付款已包含全额</w:t>
      </w:r>
      <w:r>
        <w:rPr>
          <w:rFonts w:hint="eastAsia" w:ascii="宋体"/>
          <w:b/>
          <w:bCs/>
          <w:color w:val="auto"/>
          <w:kern w:val="0"/>
          <w:szCs w:val="21"/>
          <w:highlight w:val="none"/>
        </w:rPr>
        <w:t>绿色施工安全防护措施费、工人工资支付保证金在内</w:t>
      </w:r>
      <w:r>
        <w:rPr>
          <w:rFonts w:hint="eastAsia" w:ascii="宋体" w:hAnsi="宋体" w:cs="宋体"/>
          <w:b/>
          <w:bCs/>
          <w:color w:val="auto"/>
          <w:szCs w:val="21"/>
          <w:highlight w:val="none"/>
        </w:rPr>
        <w:t>）</w:t>
      </w:r>
      <w:r>
        <w:rPr>
          <w:rFonts w:hint="eastAsia" w:ascii="宋体" w:hAnsi="宋体"/>
          <w:b/>
          <w:bCs/>
          <w:color w:val="auto"/>
          <w:szCs w:val="21"/>
          <w:highlight w:val="none"/>
        </w:rPr>
        <w:t>。</w:t>
      </w:r>
    </w:p>
    <w:p w14:paraId="708B4D1C">
      <w:pPr>
        <w:keepNext w:val="0"/>
        <w:keepLines w:val="0"/>
        <w:pageBreakBefore w:val="0"/>
        <w:wordWrap/>
        <w:overflowPunct/>
        <w:topLinePunct w:val="0"/>
        <w:bidi w:val="0"/>
        <w:snapToGrid w:val="0"/>
        <w:spacing w:line="360" w:lineRule="auto"/>
        <w:ind w:left="0" w:leftChars="0" w:firstLine="0" w:firstLineChars="0"/>
        <w:textAlignment w:val="auto"/>
        <w:rPr>
          <w:rFonts w:ascii="宋体" w:hAnsi="宋体"/>
          <w:color w:val="auto"/>
          <w:szCs w:val="21"/>
          <w:highlight w:val="none"/>
        </w:rPr>
      </w:pPr>
      <w:r>
        <w:rPr>
          <w:rFonts w:hint="eastAsia" w:ascii="宋体" w:hAnsi="宋体"/>
          <w:color w:val="auto"/>
          <w:highlight w:val="none"/>
        </w:rPr>
        <w:t xml:space="preserve">13.3.3   </w:t>
      </w:r>
      <w:r>
        <w:rPr>
          <w:rFonts w:hint="eastAsia" w:ascii="宋体" w:hAnsi="宋体"/>
          <w:color w:val="auto"/>
          <w:szCs w:val="21"/>
          <w:highlight w:val="none"/>
        </w:rPr>
        <w:t>预付款扣回：</w:t>
      </w:r>
      <w:r>
        <w:rPr>
          <w:rFonts w:hint="eastAsia" w:ascii="宋体" w:hAnsi="宋体"/>
          <w:color w:val="auto"/>
          <w:highlight w:val="none"/>
        </w:rPr>
        <w:t>预付款不予</w:t>
      </w:r>
      <w:r>
        <w:rPr>
          <w:rFonts w:hint="eastAsia" w:ascii="宋体" w:hAnsi="宋体"/>
          <w:color w:val="auto"/>
          <w:szCs w:val="21"/>
          <w:highlight w:val="none"/>
        </w:rPr>
        <w:t>扣回</w:t>
      </w:r>
      <w:r>
        <w:rPr>
          <w:rFonts w:hint="eastAsia" w:ascii="宋体" w:hAnsi="宋体"/>
          <w:color w:val="auto"/>
          <w:highlight w:val="none"/>
        </w:rPr>
        <w:t>。</w:t>
      </w:r>
      <w:r>
        <w:rPr>
          <w:rFonts w:hint="eastAsia" w:ascii="宋体" w:hAnsi="宋体"/>
          <w:color w:val="auto"/>
          <w:szCs w:val="21"/>
          <w:highlight w:val="none"/>
        </w:rPr>
        <w:t xml:space="preserve">                </w:t>
      </w:r>
    </w:p>
    <w:p w14:paraId="1B663A49">
      <w:pPr>
        <w:keepNext w:val="0"/>
        <w:keepLines w:val="0"/>
        <w:pageBreakBefore w:val="0"/>
        <w:wordWrap/>
        <w:overflowPunct/>
        <w:topLinePunct w:val="0"/>
        <w:bidi w:val="0"/>
        <w:snapToGrid w:val="0"/>
        <w:spacing w:line="360" w:lineRule="auto"/>
        <w:ind w:left="0" w:leftChars="0" w:firstLine="0" w:firstLineChars="0"/>
        <w:textAlignment w:val="auto"/>
        <w:outlineLvl w:val="3"/>
        <w:rPr>
          <w:rFonts w:ascii="宋体" w:hAnsi="宋体"/>
          <w:color w:val="auto"/>
          <w:szCs w:val="21"/>
          <w:highlight w:val="none"/>
        </w:rPr>
      </w:pPr>
      <w:bookmarkStart w:id="295" w:name="_Toc76720068"/>
      <w:r>
        <w:rPr>
          <w:rFonts w:hint="eastAsia" w:ascii="宋体" w:hAnsi="宋体"/>
          <w:color w:val="auto"/>
          <w:szCs w:val="21"/>
          <w:highlight w:val="none"/>
        </w:rPr>
        <w:t>13.4   工程进度款</w:t>
      </w:r>
      <w:bookmarkEnd w:id="295"/>
    </w:p>
    <w:p w14:paraId="08CF6C12">
      <w:pPr>
        <w:keepNext w:val="0"/>
        <w:keepLines w:val="0"/>
        <w:pageBreakBefore w:val="0"/>
        <w:wordWrap/>
        <w:overflowPunct/>
        <w:topLinePunct w:val="0"/>
        <w:bidi w:val="0"/>
        <w:spacing w:line="360" w:lineRule="auto"/>
        <w:ind w:left="0" w:leftChars="0" w:firstLine="0" w:firstLineChars="0"/>
        <w:textAlignment w:val="auto"/>
        <w:rPr>
          <w:color w:val="auto"/>
          <w:highlight w:val="none"/>
        </w:rPr>
      </w:pPr>
      <w:r>
        <w:rPr>
          <w:rFonts w:hint="eastAsia" w:ascii="宋体" w:hAnsi="宋体"/>
          <w:color w:val="auto"/>
          <w:highlight w:val="none"/>
        </w:rPr>
        <w:t xml:space="preserve">13.4.1  </w:t>
      </w:r>
      <w:r>
        <w:rPr>
          <w:rFonts w:hint="eastAsia"/>
          <w:color w:val="auto"/>
          <w:highlight w:val="none"/>
        </w:rPr>
        <w:t>工程进度款</w:t>
      </w:r>
    </w:p>
    <w:p w14:paraId="3F7F2D12">
      <w:pPr>
        <w:keepNext w:val="0"/>
        <w:keepLines w:val="0"/>
        <w:pageBreakBefore w:val="0"/>
        <w:wordWrap/>
        <w:overflowPunct/>
        <w:topLinePunct w:val="0"/>
        <w:bidi w:val="0"/>
        <w:spacing w:line="360" w:lineRule="auto"/>
        <w:ind w:left="0" w:leftChars="0" w:firstLine="0" w:firstLineChars="0"/>
        <w:textAlignment w:val="auto"/>
        <w:rPr>
          <w:color w:val="auto"/>
          <w:highlight w:val="none"/>
        </w:rPr>
      </w:pPr>
      <w:r>
        <w:rPr>
          <w:rFonts w:hint="eastAsia"/>
          <w:color w:val="auto"/>
          <w:highlight w:val="none"/>
        </w:rPr>
        <w:t>工程进度款按以下约定支付</w:t>
      </w:r>
    </w:p>
    <w:p w14:paraId="7B153ABA">
      <w:pPr>
        <w:keepNext w:val="0"/>
        <w:keepLines w:val="0"/>
        <w:pageBreakBefore w:val="0"/>
        <w:wordWrap/>
        <w:overflowPunct/>
        <w:topLinePunct w:val="0"/>
        <w:bidi w:val="0"/>
        <w:spacing w:line="360" w:lineRule="auto"/>
        <w:ind w:left="0" w:leftChars="0" w:firstLine="0" w:firstLineChars="0"/>
        <w:textAlignment w:val="auto"/>
        <w:rPr>
          <w:rFonts w:hint="eastAsia" w:ascii="宋体" w:hAnsi="宋体"/>
          <w:color w:val="auto"/>
          <w:szCs w:val="21"/>
          <w:highlight w:val="none"/>
        </w:rPr>
      </w:pPr>
      <w:r>
        <w:rPr>
          <w:rFonts w:hint="eastAsia" w:ascii="宋体" w:hAnsi="宋体"/>
          <w:color w:val="auto"/>
          <w:szCs w:val="21"/>
          <w:highlight w:val="none"/>
        </w:rPr>
        <w:t>以形象进度分段结算与支付：</w:t>
      </w:r>
      <w:r>
        <w:rPr>
          <w:rFonts w:hint="eastAsia" w:ascii="宋体" w:hAnsi="宋体"/>
          <w:color w:val="auto"/>
          <w:szCs w:val="21"/>
          <w:highlight w:val="none"/>
          <w:lang w:eastAsia="zh-CN"/>
        </w:rPr>
        <w:t>详见专用条款</w:t>
      </w:r>
      <w:r>
        <w:rPr>
          <w:rFonts w:hint="eastAsia" w:ascii="宋体" w:hAnsi="宋体"/>
          <w:color w:val="auto"/>
          <w:szCs w:val="21"/>
          <w:highlight w:val="none"/>
          <w:lang w:val="en-US" w:eastAsia="zh-CN"/>
        </w:rPr>
        <w:t>13.1</w:t>
      </w:r>
    </w:p>
    <w:p w14:paraId="64D3D97C">
      <w:pPr>
        <w:pStyle w:val="5"/>
        <w:keepNext w:val="0"/>
        <w:keepLines w:val="0"/>
        <w:pageBreakBefore w:val="0"/>
        <w:wordWrap/>
        <w:overflowPunct/>
        <w:topLinePunct w:val="0"/>
        <w:bidi w:val="0"/>
        <w:spacing w:after="0" w:afterLines="0" w:line="360" w:lineRule="auto"/>
        <w:ind w:left="0" w:leftChars="0" w:firstLine="0" w:firstLineChars="0"/>
        <w:textAlignment w:val="auto"/>
        <w:rPr>
          <w:color w:val="auto"/>
          <w:highlight w:val="none"/>
        </w:rPr>
      </w:pPr>
    </w:p>
    <w:p w14:paraId="29B19B5D">
      <w:pPr>
        <w:keepNext w:val="0"/>
        <w:keepLines w:val="0"/>
        <w:pageBreakBefore w:val="0"/>
        <w:wordWrap/>
        <w:overflowPunct/>
        <w:topLinePunct w:val="0"/>
        <w:bidi w:val="0"/>
        <w:spacing w:line="360" w:lineRule="auto"/>
        <w:ind w:left="0" w:leftChars="0" w:firstLine="0" w:firstLineChars="0"/>
        <w:textAlignment w:val="auto"/>
        <w:rPr>
          <w:rFonts w:ascii="宋体" w:hAnsi="宋体"/>
          <w:color w:val="auto"/>
          <w:szCs w:val="21"/>
          <w:highlight w:val="none"/>
        </w:rPr>
      </w:pPr>
      <w:r>
        <w:rPr>
          <w:rFonts w:hint="eastAsia" w:ascii="宋体" w:hAnsi="宋体"/>
          <w:color w:val="auto"/>
          <w:highlight w:val="none"/>
        </w:rPr>
        <w:t xml:space="preserve">13.4.2   </w:t>
      </w:r>
      <w:r>
        <w:rPr>
          <w:rFonts w:hint="eastAsia" w:ascii="宋体" w:hAnsi="宋体"/>
          <w:color w:val="auto"/>
          <w:szCs w:val="21"/>
          <w:highlight w:val="none"/>
        </w:rPr>
        <w:t>其他进度款</w:t>
      </w:r>
    </w:p>
    <w:p w14:paraId="2FA3A661">
      <w:pPr>
        <w:keepNext w:val="0"/>
        <w:keepLines w:val="0"/>
        <w:pageBreakBefore w:val="0"/>
        <w:wordWrap/>
        <w:overflowPunct/>
        <w:topLinePunct w:val="0"/>
        <w:bidi w:val="0"/>
        <w:snapToGrid w:val="0"/>
        <w:spacing w:line="360" w:lineRule="auto"/>
        <w:ind w:left="0" w:leftChars="0" w:firstLine="0" w:firstLineChars="0"/>
        <w:textAlignment w:val="auto"/>
        <w:rPr>
          <w:rFonts w:ascii="宋体" w:hAnsi="宋体"/>
          <w:color w:val="auto"/>
          <w:szCs w:val="21"/>
          <w:highlight w:val="none"/>
          <w:u w:val="single"/>
        </w:rPr>
      </w:pPr>
      <w:r>
        <w:rPr>
          <w:rFonts w:hint="eastAsia" w:ascii="宋体" w:hAnsi="宋体"/>
          <w:color w:val="auto"/>
          <w:szCs w:val="21"/>
          <w:highlight w:val="none"/>
        </w:rPr>
        <w:t>其他进度款有：</w:t>
      </w:r>
      <w:r>
        <w:rPr>
          <w:rFonts w:hint="eastAsia" w:ascii="宋体" w:hAnsi="宋体"/>
          <w:color w:val="auto"/>
          <w:szCs w:val="21"/>
          <w:highlight w:val="none"/>
          <w:u w:val="single"/>
        </w:rPr>
        <w:t>无    。</w:t>
      </w:r>
    </w:p>
    <w:p w14:paraId="29BF441D">
      <w:pPr>
        <w:keepNext w:val="0"/>
        <w:keepLines w:val="0"/>
        <w:pageBreakBefore w:val="0"/>
        <w:wordWrap/>
        <w:overflowPunct/>
        <w:topLinePunct w:val="0"/>
        <w:bidi w:val="0"/>
        <w:snapToGrid w:val="0"/>
        <w:spacing w:line="360" w:lineRule="auto"/>
        <w:ind w:left="0" w:leftChars="0" w:firstLine="0" w:firstLineChars="0"/>
        <w:textAlignment w:val="auto"/>
        <w:outlineLvl w:val="2"/>
        <w:rPr>
          <w:rFonts w:ascii="宋体" w:hAnsi="宋体"/>
          <w:b/>
          <w:color w:val="auto"/>
          <w:szCs w:val="21"/>
          <w:highlight w:val="none"/>
        </w:rPr>
      </w:pPr>
    </w:p>
    <w:p w14:paraId="4B7670D2">
      <w:pPr>
        <w:keepNext w:val="0"/>
        <w:keepLines w:val="0"/>
        <w:pageBreakBefore w:val="0"/>
        <w:wordWrap/>
        <w:overflowPunct/>
        <w:topLinePunct w:val="0"/>
        <w:bidi w:val="0"/>
        <w:snapToGrid w:val="0"/>
        <w:spacing w:line="360" w:lineRule="auto"/>
        <w:ind w:left="0" w:leftChars="0" w:firstLine="0" w:firstLineChars="0"/>
        <w:textAlignment w:val="auto"/>
        <w:outlineLvl w:val="2"/>
        <w:rPr>
          <w:rFonts w:ascii="宋体" w:hAnsi="宋体"/>
          <w:b/>
          <w:color w:val="auto"/>
          <w:szCs w:val="21"/>
          <w:highlight w:val="none"/>
        </w:rPr>
      </w:pPr>
      <w:bookmarkStart w:id="296" w:name="_Toc76720069"/>
      <w:bookmarkStart w:id="297" w:name="_Toc80633184"/>
      <w:r>
        <w:rPr>
          <w:rFonts w:hint="eastAsia" w:ascii="宋体" w:hAnsi="宋体"/>
          <w:b/>
          <w:color w:val="auto"/>
          <w:szCs w:val="21"/>
          <w:highlight w:val="none"/>
        </w:rPr>
        <w:t>第</w:t>
      </w:r>
      <w:r>
        <w:rPr>
          <w:rFonts w:ascii="宋体" w:hAnsi="宋体"/>
          <w:b/>
          <w:color w:val="auto"/>
          <w:szCs w:val="21"/>
          <w:highlight w:val="none"/>
        </w:rPr>
        <w:t>1</w:t>
      </w:r>
      <w:r>
        <w:rPr>
          <w:rFonts w:hint="eastAsia" w:ascii="宋体" w:hAnsi="宋体"/>
          <w:b/>
          <w:color w:val="auto"/>
          <w:szCs w:val="21"/>
          <w:highlight w:val="none"/>
        </w:rPr>
        <w:t xml:space="preserve">4条 </w:t>
      </w:r>
      <w:r>
        <w:rPr>
          <w:rFonts w:hint="eastAsia" w:ascii="宋体" w:hAnsi="宋体"/>
          <w:b/>
          <w:color w:val="auto"/>
          <w:szCs w:val="21"/>
          <w:highlight w:val="none"/>
        </w:rPr>
        <w:tab/>
      </w:r>
      <w:r>
        <w:rPr>
          <w:rFonts w:hint="eastAsia" w:ascii="宋体" w:hAnsi="宋体"/>
          <w:b/>
          <w:color w:val="auto"/>
          <w:szCs w:val="21"/>
          <w:highlight w:val="none"/>
        </w:rPr>
        <w:t>变更和合同价格调整</w:t>
      </w:r>
      <w:bookmarkEnd w:id="296"/>
      <w:bookmarkEnd w:id="297"/>
    </w:p>
    <w:p w14:paraId="264D70F2">
      <w:pPr>
        <w:keepNext w:val="0"/>
        <w:keepLines w:val="0"/>
        <w:pageBreakBefore w:val="0"/>
        <w:wordWrap/>
        <w:overflowPunct/>
        <w:topLinePunct w:val="0"/>
        <w:bidi w:val="0"/>
        <w:snapToGrid w:val="0"/>
        <w:spacing w:line="360" w:lineRule="auto"/>
        <w:ind w:left="0" w:leftChars="0" w:firstLine="0" w:firstLineChars="0"/>
        <w:textAlignment w:val="auto"/>
        <w:outlineLvl w:val="3"/>
        <w:rPr>
          <w:rFonts w:ascii="宋体" w:hAnsi="宋体"/>
          <w:color w:val="auto"/>
          <w:szCs w:val="21"/>
          <w:highlight w:val="none"/>
        </w:rPr>
      </w:pPr>
      <w:bookmarkStart w:id="298" w:name="_Toc76720070"/>
      <w:r>
        <w:rPr>
          <w:rFonts w:hint="eastAsia" w:ascii="宋体" w:hAnsi="宋体"/>
          <w:color w:val="auto"/>
          <w:szCs w:val="21"/>
          <w:highlight w:val="none"/>
        </w:rPr>
        <w:t>14.</w:t>
      </w:r>
      <w:r>
        <w:rPr>
          <w:rFonts w:hint="eastAsia" w:ascii="宋体" w:hAnsi="宋体"/>
          <w:color w:val="auto"/>
          <w:szCs w:val="21"/>
          <w:highlight w:val="none"/>
          <w:lang w:val="en-US" w:eastAsia="zh-CN"/>
        </w:rPr>
        <w:t>1</w:t>
      </w:r>
      <w:r>
        <w:rPr>
          <w:rFonts w:hint="eastAsia" w:ascii="宋体" w:hAnsi="宋体"/>
          <w:color w:val="auto"/>
          <w:szCs w:val="21"/>
          <w:highlight w:val="none"/>
        </w:rPr>
        <w:t xml:space="preserve">   变更价款确定</w:t>
      </w:r>
      <w:bookmarkEnd w:id="298"/>
    </w:p>
    <w:p w14:paraId="291EE103">
      <w:pPr>
        <w:keepNext w:val="0"/>
        <w:keepLines w:val="0"/>
        <w:pageBreakBefore w:val="0"/>
        <w:wordWrap/>
        <w:overflowPunct/>
        <w:topLinePunct w:val="0"/>
        <w:bidi w:val="0"/>
        <w:snapToGrid w:val="0"/>
        <w:spacing w:line="360" w:lineRule="auto"/>
        <w:ind w:left="0" w:leftChars="0" w:firstLine="0" w:firstLineChars="0"/>
        <w:textAlignment w:val="auto"/>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（1）</w:t>
      </w:r>
      <w:r>
        <w:rPr>
          <w:rFonts w:hint="eastAsia" w:ascii="宋体" w:hAnsi="宋体"/>
          <w:color w:val="auto"/>
          <w:szCs w:val="21"/>
          <w:highlight w:val="none"/>
        </w:rPr>
        <w:t>本工程实际装机容量发生变化</w:t>
      </w:r>
      <w:r>
        <w:rPr>
          <w:rFonts w:hint="eastAsia" w:ascii="宋体" w:hAnsi="宋体"/>
          <w:color w:val="auto"/>
          <w:szCs w:val="21"/>
          <w:highlight w:val="none"/>
          <w:lang w:val="en-US" w:eastAsia="zh-CN"/>
        </w:rPr>
        <w:t>在±5</w:t>
      </w:r>
      <w:r>
        <w:rPr>
          <w:rFonts w:hint="eastAsia" w:ascii="宋体" w:hAnsi="宋体"/>
          <w:color w:val="auto"/>
          <w:szCs w:val="21"/>
          <w:highlight w:val="none"/>
        </w:rPr>
        <w:t>%</w:t>
      </w:r>
      <w:r>
        <w:rPr>
          <w:rFonts w:hint="eastAsia" w:ascii="宋体" w:hAnsi="宋体"/>
          <w:color w:val="auto"/>
          <w:szCs w:val="21"/>
          <w:highlight w:val="none"/>
          <w:lang w:val="en-US" w:eastAsia="zh-CN"/>
        </w:rPr>
        <w:t>以内</w:t>
      </w:r>
      <w:r>
        <w:rPr>
          <w:rFonts w:hint="eastAsia" w:ascii="宋体" w:hAnsi="宋体"/>
          <w:color w:val="auto"/>
          <w:szCs w:val="21"/>
          <w:highlight w:val="none"/>
          <w:lang w:eastAsia="zh-CN"/>
        </w:rPr>
        <w:t>的</w:t>
      </w:r>
      <w:r>
        <w:rPr>
          <w:rFonts w:hint="eastAsia" w:ascii="宋体" w:hAnsi="宋体"/>
          <w:color w:val="auto"/>
          <w:szCs w:val="21"/>
          <w:highlight w:val="none"/>
        </w:rPr>
        <w:t>，变更价款按照综合单价结算，即结算总价=综合单价</w:t>
      </w:r>
      <w:r>
        <w:rPr>
          <w:rFonts w:hint="eastAsia" w:ascii="宋体" w:hAnsi="宋体"/>
          <w:color w:val="auto"/>
          <w:szCs w:val="21"/>
          <w:highlight w:val="none"/>
          <w:lang w:val="en-US" w:eastAsia="zh-CN"/>
        </w:rPr>
        <w:t>×</w:t>
      </w:r>
      <w:r>
        <w:rPr>
          <w:rFonts w:hint="eastAsia" w:ascii="宋体" w:hAnsi="宋体"/>
          <w:color w:val="auto"/>
          <w:szCs w:val="21"/>
          <w:highlight w:val="none"/>
        </w:rPr>
        <w:t>变</w:t>
      </w:r>
      <w:r>
        <w:rPr>
          <w:rFonts w:hint="eastAsia" w:ascii="宋体" w:hAnsi="宋体"/>
          <w:color w:val="auto"/>
          <w:szCs w:val="21"/>
          <w:highlight w:val="none"/>
          <w:lang w:val="en-US" w:eastAsia="zh-CN"/>
        </w:rPr>
        <w:t>更</w:t>
      </w:r>
      <w:r>
        <w:rPr>
          <w:rFonts w:hint="eastAsia" w:ascii="宋体" w:hAnsi="宋体"/>
          <w:color w:val="auto"/>
          <w:szCs w:val="21"/>
          <w:highlight w:val="none"/>
        </w:rPr>
        <w:t>后的装机容量</w:t>
      </w:r>
    </w:p>
    <w:p w14:paraId="5E7DDDC7">
      <w:pPr>
        <w:keepNext w:val="0"/>
        <w:keepLines w:val="0"/>
        <w:pageBreakBefore w:val="0"/>
        <w:wordWrap/>
        <w:overflowPunct/>
        <w:topLinePunct w:val="0"/>
        <w:bidi w:val="0"/>
        <w:snapToGrid w:val="0"/>
        <w:spacing w:line="360" w:lineRule="auto"/>
        <w:ind w:left="0" w:leftChars="0" w:firstLine="0" w:firstLineChars="0"/>
        <w:textAlignment w:val="auto"/>
        <w:rPr>
          <w:rFonts w:hint="eastAsia" w:ascii="宋体" w:hAnsi="宋体"/>
          <w:color w:val="auto"/>
          <w:szCs w:val="21"/>
          <w:highlight w:val="none"/>
        </w:rPr>
      </w:pPr>
      <w:r>
        <w:rPr>
          <w:rFonts w:hint="eastAsia" w:ascii="宋体" w:hAnsi="宋体"/>
          <w:color w:val="auto"/>
          <w:szCs w:val="21"/>
          <w:highlight w:val="none"/>
          <w:lang w:val="en-US" w:eastAsia="zh-CN"/>
        </w:rPr>
        <w:t>（2）</w:t>
      </w:r>
      <w:r>
        <w:rPr>
          <w:rFonts w:hint="eastAsia" w:ascii="宋体" w:hAnsi="宋体"/>
          <w:color w:val="auto"/>
          <w:szCs w:val="21"/>
          <w:highlight w:val="none"/>
        </w:rPr>
        <w:t>本工程实际装机容量发生变化</w:t>
      </w:r>
      <w:r>
        <w:rPr>
          <w:rFonts w:hint="eastAsia" w:ascii="宋体" w:hAnsi="宋体"/>
          <w:color w:val="auto"/>
          <w:szCs w:val="21"/>
          <w:highlight w:val="none"/>
          <w:lang w:val="en-US" w:eastAsia="zh-CN"/>
        </w:rPr>
        <w:t>超过±5</w:t>
      </w:r>
      <w:r>
        <w:rPr>
          <w:rFonts w:hint="eastAsia" w:ascii="宋体" w:hAnsi="宋体"/>
          <w:color w:val="auto"/>
          <w:szCs w:val="21"/>
          <w:highlight w:val="none"/>
        </w:rPr>
        <w:t>%</w:t>
      </w:r>
      <w:r>
        <w:rPr>
          <w:rFonts w:hint="eastAsia" w:ascii="宋体" w:hAnsi="宋体"/>
          <w:color w:val="auto"/>
          <w:szCs w:val="21"/>
          <w:highlight w:val="none"/>
          <w:lang w:val="en-US" w:eastAsia="zh-CN"/>
        </w:rPr>
        <w:t>的</w:t>
      </w:r>
      <w:r>
        <w:rPr>
          <w:rFonts w:hint="eastAsia" w:ascii="宋体" w:hAnsi="宋体"/>
          <w:color w:val="auto"/>
          <w:szCs w:val="21"/>
          <w:highlight w:val="none"/>
        </w:rPr>
        <w:t>，在施工前需向</w:t>
      </w:r>
      <w:r>
        <w:rPr>
          <w:rFonts w:hint="eastAsia" w:ascii="宋体" w:hAnsi="宋体"/>
          <w:color w:val="auto"/>
          <w:szCs w:val="21"/>
          <w:highlight w:val="none"/>
          <w:lang w:val="en-US" w:eastAsia="zh-CN"/>
        </w:rPr>
        <w:t>发包人</w:t>
      </w:r>
      <w:r>
        <w:rPr>
          <w:rFonts w:hint="eastAsia" w:ascii="宋体" w:hAnsi="宋体"/>
          <w:color w:val="auto"/>
          <w:szCs w:val="21"/>
          <w:highlight w:val="none"/>
        </w:rPr>
        <w:t>提出申请，并经过</w:t>
      </w:r>
      <w:r>
        <w:rPr>
          <w:rFonts w:hint="eastAsia" w:ascii="宋体" w:hAnsi="宋体"/>
          <w:color w:val="auto"/>
          <w:szCs w:val="21"/>
          <w:highlight w:val="none"/>
          <w:lang w:val="en-US" w:eastAsia="zh-CN"/>
        </w:rPr>
        <w:t>发包人</w:t>
      </w:r>
      <w:r>
        <w:rPr>
          <w:rFonts w:hint="eastAsia" w:ascii="宋体" w:hAnsi="宋体"/>
          <w:color w:val="auto"/>
          <w:szCs w:val="21"/>
          <w:highlight w:val="none"/>
        </w:rPr>
        <w:t>书面同意该工程变更方可执行</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经发包人书面同意变更后的</w:t>
      </w:r>
      <w:r>
        <w:rPr>
          <w:rFonts w:hint="eastAsia" w:ascii="宋体" w:hAnsi="宋体"/>
          <w:color w:val="auto"/>
          <w:szCs w:val="21"/>
          <w:highlight w:val="none"/>
        </w:rPr>
        <w:t>变更价款按照综合单价结算，即结算总价=综合单价</w:t>
      </w:r>
      <w:r>
        <w:rPr>
          <w:rFonts w:hint="eastAsia" w:ascii="宋体" w:hAnsi="宋体"/>
          <w:color w:val="auto"/>
          <w:szCs w:val="21"/>
          <w:highlight w:val="none"/>
          <w:lang w:val="en-US" w:eastAsia="zh-CN"/>
        </w:rPr>
        <w:t>×</w:t>
      </w:r>
      <w:r>
        <w:rPr>
          <w:rFonts w:hint="eastAsia" w:ascii="宋体" w:hAnsi="宋体"/>
          <w:color w:val="auto"/>
          <w:szCs w:val="21"/>
          <w:highlight w:val="none"/>
        </w:rPr>
        <w:t>变</w:t>
      </w:r>
      <w:r>
        <w:rPr>
          <w:rFonts w:hint="eastAsia" w:ascii="宋体" w:hAnsi="宋体"/>
          <w:color w:val="auto"/>
          <w:szCs w:val="21"/>
          <w:highlight w:val="none"/>
          <w:lang w:val="en-US" w:eastAsia="zh-CN"/>
        </w:rPr>
        <w:t>更</w:t>
      </w:r>
      <w:r>
        <w:rPr>
          <w:rFonts w:hint="eastAsia" w:ascii="宋体" w:hAnsi="宋体"/>
          <w:color w:val="auto"/>
          <w:szCs w:val="21"/>
          <w:highlight w:val="none"/>
        </w:rPr>
        <w:t>后的装机容量。</w:t>
      </w:r>
    </w:p>
    <w:p w14:paraId="271A497B">
      <w:pPr>
        <w:keepNext w:val="0"/>
        <w:keepLines w:val="0"/>
        <w:pageBreakBefore w:val="0"/>
        <w:wordWrap/>
        <w:overflowPunct/>
        <w:topLinePunct w:val="0"/>
        <w:bidi w:val="0"/>
        <w:snapToGrid w:val="0"/>
        <w:spacing w:line="360" w:lineRule="auto"/>
        <w:ind w:left="0" w:leftChars="0" w:firstLine="0" w:firstLineChars="0"/>
        <w:textAlignment w:val="auto"/>
        <w:rPr>
          <w:rFonts w:hint="eastAsia" w:ascii="宋体" w:hAnsi="宋体"/>
          <w:color w:val="auto"/>
          <w:szCs w:val="21"/>
          <w:highlight w:val="none"/>
          <w:lang w:val="en-US" w:eastAsia="zh-CN"/>
        </w:rPr>
      </w:pPr>
      <w:r>
        <w:rPr>
          <w:rFonts w:hint="eastAsia" w:ascii="宋体" w:hAnsi="宋体"/>
          <w:color w:val="auto"/>
          <w:szCs w:val="21"/>
          <w:highlight w:val="none"/>
        </w:rPr>
        <w:t>（3）合同价款的变更金额不得高于原合同价格的 10%</w:t>
      </w:r>
      <w:r>
        <w:rPr>
          <w:rFonts w:hint="eastAsia" w:ascii="宋体" w:hAnsi="宋体"/>
          <w:color w:val="auto"/>
          <w:szCs w:val="21"/>
          <w:highlight w:val="none"/>
          <w:lang w:eastAsia="zh-CN"/>
        </w:rPr>
        <w:t>，</w:t>
      </w:r>
      <w:r>
        <w:rPr>
          <w:rFonts w:hint="eastAsia" w:ascii="宋体" w:hAnsi="宋体"/>
          <w:color w:val="auto"/>
          <w:szCs w:val="21"/>
          <w:highlight w:val="none"/>
        </w:rPr>
        <w:t>若因装机容量调整导致需调整的合同价款超过原合同价格的 10%的，超过部分由承包人自行承担。</w:t>
      </w:r>
    </w:p>
    <w:p w14:paraId="0F32C37A">
      <w:pPr>
        <w:keepNext w:val="0"/>
        <w:keepLines w:val="0"/>
        <w:pageBreakBefore w:val="0"/>
        <w:wordWrap/>
        <w:overflowPunct/>
        <w:topLinePunct w:val="0"/>
        <w:bidi w:val="0"/>
        <w:snapToGrid w:val="0"/>
        <w:spacing w:line="360" w:lineRule="auto"/>
        <w:ind w:left="0" w:leftChars="0" w:firstLine="0" w:firstLineChars="0"/>
        <w:textAlignment w:val="auto"/>
        <w:rPr>
          <w:rFonts w:hint="eastAsia" w:ascii="宋体" w:hAnsi="宋体"/>
          <w:color w:val="auto"/>
          <w:szCs w:val="21"/>
          <w:highlight w:val="none"/>
        </w:rPr>
      </w:pPr>
    </w:p>
    <w:p w14:paraId="4307BD6C">
      <w:pPr>
        <w:keepNext w:val="0"/>
        <w:keepLines w:val="0"/>
        <w:pageBreakBefore w:val="0"/>
        <w:wordWrap/>
        <w:overflowPunct/>
        <w:topLinePunct w:val="0"/>
        <w:bidi w:val="0"/>
        <w:snapToGrid w:val="0"/>
        <w:spacing w:line="360" w:lineRule="auto"/>
        <w:ind w:left="0" w:leftChars="0" w:firstLine="0" w:firstLineChars="0"/>
        <w:textAlignment w:val="auto"/>
        <w:outlineLvl w:val="2"/>
        <w:rPr>
          <w:rFonts w:ascii="宋体" w:hAnsi="宋体"/>
          <w:b/>
          <w:color w:val="auto"/>
          <w:szCs w:val="21"/>
          <w:highlight w:val="none"/>
        </w:rPr>
      </w:pPr>
      <w:bookmarkStart w:id="299" w:name="_Toc80633185"/>
      <w:bookmarkStart w:id="300" w:name="_Toc363719028"/>
      <w:bookmarkStart w:id="301" w:name="_Toc76720071"/>
      <w:r>
        <w:rPr>
          <w:rFonts w:hint="eastAsia" w:ascii="宋体" w:hAnsi="宋体"/>
          <w:b/>
          <w:color w:val="auto"/>
          <w:szCs w:val="21"/>
          <w:highlight w:val="none"/>
        </w:rPr>
        <w:t>第</w:t>
      </w:r>
      <w:r>
        <w:rPr>
          <w:rFonts w:ascii="宋体" w:hAnsi="宋体"/>
          <w:b/>
          <w:color w:val="auto"/>
          <w:szCs w:val="21"/>
          <w:highlight w:val="none"/>
        </w:rPr>
        <w:t>1</w:t>
      </w:r>
      <w:r>
        <w:rPr>
          <w:rFonts w:hint="eastAsia" w:ascii="宋体" w:hAnsi="宋体"/>
          <w:b/>
          <w:color w:val="auto"/>
          <w:szCs w:val="21"/>
          <w:highlight w:val="none"/>
        </w:rPr>
        <w:t xml:space="preserve">5条 </w:t>
      </w:r>
      <w:r>
        <w:rPr>
          <w:rFonts w:hint="eastAsia" w:ascii="宋体" w:hAnsi="宋体"/>
          <w:b/>
          <w:color w:val="auto"/>
          <w:szCs w:val="21"/>
          <w:highlight w:val="none"/>
        </w:rPr>
        <w:tab/>
      </w:r>
      <w:r>
        <w:rPr>
          <w:rFonts w:hint="eastAsia" w:ascii="宋体" w:hAnsi="宋体"/>
          <w:b/>
          <w:color w:val="auto"/>
          <w:szCs w:val="21"/>
          <w:highlight w:val="none"/>
        </w:rPr>
        <w:t>保  险</w:t>
      </w:r>
      <w:bookmarkEnd w:id="299"/>
      <w:bookmarkEnd w:id="300"/>
      <w:bookmarkEnd w:id="301"/>
    </w:p>
    <w:p w14:paraId="3254D46F">
      <w:pPr>
        <w:keepNext w:val="0"/>
        <w:keepLines w:val="0"/>
        <w:pageBreakBefore w:val="0"/>
        <w:wordWrap/>
        <w:overflowPunct/>
        <w:topLinePunct w:val="0"/>
        <w:bidi w:val="0"/>
        <w:snapToGrid w:val="0"/>
        <w:spacing w:line="360" w:lineRule="auto"/>
        <w:ind w:left="0" w:leftChars="0" w:firstLine="0" w:firstLineChars="0"/>
        <w:textAlignment w:val="auto"/>
        <w:outlineLvl w:val="3"/>
        <w:rPr>
          <w:rFonts w:ascii="宋体" w:hAnsi="宋体"/>
          <w:color w:val="auto"/>
          <w:szCs w:val="21"/>
          <w:highlight w:val="none"/>
        </w:rPr>
      </w:pPr>
      <w:bookmarkStart w:id="302" w:name="_Toc76720072"/>
      <w:r>
        <w:rPr>
          <w:rFonts w:hint="eastAsia" w:ascii="宋体" w:hAnsi="宋体"/>
          <w:color w:val="auto"/>
          <w:szCs w:val="21"/>
          <w:highlight w:val="none"/>
        </w:rPr>
        <w:t>15.1   承包人的投保</w:t>
      </w:r>
      <w:bookmarkEnd w:id="302"/>
    </w:p>
    <w:p w14:paraId="5CAA7649">
      <w:pPr>
        <w:keepNext w:val="0"/>
        <w:keepLines w:val="0"/>
        <w:pageBreakBefore w:val="0"/>
        <w:wordWrap/>
        <w:overflowPunct/>
        <w:topLinePunct w:val="0"/>
        <w:bidi w:val="0"/>
        <w:snapToGrid w:val="0"/>
        <w:spacing w:line="360" w:lineRule="auto"/>
        <w:ind w:left="0" w:leftChars="0" w:firstLine="0" w:firstLineChars="0"/>
        <w:textAlignment w:val="auto"/>
        <w:rPr>
          <w:rFonts w:ascii="宋体" w:hAnsi="宋体"/>
          <w:color w:val="auto"/>
          <w:szCs w:val="21"/>
          <w:highlight w:val="none"/>
        </w:rPr>
      </w:pPr>
      <w:r>
        <w:rPr>
          <w:rFonts w:hint="eastAsia" w:ascii="宋体" w:hAnsi="宋体"/>
          <w:color w:val="auto"/>
          <w:szCs w:val="21"/>
          <w:highlight w:val="none"/>
        </w:rPr>
        <w:t>15.1.1   合同双方商定，由承包人负责投保的保险种类、</w:t>
      </w:r>
      <w:r>
        <w:rPr>
          <w:rFonts w:ascii="宋体" w:hAnsi="宋体"/>
          <w:color w:val="auto"/>
          <w:szCs w:val="21"/>
          <w:highlight w:val="none"/>
        </w:rPr>
        <w:t>保险范围、投保金额、保险期限和持续有效</w:t>
      </w:r>
      <w:r>
        <w:rPr>
          <w:rFonts w:hint="eastAsia" w:ascii="宋体" w:hAnsi="宋体"/>
          <w:color w:val="auto"/>
          <w:szCs w:val="21"/>
          <w:highlight w:val="none"/>
        </w:rPr>
        <w:t>的时间：</w:t>
      </w:r>
      <w:r>
        <w:rPr>
          <w:rFonts w:hint="eastAsia" w:ascii="宋体" w:hAnsi="宋体"/>
          <w:color w:val="auto"/>
          <w:szCs w:val="21"/>
          <w:highlight w:val="none"/>
          <w:u w:val="single"/>
        </w:rPr>
        <w:t>保险期为工程建设期。承包人必须购买施工人员人身意外险</w:t>
      </w:r>
      <w:r>
        <w:rPr>
          <w:rFonts w:hint="eastAsia" w:ascii="宋体" w:hAnsi="宋体"/>
          <w:color w:val="auto"/>
          <w:szCs w:val="21"/>
          <w:highlight w:val="none"/>
        </w:rPr>
        <w:t>；</w:t>
      </w:r>
    </w:p>
    <w:p w14:paraId="1A2A3CF8">
      <w:pPr>
        <w:keepNext w:val="0"/>
        <w:keepLines w:val="0"/>
        <w:pageBreakBefore w:val="0"/>
        <w:wordWrap/>
        <w:overflowPunct/>
        <w:topLinePunct w:val="0"/>
        <w:bidi w:val="0"/>
        <w:snapToGrid w:val="0"/>
        <w:spacing w:line="360" w:lineRule="auto"/>
        <w:ind w:left="0" w:leftChars="0" w:firstLine="0" w:firstLineChars="0"/>
        <w:textAlignment w:val="auto"/>
        <w:outlineLvl w:val="3"/>
        <w:rPr>
          <w:rFonts w:ascii="宋体" w:hAnsi="宋体"/>
          <w:color w:val="auto"/>
          <w:szCs w:val="21"/>
          <w:highlight w:val="none"/>
        </w:rPr>
      </w:pPr>
      <w:bookmarkStart w:id="303" w:name="_Toc76720073"/>
      <w:r>
        <w:rPr>
          <w:rFonts w:hint="eastAsia" w:ascii="宋体" w:hAnsi="宋体"/>
          <w:color w:val="auto"/>
          <w:szCs w:val="21"/>
          <w:highlight w:val="none"/>
        </w:rPr>
        <w:t>15.2   一切险和第三方责任</w:t>
      </w:r>
      <w:bookmarkEnd w:id="303"/>
    </w:p>
    <w:p w14:paraId="414E70B8">
      <w:pPr>
        <w:keepNext w:val="0"/>
        <w:keepLines w:val="0"/>
        <w:pageBreakBefore w:val="0"/>
        <w:wordWrap/>
        <w:overflowPunct/>
        <w:topLinePunct w:val="0"/>
        <w:bidi w:val="0"/>
        <w:snapToGrid w:val="0"/>
        <w:spacing w:line="360" w:lineRule="auto"/>
        <w:ind w:left="0" w:leftChars="0" w:firstLine="0" w:firstLineChars="0"/>
        <w:textAlignment w:val="auto"/>
        <w:rPr>
          <w:rFonts w:ascii="宋体" w:hAnsi="宋体"/>
          <w:color w:val="auto"/>
          <w:szCs w:val="21"/>
          <w:highlight w:val="none"/>
        </w:rPr>
      </w:pPr>
      <w:r>
        <w:rPr>
          <w:rFonts w:hint="eastAsia" w:ascii="宋体" w:hAnsi="宋体"/>
          <w:color w:val="auto"/>
          <w:szCs w:val="21"/>
          <w:highlight w:val="none"/>
        </w:rPr>
        <w:t>土建工程一切险的投保方及对投保的相关要求：</w:t>
      </w:r>
      <w:r>
        <w:rPr>
          <w:rFonts w:hint="eastAsia" w:ascii="宋体" w:hAnsi="宋体"/>
          <w:color w:val="auto"/>
          <w:szCs w:val="21"/>
          <w:highlight w:val="none"/>
          <w:u w:val="single"/>
        </w:rPr>
        <w:t>承包人投保，被保险人应包括发包人，投保总金额不低于工程总价100% 。承包人在合同签订后15日内向发包人提交保险合同副本  ；</w:t>
      </w:r>
    </w:p>
    <w:p w14:paraId="69C8F0F3">
      <w:pPr>
        <w:keepNext w:val="0"/>
        <w:keepLines w:val="0"/>
        <w:pageBreakBefore w:val="0"/>
        <w:wordWrap/>
        <w:overflowPunct/>
        <w:topLinePunct w:val="0"/>
        <w:bidi w:val="0"/>
        <w:snapToGrid w:val="0"/>
        <w:spacing w:line="360" w:lineRule="auto"/>
        <w:ind w:left="0" w:leftChars="0" w:firstLine="0" w:firstLineChars="0"/>
        <w:textAlignment w:val="auto"/>
        <w:rPr>
          <w:rFonts w:ascii="宋体" w:hAnsi="宋体"/>
          <w:color w:val="auto"/>
          <w:szCs w:val="21"/>
          <w:highlight w:val="none"/>
        </w:rPr>
      </w:pPr>
      <w:r>
        <w:rPr>
          <w:rFonts w:hint="eastAsia" w:ascii="宋体" w:hAnsi="宋体"/>
          <w:color w:val="auto"/>
          <w:szCs w:val="21"/>
          <w:highlight w:val="none"/>
        </w:rPr>
        <w:t>安装工程及竣工试验一切险的投保方及对投保的相关要求：</w:t>
      </w:r>
      <w:r>
        <w:rPr>
          <w:rFonts w:hint="eastAsia" w:ascii="宋体" w:hAnsi="宋体"/>
          <w:color w:val="auto"/>
          <w:szCs w:val="21"/>
          <w:highlight w:val="none"/>
          <w:u w:val="single"/>
        </w:rPr>
        <w:t>承包人投保，被保险人应包括发包人，投保总金额不低于工程总价100%。承包人在合同签订后10日内向发包人提交保险合同副本；</w:t>
      </w:r>
    </w:p>
    <w:p w14:paraId="6BB1EB5A">
      <w:pPr>
        <w:keepNext w:val="0"/>
        <w:keepLines w:val="0"/>
        <w:pageBreakBefore w:val="0"/>
        <w:wordWrap/>
        <w:overflowPunct/>
        <w:topLinePunct w:val="0"/>
        <w:bidi w:val="0"/>
        <w:snapToGrid w:val="0"/>
        <w:spacing w:line="360" w:lineRule="auto"/>
        <w:ind w:left="0" w:leftChars="0" w:firstLine="0" w:firstLineChars="0"/>
        <w:textAlignment w:val="auto"/>
        <w:rPr>
          <w:rFonts w:ascii="宋体" w:hAnsi="宋体"/>
          <w:color w:val="auto"/>
          <w:szCs w:val="21"/>
          <w:highlight w:val="none"/>
          <w:u w:val="single"/>
        </w:rPr>
      </w:pPr>
      <w:r>
        <w:rPr>
          <w:rFonts w:hint="eastAsia" w:ascii="宋体" w:hAnsi="宋体"/>
          <w:color w:val="auto"/>
          <w:szCs w:val="21"/>
          <w:highlight w:val="none"/>
        </w:rPr>
        <w:t>第三者责任险的应投保方及对投保的相关要求：</w:t>
      </w:r>
      <w:r>
        <w:rPr>
          <w:rFonts w:hint="eastAsia" w:ascii="宋体" w:hAnsi="宋体"/>
          <w:color w:val="auto"/>
          <w:szCs w:val="21"/>
          <w:highlight w:val="none"/>
          <w:u w:val="single"/>
        </w:rPr>
        <w:t>承包人投保，被保险人应包括发包人。承包人在合同签订后15日内向发包人提交保险合同副本；</w:t>
      </w:r>
    </w:p>
    <w:p w14:paraId="729D4942">
      <w:pPr>
        <w:keepNext w:val="0"/>
        <w:keepLines w:val="0"/>
        <w:pageBreakBefore w:val="0"/>
        <w:wordWrap/>
        <w:overflowPunct/>
        <w:topLinePunct w:val="0"/>
        <w:bidi w:val="0"/>
        <w:snapToGrid w:val="0"/>
        <w:spacing w:line="360" w:lineRule="auto"/>
        <w:ind w:left="0" w:leftChars="0" w:firstLine="0" w:firstLineChars="0"/>
        <w:textAlignment w:val="auto"/>
        <w:rPr>
          <w:rFonts w:hint="eastAsia" w:ascii="宋体" w:hAnsi="宋体"/>
          <w:color w:val="auto"/>
          <w:szCs w:val="21"/>
          <w:highlight w:val="none"/>
          <w:u w:val="single"/>
        </w:rPr>
      </w:pPr>
      <w:r>
        <w:rPr>
          <w:rFonts w:hint="eastAsia" w:ascii="宋体" w:hAnsi="宋体"/>
          <w:color w:val="auto"/>
          <w:szCs w:val="21"/>
          <w:highlight w:val="none"/>
          <w:u w:val="single"/>
        </w:rPr>
        <w:t>所有保险费用均包含在合同价款中，且由承包人投保并支付保险费用，被保险人应为发包人。承包人必须在工程所在地购买施工人员人身意外险。</w:t>
      </w:r>
    </w:p>
    <w:p w14:paraId="48B531F2">
      <w:pPr>
        <w:pStyle w:val="2"/>
        <w:keepNext w:val="0"/>
        <w:keepLines w:val="0"/>
        <w:pageBreakBefore w:val="0"/>
        <w:widowControl w:val="0"/>
        <w:kinsoku/>
        <w:wordWrap/>
        <w:overflowPunct/>
        <w:topLinePunct w:val="0"/>
        <w:autoSpaceDE/>
        <w:autoSpaceDN/>
        <w:bidi w:val="0"/>
        <w:adjustRightInd/>
        <w:spacing w:line="360" w:lineRule="auto"/>
        <w:ind w:left="0" w:leftChars="0" w:firstLine="0" w:firstLineChars="0"/>
        <w:textAlignment w:val="auto"/>
        <w:rPr>
          <w:rFonts w:hint="eastAsia" w:ascii="宋体" w:hAnsi="宋体"/>
          <w:color w:val="auto"/>
          <w:szCs w:val="21"/>
          <w:highlight w:val="none"/>
          <w:lang w:val="en-US" w:eastAsia="zh-CN"/>
        </w:rPr>
      </w:pPr>
      <w:r>
        <w:rPr>
          <w:rFonts w:hint="eastAsia" w:ascii="宋体" w:hAnsi="宋体"/>
          <w:color w:val="auto"/>
          <w:szCs w:val="21"/>
          <w:highlight w:val="none"/>
          <w:u w:val="single"/>
          <w:lang w:val="en-US" w:eastAsia="zh-CN"/>
        </w:rPr>
        <w:t>15.3    安全生产责任险</w:t>
      </w:r>
    </w:p>
    <w:p w14:paraId="152D87FF">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textAlignment w:val="auto"/>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安全生产责任险</w:t>
      </w:r>
      <w:r>
        <w:rPr>
          <w:rFonts w:hint="eastAsia" w:ascii="宋体" w:hAnsi="宋体"/>
          <w:color w:val="auto"/>
          <w:szCs w:val="21"/>
          <w:highlight w:val="none"/>
        </w:rPr>
        <w:t>的投保方及对投保的相关要求</w:t>
      </w:r>
      <w:r>
        <w:rPr>
          <w:rFonts w:hint="eastAsia" w:ascii="宋体" w:hAnsi="宋体"/>
          <w:color w:val="auto"/>
          <w:szCs w:val="21"/>
          <w:highlight w:val="none"/>
          <w:lang w:eastAsia="zh-CN"/>
        </w:rPr>
        <w:t>：</w:t>
      </w:r>
      <w:r>
        <w:rPr>
          <w:rFonts w:hint="eastAsia" w:ascii="宋体" w:hAnsi="宋体"/>
          <w:color w:val="auto"/>
          <w:szCs w:val="21"/>
          <w:highlight w:val="none"/>
          <w:u w:val="single"/>
        </w:rPr>
        <w:t>承包人投保</w:t>
      </w:r>
      <w:r>
        <w:rPr>
          <w:rFonts w:hint="eastAsia" w:ascii="宋体" w:hAnsi="宋体"/>
          <w:color w:val="auto"/>
          <w:szCs w:val="21"/>
          <w:highlight w:val="none"/>
          <w:u w:val="single"/>
          <w:lang w:eastAsia="zh-CN"/>
        </w:rPr>
        <w:t>，保障范围应当覆盖被保险人的全体从业人员，</w:t>
      </w:r>
      <w:r>
        <w:rPr>
          <w:rFonts w:hint="eastAsia" w:ascii="宋体" w:hAnsi="宋体"/>
          <w:color w:val="auto"/>
          <w:szCs w:val="21"/>
          <w:highlight w:val="none"/>
          <w:u w:val="single"/>
        </w:rPr>
        <w:t>投保总金额不低于工程总价100%</w:t>
      </w:r>
      <w:r>
        <w:rPr>
          <w:rFonts w:hint="eastAsia" w:ascii="宋体" w:hAnsi="宋体"/>
          <w:color w:val="auto"/>
          <w:szCs w:val="21"/>
          <w:highlight w:val="none"/>
          <w:u w:val="single"/>
          <w:lang w:eastAsia="zh-CN"/>
        </w:rPr>
        <w:t>。</w:t>
      </w:r>
      <w:r>
        <w:rPr>
          <w:rFonts w:hint="eastAsia" w:ascii="宋体" w:hAnsi="宋体"/>
          <w:color w:val="auto"/>
          <w:szCs w:val="21"/>
          <w:highlight w:val="none"/>
          <w:u w:val="single"/>
        </w:rPr>
        <w:t>承包人在合同签订后1</w:t>
      </w:r>
      <w:r>
        <w:rPr>
          <w:rFonts w:hint="eastAsia" w:ascii="宋体" w:hAnsi="宋体"/>
          <w:color w:val="auto"/>
          <w:szCs w:val="21"/>
          <w:highlight w:val="none"/>
          <w:u w:val="single"/>
          <w:lang w:val="en-US" w:eastAsia="zh-CN"/>
        </w:rPr>
        <w:t>5</w:t>
      </w:r>
      <w:r>
        <w:rPr>
          <w:rFonts w:hint="eastAsia" w:ascii="宋体" w:hAnsi="宋体"/>
          <w:color w:val="auto"/>
          <w:szCs w:val="21"/>
          <w:highlight w:val="none"/>
          <w:u w:val="single"/>
        </w:rPr>
        <w:t>日内向发包人提交保险合同副本</w:t>
      </w:r>
      <w:r>
        <w:rPr>
          <w:rFonts w:hint="eastAsia" w:ascii="宋体" w:hAnsi="宋体"/>
          <w:color w:val="auto"/>
          <w:szCs w:val="21"/>
          <w:highlight w:val="none"/>
          <w:u w:val="single"/>
          <w:lang w:val="en-US" w:eastAsia="zh-CN"/>
        </w:rPr>
        <w:t>.</w:t>
      </w:r>
    </w:p>
    <w:p w14:paraId="0B7B7E88">
      <w:pPr>
        <w:rPr>
          <w:rFonts w:hint="eastAsia" w:eastAsia="宋体"/>
          <w:color w:val="auto"/>
          <w:highlight w:val="none"/>
          <w:lang w:val="en-US" w:eastAsia="zh-CN"/>
        </w:rPr>
      </w:pPr>
    </w:p>
    <w:p w14:paraId="684D2A2F">
      <w:pPr>
        <w:keepNext w:val="0"/>
        <w:keepLines w:val="0"/>
        <w:pageBreakBefore w:val="0"/>
        <w:wordWrap/>
        <w:overflowPunct/>
        <w:topLinePunct w:val="0"/>
        <w:bidi w:val="0"/>
        <w:snapToGrid w:val="0"/>
        <w:spacing w:line="360" w:lineRule="auto"/>
        <w:ind w:left="0" w:leftChars="0" w:firstLine="0" w:firstLineChars="0"/>
        <w:textAlignment w:val="auto"/>
        <w:rPr>
          <w:rFonts w:hint="eastAsia" w:ascii="宋体" w:hAnsi="宋体"/>
          <w:color w:val="auto"/>
          <w:szCs w:val="21"/>
          <w:highlight w:val="none"/>
          <w:u w:val="single"/>
        </w:rPr>
      </w:pPr>
      <w:r>
        <w:rPr>
          <w:rFonts w:ascii="宋体" w:hAnsi="宋体"/>
          <w:color w:val="auto"/>
          <w:szCs w:val="21"/>
          <w:highlight w:val="none"/>
        </w:rPr>
        <w:t>15.</w:t>
      </w:r>
      <w:r>
        <w:rPr>
          <w:rFonts w:hint="eastAsia" w:ascii="宋体" w:hAnsi="宋体"/>
          <w:color w:val="auto"/>
          <w:szCs w:val="21"/>
          <w:highlight w:val="none"/>
          <w:lang w:val="en-US" w:eastAsia="zh-CN"/>
        </w:rPr>
        <w:t>4</w:t>
      </w:r>
      <w:r>
        <w:rPr>
          <w:rFonts w:ascii="宋体" w:hAnsi="宋体"/>
          <w:color w:val="auto"/>
          <w:szCs w:val="21"/>
          <w:highlight w:val="none"/>
        </w:rPr>
        <w:t xml:space="preserve">   </w:t>
      </w:r>
      <w:r>
        <w:rPr>
          <w:rFonts w:hint="eastAsia" w:ascii="宋体" w:hAnsi="宋体"/>
          <w:color w:val="auto"/>
          <w:szCs w:val="21"/>
          <w:highlight w:val="none"/>
        </w:rPr>
        <w:t>保险的其他规定：</w:t>
      </w:r>
      <w:r>
        <w:rPr>
          <w:rFonts w:hint="eastAsia" w:ascii="宋体" w:hAnsi="宋体"/>
          <w:color w:val="auto"/>
          <w:szCs w:val="21"/>
          <w:highlight w:val="none"/>
          <w:u w:val="single"/>
        </w:rPr>
        <w:t>上述保险应不计免赔额，免赔部分（若有）由承包人承担。</w:t>
      </w:r>
    </w:p>
    <w:p w14:paraId="39C081CF">
      <w:pPr>
        <w:pStyle w:val="2"/>
        <w:ind w:left="0" w:leftChars="0" w:firstLine="0" w:firstLineChars="0"/>
        <w:rPr>
          <w:rFonts w:hint="eastAsia"/>
          <w:color w:val="auto"/>
          <w:highlight w:val="none"/>
        </w:rPr>
      </w:pPr>
    </w:p>
    <w:p w14:paraId="7C2D9C34">
      <w:pPr>
        <w:keepNext w:val="0"/>
        <w:keepLines w:val="0"/>
        <w:pageBreakBefore w:val="0"/>
        <w:wordWrap/>
        <w:overflowPunct/>
        <w:topLinePunct w:val="0"/>
        <w:bidi w:val="0"/>
        <w:snapToGrid w:val="0"/>
        <w:spacing w:line="360" w:lineRule="auto"/>
        <w:ind w:left="0" w:leftChars="0" w:firstLine="0" w:firstLineChars="0"/>
        <w:textAlignment w:val="auto"/>
        <w:outlineLvl w:val="2"/>
        <w:rPr>
          <w:rFonts w:ascii="宋体" w:hAnsi="宋体"/>
          <w:b/>
          <w:color w:val="auto"/>
          <w:szCs w:val="21"/>
          <w:highlight w:val="none"/>
        </w:rPr>
      </w:pPr>
      <w:bookmarkStart w:id="304" w:name="_Toc76720074"/>
      <w:bookmarkStart w:id="305" w:name="_Toc363719029"/>
      <w:bookmarkStart w:id="306" w:name="_Toc80633186"/>
      <w:r>
        <w:rPr>
          <w:rFonts w:hint="eastAsia" w:ascii="宋体" w:hAnsi="宋体"/>
          <w:b/>
          <w:color w:val="auto"/>
          <w:szCs w:val="21"/>
          <w:highlight w:val="none"/>
        </w:rPr>
        <w:t>第</w:t>
      </w:r>
      <w:r>
        <w:rPr>
          <w:rFonts w:ascii="宋体" w:hAnsi="宋体"/>
          <w:b/>
          <w:color w:val="auto"/>
          <w:szCs w:val="21"/>
          <w:highlight w:val="none"/>
        </w:rPr>
        <w:t>16</w:t>
      </w:r>
      <w:r>
        <w:rPr>
          <w:rFonts w:hint="eastAsia" w:ascii="宋体" w:hAnsi="宋体"/>
          <w:b/>
          <w:color w:val="auto"/>
          <w:szCs w:val="21"/>
          <w:highlight w:val="none"/>
        </w:rPr>
        <w:t>条</w:t>
      </w:r>
      <w:r>
        <w:rPr>
          <w:rFonts w:hint="eastAsia" w:ascii="宋体" w:hAnsi="宋体"/>
          <w:b/>
          <w:color w:val="auto"/>
          <w:szCs w:val="21"/>
          <w:highlight w:val="none"/>
        </w:rPr>
        <w:tab/>
      </w:r>
      <w:r>
        <w:rPr>
          <w:rFonts w:hint="eastAsia" w:ascii="宋体" w:hAnsi="宋体"/>
          <w:b/>
          <w:color w:val="auto"/>
          <w:szCs w:val="21"/>
          <w:highlight w:val="none"/>
          <w:lang w:val="en-US" w:eastAsia="zh-CN"/>
        </w:rPr>
        <w:t xml:space="preserve">   </w:t>
      </w:r>
      <w:r>
        <w:rPr>
          <w:rFonts w:hint="eastAsia" w:ascii="宋体" w:hAnsi="宋体"/>
          <w:b/>
          <w:color w:val="auto"/>
          <w:szCs w:val="21"/>
          <w:highlight w:val="none"/>
        </w:rPr>
        <w:t>违约、索赔和裁决</w:t>
      </w:r>
      <w:bookmarkEnd w:id="304"/>
      <w:bookmarkEnd w:id="305"/>
      <w:bookmarkEnd w:id="306"/>
    </w:p>
    <w:p w14:paraId="39D75676">
      <w:pPr>
        <w:keepNext w:val="0"/>
        <w:keepLines w:val="0"/>
        <w:pageBreakBefore w:val="0"/>
        <w:wordWrap/>
        <w:overflowPunct/>
        <w:topLinePunct w:val="0"/>
        <w:bidi w:val="0"/>
        <w:snapToGrid w:val="0"/>
        <w:spacing w:line="360" w:lineRule="auto"/>
        <w:ind w:left="0" w:leftChars="0" w:firstLine="0" w:firstLineChars="0"/>
        <w:textAlignment w:val="auto"/>
        <w:rPr>
          <w:rFonts w:ascii="宋体" w:hAnsi="宋体"/>
          <w:color w:val="auto"/>
          <w:szCs w:val="21"/>
          <w:highlight w:val="none"/>
        </w:rPr>
      </w:pPr>
      <w:r>
        <w:rPr>
          <w:rFonts w:hint="eastAsia" w:ascii="宋体" w:hAnsi="宋体"/>
          <w:color w:val="auto"/>
          <w:szCs w:val="21"/>
          <w:highlight w:val="none"/>
        </w:rPr>
        <w:t>16.1违约</w:t>
      </w:r>
    </w:p>
    <w:p w14:paraId="0B1ABC9F">
      <w:pPr>
        <w:keepNext w:val="0"/>
        <w:keepLines w:val="0"/>
        <w:pageBreakBefore w:val="0"/>
        <w:wordWrap/>
        <w:overflowPunct/>
        <w:topLinePunct w:val="0"/>
        <w:bidi w:val="0"/>
        <w:snapToGrid w:val="0"/>
        <w:spacing w:line="360" w:lineRule="auto"/>
        <w:ind w:left="0" w:leftChars="0" w:firstLine="0" w:firstLineChars="0"/>
        <w:textAlignment w:val="auto"/>
        <w:rPr>
          <w:rFonts w:ascii="宋体" w:hAnsi="宋体"/>
          <w:color w:val="auto"/>
          <w:szCs w:val="21"/>
          <w:highlight w:val="none"/>
        </w:rPr>
      </w:pPr>
      <w:r>
        <w:rPr>
          <w:rFonts w:hint="eastAsia" w:ascii="宋体" w:hAnsi="宋体"/>
          <w:color w:val="auto"/>
          <w:szCs w:val="21"/>
          <w:highlight w:val="none"/>
        </w:rPr>
        <w:t>16.1.2承包人的违约责任</w:t>
      </w:r>
    </w:p>
    <w:p w14:paraId="513B1226">
      <w:pPr>
        <w:keepNext w:val="0"/>
        <w:keepLines w:val="0"/>
        <w:pageBreakBefore w:val="0"/>
        <w:wordWrap/>
        <w:overflowPunct/>
        <w:topLinePunct w:val="0"/>
        <w:bidi w:val="0"/>
        <w:adjustRightInd w:val="0"/>
        <w:snapToGrid w:val="0"/>
        <w:spacing w:line="360" w:lineRule="auto"/>
        <w:ind w:left="0" w:leftChars="0" w:firstLine="0" w:firstLineChars="0"/>
        <w:textAlignment w:val="auto"/>
        <w:rPr>
          <w:rFonts w:ascii="宋体" w:hAnsi="宋体"/>
          <w:color w:val="auto"/>
          <w:szCs w:val="21"/>
          <w:highlight w:val="none"/>
        </w:rPr>
      </w:pPr>
      <w:r>
        <w:rPr>
          <w:rFonts w:hint="eastAsia" w:ascii="宋体" w:hAnsi="宋体"/>
          <w:color w:val="auto"/>
          <w:szCs w:val="21"/>
          <w:highlight w:val="none"/>
        </w:rPr>
        <w:t>承包人未按本合同确认的设备材料品牌来完成工程，设备和材料品牌发生变更且未经发包人确认的，发包人有权选择下列方式处理：</w:t>
      </w:r>
    </w:p>
    <w:p w14:paraId="35036C81">
      <w:pPr>
        <w:keepNext w:val="0"/>
        <w:keepLines w:val="0"/>
        <w:pageBreakBefore w:val="0"/>
        <w:wordWrap/>
        <w:overflowPunct/>
        <w:topLinePunct w:val="0"/>
        <w:bidi w:val="0"/>
        <w:adjustRightInd w:val="0"/>
        <w:snapToGrid w:val="0"/>
        <w:spacing w:line="360" w:lineRule="auto"/>
        <w:ind w:left="0" w:leftChars="0" w:firstLine="0" w:firstLineChars="0"/>
        <w:textAlignment w:val="auto"/>
        <w:rPr>
          <w:rFonts w:hint="eastAsia" w:ascii="宋体" w:hAnsi="宋体"/>
          <w:color w:val="auto"/>
          <w:szCs w:val="21"/>
          <w:highlight w:val="none"/>
        </w:rPr>
      </w:pPr>
      <w:r>
        <w:rPr>
          <w:rFonts w:hint="eastAsia" w:ascii="宋体" w:hAnsi="宋体"/>
          <w:color w:val="auto"/>
          <w:szCs w:val="21"/>
          <w:highlight w:val="none"/>
        </w:rPr>
        <w:t>（1）要求退货，将已建工程拆除并重新施工，但工期不予延长；</w:t>
      </w:r>
    </w:p>
    <w:p w14:paraId="0B374906">
      <w:pPr>
        <w:keepNext w:val="0"/>
        <w:keepLines w:val="0"/>
        <w:pageBreakBefore w:val="0"/>
        <w:wordWrap/>
        <w:overflowPunct/>
        <w:topLinePunct w:val="0"/>
        <w:bidi w:val="0"/>
        <w:adjustRightInd w:val="0"/>
        <w:snapToGrid w:val="0"/>
        <w:spacing w:line="360" w:lineRule="auto"/>
        <w:ind w:left="0" w:leftChars="0" w:firstLine="0" w:firstLineChars="0"/>
        <w:textAlignment w:val="auto"/>
        <w:rPr>
          <w:rFonts w:ascii="宋体" w:hAnsi="宋体"/>
          <w:color w:val="auto"/>
          <w:szCs w:val="21"/>
          <w:highlight w:val="none"/>
        </w:rPr>
      </w:pPr>
      <w:r>
        <w:rPr>
          <w:rFonts w:hint="eastAsia" w:ascii="宋体" w:hAnsi="宋体"/>
          <w:color w:val="auto"/>
          <w:szCs w:val="21"/>
          <w:highlight w:val="none"/>
        </w:rPr>
        <w:t>（2）追究承包人违约责任，</w:t>
      </w:r>
      <w:r>
        <w:rPr>
          <w:rFonts w:hint="eastAsia" w:ascii="宋体" w:hAnsi="宋体"/>
          <w:color w:val="auto"/>
          <w:szCs w:val="21"/>
          <w:highlight w:val="none"/>
          <w:lang w:eastAsia="zh-CN"/>
        </w:rPr>
        <w:t>要求</w:t>
      </w:r>
      <w:r>
        <w:rPr>
          <w:rFonts w:hint="eastAsia" w:ascii="宋体" w:hAnsi="宋体"/>
          <w:color w:val="auto"/>
          <w:szCs w:val="21"/>
          <w:highlight w:val="none"/>
        </w:rPr>
        <w:t>承包人</w:t>
      </w:r>
      <w:r>
        <w:rPr>
          <w:rFonts w:hint="eastAsia" w:ascii="宋体" w:hAnsi="宋体"/>
          <w:color w:val="auto"/>
          <w:szCs w:val="21"/>
          <w:highlight w:val="none"/>
          <w:lang w:eastAsia="zh-CN"/>
        </w:rPr>
        <w:t>承担</w:t>
      </w:r>
      <w:r>
        <w:rPr>
          <w:rFonts w:hint="eastAsia" w:ascii="宋体" w:hAnsi="宋体"/>
          <w:color w:val="auto"/>
          <w:szCs w:val="21"/>
          <w:highlight w:val="none"/>
        </w:rPr>
        <w:t>未使用确认品牌的材料设备款的3-5倍的</w:t>
      </w:r>
      <w:r>
        <w:rPr>
          <w:rFonts w:hint="eastAsia" w:ascii="宋体" w:hAnsi="宋体"/>
          <w:color w:val="auto"/>
          <w:szCs w:val="21"/>
          <w:highlight w:val="none"/>
          <w:lang w:eastAsia="zh-CN"/>
        </w:rPr>
        <w:t>违约金</w:t>
      </w:r>
      <w:r>
        <w:rPr>
          <w:rFonts w:hint="eastAsia" w:ascii="宋体" w:hAnsi="宋体"/>
          <w:color w:val="auto"/>
          <w:szCs w:val="21"/>
          <w:highlight w:val="none"/>
        </w:rPr>
        <w:t>。</w:t>
      </w:r>
    </w:p>
    <w:p w14:paraId="69CACEC4">
      <w:pPr>
        <w:keepNext w:val="0"/>
        <w:keepLines w:val="0"/>
        <w:pageBreakBefore w:val="0"/>
        <w:wordWrap/>
        <w:overflowPunct/>
        <w:topLinePunct w:val="0"/>
        <w:bidi w:val="0"/>
        <w:adjustRightInd w:val="0"/>
        <w:snapToGrid w:val="0"/>
        <w:spacing w:line="360" w:lineRule="auto"/>
        <w:textAlignment w:val="auto"/>
        <w:rPr>
          <w:rFonts w:ascii="宋体" w:hAnsi="宋体"/>
          <w:color w:val="auto"/>
          <w:szCs w:val="21"/>
          <w:highlight w:val="none"/>
        </w:rPr>
      </w:pP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3</w:t>
      </w:r>
      <w:r>
        <w:rPr>
          <w:rFonts w:hint="eastAsia" w:ascii="宋体" w:hAnsi="宋体"/>
          <w:color w:val="auto"/>
          <w:szCs w:val="21"/>
          <w:highlight w:val="none"/>
          <w:lang w:eastAsia="zh-CN"/>
        </w:rPr>
        <w:t>）</w:t>
      </w:r>
      <w:r>
        <w:rPr>
          <w:rFonts w:hint="eastAsia" w:ascii="宋体" w:hAnsi="宋体"/>
          <w:color w:val="auto"/>
          <w:szCs w:val="21"/>
          <w:highlight w:val="none"/>
        </w:rPr>
        <w:t>承包人开设的工人工资支付专用账户有支付工人工资以外用途的或其他弄虚作假行为，发包人收取违约金5万元/次。</w:t>
      </w:r>
    </w:p>
    <w:p w14:paraId="03E9F897">
      <w:pPr>
        <w:keepNext w:val="0"/>
        <w:keepLines w:val="0"/>
        <w:pageBreakBefore w:val="0"/>
        <w:wordWrap/>
        <w:overflowPunct/>
        <w:topLinePunct w:val="0"/>
        <w:bidi w:val="0"/>
        <w:adjustRightInd w:val="0"/>
        <w:snapToGrid w:val="0"/>
        <w:spacing w:line="360" w:lineRule="auto"/>
        <w:ind w:left="0" w:leftChars="0" w:firstLine="0" w:firstLineChars="0"/>
        <w:textAlignment w:val="auto"/>
        <w:rPr>
          <w:rFonts w:ascii="宋体" w:hAnsi="宋体"/>
          <w:color w:val="auto"/>
          <w:szCs w:val="21"/>
          <w:highlight w:val="none"/>
        </w:rPr>
      </w:pP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4</w:t>
      </w:r>
      <w:r>
        <w:rPr>
          <w:rFonts w:hint="eastAsia" w:ascii="宋体" w:hAnsi="宋体"/>
          <w:color w:val="auto"/>
          <w:szCs w:val="21"/>
          <w:highlight w:val="none"/>
          <w:lang w:eastAsia="zh-CN"/>
        </w:rPr>
        <w:t>）</w:t>
      </w:r>
      <w:r>
        <w:rPr>
          <w:rFonts w:hint="eastAsia" w:ascii="宋体" w:hAnsi="宋体"/>
          <w:color w:val="auto"/>
          <w:szCs w:val="21"/>
          <w:highlight w:val="none"/>
        </w:rPr>
        <w:t xml:space="preserve"> 承包人应按与作业工人签订的劳动合同或约定的内容按时足额支付工人工资，如因承包人拖欠工人工资造成发包人损失的，承包人需赔偿损失。</w:t>
      </w:r>
    </w:p>
    <w:p w14:paraId="3B1AC779">
      <w:pPr>
        <w:keepNext w:val="0"/>
        <w:keepLines w:val="0"/>
        <w:pageBreakBefore w:val="0"/>
        <w:wordWrap/>
        <w:overflowPunct/>
        <w:topLinePunct w:val="0"/>
        <w:bidi w:val="0"/>
        <w:snapToGrid w:val="0"/>
        <w:spacing w:line="360" w:lineRule="auto"/>
        <w:ind w:left="0" w:leftChars="0" w:firstLine="0" w:firstLineChars="0"/>
        <w:textAlignment w:val="auto"/>
        <w:rPr>
          <w:rFonts w:ascii="宋体" w:hAnsi="宋体"/>
          <w:color w:val="auto"/>
          <w:szCs w:val="21"/>
          <w:highlight w:val="none"/>
        </w:rPr>
      </w:pPr>
      <w:r>
        <w:rPr>
          <w:rFonts w:hint="eastAsia" w:ascii="宋体" w:hAnsi="宋体"/>
          <w:color w:val="auto"/>
          <w:szCs w:val="21"/>
          <w:highlight w:val="none"/>
        </w:rPr>
        <w:t>16.2 索赔</w:t>
      </w:r>
    </w:p>
    <w:p w14:paraId="274A235A">
      <w:pPr>
        <w:keepNext w:val="0"/>
        <w:keepLines w:val="0"/>
        <w:pageBreakBefore w:val="0"/>
        <w:wordWrap/>
        <w:overflowPunct/>
        <w:topLinePunct w:val="0"/>
        <w:bidi w:val="0"/>
        <w:snapToGrid w:val="0"/>
        <w:spacing w:line="360" w:lineRule="auto"/>
        <w:ind w:left="0" w:leftChars="0" w:firstLine="0" w:firstLineChars="0"/>
        <w:textAlignment w:val="auto"/>
        <w:rPr>
          <w:rFonts w:ascii="宋体" w:hAnsi="宋体"/>
          <w:color w:val="auto"/>
          <w:szCs w:val="21"/>
          <w:highlight w:val="none"/>
        </w:rPr>
      </w:pPr>
      <w:r>
        <w:rPr>
          <w:rFonts w:hint="eastAsia" w:ascii="宋体" w:hAnsi="宋体"/>
          <w:color w:val="auto"/>
          <w:szCs w:val="21"/>
          <w:highlight w:val="none"/>
        </w:rPr>
        <w:t>16.2.1 发包人</w:t>
      </w:r>
      <w:r>
        <w:rPr>
          <w:rFonts w:ascii="宋体" w:hAnsi="宋体"/>
          <w:color w:val="auto"/>
          <w:szCs w:val="21"/>
          <w:highlight w:val="none"/>
        </w:rPr>
        <w:t>的索赔</w:t>
      </w:r>
    </w:p>
    <w:p w14:paraId="61A841FF">
      <w:pPr>
        <w:keepNext w:val="0"/>
        <w:keepLines w:val="0"/>
        <w:pageBreakBefore w:val="0"/>
        <w:wordWrap/>
        <w:overflowPunct/>
        <w:topLinePunct w:val="0"/>
        <w:bidi w:val="0"/>
        <w:spacing w:line="360" w:lineRule="auto"/>
        <w:ind w:left="0" w:leftChars="0" w:firstLine="0" w:firstLineChars="0"/>
        <w:textAlignment w:val="auto"/>
        <w:rPr>
          <w:rFonts w:ascii="宋体" w:hAnsi="宋体" w:cs="宋体"/>
          <w:color w:val="auto"/>
          <w:szCs w:val="21"/>
          <w:highlight w:val="none"/>
        </w:rPr>
      </w:pPr>
      <w:r>
        <w:rPr>
          <w:rFonts w:hint="eastAsia" w:ascii="宋体" w:hAnsi="宋体" w:cs="宋体"/>
          <w:color w:val="auto"/>
          <w:szCs w:val="21"/>
          <w:highlight w:val="none"/>
        </w:rPr>
        <w:t>承包人</w:t>
      </w:r>
      <w:r>
        <w:rPr>
          <w:rFonts w:ascii="宋体" w:hAnsi="宋体" w:cs="宋体"/>
          <w:color w:val="auto"/>
          <w:szCs w:val="21"/>
          <w:highlight w:val="none"/>
        </w:rPr>
        <w:t>出现以下情况时，对发包人进行赔偿。</w:t>
      </w:r>
    </w:p>
    <w:p w14:paraId="3AE06915">
      <w:pPr>
        <w:keepNext w:val="0"/>
        <w:keepLines w:val="0"/>
        <w:pageBreakBefore w:val="0"/>
        <w:wordWrap/>
        <w:overflowPunct/>
        <w:topLinePunct w:val="0"/>
        <w:bidi w:val="0"/>
        <w:spacing w:line="360" w:lineRule="auto"/>
        <w:ind w:left="0" w:leftChars="0" w:firstLine="0" w:firstLineChars="0"/>
        <w:textAlignment w:val="auto"/>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w:t>
      </w:r>
      <w:r>
        <w:rPr>
          <w:rFonts w:hint="eastAsia" w:ascii="宋体" w:hAnsi="宋体"/>
          <w:color w:val="auto"/>
          <w:szCs w:val="21"/>
          <w:highlight w:val="none"/>
        </w:rPr>
        <w:t>禁止踩踏组件面板。当发包</w:t>
      </w:r>
      <w:r>
        <w:rPr>
          <w:rFonts w:ascii="宋体" w:hAnsi="宋体"/>
          <w:color w:val="auto"/>
          <w:szCs w:val="21"/>
          <w:highlight w:val="none"/>
        </w:rPr>
        <w:t>方或监理</w:t>
      </w:r>
      <w:r>
        <w:rPr>
          <w:rFonts w:hint="eastAsia" w:ascii="宋体" w:hAnsi="宋体"/>
          <w:color w:val="auto"/>
          <w:szCs w:val="21"/>
          <w:highlight w:val="none"/>
        </w:rPr>
        <w:t>第1次发现</w:t>
      </w:r>
      <w:r>
        <w:rPr>
          <w:rFonts w:ascii="宋体" w:hAnsi="宋体"/>
          <w:color w:val="auto"/>
          <w:szCs w:val="21"/>
          <w:highlight w:val="none"/>
        </w:rPr>
        <w:t>施工人员</w:t>
      </w:r>
      <w:r>
        <w:rPr>
          <w:rFonts w:hint="eastAsia" w:ascii="宋体" w:hAnsi="宋体"/>
          <w:color w:val="auto"/>
          <w:szCs w:val="21"/>
          <w:highlight w:val="none"/>
        </w:rPr>
        <w:t>踩踏时，每个</w:t>
      </w:r>
      <w:r>
        <w:rPr>
          <w:rFonts w:ascii="宋体" w:hAnsi="宋体"/>
          <w:color w:val="auto"/>
          <w:szCs w:val="21"/>
          <w:highlight w:val="none"/>
        </w:rPr>
        <w:t>脚印</w:t>
      </w:r>
      <w:r>
        <w:rPr>
          <w:rFonts w:hint="eastAsia" w:ascii="宋体" w:hAnsi="宋体"/>
          <w:color w:val="auto"/>
          <w:szCs w:val="21"/>
          <w:highlight w:val="none"/>
        </w:rPr>
        <w:t>赔偿1000元；第2次</w:t>
      </w:r>
      <w:r>
        <w:rPr>
          <w:rFonts w:ascii="宋体" w:hAnsi="宋体"/>
          <w:color w:val="auto"/>
          <w:szCs w:val="21"/>
          <w:highlight w:val="none"/>
        </w:rPr>
        <w:t>发现</w:t>
      </w:r>
      <w:r>
        <w:rPr>
          <w:rFonts w:hint="eastAsia" w:ascii="宋体" w:hAnsi="宋体"/>
          <w:color w:val="auto"/>
          <w:szCs w:val="21"/>
          <w:highlight w:val="none"/>
        </w:rPr>
        <w:t>踩踏时，</w:t>
      </w:r>
      <w:r>
        <w:rPr>
          <w:rFonts w:ascii="宋体" w:hAnsi="宋体"/>
          <w:color w:val="auto"/>
          <w:szCs w:val="21"/>
          <w:highlight w:val="none"/>
        </w:rPr>
        <w:t>每个脚印</w:t>
      </w:r>
      <w:r>
        <w:rPr>
          <w:rFonts w:hint="eastAsia" w:ascii="宋体" w:hAnsi="宋体"/>
          <w:color w:val="auto"/>
          <w:szCs w:val="21"/>
          <w:highlight w:val="none"/>
        </w:rPr>
        <w:t>赔偿2000元；第3次</w:t>
      </w:r>
      <w:r>
        <w:rPr>
          <w:rFonts w:ascii="宋体" w:hAnsi="宋体"/>
          <w:color w:val="auto"/>
          <w:szCs w:val="21"/>
          <w:highlight w:val="none"/>
        </w:rPr>
        <w:t>发现</w:t>
      </w:r>
      <w:r>
        <w:rPr>
          <w:rFonts w:hint="eastAsia" w:ascii="宋体" w:hAnsi="宋体"/>
          <w:color w:val="auto"/>
          <w:szCs w:val="21"/>
          <w:highlight w:val="none"/>
        </w:rPr>
        <w:t>踩踏</w:t>
      </w:r>
      <w:r>
        <w:rPr>
          <w:rFonts w:ascii="宋体" w:hAnsi="宋体"/>
          <w:color w:val="auto"/>
          <w:szCs w:val="21"/>
          <w:highlight w:val="none"/>
        </w:rPr>
        <w:t>时</w:t>
      </w:r>
      <w:r>
        <w:rPr>
          <w:rFonts w:hint="eastAsia" w:ascii="宋体" w:hAnsi="宋体"/>
          <w:color w:val="auto"/>
          <w:szCs w:val="21"/>
          <w:highlight w:val="none"/>
        </w:rPr>
        <w:t>，每个</w:t>
      </w:r>
      <w:r>
        <w:rPr>
          <w:rFonts w:ascii="宋体" w:hAnsi="宋体"/>
          <w:color w:val="auto"/>
          <w:szCs w:val="21"/>
          <w:highlight w:val="none"/>
        </w:rPr>
        <w:t>脚印</w:t>
      </w:r>
      <w:r>
        <w:rPr>
          <w:rFonts w:hint="eastAsia" w:ascii="宋体" w:hAnsi="宋体"/>
          <w:color w:val="auto"/>
          <w:szCs w:val="21"/>
          <w:highlight w:val="none"/>
        </w:rPr>
        <w:t>赔偿3000元，</w:t>
      </w:r>
      <w:r>
        <w:rPr>
          <w:rFonts w:ascii="宋体" w:hAnsi="宋体"/>
          <w:color w:val="auto"/>
          <w:szCs w:val="21"/>
          <w:highlight w:val="none"/>
        </w:rPr>
        <w:t>并</w:t>
      </w:r>
      <w:r>
        <w:rPr>
          <w:rFonts w:hint="eastAsia" w:ascii="宋体" w:hAnsi="宋体"/>
          <w:color w:val="auto"/>
          <w:szCs w:val="21"/>
          <w:highlight w:val="none"/>
        </w:rPr>
        <w:t>要求</w:t>
      </w:r>
      <w:r>
        <w:rPr>
          <w:rFonts w:ascii="宋体" w:hAnsi="宋体"/>
          <w:color w:val="auto"/>
          <w:szCs w:val="21"/>
          <w:highlight w:val="none"/>
        </w:rPr>
        <w:t>将</w:t>
      </w:r>
      <w:r>
        <w:rPr>
          <w:rFonts w:hint="eastAsia" w:ascii="宋体" w:hAnsi="宋体"/>
          <w:color w:val="auto"/>
          <w:szCs w:val="21"/>
          <w:highlight w:val="none"/>
        </w:rPr>
        <w:t>相关</w:t>
      </w:r>
      <w:r>
        <w:rPr>
          <w:rFonts w:ascii="宋体" w:hAnsi="宋体"/>
          <w:color w:val="auto"/>
          <w:szCs w:val="21"/>
          <w:highlight w:val="none"/>
        </w:rPr>
        <w:t>责任班组清退</w:t>
      </w:r>
      <w:r>
        <w:rPr>
          <w:rFonts w:hint="eastAsia" w:ascii="宋体" w:hAnsi="宋体"/>
          <w:color w:val="auto"/>
          <w:szCs w:val="21"/>
          <w:highlight w:val="none"/>
        </w:rPr>
        <w:t>出该</w:t>
      </w:r>
      <w:r>
        <w:rPr>
          <w:rFonts w:ascii="宋体" w:hAnsi="宋体"/>
          <w:color w:val="auto"/>
          <w:szCs w:val="21"/>
          <w:highlight w:val="none"/>
        </w:rPr>
        <w:t>项目</w:t>
      </w:r>
      <w:r>
        <w:rPr>
          <w:rFonts w:hint="eastAsia" w:ascii="宋体" w:hAnsi="宋体"/>
          <w:color w:val="auto"/>
          <w:szCs w:val="21"/>
          <w:highlight w:val="none"/>
        </w:rPr>
        <w:t>，由此</w:t>
      </w:r>
      <w:r>
        <w:rPr>
          <w:rFonts w:ascii="宋体" w:hAnsi="宋体"/>
          <w:color w:val="auto"/>
          <w:szCs w:val="21"/>
          <w:highlight w:val="none"/>
        </w:rPr>
        <w:t>造成工程延期</w:t>
      </w:r>
      <w:r>
        <w:rPr>
          <w:rFonts w:hint="eastAsia" w:ascii="宋体" w:hAnsi="宋体"/>
          <w:color w:val="auto"/>
          <w:szCs w:val="21"/>
          <w:highlight w:val="none"/>
        </w:rPr>
        <w:t>的</w:t>
      </w:r>
      <w:r>
        <w:rPr>
          <w:rFonts w:ascii="宋体" w:hAnsi="宋体"/>
          <w:color w:val="auto"/>
          <w:szCs w:val="21"/>
          <w:highlight w:val="none"/>
        </w:rPr>
        <w:t>损失由</w:t>
      </w:r>
      <w:r>
        <w:rPr>
          <w:rFonts w:hint="eastAsia" w:ascii="宋体" w:hAnsi="宋体"/>
          <w:color w:val="auto"/>
          <w:szCs w:val="21"/>
          <w:highlight w:val="none"/>
        </w:rPr>
        <w:t>承包人</w:t>
      </w:r>
      <w:r>
        <w:rPr>
          <w:rFonts w:ascii="宋体" w:hAnsi="宋体"/>
          <w:color w:val="auto"/>
          <w:szCs w:val="21"/>
          <w:highlight w:val="none"/>
        </w:rPr>
        <w:t>负责</w:t>
      </w:r>
      <w:r>
        <w:rPr>
          <w:rFonts w:hint="eastAsia" w:ascii="宋体" w:hAnsi="宋体"/>
          <w:color w:val="auto"/>
          <w:szCs w:val="21"/>
          <w:highlight w:val="none"/>
        </w:rPr>
        <w:t>。</w:t>
      </w:r>
    </w:p>
    <w:p w14:paraId="06B818FE">
      <w:pPr>
        <w:keepNext w:val="0"/>
        <w:keepLines w:val="0"/>
        <w:pageBreakBefore w:val="0"/>
        <w:wordWrap/>
        <w:overflowPunct/>
        <w:topLinePunct w:val="0"/>
        <w:bidi w:val="0"/>
        <w:spacing w:line="360" w:lineRule="auto"/>
        <w:ind w:left="0" w:leftChars="0" w:firstLine="0" w:firstLineChars="0"/>
        <w:textAlignment w:val="auto"/>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ascii="宋体" w:hAnsi="宋体"/>
          <w:color w:val="auto"/>
          <w:szCs w:val="21"/>
          <w:highlight w:val="none"/>
        </w:rPr>
        <w:t>）</w:t>
      </w:r>
      <w:r>
        <w:rPr>
          <w:rFonts w:hint="eastAsia" w:ascii="宋体" w:hAnsi="宋体"/>
          <w:color w:val="auto"/>
          <w:szCs w:val="21"/>
          <w:highlight w:val="none"/>
        </w:rPr>
        <w:t>由于施工原因造成屋面破损、或因未及时清理施工垃圾造成排水沟管道堵塞等导致屋面漏雨，而淋湿屋顶业主的原材料、成品或电器设备，所造成的损失由承包方承担赔偿</w:t>
      </w:r>
      <w:r>
        <w:rPr>
          <w:rFonts w:hint="eastAsia" w:ascii="宋体" w:hAnsi="宋体"/>
          <w:color w:val="auto"/>
          <w:szCs w:val="21"/>
          <w:highlight w:val="none"/>
          <w:lang w:val="en-US" w:eastAsia="zh-CN"/>
        </w:rPr>
        <w:t>责任</w:t>
      </w:r>
      <w:r>
        <w:rPr>
          <w:rFonts w:hint="eastAsia" w:ascii="宋体" w:hAnsi="宋体"/>
          <w:color w:val="auto"/>
          <w:szCs w:val="21"/>
          <w:highlight w:val="none"/>
        </w:rPr>
        <w:t>。</w:t>
      </w:r>
    </w:p>
    <w:p w14:paraId="6EE78B80">
      <w:pPr>
        <w:keepNext w:val="0"/>
        <w:keepLines w:val="0"/>
        <w:pageBreakBefore w:val="0"/>
        <w:wordWrap/>
        <w:overflowPunct/>
        <w:topLinePunct w:val="0"/>
        <w:bidi w:val="0"/>
        <w:spacing w:line="360" w:lineRule="auto"/>
        <w:ind w:left="0" w:leftChars="0" w:firstLine="0" w:firstLineChars="0"/>
        <w:textAlignment w:val="auto"/>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ascii="宋体" w:hAnsi="宋体"/>
          <w:color w:val="auto"/>
          <w:szCs w:val="21"/>
          <w:highlight w:val="none"/>
        </w:rPr>
        <w:t>）</w:t>
      </w:r>
      <w:r>
        <w:rPr>
          <w:rFonts w:hint="eastAsia" w:ascii="宋体" w:hAnsi="宋体" w:eastAsia="宋体" w:cs="Times New Roman"/>
          <w:color w:val="auto"/>
          <w:kern w:val="2"/>
          <w:sz w:val="21"/>
          <w:szCs w:val="21"/>
          <w:highlight w:val="none"/>
        </w:rPr>
        <w:t>因承包人原因，在约定时间内未能完成项目建设并通过验收的，每推迟1个日历日，</w:t>
      </w:r>
      <w:r>
        <w:rPr>
          <w:rFonts w:hint="eastAsia" w:ascii="宋体" w:hAnsi="宋体"/>
          <w:color w:val="auto"/>
          <w:szCs w:val="21"/>
          <w:highlight w:val="none"/>
        </w:rPr>
        <w:t>赔偿</w:t>
      </w:r>
      <w:r>
        <w:rPr>
          <w:rFonts w:hint="eastAsia" w:ascii="宋体" w:hAnsi="宋体" w:cs="Times New Roman"/>
          <w:color w:val="auto"/>
          <w:kern w:val="2"/>
          <w:sz w:val="21"/>
          <w:szCs w:val="21"/>
          <w:highlight w:val="none"/>
          <w:lang w:val="en-US" w:eastAsia="zh-CN"/>
        </w:rPr>
        <w:t>5</w:t>
      </w:r>
      <w:r>
        <w:rPr>
          <w:rFonts w:hint="eastAsia" w:ascii="宋体" w:hAnsi="宋体" w:eastAsia="宋体" w:cs="Times New Roman"/>
          <w:color w:val="auto"/>
          <w:kern w:val="2"/>
          <w:sz w:val="21"/>
          <w:szCs w:val="21"/>
          <w:highlight w:val="none"/>
        </w:rPr>
        <w:t>000元。</w:t>
      </w:r>
    </w:p>
    <w:p w14:paraId="2DC5BBE8">
      <w:pPr>
        <w:pStyle w:val="5"/>
        <w:keepNext w:val="0"/>
        <w:keepLines w:val="0"/>
        <w:pageBreakBefore w:val="0"/>
        <w:wordWrap/>
        <w:overflowPunct/>
        <w:topLinePunct w:val="0"/>
        <w:bidi w:val="0"/>
        <w:spacing w:afterLines="0" w:line="360" w:lineRule="auto"/>
        <w:ind w:left="0" w:leftChars="0" w:firstLine="0" w:firstLineChars="0"/>
        <w:textAlignment w:val="auto"/>
        <w:rPr>
          <w:rFonts w:ascii="宋体" w:hAnsi="宋体"/>
          <w:color w:val="auto"/>
          <w:szCs w:val="21"/>
          <w:highlight w:val="none"/>
        </w:rPr>
      </w:pPr>
      <w:r>
        <w:rPr>
          <w:rFonts w:hint="eastAsia" w:ascii="宋体" w:hAnsi="宋体" w:eastAsia="宋体" w:cs="Times New Roman"/>
          <w:color w:val="auto"/>
          <w:kern w:val="2"/>
          <w:sz w:val="21"/>
          <w:szCs w:val="21"/>
          <w:highlight w:val="none"/>
        </w:rPr>
        <w:t>（</w:t>
      </w:r>
      <w:r>
        <w:rPr>
          <w:rFonts w:hint="eastAsia" w:ascii="宋体" w:hAnsi="宋体" w:eastAsia="宋体" w:cs="Times New Roman"/>
          <w:color w:val="auto"/>
          <w:kern w:val="2"/>
          <w:sz w:val="21"/>
          <w:szCs w:val="21"/>
          <w:highlight w:val="none"/>
          <w:lang w:val="en-US" w:eastAsia="zh-CN"/>
        </w:rPr>
        <w:t>4</w:t>
      </w:r>
      <w:r>
        <w:rPr>
          <w:rFonts w:hint="eastAsia" w:ascii="宋体" w:hAnsi="宋体" w:eastAsia="宋体" w:cs="Times New Roman"/>
          <w:color w:val="auto"/>
          <w:kern w:val="2"/>
          <w:sz w:val="21"/>
          <w:szCs w:val="21"/>
          <w:highlight w:val="none"/>
        </w:rPr>
        <w:t>）</w:t>
      </w:r>
      <w:r>
        <w:rPr>
          <w:rFonts w:hint="eastAsia" w:ascii="宋体" w:hAnsi="宋体"/>
          <w:color w:val="auto"/>
          <w:szCs w:val="21"/>
          <w:highlight w:val="none"/>
        </w:rPr>
        <w:t>相关</w:t>
      </w:r>
      <w:r>
        <w:rPr>
          <w:rFonts w:hint="eastAsia" w:ascii="宋体" w:hAnsi="宋体"/>
          <w:color w:val="auto"/>
          <w:szCs w:val="21"/>
          <w:highlight w:val="none"/>
          <w:lang w:eastAsia="zh-CN"/>
        </w:rPr>
        <w:t>违约金、赔偿等</w:t>
      </w:r>
      <w:r>
        <w:rPr>
          <w:rFonts w:hint="eastAsia" w:ascii="宋体" w:hAnsi="宋体"/>
          <w:color w:val="auto"/>
          <w:szCs w:val="21"/>
          <w:highlight w:val="none"/>
        </w:rPr>
        <w:t>由承包人收到发包人书面通知后缴付至发包人</w:t>
      </w:r>
      <w:r>
        <w:rPr>
          <w:rFonts w:ascii="宋体" w:hAnsi="宋体"/>
          <w:color w:val="auto"/>
          <w:szCs w:val="21"/>
          <w:highlight w:val="none"/>
        </w:rPr>
        <w:t>，</w:t>
      </w:r>
      <w:r>
        <w:rPr>
          <w:rFonts w:hint="eastAsia" w:ascii="宋体" w:hAnsi="宋体"/>
          <w:color w:val="auto"/>
          <w:szCs w:val="21"/>
          <w:highlight w:val="none"/>
        </w:rPr>
        <w:t>或</w:t>
      </w:r>
      <w:r>
        <w:rPr>
          <w:rFonts w:ascii="宋体" w:hAnsi="宋体"/>
          <w:color w:val="auto"/>
          <w:szCs w:val="21"/>
          <w:highlight w:val="none"/>
        </w:rPr>
        <w:t>在</w:t>
      </w:r>
      <w:r>
        <w:rPr>
          <w:rFonts w:hint="eastAsia" w:ascii="宋体" w:hAnsi="宋体"/>
          <w:color w:val="auto"/>
          <w:szCs w:val="21"/>
          <w:highlight w:val="none"/>
          <w:lang w:val="en-US" w:eastAsia="zh-CN"/>
        </w:rPr>
        <w:t>履约保证金</w:t>
      </w:r>
      <w:r>
        <w:rPr>
          <w:rFonts w:ascii="宋体" w:hAnsi="宋体"/>
          <w:color w:val="auto"/>
          <w:szCs w:val="21"/>
          <w:highlight w:val="none"/>
        </w:rPr>
        <w:t>扣除。</w:t>
      </w:r>
    </w:p>
    <w:p w14:paraId="5187954D">
      <w:pPr>
        <w:keepNext w:val="0"/>
        <w:keepLines w:val="0"/>
        <w:pageBreakBefore w:val="0"/>
        <w:wordWrap/>
        <w:overflowPunct/>
        <w:topLinePunct w:val="0"/>
        <w:bidi w:val="0"/>
        <w:snapToGrid w:val="0"/>
        <w:spacing w:line="360" w:lineRule="auto"/>
        <w:ind w:left="0" w:leftChars="0" w:firstLine="0" w:firstLineChars="0"/>
        <w:textAlignment w:val="auto"/>
        <w:rPr>
          <w:rFonts w:ascii="宋体" w:hAnsi="宋体"/>
          <w:color w:val="auto"/>
          <w:szCs w:val="21"/>
          <w:highlight w:val="none"/>
        </w:rPr>
      </w:pPr>
      <w:r>
        <w:rPr>
          <w:rFonts w:hint="eastAsia" w:ascii="宋体" w:hAnsi="宋体"/>
          <w:color w:val="auto"/>
          <w:szCs w:val="21"/>
          <w:highlight w:val="none"/>
        </w:rPr>
        <w:t>16.3 争议解决</w:t>
      </w:r>
    </w:p>
    <w:p w14:paraId="0D816309">
      <w:pPr>
        <w:keepNext w:val="0"/>
        <w:keepLines w:val="0"/>
        <w:pageBreakBefore w:val="0"/>
        <w:wordWrap/>
        <w:overflowPunct/>
        <w:topLinePunct w:val="0"/>
        <w:bidi w:val="0"/>
        <w:snapToGrid w:val="0"/>
        <w:spacing w:line="360" w:lineRule="auto"/>
        <w:ind w:left="0" w:leftChars="0" w:firstLine="0" w:firstLineChars="0"/>
        <w:textAlignment w:val="auto"/>
        <w:rPr>
          <w:rFonts w:ascii="宋体" w:hAnsi="宋体"/>
          <w:color w:val="auto"/>
          <w:szCs w:val="21"/>
          <w:highlight w:val="none"/>
        </w:rPr>
      </w:pPr>
      <w:r>
        <w:rPr>
          <w:rFonts w:hint="eastAsia" w:ascii="宋体" w:hAnsi="宋体"/>
          <w:color w:val="auto"/>
          <w:szCs w:val="21"/>
          <w:highlight w:val="none"/>
        </w:rPr>
        <w:t>16.3.1争议的解决程序。</w:t>
      </w:r>
    </w:p>
    <w:p w14:paraId="458D880E">
      <w:pPr>
        <w:keepNext w:val="0"/>
        <w:keepLines w:val="0"/>
        <w:pageBreakBefore w:val="0"/>
        <w:wordWrap/>
        <w:overflowPunct/>
        <w:topLinePunct w:val="0"/>
        <w:bidi w:val="0"/>
        <w:snapToGrid w:val="0"/>
        <w:spacing w:line="360" w:lineRule="auto"/>
        <w:ind w:left="0" w:leftChars="0" w:firstLine="0" w:firstLineChars="0"/>
        <w:textAlignment w:val="auto"/>
        <w:rPr>
          <w:rFonts w:ascii="宋体" w:hAnsi="宋体"/>
          <w:color w:val="auto"/>
          <w:szCs w:val="21"/>
          <w:highlight w:val="none"/>
        </w:rPr>
      </w:pPr>
      <w:r>
        <w:rPr>
          <w:rFonts w:hint="eastAsia" w:ascii="宋体" w:hAnsi="宋体"/>
          <w:color w:val="auto"/>
          <w:szCs w:val="21"/>
          <w:highlight w:val="none"/>
        </w:rPr>
        <w:t>凡与本合同条款有关的一切争议，双方应首先通过友好协商解决，如经协商后仍不能达成协议时，则任一方可向</w:t>
      </w:r>
      <w:r>
        <w:rPr>
          <w:rFonts w:hint="eastAsia" w:ascii="宋体" w:hAnsi="宋体"/>
          <w:color w:val="auto"/>
          <w:szCs w:val="21"/>
          <w:highlight w:val="none"/>
          <w:lang w:val="en-US" w:eastAsia="zh-CN"/>
        </w:rPr>
        <w:t>甲方</w:t>
      </w:r>
      <w:r>
        <w:rPr>
          <w:rFonts w:hint="eastAsia" w:ascii="宋体" w:hAnsi="宋体"/>
          <w:color w:val="auto"/>
          <w:szCs w:val="21"/>
          <w:highlight w:val="none"/>
        </w:rPr>
        <w:t>所在地法院提起诉讼。</w:t>
      </w:r>
    </w:p>
    <w:p w14:paraId="0CDBCD97">
      <w:pPr>
        <w:keepNext w:val="0"/>
        <w:keepLines w:val="0"/>
        <w:pageBreakBefore w:val="0"/>
        <w:wordWrap/>
        <w:overflowPunct/>
        <w:topLinePunct w:val="0"/>
        <w:bidi w:val="0"/>
        <w:snapToGrid w:val="0"/>
        <w:spacing w:line="360" w:lineRule="auto"/>
        <w:ind w:left="0" w:leftChars="0" w:firstLine="0" w:firstLineChars="0"/>
        <w:textAlignment w:val="auto"/>
        <w:rPr>
          <w:rFonts w:hint="eastAsia" w:ascii="宋体" w:hAnsi="宋体"/>
          <w:b/>
          <w:bCs w:val="0"/>
          <w:color w:val="auto"/>
          <w:szCs w:val="21"/>
          <w:highlight w:val="none"/>
          <w:lang w:val="en-US" w:eastAsia="zh-CN"/>
        </w:rPr>
      </w:pPr>
    </w:p>
    <w:p w14:paraId="4E90F5BA">
      <w:pPr>
        <w:keepNext w:val="0"/>
        <w:keepLines w:val="0"/>
        <w:pageBreakBefore w:val="0"/>
        <w:wordWrap/>
        <w:overflowPunct/>
        <w:topLinePunct w:val="0"/>
        <w:bidi w:val="0"/>
        <w:snapToGrid w:val="0"/>
        <w:spacing w:line="360" w:lineRule="auto"/>
        <w:ind w:left="0" w:leftChars="0" w:firstLine="0" w:firstLineChars="0"/>
        <w:textAlignment w:val="auto"/>
        <w:rPr>
          <w:color w:val="auto"/>
          <w:highlight w:val="none"/>
        </w:rPr>
      </w:pPr>
      <w:r>
        <w:rPr>
          <w:rFonts w:hint="eastAsia" w:ascii="宋体" w:hAnsi="宋体"/>
          <w:b/>
          <w:bCs w:val="0"/>
          <w:color w:val="auto"/>
          <w:szCs w:val="21"/>
          <w:highlight w:val="none"/>
          <w:lang w:val="en-US" w:eastAsia="zh-CN"/>
        </w:rPr>
        <w:t xml:space="preserve">第17条 </w:t>
      </w:r>
      <w:r>
        <w:rPr>
          <w:rFonts w:hint="eastAsia" w:ascii="宋体" w:hAnsi="宋体"/>
          <w:b/>
          <w:bCs w:val="0"/>
          <w:color w:val="auto"/>
          <w:szCs w:val="21"/>
          <w:highlight w:val="none"/>
        </w:rPr>
        <w:t>补充条款</w:t>
      </w:r>
      <w:r>
        <w:rPr>
          <w:rFonts w:hint="eastAsia" w:ascii="宋体" w:hAnsi="宋体"/>
          <w:b/>
          <w:bCs w:val="0"/>
          <w:color w:val="auto"/>
          <w:szCs w:val="21"/>
          <w:highlight w:val="none"/>
          <w:lang w:eastAsia="zh-CN"/>
        </w:rPr>
        <w:t>：</w:t>
      </w:r>
      <w:r>
        <w:rPr>
          <w:rFonts w:hint="eastAsia"/>
          <w:color w:val="auto"/>
          <w:highlight w:val="none"/>
        </w:rPr>
        <w:t xml:space="preserve">  </w:t>
      </w:r>
    </w:p>
    <w:p w14:paraId="69E531C0">
      <w:pPr>
        <w:pStyle w:val="2"/>
        <w:keepNext w:val="0"/>
        <w:keepLines w:val="0"/>
        <w:pageBreakBefore w:val="0"/>
        <w:wordWrap/>
        <w:overflowPunct/>
        <w:topLinePunct w:val="0"/>
        <w:bidi w:val="0"/>
        <w:spacing w:line="360" w:lineRule="auto"/>
        <w:ind w:left="0" w:leftChars="0" w:firstLine="0" w:firstLineChars="0"/>
        <w:textAlignment w:val="auto"/>
        <w:rPr>
          <w:color w:val="auto"/>
          <w:highlight w:val="none"/>
          <w:u w:val="single"/>
        </w:rPr>
      </w:pPr>
      <w:r>
        <w:rPr>
          <w:rFonts w:hint="eastAsia" w:asciiTheme="majorEastAsia" w:hAnsiTheme="majorEastAsia" w:eastAsiaTheme="majorEastAsia" w:cstheme="majorEastAsia"/>
          <w:color w:val="auto"/>
          <w:highlight w:val="none"/>
          <w:lang w:val="en-US" w:eastAsia="zh-CN"/>
        </w:rPr>
        <w:t>17</w:t>
      </w:r>
      <w:r>
        <w:rPr>
          <w:rFonts w:hint="eastAsia" w:asciiTheme="majorEastAsia" w:hAnsiTheme="majorEastAsia" w:eastAsiaTheme="majorEastAsia" w:cstheme="majorEastAsia"/>
          <w:color w:val="auto"/>
          <w:highlight w:val="none"/>
        </w:rPr>
        <w:t>.1</w:t>
      </w:r>
      <w:r>
        <w:rPr>
          <w:rFonts w:hint="eastAsia"/>
          <w:color w:val="auto"/>
          <w:highlight w:val="none"/>
        </w:rPr>
        <w:t xml:space="preserve"> 其他要求：</w:t>
      </w:r>
      <w:r>
        <w:rPr>
          <w:rFonts w:hint="eastAsia"/>
          <w:color w:val="auto"/>
          <w:highlight w:val="none"/>
          <w:u w:val="single"/>
        </w:rPr>
        <w:t xml:space="preserve">    无    </w:t>
      </w:r>
      <w:r>
        <w:rPr>
          <w:rFonts w:hint="eastAsia"/>
          <w:color w:val="auto"/>
          <w:highlight w:val="none"/>
        </w:rPr>
        <w:t>。</w:t>
      </w:r>
    </w:p>
    <w:p w14:paraId="6C2E9D7F">
      <w:pPr>
        <w:keepNext w:val="0"/>
        <w:keepLines w:val="0"/>
        <w:pageBreakBefore w:val="0"/>
        <w:wordWrap/>
        <w:overflowPunct/>
        <w:topLinePunct w:val="0"/>
        <w:bidi w:val="0"/>
        <w:spacing w:line="360" w:lineRule="auto"/>
        <w:ind w:left="0" w:leftChars="0" w:firstLine="0" w:firstLineChars="0"/>
        <w:textAlignment w:val="auto"/>
        <w:rPr>
          <w:rFonts w:ascii="宋体" w:hAnsi="宋体"/>
          <w:color w:val="auto"/>
          <w:szCs w:val="21"/>
          <w:highlight w:val="none"/>
        </w:rPr>
      </w:pPr>
      <w:r>
        <w:rPr>
          <w:rFonts w:hint="eastAsia" w:ascii="宋体" w:hAnsi="宋体"/>
          <w:color w:val="auto"/>
          <w:szCs w:val="21"/>
          <w:highlight w:val="none"/>
          <w:lang w:val="en-US" w:eastAsia="zh-CN"/>
        </w:rPr>
        <w:t>17</w:t>
      </w:r>
      <w:r>
        <w:rPr>
          <w:rFonts w:hint="eastAsia" w:ascii="宋体" w:hAnsi="宋体"/>
          <w:color w:val="auto"/>
          <w:szCs w:val="21"/>
          <w:highlight w:val="none"/>
        </w:rPr>
        <w:t>.2</w:t>
      </w:r>
      <w:r>
        <w:rPr>
          <w:rFonts w:ascii="宋体" w:hAnsi="宋体"/>
          <w:color w:val="auto"/>
          <w:szCs w:val="21"/>
          <w:highlight w:val="none"/>
        </w:rPr>
        <w:t>本合同正本一式：</w:t>
      </w:r>
      <w:r>
        <w:rPr>
          <w:rFonts w:hint="eastAsia" w:ascii="宋体" w:hAnsi="宋体"/>
          <w:color w:val="auto"/>
          <w:szCs w:val="21"/>
          <w:highlight w:val="none"/>
          <w:u w:val="single"/>
          <w:lang w:val="en-US" w:eastAsia="zh-CN"/>
        </w:rPr>
        <w:t xml:space="preserve"> 捌</w:t>
      </w:r>
      <w:r>
        <w:rPr>
          <w:rFonts w:hint="eastAsia" w:ascii="宋体" w:hAnsi="宋体"/>
          <w:color w:val="auto"/>
          <w:szCs w:val="21"/>
          <w:highlight w:val="none"/>
          <w:u w:val="single"/>
        </w:rPr>
        <w:t xml:space="preserve"> </w:t>
      </w:r>
      <w:r>
        <w:rPr>
          <w:rFonts w:ascii="宋体" w:hAnsi="宋体"/>
          <w:color w:val="auto"/>
          <w:szCs w:val="21"/>
          <w:highlight w:val="none"/>
        </w:rPr>
        <w:t>份，</w:t>
      </w:r>
      <w:r>
        <w:rPr>
          <w:rFonts w:hint="eastAsia" w:ascii="宋体" w:hAnsi="宋体"/>
          <w:color w:val="auto"/>
          <w:szCs w:val="21"/>
          <w:highlight w:val="none"/>
        </w:rPr>
        <w:t>双方各执</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肆 </w:t>
      </w:r>
      <w:r>
        <w:rPr>
          <w:rFonts w:hint="eastAsia" w:ascii="宋体" w:hAnsi="宋体"/>
          <w:color w:val="auto"/>
          <w:szCs w:val="21"/>
          <w:highlight w:val="none"/>
          <w:u w:val="single"/>
        </w:rPr>
        <w:t xml:space="preserve"> </w:t>
      </w:r>
      <w:r>
        <w:rPr>
          <w:rFonts w:hint="eastAsia" w:ascii="宋体" w:hAnsi="宋体"/>
          <w:color w:val="auto"/>
          <w:szCs w:val="21"/>
          <w:highlight w:val="none"/>
        </w:rPr>
        <w:t>份</w:t>
      </w:r>
      <w:r>
        <w:rPr>
          <w:rFonts w:ascii="宋体" w:hAnsi="宋体"/>
          <w:color w:val="auto"/>
          <w:szCs w:val="21"/>
          <w:highlight w:val="none"/>
        </w:rPr>
        <w:t>。</w:t>
      </w:r>
    </w:p>
    <w:p w14:paraId="34008967">
      <w:pPr>
        <w:keepNext w:val="0"/>
        <w:keepLines w:val="0"/>
        <w:pageBreakBefore w:val="0"/>
        <w:kinsoku/>
        <w:wordWrap/>
        <w:overflowPunct/>
        <w:topLinePunct w:val="0"/>
        <w:autoSpaceDE/>
        <w:autoSpaceDN/>
        <w:bidi w:val="0"/>
        <w:spacing w:line="360" w:lineRule="auto"/>
        <w:ind w:left="0" w:leftChars="0" w:right="0" w:firstLine="0" w:firstLineChars="0"/>
        <w:jc w:val="center"/>
        <w:textAlignment w:val="auto"/>
        <w:outlineLvl w:val="1"/>
        <w:rPr>
          <w:rFonts w:ascii="宋体" w:hAnsi="宋体"/>
          <w:b/>
          <w:color w:val="auto"/>
          <w:sz w:val="24"/>
          <w:highlight w:val="none"/>
        </w:rPr>
      </w:pPr>
      <w:r>
        <w:rPr>
          <w:rFonts w:ascii="宋体" w:hAnsi="宋体"/>
          <w:color w:val="auto"/>
          <w:szCs w:val="21"/>
          <w:highlight w:val="none"/>
        </w:rPr>
        <w:br w:type="page"/>
      </w:r>
      <w:bookmarkStart w:id="307" w:name="_Toc363719030"/>
      <w:bookmarkStart w:id="308" w:name="_Toc80633187"/>
      <w:bookmarkStart w:id="309" w:name="_Toc413777036"/>
      <w:bookmarkStart w:id="310" w:name="_Toc12429"/>
      <w:bookmarkStart w:id="311" w:name="_Toc76720075"/>
      <w:r>
        <w:rPr>
          <w:rFonts w:hint="eastAsia" w:ascii="宋体" w:hAnsi="宋体"/>
          <w:b/>
          <w:color w:val="auto"/>
          <w:sz w:val="32"/>
          <w:szCs w:val="32"/>
          <w:highlight w:val="none"/>
        </w:rPr>
        <w:t>第四部分 合同附件</w:t>
      </w:r>
      <w:bookmarkEnd w:id="307"/>
      <w:bookmarkEnd w:id="308"/>
      <w:bookmarkEnd w:id="309"/>
      <w:bookmarkEnd w:id="310"/>
      <w:bookmarkEnd w:id="311"/>
    </w:p>
    <w:p w14:paraId="61A9D523">
      <w:pPr>
        <w:pStyle w:val="481"/>
        <w:pageBreakBefore w:val="0"/>
        <w:numPr>
          <w:ilvl w:val="0"/>
          <w:numId w:val="0"/>
        </w:numPr>
        <w:kinsoku/>
        <w:wordWrap/>
        <w:overflowPunct/>
        <w:topLinePunct w:val="0"/>
        <w:autoSpaceDE/>
        <w:autoSpaceDN/>
        <w:bidi w:val="0"/>
        <w:spacing w:line="360" w:lineRule="auto"/>
        <w:ind w:left="0" w:right="0" w:firstLine="0" w:firstLineChars="0"/>
        <w:jc w:val="both"/>
        <w:textAlignment w:val="auto"/>
        <w:rPr>
          <w:rFonts w:ascii="宋体" w:hAnsi="宋体"/>
          <w:b w:val="0"/>
          <w:bCs/>
          <w:color w:val="auto"/>
          <w:sz w:val="21"/>
          <w:szCs w:val="21"/>
          <w:highlight w:val="none"/>
        </w:rPr>
      </w:pPr>
      <w:bookmarkStart w:id="312" w:name="_Toc363719031"/>
      <w:bookmarkStart w:id="313" w:name="_Toc76720076"/>
      <w:bookmarkStart w:id="314" w:name="_Toc25537"/>
      <w:bookmarkStart w:id="315" w:name="_Toc80633188"/>
      <w:r>
        <w:rPr>
          <w:rFonts w:hint="eastAsia" w:ascii="宋体" w:hAnsi="宋体"/>
          <w:b w:val="0"/>
          <w:bCs/>
          <w:color w:val="auto"/>
          <w:sz w:val="21"/>
          <w:szCs w:val="21"/>
          <w:highlight w:val="none"/>
        </w:rPr>
        <w:t xml:space="preserve">合同附件1 </w:t>
      </w:r>
      <w:bookmarkEnd w:id="312"/>
      <w:r>
        <w:rPr>
          <w:rFonts w:hint="eastAsia" w:ascii="宋体" w:hAnsi="宋体"/>
          <w:b w:val="0"/>
          <w:bCs/>
          <w:color w:val="auto"/>
          <w:sz w:val="21"/>
          <w:szCs w:val="21"/>
          <w:highlight w:val="none"/>
        </w:rPr>
        <w:t>工程质量保修书</w:t>
      </w:r>
      <w:bookmarkEnd w:id="313"/>
      <w:bookmarkEnd w:id="314"/>
      <w:bookmarkEnd w:id="315"/>
    </w:p>
    <w:p w14:paraId="4EFF3DBF">
      <w:pPr>
        <w:pageBreakBefore w:val="0"/>
        <w:widowControl/>
        <w:kinsoku/>
        <w:wordWrap/>
        <w:overflowPunct/>
        <w:topLinePunct w:val="0"/>
        <w:autoSpaceDE/>
        <w:autoSpaceDN/>
        <w:bidi w:val="0"/>
        <w:snapToGrid w:val="0"/>
        <w:spacing w:line="360" w:lineRule="auto"/>
        <w:ind w:left="0" w:right="0" w:firstLine="0" w:firstLineChars="0"/>
        <w:jc w:val="left"/>
        <w:textAlignment w:val="auto"/>
        <w:outlineLvl w:val="2"/>
        <w:rPr>
          <w:rFonts w:ascii="宋体" w:hAnsi="宋体"/>
          <w:color w:val="auto"/>
          <w:szCs w:val="21"/>
          <w:highlight w:val="none"/>
        </w:rPr>
      </w:pPr>
      <w:bookmarkStart w:id="316" w:name="_Toc80633189"/>
      <w:bookmarkStart w:id="317" w:name="_Toc76720077"/>
      <w:bookmarkStart w:id="318" w:name="_Toc363719032"/>
      <w:r>
        <w:rPr>
          <w:rFonts w:hint="eastAsia" w:ascii="宋体" w:hAnsi="宋体"/>
          <w:color w:val="auto"/>
          <w:szCs w:val="21"/>
          <w:highlight w:val="none"/>
        </w:rPr>
        <w:t>合同附件2 履约担保</w:t>
      </w:r>
      <w:bookmarkEnd w:id="316"/>
      <w:bookmarkEnd w:id="317"/>
      <w:bookmarkEnd w:id="318"/>
    </w:p>
    <w:p w14:paraId="74131090">
      <w:pPr>
        <w:pageBreakBefore w:val="0"/>
        <w:widowControl/>
        <w:kinsoku/>
        <w:wordWrap/>
        <w:overflowPunct/>
        <w:topLinePunct w:val="0"/>
        <w:autoSpaceDE/>
        <w:autoSpaceDN/>
        <w:bidi w:val="0"/>
        <w:snapToGrid w:val="0"/>
        <w:spacing w:line="360" w:lineRule="auto"/>
        <w:ind w:left="0" w:right="0" w:firstLine="0" w:firstLineChars="0"/>
        <w:jc w:val="left"/>
        <w:textAlignment w:val="auto"/>
        <w:outlineLvl w:val="2"/>
        <w:rPr>
          <w:rFonts w:ascii="宋体" w:hAnsi="宋体"/>
          <w:color w:val="auto"/>
          <w:szCs w:val="21"/>
          <w:highlight w:val="none"/>
        </w:rPr>
      </w:pPr>
      <w:bookmarkStart w:id="319" w:name="_Toc76720079"/>
      <w:bookmarkStart w:id="320" w:name="_Toc80633191"/>
      <w:r>
        <w:rPr>
          <w:rFonts w:hint="eastAsia" w:ascii="宋体" w:hAnsi="宋体"/>
          <w:color w:val="auto"/>
          <w:szCs w:val="21"/>
          <w:highlight w:val="none"/>
        </w:rPr>
        <w:t>合同附件</w:t>
      </w:r>
      <w:r>
        <w:rPr>
          <w:rFonts w:hint="eastAsia" w:ascii="宋体" w:hAnsi="宋体"/>
          <w:color w:val="auto"/>
          <w:szCs w:val="21"/>
          <w:highlight w:val="none"/>
          <w:lang w:val="en-US" w:eastAsia="zh-CN"/>
        </w:rPr>
        <w:t>3</w:t>
      </w:r>
      <w:r>
        <w:rPr>
          <w:rFonts w:hint="eastAsia" w:ascii="宋体" w:hAnsi="宋体"/>
          <w:color w:val="auto"/>
          <w:szCs w:val="21"/>
          <w:highlight w:val="none"/>
        </w:rPr>
        <w:t xml:space="preserve"> 廉政合同</w:t>
      </w:r>
      <w:bookmarkEnd w:id="319"/>
      <w:bookmarkEnd w:id="320"/>
    </w:p>
    <w:p w14:paraId="754FFFEB">
      <w:pPr>
        <w:pageBreakBefore w:val="0"/>
        <w:widowControl/>
        <w:kinsoku/>
        <w:wordWrap/>
        <w:overflowPunct/>
        <w:topLinePunct w:val="0"/>
        <w:autoSpaceDE/>
        <w:autoSpaceDN/>
        <w:bidi w:val="0"/>
        <w:snapToGrid w:val="0"/>
        <w:spacing w:line="360" w:lineRule="auto"/>
        <w:ind w:left="0" w:right="0" w:firstLine="0" w:firstLineChars="0"/>
        <w:jc w:val="left"/>
        <w:textAlignment w:val="auto"/>
        <w:outlineLvl w:val="2"/>
        <w:rPr>
          <w:color w:val="auto"/>
          <w:highlight w:val="none"/>
        </w:rPr>
      </w:pPr>
      <w:bookmarkStart w:id="321" w:name="_Toc76720080"/>
      <w:bookmarkStart w:id="322" w:name="_Toc80633192"/>
      <w:r>
        <w:rPr>
          <w:rFonts w:hint="eastAsia" w:ascii="宋体" w:hAnsi="宋体"/>
          <w:color w:val="auto"/>
          <w:szCs w:val="21"/>
          <w:highlight w:val="none"/>
        </w:rPr>
        <w:t>合同附件</w:t>
      </w:r>
      <w:r>
        <w:rPr>
          <w:rFonts w:hint="eastAsia" w:ascii="宋体" w:hAnsi="宋体"/>
          <w:color w:val="auto"/>
          <w:szCs w:val="21"/>
          <w:highlight w:val="none"/>
          <w:lang w:val="en-US" w:eastAsia="zh-CN"/>
        </w:rPr>
        <w:t>4</w:t>
      </w:r>
      <w:r>
        <w:rPr>
          <w:rFonts w:hint="eastAsia" w:ascii="宋体" w:hAnsi="宋体"/>
          <w:color w:val="auto"/>
          <w:szCs w:val="21"/>
          <w:highlight w:val="none"/>
        </w:rPr>
        <w:t>参建单位人员廉洁承诺书</w:t>
      </w:r>
      <w:bookmarkEnd w:id="321"/>
      <w:bookmarkEnd w:id="322"/>
    </w:p>
    <w:p w14:paraId="3A0D3CF6">
      <w:pPr>
        <w:pageBreakBefore w:val="0"/>
        <w:widowControl/>
        <w:kinsoku/>
        <w:wordWrap/>
        <w:overflowPunct/>
        <w:topLinePunct w:val="0"/>
        <w:autoSpaceDE/>
        <w:autoSpaceDN/>
        <w:bidi w:val="0"/>
        <w:snapToGrid w:val="0"/>
        <w:spacing w:line="360" w:lineRule="auto"/>
        <w:ind w:left="0" w:right="0" w:firstLine="0" w:firstLineChars="0"/>
        <w:jc w:val="left"/>
        <w:textAlignment w:val="auto"/>
        <w:outlineLvl w:val="2"/>
        <w:rPr>
          <w:rFonts w:ascii="宋体" w:hAnsi="宋体"/>
          <w:color w:val="auto"/>
          <w:szCs w:val="21"/>
          <w:highlight w:val="none"/>
        </w:rPr>
      </w:pPr>
      <w:bookmarkStart w:id="323" w:name="_Toc76720081"/>
      <w:bookmarkStart w:id="324" w:name="_Toc80633193"/>
      <w:r>
        <w:rPr>
          <w:rFonts w:hint="eastAsia" w:ascii="宋体" w:hAnsi="宋体"/>
          <w:color w:val="auto"/>
          <w:szCs w:val="21"/>
          <w:highlight w:val="none"/>
        </w:rPr>
        <w:t>合同附件</w:t>
      </w:r>
      <w:r>
        <w:rPr>
          <w:rFonts w:hint="eastAsia" w:ascii="宋体" w:hAnsi="宋体"/>
          <w:color w:val="auto"/>
          <w:szCs w:val="21"/>
          <w:highlight w:val="none"/>
          <w:lang w:val="en-US" w:eastAsia="zh-CN"/>
        </w:rPr>
        <w:t>5</w:t>
      </w:r>
      <w:r>
        <w:rPr>
          <w:rFonts w:hint="eastAsia" w:ascii="宋体" w:hAnsi="宋体"/>
          <w:color w:val="auto"/>
          <w:szCs w:val="21"/>
          <w:highlight w:val="none"/>
        </w:rPr>
        <w:t xml:space="preserve"> 安全协议</w:t>
      </w:r>
      <w:bookmarkEnd w:id="323"/>
      <w:bookmarkEnd w:id="324"/>
    </w:p>
    <w:p w14:paraId="441B7BD6">
      <w:pPr>
        <w:pageBreakBefore w:val="0"/>
        <w:widowControl/>
        <w:kinsoku/>
        <w:wordWrap/>
        <w:overflowPunct/>
        <w:topLinePunct w:val="0"/>
        <w:autoSpaceDE/>
        <w:autoSpaceDN/>
        <w:bidi w:val="0"/>
        <w:snapToGrid w:val="0"/>
        <w:spacing w:line="360" w:lineRule="auto"/>
        <w:ind w:left="0" w:right="0" w:firstLine="0" w:firstLineChars="0"/>
        <w:jc w:val="left"/>
        <w:textAlignment w:val="auto"/>
        <w:outlineLvl w:val="2"/>
        <w:rPr>
          <w:rFonts w:ascii="宋体" w:hAnsi="宋体"/>
          <w:color w:val="auto"/>
          <w:szCs w:val="21"/>
          <w:highlight w:val="none"/>
        </w:rPr>
      </w:pPr>
      <w:bookmarkStart w:id="325" w:name="_Toc76720082"/>
      <w:bookmarkStart w:id="326" w:name="_Toc80633194"/>
      <w:r>
        <w:rPr>
          <w:rFonts w:hint="eastAsia" w:ascii="宋体" w:hAnsi="宋体"/>
          <w:color w:val="auto"/>
          <w:szCs w:val="21"/>
          <w:highlight w:val="none"/>
        </w:rPr>
        <w:t>合同附件</w:t>
      </w:r>
      <w:r>
        <w:rPr>
          <w:rFonts w:hint="eastAsia" w:ascii="宋体" w:hAnsi="宋体"/>
          <w:color w:val="auto"/>
          <w:szCs w:val="21"/>
          <w:highlight w:val="none"/>
          <w:lang w:val="en-US" w:eastAsia="zh-CN"/>
        </w:rPr>
        <w:t>6</w:t>
      </w:r>
      <w:r>
        <w:rPr>
          <w:rFonts w:hint="eastAsia" w:ascii="宋体" w:hAnsi="宋体"/>
          <w:color w:val="auto"/>
          <w:szCs w:val="21"/>
          <w:highlight w:val="none"/>
        </w:rPr>
        <w:t xml:space="preserve"> 施工质量、安全、进度服务承诺书</w:t>
      </w:r>
      <w:bookmarkEnd w:id="325"/>
      <w:bookmarkEnd w:id="326"/>
    </w:p>
    <w:p w14:paraId="1E58B5AD">
      <w:pPr>
        <w:pageBreakBefore w:val="0"/>
        <w:widowControl/>
        <w:kinsoku/>
        <w:wordWrap/>
        <w:overflowPunct/>
        <w:topLinePunct w:val="0"/>
        <w:autoSpaceDE/>
        <w:autoSpaceDN/>
        <w:bidi w:val="0"/>
        <w:snapToGrid w:val="0"/>
        <w:spacing w:line="360" w:lineRule="auto"/>
        <w:ind w:left="0" w:right="0" w:firstLine="0" w:firstLineChars="0"/>
        <w:jc w:val="left"/>
        <w:textAlignment w:val="auto"/>
        <w:outlineLvl w:val="2"/>
        <w:rPr>
          <w:rFonts w:hAnsi="宋体"/>
          <w:color w:val="auto"/>
          <w:highlight w:val="none"/>
        </w:rPr>
      </w:pPr>
      <w:bookmarkStart w:id="327" w:name="_Toc76720083"/>
      <w:bookmarkStart w:id="328" w:name="_Toc80633195"/>
      <w:r>
        <w:rPr>
          <w:rFonts w:hint="eastAsia" w:hAnsi="宋体"/>
          <w:color w:val="auto"/>
          <w:highlight w:val="none"/>
        </w:rPr>
        <w:t>合同附件</w:t>
      </w:r>
      <w:r>
        <w:rPr>
          <w:rFonts w:hint="eastAsia" w:ascii="宋体" w:hAnsi="宋体"/>
          <w:color w:val="auto"/>
          <w:szCs w:val="21"/>
          <w:highlight w:val="none"/>
          <w:lang w:val="en-US" w:eastAsia="zh-CN"/>
        </w:rPr>
        <w:t>7</w:t>
      </w:r>
      <w:r>
        <w:rPr>
          <w:rFonts w:hint="eastAsia" w:ascii="宋体" w:hAnsi="宋体"/>
          <w:color w:val="auto"/>
          <w:szCs w:val="21"/>
          <w:highlight w:val="none"/>
        </w:rPr>
        <w:t xml:space="preserve"> 分项价格表</w:t>
      </w:r>
      <w:bookmarkEnd w:id="327"/>
      <w:bookmarkEnd w:id="328"/>
    </w:p>
    <w:p w14:paraId="03B8B316">
      <w:pPr>
        <w:pageBreakBefore w:val="0"/>
        <w:widowControl/>
        <w:kinsoku/>
        <w:wordWrap/>
        <w:overflowPunct/>
        <w:topLinePunct w:val="0"/>
        <w:autoSpaceDE/>
        <w:autoSpaceDN/>
        <w:bidi w:val="0"/>
        <w:snapToGrid w:val="0"/>
        <w:spacing w:line="360" w:lineRule="auto"/>
        <w:ind w:left="0" w:right="0" w:firstLine="0" w:firstLineChars="0"/>
        <w:jc w:val="left"/>
        <w:textAlignment w:val="auto"/>
        <w:outlineLvl w:val="2"/>
        <w:rPr>
          <w:rFonts w:ascii="宋体" w:hAnsi="宋体"/>
          <w:color w:val="auto"/>
          <w:szCs w:val="21"/>
          <w:highlight w:val="none"/>
        </w:rPr>
      </w:pPr>
      <w:bookmarkStart w:id="329" w:name="_Toc80633196"/>
      <w:bookmarkStart w:id="330" w:name="_Toc76720084"/>
      <w:r>
        <w:rPr>
          <w:rFonts w:hint="eastAsia" w:ascii="宋体" w:hAnsi="宋体"/>
          <w:color w:val="auto"/>
          <w:szCs w:val="21"/>
          <w:highlight w:val="none"/>
        </w:rPr>
        <w:t>合同附件</w:t>
      </w:r>
      <w:r>
        <w:rPr>
          <w:rFonts w:hint="eastAsia" w:ascii="宋体" w:hAnsi="宋体"/>
          <w:color w:val="auto"/>
          <w:szCs w:val="21"/>
          <w:highlight w:val="none"/>
          <w:lang w:val="en-US" w:eastAsia="zh-CN"/>
        </w:rPr>
        <w:t>8</w:t>
      </w:r>
      <w:r>
        <w:rPr>
          <w:rFonts w:hint="eastAsia" w:ascii="宋体" w:hAnsi="宋体"/>
          <w:color w:val="auto"/>
          <w:szCs w:val="21"/>
          <w:highlight w:val="none"/>
        </w:rPr>
        <w:t xml:space="preserve"> 发包人要求</w:t>
      </w:r>
      <w:bookmarkEnd w:id="329"/>
      <w:bookmarkEnd w:id="330"/>
    </w:p>
    <w:p w14:paraId="655A2100">
      <w:pPr>
        <w:pageBreakBefore w:val="0"/>
        <w:widowControl/>
        <w:kinsoku/>
        <w:wordWrap/>
        <w:overflowPunct/>
        <w:topLinePunct w:val="0"/>
        <w:autoSpaceDE/>
        <w:autoSpaceDN/>
        <w:bidi w:val="0"/>
        <w:snapToGrid w:val="0"/>
        <w:spacing w:line="360" w:lineRule="auto"/>
        <w:ind w:left="0" w:right="0" w:firstLine="0" w:firstLineChars="0"/>
        <w:jc w:val="left"/>
        <w:textAlignment w:val="auto"/>
        <w:outlineLvl w:val="2"/>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合同附件9 承包人主要管理人员和技术人员最低要求</w:t>
      </w:r>
    </w:p>
    <w:p w14:paraId="50A07F36">
      <w:pPr>
        <w:pStyle w:val="6"/>
        <w:pageBreakBefore w:val="0"/>
        <w:kinsoku/>
        <w:wordWrap/>
        <w:overflowPunct/>
        <w:topLinePunct w:val="0"/>
        <w:autoSpaceDE/>
        <w:autoSpaceDN/>
        <w:bidi w:val="0"/>
        <w:spacing w:line="360" w:lineRule="auto"/>
        <w:ind w:left="0" w:right="0" w:firstLine="0" w:firstLineChars="0"/>
        <w:textAlignment w:val="auto"/>
        <w:rPr>
          <w:rFonts w:hAnsi="宋体"/>
          <w:color w:val="auto"/>
          <w:highlight w:val="none"/>
        </w:rPr>
      </w:pPr>
    </w:p>
    <w:p w14:paraId="1382F8DF">
      <w:pPr>
        <w:pStyle w:val="6"/>
        <w:pageBreakBefore w:val="0"/>
        <w:kinsoku/>
        <w:wordWrap/>
        <w:overflowPunct/>
        <w:topLinePunct w:val="0"/>
        <w:autoSpaceDE/>
        <w:autoSpaceDN/>
        <w:bidi w:val="0"/>
        <w:spacing w:line="360" w:lineRule="auto"/>
        <w:ind w:left="0" w:right="0" w:firstLine="0" w:firstLineChars="0"/>
        <w:textAlignment w:val="auto"/>
        <w:rPr>
          <w:rFonts w:hAnsi="宋体"/>
          <w:color w:val="auto"/>
          <w:highlight w:val="none"/>
        </w:rPr>
      </w:pPr>
    </w:p>
    <w:p w14:paraId="16C23B5A">
      <w:pPr>
        <w:pStyle w:val="6"/>
        <w:pageBreakBefore w:val="0"/>
        <w:kinsoku/>
        <w:wordWrap/>
        <w:overflowPunct/>
        <w:topLinePunct w:val="0"/>
        <w:autoSpaceDE/>
        <w:autoSpaceDN/>
        <w:bidi w:val="0"/>
        <w:spacing w:line="360" w:lineRule="auto"/>
        <w:ind w:left="0" w:right="0" w:firstLine="0" w:firstLineChars="0"/>
        <w:textAlignment w:val="auto"/>
        <w:rPr>
          <w:rFonts w:hAnsi="宋体"/>
          <w:color w:val="auto"/>
          <w:highlight w:val="none"/>
        </w:rPr>
      </w:pPr>
    </w:p>
    <w:p w14:paraId="38779C0A">
      <w:pPr>
        <w:pStyle w:val="6"/>
        <w:pageBreakBefore w:val="0"/>
        <w:kinsoku/>
        <w:wordWrap/>
        <w:overflowPunct/>
        <w:topLinePunct w:val="0"/>
        <w:autoSpaceDE/>
        <w:autoSpaceDN/>
        <w:bidi w:val="0"/>
        <w:spacing w:line="360" w:lineRule="auto"/>
        <w:ind w:left="0" w:right="0" w:firstLine="0" w:firstLineChars="0"/>
        <w:textAlignment w:val="auto"/>
        <w:rPr>
          <w:rFonts w:hAnsi="宋体"/>
          <w:color w:val="auto"/>
          <w:highlight w:val="none"/>
        </w:rPr>
      </w:pPr>
    </w:p>
    <w:p w14:paraId="2679F42D">
      <w:pPr>
        <w:pStyle w:val="6"/>
        <w:pageBreakBefore w:val="0"/>
        <w:kinsoku/>
        <w:wordWrap/>
        <w:overflowPunct/>
        <w:topLinePunct w:val="0"/>
        <w:autoSpaceDE/>
        <w:autoSpaceDN/>
        <w:bidi w:val="0"/>
        <w:spacing w:line="360" w:lineRule="auto"/>
        <w:ind w:left="0" w:right="0" w:firstLine="0" w:firstLineChars="0"/>
        <w:textAlignment w:val="auto"/>
        <w:rPr>
          <w:rFonts w:hAnsi="宋体"/>
          <w:color w:val="auto"/>
          <w:highlight w:val="none"/>
        </w:rPr>
      </w:pPr>
    </w:p>
    <w:p w14:paraId="11F3CF13">
      <w:pPr>
        <w:pStyle w:val="6"/>
        <w:pageBreakBefore w:val="0"/>
        <w:kinsoku/>
        <w:wordWrap/>
        <w:overflowPunct/>
        <w:topLinePunct w:val="0"/>
        <w:autoSpaceDE/>
        <w:autoSpaceDN/>
        <w:bidi w:val="0"/>
        <w:spacing w:line="360" w:lineRule="auto"/>
        <w:ind w:left="0" w:right="0" w:firstLine="0" w:firstLineChars="0"/>
        <w:textAlignment w:val="auto"/>
        <w:rPr>
          <w:rFonts w:hAnsi="宋体"/>
          <w:color w:val="auto"/>
          <w:highlight w:val="none"/>
        </w:rPr>
      </w:pPr>
    </w:p>
    <w:p w14:paraId="4999EA08">
      <w:pPr>
        <w:pStyle w:val="6"/>
        <w:pageBreakBefore w:val="0"/>
        <w:kinsoku/>
        <w:wordWrap/>
        <w:overflowPunct/>
        <w:topLinePunct w:val="0"/>
        <w:autoSpaceDE/>
        <w:autoSpaceDN/>
        <w:bidi w:val="0"/>
        <w:spacing w:line="360" w:lineRule="auto"/>
        <w:ind w:left="0" w:right="0" w:firstLine="0" w:firstLineChars="0"/>
        <w:textAlignment w:val="auto"/>
        <w:rPr>
          <w:rFonts w:hAnsi="宋体"/>
          <w:color w:val="auto"/>
          <w:highlight w:val="none"/>
        </w:rPr>
      </w:pPr>
    </w:p>
    <w:p w14:paraId="47442205">
      <w:pPr>
        <w:pStyle w:val="6"/>
        <w:pageBreakBefore w:val="0"/>
        <w:kinsoku/>
        <w:wordWrap/>
        <w:overflowPunct/>
        <w:topLinePunct w:val="0"/>
        <w:autoSpaceDE/>
        <w:autoSpaceDN/>
        <w:bidi w:val="0"/>
        <w:spacing w:line="360" w:lineRule="auto"/>
        <w:ind w:left="0" w:right="0" w:firstLine="0" w:firstLineChars="0"/>
        <w:textAlignment w:val="auto"/>
        <w:rPr>
          <w:rFonts w:hAnsi="宋体"/>
          <w:color w:val="auto"/>
          <w:highlight w:val="none"/>
        </w:rPr>
      </w:pPr>
    </w:p>
    <w:p w14:paraId="6E9651FE">
      <w:pPr>
        <w:pStyle w:val="6"/>
        <w:pageBreakBefore w:val="0"/>
        <w:kinsoku/>
        <w:wordWrap/>
        <w:overflowPunct/>
        <w:topLinePunct w:val="0"/>
        <w:autoSpaceDE/>
        <w:autoSpaceDN/>
        <w:bidi w:val="0"/>
        <w:spacing w:line="360" w:lineRule="auto"/>
        <w:ind w:left="0" w:right="0" w:firstLine="0" w:firstLineChars="0"/>
        <w:textAlignment w:val="auto"/>
        <w:rPr>
          <w:rFonts w:hAnsi="宋体"/>
          <w:color w:val="auto"/>
          <w:highlight w:val="none"/>
        </w:rPr>
      </w:pPr>
    </w:p>
    <w:p w14:paraId="0A1B3C84">
      <w:pPr>
        <w:pStyle w:val="6"/>
        <w:pageBreakBefore w:val="0"/>
        <w:kinsoku/>
        <w:wordWrap/>
        <w:overflowPunct/>
        <w:topLinePunct w:val="0"/>
        <w:autoSpaceDE/>
        <w:autoSpaceDN/>
        <w:bidi w:val="0"/>
        <w:spacing w:line="360" w:lineRule="auto"/>
        <w:ind w:left="0" w:right="0" w:firstLine="0" w:firstLineChars="0"/>
        <w:textAlignment w:val="auto"/>
        <w:rPr>
          <w:rFonts w:hAnsi="宋体"/>
          <w:color w:val="auto"/>
          <w:highlight w:val="none"/>
        </w:rPr>
      </w:pPr>
    </w:p>
    <w:p w14:paraId="65D6EBDA">
      <w:pPr>
        <w:pStyle w:val="6"/>
        <w:pageBreakBefore w:val="0"/>
        <w:kinsoku/>
        <w:wordWrap/>
        <w:overflowPunct/>
        <w:topLinePunct w:val="0"/>
        <w:autoSpaceDE/>
        <w:autoSpaceDN/>
        <w:bidi w:val="0"/>
        <w:spacing w:line="360" w:lineRule="auto"/>
        <w:ind w:left="0" w:right="0" w:firstLine="0" w:firstLineChars="0"/>
        <w:textAlignment w:val="auto"/>
        <w:rPr>
          <w:rFonts w:hAnsi="宋体"/>
          <w:color w:val="auto"/>
          <w:highlight w:val="none"/>
        </w:rPr>
      </w:pPr>
    </w:p>
    <w:p w14:paraId="3B113EAE">
      <w:pPr>
        <w:pStyle w:val="6"/>
        <w:pageBreakBefore w:val="0"/>
        <w:kinsoku/>
        <w:wordWrap/>
        <w:overflowPunct/>
        <w:topLinePunct w:val="0"/>
        <w:autoSpaceDE/>
        <w:autoSpaceDN/>
        <w:bidi w:val="0"/>
        <w:spacing w:line="360" w:lineRule="auto"/>
        <w:ind w:left="0" w:right="0" w:firstLine="0" w:firstLineChars="0"/>
        <w:textAlignment w:val="auto"/>
        <w:rPr>
          <w:rFonts w:hAnsi="宋体"/>
          <w:color w:val="auto"/>
          <w:highlight w:val="none"/>
        </w:rPr>
      </w:pPr>
    </w:p>
    <w:p w14:paraId="28284382">
      <w:pPr>
        <w:pStyle w:val="6"/>
        <w:pageBreakBefore w:val="0"/>
        <w:kinsoku/>
        <w:wordWrap/>
        <w:overflowPunct/>
        <w:topLinePunct w:val="0"/>
        <w:autoSpaceDE/>
        <w:autoSpaceDN/>
        <w:bidi w:val="0"/>
        <w:spacing w:line="360" w:lineRule="auto"/>
        <w:ind w:left="0" w:right="0" w:firstLine="0" w:firstLineChars="0"/>
        <w:textAlignment w:val="auto"/>
        <w:rPr>
          <w:rFonts w:hAnsi="宋体"/>
          <w:color w:val="auto"/>
          <w:highlight w:val="none"/>
        </w:rPr>
      </w:pPr>
    </w:p>
    <w:p w14:paraId="74C743C4">
      <w:pPr>
        <w:pStyle w:val="6"/>
        <w:pageBreakBefore w:val="0"/>
        <w:kinsoku/>
        <w:wordWrap/>
        <w:overflowPunct/>
        <w:topLinePunct w:val="0"/>
        <w:autoSpaceDE/>
        <w:autoSpaceDN/>
        <w:bidi w:val="0"/>
        <w:spacing w:line="360" w:lineRule="auto"/>
        <w:ind w:left="0" w:right="0" w:firstLine="0" w:firstLineChars="0"/>
        <w:textAlignment w:val="auto"/>
        <w:rPr>
          <w:rFonts w:hAnsi="宋体"/>
          <w:color w:val="auto"/>
          <w:highlight w:val="none"/>
        </w:rPr>
      </w:pPr>
    </w:p>
    <w:p w14:paraId="1D2BE847">
      <w:pPr>
        <w:pStyle w:val="6"/>
        <w:pageBreakBefore w:val="0"/>
        <w:kinsoku/>
        <w:wordWrap/>
        <w:overflowPunct/>
        <w:topLinePunct w:val="0"/>
        <w:autoSpaceDE/>
        <w:autoSpaceDN/>
        <w:bidi w:val="0"/>
        <w:spacing w:line="360" w:lineRule="auto"/>
        <w:ind w:left="0" w:right="0" w:firstLine="0" w:firstLineChars="0"/>
        <w:textAlignment w:val="auto"/>
        <w:rPr>
          <w:rFonts w:hAnsi="宋体"/>
          <w:color w:val="auto"/>
          <w:highlight w:val="none"/>
        </w:rPr>
      </w:pPr>
    </w:p>
    <w:p w14:paraId="18EA3863">
      <w:pPr>
        <w:pStyle w:val="481"/>
        <w:pageBreakBefore w:val="0"/>
        <w:numPr>
          <w:ilvl w:val="0"/>
          <w:numId w:val="0"/>
        </w:numPr>
        <w:kinsoku/>
        <w:wordWrap/>
        <w:overflowPunct/>
        <w:topLinePunct w:val="0"/>
        <w:autoSpaceDE/>
        <w:autoSpaceDN/>
        <w:bidi w:val="0"/>
        <w:spacing w:line="360" w:lineRule="auto"/>
        <w:ind w:left="0" w:right="0" w:firstLine="0" w:firstLineChars="0"/>
        <w:jc w:val="both"/>
        <w:textAlignment w:val="auto"/>
        <w:rPr>
          <w:rFonts w:ascii="宋体" w:hAnsi="宋体" w:cs="宋体"/>
          <w:color w:val="auto"/>
          <w:highlight w:val="none"/>
        </w:rPr>
      </w:pPr>
      <w:bookmarkStart w:id="331" w:name="_Toc76720085"/>
      <w:bookmarkStart w:id="332" w:name="_Toc80633197"/>
      <w:bookmarkStart w:id="333" w:name="_Toc7755"/>
      <w:r>
        <w:rPr>
          <w:rFonts w:hint="eastAsia" w:ascii="宋体" w:hAnsi="宋体"/>
          <w:b w:val="0"/>
          <w:bCs/>
          <w:color w:val="auto"/>
          <w:sz w:val="21"/>
          <w:szCs w:val="21"/>
          <w:highlight w:val="none"/>
        </w:rPr>
        <w:t>合同附件1 工程质量保修书</w:t>
      </w:r>
      <w:bookmarkEnd w:id="331"/>
      <w:bookmarkEnd w:id="332"/>
      <w:bookmarkEnd w:id="333"/>
    </w:p>
    <w:p w14:paraId="477BAC18">
      <w:pPr>
        <w:pStyle w:val="481"/>
        <w:pageBreakBefore w:val="0"/>
        <w:numPr>
          <w:ilvl w:val="0"/>
          <w:numId w:val="0"/>
        </w:numPr>
        <w:kinsoku/>
        <w:wordWrap/>
        <w:overflowPunct/>
        <w:topLinePunct w:val="0"/>
        <w:autoSpaceDE/>
        <w:autoSpaceDN/>
        <w:bidi w:val="0"/>
        <w:spacing w:line="360" w:lineRule="auto"/>
        <w:ind w:left="0" w:right="0" w:firstLine="0" w:firstLineChars="0"/>
        <w:textAlignment w:val="auto"/>
        <w:rPr>
          <w:rFonts w:ascii="宋体" w:hAnsi="宋体" w:cs="宋体"/>
          <w:color w:val="auto"/>
          <w:sz w:val="32"/>
          <w:szCs w:val="32"/>
          <w:highlight w:val="none"/>
        </w:rPr>
      </w:pPr>
      <w:bookmarkStart w:id="334" w:name="_Toc80633198"/>
      <w:bookmarkStart w:id="335" w:name="_Toc12650"/>
      <w:bookmarkStart w:id="336" w:name="_Toc76720086"/>
      <w:r>
        <w:rPr>
          <w:rFonts w:hint="eastAsia" w:ascii="宋体" w:hAnsi="宋体" w:cs="宋体"/>
          <w:color w:val="auto"/>
          <w:sz w:val="32"/>
          <w:szCs w:val="32"/>
          <w:highlight w:val="none"/>
        </w:rPr>
        <w:t>工程质量保修书</w:t>
      </w:r>
      <w:bookmarkEnd w:id="334"/>
      <w:bookmarkEnd w:id="335"/>
      <w:bookmarkEnd w:id="336"/>
    </w:p>
    <w:p w14:paraId="0DF5D81F">
      <w:pPr>
        <w:pageBreakBefore w:val="0"/>
        <w:kinsoku/>
        <w:wordWrap/>
        <w:overflowPunct/>
        <w:topLinePunct w:val="0"/>
        <w:autoSpaceDE/>
        <w:autoSpaceDN/>
        <w:bidi w:val="0"/>
        <w:spacing w:line="360" w:lineRule="auto"/>
        <w:ind w:left="0" w:right="0" w:firstLine="0" w:firstLineChars="0"/>
        <w:textAlignment w:val="auto"/>
        <w:rPr>
          <w:rFonts w:ascii="宋体" w:hAnsi="宋体" w:cs="宋体"/>
          <w:color w:val="auto"/>
          <w:szCs w:val="21"/>
          <w:highlight w:val="none"/>
        </w:rPr>
      </w:pPr>
      <w:r>
        <w:rPr>
          <w:rFonts w:hint="eastAsia" w:ascii="宋体" w:hAnsi="宋体" w:cs="宋体"/>
          <w:color w:val="auto"/>
          <w:szCs w:val="21"/>
          <w:highlight w:val="none"/>
        </w:rPr>
        <w:t>发包人（全称）：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 xml:space="preserve">  </w:t>
      </w:r>
    </w:p>
    <w:p w14:paraId="14E54D8C">
      <w:pPr>
        <w:pageBreakBefore w:val="0"/>
        <w:kinsoku/>
        <w:wordWrap/>
        <w:overflowPunct/>
        <w:topLinePunct w:val="0"/>
        <w:autoSpaceDE/>
        <w:autoSpaceDN/>
        <w:bidi w:val="0"/>
        <w:spacing w:line="360" w:lineRule="auto"/>
        <w:ind w:left="0" w:right="0" w:firstLine="0" w:firstLineChars="0"/>
        <w:textAlignment w:val="auto"/>
        <w:rPr>
          <w:rFonts w:ascii="宋体" w:hAnsi="宋体" w:cs="宋体"/>
          <w:color w:val="auto"/>
          <w:szCs w:val="21"/>
          <w:highlight w:val="none"/>
        </w:rPr>
      </w:pPr>
      <w:r>
        <w:rPr>
          <w:rFonts w:hint="eastAsia" w:ascii="宋体" w:hAnsi="宋体" w:cs="宋体"/>
          <w:color w:val="auto"/>
          <w:szCs w:val="21"/>
          <w:highlight w:val="none"/>
        </w:rPr>
        <w:t>承包人（全称）：</w:t>
      </w:r>
      <w:r>
        <w:rPr>
          <w:rFonts w:hint="eastAsia" w:ascii="宋体" w:hAnsi="宋体" w:cs="宋体"/>
          <w:color w:val="auto"/>
          <w:szCs w:val="21"/>
          <w:highlight w:val="none"/>
          <w:u w:val="single"/>
        </w:rPr>
        <w:t xml:space="preserve">                              </w:t>
      </w:r>
    </w:p>
    <w:p w14:paraId="2FA00449">
      <w:pPr>
        <w:pageBreakBefore w:val="0"/>
        <w:kinsoku/>
        <w:wordWrap/>
        <w:overflowPunct/>
        <w:topLinePunct w:val="0"/>
        <w:autoSpaceDE/>
        <w:autoSpaceDN/>
        <w:bidi w:val="0"/>
        <w:spacing w:line="360" w:lineRule="auto"/>
        <w:ind w:left="0" w:right="0" w:firstLine="0" w:firstLineChars="0"/>
        <w:textAlignment w:val="auto"/>
        <w:rPr>
          <w:rFonts w:ascii="宋体" w:hAnsi="宋体" w:cs="宋体"/>
          <w:color w:val="auto"/>
          <w:szCs w:val="21"/>
          <w:highlight w:val="none"/>
        </w:rPr>
      </w:pPr>
      <w:r>
        <w:rPr>
          <w:rFonts w:hint="eastAsia" w:ascii="宋体" w:hAnsi="宋体" w:cs="宋体"/>
          <w:color w:val="auto"/>
          <w:szCs w:val="21"/>
          <w:highlight w:val="none"/>
        </w:rPr>
        <w:t>发包人和承包人根据《中华人民共和国建筑法》和《建设工程质量管理条例》，经协商一致就</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良田粮库</w:t>
      </w:r>
      <w:r>
        <w:rPr>
          <w:rFonts w:hint="eastAsia" w:ascii="宋体" w:hAnsi="宋体" w:cs="宋体"/>
          <w:color w:val="auto"/>
          <w:szCs w:val="21"/>
          <w:highlight w:val="none"/>
          <w:u w:val="single"/>
          <w:lang w:eastAsia="zh-CN"/>
        </w:rPr>
        <w:t xml:space="preserve">分布式光储项目EPC总承包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（工程全称）订立工程质量保修书。</w:t>
      </w:r>
    </w:p>
    <w:p w14:paraId="37635267">
      <w:pPr>
        <w:pageBreakBefore w:val="0"/>
        <w:kinsoku/>
        <w:wordWrap/>
        <w:overflowPunct/>
        <w:topLinePunct w:val="0"/>
        <w:autoSpaceDE/>
        <w:autoSpaceDN/>
        <w:bidi w:val="0"/>
        <w:spacing w:line="360" w:lineRule="auto"/>
        <w:ind w:left="0" w:right="0" w:firstLine="0" w:firstLineChars="0"/>
        <w:textAlignment w:val="auto"/>
        <w:rPr>
          <w:rFonts w:ascii="宋体" w:hAnsi="宋体" w:cs="宋体"/>
          <w:color w:val="auto"/>
          <w:szCs w:val="21"/>
          <w:highlight w:val="none"/>
        </w:rPr>
      </w:pPr>
    </w:p>
    <w:p w14:paraId="0A6ECAA6">
      <w:pPr>
        <w:pageBreakBefore w:val="0"/>
        <w:kinsoku/>
        <w:wordWrap/>
        <w:overflowPunct/>
        <w:topLinePunct w:val="0"/>
        <w:autoSpaceDE/>
        <w:autoSpaceDN/>
        <w:bidi w:val="0"/>
        <w:spacing w:line="360" w:lineRule="auto"/>
        <w:ind w:left="0" w:right="0" w:firstLine="0" w:firstLineChars="0"/>
        <w:textAlignment w:val="auto"/>
        <w:rPr>
          <w:rFonts w:ascii="宋体" w:hAnsi="宋体" w:cs="宋体"/>
          <w:color w:val="auto"/>
          <w:szCs w:val="21"/>
          <w:highlight w:val="none"/>
        </w:rPr>
      </w:pPr>
      <w:r>
        <w:rPr>
          <w:rFonts w:hint="eastAsia" w:ascii="宋体" w:hAnsi="宋体" w:cs="宋体"/>
          <w:color w:val="auto"/>
          <w:szCs w:val="21"/>
          <w:highlight w:val="none"/>
        </w:rPr>
        <w:t>一、工程质量保修范围和内容</w:t>
      </w:r>
    </w:p>
    <w:p w14:paraId="79F179E3">
      <w:pPr>
        <w:pageBreakBefore w:val="0"/>
        <w:kinsoku/>
        <w:wordWrap/>
        <w:overflowPunct/>
        <w:topLinePunct w:val="0"/>
        <w:autoSpaceDE/>
        <w:autoSpaceDN/>
        <w:bidi w:val="0"/>
        <w:spacing w:line="360" w:lineRule="auto"/>
        <w:ind w:left="0" w:right="0" w:firstLine="0" w:firstLineChars="0"/>
        <w:textAlignment w:val="auto"/>
        <w:rPr>
          <w:rFonts w:ascii="宋体" w:hAnsi="宋体" w:cs="宋体"/>
          <w:color w:val="auto"/>
          <w:szCs w:val="21"/>
          <w:highlight w:val="none"/>
        </w:rPr>
      </w:pPr>
      <w:r>
        <w:rPr>
          <w:rFonts w:hint="eastAsia" w:ascii="宋体" w:hAnsi="宋体" w:cs="宋体"/>
          <w:color w:val="auto"/>
          <w:szCs w:val="21"/>
          <w:highlight w:val="none"/>
        </w:rPr>
        <w:t>承包人在质量保修期内，按照有关法律规定和合同约定，承担工程质量保修责任。</w:t>
      </w:r>
    </w:p>
    <w:p w14:paraId="788308A8">
      <w:pPr>
        <w:pageBreakBefore w:val="0"/>
        <w:kinsoku/>
        <w:wordWrap/>
        <w:overflowPunct/>
        <w:topLinePunct w:val="0"/>
        <w:autoSpaceDE/>
        <w:autoSpaceDN/>
        <w:bidi w:val="0"/>
        <w:spacing w:line="360" w:lineRule="auto"/>
        <w:ind w:left="0" w:right="0" w:firstLine="0" w:firstLineChars="0"/>
        <w:textAlignment w:val="auto"/>
        <w:rPr>
          <w:rFonts w:ascii="宋体" w:hAnsi="宋体" w:cs="宋体"/>
          <w:color w:val="auto"/>
          <w:szCs w:val="21"/>
          <w:highlight w:val="none"/>
        </w:rPr>
      </w:pPr>
      <w:r>
        <w:rPr>
          <w:rFonts w:hint="eastAsia" w:ascii="宋体" w:hAnsi="宋体" w:cs="宋体"/>
          <w:color w:val="auto"/>
          <w:szCs w:val="21"/>
          <w:highlight w:val="none"/>
        </w:rPr>
        <w:t>质量保修范围</w:t>
      </w:r>
      <w:r>
        <w:rPr>
          <w:rFonts w:hint="eastAsia" w:ascii="宋体" w:hAnsi="宋体" w:cs="宋体"/>
          <w:color w:val="auto"/>
          <w:szCs w:val="21"/>
          <w:highlight w:val="none"/>
          <w:u w:val="single"/>
        </w:rPr>
        <w:t xml:space="preserve">  承包人对所承包的本工程工作内容，进行质量保修  </w:t>
      </w:r>
      <w:r>
        <w:rPr>
          <w:rFonts w:hint="eastAsia" w:ascii="宋体" w:hAnsi="宋体" w:cs="宋体"/>
          <w:color w:val="auto"/>
          <w:szCs w:val="21"/>
          <w:highlight w:val="none"/>
        </w:rPr>
        <w:t>。</w:t>
      </w:r>
    </w:p>
    <w:p w14:paraId="427F3F0B">
      <w:pPr>
        <w:pageBreakBefore w:val="0"/>
        <w:kinsoku/>
        <w:wordWrap/>
        <w:overflowPunct/>
        <w:topLinePunct w:val="0"/>
        <w:autoSpaceDE/>
        <w:autoSpaceDN/>
        <w:bidi w:val="0"/>
        <w:spacing w:line="360" w:lineRule="auto"/>
        <w:ind w:left="0" w:right="0" w:firstLine="0" w:firstLineChars="0"/>
        <w:textAlignment w:val="auto"/>
        <w:rPr>
          <w:rFonts w:ascii="宋体" w:hAnsi="宋体" w:cs="宋体"/>
          <w:color w:val="auto"/>
          <w:szCs w:val="21"/>
          <w:highlight w:val="none"/>
        </w:rPr>
      </w:pPr>
      <w:r>
        <w:rPr>
          <w:rFonts w:hint="eastAsia" w:ascii="宋体" w:hAnsi="宋体" w:cs="宋体"/>
          <w:color w:val="auto"/>
          <w:szCs w:val="21"/>
          <w:highlight w:val="none"/>
        </w:rPr>
        <w:t>二、质量保修期</w:t>
      </w:r>
    </w:p>
    <w:p w14:paraId="44C41D7E">
      <w:pPr>
        <w:pageBreakBefore w:val="0"/>
        <w:kinsoku/>
        <w:wordWrap/>
        <w:overflowPunct/>
        <w:topLinePunct w:val="0"/>
        <w:autoSpaceDE/>
        <w:autoSpaceDN/>
        <w:bidi w:val="0"/>
        <w:spacing w:line="360" w:lineRule="auto"/>
        <w:ind w:left="0" w:right="0" w:firstLine="0" w:firstLineChars="0"/>
        <w:textAlignment w:val="auto"/>
        <w:rPr>
          <w:rFonts w:ascii="宋体" w:hAnsi="宋体" w:cs="宋体"/>
          <w:color w:val="auto"/>
          <w:szCs w:val="21"/>
          <w:highlight w:val="none"/>
        </w:rPr>
      </w:pPr>
      <w:r>
        <w:rPr>
          <w:rFonts w:hint="eastAsia" w:ascii="宋体" w:hAnsi="宋体" w:cs="宋体"/>
          <w:color w:val="auto"/>
          <w:szCs w:val="21"/>
          <w:highlight w:val="none"/>
        </w:rPr>
        <w:t>根据《建设工程质量管理条例》及有关规定，工程的质量保修期如下：</w:t>
      </w:r>
    </w:p>
    <w:p w14:paraId="72660E2D">
      <w:pPr>
        <w:pageBreakBefore w:val="0"/>
        <w:kinsoku/>
        <w:wordWrap/>
        <w:overflowPunct/>
        <w:topLinePunct w:val="0"/>
        <w:autoSpaceDE/>
        <w:autoSpaceDN/>
        <w:bidi w:val="0"/>
        <w:spacing w:line="360" w:lineRule="auto"/>
        <w:ind w:left="0" w:right="0" w:firstLine="0" w:firstLineChars="0"/>
        <w:textAlignment w:val="auto"/>
        <w:rPr>
          <w:rFonts w:ascii="宋体" w:hAnsi="宋体" w:cs="宋体"/>
          <w:color w:val="auto"/>
          <w:szCs w:val="21"/>
          <w:highlight w:val="none"/>
          <w:u w:val="single"/>
        </w:rPr>
      </w:pPr>
    </w:p>
    <w:p w14:paraId="5D5C1690">
      <w:pPr>
        <w:pageBreakBefore w:val="0"/>
        <w:widowControl/>
        <w:kinsoku/>
        <w:wordWrap/>
        <w:overflowPunct/>
        <w:topLinePunct w:val="0"/>
        <w:autoSpaceDE/>
        <w:autoSpaceDN/>
        <w:bidi w:val="0"/>
        <w:snapToGrid w:val="0"/>
        <w:spacing w:line="360" w:lineRule="auto"/>
        <w:ind w:left="0" w:right="0" w:firstLine="0" w:firstLineChars="0"/>
        <w:jc w:val="left"/>
        <w:textAlignment w:val="auto"/>
        <w:rPr>
          <w:rFonts w:ascii="宋体" w:hAnsi="宋体" w:cs="宋体"/>
          <w:color w:val="auto"/>
          <w:kern w:val="0"/>
          <w:szCs w:val="21"/>
          <w:highlight w:val="none"/>
        </w:rPr>
      </w:pPr>
      <w:r>
        <w:rPr>
          <w:rFonts w:hint="eastAsia" w:ascii="宋体" w:hAnsi="宋体" w:cs="宋体"/>
          <w:color w:val="auto"/>
          <w:kern w:val="0"/>
          <w:szCs w:val="21"/>
          <w:highlight w:val="none"/>
        </w:rPr>
        <w:t>工程质保期为</w:t>
      </w:r>
      <w:r>
        <w:rPr>
          <w:rFonts w:hint="eastAsia" w:ascii="宋体" w:hAnsi="宋体" w:cs="宋体"/>
          <w:color w:val="auto"/>
          <w:kern w:val="0"/>
          <w:szCs w:val="21"/>
          <w:highlight w:val="none"/>
          <w:lang w:val="en-US" w:eastAsia="zh-CN"/>
        </w:rPr>
        <w:t>1</w:t>
      </w:r>
      <w:r>
        <w:rPr>
          <w:rFonts w:hint="eastAsia" w:ascii="宋体" w:hAnsi="宋体" w:cs="宋体"/>
          <w:color w:val="auto"/>
          <w:kern w:val="0"/>
          <w:szCs w:val="21"/>
          <w:highlight w:val="none"/>
        </w:rPr>
        <w:t>年，</w:t>
      </w:r>
      <w:r>
        <w:rPr>
          <w:rFonts w:hint="eastAsia" w:ascii="宋体" w:hAnsi="宋体"/>
          <w:color w:val="auto"/>
          <w:szCs w:val="21"/>
          <w:highlight w:val="none"/>
        </w:rPr>
        <w:t>自工程竣工验收合格之日起开始计算</w:t>
      </w:r>
      <w:r>
        <w:rPr>
          <w:rFonts w:hint="eastAsia" w:ascii="宋体" w:hAnsi="宋体" w:cs="宋体"/>
          <w:color w:val="auto"/>
          <w:kern w:val="0"/>
          <w:szCs w:val="21"/>
          <w:highlight w:val="none"/>
        </w:rPr>
        <w:t>。在约定的质保期内，乙方应保证所有设备无任何质量问题，出现质量问题时，乙方应及时免费维修或更换有缺陷的设备或部件。</w:t>
      </w:r>
    </w:p>
    <w:p w14:paraId="4AAFB653">
      <w:pPr>
        <w:pageBreakBefore w:val="0"/>
        <w:widowControl/>
        <w:kinsoku/>
        <w:wordWrap/>
        <w:overflowPunct/>
        <w:topLinePunct w:val="0"/>
        <w:autoSpaceDE/>
        <w:autoSpaceDN/>
        <w:bidi w:val="0"/>
        <w:snapToGrid w:val="0"/>
        <w:spacing w:line="360" w:lineRule="auto"/>
        <w:ind w:left="0" w:right="0" w:firstLine="0" w:firstLineChars="0"/>
        <w:jc w:val="left"/>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建设工程保修期：</w:t>
      </w:r>
    </w:p>
    <w:p w14:paraId="4A851750">
      <w:pPr>
        <w:pageBreakBefore w:val="0"/>
        <w:widowControl/>
        <w:numPr>
          <w:ilvl w:val="0"/>
          <w:numId w:val="63"/>
        </w:numPr>
        <w:kinsoku/>
        <w:wordWrap/>
        <w:overflowPunct/>
        <w:topLinePunct w:val="0"/>
        <w:autoSpaceDE/>
        <w:autoSpaceDN/>
        <w:bidi w:val="0"/>
        <w:snapToGrid w:val="0"/>
        <w:spacing w:line="360" w:lineRule="auto"/>
        <w:ind w:left="0" w:right="0" w:firstLine="0" w:firstLineChars="0"/>
        <w:jc w:val="left"/>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地基、基础和主体结构工程，为设计文件规定的工程合理使用年限；</w:t>
      </w:r>
    </w:p>
    <w:p w14:paraId="6EB94456">
      <w:pPr>
        <w:pageBreakBefore w:val="0"/>
        <w:widowControl/>
        <w:numPr>
          <w:ilvl w:val="0"/>
          <w:numId w:val="63"/>
        </w:numPr>
        <w:kinsoku/>
        <w:wordWrap/>
        <w:overflowPunct/>
        <w:topLinePunct w:val="0"/>
        <w:autoSpaceDE/>
        <w:autoSpaceDN/>
        <w:bidi w:val="0"/>
        <w:snapToGrid w:val="0"/>
        <w:spacing w:line="360" w:lineRule="auto"/>
        <w:ind w:left="0" w:right="0" w:firstLine="0" w:firstLineChars="0"/>
        <w:jc w:val="left"/>
        <w:textAlignment w:val="auto"/>
        <w:rPr>
          <w:rFonts w:ascii="宋体" w:hAnsi="宋体" w:cs="宋体"/>
          <w:color w:val="auto"/>
          <w:kern w:val="0"/>
          <w:szCs w:val="21"/>
          <w:highlight w:val="none"/>
        </w:rPr>
      </w:pPr>
      <w:r>
        <w:rPr>
          <w:rFonts w:hint="eastAsia" w:ascii="宋体" w:hAnsi="宋体" w:cs="宋体"/>
          <w:color w:val="auto"/>
          <w:kern w:val="0"/>
          <w:szCs w:val="21"/>
          <w:highlight w:val="none"/>
        </w:rPr>
        <w:t>屋面防水、外墙防渗漏为5年。</w:t>
      </w:r>
    </w:p>
    <w:p w14:paraId="62081126">
      <w:pPr>
        <w:widowControl/>
        <w:snapToGrid w:val="0"/>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主要设备保修期：</w:t>
      </w:r>
    </w:p>
    <w:p w14:paraId="43331001">
      <w:pPr>
        <w:spacing w:line="360" w:lineRule="auto"/>
        <w:ind w:firstLine="420" w:firstLineChars="200"/>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光伏组件质保：光伏组件</w:t>
      </w:r>
      <w:r>
        <w:rPr>
          <w:rFonts w:hint="eastAsia" w:ascii="宋体" w:hAnsi="宋体" w:eastAsia="宋体" w:cs="宋体"/>
          <w:color w:val="auto"/>
          <w:szCs w:val="21"/>
          <w:highlight w:val="none"/>
          <w:u w:val="none"/>
        </w:rPr>
        <w:t>的使用寿命不低于25年。第一年衰减≤</w:t>
      </w:r>
      <w:r>
        <w:rPr>
          <w:rFonts w:hint="eastAsia" w:ascii="宋体" w:hAnsi="宋体" w:cs="宋体"/>
          <w:color w:val="auto"/>
          <w:szCs w:val="21"/>
          <w:highlight w:val="none"/>
          <w:u w:val="none"/>
          <w:lang w:eastAsia="zh-CN"/>
        </w:rPr>
        <w:t>1</w:t>
      </w:r>
      <w:r>
        <w:rPr>
          <w:rFonts w:hint="eastAsia" w:ascii="宋体" w:hAnsi="宋体" w:eastAsia="宋体" w:cs="宋体"/>
          <w:color w:val="auto"/>
          <w:szCs w:val="21"/>
          <w:highlight w:val="none"/>
          <w:u w:val="none"/>
        </w:rPr>
        <w:t>%，后续线性衰减0.</w:t>
      </w:r>
      <w:r>
        <w:rPr>
          <w:rFonts w:hint="eastAsia" w:ascii="宋体" w:hAnsi="宋体" w:cs="宋体"/>
          <w:color w:val="auto"/>
          <w:szCs w:val="21"/>
          <w:highlight w:val="none"/>
          <w:u w:val="none"/>
          <w:lang w:eastAsia="zh-CN"/>
        </w:rPr>
        <w:t>4</w:t>
      </w:r>
      <w:r>
        <w:rPr>
          <w:rFonts w:hint="eastAsia" w:ascii="宋体" w:hAnsi="宋体" w:eastAsia="宋体" w:cs="宋体"/>
          <w:color w:val="auto"/>
          <w:szCs w:val="21"/>
          <w:highlight w:val="none"/>
          <w:u w:val="none"/>
        </w:rPr>
        <w:t>%，5年运行期内衰减≤</w:t>
      </w:r>
      <w:r>
        <w:rPr>
          <w:rFonts w:hint="eastAsia" w:ascii="宋体" w:hAnsi="宋体" w:cs="宋体"/>
          <w:color w:val="auto"/>
          <w:szCs w:val="21"/>
          <w:highlight w:val="none"/>
          <w:u w:val="none"/>
          <w:lang w:eastAsia="zh-CN"/>
        </w:rPr>
        <w:t>2</w:t>
      </w:r>
      <w:r>
        <w:rPr>
          <w:rFonts w:hint="eastAsia" w:ascii="宋体" w:hAnsi="宋体" w:cs="宋体"/>
          <w:color w:val="auto"/>
          <w:szCs w:val="21"/>
          <w:highlight w:val="none"/>
          <w:u w:val="none"/>
          <w:lang w:val="en-US" w:eastAsia="zh-CN"/>
        </w:rPr>
        <w:t>.6</w:t>
      </w:r>
      <w:r>
        <w:rPr>
          <w:rFonts w:hint="eastAsia" w:ascii="宋体" w:hAnsi="宋体" w:eastAsia="宋体" w:cs="宋体"/>
          <w:color w:val="auto"/>
          <w:szCs w:val="21"/>
          <w:highlight w:val="none"/>
          <w:u w:val="none"/>
        </w:rPr>
        <w:t>%，在10年运行使用期限内输出功率衰减不超过</w:t>
      </w:r>
      <w:r>
        <w:rPr>
          <w:rFonts w:hint="eastAsia" w:ascii="宋体" w:hAnsi="宋体" w:cs="宋体"/>
          <w:color w:val="auto"/>
          <w:szCs w:val="21"/>
          <w:highlight w:val="none"/>
          <w:u w:val="none"/>
          <w:lang w:eastAsia="zh-CN"/>
        </w:rPr>
        <w:t>4</w:t>
      </w:r>
      <w:r>
        <w:rPr>
          <w:rFonts w:hint="eastAsia" w:ascii="宋体" w:hAnsi="宋体" w:cs="宋体"/>
          <w:color w:val="auto"/>
          <w:szCs w:val="21"/>
          <w:highlight w:val="none"/>
          <w:u w:val="none"/>
          <w:lang w:val="en-US" w:eastAsia="zh-CN"/>
        </w:rPr>
        <w:t>.6</w:t>
      </w:r>
      <w:r>
        <w:rPr>
          <w:rFonts w:hint="eastAsia" w:ascii="宋体" w:hAnsi="宋体" w:eastAsia="宋体" w:cs="宋体"/>
          <w:color w:val="auto"/>
          <w:szCs w:val="21"/>
          <w:highlight w:val="none"/>
          <w:u w:val="none"/>
        </w:rPr>
        <w:t>%，25年共衰减</w:t>
      </w:r>
      <w:r>
        <w:rPr>
          <w:rFonts w:hint="eastAsia" w:ascii="宋体" w:hAnsi="宋体" w:cs="宋体"/>
          <w:color w:val="auto"/>
          <w:szCs w:val="21"/>
          <w:highlight w:val="none"/>
          <w:u w:val="none"/>
          <w:lang w:eastAsia="zh-CN"/>
        </w:rPr>
        <w:t>1</w:t>
      </w:r>
      <w:r>
        <w:rPr>
          <w:rFonts w:hint="eastAsia" w:ascii="宋体" w:hAnsi="宋体" w:cs="宋体"/>
          <w:color w:val="auto"/>
          <w:szCs w:val="21"/>
          <w:highlight w:val="none"/>
          <w:u w:val="none"/>
          <w:lang w:val="en-US" w:eastAsia="zh-CN"/>
        </w:rPr>
        <w:t>0.6</w:t>
      </w:r>
      <w:r>
        <w:rPr>
          <w:rFonts w:hint="eastAsia" w:ascii="宋体" w:hAnsi="宋体" w:eastAsia="宋体" w:cs="宋体"/>
          <w:color w:val="auto"/>
          <w:szCs w:val="21"/>
          <w:highlight w:val="none"/>
          <w:u w:val="none"/>
        </w:rPr>
        <w:t>%</w:t>
      </w:r>
      <w:r>
        <w:rPr>
          <w:rFonts w:hint="eastAsia" w:ascii="宋体" w:hAnsi="宋体" w:cs="宋体"/>
          <w:color w:val="auto"/>
          <w:szCs w:val="21"/>
          <w:highlight w:val="none"/>
          <w:u w:val="none"/>
          <w:lang w:eastAsia="zh-CN"/>
        </w:rPr>
        <w:t>（</w:t>
      </w:r>
      <w:r>
        <w:rPr>
          <w:rFonts w:hint="eastAsia" w:ascii="宋体" w:hAnsi="宋体" w:cs="宋体"/>
          <w:color w:val="auto"/>
          <w:szCs w:val="21"/>
          <w:highlight w:val="none"/>
          <w:u w:val="none"/>
          <w:lang w:val="en-US" w:eastAsia="zh-CN"/>
        </w:rPr>
        <w:t>以组件参数为准）</w:t>
      </w:r>
      <w:r>
        <w:rPr>
          <w:rFonts w:hint="eastAsia" w:ascii="宋体" w:hAnsi="宋体" w:eastAsia="宋体" w:cs="宋体"/>
          <w:color w:val="auto"/>
          <w:szCs w:val="21"/>
          <w:highlight w:val="none"/>
          <w:u w:val="none"/>
        </w:rPr>
        <w:t>。如光伏组件在功率质保期内功率衰减超过前述数值，承包人应将光伏组件功率衰减值免费修复至前述数值范围内。质保期自设备竣工验收合格之日起开始计算。</w:t>
      </w:r>
    </w:p>
    <w:p w14:paraId="0D068E66">
      <w:pPr>
        <w:spacing w:line="360" w:lineRule="auto"/>
        <w:ind w:firstLine="420" w:firstLineChars="200"/>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lang w:val="en-US" w:eastAsia="zh-CN"/>
        </w:rPr>
        <w:t>2）</w:t>
      </w:r>
      <w:r>
        <w:rPr>
          <w:rFonts w:hint="eastAsia" w:ascii="宋体" w:hAnsi="宋体" w:eastAsia="宋体" w:cs="宋体"/>
          <w:color w:val="auto"/>
          <w:szCs w:val="21"/>
          <w:highlight w:val="none"/>
          <w:u w:val="none"/>
        </w:rPr>
        <w:t>系统逆变器、支架质保：不低于</w:t>
      </w:r>
      <w:r>
        <w:rPr>
          <w:rFonts w:hint="eastAsia" w:ascii="宋体" w:hAnsi="宋体" w:cs="宋体"/>
          <w:color w:val="auto"/>
          <w:szCs w:val="21"/>
          <w:highlight w:val="none"/>
          <w:u w:val="none"/>
          <w:lang w:val="en-US" w:eastAsia="zh-CN"/>
        </w:rPr>
        <w:t>5</w:t>
      </w:r>
      <w:r>
        <w:rPr>
          <w:rFonts w:hint="eastAsia" w:ascii="宋体" w:hAnsi="宋体" w:eastAsia="宋体" w:cs="宋体"/>
          <w:color w:val="auto"/>
          <w:szCs w:val="21"/>
          <w:highlight w:val="none"/>
          <w:u w:val="none"/>
        </w:rPr>
        <w:t>年（厂家提供的质保期、续保期年限之和不低于</w:t>
      </w:r>
      <w:r>
        <w:rPr>
          <w:rFonts w:hint="eastAsia" w:ascii="宋体" w:hAnsi="宋体" w:cs="宋体"/>
          <w:color w:val="auto"/>
          <w:szCs w:val="21"/>
          <w:highlight w:val="none"/>
          <w:u w:val="none"/>
          <w:lang w:val="en-US" w:eastAsia="zh-CN"/>
        </w:rPr>
        <w:t>5</w:t>
      </w:r>
      <w:r>
        <w:rPr>
          <w:rFonts w:hint="eastAsia" w:ascii="宋体" w:hAnsi="宋体" w:eastAsia="宋体" w:cs="宋体"/>
          <w:color w:val="auto"/>
          <w:szCs w:val="21"/>
          <w:highlight w:val="none"/>
          <w:u w:val="none"/>
        </w:rPr>
        <w:t>年），质保期内，非人为原因导致的质量问题由承包人免费维护。质保期自设备竣工验收合格之日起开始计算。</w:t>
      </w:r>
    </w:p>
    <w:p w14:paraId="0CF891ED">
      <w:pPr>
        <w:spacing w:line="360" w:lineRule="auto"/>
        <w:ind w:firstLine="420" w:firstLineChars="200"/>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其他设备质保：</w:t>
      </w:r>
      <w:r>
        <w:rPr>
          <w:rFonts w:hint="eastAsia" w:ascii="宋体" w:hAnsi="宋体" w:eastAsia="宋体" w:cs="宋体"/>
          <w:color w:val="auto"/>
          <w:szCs w:val="21"/>
          <w:highlight w:val="none"/>
          <w:u w:val="none"/>
        </w:rPr>
        <w:t>质保期按照设备生产厂家或供应商的质保期承诺执行。</w:t>
      </w:r>
    </w:p>
    <w:p w14:paraId="74060656">
      <w:pPr>
        <w:pageBreakBefore w:val="0"/>
        <w:kinsoku/>
        <w:wordWrap/>
        <w:overflowPunct/>
        <w:topLinePunct w:val="0"/>
        <w:autoSpaceDE/>
        <w:autoSpaceDN/>
        <w:bidi w:val="0"/>
        <w:spacing w:line="360" w:lineRule="auto"/>
        <w:ind w:left="0" w:right="0" w:firstLine="0" w:firstLineChars="0"/>
        <w:textAlignment w:val="auto"/>
        <w:rPr>
          <w:rFonts w:ascii="宋体" w:hAnsi="宋体" w:cs="宋体"/>
          <w:color w:val="auto"/>
          <w:szCs w:val="21"/>
          <w:highlight w:val="none"/>
        </w:rPr>
      </w:pPr>
    </w:p>
    <w:p w14:paraId="13B38368">
      <w:pPr>
        <w:pageBreakBefore w:val="0"/>
        <w:kinsoku/>
        <w:wordWrap/>
        <w:overflowPunct/>
        <w:topLinePunct w:val="0"/>
        <w:autoSpaceDE/>
        <w:autoSpaceDN/>
        <w:bidi w:val="0"/>
        <w:spacing w:line="360" w:lineRule="auto"/>
        <w:ind w:left="0" w:right="0" w:firstLine="0" w:firstLineChars="0"/>
        <w:textAlignment w:val="auto"/>
        <w:rPr>
          <w:rFonts w:ascii="宋体" w:hAnsi="宋体" w:cs="宋体"/>
          <w:color w:val="auto"/>
          <w:szCs w:val="21"/>
          <w:highlight w:val="none"/>
        </w:rPr>
      </w:pPr>
      <w:r>
        <w:rPr>
          <w:rFonts w:hint="eastAsia" w:ascii="宋体" w:hAnsi="宋体" w:cs="宋体"/>
          <w:color w:val="auto"/>
          <w:szCs w:val="21"/>
          <w:highlight w:val="none"/>
        </w:rPr>
        <w:t>三、缺陷责任期</w:t>
      </w:r>
    </w:p>
    <w:p w14:paraId="31CA67F7">
      <w:pPr>
        <w:pageBreakBefore w:val="0"/>
        <w:kinsoku/>
        <w:wordWrap/>
        <w:overflowPunct/>
        <w:topLinePunct w:val="0"/>
        <w:autoSpaceDE/>
        <w:autoSpaceDN/>
        <w:bidi w:val="0"/>
        <w:spacing w:line="360" w:lineRule="auto"/>
        <w:ind w:left="0" w:right="0" w:firstLine="0" w:firstLineChars="0"/>
        <w:textAlignment w:val="auto"/>
        <w:rPr>
          <w:rFonts w:ascii="宋体" w:hAnsi="宋体" w:cs="宋体"/>
          <w:color w:val="auto"/>
          <w:szCs w:val="21"/>
          <w:highlight w:val="none"/>
        </w:rPr>
      </w:pPr>
      <w:r>
        <w:rPr>
          <w:rFonts w:hint="eastAsia" w:ascii="宋体" w:hAnsi="宋体" w:cs="宋体"/>
          <w:color w:val="auto"/>
          <w:szCs w:val="21"/>
          <w:highlight w:val="none"/>
        </w:rPr>
        <w:t>工程缺陷责任期为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12</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个月，缺陷责任期自工程通过竣工验收之日起计算。单位/区段工程先于全部工程进行验收，单位/区段工程缺陷责任期自单位/区段工程验收合格之日起算。</w:t>
      </w:r>
    </w:p>
    <w:p w14:paraId="68FE7273">
      <w:pPr>
        <w:pageBreakBefore w:val="0"/>
        <w:kinsoku/>
        <w:wordWrap/>
        <w:overflowPunct/>
        <w:topLinePunct w:val="0"/>
        <w:autoSpaceDE/>
        <w:autoSpaceDN/>
        <w:bidi w:val="0"/>
        <w:spacing w:line="360" w:lineRule="auto"/>
        <w:ind w:left="0" w:right="0" w:firstLine="0" w:firstLineChars="0"/>
        <w:textAlignment w:val="auto"/>
        <w:rPr>
          <w:rFonts w:ascii="宋体" w:hAnsi="宋体" w:cs="宋体"/>
          <w:color w:val="auto"/>
          <w:szCs w:val="21"/>
          <w:highlight w:val="none"/>
        </w:rPr>
      </w:pPr>
      <w:r>
        <w:rPr>
          <w:rFonts w:hint="eastAsia" w:ascii="宋体" w:hAnsi="宋体" w:cs="宋体"/>
          <w:color w:val="auto"/>
          <w:szCs w:val="21"/>
          <w:highlight w:val="none"/>
        </w:rPr>
        <w:t>缺陷责任期终止后，发包人应返还剩余的</w:t>
      </w:r>
      <w:r>
        <w:rPr>
          <w:rFonts w:hint="eastAsia" w:ascii="宋体" w:hAnsi="宋体" w:cs="宋体"/>
          <w:color w:val="auto"/>
          <w:szCs w:val="21"/>
          <w:highlight w:val="none"/>
          <w:lang w:eastAsia="zh-CN"/>
        </w:rPr>
        <w:t>工程</w:t>
      </w:r>
      <w:r>
        <w:rPr>
          <w:rFonts w:hint="eastAsia" w:ascii="宋体" w:hAnsi="宋体" w:cs="宋体"/>
          <w:color w:val="auto"/>
          <w:szCs w:val="21"/>
          <w:highlight w:val="none"/>
        </w:rPr>
        <w:t>质量保证金。</w:t>
      </w:r>
    </w:p>
    <w:p w14:paraId="0B1C929C">
      <w:pPr>
        <w:pageBreakBefore w:val="0"/>
        <w:kinsoku/>
        <w:wordWrap/>
        <w:overflowPunct/>
        <w:topLinePunct w:val="0"/>
        <w:autoSpaceDE/>
        <w:autoSpaceDN/>
        <w:bidi w:val="0"/>
        <w:spacing w:line="360" w:lineRule="auto"/>
        <w:ind w:left="0" w:right="0" w:firstLine="0" w:firstLineChars="0"/>
        <w:textAlignment w:val="auto"/>
        <w:rPr>
          <w:rFonts w:ascii="宋体" w:hAnsi="宋体" w:cs="宋体"/>
          <w:color w:val="auto"/>
          <w:szCs w:val="21"/>
          <w:highlight w:val="none"/>
        </w:rPr>
      </w:pPr>
      <w:r>
        <w:rPr>
          <w:rFonts w:hint="eastAsia" w:ascii="宋体" w:hAnsi="宋体" w:cs="宋体"/>
          <w:color w:val="auto"/>
          <w:szCs w:val="21"/>
          <w:highlight w:val="none"/>
        </w:rPr>
        <w:t>四、质量保修责任</w:t>
      </w:r>
    </w:p>
    <w:p w14:paraId="4BB4E7E3">
      <w:pPr>
        <w:pageBreakBefore w:val="0"/>
        <w:kinsoku/>
        <w:wordWrap/>
        <w:overflowPunct/>
        <w:topLinePunct w:val="0"/>
        <w:autoSpaceDE/>
        <w:autoSpaceDN/>
        <w:bidi w:val="0"/>
        <w:spacing w:line="360" w:lineRule="auto"/>
        <w:ind w:left="0" w:right="0" w:firstLine="0" w:firstLineChars="0"/>
        <w:textAlignment w:val="auto"/>
        <w:rPr>
          <w:rFonts w:ascii="宋体" w:hAnsi="宋体" w:cs="宋体"/>
          <w:color w:val="auto"/>
          <w:szCs w:val="21"/>
          <w:highlight w:val="none"/>
        </w:rPr>
      </w:pPr>
      <w:r>
        <w:rPr>
          <w:rFonts w:hint="eastAsia" w:ascii="宋体" w:hAnsi="宋体" w:cs="宋体"/>
          <w:color w:val="auto"/>
          <w:szCs w:val="21"/>
          <w:highlight w:val="none"/>
        </w:rPr>
        <w:t>1．属于保修范围、内容的项目，承包人应当在接到保修通知之日起7天内派人保修。承包人不在约定期限内派人保修的，发包人可以委托他人修理。</w:t>
      </w:r>
    </w:p>
    <w:p w14:paraId="40384198">
      <w:pPr>
        <w:pageBreakBefore w:val="0"/>
        <w:kinsoku/>
        <w:wordWrap/>
        <w:overflowPunct/>
        <w:topLinePunct w:val="0"/>
        <w:autoSpaceDE/>
        <w:autoSpaceDN/>
        <w:bidi w:val="0"/>
        <w:spacing w:line="360" w:lineRule="auto"/>
        <w:ind w:left="0" w:right="0" w:firstLine="0" w:firstLineChars="0"/>
        <w:textAlignment w:val="auto"/>
        <w:rPr>
          <w:rFonts w:ascii="宋体" w:hAnsi="宋体" w:cs="宋体"/>
          <w:color w:val="auto"/>
          <w:szCs w:val="21"/>
          <w:highlight w:val="none"/>
        </w:rPr>
      </w:pPr>
      <w:r>
        <w:rPr>
          <w:rFonts w:hint="eastAsia" w:ascii="宋体" w:hAnsi="宋体" w:cs="宋体"/>
          <w:color w:val="auto"/>
          <w:szCs w:val="21"/>
          <w:highlight w:val="none"/>
        </w:rPr>
        <w:t>2．发生紧急事故需抢修的，承包人在接到事故通知后，应当立即到达事故现场抢修。</w:t>
      </w:r>
    </w:p>
    <w:p w14:paraId="4C109191">
      <w:pPr>
        <w:pageBreakBefore w:val="0"/>
        <w:kinsoku/>
        <w:wordWrap/>
        <w:overflowPunct/>
        <w:topLinePunct w:val="0"/>
        <w:autoSpaceDE/>
        <w:autoSpaceDN/>
        <w:bidi w:val="0"/>
        <w:spacing w:line="360" w:lineRule="auto"/>
        <w:ind w:left="0" w:right="0" w:firstLine="0" w:firstLineChars="0"/>
        <w:textAlignment w:val="auto"/>
        <w:rPr>
          <w:rFonts w:ascii="宋体" w:hAnsi="宋体" w:cs="宋体"/>
          <w:color w:val="auto"/>
          <w:szCs w:val="21"/>
          <w:highlight w:val="none"/>
        </w:rPr>
      </w:pPr>
      <w:r>
        <w:rPr>
          <w:rFonts w:hint="eastAsia" w:ascii="宋体" w:hAnsi="宋体" w:cs="宋体"/>
          <w:color w:val="auto"/>
          <w:szCs w:val="21"/>
          <w:highlight w:val="none"/>
        </w:rPr>
        <w:t>3．对于涉及结构安全的质量问题，应当按照《建设工程质量管理条例》的规定，立即向当地建设行政主管部门和有关部门报告，采取安全防范措施，并由承包人提出保修方案，承包人将设计业务分包的，应由原设计分包人或具有相应资质等级的设计人提出保修方案，承包人实施保修。</w:t>
      </w:r>
    </w:p>
    <w:p w14:paraId="30D09F5F">
      <w:pPr>
        <w:pageBreakBefore w:val="0"/>
        <w:kinsoku/>
        <w:wordWrap/>
        <w:overflowPunct/>
        <w:topLinePunct w:val="0"/>
        <w:autoSpaceDE/>
        <w:autoSpaceDN/>
        <w:bidi w:val="0"/>
        <w:spacing w:line="360" w:lineRule="auto"/>
        <w:ind w:left="0" w:right="0" w:firstLine="0" w:firstLineChars="0"/>
        <w:textAlignment w:val="auto"/>
        <w:rPr>
          <w:rFonts w:ascii="宋体" w:hAnsi="宋体" w:cs="宋体"/>
          <w:color w:val="auto"/>
          <w:szCs w:val="21"/>
          <w:highlight w:val="none"/>
        </w:rPr>
      </w:pPr>
      <w:r>
        <w:rPr>
          <w:rFonts w:hint="eastAsia" w:ascii="宋体" w:hAnsi="宋体" w:cs="宋体"/>
          <w:color w:val="auto"/>
          <w:szCs w:val="21"/>
          <w:highlight w:val="none"/>
        </w:rPr>
        <w:t>4．质量保修完成后，由发包人组织验收。</w:t>
      </w:r>
    </w:p>
    <w:p w14:paraId="04DB4A64">
      <w:pPr>
        <w:pageBreakBefore w:val="0"/>
        <w:kinsoku/>
        <w:wordWrap/>
        <w:overflowPunct/>
        <w:topLinePunct w:val="0"/>
        <w:autoSpaceDE/>
        <w:autoSpaceDN/>
        <w:bidi w:val="0"/>
        <w:spacing w:line="360" w:lineRule="auto"/>
        <w:ind w:left="0" w:right="0" w:firstLine="0" w:firstLineChars="0"/>
        <w:textAlignment w:val="auto"/>
        <w:rPr>
          <w:rFonts w:ascii="宋体" w:hAnsi="宋体" w:cs="宋体"/>
          <w:color w:val="auto"/>
          <w:szCs w:val="21"/>
          <w:highlight w:val="none"/>
        </w:rPr>
      </w:pPr>
      <w:r>
        <w:rPr>
          <w:rFonts w:hint="eastAsia" w:ascii="宋体" w:hAnsi="宋体" w:cs="宋体"/>
          <w:color w:val="auto"/>
          <w:szCs w:val="21"/>
          <w:highlight w:val="none"/>
        </w:rPr>
        <w:t>五、保修费用</w:t>
      </w:r>
    </w:p>
    <w:p w14:paraId="35E29527">
      <w:pPr>
        <w:pageBreakBefore w:val="0"/>
        <w:kinsoku/>
        <w:wordWrap/>
        <w:overflowPunct/>
        <w:topLinePunct w:val="0"/>
        <w:autoSpaceDE/>
        <w:autoSpaceDN/>
        <w:bidi w:val="0"/>
        <w:spacing w:line="360" w:lineRule="auto"/>
        <w:ind w:left="0" w:right="0" w:firstLine="0" w:firstLineChars="0"/>
        <w:textAlignment w:val="auto"/>
        <w:rPr>
          <w:rFonts w:ascii="宋体" w:hAnsi="宋体" w:cs="宋体"/>
          <w:color w:val="auto"/>
          <w:szCs w:val="21"/>
          <w:highlight w:val="none"/>
        </w:rPr>
      </w:pPr>
      <w:r>
        <w:rPr>
          <w:rFonts w:hint="eastAsia" w:ascii="宋体" w:hAnsi="宋体" w:cs="宋体"/>
          <w:color w:val="auto"/>
          <w:szCs w:val="21"/>
          <w:highlight w:val="none"/>
        </w:rPr>
        <w:t>保修费用由造成质量缺陷的责任方承担。</w:t>
      </w:r>
    </w:p>
    <w:p w14:paraId="682EBB27">
      <w:pPr>
        <w:pageBreakBefore w:val="0"/>
        <w:kinsoku/>
        <w:wordWrap/>
        <w:overflowPunct/>
        <w:topLinePunct w:val="0"/>
        <w:autoSpaceDE/>
        <w:autoSpaceDN/>
        <w:bidi w:val="0"/>
        <w:spacing w:line="360" w:lineRule="auto"/>
        <w:ind w:left="0" w:right="0" w:firstLine="0" w:firstLineChars="0"/>
        <w:textAlignment w:val="auto"/>
        <w:rPr>
          <w:rFonts w:ascii="宋体" w:hAnsi="宋体" w:cs="宋体"/>
          <w:color w:val="auto"/>
          <w:szCs w:val="21"/>
          <w:highlight w:val="none"/>
          <w:u w:val="single"/>
        </w:rPr>
      </w:pPr>
      <w:r>
        <w:rPr>
          <w:rFonts w:hint="eastAsia" w:ascii="宋体" w:hAnsi="宋体" w:cs="宋体"/>
          <w:color w:val="auto"/>
          <w:szCs w:val="21"/>
          <w:highlight w:val="none"/>
        </w:rPr>
        <w:t>六、双方约定的其他工程质量保修事项：</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407D3C14">
      <w:pPr>
        <w:pageBreakBefore w:val="0"/>
        <w:kinsoku/>
        <w:wordWrap/>
        <w:overflowPunct/>
        <w:topLinePunct w:val="0"/>
        <w:autoSpaceDE/>
        <w:autoSpaceDN/>
        <w:bidi w:val="0"/>
        <w:spacing w:line="360" w:lineRule="auto"/>
        <w:ind w:left="0" w:right="0" w:firstLine="0" w:firstLineChars="0"/>
        <w:textAlignment w:val="auto"/>
        <w:rPr>
          <w:rFonts w:ascii="宋体" w:hAnsi="宋体" w:cs="宋体"/>
          <w:color w:val="auto"/>
          <w:szCs w:val="21"/>
          <w:highlight w:val="none"/>
        </w:rPr>
      </w:pPr>
      <w:r>
        <w:rPr>
          <w:rFonts w:hint="eastAsia" w:ascii="宋体" w:hAnsi="宋体" w:cs="宋体"/>
          <w:color w:val="auto"/>
          <w:szCs w:val="21"/>
          <w:highlight w:val="none"/>
        </w:rPr>
        <w:t>工程质量保修书由发包人、承包人在工程竣工验收前共同签署，作为工程总承包合同附件，其有效期限至保修期满。</w:t>
      </w:r>
    </w:p>
    <w:p w14:paraId="450E0C35">
      <w:pPr>
        <w:pageBreakBefore w:val="0"/>
        <w:kinsoku/>
        <w:wordWrap/>
        <w:overflowPunct/>
        <w:topLinePunct w:val="0"/>
        <w:autoSpaceDE/>
        <w:autoSpaceDN/>
        <w:bidi w:val="0"/>
        <w:spacing w:line="360" w:lineRule="auto"/>
        <w:ind w:left="0" w:right="0" w:firstLine="0" w:firstLineChars="0"/>
        <w:textAlignment w:val="auto"/>
        <w:rPr>
          <w:rFonts w:ascii="宋体" w:hAnsi="宋体" w:cs="宋体"/>
          <w:color w:val="auto"/>
          <w:szCs w:val="21"/>
          <w:highlight w:val="none"/>
        </w:rPr>
      </w:pPr>
    </w:p>
    <w:p w14:paraId="0B8056D1">
      <w:pPr>
        <w:pageBreakBefore w:val="0"/>
        <w:kinsoku/>
        <w:wordWrap/>
        <w:overflowPunct/>
        <w:topLinePunct w:val="0"/>
        <w:autoSpaceDE/>
        <w:autoSpaceDN/>
        <w:bidi w:val="0"/>
        <w:spacing w:line="360" w:lineRule="auto"/>
        <w:ind w:left="0" w:right="0" w:firstLine="0" w:firstLineChars="0"/>
        <w:textAlignment w:val="auto"/>
        <w:rPr>
          <w:rFonts w:ascii="宋体" w:hAnsi="宋体" w:cs="宋体"/>
          <w:color w:val="auto"/>
          <w:szCs w:val="21"/>
          <w:highlight w:val="none"/>
        </w:rPr>
      </w:pPr>
      <w:r>
        <w:rPr>
          <w:rFonts w:hint="eastAsia" w:ascii="宋体" w:hAnsi="宋体" w:cs="宋体"/>
          <w:color w:val="auto"/>
          <w:szCs w:val="21"/>
          <w:highlight w:val="none"/>
        </w:rPr>
        <w:t>发包人</w:t>
      </w:r>
      <w:r>
        <w:rPr>
          <w:rFonts w:hint="eastAsia" w:ascii="宋体" w:hAnsi="宋体" w:cs="宋体"/>
          <w:color w:val="auto"/>
          <w:szCs w:val="21"/>
          <w:highlight w:val="none"/>
          <w:lang w:eastAsia="zh-CN"/>
        </w:rPr>
        <w:t>（</w:t>
      </w:r>
      <w:r>
        <w:rPr>
          <w:rFonts w:hint="eastAsia" w:ascii="宋体" w:hAnsi="宋体" w:cs="宋体"/>
          <w:color w:val="auto"/>
          <w:szCs w:val="21"/>
          <w:highlight w:val="none"/>
        </w:rPr>
        <w:t>公章</w:t>
      </w:r>
      <w:r>
        <w:rPr>
          <w:rFonts w:hint="eastAsia" w:ascii="宋体" w:hAnsi="宋体" w:cs="宋体"/>
          <w:color w:val="auto"/>
          <w:szCs w:val="21"/>
          <w:highlight w:val="none"/>
          <w:lang w:eastAsia="zh-CN"/>
        </w:rPr>
        <w:t>）</w:t>
      </w:r>
      <w:r>
        <w:rPr>
          <w:rFonts w:hint="eastAsia" w:ascii="宋体" w:hAnsi="宋体" w:cs="宋体"/>
          <w:color w:val="auto"/>
          <w:szCs w:val="21"/>
          <w:highlight w:val="non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14:paraId="6F83B9C7">
      <w:pPr>
        <w:pageBreakBefore w:val="0"/>
        <w:kinsoku/>
        <w:wordWrap/>
        <w:overflowPunct/>
        <w:topLinePunct w:val="0"/>
        <w:autoSpaceDE/>
        <w:autoSpaceDN/>
        <w:bidi w:val="0"/>
        <w:spacing w:line="360" w:lineRule="auto"/>
        <w:ind w:left="0" w:right="0" w:firstLine="0" w:firstLineChars="0"/>
        <w:textAlignment w:val="auto"/>
        <w:rPr>
          <w:rFonts w:ascii="宋体" w:hAnsi="宋体" w:cs="宋体"/>
          <w:color w:val="auto"/>
          <w:szCs w:val="21"/>
          <w:highlight w:val="none"/>
        </w:rPr>
      </w:pPr>
      <w:r>
        <w:rPr>
          <w:rFonts w:hint="eastAsia" w:ascii="宋体" w:hAnsi="宋体" w:cs="宋体"/>
          <w:color w:val="auto"/>
          <w:szCs w:val="21"/>
          <w:highlight w:val="none"/>
        </w:rPr>
        <w:t>地  址：</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14:paraId="3C3AC5B7">
      <w:pPr>
        <w:pageBreakBefore w:val="0"/>
        <w:kinsoku/>
        <w:wordWrap/>
        <w:overflowPunct/>
        <w:topLinePunct w:val="0"/>
        <w:autoSpaceDE/>
        <w:autoSpaceDN/>
        <w:bidi w:val="0"/>
        <w:spacing w:line="360" w:lineRule="auto"/>
        <w:ind w:left="0" w:right="0" w:firstLine="0" w:firstLineChars="0"/>
        <w:textAlignment w:val="auto"/>
        <w:rPr>
          <w:rFonts w:ascii="宋体" w:hAnsi="宋体" w:cs="宋体"/>
          <w:color w:val="auto"/>
          <w:szCs w:val="21"/>
          <w:highlight w:val="none"/>
        </w:rPr>
      </w:pPr>
      <w:r>
        <w:rPr>
          <w:rFonts w:hint="eastAsia" w:ascii="宋体" w:hAnsi="宋体" w:cs="宋体"/>
          <w:color w:val="auto"/>
          <w:szCs w:val="21"/>
          <w:highlight w:val="none"/>
        </w:rPr>
        <w:t>法定代表人</w:t>
      </w:r>
      <w:r>
        <w:rPr>
          <w:rFonts w:hint="eastAsia" w:ascii="宋体" w:hAnsi="宋体" w:cs="宋体"/>
          <w:color w:val="auto"/>
          <w:szCs w:val="21"/>
          <w:highlight w:val="none"/>
          <w:lang w:eastAsia="zh-CN"/>
        </w:rPr>
        <w:t>（</w:t>
      </w:r>
      <w:r>
        <w:rPr>
          <w:rFonts w:hint="eastAsia" w:ascii="宋体" w:hAnsi="宋体" w:cs="宋体"/>
          <w:color w:val="auto"/>
          <w:szCs w:val="21"/>
          <w:highlight w:val="none"/>
        </w:rPr>
        <w:t>签字</w:t>
      </w:r>
      <w:r>
        <w:rPr>
          <w:rFonts w:hint="eastAsia" w:ascii="宋体" w:hAnsi="宋体" w:cs="宋体"/>
          <w:color w:val="auto"/>
          <w:szCs w:val="21"/>
          <w:highlight w:val="none"/>
          <w:lang w:eastAsia="zh-CN"/>
        </w:rPr>
        <w:t>）</w:t>
      </w:r>
      <w:r>
        <w:rPr>
          <w:rFonts w:hint="eastAsia" w:ascii="宋体" w:hAnsi="宋体" w:cs="宋体"/>
          <w:color w:val="auto"/>
          <w:szCs w:val="21"/>
          <w:highlight w:val="none"/>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14:paraId="669AF23D">
      <w:pPr>
        <w:pageBreakBefore w:val="0"/>
        <w:kinsoku/>
        <w:wordWrap/>
        <w:overflowPunct/>
        <w:topLinePunct w:val="0"/>
        <w:autoSpaceDE/>
        <w:autoSpaceDN/>
        <w:bidi w:val="0"/>
        <w:spacing w:line="360" w:lineRule="auto"/>
        <w:ind w:left="0" w:right="0" w:firstLine="0" w:firstLineChars="0"/>
        <w:textAlignment w:val="auto"/>
        <w:rPr>
          <w:rFonts w:ascii="宋体" w:hAnsi="宋体" w:cs="宋体"/>
          <w:color w:val="auto"/>
          <w:szCs w:val="21"/>
          <w:highlight w:val="none"/>
        </w:rPr>
      </w:pPr>
      <w:r>
        <w:rPr>
          <w:rFonts w:hint="eastAsia" w:ascii="宋体" w:hAnsi="宋体" w:cs="宋体"/>
          <w:color w:val="auto"/>
          <w:szCs w:val="21"/>
          <w:highlight w:val="none"/>
        </w:rPr>
        <w:t>委托代理人</w:t>
      </w:r>
      <w:r>
        <w:rPr>
          <w:rFonts w:hint="eastAsia" w:ascii="宋体" w:hAnsi="宋体" w:cs="宋体"/>
          <w:color w:val="auto"/>
          <w:szCs w:val="21"/>
          <w:highlight w:val="none"/>
          <w:lang w:eastAsia="zh-CN"/>
        </w:rPr>
        <w:t>（</w:t>
      </w:r>
      <w:r>
        <w:rPr>
          <w:rFonts w:hint="eastAsia" w:ascii="宋体" w:hAnsi="宋体" w:cs="宋体"/>
          <w:color w:val="auto"/>
          <w:szCs w:val="21"/>
          <w:highlight w:val="none"/>
        </w:rPr>
        <w:t>签字</w:t>
      </w:r>
      <w:r>
        <w:rPr>
          <w:rFonts w:hint="eastAsia" w:ascii="宋体" w:hAnsi="宋体" w:cs="宋体"/>
          <w:color w:val="auto"/>
          <w:szCs w:val="21"/>
          <w:highlight w:val="none"/>
          <w:lang w:eastAsia="zh-CN"/>
        </w:rPr>
        <w:t>）</w:t>
      </w:r>
      <w:r>
        <w:rPr>
          <w:rFonts w:hint="eastAsia" w:ascii="宋体" w:hAnsi="宋体" w:cs="宋体"/>
          <w:color w:val="auto"/>
          <w:szCs w:val="21"/>
          <w:highlight w:val="non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14:paraId="33C1E60E">
      <w:pPr>
        <w:pageBreakBefore w:val="0"/>
        <w:kinsoku/>
        <w:wordWrap/>
        <w:overflowPunct/>
        <w:topLinePunct w:val="0"/>
        <w:autoSpaceDE/>
        <w:autoSpaceDN/>
        <w:bidi w:val="0"/>
        <w:spacing w:line="360" w:lineRule="auto"/>
        <w:ind w:left="0" w:right="0" w:firstLine="0" w:firstLineChars="0"/>
        <w:textAlignment w:val="auto"/>
        <w:rPr>
          <w:rFonts w:ascii="宋体" w:hAnsi="宋体" w:cs="宋体"/>
          <w:color w:val="auto"/>
          <w:szCs w:val="21"/>
          <w:highlight w:val="none"/>
        </w:rPr>
      </w:pPr>
      <w:r>
        <w:rPr>
          <w:rFonts w:hint="eastAsia" w:ascii="宋体" w:hAnsi="宋体" w:cs="宋体"/>
          <w:color w:val="auto"/>
          <w:szCs w:val="21"/>
          <w:highlight w:val="none"/>
        </w:rPr>
        <w:t>电  话：</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14:paraId="69DDACFF">
      <w:pPr>
        <w:pageBreakBefore w:val="0"/>
        <w:kinsoku/>
        <w:wordWrap/>
        <w:overflowPunct/>
        <w:topLinePunct w:val="0"/>
        <w:autoSpaceDE/>
        <w:autoSpaceDN/>
        <w:bidi w:val="0"/>
        <w:spacing w:line="360" w:lineRule="auto"/>
        <w:ind w:left="0" w:right="0" w:firstLine="0" w:firstLineChars="0"/>
        <w:textAlignment w:val="auto"/>
        <w:rPr>
          <w:rFonts w:ascii="宋体" w:hAnsi="宋体" w:cs="宋体"/>
          <w:color w:val="auto"/>
          <w:szCs w:val="21"/>
          <w:highlight w:val="none"/>
        </w:rPr>
      </w:pPr>
      <w:r>
        <w:rPr>
          <w:rFonts w:hint="eastAsia" w:ascii="宋体" w:hAnsi="宋体" w:cs="宋体"/>
          <w:color w:val="auto"/>
          <w:szCs w:val="21"/>
          <w:highlight w:val="none"/>
        </w:rPr>
        <w:t>传  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14:paraId="6B1D2D4B">
      <w:pPr>
        <w:pageBreakBefore w:val="0"/>
        <w:kinsoku/>
        <w:wordWrap/>
        <w:overflowPunct/>
        <w:topLinePunct w:val="0"/>
        <w:autoSpaceDE/>
        <w:autoSpaceDN/>
        <w:bidi w:val="0"/>
        <w:spacing w:line="360" w:lineRule="auto"/>
        <w:ind w:left="0" w:right="0" w:firstLine="0" w:firstLineChars="0"/>
        <w:textAlignment w:val="auto"/>
        <w:rPr>
          <w:rFonts w:ascii="仿宋_GB2312" w:eastAsia="仿宋_GB2312"/>
          <w:color w:val="auto"/>
          <w:szCs w:val="21"/>
          <w:highlight w:val="none"/>
        </w:rPr>
      </w:pPr>
      <w:r>
        <w:rPr>
          <w:rFonts w:hint="eastAsia" w:ascii="宋体" w:hAnsi="宋体" w:cs="宋体"/>
          <w:color w:val="auto"/>
          <w:szCs w:val="21"/>
          <w:highlight w:val="none"/>
        </w:rPr>
        <w:t>邮政编码：</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r>
        <w:rPr>
          <w:rFonts w:hint="eastAsia" w:ascii="仿宋_GB2312" w:eastAsia="仿宋_GB2312"/>
          <w:color w:val="auto"/>
          <w:szCs w:val="21"/>
          <w:highlight w:val="none"/>
        </w:rPr>
        <w:t xml:space="preserve">  </w:t>
      </w:r>
    </w:p>
    <w:p w14:paraId="441D5FFC">
      <w:pPr>
        <w:pageBreakBefore w:val="0"/>
        <w:kinsoku/>
        <w:wordWrap/>
        <w:overflowPunct/>
        <w:topLinePunct w:val="0"/>
        <w:autoSpaceDE/>
        <w:autoSpaceDN/>
        <w:bidi w:val="0"/>
        <w:spacing w:line="360" w:lineRule="auto"/>
        <w:ind w:left="0" w:right="0" w:firstLine="0" w:firstLineChars="0"/>
        <w:jc w:val="left"/>
        <w:textAlignment w:val="auto"/>
        <w:rPr>
          <w:color w:val="auto"/>
          <w:szCs w:val="21"/>
          <w:highlight w:val="none"/>
        </w:rPr>
      </w:pPr>
    </w:p>
    <w:p w14:paraId="0D3F7F40">
      <w:pPr>
        <w:pageBreakBefore w:val="0"/>
        <w:kinsoku/>
        <w:wordWrap/>
        <w:overflowPunct/>
        <w:topLinePunct w:val="0"/>
        <w:autoSpaceDE/>
        <w:autoSpaceDN/>
        <w:bidi w:val="0"/>
        <w:adjustRightInd w:val="0"/>
        <w:snapToGrid w:val="0"/>
        <w:spacing w:line="360" w:lineRule="auto"/>
        <w:ind w:left="0" w:right="0" w:firstLine="0" w:firstLineChars="0"/>
        <w:textAlignment w:val="auto"/>
        <w:rPr>
          <w:rFonts w:hAnsi="宋体" w:cs="宋体"/>
          <w:color w:val="auto"/>
          <w:szCs w:val="21"/>
          <w:highlight w:val="none"/>
        </w:rPr>
      </w:pPr>
      <w:r>
        <w:rPr>
          <w:rFonts w:hint="eastAsia" w:hAnsi="宋体" w:cs="宋体"/>
          <w:color w:val="auto"/>
          <w:szCs w:val="21"/>
          <w:highlight w:val="none"/>
        </w:rPr>
        <w:t>承包人（公章）：</w:t>
      </w:r>
      <w:r>
        <w:rPr>
          <w:rFonts w:hint="eastAsia" w:ascii="宋体" w:hAnsi="宋体" w:cs="宋体"/>
          <w:color w:val="auto"/>
          <w:szCs w:val="21"/>
          <w:highlight w:val="non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14:paraId="6139A3F3">
      <w:pPr>
        <w:pStyle w:val="5"/>
        <w:pageBreakBefore w:val="0"/>
        <w:kinsoku/>
        <w:wordWrap/>
        <w:overflowPunct/>
        <w:topLinePunct w:val="0"/>
        <w:autoSpaceDE/>
        <w:autoSpaceDN/>
        <w:bidi w:val="0"/>
        <w:adjustRightInd w:val="0"/>
        <w:snapToGrid w:val="0"/>
        <w:spacing w:after="0" w:afterLines="0" w:line="360" w:lineRule="auto"/>
        <w:ind w:left="0" w:right="0" w:firstLine="0" w:firstLineChars="0"/>
        <w:textAlignment w:val="auto"/>
        <w:rPr>
          <w:rFonts w:hAnsi="宋体" w:cs="宋体"/>
          <w:color w:val="auto"/>
          <w:szCs w:val="21"/>
          <w:highlight w:val="none"/>
        </w:rPr>
      </w:pPr>
    </w:p>
    <w:p w14:paraId="4495A0E2">
      <w:pPr>
        <w:pStyle w:val="476"/>
        <w:pageBreakBefore w:val="0"/>
        <w:framePr w:hSpace="0" w:wrap="auto" w:vAnchor="margin" w:hAnchor="text" w:yAlign="inline"/>
        <w:kinsoku/>
        <w:wordWrap/>
        <w:overflowPunct/>
        <w:topLinePunct w:val="0"/>
        <w:autoSpaceDE/>
        <w:autoSpaceDN/>
        <w:bidi w:val="0"/>
        <w:spacing w:line="360" w:lineRule="auto"/>
        <w:ind w:left="0" w:right="0" w:firstLine="0" w:firstLineChars="0"/>
        <w:textAlignment w:val="auto"/>
        <w:rPr>
          <w:rFonts w:hAnsi="宋体" w:cs="宋体"/>
          <w:color w:val="auto"/>
          <w:kern w:val="0"/>
          <w:sz w:val="21"/>
          <w:szCs w:val="21"/>
          <w:highlight w:val="none"/>
        </w:rPr>
      </w:pPr>
      <w:r>
        <w:rPr>
          <w:rFonts w:hint="eastAsia" w:hAnsi="宋体" w:cs="宋体"/>
          <w:color w:val="auto"/>
          <w:sz w:val="21"/>
          <w:szCs w:val="21"/>
          <w:highlight w:val="none"/>
        </w:rPr>
        <w:t xml:space="preserve">地  址： </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 xml:space="preserve">   </w:t>
      </w:r>
      <w:r>
        <w:rPr>
          <w:rFonts w:hint="eastAsia" w:hAnsi="宋体" w:cs="宋体"/>
          <w:color w:val="auto"/>
          <w:kern w:val="0"/>
          <w:sz w:val="21"/>
          <w:szCs w:val="21"/>
          <w:highlight w:val="none"/>
        </w:rPr>
        <w:t xml:space="preserve">                           </w:t>
      </w:r>
    </w:p>
    <w:p w14:paraId="22D4488E">
      <w:pPr>
        <w:pageBreakBefore w:val="0"/>
        <w:kinsoku/>
        <w:wordWrap/>
        <w:overflowPunct/>
        <w:topLinePunct w:val="0"/>
        <w:autoSpaceDE/>
        <w:autoSpaceDN/>
        <w:bidi w:val="0"/>
        <w:spacing w:line="360" w:lineRule="auto"/>
        <w:ind w:left="0" w:right="0" w:firstLine="0" w:firstLineChars="0"/>
        <w:textAlignment w:val="auto"/>
        <w:rPr>
          <w:rFonts w:ascii="宋体" w:hAnsi="宋体" w:cs="宋体"/>
          <w:color w:val="auto"/>
          <w:szCs w:val="21"/>
          <w:highlight w:val="none"/>
        </w:rPr>
      </w:pPr>
      <w:r>
        <w:rPr>
          <w:rFonts w:hint="eastAsia" w:ascii="宋体" w:hAnsi="宋体" w:cs="宋体"/>
          <w:color w:val="auto"/>
          <w:szCs w:val="21"/>
          <w:highlight w:val="none"/>
        </w:rPr>
        <w:t>法定代表人</w:t>
      </w:r>
      <w:r>
        <w:rPr>
          <w:rFonts w:hint="eastAsia" w:ascii="宋体" w:hAnsi="宋体" w:cs="宋体"/>
          <w:color w:val="auto"/>
          <w:szCs w:val="21"/>
          <w:highlight w:val="none"/>
          <w:lang w:eastAsia="zh-CN"/>
        </w:rPr>
        <w:t>（</w:t>
      </w:r>
      <w:r>
        <w:rPr>
          <w:rFonts w:hint="eastAsia" w:ascii="宋体" w:hAnsi="宋体" w:cs="宋体"/>
          <w:color w:val="auto"/>
          <w:szCs w:val="21"/>
          <w:highlight w:val="none"/>
        </w:rPr>
        <w:t>签字</w:t>
      </w:r>
      <w:r>
        <w:rPr>
          <w:rFonts w:hint="eastAsia" w:ascii="宋体" w:hAnsi="宋体" w:cs="宋体"/>
          <w:color w:val="auto"/>
          <w:szCs w:val="21"/>
          <w:highlight w:val="none"/>
          <w:lang w:eastAsia="zh-CN"/>
        </w:rPr>
        <w:t>）</w:t>
      </w:r>
      <w:r>
        <w:rPr>
          <w:rFonts w:hint="eastAsia" w:ascii="宋体" w:hAnsi="宋体" w:cs="宋体"/>
          <w:color w:val="auto"/>
          <w:szCs w:val="21"/>
          <w:highlight w:val="non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14:paraId="2B6E8C30">
      <w:pPr>
        <w:pStyle w:val="476"/>
        <w:pageBreakBefore w:val="0"/>
        <w:framePr w:hSpace="0" w:wrap="auto" w:vAnchor="margin" w:hAnchor="text" w:yAlign="inline"/>
        <w:kinsoku/>
        <w:wordWrap/>
        <w:overflowPunct/>
        <w:topLinePunct w:val="0"/>
        <w:autoSpaceDE/>
        <w:autoSpaceDN/>
        <w:bidi w:val="0"/>
        <w:spacing w:line="360" w:lineRule="auto"/>
        <w:ind w:left="0" w:right="0" w:firstLine="0" w:firstLineChars="0"/>
        <w:textAlignment w:val="auto"/>
        <w:rPr>
          <w:rFonts w:hAnsi="宋体" w:cs="宋体"/>
          <w:color w:val="auto"/>
          <w:kern w:val="0"/>
          <w:sz w:val="21"/>
          <w:szCs w:val="21"/>
          <w:highlight w:val="none"/>
        </w:rPr>
      </w:pPr>
      <w:r>
        <w:rPr>
          <w:rFonts w:hint="eastAsia" w:hAnsi="宋体" w:cs="宋体"/>
          <w:color w:val="auto"/>
          <w:sz w:val="21"/>
          <w:szCs w:val="21"/>
          <w:highlight w:val="none"/>
        </w:rPr>
        <w:t>委托代理人</w:t>
      </w:r>
      <w:r>
        <w:rPr>
          <w:rFonts w:hint="eastAsia" w:hAnsi="宋体" w:cs="宋体"/>
          <w:color w:val="auto"/>
          <w:sz w:val="21"/>
          <w:szCs w:val="21"/>
          <w:highlight w:val="none"/>
          <w:lang w:eastAsia="zh-CN"/>
        </w:rPr>
        <w:t>（</w:t>
      </w:r>
      <w:r>
        <w:rPr>
          <w:rFonts w:hint="eastAsia" w:hAnsi="宋体" w:cs="宋体"/>
          <w:color w:val="auto"/>
          <w:sz w:val="21"/>
          <w:szCs w:val="21"/>
          <w:highlight w:val="none"/>
        </w:rPr>
        <w:t>签字</w:t>
      </w:r>
      <w:r>
        <w:rPr>
          <w:rFonts w:hint="eastAsia" w:hAnsi="宋体" w:cs="宋体"/>
          <w:color w:val="auto"/>
          <w:sz w:val="21"/>
          <w:szCs w:val="21"/>
          <w:highlight w:val="none"/>
          <w:lang w:eastAsia="zh-CN"/>
        </w:rPr>
        <w:t>）</w:t>
      </w:r>
      <w:r>
        <w:rPr>
          <w:rFonts w:hint="eastAsia" w:hAnsi="宋体" w:cs="宋体"/>
          <w:color w:val="auto"/>
          <w:sz w:val="21"/>
          <w:szCs w:val="21"/>
          <w:highlight w:val="none"/>
        </w:rPr>
        <w:t xml:space="preserve">： </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 xml:space="preserve">   </w:t>
      </w:r>
    </w:p>
    <w:p w14:paraId="1912AC91">
      <w:pPr>
        <w:pStyle w:val="476"/>
        <w:pageBreakBefore w:val="0"/>
        <w:framePr w:hSpace="0" w:wrap="auto" w:vAnchor="margin" w:hAnchor="text" w:yAlign="inline"/>
        <w:kinsoku/>
        <w:wordWrap/>
        <w:overflowPunct/>
        <w:topLinePunct w:val="0"/>
        <w:autoSpaceDE/>
        <w:autoSpaceDN/>
        <w:bidi w:val="0"/>
        <w:spacing w:line="360" w:lineRule="auto"/>
        <w:ind w:left="0" w:right="0" w:firstLine="0" w:firstLineChars="0"/>
        <w:textAlignment w:val="auto"/>
        <w:rPr>
          <w:rFonts w:hAnsi="宋体" w:cs="宋体"/>
          <w:color w:val="auto"/>
          <w:sz w:val="21"/>
          <w:szCs w:val="21"/>
          <w:highlight w:val="none"/>
        </w:rPr>
      </w:pPr>
      <w:r>
        <w:rPr>
          <w:rFonts w:hint="eastAsia" w:hAnsi="宋体" w:cs="宋体"/>
          <w:color w:val="auto"/>
          <w:sz w:val="21"/>
          <w:szCs w:val="21"/>
          <w:highlight w:val="none"/>
        </w:rPr>
        <w:t xml:space="preserve">电  话： </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 xml:space="preserve">   </w:t>
      </w:r>
      <w:r>
        <w:rPr>
          <w:rFonts w:hint="eastAsia" w:hAnsi="宋体" w:cs="宋体"/>
          <w:color w:val="auto"/>
          <w:kern w:val="0"/>
          <w:sz w:val="21"/>
          <w:szCs w:val="21"/>
          <w:highlight w:val="none"/>
        </w:rPr>
        <w:t xml:space="preserve">                       </w:t>
      </w:r>
    </w:p>
    <w:p w14:paraId="3764F846">
      <w:pPr>
        <w:pStyle w:val="476"/>
        <w:pageBreakBefore w:val="0"/>
        <w:framePr w:hSpace="0" w:wrap="auto" w:vAnchor="margin" w:hAnchor="text" w:yAlign="inline"/>
        <w:kinsoku/>
        <w:wordWrap/>
        <w:overflowPunct/>
        <w:topLinePunct w:val="0"/>
        <w:autoSpaceDE/>
        <w:autoSpaceDN/>
        <w:bidi w:val="0"/>
        <w:spacing w:line="360" w:lineRule="auto"/>
        <w:ind w:left="0" w:right="0" w:firstLine="0" w:firstLineChars="0"/>
        <w:textAlignment w:val="auto"/>
        <w:rPr>
          <w:rFonts w:hAnsi="宋体" w:cs="宋体"/>
          <w:color w:val="auto"/>
          <w:sz w:val="21"/>
          <w:szCs w:val="21"/>
          <w:highlight w:val="none"/>
        </w:rPr>
      </w:pPr>
      <w:r>
        <w:rPr>
          <w:rFonts w:hint="eastAsia" w:hAnsi="宋体" w:cs="宋体"/>
          <w:color w:val="auto"/>
          <w:sz w:val="21"/>
          <w:szCs w:val="21"/>
          <w:highlight w:val="none"/>
        </w:rPr>
        <w:t>传  真：</w:t>
      </w:r>
      <w:r>
        <w:rPr>
          <w:rFonts w:hint="eastAsia" w:hAnsi="宋体" w:cs="宋体"/>
          <w:color w:val="auto"/>
          <w:kern w:val="0"/>
          <w:sz w:val="21"/>
          <w:szCs w:val="21"/>
          <w:highlight w:val="none"/>
        </w:rPr>
        <w:t xml:space="preserve"> </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 xml:space="preserve">   </w:t>
      </w:r>
      <w:r>
        <w:rPr>
          <w:rFonts w:hint="eastAsia" w:hAnsi="宋体" w:cs="宋体"/>
          <w:color w:val="auto"/>
          <w:kern w:val="0"/>
          <w:sz w:val="21"/>
          <w:szCs w:val="21"/>
          <w:highlight w:val="none"/>
        </w:rPr>
        <w:t xml:space="preserve">                      </w:t>
      </w:r>
    </w:p>
    <w:p w14:paraId="75D84571">
      <w:pPr>
        <w:pStyle w:val="5"/>
        <w:pageBreakBefore w:val="0"/>
        <w:kinsoku/>
        <w:wordWrap/>
        <w:overflowPunct/>
        <w:topLinePunct w:val="0"/>
        <w:autoSpaceDE/>
        <w:autoSpaceDN/>
        <w:bidi w:val="0"/>
        <w:adjustRightInd w:val="0"/>
        <w:snapToGrid w:val="0"/>
        <w:spacing w:after="0" w:afterLines="0" w:line="360" w:lineRule="auto"/>
        <w:ind w:left="0" w:right="0" w:firstLine="0" w:firstLineChars="0"/>
        <w:textAlignment w:val="auto"/>
        <w:rPr>
          <w:color w:val="auto"/>
          <w:szCs w:val="21"/>
          <w:highlight w:val="none"/>
        </w:rPr>
      </w:pPr>
      <w:r>
        <w:rPr>
          <w:rFonts w:hint="eastAsia" w:ascii="宋体" w:hAnsi="宋体" w:cs="宋体"/>
          <w:color w:val="auto"/>
          <w:szCs w:val="21"/>
          <w:highlight w:val="none"/>
        </w:rPr>
        <w:t>邮政编码：</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r>
        <w:rPr>
          <w:rFonts w:hint="eastAsia" w:hAnsi="宋体" w:cs="宋体"/>
          <w:color w:val="auto"/>
          <w:kern w:val="0"/>
          <w:szCs w:val="21"/>
          <w:highlight w:val="none"/>
        </w:rPr>
        <w:t xml:space="preserve">  </w:t>
      </w:r>
    </w:p>
    <w:p w14:paraId="440F040D">
      <w:pPr>
        <w:pStyle w:val="5"/>
        <w:pageBreakBefore w:val="0"/>
        <w:kinsoku/>
        <w:wordWrap/>
        <w:overflowPunct/>
        <w:topLinePunct w:val="0"/>
        <w:autoSpaceDE/>
        <w:autoSpaceDN/>
        <w:bidi w:val="0"/>
        <w:adjustRightInd w:val="0"/>
        <w:snapToGrid w:val="0"/>
        <w:spacing w:after="0" w:afterLines="0" w:line="360" w:lineRule="auto"/>
        <w:ind w:left="0" w:right="0" w:firstLine="0" w:firstLineChars="0"/>
        <w:textAlignment w:val="auto"/>
        <w:rPr>
          <w:color w:val="auto"/>
          <w:szCs w:val="21"/>
          <w:highlight w:val="none"/>
        </w:rPr>
      </w:pPr>
    </w:p>
    <w:p w14:paraId="3B4115DA">
      <w:pPr>
        <w:pStyle w:val="6"/>
        <w:pageBreakBefore w:val="0"/>
        <w:kinsoku/>
        <w:wordWrap/>
        <w:overflowPunct/>
        <w:topLinePunct w:val="0"/>
        <w:autoSpaceDE/>
        <w:autoSpaceDN/>
        <w:bidi w:val="0"/>
        <w:spacing w:line="360" w:lineRule="auto"/>
        <w:ind w:left="0" w:right="0" w:firstLine="0" w:firstLineChars="0"/>
        <w:textAlignment w:val="auto"/>
        <w:rPr>
          <w:rFonts w:hAnsi="宋体"/>
          <w:color w:val="auto"/>
          <w:highlight w:val="none"/>
        </w:rPr>
      </w:pPr>
    </w:p>
    <w:p w14:paraId="26B3FAAC">
      <w:pPr>
        <w:pStyle w:val="6"/>
        <w:pageBreakBefore w:val="0"/>
        <w:kinsoku/>
        <w:wordWrap/>
        <w:overflowPunct/>
        <w:topLinePunct w:val="0"/>
        <w:autoSpaceDE/>
        <w:autoSpaceDN/>
        <w:bidi w:val="0"/>
        <w:spacing w:line="360" w:lineRule="auto"/>
        <w:ind w:left="0" w:right="0" w:firstLine="0" w:firstLineChars="0"/>
        <w:textAlignment w:val="auto"/>
        <w:rPr>
          <w:rFonts w:hAnsi="宋体"/>
          <w:color w:val="auto"/>
          <w:highlight w:val="none"/>
        </w:rPr>
      </w:pPr>
    </w:p>
    <w:p w14:paraId="4F5AA19C">
      <w:pPr>
        <w:pStyle w:val="6"/>
        <w:pageBreakBefore w:val="0"/>
        <w:kinsoku/>
        <w:wordWrap/>
        <w:overflowPunct/>
        <w:topLinePunct w:val="0"/>
        <w:autoSpaceDE/>
        <w:autoSpaceDN/>
        <w:bidi w:val="0"/>
        <w:spacing w:line="360" w:lineRule="auto"/>
        <w:ind w:left="0" w:right="0" w:firstLine="0" w:firstLineChars="0"/>
        <w:textAlignment w:val="auto"/>
        <w:rPr>
          <w:rFonts w:hAnsi="宋体"/>
          <w:color w:val="auto"/>
          <w:highlight w:val="none"/>
        </w:rPr>
      </w:pPr>
    </w:p>
    <w:p w14:paraId="5FF4EAE8">
      <w:pPr>
        <w:pStyle w:val="6"/>
        <w:pageBreakBefore w:val="0"/>
        <w:kinsoku/>
        <w:wordWrap/>
        <w:overflowPunct/>
        <w:topLinePunct w:val="0"/>
        <w:autoSpaceDE/>
        <w:autoSpaceDN/>
        <w:bidi w:val="0"/>
        <w:spacing w:line="360" w:lineRule="auto"/>
        <w:ind w:left="0" w:right="0" w:firstLine="0" w:firstLineChars="0"/>
        <w:textAlignment w:val="auto"/>
        <w:rPr>
          <w:rFonts w:hAnsi="宋体"/>
          <w:color w:val="auto"/>
          <w:highlight w:val="none"/>
        </w:rPr>
      </w:pPr>
    </w:p>
    <w:p w14:paraId="1198A877">
      <w:pPr>
        <w:pStyle w:val="6"/>
        <w:pageBreakBefore w:val="0"/>
        <w:kinsoku/>
        <w:wordWrap/>
        <w:overflowPunct/>
        <w:topLinePunct w:val="0"/>
        <w:autoSpaceDE/>
        <w:autoSpaceDN/>
        <w:bidi w:val="0"/>
        <w:spacing w:line="360" w:lineRule="auto"/>
        <w:ind w:left="0" w:right="0" w:firstLine="0" w:firstLineChars="0"/>
        <w:textAlignment w:val="auto"/>
        <w:rPr>
          <w:rFonts w:hAnsi="宋体"/>
          <w:color w:val="auto"/>
          <w:highlight w:val="none"/>
        </w:rPr>
      </w:pPr>
    </w:p>
    <w:p w14:paraId="397F3D8F">
      <w:pPr>
        <w:pStyle w:val="6"/>
        <w:pageBreakBefore w:val="0"/>
        <w:kinsoku/>
        <w:wordWrap/>
        <w:overflowPunct/>
        <w:topLinePunct w:val="0"/>
        <w:autoSpaceDE/>
        <w:autoSpaceDN/>
        <w:bidi w:val="0"/>
        <w:spacing w:line="360" w:lineRule="auto"/>
        <w:ind w:left="0" w:right="0" w:firstLine="0" w:firstLineChars="0"/>
        <w:textAlignment w:val="auto"/>
        <w:rPr>
          <w:rFonts w:hAnsi="宋体"/>
          <w:color w:val="auto"/>
          <w:highlight w:val="none"/>
        </w:rPr>
      </w:pPr>
    </w:p>
    <w:p w14:paraId="37178F4A">
      <w:pPr>
        <w:pStyle w:val="6"/>
        <w:pageBreakBefore w:val="0"/>
        <w:kinsoku/>
        <w:wordWrap/>
        <w:overflowPunct/>
        <w:topLinePunct w:val="0"/>
        <w:autoSpaceDE/>
        <w:autoSpaceDN/>
        <w:bidi w:val="0"/>
        <w:spacing w:line="360" w:lineRule="auto"/>
        <w:ind w:left="0" w:right="0" w:firstLine="0" w:firstLineChars="0"/>
        <w:textAlignment w:val="auto"/>
        <w:rPr>
          <w:rFonts w:hAnsi="宋体"/>
          <w:color w:val="auto"/>
          <w:highlight w:val="none"/>
        </w:rPr>
      </w:pPr>
    </w:p>
    <w:p w14:paraId="4C81E7F2">
      <w:pPr>
        <w:pStyle w:val="6"/>
        <w:pageBreakBefore w:val="0"/>
        <w:kinsoku/>
        <w:wordWrap/>
        <w:overflowPunct/>
        <w:topLinePunct w:val="0"/>
        <w:autoSpaceDE/>
        <w:autoSpaceDN/>
        <w:bidi w:val="0"/>
        <w:spacing w:line="360" w:lineRule="auto"/>
        <w:ind w:left="0" w:right="0" w:firstLine="0" w:firstLineChars="0"/>
        <w:textAlignment w:val="auto"/>
        <w:rPr>
          <w:rFonts w:hAnsi="宋体"/>
          <w:color w:val="auto"/>
          <w:highlight w:val="none"/>
        </w:rPr>
      </w:pPr>
    </w:p>
    <w:p w14:paraId="0338AE2F">
      <w:pPr>
        <w:pStyle w:val="6"/>
        <w:pageBreakBefore w:val="0"/>
        <w:kinsoku/>
        <w:wordWrap/>
        <w:overflowPunct/>
        <w:topLinePunct w:val="0"/>
        <w:autoSpaceDE/>
        <w:autoSpaceDN/>
        <w:bidi w:val="0"/>
        <w:spacing w:line="360" w:lineRule="auto"/>
        <w:ind w:left="0" w:right="0" w:firstLine="0" w:firstLineChars="0"/>
        <w:textAlignment w:val="auto"/>
        <w:rPr>
          <w:rFonts w:hAnsi="宋体"/>
          <w:color w:val="auto"/>
          <w:highlight w:val="none"/>
        </w:rPr>
      </w:pPr>
    </w:p>
    <w:p w14:paraId="19313950">
      <w:pPr>
        <w:pStyle w:val="6"/>
        <w:pageBreakBefore w:val="0"/>
        <w:kinsoku/>
        <w:wordWrap/>
        <w:overflowPunct/>
        <w:topLinePunct w:val="0"/>
        <w:autoSpaceDE/>
        <w:autoSpaceDN/>
        <w:bidi w:val="0"/>
        <w:spacing w:line="360" w:lineRule="auto"/>
        <w:ind w:left="0" w:right="0" w:firstLine="0" w:firstLineChars="0"/>
        <w:textAlignment w:val="auto"/>
        <w:rPr>
          <w:rFonts w:hAnsi="宋体"/>
          <w:color w:val="auto"/>
          <w:highlight w:val="none"/>
        </w:rPr>
      </w:pPr>
    </w:p>
    <w:p w14:paraId="72B32D50">
      <w:pPr>
        <w:pStyle w:val="6"/>
        <w:pageBreakBefore w:val="0"/>
        <w:kinsoku/>
        <w:wordWrap/>
        <w:overflowPunct/>
        <w:topLinePunct w:val="0"/>
        <w:autoSpaceDE/>
        <w:autoSpaceDN/>
        <w:bidi w:val="0"/>
        <w:spacing w:line="360" w:lineRule="auto"/>
        <w:ind w:left="0" w:right="0" w:firstLine="0" w:firstLineChars="0"/>
        <w:textAlignment w:val="auto"/>
        <w:rPr>
          <w:rFonts w:hAnsi="宋体"/>
          <w:color w:val="auto"/>
          <w:highlight w:val="none"/>
        </w:rPr>
      </w:pPr>
    </w:p>
    <w:p w14:paraId="462EC52F">
      <w:pPr>
        <w:pStyle w:val="6"/>
        <w:pageBreakBefore w:val="0"/>
        <w:kinsoku/>
        <w:wordWrap/>
        <w:overflowPunct/>
        <w:topLinePunct w:val="0"/>
        <w:autoSpaceDE/>
        <w:autoSpaceDN/>
        <w:bidi w:val="0"/>
        <w:spacing w:line="360" w:lineRule="auto"/>
        <w:ind w:left="0" w:right="0" w:firstLine="0" w:firstLineChars="0"/>
        <w:textAlignment w:val="auto"/>
        <w:rPr>
          <w:rFonts w:hAnsi="宋体"/>
          <w:color w:val="auto"/>
          <w:highlight w:val="none"/>
        </w:rPr>
      </w:pPr>
    </w:p>
    <w:p w14:paraId="5F14366E">
      <w:pPr>
        <w:pStyle w:val="6"/>
        <w:pageBreakBefore w:val="0"/>
        <w:kinsoku/>
        <w:wordWrap/>
        <w:overflowPunct/>
        <w:topLinePunct w:val="0"/>
        <w:autoSpaceDE/>
        <w:autoSpaceDN/>
        <w:bidi w:val="0"/>
        <w:spacing w:line="360" w:lineRule="auto"/>
        <w:ind w:left="0" w:right="0" w:firstLine="0" w:firstLineChars="0"/>
        <w:textAlignment w:val="auto"/>
        <w:rPr>
          <w:rFonts w:hAnsi="宋体"/>
          <w:color w:val="auto"/>
          <w:highlight w:val="none"/>
        </w:rPr>
      </w:pPr>
    </w:p>
    <w:p w14:paraId="1F35A082">
      <w:pPr>
        <w:pStyle w:val="6"/>
        <w:pageBreakBefore w:val="0"/>
        <w:kinsoku/>
        <w:wordWrap/>
        <w:overflowPunct/>
        <w:topLinePunct w:val="0"/>
        <w:autoSpaceDE/>
        <w:autoSpaceDN/>
        <w:bidi w:val="0"/>
        <w:spacing w:line="360" w:lineRule="auto"/>
        <w:ind w:left="0" w:right="0" w:firstLine="0" w:firstLineChars="0"/>
        <w:textAlignment w:val="auto"/>
        <w:rPr>
          <w:rFonts w:hAnsi="宋体"/>
          <w:color w:val="auto"/>
          <w:highlight w:val="none"/>
        </w:rPr>
      </w:pPr>
    </w:p>
    <w:p w14:paraId="03571785">
      <w:pPr>
        <w:pStyle w:val="6"/>
        <w:pageBreakBefore w:val="0"/>
        <w:kinsoku/>
        <w:wordWrap/>
        <w:overflowPunct/>
        <w:topLinePunct w:val="0"/>
        <w:autoSpaceDE/>
        <w:autoSpaceDN/>
        <w:bidi w:val="0"/>
        <w:spacing w:line="360" w:lineRule="auto"/>
        <w:ind w:left="0" w:right="0" w:firstLine="0" w:firstLineChars="0"/>
        <w:textAlignment w:val="auto"/>
        <w:rPr>
          <w:rFonts w:hAnsi="宋体"/>
          <w:color w:val="auto"/>
          <w:highlight w:val="none"/>
        </w:rPr>
      </w:pPr>
    </w:p>
    <w:p w14:paraId="1C28AFF1">
      <w:pPr>
        <w:pStyle w:val="6"/>
        <w:pageBreakBefore w:val="0"/>
        <w:kinsoku/>
        <w:wordWrap/>
        <w:overflowPunct/>
        <w:topLinePunct w:val="0"/>
        <w:autoSpaceDE/>
        <w:autoSpaceDN/>
        <w:bidi w:val="0"/>
        <w:spacing w:line="360" w:lineRule="auto"/>
        <w:ind w:left="0" w:right="0" w:firstLine="0" w:firstLineChars="0"/>
        <w:textAlignment w:val="auto"/>
        <w:rPr>
          <w:rFonts w:hAnsi="宋体"/>
          <w:color w:val="auto"/>
          <w:highlight w:val="none"/>
        </w:rPr>
      </w:pPr>
    </w:p>
    <w:p w14:paraId="48C48279">
      <w:pPr>
        <w:pStyle w:val="6"/>
        <w:pageBreakBefore w:val="0"/>
        <w:kinsoku/>
        <w:wordWrap/>
        <w:overflowPunct/>
        <w:topLinePunct w:val="0"/>
        <w:autoSpaceDE/>
        <w:autoSpaceDN/>
        <w:bidi w:val="0"/>
        <w:spacing w:line="360" w:lineRule="auto"/>
        <w:ind w:left="0" w:right="0" w:firstLine="0" w:firstLineChars="0"/>
        <w:textAlignment w:val="auto"/>
        <w:rPr>
          <w:rFonts w:hAnsi="宋体"/>
          <w:color w:val="auto"/>
          <w:highlight w:val="none"/>
        </w:rPr>
      </w:pPr>
    </w:p>
    <w:p w14:paraId="47AA128F">
      <w:pPr>
        <w:pStyle w:val="6"/>
        <w:pageBreakBefore w:val="0"/>
        <w:kinsoku/>
        <w:wordWrap/>
        <w:overflowPunct/>
        <w:topLinePunct w:val="0"/>
        <w:autoSpaceDE/>
        <w:autoSpaceDN/>
        <w:bidi w:val="0"/>
        <w:spacing w:line="360" w:lineRule="auto"/>
        <w:ind w:left="0" w:right="0" w:firstLine="0" w:firstLineChars="0"/>
        <w:textAlignment w:val="auto"/>
        <w:rPr>
          <w:rFonts w:hAnsi="宋体"/>
          <w:color w:val="auto"/>
          <w:highlight w:val="none"/>
        </w:rPr>
      </w:pPr>
    </w:p>
    <w:p w14:paraId="627F6543">
      <w:pPr>
        <w:pStyle w:val="6"/>
        <w:pageBreakBefore w:val="0"/>
        <w:kinsoku/>
        <w:wordWrap/>
        <w:overflowPunct/>
        <w:topLinePunct w:val="0"/>
        <w:autoSpaceDE/>
        <w:autoSpaceDN/>
        <w:bidi w:val="0"/>
        <w:spacing w:line="360" w:lineRule="auto"/>
        <w:ind w:left="0" w:right="0" w:firstLine="0" w:firstLineChars="0"/>
        <w:textAlignment w:val="auto"/>
        <w:rPr>
          <w:rFonts w:hAnsi="宋体"/>
          <w:color w:val="auto"/>
          <w:highlight w:val="none"/>
        </w:rPr>
      </w:pPr>
    </w:p>
    <w:p w14:paraId="16028288">
      <w:pPr>
        <w:pageBreakBefore w:val="0"/>
        <w:widowControl/>
        <w:kinsoku/>
        <w:wordWrap/>
        <w:overflowPunct/>
        <w:topLinePunct w:val="0"/>
        <w:autoSpaceDE/>
        <w:autoSpaceDN/>
        <w:bidi w:val="0"/>
        <w:snapToGrid w:val="0"/>
        <w:spacing w:line="360" w:lineRule="auto"/>
        <w:ind w:left="0" w:right="0" w:firstLine="0" w:firstLineChars="0"/>
        <w:jc w:val="left"/>
        <w:textAlignment w:val="auto"/>
        <w:outlineLvl w:val="2"/>
        <w:rPr>
          <w:rFonts w:hint="eastAsia" w:ascii="宋体" w:hAnsi="宋体" w:eastAsia="宋体" w:cs="宋体"/>
          <w:color w:val="auto"/>
          <w:sz w:val="21"/>
          <w:szCs w:val="21"/>
          <w:highlight w:val="none"/>
        </w:rPr>
      </w:pPr>
      <w:bookmarkStart w:id="337" w:name="_Toc76720087"/>
      <w:bookmarkStart w:id="338" w:name="_Toc80633199"/>
      <w:r>
        <w:rPr>
          <w:rFonts w:hint="eastAsia" w:ascii="宋体" w:hAnsi="宋体" w:eastAsia="宋体" w:cs="宋体"/>
          <w:color w:val="auto"/>
          <w:sz w:val="21"/>
          <w:szCs w:val="21"/>
          <w:highlight w:val="none"/>
        </w:rPr>
        <w:t>合同附件2  履约担保</w:t>
      </w:r>
      <w:bookmarkEnd w:id="337"/>
      <w:bookmarkEnd w:id="338"/>
    </w:p>
    <w:p w14:paraId="3C2E0686">
      <w:pPr>
        <w:pageBreakBefore w:val="0"/>
        <w:kinsoku/>
        <w:wordWrap/>
        <w:overflowPunct/>
        <w:topLinePunct w:val="0"/>
        <w:autoSpaceDE/>
        <w:autoSpaceDN/>
        <w:bidi w:val="0"/>
        <w:spacing w:line="360" w:lineRule="auto"/>
        <w:ind w:left="0" w:right="0" w:firstLine="0" w:firstLineChars="0"/>
        <w:jc w:val="center"/>
        <w:textAlignment w:val="auto"/>
        <w:rPr>
          <w:rFonts w:hint="eastAsia" w:ascii="宋体" w:hAnsi="宋体" w:eastAsia="宋体" w:cs="宋体"/>
          <w:b/>
          <w:color w:val="auto"/>
          <w:sz w:val="32"/>
          <w:szCs w:val="32"/>
          <w:highlight w:val="none"/>
          <w:lang w:eastAsia="zh-CN"/>
        </w:rPr>
      </w:pPr>
      <w:r>
        <w:rPr>
          <w:rFonts w:hint="eastAsia" w:ascii="宋体" w:hAnsi="宋体" w:eastAsia="宋体" w:cs="宋体"/>
          <w:b/>
          <w:color w:val="auto"/>
          <w:sz w:val="32"/>
          <w:szCs w:val="32"/>
          <w:highlight w:val="none"/>
        </w:rPr>
        <w:t>履约担保</w:t>
      </w:r>
      <w:r>
        <w:rPr>
          <w:rFonts w:hint="eastAsia" w:ascii="宋体" w:hAnsi="宋体" w:cs="宋体"/>
          <w:b/>
          <w:color w:val="auto"/>
          <w:sz w:val="32"/>
          <w:szCs w:val="32"/>
          <w:highlight w:val="none"/>
          <w:lang w:eastAsia="zh-CN"/>
        </w:rPr>
        <w:t>（</w:t>
      </w:r>
      <w:r>
        <w:rPr>
          <w:rFonts w:hint="eastAsia" w:ascii="宋体" w:hAnsi="宋体" w:cs="宋体"/>
          <w:b/>
          <w:color w:val="auto"/>
          <w:sz w:val="32"/>
          <w:szCs w:val="32"/>
          <w:highlight w:val="none"/>
          <w:lang w:val="en-US" w:eastAsia="zh-CN"/>
        </w:rPr>
        <w:t>供参考</w:t>
      </w:r>
      <w:r>
        <w:rPr>
          <w:rFonts w:hint="eastAsia" w:ascii="宋体" w:hAnsi="宋体" w:cs="宋体"/>
          <w:b/>
          <w:color w:val="auto"/>
          <w:sz w:val="32"/>
          <w:szCs w:val="32"/>
          <w:highlight w:val="none"/>
          <w:lang w:eastAsia="zh-CN"/>
        </w:rPr>
        <w:t>）</w:t>
      </w:r>
    </w:p>
    <w:p w14:paraId="1DAEBEE1">
      <w:pPr>
        <w:pStyle w:val="26"/>
        <w:pageBreakBefore w:val="0"/>
        <w:kinsoku/>
        <w:wordWrap/>
        <w:overflowPunct/>
        <w:topLinePunct w:val="0"/>
        <w:autoSpaceDE/>
        <w:autoSpaceDN/>
        <w:bidi w:val="0"/>
        <w:spacing w:line="360" w:lineRule="auto"/>
        <w:ind w:left="0" w:right="0" w:firstLine="0" w:firstLineChars="0"/>
        <w:textAlignment w:val="auto"/>
        <w:rPr>
          <w:rFonts w:hint="eastAsia" w:ascii="宋体" w:hAnsi="宋体" w:eastAsia="宋体" w:cs="宋体"/>
          <w:color w:val="auto"/>
          <w:sz w:val="21"/>
          <w:szCs w:val="21"/>
          <w:highlight w:val="none"/>
          <w:u w:val="single"/>
        </w:rPr>
      </w:pPr>
    </w:p>
    <w:p w14:paraId="26242670">
      <w:pPr>
        <w:pStyle w:val="26"/>
        <w:pageBreakBefore w:val="0"/>
        <w:kinsoku/>
        <w:wordWrap/>
        <w:overflowPunct/>
        <w:topLinePunct w:val="0"/>
        <w:autoSpaceDE/>
        <w:autoSpaceDN/>
        <w:bidi w:val="0"/>
        <w:spacing w:line="360" w:lineRule="auto"/>
        <w:ind w:left="0" w:right="0" w:firstLine="0" w:firstLineChars="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u w:val="single"/>
          <w:lang w:val="en-US" w:eastAsia="zh-CN"/>
        </w:rPr>
        <w:t>广州白云新能源科技有限公司</w:t>
      </w:r>
      <w:r>
        <w:rPr>
          <w:rFonts w:hint="eastAsia" w:ascii="宋体" w:hAnsi="宋体" w:eastAsia="宋体" w:cs="宋体"/>
          <w:color w:val="auto"/>
          <w:sz w:val="21"/>
          <w:szCs w:val="21"/>
          <w:highlight w:val="none"/>
        </w:rPr>
        <w:t>（发包人名称）：</w:t>
      </w:r>
    </w:p>
    <w:p w14:paraId="79771C3F">
      <w:pPr>
        <w:pStyle w:val="26"/>
        <w:pageBreakBefore w:val="0"/>
        <w:kinsoku/>
        <w:wordWrap/>
        <w:overflowPunct/>
        <w:topLinePunct w:val="0"/>
        <w:autoSpaceDE/>
        <w:autoSpaceDN/>
        <w:bidi w:val="0"/>
        <w:spacing w:line="360" w:lineRule="auto"/>
        <w:ind w:left="0" w:right="0" w:firstLine="0" w:firstLineChars="0"/>
        <w:textAlignment w:val="auto"/>
        <w:rPr>
          <w:rFonts w:hint="eastAsia" w:ascii="宋体" w:hAnsi="宋体" w:eastAsia="宋体" w:cs="宋体"/>
          <w:color w:val="auto"/>
          <w:sz w:val="21"/>
          <w:szCs w:val="21"/>
          <w:highlight w:val="none"/>
        </w:rPr>
      </w:pPr>
    </w:p>
    <w:p w14:paraId="5614FFCB">
      <w:pPr>
        <w:pStyle w:val="26"/>
        <w:pageBreakBefore w:val="0"/>
        <w:kinsoku/>
        <w:wordWrap/>
        <w:overflowPunct/>
        <w:topLinePunct w:val="0"/>
        <w:autoSpaceDE/>
        <w:autoSpaceDN/>
        <w:bidi w:val="0"/>
        <w:spacing w:line="360" w:lineRule="auto"/>
        <w:ind w:left="0" w:right="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鉴于</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广州白云新能源科技有限公司</w:t>
      </w:r>
      <w:r>
        <w:rPr>
          <w:rFonts w:hint="eastAsia" w:ascii="宋体" w:hAnsi="宋体" w:eastAsia="宋体" w:cs="宋体"/>
          <w:color w:val="auto"/>
          <w:sz w:val="21"/>
          <w:szCs w:val="21"/>
          <w:highlight w:val="none"/>
        </w:rPr>
        <w:t>（发包人名称，以下简称“发包人”）与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（承包人名称）（以下称“承包人”）于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日就</w:t>
      </w:r>
      <w:r>
        <w:rPr>
          <w:rFonts w:hint="eastAsia" w:ascii="宋体" w:hAnsi="宋体" w:cs="宋体"/>
          <w:color w:val="auto"/>
          <w:sz w:val="21"/>
          <w:szCs w:val="21"/>
          <w:highlight w:val="none"/>
          <w:u w:val="single"/>
          <w:lang w:val="en-US" w:eastAsia="zh-CN"/>
        </w:rPr>
        <w:t>良田粮库分布式光储项目</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（工程名称）及有关事项协商一致共同签订《</w:t>
      </w:r>
      <w:r>
        <w:rPr>
          <w:rFonts w:hint="eastAsia" w:ascii="宋体" w:hAnsi="宋体" w:cs="宋体"/>
          <w:color w:val="auto"/>
          <w:sz w:val="21"/>
          <w:szCs w:val="21"/>
          <w:highlight w:val="none"/>
          <w:lang w:val="en-US" w:eastAsia="zh-CN"/>
        </w:rPr>
        <w:t>良田粮库</w:t>
      </w:r>
      <w:r>
        <w:rPr>
          <w:rFonts w:hint="eastAsia" w:ascii="宋体" w:hAnsi="宋体" w:cs="宋体"/>
          <w:color w:val="auto"/>
          <w:sz w:val="21"/>
          <w:szCs w:val="21"/>
          <w:highlight w:val="none"/>
          <w:lang w:eastAsia="zh-CN"/>
        </w:rPr>
        <w:t>分布式光储项目EPC总承包</w:t>
      </w:r>
      <w:r>
        <w:rPr>
          <w:rFonts w:hint="eastAsia" w:ascii="宋体" w:hAnsi="宋体" w:eastAsia="宋体" w:cs="宋体"/>
          <w:color w:val="auto"/>
          <w:sz w:val="21"/>
          <w:szCs w:val="21"/>
          <w:highlight w:val="none"/>
        </w:rPr>
        <w:t xml:space="preserve">合同》。我方愿意无条件地、不可撤销地就承包人履行与你方签订的合同，向你方提供连带责任担保。 </w:t>
      </w:r>
    </w:p>
    <w:p w14:paraId="23AD9C7B">
      <w:pPr>
        <w:pStyle w:val="26"/>
        <w:pageBreakBefore w:val="0"/>
        <w:kinsoku/>
        <w:wordWrap/>
        <w:overflowPunct/>
        <w:topLinePunct w:val="0"/>
        <w:autoSpaceDE/>
        <w:autoSpaceDN/>
        <w:bidi w:val="0"/>
        <w:spacing w:line="360" w:lineRule="auto"/>
        <w:ind w:left="0" w:right="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担保金额人民币（大写）</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5E1B832A">
      <w:pPr>
        <w:pStyle w:val="26"/>
        <w:pageBreakBefore w:val="0"/>
        <w:kinsoku/>
        <w:wordWrap/>
        <w:overflowPunct/>
        <w:topLinePunct w:val="0"/>
        <w:autoSpaceDE/>
        <w:autoSpaceDN/>
        <w:bidi w:val="0"/>
        <w:spacing w:line="360" w:lineRule="auto"/>
        <w:ind w:left="0" w:right="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担保有效期自你方与承包人签订的合同生效之日起至你方签发或应签发工程接收证书（或交工验收证书）之日止。</w:t>
      </w:r>
    </w:p>
    <w:p w14:paraId="1EADB25C">
      <w:pPr>
        <w:pStyle w:val="26"/>
        <w:pageBreakBefore w:val="0"/>
        <w:kinsoku/>
        <w:wordWrap/>
        <w:overflowPunct/>
        <w:topLinePunct w:val="0"/>
        <w:autoSpaceDE/>
        <w:autoSpaceDN/>
        <w:bidi w:val="0"/>
        <w:spacing w:line="360" w:lineRule="auto"/>
        <w:ind w:left="0" w:right="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 在本担保有效期内，因承包人违反合同约定的义务给你方造成经济损失时，我方在收到你方以书面形式提出的在担保金额内的赔偿要求后，在7天内无条件支付。</w:t>
      </w:r>
    </w:p>
    <w:p w14:paraId="6A44C185">
      <w:pPr>
        <w:pStyle w:val="26"/>
        <w:pageBreakBefore w:val="0"/>
        <w:kinsoku/>
        <w:wordWrap/>
        <w:overflowPunct/>
        <w:topLinePunct w:val="0"/>
        <w:autoSpaceDE/>
        <w:autoSpaceDN/>
        <w:bidi w:val="0"/>
        <w:spacing w:line="360" w:lineRule="auto"/>
        <w:ind w:left="0" w:right="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 你方和承包人按合同约定变更合同时，我方承担本担保规定的义务不变。</w:t>
      </w:r>
    </w:p>
    <w:p w14:paraId="12160962">
      <w:pPr>
        <w:pStyle w:val="26"/>
        <w:pageBreakBefore w:val="0"/>
        <w:kinsoku/>
        <w:wordWrap/>
        <w:overflowPunct/>
        <w:topLinePunct w:val="0"/>
        <w:autoSpaceDE/>
        <w:autoSpaceDN/>
        <w:bidi w:val="0"/>
        <w:spacing w:line="360" w:lineRule="auto"/>
        <w:ind w:left="0" w:right="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 因本保函发生的纠纷，可由双方协商解决，协商不成的，任何一方均可提请</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广州</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仲裁委员会仲裁。</w:t>
      </w:r>
    </w:p>
    <w:p w14:paraId="57B9B908">
      <w:pPr>
        <w:pStyle w:val="26"/>
        <w:pageBreakBefore w:val="0"/>
        <w:kinsoku/>
        <w:wordWrap/>
        <w:overflowPunct/>
        <w:topLinePunct w:val="0"/>
        <w:autoSpaceDE/>
        <w:autoSpaceDN/>
        <w:bidi w:val="0"/>
        <w:spacing w:line="360" w:lineRule="auto"/>
        <w:ind w:left="0" w:right="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 本保函自我方法定代表人（或其授权代理人）签字并加盖公章之日起生效。</w:t>
      </w:r>
    </w:p>
    <w:p w14:paraId="743608C0">
      <w:pPr>
        <w:pStyle w:val="26"/>
        <w:pageBreakBefore w:val="0"/>
        <w:kinsoku/>
        <w:wordWrap/>
        <w:overflowPunct/>
        <w:topLinePunct w:val="0"/>
        <w:autoSpaceDE/>
        <w:autoSpaceDN/>
        <w:bidi w:val="0"/>
        <w:spacing w:line="360" w:lineRule="auto"/>
        <w:ind w:left="0" w:right="0" w:firstLine="0" w:firstLineChars="0"/>
        <w:textAlignment w:val="auto"/>
        <w:rPr>
          <w:rFonts w:hint="eastAsia" w:ascii="宋体" w:hAnsi="宋体" w:eastAsia="宋体" w:cs="宋体"/>
          <w:color w:val="auto"/>
          <w:sz w:val="21"/>
          <w:szCs w:val="21"/>
          <w:highlight w:val="none"/>
        </w:rPr>
      </w:pPr>
    </w:p>
    <w:p w14:paraId="15A9C4C3">
      <w:pPr>
        <w:pStyle w:val="26"/>
        <w:pageBreakBefore w:val="0"/>
        <w:kinsoku/>
        <w:wordWrap/>
        <w:overflowPunct/>
        <w:topLinePunct w:val="0"/>
        <w:autoSpaceDE/>
        <w:autoSpaceDN/>
        <w:bidi w:val="0"/>
        <w:spacing w:line="360" w:lineRule="auto"/>
        <w:ind w:left="0" w:right="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担 保 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（盖单位章）</w:t>
      </w:r>
    </w:p>
    <w:p w14:paraId="4AAE7AF9">
      <w:pPr>
        <w:pStyle w:val="26"/>
        <w:pageBreakBefore w:val="0"/>
        <w:kinsoku/>
        <w:wordWrap/>
        <w:overflowPunct/>
        <w:topLinePunct w:val="0"/>
        <w:autoSpaceDE/>
        <w:autoSpaceDN/>
        <w:bidi w:val="0"/>
        <w:spacing w:line="360" w:lineRule="auto"/>
        <w:ind w:left="0" w:right="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法定代表人或其委托代理人：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（签字）</w:t>
      </w:r>
    </w:p>
    <w:p w14:paraId="36C0EC86">
      <w:pPr>
        <w:pStyle w:val="26"/>
        <w:pageBreakBefore w:val="0"/>
        <w:kinsoku/>
        <w:wordWrap/>
        <w:overflowPunct/>
        <w:topLinePunct w:val="0"/>
        <w:autoSpaceDE/>
        <w:autoSpaceDN/>
        <w:bidi w:val="0"/>
        <w:spacing w:line="360" w:lineRule="auto"/>
        <w:ind w:left="0" w:right="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    址：</w:t>
      </w:r>
      <w:r>
        <w:rPr>
          <w:rFonts w:hint="eastAsia" w:ascii="宋体" w:hAnsi="宋体" w:eastAsia="宋体" w:cs="宋体"/>
          <w:color w:val="auto"/>
          <w:sz w:val="21"/>
          <w:szCs w:val="21"/>
          <w:highlight w:val="none"/>
          <w:u w:val="single"/>
        </w:rPr>
        <w:t xml:space="preserve">                                      </w:t>
      </w:r>
    </w:p>
    <w:p w14:paraId="7E96BCD1">
      <w:pPr>
        <w:pStyle w:val="26"/>
        <w:pageBreakBefore w:val="0"/>
        <w:kinsoku/>
        <w:wordWrap/>
        <w:overflowPunct/>
        <w:topLinePunct w:val="0"/>
        <w:autoSpaceDE/>
        <w:autoSpaceDN/>
        <w:bidi w:val="0"/>
        <w:spacing w:line="360" w:lineRule="auto"/>
        <w:ind w:left="0" w:right="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邮政编码：</w:t>
      </w:r>
      <w:r>
        <w:rPr>
          <w:rFonts w:hint="eastAsia" w:ascii="宋体" w:hAnsi="宋体" w:eastAsia="宋体" w:cs="宋体"/>
          <w:color w:val="auto"/>
          <w:sz w:val="21"/>
          <w:szCs w:val="21"/>
          <w:highlight w:val="none"/>
          <w:u w:val="single"/>
        </w:rPr>
        <w:t xml:space="preserve">                                      </w:t>
      </w:r>
    </w:p>
    <w:p w14:paraId="5C83F9E5">
      <w:pPr>
        <w:pStyle w:val="26"/>
        <w:pageBreakBefore w:val="0"/>
        <w:kinsoku/>
        <w:wordWrap/>
        <w:overflowPunct/>
        <w:topLinePunct w:val="0"/>
        <w:autoSpaceDE/>
        <w:autoSpaceDN/>
        <w:bidi w:val="0"/>
        <w:spacing w:line="360" w:lineRule="auto"/>
        <w:ind w:left="0" w:right="0" w:firstLine="0" w:firstLineChars="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电    话：</w:t>
      </w:r>
      <w:r>
        <w:rPr>
          <w:rFonts w:hint="eastAsia" w:ascii="宋体" w:hAnsi="宋体" w:eastAsia="宋体" w:cs="宋体"/>
          <w:color w:val="auto"/>
          <w:sz w:val="21"/>
          <w:szCs w:val="21"/>
          <w:highlight w:val="none"/>
          <w:u w:val="single"/>
        </w:rPr>
        <w:t xml:space="preserve">                                      </w:t>
      </w:r>
    </w:p>
    <w:p w14:paraId="1914C942">
      <w:pPr>
        <w:pStyle w:val="26"/>
        <w:pageBreakBefore w:val="0"/>
        <w:kinsoku/>
        <w:wordWrap/>
        <w:overflowPunct/>
        <w:topLinePunct w:val="0"/>
        <w:autoSpaceDE/>
        <w:autoSpaceDN/>
        <w:bidi w:val="0"/>
        <w:spacing w:line="360" w:lineRule="auto"/>
        <w:ind w:left="0" w:right="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    真：</w:t>
      </w:r>
      <w:r>
        <w:rPr>
          <w:rFonts w:hint="eastAsia" w:ascii="宋体" w:hAnsi="宋体" w:eastAsia="宋体" w:cs="宋体"/>
          <w:color w:val="auto"/>
          <w:sz w:val="21"/>
          <w:szCs w:val="21"/>
          <w:highlight w:val="none"/>
          <w:u w:val="single"/>
        </w:rPr>
        <w:t xml:space="preserve">                                      </w:t>
      </w:r>
    </w:p>
    <w:p w14:paraId="3E30DE75">
      <w:pPr>
        <w:pStyle w:val="26"/>
        <w:pageBreakBefore w:val="0"/>
        <w:kinsoku/>
        <w:wordWrap/>
        <w:overflowPunct/>
        <w:topLinePunct w:val="0"/>
        <w:autoSpaceDE/>
        <w:autoSpaceDN/>
        <w:bidi w:val="0"/>
        <w:spacing w:line="360" w:lineRule="auto"/>
        <w:ind w:left="0" w:right="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bookmarkStart w:id="339" w:name="_Toc363719036"/>
    </w:p>
    <w:p w14:paraId="5B7EBA04">
      <w:pPr>
        <w:pageBreakBefore w:val="0"/>
        <w:widowControl/>
        <w:kinsoku/>
        <w:wordWrap/>
        <w:overflowPunct/>
        <w:topLinePunct w:val="0"/>
        <w:autoSpaceDE/>
        <w:autoSpaceDN/>
        <w:bidi w:val="0"/>
        <w:snapToGrid w:val="0"/>
        <w:spacing w:line="360" w:lineRule="auto"/>
        <w:ind w:left="0" w:right="0" w:firstLine="0" w:firstLineChars="0"/>
        <w:jc w:val="left"/>
        <w:textAlignment w:val="auto"/>
        <w:outlineLvl w:val="2"/>
        <w:rPr>
          <w:rFonts w:hint="eastAsia" w:ascii="宋体" w:hAnsi="宋体" w:eastAsia="宋体" w:cs="宋体"/>
          <w:color w:val="auto"/>
          <w:sz w:val="21"/>
          <w:szCs w:val="21"/>
          <w:highlight w:val="none"/>
        </w:rPr>
      </w:pPr>
      <w:bookmarkStart w:id="340" w:name="_Toc80633200"/>
      <w:bookmarkStart w:id="341" w:name="_Toc76720088"/>
      <w:r>
        <w:rPr>
          <w:rFonts w:hint="eastAsia" w:ascii="宋体" w:hAnsi="宋体" w:eastAsia="宋体" w:cs="宋体"/>
          <w:color w:val="auto"/>
          <w:sz w:val="21"/>
          <w:szCs w:val="21"/>
          <w:highlight w:val="none"/>
        </w:rPr>
        <w:br w:type="page"/>
      </w:r>
      <w:bookmarkEnd w:id="340"/>
      <w:bookmarkEnd w:id="341"/>
      <w:bookmarkStart w:id="342" w:name="_Toc80633201"/>
      <w:bookmarkStart w:id="343" w:name="_Toc76720089"/>
      <w:r>
        <w:rPr>
          <w:rFonts w:hint="eastAsia" w:ascii="宋体" w:hAnsi="宋体" w:eastAsia="宋体" w:cs="宋体"/>
          <w:color w:val="auto"/>
          <w:sz w:val="21"/>
          <w:szCs w:val="21"/>
          <w:highlight w:val="none"/>
        </w:rPr>
        <w:t>合同附件</w:t>
      </w:r>
      <w:bookmarkEnd w:id="339"/>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廉政合同</w:t>
      </w:r>
      <w:bookmarkEnd w:id="342"/>
      <w:bookmarkEnd w:id="343"/>
    </w:p>
    <w:p w14:paraId="16CC31C4">
      <w:pPr>
        <w:pStyle w:val="26"/>
        <w:pageBreakBefore w:val="0"/>
        <w:tabs>
          <w:tab w:val="left" w:pos="7011"/>
        </w:tabs>
        <w:kinsoku/>
        <w:wordWrap/>
        <w:overflowPunct/>
        <w:topLinePunct w:val="0"/>
        <w:autoSpaceDE/>
        <w:autoSpaceDN/>
        <w:bidi w:val="0"/>
        <w:spacing w:line="360" w:lineRule="auto"/>
        <w:ind w:left="0" w:right="0" w:firstLine="0" w:firstLineChars="0"/>
        <w:jc w:val="center"/>
        <w:textAlignment w:val="auto"/>
        <w:rPr>
          <w:rFonts w:hint="eastAsia" w:ascii="宋体" w:hAnsi="宋体" w:eastAsia="宋体" w:cs="宋体"/>
          <w:color w:val="auto"/>
          <w:sz w:val="21"/>
          <w:szCs w:val="21"/>
          <w:highlight w:val="none"/>
        </w:rPr>
      </w:pPr>
      <w:bookmarkStart w:id="344" w:name="_Toc363719037"/>
      <w:r>
        <w:rPr>
          <w:rFonts w:hint="eastAsia" w:ascii="宋体" w:hAnsi="宋体" w:eastAsia="宋体" w:cs="宋体"/>
          <w:b/>
          <w:color w:val="auto"/>
          <w:kern w:val="0"/>
          <w:sz w:val="32"/>
          <w:szCs w:val="32"/>
          <w:highlight w:val="none"/>
        </w:rPr>
        <w:t>廉政合同</w:t>
      </w:r>
    </w:p>
    <w:p w14:paraId="55253F61">
      <w:pPr>
        <w:pStyle w:val="26"/>
        <w:pageBreakBefore w:val="0"/>
        <w:tabs>
          <w:tab w:val="left" w:pos="7011"/>
        </w:tabs>
        <w:kinsoku/>
        <w:wordWrap/>
        <w:overflowPunct/>
        <w:topLinePunct w:val="0"/>
        <w:autoSpaceDE/>
        <w:autoSpaceDN/>
        <w:bidi w:val="0"/>
        <w:spacing w:line="360" w:lineRule="auto"/>
        <w:ind w:left="0" w:right="0" w:firstLine="0" w:firstLineChars="0"/>
        <w:textAlignment w:val="auto"/>
        <w:rPr>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委托人（甲方）</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0"/>
          <w:sz w:val="21"/>
          <w:szCs w:val="21"/>
          <w:highlight w:val="none"/>
        </w:rPr>
        <w:t xml:space="preserve"> </w:t>
      </w:r>
      <w:r>
        <w:rPr>
          <w:rFonts w:hint="eastAsia" w:ascii="宋体" w:hAnsi="宋体" w:cs="宋体"/>
          <w:color w:val="auto"/>
          <w:sz w:val="21"/>
          <w:szCs w:val="21"/>
          <w:highlight w:val="none"/>
          <w:u w:val="single"/>
          <w:lang w:val="en-US" w:eastAsia="zh-CN"/>
        </w:rPr>
        <w:t>广州白云新能源科技有限公司</w:t>
      </w:r>
    </w:p>
    <w:p w14:paraId="19787E6F">
      <w:pPr>
        <w:pStyle w:val="26"/>
        <w:pageBreakBefore w:val="0"/>
        <w:kinsoku/>
        <w:wordWrap/>
        <w:overflowPunct/>
        <w:topLinePunct w:val="0"/>
        <w:autoSpaceDE/>
        <w:autoSpaceDN/>
        <w:bidi w:val="0"/>
        <w:adjustRightInd w:val="0"/>
        <w:snapToGrid w:val="0"/>
        <w:spacing w:line="360" w:lineRule="auto"/>
        <w:ind w:left="0" w:right="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受托人（乙方）</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sz w:val="21"/>
          <w:szCs w:val="21"/>
          <w:highlight w:val="none"/>
          <w:u w:val="single"/>
        </w:rPr>
        <w:t xml:space="preserve">                          </w:t>
      </w:r>
    </w:p>
    <w:p w14:paraId="0B98F095">
      <w:pPr>
        <w:pStyle w:val="26"/>
        <w:pageBreakBefore w:val="0"/>
        <w:kinsoku/>
        <w:wordWrap/>
        <w:overflowPunct/>
        <w:topLinePunct w:val="0"/>
        <w:autoSpaceDE/>
        <w:autoSpaceDN/>
        <w:bidi w:val="0"/>
        <w:spacing w:line="360" w:lineRule="auto"/>
        <w:ind w:left="0" w:right="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根据国家、省有关廉政建设的规定，为做好工程廉政建设，保证工程质量与安全，提高建设资金的有效使用和投资效益，甲乙双方就加强工程廉政建设，订立本合同。</w:t>
      </w:r>
    </w:p>
    <w:p w14:paraId="4499FD83">
      <w:pPr>
        <w:pStyle w:val="26"/>
        <w:pageBreakBefore w:val="0"/>
        <w:kinsoku/>
        <w:wordWrap/>
        <w:overflowPunct/>
        <w:topLinePunct w:val="0"/>
        <w:autoSpaceDE/>
        <w:autoSpaceDN/>
        <w:bidi w:val="0"/>
        <w:spacing w:line="360" w:lineRule="auto"/>
        <w:ind w:left="0" w:right="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1、双方权利和义务</w:t>
      </w:r>
    </w:p>
    <w:p w14:paraId="375BCC25">
      <w:pPr>
        <w:pStyle w:val="26"/>
        <w:pageBreakBefore w:val="0"/>
        <w:kinsoku/>
        <w:wordWrap/>
        <w:overflowPunct/>
        <w:topLinePunct w:val="0"/>
        <w:autoSpaceDE/>
        <w:autoSpaceDN/>
        <w:bidi w:val="0"/>
        <w:spacing w:line="360" w:lineRule="auto"/>
        <w:ind w:left="0" w:right="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 严格遵守国家有关法律法规的规定。</w:t>
      </w:r>
    </w:p>
    <w:p w14:paraId="7D58E694">
      <w:pPr>
        <w:pStyle w:val="26"/>
        <w:pageBreakBefore w:val="0"/>
        <w:kinsoku/>
        <w:wordWrap/>
        <w:overflowPunct/>
        <w:topLinePunct w:val="0"/>
        <w:autoSpaceDE/>
        <w:autoSpaceDN/>
        <w:bidi w:val="0"/>
        <w:spacing w:line="360" w:lineRule="auto"/>
        <w:ind w:left="0" w:right="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 严格执行一切合同文件，自觉按合同办事。</w:t>
      </w:r>
    </w:p>
    <w:p w14:paraId="146FC36B">
      <w:pPr>
        <w:pStyle w:val="26"/>
        <w:pageBreakBefore w:val="0"/>
        <w:kinsoku/>
        <w:wordWrap/>
        <w:overflowPunct/>
        <w:topLinePunct w:val="0"/>
        <w:autoSpaceDE/>
        <w:autoSpaceDN/>
        <w:bidi w:val="0"/>
        <w:spacing w:line="360" w:lineRule="auto"/>
        <w:ind w:left="0" w:right="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 双方的业务活动坚持公平、公开、公正和诚信的原则（法律认定的商业秘密和合同文件另有规定除外），不得损害国家和集体利益，不得违反工程建设管理规章制度。</w:t>
      </w:r>
    </w:p>
    <w:p w14:paraId="73E10AF7">
      <w:pPr>
        <w:pStyle w:val="26"/>
        <w:pageBreakBefore w:val="0"/>
        <w:kinsoku/>
        <w:wordWrap/>
        <w:overflowPunct/>
        <w:topLinePunct w:val="0"/>
        <w:autoSpaceDE/>
        <w:autoSpaceDN/>
        <w:bidi w:val="0"/>
        <w:spacing w:line="360" w:lineRule="auto"/>
        <w:ind w:left="0" w:right="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 建立健全廉政制度，开展廉政教育，设立廉政告示牌，公布举报电话，监督并认真查处违法违纪行为。</w:t>
      </w:r>
    </w:p>
    <w:p w14:paraId="0BBF17A3">
      <w:pPr>
        <w:pStyle w:val="26"/>
        <w:pageBreakBefore w:val="0"/>
        <w:kinsoku/>
        <w:wordWrap/>
        <w:overflowPunct/>
        <w:topLinePunct w:val="0"/>
        <w:autoSpaceDE/>
        <w:autoSpaceDN/>
        <w:bidi w:val="0"/>
        <w:spacing w:line="360" w:lineRule="auto"/>
        <w:ind w:left="0" w:right="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 发现对方在业务活动中有违反廉政建设规定的行为，应及时给予提醒和纠正。</w:t>
      </w:r>
    </w:p>
    <w:p w14:paraId="52879CE0">
      <w:pPr>
        <w:pStyle w:val="26"/>
        <w:pageBreakBefore w:val="0"/>
        <w:kinsoku/>
        <w:wordWrap/>
        <w:overflowPunct/>
        <w:topLinePunct w:val="0"/>
        <w:autoSpaceDE/>
        <w:autoSpaceDN/>
        <w:bidi w:val="0"/>
        <w:spacing w:line="360" w:lineRule="auto"/>
        <w:ind w:left="0" w:right="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 发现对方严重违反合同的行为，有向其上级部门举报、建议给予处理并要求告知处理结果的权利。没有上级部门的，可按施工合同通用条款</w:t>
      </w:r>
      <w:r>
        <w:rPr>
          <w:rFonts w:hint="eastAsia" w:ascii="宋体" w:hAnsi="宋体" w:cs="宋体"/>
          <w:color w:val="auto"/>
          <w:sz w:val="21"/>
          <w:szCs w:val="21"/>
          <w:highlight w:val="none"/>
          <w:lang w:val="en-US" w:eastAsia="zh-CN"/>
        </w:rPr>
        <w:t>中违约责任、合同解除等相关条款</w:t>
      </w:r>
      <w:r>
        <w:rPr>
          <w:rFonts w:hint="eastAsia" w:ascii="宋体" w:hAnsi="宋体" w:eastAsia="宋体" w:cs="宋体"/>
          <w:color w:val="auto"/>
          <w:sz w:val="21"/>
          <w:szCs w:val="21"/>
          <w:highlight w:val="none"/>
        </w:rPr>
        <w:t>处理。</w:t>
      </w:r>
    </w:p>
    <w:p w14:paraId="0A778948">
      <w:pPr>
        <w:pStyle w:val="26"/>
        <w:pageBreakBefore w:val="0"/>
        <w:kinsoku/>
        <w:wordWrap/>
        <w:overflowPunct/>
        <w:topLinePunct w:val="0"/>
        <w:autoSpaceDE/>
        <w:autoSpaceDN/>
        <w:bidi w:val="0"/>
        <w:spacing w:line="360" w:lineRule="auto"/>
        <w:ind w:left="0" w:right="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2、甲方义务</w:t>
      </w:r>
    </w:p>
    <w:p w14:paraId="4534B460">
      <w:pPr>
        <w:pStyle w:val="26"/>
        <w:pageBreakBefore w:val="0"/>
        <w:kinsoku/>
        <w:wordWrap/>
        <w:overflowPunct/>
        <w:topLinePunct w:val="0"/>
        <w:autoSpaceDE/>
        <w:autoSpaceDN/>
        <w:bidi w:val="0"/>
        <w:spacing w:line="360" w:lineRule="auto"/>
        <w:ind w:left="0" w:right="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 甲方及其工作人员不得索要或接受乙方的礼金、有价证券和贵重物品，不得向乙方报销任何应由甲方或其工作人员个人支付的费用等。</w:t>
      </w:r>
    </w:p>
    <w:p w14:paraId="523AC572">
      <w:pPr>
        <w:pStyle w:val="26"/>
        <w:pageBreakBefore w:val="0"/>
        <w:kinsoku/>
        <w:wordWrap/>
        <w:overflowPunct/>
        <w:topLinePunct w:val="0"/>
        <w:autoSpaceDE/>
        <w:autoSpaceDN/>
        <w:bidi w:val="0"/>
        <w:spacing w:line="360" w:lineRule="auto"/>
        <w:ind w:left="0" w:right="0" w:firstLine="0" w:firstLineChars="0"/>
        <w:textAlignment w:val="auto"/>
        <w:rPr>
          <w:rFonts w:ascii="宋体" w:hAnsi="宋体"/>
          <w:color w:val="auto"/>
          <w:szCs w:val="21"/>
          <w:highlight w:val="none"/>
        </w:rPr>
      </w:pPr>
      <w:r>
        <w:rPr>
          <w:rFonts w:hint="eastAsia" w:ascii="宋体" w:hAnsi="宋体"/>
          <w:color w:val="auto"/>
          <w:szCs w:val="21"/>
          <w:highlight w:val="none"/>
        </w:rPr>
        <w:t>2.2 甲方及其工作人员不得参加乙方安排的宴请（工作餐除外）和娱乐活动；不得接受乙方提供的通讯工具、交通工具和高档办公用品等。</w:t>
      </w:r>
    </w:p>
    <w:p w14:paraId="1B1CEEA6">
      <w:pPr>
        <w:pStyle w:val="26"/>
        <w:pageBreakBefore w:val="0"/>
        <w:kinsoku/>
        <w:wordWrap/>
        <w:overflowPunct/>
        <w:topLinePunct w:val="0"/>
        <w:autoSpaceDE/>
        <w:autoSpaceDN/>
        <w:bidi w:val="0"/>
        <w:spacing w:line="360" w:lineRule="auto"/>
        <w:ind w:left="0" w:right="0" w:firstLine="0" w:firstLineChars="0"/>
        <w:textAlignment w:val="auto"/>
        <w:rPr>
          <w:rFonts w:ascii="宋体" w:hAnsi="宋体"/>
          <w:color w:val="auto"/>
          <w:szCs w:val="21"/>
          <w:highlight w:val="none"/>
        </w:rPr>
      </w:pPr>
      <w:r>
        <w:rPr>
          <w:rFonts w:hint="eastAsia" w:ascii="宋体" w:hAnsi="宋体"/>
          <w:color w:val="auto"/>
          <w:szCs w:val="21"/>
          <w:highlight w:val="none"/>
        </w:rPr>
        <w:t>2.3 甲方及其工作人员不得要求或者接受乙方为其住房装修、婚丧嫁娶活动、配偶子女的工作安排以及出国出境、旅游等提供方便。</w:t>
      </w:r>
    </w:p>
    <w:p w14:paraId="4237CD15">
      <w:pPr>
        <w:pStyle w:val="26"/>
        <w:pageBreakBefore w:val="0"/>
        <w:kinsoku/>
        <w:wordWrap/>
        <w:overflowPunct/>
        <w:topLinePunct w:val="0"/>
        <w:autoSpaceDE/>
        <w:autoSpaceDN/>
        <w:bidi w:val="0"/>
        <w:spacing w:line="360" w:lineRule="auto"/>
        <w:ind w:left="0" w:right="0" w:firstLine="0" w:firstLineChars="0"/>
        <w:textAlignment w:val="auto"/>
        <w:rPr>
          <w:rFonts w:ascii="宋体" w:hAnsi="宋体"/>
          <w:color w:val="auto"/>
          <w:szCs w:val="21"/>
          <w:highlight w:val="none"/>
        </w:rPr>
      </w:pPr>
      <w:r>
        <w:rPr>
          <w:rFonts w:hint="eastAsia" w:ascii="宋体" w:hAnsi="宋体"/>
          <w:color w:val="auto"/>
          <w:szCs w:val="21"/>
          <w:highlight w:val="none"/>
        </w:rPr>
        <w:t>2.4 甲方及其工作人员不得以任何理由向乙方推荐分包人、推销材料和工程设备，不得要求乙方购买合同约定以外的材料和工程设备。</w:t>
      </w:r>
    </w:p>
    <w:p w14:paraId="6034D27C">
      <w:pPr>
        <w:pStyle w:val="26"/>
        <w:pageBreakBefore w:val="0"/>
        <w:kinsoku/>
        <w:wordWrap/>
        <w:overflowPunct/>
        <w:topLinePunct w:val="0"/>
        <w:autoSpaceDE/>
        <w:autoSpaceDN/>
        <w:bidi w:val="0"/>
        <w:spacing w:line="360" w:lineRule="auto"/>
        <w:ind w:left="0" w:right="0" w:firstLine="0" w:firstLineChars="0"/>
        <w:textAlignment w:val="auto"/>
        <w:rPr>
          <w:rFonts w:ascii="宋体" w:hAnsi="宋体"/>
          <w:color w:val="auto"/>
          <w:szCs w:val="21"/>
          <w:highlight w:val="none"/>
        </w:rPr>
      </w:pPr>
      <w:r>
        <w:rPr>
          <w:rFonts w:hint="eastAsia" w:ascii="宋体" w:hAnsi="宋体"/>
          <w:color w:val="auto"/>
          <w:szCs w:val="21"/>
          <w:highlight w:val="none"/>
        </w:rPr>
        <w:t>2.5 甲方及其工作人员要秉公办事，不准营私舞弊，不准利用职权私自为合同工程安排施工队伍，也不得从事与合同工程有关的各种有偿中介活动。</w:t>
      </w:r>
    </w:p>
    <w:p w14:paraId="233EEF42">
      <w:pPr>
        <w:pStyle w:val="26"/>
        <w:pageBreakBefore w:val="0"/>
        <w:kinsoku/>
        <w:wordWrap/>
        <w:overflowPunct/>
        <w:topLinePunct w:val="0"/>
        <w:autoSpaceDE/>
        <w:autoSpaceDN/>
        <w:bidi w:val="0"/>
        <w:spacing w:line="360" w:lineRule="auto"/>
        <w:ind w:left="0" w:right="0" w:firstLine="0" w:firstLineChars="0"/>
        <w:textAlignment w:val="auto"/>
        <w:rPr>
          <w:rFonts w:ascii="宋体" w:hAnsi="宋体"/>
          <w:color w:val="auto"/>
          <w:szCs w:val="21"/>
          <w:highlight w:val="none"/>
        </w:rPr>
      </w:pPr>
      <w:r>
        <w:rPr>
          <w:rFonts w:hint="eastAsia" w:ascii="宋体" w:hAnsi="宋体"/>
          <w:color w:val="auto"/>
          <w:szCs w:val="21"/>
          <w:highlight w:val="none"/>
        </w:rPr>
        <w:t>2.6 甲方及其工作人员（含其配偶、子女）不得从事与合同工程有关的材料和工程设备供应、工程分包、劳务等经济活动。</w:t>
      </w:r>
    </w:p>
    <w:p w14:paraId="51D43EAC">
      <w:pPr>
        <w:pStyle w:val="26"/>
        <w:pageBreakBefore w:val="0"/>
        <w:kinsoku/>
        <w:wordWrap/>
        <w:overflowPunct/>
        <w:topLinePunct w:val="0"/>
        <w:autoSpaceDE/>
        <w:autoSpaceDN/>
        <w:bidi w:val="0"/>
        <w:spacing w:line="360" w:lineRule="auto"/>
        <w:ind w:left="0" w:right="0" w:firstLine="0" w:firstLineChars="0"/>
        <w:textAlignment w:val="auto"/>
        <w:rPr>
          <w:rFonts w:ascii="宋体" w:hAnsi="宋体"/>
          <w:color w:val="auto"/>
          <w:szCs w:val="21"/>
          <w:highlight w:val="none"/>
        </w:rPr>
      </w:pPr>
      <w:r>
        <w:rPr>
          <w:rFonts w:hint="eastAsia" w:ascii="宋体" w:hAnsi="宋体"/>
          <w:color w:val="auto"/>
          <w:szCs w:val="21"/>
          <w:highlight w:val="none"/>
        </w:rPr>
        <w:t>3、乙方义务</w:t>
      </w:r>
    </w:p>
    <w:p w14:paraId="6008AC16">
      <w:pPr>
        <w:pStyle w:val="26"/>
        <w:pageBreakBefore w:val="0"/>
        <w:kinsoku/>
        <w:wordWrap/>
        <w:overflowPunct/>
        <w:topLinePunct w:val="0"/>
        <w:autoSpaceDE/>
        <w:autoSpaceDN/>
        <w:bidi w:val="0"/>
        <w:spacing w:line="360" w:lineRule="auto"/>
        <w:ind w:left="0" w:right="0" w:firstLine="0" w:firstLineChars="0"/>
        <w:textAlignment w:val="auto"/>
        <w:rPr>
          <w:rFonts w:ascii="宋体" w:hAnsi="宋体"/>
          <w:color w:val="auto"/>
          <w:szCs w:val="21"/>
          <w:highlight w:val="none"/>
        </w:rPr>
      </w:pPr>
      <w:r>
        <w:rPr>
          <w:rFonts w:hint="eastAsia" w:ascii="宋体" w:hAnsi="宋体"/>
          <w:color w:val="auto"/>
          <w:szCs w:val="21"/>
          <w:highlight w:val="none"/>
        </w:rPr>
        <w:t>3.1 乙方不得以任何理由向甲方及其工作人员行贿或馈赠礼金、有价证券、贵重礼品。</w:t>
      </w:r>
    </w:p>
    <w:p w14:paraId="1DCE635A">
      <w:pPr>
        <w:pStyle w:val="26"/>
        <w:pageBreakBefore w:val="0"/>
        <w:kinsoku/>
        <w:wordWrap/>
        <w:overflowPunct/>
        <w:topLinePunct w:val="0"/>
        <w:autoSpaceDE/>
        <w:autoSpaceDN/>
        <w:bidi w:val="0"/>
        <w:spacing w:line="360" w:lineRule="auto"/>
        <w:ind w:left="0" w:right="0" w:firstLine="0" w:firstLineChars="0"/>
        <w:textAlignment w:val="auto"/>
        <w:rPr>
          <w:rFonts w:ascii="宋体" w:hAnsi="宋体"/>
          <w:color w:val="auto"/>
          <w:szCs w:val="21"/>
          <w:highlight w:val="none"/>
        </w:rPr>
      </w:pPr>
      <w:r>
        <w:rPr>
          <w:rFonts w:hint="eastAsia" w:ascii="宋体" w:hAnsi="宋体"/>
          <w:color w:val="auto"/>
          <w:szCs w:val="21"/>
          <w:highlight w:val="none"/>
        </w:rPr>
        <w:t>3.2 乙方不得以任何名义为甲方及其工作人员报销应由甲方或其工作人员个人支付的任何费用。</w:t>
      </w:r>
    </w:p>
    <w:p w14:paraId="3E009F77">
      <w:pPr>
        <w:pStyle w:val="26"/>
        <w:pageBreakBefore w:val="0"/>
        <w:kinsoku/>
        <w:wordWrap/>
        <w:overflowPunct/>
        <w:topLinePunct w:val="0"/>
        <w:autoSpaceDE/>
        <w:autoSpaceDN/>
        <w:bidi w:val="0"/>
        <w:spacing w:line="360" w:lineRule="auto"/>
        <w:ind w:left="0" w:right="0" w:firstLine="0" w:firstLineChars="0"/>
        <w:textAlignment w:val="auto"/>
        <w:rPr>
          <w:rFonts w:ascii="宋体" w:hAnsi="宋体"/>
          <w:color w:val="auto"/>
          <w:szCs w:val="21"/>
          <w:highlight w:val="none"/>
        </w:rPr>
      </w:pPr>
      <w:r>
        <w:rPr>
          <w:rFonts w:hint="eastAsia" w:ascii="宋体" w:hAnsi="宋体"/>
          <w:color w:val="auto"/>
          <w:szCs w:val="21"/>
          <w:highlight w:val="none"/>
        </w:rPr>
        <w:t>3.3 乙方不得以任何理由安排甲方及其工作人员参加宴请（工作餐除外）及娱乐活动。</w:t>
      </w:r>
    </w:p>
    <w:p w14:paraId="2329F1D0">
      <w:pPr>
        <w:pStyle w:val="26"/>
        <w:pageBreakBefore w:val="0"/>
        <w:kinsoku/>
        <w:wordWrap/>
        <w:overflowPunct/>
        <w:topLinePunct w:val="0"/>
        <w:autoSpaceDE/>
        <w:autoSpaceDN/>
        <w:bidi w:val="0"/>
        <w:spacing w:line="360" w:lineRule="auto"/>
        <w:ind w:left="0" w:right="0" w:firstLine="0" w:firstLineChars="0"/>
        <w:textAlignment w:val="auto"/>
        <w:rPr>
          <w:rFonts w:ascii="宋体" w:hAnsi="宋体"/>
          <w:color w:val="auto"/>
          <w:szCs w:val="21"/>
          <w:highlight w:val="none"/>
        </w:rPr>
      </w:pPr>
      <w:r>
        <w:rPr>
          <w:rFonts w:hint="eastAsia" w:ascii="宋体" w:hAnsi="宋体"/>
          <w:color w:val="auto"/>
          <w:szCs w:val="21"/>
          <w:highlight w:val="none"/>
        </w:rPr>
        <w:t>3.4 乙方不得为甲方及其工作人员个人购置或提供通讯工具、交通工具和高档办公用品等。</w:t>
      </w:r>
    </w:p>
    <w:p w14:paraId="44326B79">
      <w:pPr>
        <w:pStyle w:val="26"/>
        <w:pageBreakBefore w:val="0"/>
        <w:kinsoku/>
        <w:wordWrap/>
        <w:overflowPunct/>
        <w:topLinePunct w:val="0"/>
        <w:autoSpaceDE/>
        <w:autoSpaceDN/>
        <w:bidi w:val="0"/>
        <w:spacing w:line="360" w:lineRule="auto"/>
        <w:ind w:left="0" w:right="0" w:firstLine="0" w:firstLineChars="0"/>
        <w:textAlignment w:val="auto"/>
        <w:rPr>
          <w:rFonts w:ascii="宋体" w:hAnsi="宋体"/>
          <w:color w:val="auto"/>
          <w:szCs w:val="21"/>
          <w:highlight w:val="none"/>
        </w:rPr>
      </w:pPr>
      <w:r>
        <w:rPr>
          <w:rFonts w:hint="eastAsia" w:ascii="宋体" w:hAnsi="宋体"/>
          <w:color w:val="auto"/>
          <w:szCs w:val="21"/>
          <w:highlight w:val="none"/>
        </w:rPr>
        <w:t xml:space="preserve">3.5 </w:t>
      </w:r>
      <w:r>
        <w:rPr>
          <w:rFonts w:hint="eastAsia" w:ascii="宋体" w:hAnsi="宋体"/>
          <w:color w:val="auto"/>
          <w:kern w:val="0"/>
          <w:szCs w:val="21"/>
          <w:highlight w:val="none"/>
        </w:rPr>
        <w:t>乙方不得为甲方及其工作人员的住房装修、婚丧嫁娶活动、配偶子女工作安排以及出国出境、旅游等提供方便。</w:t>
      </w:r>
    </w:p>
    <w:p w14:paraId="4ADD6DDC">
      <w:pPr>
        <w:pStyle w:val="26"/>
        <w:pageBreakBefore w:val="0"/>
        <w:tabs>
          <w:tab w:val="left" w:pos="900"/>
        </w:tabs>
        <w:kinsoku/>
        <w:wordWrap/>
        <w:overflowPunct/>
        <w:topLinePunct w:val="0"/>
        <w:autoSpaceDE/>
        <w:autoSpaceDN/>
        <w:bidi w:val="0"/>
        <w:spacing w:line="360" w:lineRule="auto"/>
        <w:ind w:left="0" w:right="0" w:firstLine="0" w:firstLineChars="0"/>
        <w:textAlignment w:val="auto"/>
        <w:rPr>
          <w:rFonts w:ascii="宋体" w:hAnsi="宋体"/>
          <w:color w:val="auto"/>
          <w:szCs w:val="21"/>
          <w:highlight w:val="none"/>
        </w:rPr>
      </w:pPr>
      <w:r>
        <w:rPr>
          <w:rFonts w:hint="eastAsia" w:ascii="宋体" w:hAnsi="宋体"/>
          <w:color w:val="auto"/>
          <w:szCs w:val="21"/>
          <w:highlight w:val="none"/>
        </w:rPr>
        <w:t>4、违约责任</w:t>
      </w:r>
    </w:p>
    <w:p w14:paraId="1E91F903">
      <w:pPr>
        <w:pStyle w:val="26"/>
        <w:pageBreakBefore w:val="0"/>
        <w:kinsoku/>
        <w:wordWrap/>
        <w:overflowPunct/>
        <w:topLinePunct w:val="0"/>
        <w:autoSpaceDE/>
        <w:autoSpaceDN/>
        <w:bidi w:val="0"/>
        <w:spacing w:line="360" w:lineRule="auto"/>
        <w:ind w:left="0" w:right="0" w:firstLine="0" w:firstLineChars="0"/>
        <w:textAlignment w:val="auto"/>
        <w:rPr>
          <w:rFonts w:ascii="宋体" w:hAnsi="宋体"/>
          <w:color w:val="auto"/>
          <w:szCs w:val="21"/>
          <w:highlight w:val="none"/>
        </w:rPr>
      </w:pPr>
      <w:r>
        <w:rPr>
          <w:rFonts w:hint="eastAsia" w:ascii="宋体" w:hAnsi="宋体"/>
          <w:color w:val="auto"/>
          <w:szCs w:val="21"/>
          <w:highlight w:val="none"/>
        </w:rPr>
        <w:t>4.1 甲方及其工作人员违反本合同第1条和第2条规定，应按照廉政建设的有关规定给予处分；涉嫌犯罪的，移交司法机关追究刑事责任；给乙方造成经济损失的，应予赔偿。</w:t>
      </w:r>
    </w:p>
    <w:p w14:paraId="5851D032">
      <w:pPr>
        <w:pStyle w:val="26"/>
        <w:pageBreakBefore w:val="0"/>
        <w:kinsoku/>
        <w:wordWrap/>
        <w:overflowPunct/>
        <w:topLinePunct w:val="0"/>
        <w:autoSpaceDE/>
        <w:autoSpaceDN/>
        <w:bidi w:val="0"/>
        <w:spacing w:line="360" w:lineRule="auto"/>
        <w:ind w:left="0" w:right="0" w:firstLine="0" w:firstLineChars="0"/>
        <w:textAlignment w:val="auto"/>
        <w:rPr>
          <w:rFonts w:ascii="宋体" w:hAnsi="宋体"/>
          <w:color w:val="auto"/>
          <w:szCs w:val="21"/>
          <w:highlight w:val="none"/>
        </w:rPr>
      </w:pPr>
      <w:r>
        <w:rPr>
          <w:rFonts w:hint="eastAsia" w:ascii="宋体" w:hAnsi="宋体"/>
          <w:color w:val="auto"/>
          <w:szCs w:val="21"/>
          <w:highlight w:val="none"/>
        </w:rPr>
        <w:t>4.2 乙方及其工作人员违反本合同第1条和第3条规定，应按照廉政建设的有关规定给予处分；情节严重的，给予乙方 1～3 年内不得进入工程建设市场的处罚；涉嫌犯罪的，移交司法机关追究刑事责任；给甲方造成经济损失的，应予赔偿。</w:t>
      </w:r>
    </w:p>
    <w:p w14:paraId="40F9BECD">
      <w:pPr>
        <w:pStyle w:val="26"/>
        <w:pageBreakBefore w:val="0"/>
        <w:tabs>
          <w:tab w:val="left" w:pos="840"/>
        </w:tabs>
        <w:kinsoku/>
        <w:wordWrap/>
        <w:overflowPunct/>
        <w:topLinePunct w:val="0"/>
        <w:autoSpaceDE/>
        <w:autoSpaceDN/>
        <w:bidi w:val="0"/>
        <w:spacing w:line="360" w:lineRule="auto"/>
        <w:ind w:left="0" w:right="0" w:firstLine="0" w:firstLineChars="0"/>
        <w:textAlignment w:val="auto"/>
        <w:rPr>
          <w:rFonts w:ascii="宋体" w:hAnsi="宋体"/>
          <w:color w:val="auto"/>
          <w:szCs w:val="21"/>
          <w:highlight w:val="none"/>
        </w:rPr>
      </w:pPr>
      <w:r>
        <w:rPr>
          <w:rFonts w:hint="eastAsia" w:ascii="宋体" w:hAnsi="宋体"/>
          <w:color w:val="auto"/>
          <w:szCs w:val="21"/>
          <w:highlight w:val="none"/>
        </w:rPr>
        <w:t>5、双方约定</w:t>
      </w:r>
    </w:p>
    <w:p w14:paraId="0E0802CF">
      <w:pPr>
        <w:pStyle w:val="26"/>
        <w:pageBreakBefore w:val="0"/>
        <w:kinsoku/>
        <w:wordWrap/>
        <w:overflowPunct/>
        <w:topLinePunct w:val="0"/>
        <w:autoSpaceDE/>
        <w:autoSpaceDN/>
        <w:bidi w:val="0"/>
        <w:spacing w:line="360" w:lineRule="auto"/>
        <w:ind w:left="0" w:right="0" w:firstLine="0" w:firstLineChars="0"/>
        <w:textAlignment w:val="auto"/>
        <w:rPr>
          <w:rFonts w:ascii="宋体" w:hAnsi="宋体"/>
          <w:color w:val="auto"/>
          <w:szCs w:val="21"/>
          <w:highlight w:val="none"/>
        </w:rPr>
      </w:pPr>
      <w:r>
        <w:rPr>
          <w:rFonts w:hint="eastAsia" w:ascii="宋体" w:hAnsi="宋体"/>
          <w:color w:val="auto"/>
          <w:szCs w:val="21"/>
          <w:highlight w:val="none"/>
        </w:rPr>
        <w:t>本合同由双方或其上级部门负责监督执行，并由双方或其上级部门相互约请对本合同执行情况进行检查。</w:t>
      </w:r>
    </w:p>
    <w:p w14:paraId="050F3A05">
      <w:pPr>
        <w:pStyle w:val="26"/>
        <w:pageBreakBefore w:val="0"/>
        <w:kinsoku/>
        <w:wordWrap/>
        <w:overflowPunct/>
        <w:topLinePunct w:val="0"/>
        <w:autoSpaceDE/>
        <w:autoSpaceDN/>
        <w:bidi w:val="0"/>
        <w:spacing w:line="360" w:lineRule="auto"/>
        <w:ind w:left="0" w:right="0" w:firstLine="0" w:firstLineChars="0"/>
        <w:textAlignment w:val="auto"/>
        <w:rPr>
          <w:rFonts w:ascii="宋体" w:hAnsi="宋体"/>
          <w:color w:val="auto"/>
          <w:szCs w:val="21"/>
          <w:highlight w:val="none"/>
        </w:rPr>
      </w:pPr>
      <w:r>
        <w:rPr>
          <w:rFonts w:hint="eastAsia" w:ascii="宋体" w:hAnsi="宋体"/>
          <w:color w:val="auto"/>
          <w:szCs w:val="21"/>
          <w:highlight w:val="none"/>
        </w:rPr>
        <w:t>6、合同法律效力</w:t>
      </w:r>
    </w:p>
    <w:p w14:paraId="7C2B64A5">
      <w:pPr>
        <w:pStyle w:val="26"/>
        <w:pageBreakBefore w:val="0"/>
        <w:kinsoku/>
        <w:wordWrap/>
        <w:overflowPunct/>
        <w:topLinePunct w:val="0"/>
        <w:autoSpaceDE/>
        <w:autoSpaceDN/>
        <w:bidi w:val="0"/>
        <w:spacing w:line="360" w:lineRule="auto"/>
        <w:ind w:left="0" w:right="0" w:firstLine="0" w:firstLineChars="0"/>
        <w:textAlignment w:val="auto"/>
        <w:rPr>
          <w:rFonts w:ascii="宋体" w:hAnsi="宋体"/>
          <w:color w:val="auto"/>
          <w:szCs w:val="21"/>
          <w:highlight w:val="none"/>
        </w:rPr>
      </w:pPr>
      <w:r>
        <w:rPr>
          <w:rFonts w:hint="eastAsia" w:ascii="宋体" w:hAnsi="宋体"/>
          <w:color w:val="auto"/>
          <w:szCs w:val="21"/>
          <w:highlight w:val="none"/>
        </w:rPr>
        <w:t>本合同作为</w:t>
      </w:r>
      <w:r>
        <w:rPr>
          <w:rFonts w:hint="eastAsia" w:ascii="宋体" w:hAnsi="宋体"/>
          <w:color w:val="auto"/>
          <w:szCs w:val="21"/>
          <w:highlight w:val="none"/>
          <w:lang w:eastAsia="zh-CN"/>
        </w:rPr>
        <w:t>主合同</w:t>
      </w:r>
      <w:r>
        <w:rPr>
          <w:rFonts w:hint="eastAsia" w:ascii="宋体" w:hAnsi="宋体" w:cs="宋体"/>
          <w:color w:val="auto"/>
          <w:highlight w:val="none"/>
          <w:lang w:eastAsia="zh-CN"/>
        </w:rPr>
        <w:t>《</w:t>
      </w:r>
      <w:r>
        <w:rPr>
          <w:rFonts w:hint="eastAsia" w:ascii="宋体" w:hAnsi="宋体" w:cs="宋体"/>
          <w:color w:val="auto"/>
          <w:highlight w:val="none"/>
          <w:lang w:val="en-US" w:eastAsia="zh-CN"/>
        </w:rPr>
        <w:t>良田粮库</w:t>
      </w:r>
      <w:r>
        <w:rPr>
          <w:rFonts w:hint="eastAsia" w:ascii="宋体" w:hAnsi="宋体" w:cs="宋体"/>
          <w:color w:val="auto"/>
          <w:highlight w:val="none"/>
          <w:lang w:eastAsia="zh-CN"/>
        </w:rPr>
        <w:t>分布式光储项目</w:t>
      </w:r>
      <w:r>
        <w:rPr>
          <w:rFonts w:hint="eastAsia" w:ascii="宋体" w:hAnsi="宋体" w:cs="宋体"/>
          <w:color w:val="auto"/>
          <w:highlight w:val="none"/>
        </w:rPr>
        <w:t>EPC总承包合同</w:t>
      </w:r>
      <w:r>
        <w:rPr>
          <w:rFonts w:hint="eastAsia" w:ascii="宋体" w:hAnsi="宋体" w:cs="宋体"/>
          <w:color w:val="auto"/>
          <w:highlight w:val="none"/>
          <w:lang w:eastAsia="zh-CN"/>
        </w:rPr>
        <w:t>》</w:t>
      </w:r>
      <w:r>
        <w:rPr>
          <w:rFonts w:hint="eastAsia" w:ascii="宋体" w:hAnsi="宋体"/>
          <w:color w:val="auto"/>
          <w:szCs w:val="21"/>
          <w:highlight w:val="none"/>
        </w:rPr>
        <w:t>的附件，具有同等的法律效力，经双方签署后生效。</w:t>
      </w:r>
    </w:p>
    <w:p w14:paraId="3C2F6D56">
      <w:pPr>
        <w:pStyle w:val="26"/>
        <w:pageBreakBefore w:val="0"/>
        <w:kinsoku/>
        <w:wordWrap/>
        <w:overflowPunct/>
        <w:topLinePunct w:val="0"/>
        <w:autoSpaceDE/>
        <w:autoSpaceDN/>
        <w:bidi w:val="0"/>
        <w:spacing w:line="360" w:lineRule="auto"/>
        <w:ind w:left="0" w:right="0" w:firstLine="0" w:firstLineChars="0"/>
        <w:textAlignment w:val="auto"/>
        <w:rPr>
          <w:rFonts w:ascii="宋体" w:hAnsi="宋体"/>
          <w:color w:val="auto"/>
          <w:szCs w:val="21"/>
          <w:highlight w:val="none"/>
        </w:rPr>
      </w:pPr>
      <w:r>
        <w:rPr>
          <w:rFonts w:hint="eastAsia" w:ascii="宋体" w:hAnsi="宋体"/>
          <w:color w:val="auto"/>
          <w:szCs w:val="21"/>
          <w:highlight w:val="none"/>
        </w:rPr>
        <w:t>7、合同生效</w:t>
      </w:r>
    </w:p>
    <w:p w14:paraId="01F5FB91">
      <w:pPr>
        <w:pStyle w:val="26"/>
        <w:pageBreakBefore w:val="0"/>
        <w:kinsoku/>
        <w:wordWrap/>
        <w:overflowPunct/>
        <w:topLinePunct w:val="0"/>
        <w:autoSpaceDE/>
        <w:autoSpaceDN/>
        <w:bidi w:val="0"/>
        <w:spacing w:line="360" w:lineRule="auto"/>
        <w:ind w:left="0" w:right="0" w:firstLine="0" w:firstLineChars="0"/>
        <w:textAlignment w:val="auto"/>
        <w:rPr>
          <w:rFonts w:ascii="宋体" w:hAnsi="宋体"/>
          <w:color w:val="auto"/>
          <w:szCs w:val="21"/>
          <w:highlight w:val="none"/>
        </w:rPr>
      </w:pPr>
      <w:r>
        <w:rPr>
          <w:rFonts w:hint="eastAsia" w:ascii="宋体" w:hAnsi="宋体"/>
          <w:color w:val="auto"/>
          <w:szCs w:val="21"/>
          <w:highlight w:val="none"/>
        </w:rPr>
        <w:t>本合同自合同双方当事人签署之日起生效，至合同工程竣工验收合格之日后失效。</w:t>
      </w:r>
    </w:p>
    <w:p w14:paraId="54DFEE65">
      <w:pPr>
        <w:pStyle w:val="26"/>
        <w:pageBreakBefore w:val="0"/>
        <w:kinsoku/>
        <w:wordWrap/>
        <w:overflowPunct/>
        <w:topLinePunct w:val="0"/>
        <w:autoSpaceDE/>
        <w:autoSpaceDN/>
        <w:bidi w:val="0"/>
        <w:spacing w:line="360" w:lineRule="auto"/>
        <w:ind w:left="0" w:right="0" w:firstLine="0" w:firstLineChars="0"/>
        <w:textAlignment w:val="auto"/>
        <w:rPr>
          <w:rFonts w:ascii="宋体" w:hAnsi="宋体"/>
          <w:color w:val="auto"/>
          <w:szCs w:val="21"/>
          <w:highlight w:val="none"/>
        </w:rPr>
      </w:pPr>
      <w:r>
        <w:rPr>
          <w:rFonts w:hint="eastAsia" w:ascii="宋体" w:hAnsi="宋体"/>
          <w:color w:val="auto"/>
          <w:szCs w:val="21"/>
          <w:highlight w:val="none"/>
        </w:rPr>
        <w:t>8、合同份数</w:t>
      </w:r>
    </w:p>
    <w:p w14:paraId="36C02692">
      <w:pPr>
        <w:pStyle w:val="26"/>
        <w:pageBreakBefore w:val="0"/>
        <w:kinsoku/>
        <w:wordWrap/>
        <w:overflowPunct/>
        <w:topLinePunct w:val="0"/>
        <w:autoSpaceDE/>
        <w:autoSpaceDN/>
        <w:bidi w:val="0"/>
        <w:spacing w:line="360" w:lineRule="auto"/>
        <w:ind w:left="0" w:right="0" w:firstLine="0" w:firstLineChars="0"/>
        <w:textAlignment w:val="auto"/>
        <w:rPr>
          <w:rFonts w:ascii="宋体" w:hAnsi="宋体"/>
          <w:color w:val="auto"/>
          <w:szCs w:val="21"/>
          <w:highlight w:val="none"/>
        </w:rPr>
      </w:pPr>
      <w:r>
        <w:rPr>
          <w:rFonts w:hint="eastAsia" w:ascii="宋体" w:hAnsi="宋体"/>
          <w:color w:val="auto"/>
          <w:szCs w:val="21"/>
          <w:highlight w:val="none"/>
        </w:rPr>
        <w:t>本廉政合同作为主合同附件，份数同主合同要求</w:t>
      </w:r>
      <w:r>
        <w:rPr>
          <w:rFonts w:hint="eastAsia" w:ascii="宋体" w:hAnsi="宋体"/>
          <w:color w:val="auto"/>
          <w:szCs w:val="21"/>
          <w:highlight w:val="none"/>
          <w:lang w:eastAsia="zh-CN"/>
        </w:rPr>
        <w:t>。</w:t>
      </w:r>
    </w:p>
    <w:p w14:paraId="2DF24F40">
      <w:pPr>
        <w:pStyle w:val="26"/>
        <w:pageBreakBefore w:val="0"/>
        <w:kinsoku/>
        <w:wordWrap/>
        <w:overflowPunct/>
        <w:topLinePunct w:val="0"/>
        <w:autoSpaceDE/>
        <w:autoSpaceDN/>
        <w:bidi w:val="0"/>
        <w:spacing w:line="360" w:lineRule="auto"/>
        <w:ind w:left="0" w:right="0" w:firstLine="0" w:firstLineChars="0"/>
        <w:textAlignment w:val="auto"/>
        <w:rPr>
          <w:rFonts w:ascii="宋体" w:hAnsi="宋体"/>
          <w:color w:val="auto"/>
          <w:szCs w:val="21"/>
          <w:highlight w:val="none"/>
        </w:rPr>
      </w:pPr>
      <w:r>
        <w:rPr>
          <w:rFonts w:hint="eastAsia" w:ascii="宋体" w:hAnsi="宋体"/>
          <w:color w:val="auto"/>
          <w:szCs w:val="21"/>
          <w:highlight w:val="none"/>
        </w:rPr>
        <w:t>委托人（甲方）</w:t>
      </w:r>
      <w:r>
        <w:rPr>
          <w:rFonts w:hint="eastAsia" w:ascii="宋体" w:hAnsi="宋体"/>
          <w:color w:val="auto"/>
          <w:szCs w:val="21"/>
          <w:highlight w:val="none"/>
          <w:lang w:eastAsia="zh-CN"/>
        </w:rPr>
        <w:t>：</w:t>
      </w:r>
      <w:r>
        <w:rPr>
          <w:rFonts w:hint="eastAsia" w:ascii="宋体" w:hAnsi="宋体"/>
          <w:color w:val="auto"/>
          <w:szCs w:val="21"/>
          <w:highlight w:val="none"/>
        </w:rPr>
        <w:t>（盖单位公章）           受托人（乙方）</w:t>
      </w:r>
      <w:r>
        <w:rPr>
          <w:rFonts w:hint="eastAsia" w:ascii="宋体" w:hAnsi="宋体"/>
          <w:color w:val="auto"/>
          <w:szCs w:val="21"/>
          <w:highlight w:val="none"/>
          <w:lang w:eastAsia="zh-CN"/>
        </w:rPr>
        <w:t>：</w:t>
      </w:r>
      <w:r>
        <w:rPr>
          <w:rFonts w:hint="eastAsia" w:ascii="宋体" w:hAnsi="宋体"/>
          <w:color w:val="auto"/>
          <w:szCs w:val="21"/>
          <w:highlight w:val="none"/>
        </w:rPr>
        <w:t>（盖单位公章）</w:t>
      </w:r>
    </w:p>
    <w:p w14:paraId="241B9795">
      <w:pPr>
        <w:pStyle w:val="26"/>
        <w:pageBreakBefore w:val="0"/>
        <w:kinsoku/>
        <w:wordWrap/>
        <w:overflowPunct/>
        <w:topLinePunct w:val="0"/>
        <w:autoSpaceDE/>
        <w:autoSpaceDN/>
        <w:bidi w:val="0"/>
        <w:spacing w:line="360" w:lineRule="auto"/>
        <w:ind w:left="0" w:right="0" w:firstLine="0" w:firstLineChars="0"/>
        <w:textAlignment w:val="auto"/>
        <w:rPr>
          <w:rFonts w:ascii="宋体" w:hAnsi="宋体"/>
          <w:color w:val="auto"/>
          <w:szCs w:val="21"/>
          <w:highlight w:val="none"/>
        </w:rPr>
      </w:pP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rPr>
        <w:t xml:space="preserve">          </w:t>
      </w:r>
      <w:r>
        <w:rPr>
          <w:rFonts w:hint="eastAsia" w:ascii="宋体" w:hAnsi="宋体"/>
          <w:color w:val="auto"/>
          <w:szCs w:val="21"/>
          <w:highlight w:val="none"/>
          <w:u w:val="single"/>
        </w:rPr>
        <w:t xml:space="preserve">                          </w:t>
      </w:r>
    </w:p>
    <w:p w14:paraId="05474899">
      <w:pPr>
        <w:pStyle w:val="26"/>
        <w:pageBreakBefore w:val="0"/>
        <w:kinsoku/>
        <w:wordWrap/>
        <w:overflowPunct/>
        <w:topLinePunct w:val="0"/>
        <w:autoSpaceDE/>
        <w:autoSpaceDN/>
        <w:bidi w:val="0"/>
        <w:spacing w:line="360" w:lineRule="auto"/>
        <w:ind w:left="0" w:right="0" w:firstLine="0" w:firstLineChars="0"/>
        <w:textAlignment w:val="auto"/>
        <w:rPr>
          <w:rFonts w:ascii="宋体" w:hAnsi="宋体"/>
          <w:color w:val="auto"/>
          <w:szCs w:val="21"/>
          <w:highlight w:val="none"/>
        </w:rPr>
      </w:pPr>
      <w:r>
        <w:rPr>
          <w:rFonts w:hint="eastAsia" w:ascii="宋体" w:hAnsi="宋体"/>
          <w:color w:val="auto"/>
          <w:szCs w:val="21"/>
          <w:highlight w:val="none"/>
        </w:rPr>
        <w:t>法定代表人（签字）：                     法定代表人（签字）：</w:t>
      </w:r>
    </w:p>
    <w:p w14:paraId="281DA5EB">
      <w:pPr>
        <w:pStyle w:val="26"/>
        <w:pageBreakBefore w:val="0"/>
        <w:kinsoku/>
        <w:wordWrap/>
        <w:overflowPunct/>
        <w:topLinePunct w:val="0"/>
        <w:autoSpaceDE/>
        <w:autoSpaceDN/>
        <w:bidi w:val="0"/>
        <w:spacing w:line="360" w:lineRule="auto"/>
        <w:ind w:left="0" w:right="0" w:firstLine="0" w:firstLineChars="0"/>
        <w:textAlignment w:val="auto"/>
        <w:rPr>
          <w:rFonts w:ascii="宋体" w:hAnsi="宋体"/>
          <w:color w:val="auto"/>
          <w:szCs w:val="21"/>
          <w:highlight w:val="none"/>
        </w:rPr>
      </w:pPr>
    </w:p>
    <w:p w14:paraId="731B764F">
      <w:pPr>
        <w:pStyle w:val="26"/>
        <w:pageBreakBefore w:val="0"/>
        <w:kinsoku/>
        <w:wordWrap/>
        <w:overflowPunct/>
        <w:topLinePunct w:val="0"/>
        <w:autoSpaceDE/>
        <w:autoSpaceDN/>
        <w:bidi w:val="0"/>
        <w:spacing w:line="360" w:lineRule="auto"/>
        <w:ind w:left="0" w:right="0" w:firstLine="0" w:firstLineChars="0"/>
        <w:textAlignment w:val="auto"/>
        <w:rPr>
          <w:rFonts w:ascii="宋体" w:hAnsi="宋体"/>
          <w:color w:val="auto"/>
          <w:szCs w:val="21"/>
          <w:highlight w:val="none"/>
        </w:rPr>
      </w:pPr>
      <w:r>
        <w:rPr>
          <w:rFonts w:hint="eastAsia" w:ascii="宋体" w:hAnsi="宋体"/>
          <w:color w:val="auto"/>
          <w:szCs w:val="21"/>
          <w:highlight w:val="none"/>
        </w:rPr>
        <w:t>或委托代理人（签字）：                   或委托代理人（签字）：</w:t>
      </w:r>
    </w:p>
    <w:p w14:paraId="31548816">
      <w:pPr>
        <w:pStyle w:val="26"/>
        <w:pageBreakBefore w:val="0"/>
        <w:kinsoku/>
        <w:wordWrap/>
        <w:overflowPunct/>
        <w:topLinePunct w:val="0"/>
        <w:autoSpaceDE/>
        <w:autoSpaceDN/>
        <w:bidi w:val="0"/>
        <w:spacing w:line="360" w:lineRule="auto"/>
        <w:ind w:left="0" w:right="0" w:firstLine="0" w:firstLineChars="0"/>
        <w:textAlignment w:val="auto"/>
        <w:rPr>
          <w:rFonts w:ascii="宋体" w:hAnsi="宋体"/>
          <w:color w:val="auto"/>
          <w:szCs w:val="21"/>
          <w:highlight w:val="none"/>
        </w:rPr>
      </w:pPr>
    </w:p>
    <w:p w14:paraId="76342470">
      <w:pPr>
        <w:pageBreakBefore w:val="0"/>
        <w:kinsoku/>
        <w:wordWrap/>
        <w:overflowPunct/>
        <w:topLinePunct w:val="0"/>
        <w:autoSpaceDE/>
        <w:autoSpaceDN/>
        <w:bidi w:val="0"/>
        <w:spacing w:line="360" w:lineRule="auto"/>
        <w:ind w:left="0" w:right="0" w:firstLine="0" w:firstLineChars="0"/>
        <w:textAlignment w:val="auto"/>
        <w:rPr>
          <w:rFonts w:ascii="方正小标宋简体" w:eastAsia="方正小标宋简体"/>
          <w:color w:val="auto"/>
          <w:sz w:val="44"/>
          <w:szCs w:val="44"/>
          <w:highlight w:val="none"/>
        </w:rPr>
      </w:pPr>
      <w:bookmarkStart w:id="345" w:name="_Toc76720090"/>
      <w:bookmarkStart w:id="346" w:name="_Toc80633202"/>
      <w:r>
        <w:rPr>
          <w:rFonts w:hint="eastAsia" w:ascii="宋体" w:hAnsi="宋体" w:cs="宋体"/>
          <w:color w:val="auto"/>
          <w:sz w:val="21"/>
          <w:szCs w:val="21"/>
          <w:highlight w:val="none"/>
        </w:rPr>
        <w:t>附件</w:t>
      </w: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rPr>
        <w:t>：</w:t>
      </w:r>
      <w:r>
        <w:rPr>
          <w:rFonts w:hint="eastAsia" w:ascii="宋体" w:hAnsi="宋体"/>
          <w:color w:val="auto"/>
          <w:szCs w:val="21"/>
          <w:highlight w:val="none"/>
        </w:rPr>
        <w:t>参建单位人员廉洁承诺书</w:t>
      </w:r>
      <w:bookmarkEnd w:id="345"/>
      <w:bookmarkEnd w:id="346"/>
    </w:p>
    <w:p w14:paraId="270A4B29">
      <w:pPr>
        <w:pStyle w:val="26"/>
        <w:pageBreakBefore w:val="0"/>
        <w:kinsoku/>
        <w:wordWrap/>
        <w:overflowPunct/>
        <w:topLinePunct w:val="0"/>
        <w:autoSpaceDE/>
        <w:autoSpaceDN/>
        <w:bidi w:val="0"/>
        <w:spacing w:line="360" w:lineRule="auto"/>
        <w:ind w:left="0" w:right="0" w:firstLine="0" w:firstLineChars="0"/>
        <w:jc w:val="center"/>
        <w:textAlignment w:val="auto"/>
        <w:outlineLvl w:val="2"/>
        <w:rPr>
          <w:rFonts w:hint="eastAsia" w:ascii="宋体" w:hAnsi="宋体" w:eastAsia="宋体" w:cs="宋体"/>
          <w:b/>
          <w:bCs/>
          <w:color w:val="auto"/>
          <w:sz w:val="32"/>
          <w:szCs w:val="32"/>
          <w:highlight w:val="none"/>
        </w:rPr>
      </w:pPr>
      <w:bookmarkStart w:id="347" w:name="_Toc76720091"/>
      <w:bookmarkStart w:id="348" w:name="_Toc80633203"/>
      <w:r>
        <w:rPr>
          <w:rFonts w:hint="eastAsia" w:ascii="宋体" w:hAnsi="宋体" w:eastAsia="宋体" w:cs="宋体"/>
          <w:b/>
          <w:bCs/>
          <w:color w:val="auto"/>
          <w:sz w:val="32"/>
          <w:szCs w:val="32"/>
          <w:highlight w:val="none"/>
        </w:rPr>
        <w:t>参建单位人员廉洁承诺书</w:t>
      </w:r>
      <w:bookmarkEnd w:id="347"/>
      <w:bookmarkEnd w:id="348"/>
    </w:p>
    <w:tbl>
      <w:tblPr>
        <w:tblStyle w:val="470"/>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14:paraId="3EF01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noWrap w:val="0"/>
            <w:vAlign w:val="top"/>
          </w:tcPr>
          <w:p w14:paraId="44B281EC">
            <w:pPr>
              <w:pStyle w:val="482"/>
              <w:pageBreakBefore w:val="0"/>
              <w:kinsoku/>
              <w:wordWrap/>
              <w:overflowPunct/>
              <w:topLinePunct w:val="0"/>
              <w:autoSpaceDE/>
              <w:autoSpaceDN/>
              <w:bidi w:val="0"/>
              <w:adjustRightInd w:val="0"/>
              <w:snapToGrid w:val="0"/>
              <w:spacing w:line="360" w:lineRule="auto"/>
              <w:ind w:left="0" w:right="0" w:firstLine="0" w:firstLineChars="0"/>
              <w:textAlignment w:val="auto"/>
              <w:rPr>
                <w:rFonts w:ascii="宋体" w:hAnsi="宋体" w:cs="宋体"/>
                <w:color w:val="auto"/>
                <w:sz w:val="21"/>
                <w:szCs w:val="21"/>
                <w:highlight w:val="none"/>
              </w:rPr>
            </w:pPr>
            <w:r>
              <w:rPr>
                <w:rFonts w:hint="eastAsia" w:ascii="宋体" w:hAnsi="宋体" w:cs="宋体"/>
                <w:color w:val="auto"/>
                <w:sz w:val="21"/>
                <w:szCs w:val="21"/>
                <w:highlight w:val="none"/>
              </w:rPr>
              <w:t>为加强廉政建设，规范各项公务活动，防止违法违纪行为发生，自愿接受监督，现作以下承诺：</w:t>
            </w:r>
          </w:p>
          <w:p w14:paraId="6DD4F613">
            <w:pPr>
              <w:pStyle w:val="482"/>
              <w:pageBreakBefore w:val="0"/>
              <w:kinsoku/>
              <w:wordWrap/>
              <w:overflowPunct/>
              <w:topLinePunct w:val="0"/>
              <w:autoSpaceDE/>
              <w:autoSpaceDN/>
              <w:bidi w:val="0"/>
              <w:adjustRightInd w:val="0"/>
              <w:snapToGrid w:val="0"/>
              <w:spacing w:line="360" w:lineRule="auto"/>
              <w:ind w:left="0" w:right="0" w:firstLine="0" w:firstLineChars="0"/>
              <w:textAlignment w:val="auto"/>
              <w:rPr>
                <w:rFonts w:ascii="宋体" w:hAnsi="宋体" w:cs="宋体"/>
                <w:color w:val="auto"/>
                <w:sz w:val="21"/>
                <w:szCs w:val="21"/>
                <w:highlight w:val="none"/>
              </w:rPr>
            </w:pPr>
            <w:r>
              <w:rPr>
                <w:rFonts w:hint="eastAsia" w:ascii="宋体" w:hAnsi="宋体" w:cs="宋体"/>
                <w:color w:val="auto"/>
                <w:sz w:val="21"/>
                <w:szCs w:val="21"/>
                <w:highlight w:val="none"/>
              </w:rPr>
              <w:t>一、严格遵守国家关于市场准入、项目招投标、工程建设、施工安装和市场活动等各项规定。</w:t>
            </w:r>
          </w:p>
          <w:p w14:paraId="4887B78E">
            <w:pPr>
              <w:pStyle w:val="482"/>
              <w:pageBreakBefore w:val="0"/>
              <w:kinsoku/>
              <w:wordWrap/>
              <w:overflowPunct/>
              <w:topLinePunct w:val="0"/>
              <w:autoSpaceDE/>
              <w:autoSpaceDN/>
              <w:bidi w:val="0"/>
              <w:adjustRightInd w:val="0"/>
              <w:snapToGrid w:val="0"/>
              <w:spacing w:line="360" w:lineRule="auto"/>
              <w:ind w:left="0" w:right="0" w:firstLine="0" w:firstLineChars="0"/>
              <w:textAlignment w:val="auto"/>
              <w:rPr>
                <w:rFonts w:ascii="宋体" w:hAnsi="宋体" w:cs="宋体"/>
                <w:color w:val="auto"/>
                <w:sz w:val="21"/>
                <w:szCs w:val="21"/>
                <w:highlight w:val="none"/>
              </w:rPr>
            </w:pPr>
            <w:r>
              <w:rPr>
                <w:rFonts w:hint="eastAsia" w:ascii="宋体" w:hAnsi="宋体" w:cs="宋体"/>
                <w:color w:val="auto"/>
                <w:sz w:val="21"/>
                <w:szCs w:val="21"/>
                <w:highlight w:val="none"/>
              </w:rPr>
              <w:t>二、严格遵守国家法律法规及廉政建设的各项规定，并按要求落实廉洁教育责任，公布举报电话，自觉接受监督。</w:t>
            </w:r>
          </w:p>
          <w:p w14:paraId="4C652345">
            <w:pPr>
              <w:pStyle w:val="482"/>
              <w:pageBreakBefore w:val="0"/>
              <w:kinsoku/>
              <w:wordWrap/>
              <w:overflowPunct/>
              <w:topLinePunct w:val="0"/>
              <w:autoSpaceDE/>
              <w:autoSpaceDN/>
              <w:bidi w:val="0"/>
              <w:adjustRightInd w:val="0"/>
              <w:snapToGrid w:val="0"/>
              <w:spacing w:line="360" w:lineRule="auto"/>
              <w:ind w:left="0" w:right="0" w:firstLine="0" w:firstLineChars="0"/>
              <w:textAlignment w:val="auto"/>
              <w:rPr>
                <w:rFonts w:ascii="宋体" w:hAnsi="宋体" w:cs="宋体"/>
                <w:color w:val="auto"/>
                <w:sz w:val="21"/>
                <w:szCs w:val="21"/>
                <w:highlight w:val="none"/>
              </w:rPr>
            </w:pPr>
            <w:r>
              <w:rPr>
                <w:rFonts w:hint="eastAsia" w:ascii="宋体" w:hAnsi="宋体" w:cs="宋体"/>
                <w:color w:val="auto"/>
                <w:sz w:val="21"/>
                <w:szCs w:val="21"/>
                <w:highlight w:val="none"/>
              </w:rPr>
              <w:t>三、严格执行合同文件，履行权利义务（债权、债务）。</w:t>
            </w:r>
          </w:p>
          <w:p w14:paraId="5B9FFFB6">
            <w:pPr>
              <w:pStyle w:val="482"/>
              <w:pageBreakBefore w:val="0"/>
              <w:kinsoku/>
              <w:wordWrap/>
              <w:overflowPunct/>
              <w:topLinePunct w:val="0"/>
              <w:autoSpaceDE/>
              <w:autoSpaceDN/>
              <w:bidi w:val="0"/>
              <w:adjustRightInd w:val="0"/>
              <w:snapToGrid w:val="0"/>
              <w:spacing w:line="360" w:lineRule="auto"/>
              <w:ind w:left="0" w:right="0" w:firstLine="0" w:firstLineChars="0"/>
              <w:textAlignment w:val="auto"/>
              <w:rPr>
                <w:rFonts w:ascii="宋体" w:hAnsi="宋体" w:cs="宋体"/>
                <w:color w:val="auto"/>
                <w:sz w:val="21"/>
                <w:szCs w:val="21"/>
                <w:highlight w:val="none"/>
              </w:rPr>
            </w:pPr>
            <w:r>
              <w:rPr>
                <w:rFonts w:hint="eastAsia" w:ascii="宋体" w:hAnsi="宋体" w:cs="宋体"/>
                <w:color w:val="auto"/>
                <w:sz w:val="21"/>
                <w:szCs w:val="21"/>
                <w:highlight w:val="none"/>
              </w:rPr>
              <w:t>四、不组织任何形式有可能影响甲方公正执行公务的宴请、健身、娱乐等活动；不向甲方工作人员赠送礼金、有价证券、通讯工具、贵重物品及回扣、好处费、感谢费等财物。</w:t>
            </w:r>
          </w:p>
          <w:p w14:paraId="465D55CF">
            <w:pPr>
              <w:pStyle w:val="482"/>
              <w:pageBreakBefore w:val="0"/>
              <w:kinsoku/>
              <w:wordWrap/>
              <w:overflowPunct/>
              <w:topLinePunct w:val="0"/>
              <w:autoSpaceDE/>
              <w:autoSpaceDN/>
              <w:bidi w:val="0"/>
              <w:adjustRightInd w:val="0"/>
              <w:snapToGrid w:val="0"/>
              <w:spacing w:line="360" w:lineRule="auto"/>
              <w:ind w:left="0" w:right="0" w:firstLine="0" w:firstLineChars="0"/>
              <w:textAlignment w:val="auto"/>
              <w:rPr>
                <w:rFonts w:ascii="宋体" w:hAnsi="宋体" w:cs="宋体"/>
                <w:color w:val="auto"/>
                <w:sz w:val="21"/>
                <w:szCs w:val="21"/>
                <w:highlight w:val="none"/>
              </w:rPr>
            </w:pPr>
            <w:r>
              <w:rPr>
                <w:rFonts w:hint="eastAsia" w:ascii="宋体" w:hAnsi="宋体" w:cs="宋体"/>
                <w:color w:val="auto"/>
                <w:sz w:val="21"/>
                <w:szCs w:val="21"/>
                <w:highlight w:val="none"/>
              </w:rPr>
              <w:t>五、不以任何理由为甲方及其相关单位或个人报销非公务费用，不为其装修住房、婚丧嫁娶、配偶子女的工作安排以及出国（境）、旅游等提供方便。</w:t>
            </w:r>
          </w:p>
          <w:p w14:paraId="66526FB0">
            <w:pPr>
              <w:pStyle w:val="482"/>
              <w:pageBreakBefore w:val="0"/>
              <w:kinsoku/>
              <w:wordWrap/>
              <w:overflowPunct/>
              <w:topLinePunct w:val="0"/>
              <w:autoSpaceDE/>
              <w:autoSpaceDN/>
              <w:bidi w:val="0"/>
              <w:adjustRightInd w:val="0"/>
              <w:snapToGrid w:val="0"/>
              <w:spacing w:line="360" w:lineRule="auto"/>
              <w:ind w:left="0" w:right="0" w:firstLine="0" w:firstLineChars="0"/>
              <w:textAlignment w:val="auto"/>
              <w:rPr>
                <w:rFonts w:ascii="宋体" w:hAnsi="宋体" w:cs="宋体"/>
                <w:color w:val="auto"/>
                <w:sz w:val="21"/>
                <w:szCs w:val="21"/>
                <w:highlight w:val="none"/>
              </w:rPr>
            </w:pPr>
            <w:r>
              <w:rPr>
                <w:rFonts w:hint="eastAsia" w:ascii="宋体" w:hAnsi="宋体" w:cs="宋体"/>
                <w:color w:val="auto"/>
                <w:sz w:val="21"/>
                <w:szCs w:val="21"/>
                <w:highlight w:val="none"/>
              </w:rPr>
              <w:t xml:space="preserve">六、发现对方在业务活动中有违法、违纪、违规行为的，应及时提醒对方，情节严重的，应向其上级主管部门或纪检监察、司法等机关举报。   </w:t>
            </w:r>
          </w:p>
          <w:p w14:paraId="576BB5C1">
            <w:pPr>
              <w:pStyle w:val="482"/>
              <w:pageBreakBefore w:val="0"/>
              <w:kinsoku/>
              <w:wordWrap/>
              <w:overflowPunct/>
              <w:topLinePunct w:val="0"/>
              <w:autoSpaceDE/>
              <w:autoSpaceDN/>
              <w:bidi w:val="0"/>
              <w:adjustRightInd w:val="0"/>
              <w:snapToGrid w:val="0"/>
              <w:spacing w:line="360" w:lineRule="auto"/>
              <w:ind w:left="0" w:right="0" w:firstLine="0" w:firstLineChars="0"/>
              <w:textAlignment w:val="auto"/>
              <w:rPr>
                <w:rFonts w:ascii="宋体" w:hAnsi="宋体" w:cs="宋体"/>
                <w:color w:val="auto"/>
                <w:sz w:val="21"/>
                <w:szCs w:val="21"/>
                <w:highlight w:val="none"/>
              </w:rPr>
            </w:pPr>
          </w:p>
          <w:p w14:paraId="1469C063">
            <w:pPr>
              <w:pStyle w:val="482"/>
              <w:pageBreakBefore w:val="0"/>
              <w:kinsoku/>
              <w:wordWrap/>
              <w:overflowPunct/>
              <w:topLinePunct w:val="0"/>
              <w:autoSpaceDE/>
              <w:autoSpaceDN/>
              <w:bidi w:val="0"/>
              <w:adjustRightInd w:val="0"/>
              <w:snapToGrid w:val="0"/>
              <w:spacing w:line="360" w:lineRule="auto"/>
              <w:ind w:left="0" w:right="0" w:firstLine="0" w:firstLineChars="0"/>
              <w:textAlignment w:val="auto"/>
              <w:rPr>
                <w:rFonts w:ascii="宋体" w:hAnsi="宋体" w:cs="宋体"/>
                <w:color w:val="auto"/>
                <w:sz w:val="21"/>
                <w:szCs w:val="21"/>
                <w:highlight w:val="none"/>
              </w:rPr>
            </w:pPr>
            <w:r>
              <w:rPr>
                <w:rFonts w:hint="eastAsia" w:ascii="宋体" w:hAnsi="宋体" w:cs="宋体"/>
                <w:color w:val="auto"/>
                <w:sz w:val="21"/>
                <w:szCs w:val="21"/>
                <w:highlight w:val="none"/>
              </w:rPr>
              <w:t>参建单位：                   （盖章）</w:t>
            </w:r>
          </w:p>
          <w:p w14:paraId="2FF548A1">
            <w:pPr>
              <w:pStyle w:val="482"/>
              <w:pageBreakBefore w:val="0"/>
              <w:kinsoku/>
              <w:wordWrap/>
              <w:overflowPunct/>
              <w:topLinePunct w:val="0"/>
              <w:autoSpaceDE/>
              <w:autoSpaceDN/>
              <w:bidi w:val="0"/>
              <w:adjustRightInd w:val="0"/>
              <w:snapToGrid w:val="0"/>
              <w:spacing w:line="360" w:lineRule="auto"/>
              <w:ind w:left="0" w:right="0" w:firstLine="0" w:firstLineChars="0"/>
              <w:textAlignment w:val="auto"/>
              <w:rPr>
                <w:rFonts w:ascii="宋体" w:hAnsi="宋体" w:cs="宋体"/>
                <w:color w:val="auto"/>
                <w:sz w:val="21"/>
                <w:szCs w:val="21"/>
                <w:highlight w:val="none"/>
              </w:rPr>
            </w:pPr>
            <w:r>
              <w:rPr>
                <w:rFonts w:hint="eastAsia" w:ascii="宋体" w:hAnsi="宋体" w:cs="宋体"/>
                <w:color w:val="auto"/>
                <w:sz w:val="21"/>
                <w:szCs w:val="21"/>
                <w:highlight w:val="none"/>
              </w:rPr>
              <w:t>法定代表人或委托代理人：      （签字或盖章）</w:t>
            </w:r>
          </w:p>
          <w:p w14:paraId="27C26DE9">
            <w:pPr>
              <w:pStyle w:val="482"/>
              <w:pageBreakBefore w:val="0"/>
              <w:kinsoku/>
              <w:wordWrap/>
              <w:overflowPunct/>
              <w:topLinePunct w:val="0"/>
              <w:autoSpaceDE/>
              <w:autoSpaceDN/>
              <w:bidi w:val="0"/>
              <w:adjustRightInd w:val="0"/>
              <w:snapToGrid w:val="0"/>
              <w:spacing w:line="360" w:lineRule="auto"/>
              <w:ind w:left="0" w:right="0" w:firstLine="0" w:firstLineChars="0"/>
              <w:textAlignment w:val="auto"/>
              <w:rPr>
                <w:rFonts w:ascii="宋体" w:hAnsi="宋体" w:cs="宋体"/>
                <w:color w:val="auto"/>
                <w:sz w:val="21"/>
                <w:szCs w:val="21"/>
                <w:highlight w:val="none"/>
              </w:rPr>
            </w:pPr>
          </w:p>
          <w:p w14:paraId="0CD3B5DB">
            <w:pPr>
              <w:pStyle w:val="482"/>
              <w:pageBreakBefore w:val="0"/>
              <w:kinsoku/>
              <w:wordWrap/>
              <w:overflowPunct/>
              <w:topLinePunct w:val="0"/>
              <w:autoSpaceDE/>
              <w:autoSpaceDN/>
              <w:bidi w:val="0"/>
              <w:adjustRightInd w:val="0"/>
              <w:snapToGrid w:val="0"/>
              <w:spacing w:line="360" w:lineRule="auto"/>
              <w:ind w:left="0" w:right="0" w:firstLine="0" w:firstLineChars="0"/>
              <w:textAlignment w:val="auto"/>
              <w:rPr>
                <w:rFonts w:ascii="仿宋" w:hAnsi="仿宋" w:eastAsia="仿宋"/>
                <w:color w:val="auto"/>
                <w:sz w:val="32"/>
                <w:szCs w:val="32"/>
                <w:highlight w:val="none"/>
              </w:rPr>
            </w:pPr>
            <w:r>
              <w:rPr>
                <w:rFonts w:hint="eastAsia" w:ascii="宋体" w:hAnsi="宋体" w:cs="宋体"/>
                <w:color w:val="auto"/>
                <w:sz w:val="21"/>
                <w:szCs w:val="21"/>
                <w:highlight w:val="none"/>
              </w:rPr>
              <w:t>日期：    年   月   日</w:t>
            </w:r>
          </w:p>
        </w:tc>
      </w:tr>
    </w:tbl>
    <w:p w14:paraId="20467B55">
      <w:pPr>
        <w:pStyle w:val="5"/>
        <w:pageBreakBefore w:val="0"/>
        <w:kinsoku/>
        <w:wordWrap/>
        <w:overflowPunct/>
        <w:topLinePunct w:val="0"/>
        <w:autoSpaceDE/>
        <w:autoSpaceDN/>
        <w:bidi w:val="0"/>
        <w:spacing w:after="0" w:afterLines="0" w:line="360" w:lineRule="auto"/>
        <w:ind w:left="0" w:right="0" w:firstLine="0" w:firstLineChars="0"/>
        <w:textAlignment w:val="auto"/>
        <w:rPr>
          <w:color w:val="auto"/>
          <w:sz w:val="20"/>
          <w:szCs w:val="20"/>
          <w:highlight w:val="none"/>
        </w:rPr>
      </w:pPr>
    </w:p>
    <w:p w14:paraId="4DFE1A09">
      <w:pPr>
        <w:pStyle w:val="5"/>
        <w:pageBreakBefore w:val="0"/>
        <w:kinsoku/>
        <w:wordWrap/>
        <w:overflowPunct/>
        <w:topLinePunct w:val="0"/>
        <w:autoSpaceDE/>
        <w:autoSpaceDN/>
        <w:bidi w:val="0"/>
        <w:spacing w:after="0" w:afterLines="0" w:line="360" w:lineRule="auto"/>
        <w:ind w:left="0" w:right="0" w:firstLine="0" w:firstLineChars="0"/>
        <w:textAlignment w:val="auto"/>
        <w:rPr>
          <w:color w:val="auto"/>
          <w:sz w:val="20"/>
          <w:szCs w:val="20"/>
          <w:highlight w:val="none"/>
        </w:rPr>
      </w:pPr>
    </w:p>
    <w:p w14:paraId="40078B50">
      <w:pPr>
        <w:pStyle w:val="5"/>
        <w:pageBreakBefore w:val="0"/>
        <w:kinsoku/>
        <w:wordWrap/>
        <w:overflowPunct/>
        <w:topLinePunct w:val="0"/>
        <w:autoSpaceDE/>
        <w:autoSpaceDN/>
        <w:bidi w:val="0"/>
        <w:spacing w:after="0" w:afterLines="0" w:line="360" w:lineRule="auto"/>
        <w:ind w:left="0" w:right="0" w:firstLine="0" w:firstLineChars="0"/>
        <w:textAlignment w:val="auto"/>
        <w:rPr>
          <w:color w:val="auto"/>
          <w:sz w:val="20"/>
          <w:szCs w:val="20"/>
          <w:highlight w:val="none"/>
        </w:rPr>
      </w:pPr>
    </w:p>
    <w:p w14:paraId="689B7F24">
      <w:pPr>
        <w:pageBreakBefore w:val="0"/>
        <w:widowControl/>
        <w:kinsoku/>
        <w:wordWrap/>
        <w:overflowPunct/>
        <w:topLinePunct w:val="0"/>
        <w:autoSpaceDE/>
        <w:autoSpaceDN/>
        <w:bidi w:val="0"/>
        <w:snapToGrid w:val="0"/>
        <w:spacing w:line="360" w:lineRule="auto"/>
        <w:ind w:left="0" w:right="0" w:firstLine="0" w:firstLineChars="0"/>
        <w:jc w:val="left"/>
        <w:textAlignment w:val="auto"/>
        <w:outlineLvl w:val="2"/>
        <w:rPr>
          <w:color w:val="auto"/>
          <w:szCs w:val="21"/>
          <w:highlight w:val="none"/>
        </w:rPr>
      </w:pPr>
      <w:bookmarkStart w:id="349" w:name="_Toc76720092"/>
      <w:bookmarkStart w:id="350" w:name="_Toc80633204"/>
      <w:r>
        <w:rPr>
          <w:rFonts w:ascii="宋体" w:hAnsi="宋体"/>
          <w:color w:val="auto"/>
          <w:szCs w:val="21"/>
          <w:highlight w:val="none"/>
        </w:rPr>
        <w:br w:type="page"/>
      </w:r>
      <w:r>
        <w:rPr>
          <w:rFonts w:hint="eastAsia" w:ascii="宋体" w:hAnsi="宋体"/>
          <w:color w:val="auto"/>
          <w:szCs w:val="21"/>
          <w:highlight w:val="none"/>
        </w:rPr>
        <w:t>合同附件</w:t>
      </w:r>
      <w:r>
        <w:rPr>
          <w:rFonts w:hint="eastAsia" w:ascii="宋体" w:hAnsi="宋体"/>
          <w:color w:val="auto"/>
          <w:szCs w:val="21"/>
          <w:highlight w:val="none"/>
          <w:lang w:val="en-US" w:eastAsia="zh-CN"/>
        </w:rPr>
        <w:t>5</w:t>
      </w:r>
      <w:r>
        <w:rPr>
          <w:rFonts w:hint="eastAsia" w:ascii="宋体" w:hAnsi="宋体"/>
          <w:color w:val="auto"/>
          <w:szCs w:val="21"/>
          <w:highlight w:val="none"/>
        </w:rPr>
        <w:t xml:space="preserve">  安全</w:t>
      </w:r>
      <w:bookmarkEnd w:id="344"/>
      <w:r>
        <w:rPr>
          <w:rFonts w:hint="eastAsia" w:ascii="宋体" w:hAnsi="宋体"/>
          <w:color w:val="auto"/>
          <w:szCs w:val="21"/>
          <w:highlight w:val="none"/>
        </w:rPr>
        <w:t>协议</w:t>
      </w:r>
      <w:bookmarkEnd w:id="349"/>
      <w:bookmarkEnd w:id="350"/>
    </w:p>
    <w:p w14:paraId="141974B5">
      <w:pPr>
        <w:pageBreakBefore w:val="0"/>
        <w:kinsoku/>
        <w:wordWrap/>
        <w:overflowPunct/>
        <w:topLinePunct w:val="0"/>
        <w:autoSpaceDE/>
        <w:autoSpaceDN/>
        <w:bidi w:val="0"/>
        <w:spacing w:line="360" w:lineRule="auto"/>
        <w:ind w:left="0" w:right="0" w:firstLine="0" w:firstLineChars="0"/>
        <w:textAlignment w:val="auto"/>
        <w:rPr>
          <w:color w:val="auto"/>
          <w:highlight w:val="none"/>
        </w:rPr>
      </w:pPr>
    </w:p>
    <w:p w14:paraId="3232B2F1">
      <w:pPr>
        <w:pageBreakBefore w:val="0"/>
        <w:kinsoku/>
        <w:wordWrap/>
        <w:overflowPunct/>
        <w:topLinePunct w:val="0"/>
        <w:autoSpaceDE/>
        <w:autoSpaceDN/>
        <w:bidi w:val="0"/>
        <w:spacing w:line="360" w:lineRule="auto"/>
        <w:ind w:left="0" w:right="0" w:firstLine="0" w:firstLineChars="0"/>
        <w:jc w:val="center"/>
        <w:textAlignment w:val="auto"/>
        <w:rPr>
          <w:b/>
          <w:color w:val="auto"/>
          <w:sz w:val="32"/>
          <w:szCs w:val="32"/>
          <w:highlight w:val="none"/>
        </w:rPr>
      </w:pPr>
      <w:r>
        <w:rPr>
          <w:rFonts w:hint="eastAsia"/>
          <w:b/>
          <w:color w:val="auto"/>
          <w:sz w:val="32"/>
          <w:szCs w:val="32"/>
          <w:highlight w:val="none"/>
        </w:rPr>
        <w:t>安全协议</w:t>
      </w:r>
    </w:p>
    <w:p w14:paraId="482F954C">
      <w:pPr>
        <w:pageBreakBefore w:val="0"/>
        <w:kinsoku/>
        <w:wordWrap/>
        <w:overflowPunct/>
        <w:topLinePunct w:val="0"/>
        <w:autoSpaceDE/>
        <w:autoSpaceDN/>
        <w:bidi w:val="0"/>
        <w:spacing w:line="360" w:lineRule="auto"/>
        <w:ind w:left="0" w:right="0" w:firstLine="0" w:firstLineChars="0"/>
        <w:textAlignment w:val="auto"/>
        <w:rPr>
          <w:rFonts w:hint="default" w:ascii="宋体" w:eastAsia="宋体"/>
          <w:b/>
          <w:bCs/>
          <w:color w:val="auto"/>
          <w:highlight w:val="none"/>
          <w:u w:val="single"/>
          <w:lang w:val="en-US" w:eastAsia="zh-CN"/>
        </w:rPr>
      </w:pPr>
      <w:r>
        <w:rPr>
          <w:rFonts w:hint="eastAsia" w:ascii="宋体" w:hAnsi="宋体" w:cs="宋体"/>
          <w:b/>
          <w:bCs/>
          <w:color w:val="auto"/>
          <w:highlight w:val="none"/>
        </w:rPr>
        <w:t>甲方：</w:t>
      </w:r>
      <w:r>
        <w:rPr>
          <w:rFonts w:hint="eastAsia" w:ascii="宋体" w:hAnsi="宋体" w:cs="宋体"/>
          <w:b/>
          <w:bCs/>
          <w:color w:val="auto"/>
          <w:highlight w:val="none"/>
          <w:u w:val="single"/>
          <w:lang w:val="en-US" w:eastAsia="zh-CN"/>
        </w:rPr>
        <w:t xml:space="preserve">  </w:t>
      </w:r>
      <w:r>
        <w:rPr>
          <w:rFonts w:hint="eastAsia" w:ascii="宋体" w:hAnsi="宋体" w:cs="宋体"/>
          <w:b w:val="0"/>
          <w:bCs w:val="0"/>
          <w:color w:val="auto"/>
          <w:highlight w:val="none"/>
          <w:u w:val="single"/>
          <w:lang w:val="en-US" w:eastAsia="zh-CN"/>
        </w:rPr>
        <w:t>广州白云新能源科技有限公司</w:t>
      </w:r>
    </w:p>
    <w:p w14:paraId="07B13822">
      <w:pPr>
        <w:pageBreakBefore w:val="0"/>
        <w:kinsoku/>
        <w:wordWrap/>
        <w:overflowPunct/>
        <w:topLinePunct w:val="0"/>
        <w:autoSpaceDE/>
        <w:autoSpaceDN/>
        <w:bidi w:val="0"/>
        <w:spacing w:line="360" w:lineRule="auto"/>
        <w:ind w:left="0" w:right="0" w:firstLine="0" w:firstLineChars="0"/>
        <w:textAlignment w:val="auto"/>
        <w:rPr>
          <w:rFonts w:ascii="宋体"/>
          <w:b/>
          <w:bCs/>
          <w:i/>
          <w:iCs/>
          <w:color w:val="auto"/>
          <w:highlight w:val="none"/>
          <w:u w:val="single"/>
        </w:rPr>
      </w:pPr>
      <w:r>
        <w:rPr>
          <w:rFonts w:hint="eastAsia" w:ascii="宋体" w:hAnsi="宋体" w:cs="宋体"/>
          <w:b/>
          <w:bCs/>
          <w:color w:val="auto"/>
          <w:highlight w:val="none"/>
        </w:rPr>
        <w:t xml:space="preserve">乙方： </w:t>
      </w:r>
      <w:r>
        <w:rPr>
          <w:rFonts w:hint="eastAsia" w:ascii="宋体" w:hAnsi="宋体" w:cs="宋体"/>
          <w:b/>
          <w:bCs/>
          <w:color w:val="auto"/>
          <w:highlight w:val="none"/>
          <w:u w:val="single"/>
        </w:rPr>
        <w:t xml:space="preserve">                       </w:t>
      </w:r>
      <w:r>
        <w:rPr>
          <w:rFonts w:hint="eastAsia" w:ascii="宋体" w:hAnsi="宋体" w:cs="宋体"/>
          <w:b/>
          <w:bCs/>
          <w:color w:val="auto"/>
          <w:highlight w:val="none"/>
        </w:rPr>
        <w:t xml:space="preserve">  </w:t>
      </w:r>
    </w:p>
    <w:p w14:paraId="1F47616E">
      <w:pPr>
        <w:pageBreakBefore w:val="0"/>
        <w:kinsoku/>
        <w:wordWrap/>
        <w:overflowPunct/>
        <w:topLinePunct w:val="0"/>
        <w:autoSpaceDE/>
        <w:autoSpaceDN/>
        <w:bidi w:val="0"/>
        <w:spacing w:line="360" w:lineRule="auto"/>
        <w:ind w:left="0" w:right="0" w:firstLine="0" w:firstLineChars="0"/>
        <w:textAlignment w:val="auto"/>
        <w:rPr>
          <w:rFonts w:ascii="宋体"/>
          <w:color w:val="auto"/>
          <w:highlight w:val="none"/>
        </w:rPr>
      </w:pPr>
      <w:r>
        <w:rPr>
          <w:rFonts w:hint="eastAsia" w:ascii="宋体" w:hAnsi="宋体" w:cs="宋体"/>
          <w:color w:val="auto"/>
          <w:highlight w:val="none"/>
        </w:rPr>
        <w:t>为保证项目施工安全，防止事故的发生，明确甲、乙双方的安全责任，根据《中华人民共和国安全生产法》、《中华人民共和国建设工程安全生产管理条例》、</w:t>
      </w:r>
      <w:r>
        <w:rPr>
          <w:rFonts w:hint="eastAsia" w:ascii="宋体" w:hAnsi="宋体" w:cs="宋体"/>
          <w:color w:val="auto"/>
          <w:highlight w:val="none"/>
          <w:lang w:val="en-US" w:eastAsia="zh-CN"/>
        </w:rPr>
        <w:t>甲方</w:t>
      </w:r>
      <w:r>
        <w:rPr>
          <w:rFonts w:hint="eastAsia" w:ascii="宋体" w:hAnsi="宋体" w:cs="宋体"/>
          <w:color w:val="auto"/>
          <w:highlight w:val="none"/>
        </w:rPr>
        <w:t>有关安全管理制度的各项规定，经甲、乙双方协商，达成如下合同协议条款，作为正式合同的补充规定：</w:t>
      </w:r>
    </w:p>
    <w:p w14:paraId="0D1CA0FC">
      <w:pPr>
        <w:pageBreakBefore w:val="0"/>
        <w:numPr>
          <w:ilvl w:val="0"/>
          <w:numId w:val="64"/>
        </w:numPr>
        <w:tabs>
          <w:tab w:val="left" w:pos="567"/>
          <w:tab w:val="clear" w:pos="1440"/>
        </w:tabs>
        <w:kinsoku/>
        <w:wordWrap/>
        <w:overflowPunct/>
        <w:topLinePunct w:val="0"/>
        <w:autoSpaceDE/>
        <w:autoSpaceDN/>
        <w:bidi w:val="0"/>
        <w:spacing w:line="360" w:lineRule="auto"/>
        <w:ind w:left="0" w:right="0" w:firstLine="0" w:firstLineChars="0"/>
        <w:textAlignment w:val="auto"/>
        <w:rPr>
          <w:rFonts w:ascii="宋体"/>
          <w:color w:val="auto"/>
          <w:highlight w:val="none"/>
        </w:rPr>
      </w:pPr>
      <w:r>
        <w:rPr>
          <w:rFonts w:hint="eastAsia" w:ascii="宋体" w:hAnsi="宋体" w:cs="宋体"/>
          <w:b/>
          <w:bCs/>
          <w:color w:val="auto"/>
          <w:highlight w:val="none"/>
        </w:rPr>
        <w:t>甲方安全责任</w:t>
      </w:r>
    </w:p>
    <w:p w14:paraId="70542F05">
      <w:pPr>
        <w:pageBreakBefore w:val="0"/>
        <w:kinsoku/>
        <w:wordWrap/>
        <w:overflowPunct/>
        <w:topLinePunct w:val="0"/>
        <w:autoSpaceDE/>
        <w:autoSpaceDN/>
        <w:bidi w:val="0"/>
        <w:spacing w:line="360" w:lineRule="auto"/>
        <w:ind w:left="0" w:right="0" w:firstLine="0" w:firstLineChars="0"/>
        <w:textAlignment w:val="auto"/>
        <w:rPr>
          <w:rFonts w:ascii="宋体"/>
          <w:color w:val="auto"/>
          <w:highlight w:val="none"/>
        </w:rPr>
      </w:pPr>
      <w:r>
        <w:rPr>
          <w:rFonts w:ascii="宋体" w:hAnsi="宋体" w:cs="宋体"/>
          <w:color w:val="auto"/>
          <w:highlight w:val="none"/>
        </w:rPr>
        <w:t>1</w:t>
      </w:r>
      <w:r>
        <w:rPr>
          <w:rFonts w:hint="eastAsia" w:ascii="宋体" w:hAnsi="宋体" w:cs="宋体"/>
          <w:color w:val="auto"/>
          <w:highlight w:val="none"/>
        </w:rPr>
        <w:t>、协助乙方开展现场危害辨识和风险评估、制定施工方案。</w:t>
      </w:r>
    </w:p>
    <w:p w14:paraId="0B572864">
      <w:pPr>
        <w:pageBreakBefore w:val="0"/>
        <w:kinsoku/>
        <w:wordWrap/>
        <w:overflowPunct/>
        <w:topLinePunct w:val="0"/>
        <w:autoSpaceDE/>
        <w:autoSpaceDN/>
        <w:bidi w:val="0"/>
        <w:snapToGrid w:val="0"/>
        <w:spacing w:line="360" w:lineRule="auto"/>
        <w:ind w:left="0" w:right="0" w:firstLine="0" w:firstLineChars="0"/>
        <w:textAlignment w:val="auto"/>
        <w:rPr>
          <w:rFonts w:ascii="宋体"/>
          <w:color w:val="auto"/>
          <w:highlight w:val="none"/>
        </w:rPr>
      </w:pPr>
      <w:r>
        <w:rPr>
          <w:rFonts w:hint="eastAsia" w:ascii="宋体" w:hAnsi="宋体" w:cs="宋体"/>
          <w:color w:val="auto"/>
          <w:highlight w:val="none"/>
        </w:rPr>
        <w:t>2、向乙方进行安全技术交底并要求乙方指定人员协调安全事宜，包括施工现场安全措施布置情况、设施设备运行情况、危险区域或部位、安全注意事项、生产运行现场应急疏散要求等。</w:t>
      </w:r>
    </w:p>
    <w:p w14:paraId="162ABD7B">
      <w:pPr>
        <w:pageBreakBefore w:val="0"/>
        <w:kinsoku/>
        <w:wordWrap/>
        <w:overflowPunct/>
        <w:topLinePunct w:val="0"/>
        <w:autoSpaceDE/>
        <w:autoSpaceDN/>
        <w:bidi w:val="0"/>
        <w:snapToGrid w:val="0"/>
        <w:spacing w:line="360" w:lineRule="auto"/>
        <w:ind w:left="0" w:right="0" w:firstLine="0" w:firstLineChars="0"/>
        <w:textAlignment w:val="auto"/>
        <w:rPr>
          <w:rFonts w:ascii="宋体"/>
          <w:color w:val="auto"/>
          <w:highlight w:val="none"/>
        </w:rPr>
      </w:pPr>
      <w:r>
        <w:rPr>
          <w:rFonts w:hint="eastAsia" w:ascii="宋体" w:hAnsi="宋体" w:cs="宋体"/>
          <w:color w:val="auto"/>
          <w:highlight w:val="none"/>
        </w:rPr>
        <w:t>3、审批乙方编制的涉及生产运行区域、设备的施工方案，配合乙方做好生产运行现场的安全措施。</w:t>
      </w:r>
    </w:p>
    <w:p w14:paraId="79AF971C">
      <w:pPr>
        <w:pageBreakBefore w:val="0"/>
        <w:kinsoku/>
        <w:wordWrap/>
        <w:overflowPunct/>
        <w:topLinePunct w:val="0"/>
        <w:autoSpaceDE/>
        <w:autoSpaceDN/>
        <w:bidi w:val="0"/>
        <w:snapToGrid w:val="0"/>
        <w:spacing w:line="360" w:lineRule="auto"/>
        <w:ind w:left="0" w:right="0" w:firstLine="0" w:firstLineChars="0"/>
        <w:textAlignment w:val="auto"/>
        <w:rPr>
          <w:rFonts w:ascii="宋体"/>
          <w:color w:val="auto"/>
          <w:highlight w:val="none"/>
        </w:rPr>
      </w:pPr>
      <w:r>
        <w:rPr>
          <w:rFonts w:hint="eastAsia" w:ascii="宋体" w:hAnsi="宋体" w:cs="宋体"/>
          <w:color w:val="auto"/>
          <w:highlight w:val="none"/>
        </w:rPr>
        <w:t>4、对施工现场进行监督检查，及时纠正违章行为，对高风险作业过程加强监管。</w:t>
      </w:r>
    </w:p>
    <w:p w14:paraId="7F5B4676">
      <w:pPr>
        <w:pageBreakBefore w:val="0"/>
        <w:kinsoku/>
        <w:wordWrap/>
        <w:overflowPunct/>
        <w:topLinePunct w:val="0"/>
        <w:autoSpaceDE/>
        <w:autoSpaceDN/>
        <w:bidi w:val="0"/>
        <w:snapToGrid w:val="0"/>
        <w:spacing w:line="360" w:lineRule="auto"/>
        <w:ind w:left="0" w:right="0" w:firstLine="0" w:firstLineChars="0"/>
        <w:textAlignment w:val="auto"/>
        <w:rPr>
          <w:rFonts w:ascii="宋体"/>
          <w:color w:val="auto"/>
          <w:highlight w:val="none"/>
        </w:rPr>
      </w:pPr>
      <w:r>
        <w:rPr>
          <w:rFonts w:hint="eastAsia" w:ascii="宋体" w:hAnsi="宋体" w:cs="宋体"/>
          <w:color w:val="auto"/>
          <w:highlight w:val="none"/>
        </w:rPr>
        <w:t>5、向乙方提供必要的图纸及有关安全技术资料。</w:t>
      </w:r>
    </w:p>
    <w:p w14:paraId="5317875E">
      <w:pPr>
        <w:pageBreakBefore w:val="0"/>
        <w:numPr>
          <w:ilvl w:val="0"/>
          <w:numId w:val="64"/>
        </w:numPr>
        <w:tabs>
          <w:tab w:val="left" w:pos="709"/>
          <w:tab w:val="clear" w:pos="1440"/>
        </w:tabs>
        <w:kinsoku/>
        <w:wordWrap/>
        <w:overflowPunct/>
        <w:topLinePunct w:val="0"/>
        <w:autoSpaceDE/>
        <w:autoSpaceDN/>
        <w:bidi w:val="0"/>
        <w:spacing w:line="360" w:lineRule="auto"/>
        <w:ind w:left="0" w:right="0" w:firstLine="0" w:firstLineChars="0"/>
        <w:textAlignment w:val="auto"/>
        <w:rPr>
          <w:rFonts w:ascii="宋体"/>
          <w:b/>
          <w:bCs/>
          <w:color w:val="auto"/>
          <w:highlight w:val="none"/>
        </w:rPr>
      </w:pPr>
      <w:r>
        <w:rPr>
          <w:rFonts w:hint="eastAsia" w:ascii="宋体" w:hAnsi="宋体" w:cs="宋体"/>
          <w:b/>
          <w:bCs/>
          <w:color w:val="auto"/>
          <w:highlight w:val="none"/>
        </w:rPr>
        <w:t>乙方安全责任</w:t>
      </w:r>
    </w:p>
    <w:p w14:paraId="17DA68CD">
      <w:pPr>
        <w:pageBreakBefore w:val="0"/>
        <w:kinsoku/>
        <w:wordWrap/>
        <w:overflowPunct/>
        <w:topLinePunct w:val="0"/>
        <w:autoSpaceDE/>
        <w:autoSpaceDN/>
        <w:bidi w:val="0"/>
        <w:spacing w:line="360" w:lineRule="auto"/>
        <w:ind w:left="0" w:right="0" w:firstLine="0" w:firstLineChars="0"/>
        <w:textAlignment w:val="auto"/>
        <w:rPr>
          <w:rFonts w:ascii="宋体"/>
          <w:color w:val="auto"/>
          <w:highlight w:val="none"/>
        </w:rPr>
      </w:pPr>
      <w:r>
        <w:rPr>
          <w:rFonts w:ascii="宋体" w:hAnsi="宋体" w:cs="宋体"/>
          <w:color w:val="auto"/>
          <w:highlight w:val="none"/>
        </w:rPr>
        <w:t>1</w:t>
      </w:r>
      <w:r>
        <w:rPr>
          <w:rFonts w:hint="eastAsia" w:ascii="宋体" w:hAnsi="宋体" w:cs="宋体"/>
          <w:color w:val="auto"/>
          <w:highlight w:val="none"/>
        </w:rPr>
        <w:t>、乙方的法人代表或授权委托人对合同安全负有全面的领导责任。</w:t>
      </w:r>
    </w:p>
    <w:p w14:paraId="56B815DF">
      <w:pPr>
        <w:pageBreakBefore w:val="0"/>
        <w:kinsoku/>
        <w:wordWrap/>
        <w:overflowPunct/>
        <w:topLinePunct w:val="0"/>
        <w:autoSpaceDE/>
        <w:autoSpaceDN/>
        <w:bidi w:val="0"/>
        <w:spacing w:line="360" w:lineRule="auto"/>
        <w:ind w:left="0" w:right="0" w:firstLine="0" w:firstLineChars="0"/>
        <w:textAlignment w:val="auto"/>
        <w:rPr>
          <w:rFonts w:ascii="宋体"/>
          <w:color w:val="auto"/>
          <w:highlight w:val="none"/>
        </w:rPr>
      </w:pPr>
      <w:r>
        <w:rPr>
          <w:rFonts w:ascii="宋体" w:hAnsi="宋体" w:cs="宋体"/>
          <w:color w:val="auto"/>
          <w:highlight w:val="none"/>
        </w:rPr>
        <w:t>2</w:t>
      </w:r>
      <w:r>
        <w:rPr>
          <w:rFonts w:hint="eastAsia" w:ascii="宋体" w:hAnsi="宋体" w:cs="宋体"/>
          <w:color w:val="auto"/>
          <w:highlight w:val="none"/>
        </w:rPr>
        <w:t>、乙方项目经理对施工现场的安全工作负有全面的直接领导责任。</w:t>
      </w:r>
    </w:p>
    <w:p w14:paraId="58AC1644">
      <w:pPr>
        <w:pageBreakBefore w:val="0"/>
        <w:kinsoku/>
        <w:wordWrap/>
        <w:overflowPunct/>
        <w:topLinePunct w:val="0"/>
        <w:autoSpaceDE/>
        <w:autoSpaceDN/>
        <w:bidi w:val="0"/>
        <w:spacing w:line="360" w:lineRule="auto"/>
        <w:ind w:left="0" w:right="0" w:firstLine="0" w:firstLineChars="0"/>
        <w:textAlignment w:val="auto"/>
        <w:rPr>
          <w:rFonts w:ascii="宋体"/>
          <w:color w:val="auto"/>
          <w:highlight w:val="none"/>
        </w:rPr>
      </w:pPr>
      <w:r>
        <w:rPr>
          <w:rFonts w:ascii="宋体" w:hAnsi="宋体" w:cs="宋体"/>
          <w:color w:val="auto"/>
          <w:highlight w:val="none"/>
        </w:rPr>
        <w:t>3</w:t>
      </w:r>
      <w:r>
        <w:rPr>
          <w:rFonts w:hint="eastAsia" w:ascii="宋体" w:hAnsi="宋体" w:cs="宋体"/>
          <w:color w:val="auto"/>
          <w:highlight w:val="none"/>
        </w:rPr>
        <w:t>、乙方保证执行“谁施工、谁负责”施工安全的原则。</w:t>
      </w:r>
    </w:p>
    <w:p w14:paraId="1E488746">
      <w:pPr>
        <w:pageBreakBefore w:val="0"/>
        <w:kinsoku/>
        <w:wordWrap/>
        <w:overflowPunct/>
        <w:topLinePunct w:val="0"/>
        <w:autoSpaceDE/>
        <w:autoSpaceDN/>
        <w:bidi w:val="0"/>
        <w:spacing w:line="360" w:lineRule="auto"/>
        <w:ind w:left="0" w:right="0" w:firstLine="0" w:firstLineChars="0"/>
        <w:textAlignment w:val="auto"/>
        <w:rPr>
          <w:rFonts w:ascii="宋体"/>
          <w:color w:val="auto"/>
          <w:highlight w:val="none"/>
        </w:rPr>
      </w:pPr>
      <w:r>
        <w:rPr>
          <w:rFonts w:ascii="宋体" w:hAnsi="宋体" w:cs="宋体"/>
          <w:color w:val="auto"/>
          <w:highlight w:val="none"/>
        </w:rPr>
        <w:t>4</w:t>
      </w:r>
      <w:r>
        <w:rPr>
          <w:rFonts w:hint="eastAsia" w:ascii="宋体" w:hAnsi="宋体" w:cs="宋体"/>
          <w:color w:val="auto"/>
          <w:highlight w:val="none"/>
        </w:rPr>
        <w:t>、项目的安全措施费，乙方必须做到专款专用，严禁挪作它用。</w:t>
      </w:r>
    </w:p>
    <w:p w14:paraId="4A5B4A9A">
      <w:pPr>
        <w:pageBreakBefore w:val="0"/>
        <w:kinsoku/>
        <w:wordWrap/>
        <w:overflowPunct/>
        <w:topLinePunct w:val="0"/>
        <w:autoSpaceDE/>
        <w:autoSpaceDN/>
        <w:bidi w:val="0"/>
        <w:spacing w:line="360" w:lineRule="auto"/>
        <w:ind w:left="0" w:right="0" w:firstLine="0" w:firstLineChars="0"/>
        <w:textAlignment w:val="auto"/>
        <w:rPr>
          <w:rFonts w:ascii="宋体"/>
          <w:color w:val="auto"/>
          <w:highlight w:val="none"/>
        </w:rPr>
      </w:pPr>
      <w:r>
        <w:rPr>
          <w:rFonts w:ascii="宋体" w:hAnsi="宋体" w:cs="宋体"/>
          <w:color w:val="auto"/>
          <w:highlight w:val="none"/>
        </w:rPr>
        <w:t>5</w:t>
      </w:r>
      <w:r>
        <w:rPr>
          <w:rFonts w:hint="eastAsia" w:ascii="宋体" w:hAnsi="宋体" w:cs="宋体"/>
          <w:color w:val="auto"/>
          <w:highlight w:val="none"/>
        </w:rPr>
        <w:t>、必须建立现场安监机构，其人员、配备应符合规定要求并履行相关职责，并报甲方备案。</w:t>
      </w:r>
    </w:p>
    <w:p w14:paraId="7E5DFD22">
      <w:pPr>
        <w:pageBreakBefore w:val="0"/>
        <w:kinsoku/>
        <w:wordWrap/>
        <w:overflowPunct/>
        <w:topLinePunct w:val="0"/>
        <w:autoSpaceDE/>
        <w:autoSpaceDN/>
        <w:bidi w:val="0"/>
        <w:spacing w:line="360" w:lineRule="auto"/>
        <w:ind w:left="0" w:right="0" w:firstLine="0" w:firstLineChars="0"/>
        <w:textAlignment w:val="auto"/>
        <w:rPr>
          <w:rFonts w:ascii="宋体"/>
          <w:color w:val="auto"/>
          <w:highlight w:val="none"/>
        </w:rPr>
      </w:pPr>
      <w:r>
        <w:rPr>
          <w:rFonts w:ascii="宋体" w:hAnsi="宋体" w:cs="宋体"/>
          <w:color w:val="auto"/>
          <w:highlight w:val="none"/>
        </w:rPr>
        <w:t>6</w:t>
      </w:r>
      <w:r>
        <w:rPr>
          <w:rFonts w:hint="eastAsia" w:ascii="宋体" w:hAnsi="宋体" w:cs="宋体"/>
          <w:color w:val="auto"/>
          <w:highlight w:val="none"/>
        </w:rPr>
        <w:t>、乙方保证为现场所有工作人员（含劳务合作人员）配备符合国家标准的有乙方公司标志的个人基本劳动保护用品。</w:t>
      </w:r>
    </w:p>
    <w:p w14:paraId="62DF896C">
      <w:pPr>
        <w:pageBreakBefore w:val="0"/>
        <w:kinsoku/>
        <w:wordWrap/>
        <w:overflowPunct/>
        <w:topLinePunct w:val="0"/>
        <w:autoSpaceDE/>
        <w:autoSpaceDN/>
        <w:bidi w:val="0"/>
        <w:spacing w:line="360" w:lineRule="auto"/>
        <w:ind w:left="0" w:right="0" w:firstLine="0" w:firstLineChars="0"/>
        <w:textAlignment w:val="auto"/>
        <w:rPr>
          <w:rFonts w:ascii="宋体"/>
          <w:color w:val="auto"/>
          <w:highlight w:val="none"/>
        </w:rPr>
      </w:pPr>
      <w:r>
        <w:rPr>
          <w:rFonts w:ascii="宋体" w:hAnsi="宋体" w:cs="宋体"/>
          <w:color w:val="auto"/>
          <w:highlight w:val="none"/>
        </w:rPr>
        <w:t>7</w:t>
      </w:r>
      <w:r>
        <w:rPr>
          <w:rFonts w:hint="eastAsia" w:ascii="宋体" w:hAnsi="宋体" w:cs="宋体"/>
          <w:color w:val="auto"/>
          <w:highlight w:val="none"/>
        </w:rPr>
        <w:t>、乙方保证按照国家法律法规为现场所有工作人员（含劳务合作人员）购买工伤保险。</w:t>
      </w:r>
    </w:p>
    <w:p w14:paraId="0D406A5F">
      <w:pPr>
        <w:pageBreakBefore w:val="0"/>
        <w:kinsoku/>
        <w:wordWrap/>
        <w:overflowPunct/>
        <w:topLinePunct w:val="0"/>
        <w:autoSpaceDE/>
        <w:autoSpaceDN/>
        <w:bidi w:val="0"/>
        <w:spacing w:line="360" w:lineRule="auto"/>
        <w:ind w:left="0" w:right="0" w:firstLine="0" w:firstLineChars="0"/>
        <w:textAlignment w:val="auto"/>
        <w:rPr>
          <w:rFonts w:ascii="宋体"/>
          <w:color w:val="auto"/>
          <w:highlight w:val="none"/>
        </w:rPr>
      </w:pPr>
      <w:r>
        <w:rPr>
          <w:rFonts w:ascii="宋体" w:hAnsi="宋体" w:cs="宋体"/>
          <w:color w:val="auto"/>
          <w:highlight w:val="none"/>
        </w:rPr>
        <w:t>8</w:t>
      </w:r>
      <w:r>
        <w:rPr>
          <w:rFonts w:hint="eastAsia" w:ascii="宋体" w:hAnsi="宋体" w:cs="宋体"/>
          <w:color w:val="auto"/>
          <w:highlight w:val="none"/>
        </w:rPr>
        <w:t>、制定安全健康与环境保护各项管理制度。</w:t>
      </w:r>
    </w:p>
    <w:p w14:paraId="797EE0AA">
      <w:pPr>
        <w:pageBreakBefore w:val="0"/>
        <w:kinsoku/>
        <w:wordWrap/>
        <w:overflowPunct/>
        <w:topLinePunct w:val="0"/>
        <w:autoSpaceDE/>
        <w:autoSpaceDN/>
        <w:bidi w:val="0"/>
        <w:snapToGrid w:val="0"/>
        <w:spacing w:line="360" w:lineRule="auto"/>
        <w:ind w:left="0" w:right="0" w:firstLine="0" w:firstLineChars="0"/>
        <w:textAlignment w:val="auto"/>
        <w:rPr>
          <w:rFonts w:ascii="宋体"/>
          <w:color w:val="auto"/>
          <w:highlight w:val="none"/>
        </w:rPr>
      </w:pPr>
      <w:r>
        <w:rPr>
          <w:rFonts w:ascii="宋体" w:hAnsi="宋体" w:cs="宋体"/>
          <w:color w:val="auto"/>
          <w:highlight w:val="none"/>
        </w:rPr>
        <w:t>9</w:t>
      </w:r>
      <w:r>
        <w:rPr>
          <w:rFonts w:hint="eastAsia" w:ascii="宋体" w:hAnsi="宋体" w:cs="宋体"/>
          <w:color w:val="auto"/>
          <w:highlight w:val="none"/>
        </w:rPr>
        <w:t>、对所属人员进行安全生产教育和培训，保证作业人员具备必需的安全生产知识和技能，熟悉有关的安全生产规章制度和安全操作规程。确保参与项目的工作人员具备相关资质。</w:t>
      </w:r>
    </w:p>
    <w:p w14:paraId="7AA7B7B6">
      <w:pPr>
        <w:pageBreakBefore w:val="0"/>
        <w:kinsoku/>
        <w:wordWrap/>
        <w:overflowPunct/>
        <w:topLinePunct w:val="0"/>
        <w:autoSpaceDE/>
        <w:autoSpaceDN/>
        <w:bidi w:val="0"/>
        <w:snapToGrid w:val="0"/>
        <w:spacing w:line="360" w:lineRule="auto"/>
        <w:ind w:left="0" w:right="0" w:firstLine="0" w:firstLineChars="0"/>
        <w:textAlignment w:val="auto"/>
        <w:rPr>
          <w:rFonts w:ascii="宋体"/>
          <w:color w:val="auto"/>
          <w:highlight w:val="none"/>
        </w:rPr>
      </w:pPr>
      <w:r>
        <w:rPr>
          <w:rFonts w:ascii="宋体" w:hAnsi="宋体" w:cs="宋体"/>
          <w:color w:val="auto"/>
          <w:highlight w:val="none"/>
        </w:rPr>
        <w:t>10</w:t>
      </w:r>
      <w:r>
        <w:rPr>
          <w:rFonts w:hint="eastAsia" w:ascii="宋体" w:hAnsi="宋体" w:cs="宋体"/>
          <w:color w:val="auto"/>
          <w:highlight w:val="none"/>
        </w:rPr>
        <w:t>、教育和督促所属人员严格执行安全生产规章制度和安全操作规程。向所属人员如实告知作业场所和工作岗位存在的危险因素、防范措施以及事故应急措施。</w:t>
      </w:r>
    </w:p>
    <w:p w14:paraId="3006B068">
      <w:pPr>
        <w:pageBreakBefore w:val="0"/>
        <w:kinsoku/>
        <w:wordWrap/>
        <w:overflowPunct/>
        <w:topLinePunct w:val="0"/>
        <w:autoSpaceDE/>
        <w:autoSpaceDN/>
        <w:bidi w:val="0"/>
        <w:snapToGrid w:val="0"/>
        <w:spacing w:line="360" w:lineRule="auto"/>
        <w:ind w:left="0" w:right="0" w:firstLine="0" w:firstLineChars="0"/>
        <w:textAlignment w:val="auto"/>
        <w:rPr>
          <w:rFonts w:ascii="宋体"/>
          <w:color w:val="auto"/>
          <w:highlight w:val="none"/>
        </w:rPr>
      </w:pPr>
      <w:r>
        <w:rPr>
          <w:rFonts w:ascii="宋体" w:hAnsi="宋体" w:cs="宋体"/>
          <w:color w:val="auto"/>
          <w:highlight w:val="none"/>
        </w:rPr>
        <w:t>11</w:t>
      </w:r>
      <w:r>
        <w:rPr>
          <w:rFonts w:hint="eastAsia" w:ascii="宋体" w:hAnsi="宋体" w:cs="宋体"/>
          <w:color w:val="auto"/>
          <w:highlight w:val="none"/>
        </w:rPr>
        <w:t>、开工前对施工机械、工器具及安全防护设施、安全用具进行检查，确保符合安全标准要求，不超过检验周期。</w:t>
      </w:r>
    </w:p>
    <w:p w14:paraId="68CF8FD9">
      <w:pPr>
        <w:pageBreakBefore w:val="0"/>
        <w:kinsoku/>
        <w:wordWrap/>
        <w:overflowPunct/>
        <w:topLinePunct w:val="0"/>
        <w:autoSpaceDE/>
        <w:autoSpaceDN/>
        <w:bidi w:val="0"/>
        <w:spacing w:line="360" w:lineRule="auto"/>
        <w:ind w:left="0" w:right="0" w:firstLine="0" w:firstLineChars="0"/>
        <w:textAlignment w:val="auto"/>
        <w:rPr>
          <w:rFonts w:ascii="宋体"/>
          <w:color w:val="auto"/>
          <w:highlight w:val="none"/>
        </w:rPr>
      </w:pPr>
      <w:r>
        <w:rPr>
          <w:rFonts w:ascii="宋体" w:hAnsi="宋体" w:cs="宋体"/>
          <w:color w:val="auto"/>
          <w:highlight w:val="none"/>
        </w:rPr>
        <w:t>12</w:t>
      </w:r>
      <w:r>
        <w:rPr>
          <w:rFonts w:hint="eastAsia" w:ascii="宋体" w:hAnsi="宋体" w:cs="宋体"/>
          <w:color w:val="auto"/>
          <w:highlight w:val="none"/>
        </w:rPr>
        <w:t>、认真落实和执行施工方案及“四措”（组织措施、安全措施、技术措施、环境保护措施）。</w:t>
      </w:r>
    </w:p>
    <w:p w14:paraId="165E6A3A">
      <w:pPr>
        <w:pageBreakBefore w:val="0"/>
        <w:kinsoku/>
        <w:wordWrap/>
        <w:overflowPunct/>
        <w:topLinePunct w:val="0"/>
        <w:autoSpaceDE/>
        <w:autoSpaceDN/>
        <w:bidi w:val="0"/>
        <w:snapToGrid w:val="0"/>
        <w:spacing w:line="360" w:lineRule="auto"/>
        <w:ind w:left="0" w:right="0" w:firstLine="0" w:firstLineChars="0"/>
        <w:textAlignment w:val="auto"/>
        <w:rPr>
          <w:rFonts w:ascii="宋体"/>
          <w:color w:val="auto"/>
          <w:highlight w:val="none"/>
        </w:rPr>
      </w:pPr>
      <w:r>
        <w:rPr>
          <w:rFonts w:ascii="宋体" w:hAnsi="宋体" w:cs="宋体"/>
          <w:color w:val="auto"/>
          <w:highlight w:val="none"/>
        </w:rPr>
        <w:t>13</w:t>
      </w:r>
      <w:r>
        <w:rPr>
          <w:rFonts w:hint="eastAsia" w:ascii="宋体" w:hAnsi="宋体" w:cs="宋体"/>
          <w:color w:val="auto"/>
          <w:highlight w:val="none"/>
        </w:rPr>
        <w:t>、经常开展施工作业现场安全检查，及时发现和纠正作业人员违章行为，及时消除安全生产隐患。</w:t>
      </w:r>
    </w:p>
    <w:p w14:paraId="27EA776D">
      <w:pPr>
        <w:pageBreakBefore w:val="0"/>
        <w:kinsoku/>
        <w:wordWrap/>
        <w:overflowPunct/>
        <w:topLinePunct w:val="0"/>
        <w:autoSpaceDE/>
        <w:autoSpaceDN/>
        <w:bidi w:val="0"/>
        <w:snapToGrid w:val="0"/>
        <w:spacing w:line="360" w:lineRule="auto"/>
        <w:ind w:left="0" w:right="0" w:firstLine="0" w:firstLineChars="0"/>
        <w:textAlignment w:val="auto"/>
        <w:rPr>
          <w:rFonts w:ascii="宋体"/>
          <w:color w:val="auto"/>
          <w:highlight w:val="none"/>
        </w:rPr>
      </w:pPr>
      <w:r>
        <w:rPr>
          <w:rFonts w:ascii="宋体" w:hAnsi="宋体" w:cs="宋体"/>
          <w:color w:val="auto"/>
          <w:highlight w:val="none"/>
        </w:rPr>
        <w:t>14</w:t>
      </w:r>
      <w:r>
        <w:rPr>
          <w:rFonts w:hint="eastAsia" w:ascii="宋体" w:hAnsi="宋体" w:cs="宋体"/>
          <w:color w:val="auto"/>
          <w:highlight w:val="none"/>
        </w:rPr>
        <w:t>、自觉接受工程项目管理单位的安全监督，对存在问题或隐患及时组织整改。</w:t>
      </w:r>
    </w:p>
    <w:p w14:paraId="42C0EFB1">
      <w:pPr>
        <w:pageBreakBefore w:val="0"/>
        <w:kinsoku/>
        <w:wordWrap/>
        <w:overflowPunct/>
        <w:topLinePunct w:val="0"/>
        <w:autoSpaceDE/>
        <w:autoSpaceDN/>
        <w:bidi w:val="0"/>
        <w:snapToGrid w:val="0"/>
        <w:spacing w:line="360" w:lineRule="auto"/>
        <w:ind w:left="0" w:right="0" w:firstLine="0" w:firstLineChars="0"/>
        <w:textAlignment w:val="auto"/>
        <w:rPr>
          <w:rFonts w:ascii="宋体"/>
          <w:color w:val="auto"/>
          <w:highlight w:val="none"/>
        </w:rPr>
      </w:pPr>
      <w:r>
        <w:rPr>
          <w:rFonts w:ascii="宋体" w:hAnsi="宋体" w:cs="宋体"/>
          <w:color w:val="auto"/>
          <w:highlight w:val="none"/>
        </w:rPr>
        <w:t>15</w:t>
      </w:r>
      <w:r>
        <w:rPr>
          <w:rFonts w:hint="eastAsia" w:ascii="宋体" w:hAnsi="宋体" w:cs="宋体"/>
          <w:color w:val="auto"/>
          <w:highlight w:val="none"/>
        </w:rPr>
        <w:t>、及时报告施工过程中发生的事故、障碍或异常等情况，并迅速采取有效措施，组织抢救，防止事故扩大，减少人员伤亡和财产损失。不得隐瞒不报、谎报或者拖延不报，不得故意破坏事故现场、毁灭有关证据。</w:t>
      </w:r>
    </w:p>
    <w:p w14:paraId="0F076814">
      <w:pPr>
        <w:pageBreakBefore w:val="0"/>
        <w:kinsoku/>
        <w:wordWrap/>
        <w:overflowPunct/>
        <w:topLinePunct w:val="0"/>
        <w:autoSpaceDE/>
        <w:autoSpaceDN/>
        <w:bidi w:val="0"/>
        <w:spacing w:line="360" w:lineRule="auto"/>
        <w:ind w:left="0" w:right="0" w:firstLine="0" w:firstLineChars="0"/>
        <w:textAlignment w:val="auto"/>
        <w:rPr>
          <w:rFonts w:ascii="宋体"/>
          <w:color w:val="auto"/>
          <w:highlight w:val="none"/>
        </w:rPr>
      </w:pPr>
      <w:r>
        <w:rPr>
          <w:rFonts w:ascii="宋体" w:hAnsi="宋体" w:cs="宋体"/>
          <w:color w:val="auto"/>
          <w:highlight w:val="none"/>
        </w:rPr>
        <w:t>16</w:t>
      </w:r>
      <w:r>
        <w:rPr>
          <w:rFonts w:hint="eastAsia" w:ascii="宋体" w:hAnsi="宋体" w:cs="宋体"/>
          <w:color w:val="auto"/>
          <w:highlight w:val="none"/>
        </w:rPr>
        <w:t>、加强项目的分包管理，对项目分包情况必须上报监理单位及甲方，经监理及甲方审核分包单位资质并同意分包后方可将部分非主体工程分包。乙方对项目分包情况隐瞒不报或虚报、伪造分包单位资质和安全资质，一经甲方或监理单位查出，扣除全部安全保证金。</w:t>
      </w:r>
    </w:p>
    <w:p w14:paraId="53F53BC6">
      <w:pPr>
        <w:pageBreakBefore w:val="0"/>
        <w:kinsoku/>
        <w:wordWrap/>
        <w:overflowPunct/>
        <w:topLinePunct w:val="0"/>
        <w:autoSpaceDE/>
        <w:autoSpaceDN/>
        <w:bidi w:val="0"/>
        <w:spacing w:line="360" w:lineRule="auto"/>
        <w:ind w:left="0" w:right="0" w:firstLine="0" w:firstLineChars="0"/>
        <w:textAlignment w:val="auto"/>
        <w:rPr>
          <w:rFonts w:ascii="宋体"/>
          <w:color w:val="auto"/>
          <w:highlight w:val="none"/>
        </w:rPr>
      </w:pPr>
      <w:r>
        <w:rPr>
          <w:rFonts w:ascii="宋体" w:hAnsi="宋体" w:cs="宋体"/>
          <w:color w:val="auto"/>
          <w:highlight w:val="none"/>
        </w:rPr>
        <w:t>17</w:t>
      </w:r>
      <w:r>
        <w:rPr>
          <w:rFonts w:hint="eastAsia" w:ascii="宋体" w:hAnsi="宋体" w:cs="宋体"/>
          <w:color w:val="auto"/>
          <w:highlight w:val="none"/>
        </w:rPr>
        <w:t>、由乙方或其分包单位任造成的伤亡事故及其他事故，应由乙方负责处理，并承担所有责任。</w:t>
      </w:r>
    </w:p>
    <w:p w14:paraId="49349864">
      <w:pPr>
        <w:pageBreakBefore w:val="0"/>
        <w:numPr>
          <w:ilvl w:val="0"/>
          <w:numId w:val="64"/>
        </w:numPr>
        <w:tabs>
          <w:tab w:val="left" w:pos="567"/>
          <w:tab w:val="clear" w:pos="1440"/>
        </w:tabs>
        <w:kinsoku/>
        <w:wordWrap/>
        <w:overflowPunct/>
        <w:topLinePunct w:val="0"/>
        <w:autoSpaceDE/>
        <w:autoSpaceDN/>
        <w:bidi w:val="0"/>
        <w:spacing w:line="360" w:lineRule="auto"/>
        <w:ind w:left="0" w:right="0" w:firstLine="0" w:firstLineChars="0"/>
        <w:textAlignment w:val="auto"/>
        <w:rPr>
          <w:rFonts w:ascii="宋体"/>
          <w:b/>
          <w:bCs/>
          <w:color w:val="auto"/>
          <w:highlight w:val="none"/>
        </w:rPr>
      </w:pPr>
      <w:r>
        <w:rPr>
          <w:rFonts w:hint="eastAsia" w:ascii="宋体" w:hAnsi="宋体" w:cs="宋体"/>
          <w:b/>
          <w:bCs/>
          <w:color w:val="auto"/>
          <w:highlight w:val="none"/>
        </w:rPr>
        <w:t>安全责任</w:t>
      </w:r>
    </w:p>
    <w:p w14:paraId="03F4AC9C">
      <w:pPr>
        <w:pageBreakBefore w:val="0"/>
        <w:kinsoku/>
        <w:wordWrap/>
        <w:overflowPunct/>
        <w:topLinePunct w:val="0"/>
        <w:autoSpaceDE/>
        <w:autoSpaceDN/>
        <w:bidi w:val="0"/>
        <w:spacing w:line="360" w:lineRule="auto"/>
        <w:ind w:left="0" w:right="0" w:firstLine="0" w:firstLineChars="0"/>
        <w:textAlignment w:val="auto"/>
        <w:rPr>
          <w:rFonts w:ascii="宋体"/>
          <w:color w:val="auto"/>
          <w:highlight w:val="none"/>
        </w:rPr>
      </w:pPr>
      <w:r>
        <w:rPr>
          <w:rFonts w:hint="eastAsia" w:ascii="宋体" w:hAnsi="宋体" w:cs="宋体"/>
          <w:color w:val="auto"/>
          <w:highlight w:val="none"/>
        </w:rPr>
        <w:t>如乙方不履行本合同中规定的安全责任造成人身、设备事故及其它一切损失，均由乙方负责。</w:t>
      </w:r>
    </w:p>
    <w:p w14:paraId="688ABBBF">
      <w:pPr>
        <w:pageBreakBefore w:val="0"/>
        <w:kinsoku/>
        <w:wordWrap/>
        <w:overflowPunct/>
        <w:topLinePunct w:val="0"/>
        <w:autoSpaceDE/>
        <w:autoSpaceDN/>
        <w:bidi w:val="0"/>
        <w:spacing w:line="360" w:lineRule="auto"/>
        <w:ind w:left="0" w:right="0" w:firstLine="0" w:firstLineChars="0"/>
        <w:textAlignment w:val="auto"/>
        <w:rPr>
          <w:rFonts w:ascii="宋体"/>
          <w:b/>
          <w:bCs/>
          <w:color w:val="auto"/>
          <w:highlight w:val="none"/>
        </w:rPr>
      </w:pPr>
      <w:r>
        <w:rPr>
          <w:rFonts w:hint="eastAsia" w:ascii="宋体" w:hAnsi="宋体" w:cs="宋体"/>
          <w:b/>
          <w:bCs/>
          <w:color w:val="auto"/>
          <w:highlight w:val="none"/>
        </w:rPr>
        <w:t>四、附则</w:t>
      </w:r>
    </w:p>
    <w:p w14:paraId="0354BC89">
      <w:pPr>
        <w:pageBreakBefore w:val="0"/>
        <w:kinsoku/>
        <w:wordWrap/>
        <w:overflowPunct/>
        <w:topLinePunct w:val="0"/>
        <w:autoSpaceDE/>
        <w:autoSpaceDN/>
        <w:bidi w:val="0"/>
        <w:spacing w:line="360" w:lineRule="auto"/>
        <w:ind w:left="0" w:right="0" w:firstLine="0" w:firstLineChars="0"/>
        <w:textAlignment w:val="auto"/>
        <w:rPr>
          <w:rFonts w:ascii="宋体"/>
          <w:color w:val="auto"/>
          <w:highlight w:val="none"/>
        </w:rPr>
      </w:pPr>
      <w:r>
        <w:rPr>
          <w:rFonts w:ascii="宋体" w:hAnsi="宋体" w:cs="宋体"/>
          <w:color w:val="auto"/>
          <w:highlight w:val="none"/>
        </w:rPr>
        <w:t>1</w:t>
      </w:r>
      <w:r>
        <w:rPr>
          <w:rFonts w:hint="eastAsia" w:ascii="宋体" w:hAnsi="宋体" w:cs="宋体"/>
          <w:color w:val="auto"/>
          <w:highlight w:val="none"/>
        </w:rPr>
        <w:t>、甲乙双方在执行本协议时发生争议，应当友好协商解决，若协商不成，任何一方可</w:t>
      </w:r>
      <w:r>
        <w:rPr>
          <w:rFonts w:hint="eastAsia" w:ascii="宋体" w:hAnsi="宋体" w:cs="宋体"/>
          <w:color w:val="auto"/>
          <w:highlight w:val="none"/>
          <w:lang w:eastAsia="zh-CN"/>
        </w:rPr>
        <w:t>按照主合同《</w:t>
      </w:r>
      <w:r>
        <w:rPr>
          <w:rFonts w:hint="eastAsia" w:ascii="宋体" w:hAnsi="宋体" w:cs="宋体"/>
          <w:color w:val="auto"/>
          <w:highlight w:val="none"/>
          <w:lang w:val="en-US" w:eastAsia="zh-CN"/>
        </w:rPr>
        <w:t>良田粮库</w:t>
      </w:r>
      <w:r>
        <w:rPr>
          <w:rFonts w:hint="eastAsia" w:ascii="宋体" w:hAnsi="宋体" w:cs="宋体"/>
          <w:color w:val="auto"/>
          <w:highlight w:val="none"/>
          <w:lang w:eastAsia="zh-CN"/>
        </w:rPr>
        <w:t>分布式光储项目</w:t>
      </w:r>
      <w:r>
        <w:rPr>
          <w:rFonts w:hint="eastAsia" w:ascii="宋体" w:hAnsi="宋体" w:cs="宋体"/>
          <w:color w:val="auto"/>
          <w:highlight w:val="none"/>
        </w:rPr>
        <w:t>EPC总承包合同</w:t>
      </w:r>
      <w:r>
        <w:rPr>
          <w:rFonts w:hint="eastAsia" w:ascii="宋体" w:hAnsi="宋体" w:cs="宋体"/>
          <w:color w:val="auto"/>
          <w:highlight w:val="none"/>
          <w:lang w:eastAsia="zh-CN"/>
        </w:rPr>
        <w:t>》约定纠纷解决方式处理</w:t>
      </w:r>
      <w:r>
        <w:rPr>
          <w:rFonts w:hint="eastAsia" w:ascii="宋体" w:hAnsi="宋体" w:cs="宋体"/>
          <w:color w:val="auto"/>
          <w:highlight w:val="none"/>
        </w:rPr>
        <w:t>。</w:t>
      </w:r>
    </w:p>
    <w:p w14:paraId="461FB71D">
      <w:pPr>
        <w:pageBreakBefore w:val="0"/>
        <w:kinsoku/>
        <w:wordWrap/>
        <w:overflowPunct/>
        <w:topLinePunct w:val="0"/>
        <w:autoSpaceDE/>
        <w:autoSpaceDN/>
        <w:bidi w:val="0"/>
        <w:spacing w:line="360" w:lineRule="auto"/>
        <w:ind w:left="0" w:right="0" w:firstLine="0" w:firstLineChars="0"/>
        <w:textAlignment w:val="auto"/>
        <w:rPr>
          <w:rFonts w:ascii="宋体"/>
          <w:color w:val="auto"/>
          <w:highlight w:val="none"/>
        </w:rPr>
      </w:pPr>
      <w:r>
        <w:rPr>
          <w:rFonts w:ascii="宋体" w:hAnsi="宋体" w:cs="宋体"/>
          <w:color w:val="auto"/>
          <w:highlight w:val="none"/>
        </w:rPr>
        <w:t>2</w:t>
      </w:r>
      <w:r>
        <w:rPr>
          <w:rFonts w:hint="eastAsia" w:ascii="宋体" w:hAnsi="宋体" w:cs="宋体"/>
          <w:color w:val="auto"/>
          <w:highlight w:val="none"/>
        </w:rPr>
        <w:t>、合同有效期：自合同</w:t>
      </w:r>
      <w:r>
        <w:rPr>
          <w:rFonts w:hint="eastAsia" w:ascii="宋体" w:hAnsi="宋体" w:cs="宋体"/>
          <w:color w:val="auto"/>
          <w:highlight w:val="none"/>
          <w:lang w:eastAsia="zh-CN"/>
        </w:rPr>
        <w:t>签订</w:t>
      </w:r>
      <w:r>
        <w:rPr>
          <w:rFonts w:hint="eastAsia" w:ascii="宋体" w:hAnsi="宋体" w:cs="宋体"/>
          <w:color w:val="auto"/>
          <w:highlight w:val="none"/>
        </w:rPr>
        <w:t>之日起生效，至合同工程竣工验收签字之日终止。</w:t>
      </w:r>
    </w:p>
    <w:p w14:paraId="3BBD580E">
      <w:pPr>
        <w:pageBreakBefore w:val="0"/>
        <w:kinsoku/>
        <w:wordWrap/>
        <w:overflowPunct/>
        <w:topLinePunct w:val="0"/>
        <w:autoSpaceDE/>
        <w:autoSpaceDN/>
        <w:bidi w:val="0"/>
        <w:spacing w:line="360" w:lineRule="auto"/>
        <w:ind w:left="0" w:right="0" w:firstLine="0" w:firstLineChars="0"/>
        <w:textAlignment w:val="auto"/>
        <w:rPr>
          <w:rFonts w:ascii="宋体"/>
          <w:color w:val="auto"/>
          <w:highlight w:val="none"/>
        </w:rPr>
      </w:pPr>
      <w:r>
        <w:rPr>
          <w:rFonts w:ascii="宋体" w:hAnsi="宋体" w:cs="宋体"/>
          <w:color w:val="auto"/>
          <w:highlight w:val="none"/>
        </w:rPr>
        <w:t>3</w:t>
      </w:r>
      <w:r>
        <w:rPr>
          <w:rFonts w:hint="eastAsia" w:ascii="宋体" w:hAnsi="宋体" w:cs="宋体"/>
          <w:color w:val="auto"/>
          <w:highlight w:val="none"/>
        </w:rPr>
        <w:t>、本合同一式</w:t>
      </w:r>
      <w:r>
        <w:rPr>
          <w:rFonts w:hint="eastAsia" w:ascii="宋体" w:hAnsi="宋体" w:cs="宋体"/>
          <w:color w:val="auto"/>
          <w:highlight w:val="none"/>
          <w:u w:val="single"/>
        </w:rPr>
        <w:t xml:space="preserve"> 6 </w:t>
      </w:r>
      <w:r>
        <w:rPr>
          <w:rFonts w:hint="eastAsia" w:ascii="宋体" w:hAnsi="宋体" w:cs="宋体"/>
          <w:color w:val="auto"/>
          <w:highlight w:val="none"/>
        </w:rPr>
        <w:t>份，双方各执</w:t>
      </w:r>
      <w:r>
        <w:rPr>
          <w:rFonts w:hint="eastAsia" w:ascii="宋体" w:hAnsi="宋体" w:cs="宋体"/>
          <w:color w:val="auto"/>
          <w:highlight w:val="none"/>
          <w:u w:val="single"/>
        </w:rPr>
        <w:t>3</w:t>
      </w:r>
      <w:r>
        <w:rPr>
          <w:rFonts w:hint="eastAsia" w:ascii="宋体" w:hAnsi="宋体" w:cs="宋体"/>
          <w:color w:val="auto"/>
          <w:highlight w:val="none"/>
        </w:rPr>
        <w:t>份，自签名盖章之后生效。</w:t>
      </w:r>
    </w:p>
    <w:p w14:paraId="2272BC40">
      <w:pPr>
        <w:pageBreakBefore w:val="0"/>
        <w:kinsoku/>
        <w:wordWrap/>
        <w:overflowPunct/>
        <w:topLinePunct w:val="0"/>
        <w:autoSpaceDE/>
        <w:autoSpaceDN/>
        <w:bidi w:val="0"/>
        <w:spacing w:line="360" w:lineRule="auto"/>
        <w:ind w:left="0" w:right="0" w:firstLine="0" w:firstLineChars="0"/>
        <w:textAlignment w:val="auto"/>
        <w:rPr>
          <w:rFonts w:ascii="宋体"/>
          <w:color w:val="auto"/>
          <w:highlight w:val="none"/>
        </w:rPr>
      </w:pPr>
    </w:p>
    <w:p w14:paraId="5D637026">
      <w:pPr>
        <w:pageBreakBefore w:val="0"/>
        <w:kinsoku/>
        <w:wordWrap/>
        <w:overflowPunct/>
        <w:topLinePunct w:val="0"/>
        <w:autoSpaceDE/>
        <w:autoSpaceDN/>
        <w:bidi w:val="0"/>
        <w:spacing w:line="360" w:lineRule="auto"/>
        <w:ind w:left="0" w:right="0" w:firstLine="0" w:firstLineChars="0"/>
        <w:textAlignment w:val="auto"/>
        <w:rPr>
          <w:rFonts w:ascii="宋体" w:hAnsi="宋体" w:cs="宋体"/>
          <w:color w:val="auto"/>
          <w:szCs w:val="21"/>
          <w:highlight w:val="none"/>
        </w:rPr>
      </w:pPr>
    </w:p>
    <w:p w14:paraId="13FA5897">
      <w:pPr>
        <w:pageBreakBefore w:val="0"/>
        <w:kinsoku/>
        <w:wordWrap/>
        <w:overflowPunct/>
        <w:topLinePunct w:val="0"/>
        <w:autoSpaceDE/>
        <w:autoSpaceDN/>
        <w:bidi w:val="0"/>
        <w:spacing w:line="360" w:lineRule="auto"/>
        <w:ind w:left="0" w:right="0" w:firstLine="0" w:firstLineChars="0"/>
        <w:textAlignment w:val="auto"/>
        <w:rPr>
          <w:rFonts w:ascii="宋体" w:hAnsi="宋体" w:cs="宋体"/>
          <w:color w:val="auto"/>
          <w:szCs w:val="21"/>
          <w:highlight w:val="none"/>
        </w:rPr>
      </w:pPr>
    </w:p>
    <w:p w14:paraId="1D675621">
      <w:pPr>
        <w:pageBreakBefore w:val="0"/>
        <w:kinsoku/>
        <w:wordWrap/>
        <w:overflowPunct/>
        <w:topLinePunct w:val="0"/>
        <w:autoSpaceDE/>
        <w:autoSpaceDN/>
        <w:bidi w:val="0"/>
        <w:spacing w:line="360" w:lineRule="auto"/>
        <w:ind w:left="0" w:right="0" w:firstLine="0" w:firstLineChars="0"/>
        <w:textAlignment w:val="auto"/>
        <w:rPr>
          <w:rFonts w:ascii="宋体" w:hAnsi="宋体" w:cs="宋体"/>
          <w:color w:val="auto"/>
          <w:szCs w:val="21"/>
          <w:highlight w:val="none"/>
        </w:rPr>
      </w:pPr>
      <w:r>
        <w:rPr>
          <w:rFonts w:hint="eastAsia" w:ascii="宋体" w:hAnsi="宋体" w:cs="宋体"/>
          <w:color w:val="auto"/>
          <w:szCs w:val="21"/>
          <w:highlight w:val="none"/>
        </w:rPr>
        <w:t>甲方</w:t>
      </w:r>
      <w:r>
        <w:rPr>
          <w:rFonts w:hint="eastAsia" w:ascii="宋体" w:hAnsi="宋体" w:cs="宋体"/>
          <w:color w:val="auto"/>
          <w:szCs w:val="21"/>
          <w:highlight w:val="none"/>
          <w:lang w:eastAsia="zh-CN"/>
        </w:rPr>
        <w:t>（</w:t>
      </w:r>
      <w:r>
        <w:rPr>
          <w:rFonts w:hint="eastAsia" w:ascii="宋体" w:hAnsi="宋体" w:cs="宋体"/>
          <w:color w:val="auto"/>
          <w:szCs w:val="21"/>
          <w:highlight w:val="none"/>
        </w:rPr>
        <w:t>公章</w:t>
      </w:r>
      <w:r>
        <w:rPr>
          <w:rFonts w:hint="eastAsia" w:ascii="宋体" w:hAnsi="宋体" w:cs="宋体"/>
          <w:color w:val="auto"/>
          <w:szCs w:val="21"/>
          <w:highlight w:val="none"/>
          <w:lang w:eastAsia="zh-CN"/>
        </w:rPr>
        <w:t>）</w:t>
      </w:r>
      <w:r>
        <w:rPr>
          <w:rFonts w:hint="eastAsia" w:ascii="宋体" w:hAnsi="宋体" w:cs="宋体"/>
          <w:color w:val="auto"/>
          <w:szCs w:val="21"/>
          <w:highlight w:val="non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14:paraId="6A35F637">
      <w:pPr>
        <w:pageBreakBefore w:val="0"/>
        <w:kinsoku/>
        <w:wordWrap/>
        <w:overflowPunct/>
        <w:topLinePunct w:val="0"/>
        <w:autoSpaceDE/>
        <w:autoSpaceDN/>
        <w:bidi w:val="0"/>
        <w:spacing w:line="360" w:lineRule="auto"/>
        <w:ind w:left="0" w:right="0" w:firstLine="0" w:firstLineChars="0"/>
        <w:textAlignment w:val="auto"/>
        <w:rPr>
          <w:rFonts w:ascii="宋体" w:hAnsi="宋体" w:cs="宋体"/>
          <w:color w:val="auto"/>
          <w:szCs w:val="21"/>
          <w:highlight w:val="none"/>
        </w:rPr>
      </w:pPr>
    </w:p>
    <w:p w14:paraId="2AF9AC86">
      <w:pPr>
        <w:pageBreakBefore w:val="0"/>
        <w:kinsoku/>
        <w:wordWrap/>
        <w:overflowPunct/>
        <w:topLinePunct w:val="0"/>
        <w:autoSpaceDE/>
        <w:autoSpaceDN/>
        <w:bidi w:val="0"/>
        <w:spacing w:line="360" w:lineRule="auto"/>
        <w:ind w:left="0" w:right="0" w:firstLine="0" w:firstLineChars="0"/>
        <w:textAlignment w:val="auto"/>
        <w:rPr>
          <w:rFonts w:ascii="宋体" w:hAnsi="宋体" w:cs="宋体"/>
          <w:color w:val="auto"/>
          <w:szCs w:val="21"/>
          <w:highlight w:val="none"/>
        </w:rPr>
      </w:pPr>
      <w:r>
        <w:rPr>
          <w:rFonts w:hint="eastAsia" w:ascii="宋体" w:hAnsi="宋体" w:cs="宋体"/>
          <w:color w:val="auto"/>
          <w:szCs w:val="21"/>
          <w:highlight w:val="none"/>
        </w:rPr>
        <w:t>法定代表人或委托代理人</w:t>
      </w:r>
      <w:r>
        <w:rPr>
          <w:rFonts w:hint="eastAsia" w:ascii="宋体" w:hAnsi="宋体" w:cs="宋体"/>
          <w:color w:val="auto"/>
          <w:szCs w:val="21"/>
          <w:highlight w:val="none"/>
          <w:lang w:eastAsia="zh-CN"/>
        </w:rPr>
        <w:t>（</w:t>
      </w:r>
      <w:r>
        <w:rPr>
          <w:rFonts w:hint="eastAsia" w:ascii="宋体" w:hAnsi="宋体" w:cs="宋体"/>
          <w:color w:val="auto"/>
          <w:szCs w:val="21"/>
          <w:highlight w:val="none"/>
        </w:rPr>
        <w:t>签字</w:t>
      </w:r>
      <w:r>
        <w:rPr>
          <w:rFonts w:hint="eastAsia" w:ascii="宋体" w:hAnsi="宋体" w:cs="宋体"/>
          <w:color w:val="auto"/>
          <w:szCs w:val="21"/>
          <w:highlight w:val="none"/>
          <w:lang w:eastAsia="zh-CN"/>
        </w:rPr>
        <w:t>）</w:t>
      </w:r>
      <w:r>
        <w:rPr>
          <w:rFonts w:hint="eastAsia" w:ascii="宋体" w:hAnsi="宋体" w:cs="宋体"/>
          <w:color w:val="auto"/>
          <w:szCs w:val="21"/>
          <w:highlight w:val="none"/>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14:paraId="29CB5CC3">
      <w:pPr>
        <w:pageBreakBefore w:val="0"/>
        <w:kinsoku/>
        <w:wordWrap/>
        <w:overflowPunct/>
        <w:topLinePunct w:val="0"/>
        <w:autoSpaceDE/>
        <w:autoSpaceDN/>
        <w:bidi w:val="0"/>
        <w:spacing w:line="360" w:lineRule="auto"/>
        <w:ind w:left="0" w:right="0" w:firstLine="0" w:firstLineChars="0"/>
        <w:textAlignment w:val="auto"/>
        <w:rPr>
          <w:rFonts w:ascii="宋体" w:hAnsi="宋体" w:cs="宋体"/>
          <w:color w:val="auto"/>
          <w:szCs w:val="21"/>
          <w:highlight w:val="none"/>
        </w:rPr>
      </w:pPr>
    </w:p>
    <w:p w14:paraId="11BF40EC">
      <w:pPr>
        <w:pageBreakBefore w:val="0"/>
        <w:kinsoku/>
        <w:wordWrap/>
        <w:overflowPunct/>
        <w:topLinePunct w:val="0"/>
        <w:autoSpaceDE/>
        <w:autoSpaceDN/>
        <w:bidi w:val="0"/>
        <w:spacing w:line="360" w:lineRule="auto"/>
        <w:ind w:left="0" w:right="0" w:firstLine="0" w:firstLineChars="0"/>
        <w:textAlignment w:val="auto"/>
        <w:rPr>
          <w:rFonts w:ascii="宋体" w:hAnsi="宋体" w:cs="宋体"/>
          <w:color w:val="auto"/>
          <w:szCs w:val="21"/>
          <w:highlight w:val="none"/>
        </w:rPr>
      </w:pPr>
      <w:r>
        <w:rPr>
          <w:rFonts w:hint="eastAsia" w:ascii="宋体" w:hAnsi="宋体" w:cs="宋体"/>
          <w:color w:val="auto"/>
          <w:szCs w:val="21"/>
          <w:highlight w:val="none"/>
        </w:rPr>
        <w:t>日期：  年  月  日</w:t>
      </w:r>
    </w:p>
    <w:p w14:paraId="29A1DA2B">
      <w:pPr>
        <w:pStyle w:val="5"/>
        <w:pageBreakBefore w:val="0"/>
        <w:kinsoku/>
        <w:wordWrap/>
        <w:overflowPunct/>
        <w:topLinePunct w:val="0"/>
        <w:autoSpaceDE/>
        <w:autoSpaceDN/>
        <w:bidi w:val="0"/>
        <w:adjustRightInd w:val="0"/>
        <w:snapToGrid w:val="0"/>
        <w:spacing w:after="0" w:afterLines="0" w:line="360" w:lineRule="auto"/>
        <w:ind w:left="0" w:right="0" w:firstLine="0" w:firstLineChars="0"/>
        <w:textAlignment w:val="auto"/>
        <w:rPr>
          <w:color w:val="auto"/>
          <w:szCs w:val="21"/>
          <w:highlight w:val="none"/>
        </w:rPr>
      </w:pPr>
    </w:p>
    <w:p w14:paraId="286D79C8">
      <w:pPr>
        <w:pageBreakBefore w:val="0"/>
        <w:kinsoku/>
        <w:wordWrap/>
        <w:overflowPunct/>
        <w:topLinePunct w:val="0"/>
        <w:autoSpaceDE/>
        <w:autoSpaceDN/>
        <w:bidi w:val="0"/>
        <w:adjustRightInd w:val="0"/>
        <w:snapToGrid w:val="0"/>
        <w:spacing w:line="360" w:lineRule="auto"/>
        <w:ind w:left="0" w:right="0" w:firstLine="0" w:firstLineChars="0"/>
        <w:textAlignment w:val="auto"/>
        <w:rPr>
          <w:rFonts w:hAnsi="宋体" w:cs="宋体"/>
          <w:color w:val="auto"/>
          <w:szCs w:val="21"/>
          <w:highlight w:val="none"/>
        </w:rPr>
      </w:pPr>
    </w:p>
    <w:p w14:paraId="66F146F6">
      <w:pPr>
        <w:pageBreakBefore w:val="0"/>
        <w:kinsoku/>
        <w:wordWrap/>
        <w:overflowPunct/>
        <w:topLinePunct w:val="0"/>
        <w:autoSpaceDE/>
        <w:autoSpaceDN/>
        <w:bidi w:val="0"/>
        <w:adjustRightInd w:val="0"/>
        <w:snapToGrid w:val="0"/>
        <w:spacing w:line="360" w:lineRule="auto"/>
        <w:ind w:left="0" w:right="0" w:firstLine="0" w:firstLineChars="0"/>
        <w:textAlignment w:val="auto"/>
        <w:rPr>
          <w:rFonts w:hAnsi="宋体" w:cs="宋体"/>
          <w:color w:val="auto"/>
          <w:szCs w:val="21"/>
          <w:highlight w:val="none"/>
        </w:rPr>
      </w:pPr>
      <w:r>
        <w:rPr>
          <w:rFonts w:hint="eastAsia" w:hAnsi="宋体" w:cs="宋体"/>
          <w:color w:val="auto"/>
          <w:szCs w:val="21"/>
          <w:highlight w:val="none"/>
        </w:rPr>
        <w:t>乙方（公章）：</w:t>
      </w:r>
      <w:r>
        <w:rPr>
          <w:rFonts w:hint="eastAsia" w:ascii="宋体" w:hAnsi="宋体" w:cs="宋体"/>
          <w:color w:val="auto"/>
          <w:szCs w:val="21"/>
          <w:highlight w:val="non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14:paraId="6C2EEDA9">
      <w:pPr>
        <w:pStyle w:val="5"/>
        <w:pageBreakBefore w:val="0"/>
        <w:kinsoku/>
        <w:wordWrap/>
        <w:overflowPunct/>
        <w:topLinePunct w:val="0"/>
        <w:autoSpaceDE/>
        <w:autoSpaceDN/>
        <w:bidi w:val="0"/>
        <w:adjustRightInd w:val="0"/>
        <w:snapToGrid w:val="0"/>
        <w:spacing w:after="0" w:afterLines="0" w:line="360" w:lineRule="auto"/>
        <w:ind w:left="0" w:right="0" w:firstLine="0" w:firstLineChars="0"/>
        <w:textAlignment w:val="auto"/>
        <w:rPr>
          <w:rFonts w:hAnsi="宋体" w:cs="宋体"/>
          <w:color w:val="auto"/>
          <w:szCs w:val="21"/>
          <w:highlight w:val="none"/>
        </w:rPr>
      </w:pPr>
    </w:p>
    <w:p w14:paraId="445AEE5E">
      <w:pPr>
        <w:pageBreakBefore w:val="0"/>
        <w:kinsoku/>
        <w:wordWrap/>
        <w:overflowPunct/>
        <w:topLinePunct w:val="0"/>
        <w:autoSpaceDE/>
        <w:autoSpaceDN/>
        <w:bidi w:val="0"/>
        <w:spacing w:line="360" w:lineRule="auto"/>
        <w:ind w:left="0" w:right="0" w:firstLine="0" w:firstLineChars="0"/>
        <w:textAlignment w:val="auto"/>
        <w:rPr>
          <w:rFonts w:ascii="宋体" w:hAnsi="宋体" w:cs="宋体"/>
          <w:color w:val="auto"/>
          <w:szCs w:val="21"/>
          <w:highlight w:val="none"/>
        </w:rPr>
      </w:pPr>
      <w:r>
        <w:rPr>
          <w:rFonts w:hint="eastAsia" w:ascii="宋体" w:hAnsi="宋体" w:cs="宋体"/>
          <w:color w:val="auto"/>
          <w:szCs w:val="21"/>
          <w:highlight w:val="none"/>
        </w:rPr>
        <w:t>法定代表人或委托代理人</w:t>
      </w:r>
      <w:r>
        <w:rPr>
          <w:rFonts w:hint="eastAsia" w:ascii="宋体" w:hAnsi="宋体" w:cs="宋体"/>
          <w:color w:val="auto"/>
          <w:szCs w:val="21"/>
          <w:highlight w:val="none"/>
          <w:lang w:eastAsia="zh-CN"/>
        </w:rPr>
        <w:t>（</w:t>
      </w:r>
      <w:r>
        <w:rPr>
          <w:rFonts w:hint="eastAsia" w:ascii="宋体" w:hAnsi="宋体" w:cs="宋体"/>
          <w:color w:val="auto"/>
          <w:szCs w:val="21"/>
          <w:highlight w:val="none"/>
        </w:rPr>
        <w:t>签字</w:t>
      </w:r>
      <w:r>
        <w:rPr>
          <w:rFonts w:hint="eastAsia" w:ascii="宋体" w:hAnsi="宋体" w:cs="宋体"/>
          <w:color w:val="auto"/>
          <w:szCs w:val="21"/>
          <w:highlight w:val="none"/>
          <w:lang w:eastAsia="zh-CN"/>
        </w:rPr>
        <w:t>）</w:t>
      </w:r>
      <w:r>
        <w:rPr>
          <w:rFonts w:hint="eastAsia" w:ascii="宋体" w:hAnsi="宋体" w:cs="宋体"/>
          <w:color w:val="auto"/>
          <w:szCs w:val="21"/>
          <w:highlight w:val="none"/>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14:paraId="1CECB1C1">
      <w:pPr>
        <w:pageBreakBefore w:val="0"/>
        <w:kinsoku/>
        <w:wordWrap/>
        <w:overflowPunct/>
        <w:topLinePunct w:val="0"/>
        <w:autoSpaceDE/>
        <w:autoSpaceDN/>
        <w:bidi w:val="0"/>
        <w:spacing w:line="360" w:lineRule="auto"/>
        <w:ind w:left="0" w:right="0" w:firstLine="0" w:firstLineChars="0"/>
        <w:textAlignment w:val="auto"/>
        <w:rPr>
          <w:rFonts w:ascii="宋体" w:hAnsi="宋体" w:cs="宋体"/>
          <w:color w:val="auto"/>
          <w:szCs w:val="21"/>
          <w:highlight w:val="none"/>
        </w:rPr>
      </w:pPr>
    </w:p>
    <w:p w14:paraId="50D8778C">
      <w:pPr>
        <w:pageBreakBefore w:val="0"/>
        <w:kinsoku/>
        <w:wordWrap/>
        <w:overflowPunct/>
        <w:topLinePunct w:val="0"/>
        <w:autoSpaceDE/>
        <w:autoSpaceDN/>
        <w:bidi w:val="0"/>
        <w:spacing w:line="360" w:lineRule="auto"/>
        <w:ind w:left="0" w:right="0" w:firstLine="0" w:firstLineChars="0"/>
        <w:textAlignment w:val="auto"/>
        <w:rPr>
          <w:rFonts w:ascii="宋体" w:hAnsi="宋体" w:cs="宋体"/>
          <w:color w:val="auto"/>
          <w:szCs w:val="21"/>
          <w:highlight w:val="none"/>
        </w:rPr>
      </w:pPr>
      <w:r>
        <w:rPr>
          <w:rFonts w:hint="eastAsia" w:ascii="宋体" w:hAnsi="宋体" w:cs="宋体"/>
          <w:color w:val="auto"/>
          <w:szCs w:val="21"/>
          <w:highlight w:val="none"/>
        </w:rPr>
        <w:t>日期：  年  月  日</w:t>
      </w:r>
    </w:p>
    <w:p w14:paraId="166FB5D3">
      <w:pPr>
        <w:pStyle w:val="5"/>
        <w:pageBreakBefore w:val="0"/>
        <w:kinsoku/>
        <w:wordWrap/>
        <w:overflowPunct/>
        <w:topLinePunct w:val="0"/>
        <w:autoSpaceDE/>
        <w:autoSpaceDN/>
        <w:bidi w:val="0"/>
        <w:adjustRightInd w:val="0"/>
        <w:snapToGrid w:val="0"/>
        <w:spacing w:after="0" w:afterLines="0" w:line="360" w:lineRule="auto"/>
        <w:ind w:left="0" w:right="0" w:firstLine="0" w:firstLineChars="0"/>
        <w:textAlignment w:val="auto"/>
        <w:rPr>
          <w:color w:val="auto"/>
          <w:szCs w:val="21"/>
          <w:highlight w:val="none"/>
        </w:rPr>
      </w:pPr>
      <w:r>
        <w:rPr>
          <w:rFonts w:hint="eastAsia" w:hAnsi="宋体" w:cs="宋体"/>
          <w:color w:val="auto"/>
          <w:kern w:val="0"/>
          <w:szCs w:val="21"/>
          <w:highlight w:val="none"/>
        </w:rPr>
        <w:t xml:space="preserve">  </w:t>
      </w:r>
    </w:p>
    <w:p w14:paraId="5174B32D">
      <w:pPr>
        <w:pStyle w:val="5"/>
        <w:pageBreakBefore w:val="0"/>
        <w:kinsoku/>
        <w:wordWrap/>
        <w:overflowPunct/>
        <w:topLinePunct w:val="0"/>
        <w:autoSpaceDE/>
        <w:autoSpaceDN/>
        <w:bidi w:val="0"/>
        <w:adjustRightInd w:val="0"/>
        <w:snapToGrid w:val="0"/>
        <w:spacing w:after="0" w:afterLines="0" w:line="360" w:lineRule="auto"/>
        <w:ind w:left="0" w:right="0" w:firstLine="0" w:firstLineChars="0"/>
        <w:textAlignment w:val="auto"/>
        <w:rPr>
          <w:color w:val="auto"/>
          <w:szCs w:val="21"/>
          <w:highlight w:val="none"/>
        </w:rPr>
      </w:pPr>
    </w:p>
    <w:p w14:paraId="126E7462">
      <w:pPr>
        <w:pStyle w:val="2"/>
        <w:pageBreakBefore w:val="0"/>
        <w:kinsoku/>
        <w:wordWrap/>
        <w:overflowPunct/>
        <w:topLinePunct w:val="0"/>
        <w:autoSpaceDE/>
        <w:autoSpaceDN/>
        <w:bidi w:val="0"/>
        <w:spacing w:line="360" w:lineRule="auto"/>
        <w:ind w:left="0" w:right="0" w:firstLine="0" w:firstLineChars="0"/>
        <w:textAlignment w:val="auto"/>
        <w:rPr>
          <w:rFonts w:ascii="宋体" w:hAnsi="宋体"/>
          <w:color w:val="auto"/>
          <w:szCs w:val="21"/>
          <w:highlight w:val="none"/>
        </w:rPr>
      </w:pPr>
    </w:p>
    <w:p w14:paraId="0609766D">
      <w:pPr>
        <w:pageBreakBefore w:val="0"/>
        <w:widowControl/>
        <w:kinsoku/>
        <w:wordWrap/>
        <w:overflowPunct/>
        <w:topLinePunct w:val="0"/>
        <w:autoSpaceDE/>
        <w:autoSpaceDN/>
        <w:bidi w:val="0"/>
        <w:snapToGrid w:val="0"/>
        <w:spacing w:line="360" w:lineRule="auto"/>
        <w:ind w:left="0" w:right="0" w:firstLine="0" w:firstLineChars="0"/>
        <w:jc w:val="left"/>
        <w:textAlignment w:val="auto"/>
        <w:outlineLvl w:val="2"/>
        <w:rPr>
          <w:rFonts w:hint="eastAsia" w:ascii="宋体" w:hAnsi="宋体"/>
          <w:color w:val="auto"/>
          <w:szCs w:val="21"/>
          <w:highlight w:val="none"/>
        </w:rPr>
      </w:pPr>
      <w:bookmarkStart w:id="351" w:name="_Toc76720093"/>
      <w:bookmarkStart w:id="352" w:name="_Toc80633205"/>
    </w:p>
    <w:p w14:paraId="72150C23">
      <w:pPr>
        <w:pageBreakBefore w:val="0"/>
        <w:widowControl/>
        <w:kinsoku/>
        <w:wordWrap/>
        <w:overflowPunct/>
        <w:topLinePunct w:val="0"/>
        <w:autoSpaceDE/>
        <w:autoSpaceDN/>
        <w:bidi w:val="0"/>
        <w:snapToGrid w:val="0"/>
        <w:spacing w:line="360" w:lineRule="auto"/>
        <w:ind w:left="0" w:right="0" w:firstLine="0" w:firstLineChars="0"/>
        <w:jc w:val="left"/>
        <w:textAlignment w:val="auto"/>
        <w:outlineLvl w:val="2"/>
        <w:rPr>
          <w:rFonts w:hint="eastAsia" w:ascii="宋体" w:hAnsi="宋体"/>
          <w:color w:val="auto"/>
          <w:szCs w:val="21"/>
          <w:highlight w:val="none"/>
        </w:rPr>
      </w:pPr>
    </w:p>
    <w:p w14:paraId="3842CC9D">
      <w:pPr>
        <w:pageBreakBefore w:val="0"/>
        <w:widowControl/>
        <w:kinsoku/>
        <w:wordWrap/>
        <w:overflowPunct/>
        <w:topLinePunct w:val="0"/>
        <w:autoSpaceDE/>
        <w:autoSpaceDN/>
        <w:bidi w:val="0"/>
        <w:snapToGrid w:val="0"/>
        <w:spacing w:line="360" w:lineRule="auto"/>
        <w:ind w:left="0" w:right="0" w:firstLine="0" w:firstLineChars="0"/>
        <w:jc w:val="left"/>
        <w:textAlignment w:val="auto"/>
        <w:outlineLvl w:val="2"/>
        <w:rPr>
          <w:rFonts w:hint="eastAsia" w:ascii="宋体" w:hAnsi="宋体"/>
          <w:color w:val="auto"/>
          <w:szCs w:val="21"/>
          <w:highlight w:val="none"/>
        </w:rPr>
      </w:pPr>
    </w:p>
    <w:p w14:paraId="7B951F1D">
      <w:pPr>
        <w:pageBreakBefore w:val="0"/>
        <w:widowControl/>
        <w:kinsoku/>
        <w:wordWrap/>
        <w:overflowPunct/>
        <w:topLinePunct w:val="0"/>
        <w:autoSpaceDE/>
        <w:autoSpaceDN/>
        <w:bidi w:val="0"/>
        <w:snapToGrid w:val="0"/>
        <w:spacing w:line="360" w:lineRule="auto"/>
        <w:ind w:left="0" w:right="0" w:firstLine="0" w:firstLineChars="0"/>
        <w:jc w:val="left"/>
        <w:textAlignment w:val="auto"/>
        <w:outlineLvl w:val="2"/>
        <w:rPr>
          <w:rFonts w:hint="eastAsia" w:ascii="宋体" w:hAnsi="宋体"/>
          <w:color w:val="auto"/>
          <w:szCs w:val="21"/>
          <w:highlight w:val="none"/>
        </w:rPr>
      </w:pPr>
    </w:p>
    <w:p w14:paraId="4F3DC1EC">
      <w:pPr>
        <w:pageBreakBefore w:val="0"/>
        <w:widowControl/>
        <w:kinsoku/>
        <w:wordWrap/>
        <w:overflowPunct/>
        <w:topLinePunct w:val="0"/>
        <w:autoSpaceDE/>
        <w:autoSpaceDN/>
        <w:bidi w:val="0"/>
        <w:snapToGrid w:val="0"/>
        <w:spacing w:line="360" w:lineRule="auto"/>
        <w:ind w:left="0" w:right="0" w:firstLine="0" w:firstLineChars="0"/>
        <w:jc w:val="left"/>
        <w:textAlignment w:val="auto"/>
        <w:outlineLvl w:val="2"/>
        <w:rPr>
          <w:rFonts w:hint="eastAsia" w:ascii="宋体" w:hAnsi="宋体"/>
          <w:color w:val="auto"/>
          <w:szCs w:val="21"/>
          <w:highlight w:val="none"/>
        </w:rPr>
      </w:pPr>
    </w:p>
    <w:p w14:paraId="4FFC8EE1">
      <w:pPr>
        <w:pageBreakBefore w:val="0"/>
        <w:widowControl/>
        <w:kinsoku/>
        <w:wordWrap/>
        <w:overflowPunct/>
        <w:topLinePunct w:val="0"/>
        <w:autoSpaceDE/>
        <w:autoSpaceDN/>
        <w:bidi w:val="0"/>
        <w:snapToGrid w:val="0"/>
        <w:spacing w:line="360" w:lineRule="auto"/>
        <w:ind w:left="0" w:right="0" w:firstLine="0" w:firstLineChars="0"/>
        <w:jc w:val="left"/>
        <w:textAlignment w:val="auto"/>
        <w:outlineLvl w:val="2"/>
        <w:rPr>
          <w:rFonts w:hint="eastAsia" w:ascii="宋体" w:hAnsi="宋体"/>
          <w:color w:val="auto"/>
          <w:szCs w:val="21"/>
          <w:highlight w:val="none"/>
        </w:rPr>
      </w:pPr>
    </w:p>
    <w:p w14:paraId="79F6B2D5">
      <w:pPr>
        <w:pageBreakBefore w:val="0"/>
        <w:widowControl/>
        <w:kinsoku/>
        <w:wordWrap/>
        <w:overflowPunct/>
        <w:topLinePunct w:val="0"/>
        <w:autoSpaceDE/>
        <w:autoSpaceDN/>
        <w:bidi w:val="0"/>
        <w:snapToGrid w:val="0"/>
        <w:spacing w:line="360" w:lineRule="auto"/>
        <w:ind w:left="0" w:right="0" w:firstLine="0" w:firstLineChars="0"/>
        <w:jc w:val="left"/>
        <w:textAlignment w:val="auto"/>
        <w:outlineLvl w:val="2"/>
        <w:rPr>
          <w:rFonts w:hint="eastAsia" w:ascii="宋体" w:hAnsi="宋体"/>
          <w:color w:val="auto"/>
          <w:szCs w:val="21"/>
          <w:highlight w:val="none"/>
        </w:rPr>
      </w:pPr>
    </w:p>
    <w:p w14:paraId="2EA5B081">
      <w:pPr>
        <w:pageBreakBefore w:val="0"/>
        <w:widowControl/>
        <w:kinsoku/>
        <w:wordWrap/>
        <w:overflowPunct/>
        <w:topLinePunct w:val="0"/>
        <w:autoSpaceDE/>
        <w:autoSpaceDN/>
        <w:bidi w:val="0"/>
        <w:snapToGrid w:val="0"/>
        <w:spacing w:line="360" w:lineRule="auto"/>
        <w:ind w:left="0" w:right="0" w:firstLine="0" w:firstLineChars="0"/>
        <w:jc w:val="left"/>
        <w:textAlignment w:val="auto"/>
        <w:outlineLvl w:val="2"/>
        <w:rPr>
          <w:rFonts w:hint="eastAsia" w:ascii="宋体" w:hAnsi="宋体"/>
          <w:color w:val="auto"/>
          <w:szCs w:val="21"/>
          <w:highlight w:val="none"/>
        </w:rPr>
      </w:pPr>
    </w:p>
    <w:p w14:paraId="1A3AED84">
      <w:pPr>
        <w:pageBreakBefore w:val="0"/>
        <w:widowControl/>
        <w:kinsoku/>
        <w:wordWrap/>
        <w:overflowPunct/>
        <w:topLinePunct w:val="0"/>
        <w:autoSpaceDE/>
        <w:autoSpaceDN/>
        <w:bidi w:val="0"/>
        <w:snapToGrid w:val="0"/>
        <w:spacing w:line="360" w:lineRule="auto"/>
        <w:ind w:left="0" w:right="0" w:firstLine="0" w:firstLineChars="0"/>
        <w:jc w:val="left"/>
        <w:textAlignment w:val="auto"/>
        <w:outlineLvl w:val="2"/>
        <w:rPr>
          <w:rFonts w:hint="eastAsia" w:ascii="宋体" w:hAnsi="宋体"/>
          <w:color w:val="auto"/>
          <w:szCs w:val="21"/>
          <w:highlight w:val="none"/>
        </w:rPr>
      </w:pPr>
    </w:p>
    <w:p w14:paraId="6F6CFCB5">
      <w:pPr>
        <w:pageBreakBefore w:val="0"/>
        <w:widowControl/>
        <w:kinsoku/>
        <w:wordWrap/>
        <w:overflowPunct/>
        <w:topLinePunct w:val="0"/>
        <w:autoSpaceDE/>
        <w:autoSpaceDN/>
        <w:bidi w:val="0"/>
        <w:snapToGrid w:val="0"/>
        <w:spacing w:line="360" w:lineRule="auto"/>
        <w:ind w:left="0" w:right="0" w:firstLine="0" w:firstLineChars="0"/>
        <w:jc w:val="left"/>
        <w:textAlignment w:val="auto"/>
        <w:outlineLvl w:val="2"/>
        <w:rPr>
          <w:rFonts w:hint="eastAsia" w:ascii="宋体" w:hAnsi="宋体"/>
          <w:color w:val="auto"/>
          <w:szCs w:val="21"/>
          <w:highlight w:val="none"/>
        </w:rPr>
      </w:pPr>
    </w:p>
    <w:p w14:paraId="55EAFB87">
      <w:pPr>
        <w:pageBreakBefore w:val="0"/>
        <w:widowControl/>
        <w:kinsoku/>
        <w:wordWrap/>
        <w:overflowPunct/>
        <w:topLinePunct w:val="0"/>
        <w:autoSpaceDE/>
        <w:autoSpaceDN/>
        <w:bidi w:val="0"/>
        <w:snapToGrid w:val="0"/>
        <w:spacing w:line="360" w:lineRule="auto"/>
        <w:ind w:left="0" w:right="0" w:firstLine="0" w:firstLineChars="0"/>
        <w:jc w:val="left"/>
        <w:textAlignment w:val="auto"/>
        <w:outlineLvl w:val="2"/>
        <w:rPr>
          <w:rFonts w:hint="eastAsia" w:ascii="宋体" w:hAnsi="宋体"/>
          <w:color w:val="auto"/>
          <w:szCs w:val="21"/>
          <w:highlight w:val="none"/>
        </w:rPr>
      </w:pPr>
    </w:p>
    <w:p w14:paraId="7BF5C7E0">
      <w:pPr>
        <w:pageBreakBefore w:val="0"/>
        <w:widowControl/>
        <w:kinsoku/>
        <w:wordWrap/>
        <w:overflowPunct/>
        <w:topLinePunct w:val="0"/>
        <w:autoSpaceDE/>
        <w:autoSpaceDN/>
        <w:bidi w:val="0"/>
        <w:snapToGrid w:val="0"/>
        <w:spacing w:line="360" w:lineRule="auto"/>
        <w:ind w:left="0" w:right="0" w:firstLine="0" w:firstLineChars="0"/>
        <w:jc w:val="left"/>
        <w:textAlignment w:val="auto"/>
        <w:outlineLvl w:val="2"/>
        <w:rPr>
          <w:rFonts w:hint="eastAsia" w:ascii="宋体" w:hAnsi="宋体"/>
          <w:color w:val="auto"/>
          <w:szCs w:val="21"/>
          <w:highlight w:val="none"/>
        </w:rPr>
      </w:pPr>
    </w:p>
    <w:p w14:paraId="0A963085">
      <w:pPr>
        <w:pageBreakBefore w:val="0"/>
        <w:widowControl/>
        <w:kinsoku/>
        <w:wordWrap/>
        <w:overflowPunct/>
        <w:topLinePunct w:val="0"/>
        <w:autoSpaceDE/>
        <w:autoSpaceDN/>
        <w:bidi w:val="0"/>
        <w:snapToGrid w:val="0"/>
        <w:spacing w:line="360" w:lineRule="auto"/>
        <w:ind w:left="0" w:right="0" w:firstLine="0" w:firstLineChars="0"/>
        <w:jc w:val="left"/>
        <w:textAlignment w:val="auto"/>
        <w:outlineLvl w:val="2"/>
        <w:rPr>
          <w:rFonts w:hint="eastAsia" w:ascii="宋体" w:hAnsi="宋体"/>
          <w:color w:val="auto"/>
          <w:szCs w:val="21"/>
          <w:highlight w:val="none"/>
        </w:rPr>
      </w:pPr>
    </w:p>
    <w:p w14:paraId="529FE3F4">
      <w:pPr>
        <w:pageBreakBefore w:val="0"/>
        <w:widowControl/>
        <w:kinsoku/>
        <w:wordWrap/>
        <w:overflowPunct/>
        <w:topLinePunct w:val="0"/>
        <w:autoSpaceDE/>
        <w:autoSpaceDN/>
        <w:bidi w:val="0"/>
        <w:snapToGrid w:val="0"/>
        <w:spacing w:line="360" w:lineRule="auto"/>
        <w:ind w:left="0" w:right="0" w:firstLine="0" w:firstLineChars="0"/>
        <w:jc w:val="left"/>
        <w:textAlignment w:val="auto"/>
        <w:outlineLvl w:val="2"/>
        <w:rPr>
          <w:rFonts w:hint="eastAsia" w:ascii="宋体" w:hAnsi="宋体"/>
          <w:color w:val="auto"/>
          <w:szCs w:val="21"/>
          <w:highlight w:val="none"/>
        </w:rPr>
      </w:pPr>
    </w:p>
    <w:p w14:paraId="28BF1B15">
      <w:pPr>
        <w:pageBreakBefore w:val="0"/>
        <w:widowControl/>
        <w:kinsoku/>
        <w:wordWrap/>
        <w:overflowPunct/>
        <w:topLinePunct w:val="0"/>
        <w:autoSpaceDE/>
        <w:autoSpaceDN/>
        <w:bidi w:val="0"/>
        <w:snapToGrid w:val="0"/>
        <w:spacing w:line="360" w:lineRule="auto"/>
        <w:ind w:left="0" w:right="0" w:firstLine="0" w:firstLineChars="0"/>
        <w:jc w:val="left"/>
        <w:textAlignment w:val="auto"/>
        <w:outlineLvl w:val="2"/>
        <w:rPr>
          <w:rFonts w:hint="eastAsia" w:ascii="宋体" w:hAnsi="宋体"/>
          <w:color w:val="auto"/>
          <w:szCs w:val="21"/>
          <w:highlight w:val="none"/>
        </w:rPr>
      </w:pPr>
    </w:p>
    <w:p w14:paraId="28EB070D">
      <w:pPr>
        <w:pageBreakBefore w:val="0"/>
        <w:widowControl/>
        <w:kinsoku/>
        <w:wordWrap/>
        <w:overflowPunct/>
        <w:topLinePunct w:val="0"/>
        <w:autoSpaceDE/>
        <w:autoSpaceDN/>
        <w:bidi w:val="0"/>
        <w:snapToGrid w:val="0"/>
        <w:spacing w:line="360" w:lineRule="auto"/>
        <w:ind w:left="0" w:right="0" w:firstLine="0" w:firstLineChars="0"/>
        <w:jc w:val="left"/>
        <w:textAlignment w:val="auto"/>
        <w:outlineLvl w:val="2"/>
        <w:rPr>
          <w:rFonts w:hint="eastAsia" w:ascii="宋体" w:hAnsi="宋体"/>
          <w:color w:val="auto"/>
          <w:szCs w:val="21"/>
          <w:highlight w:val="none"/>
        </w:rPr>
      </w:pPr>
    </w:p>
    <w:p w14:paraId="28193570">
      <w:pPr>
        <w:pageBreakBefore w:val="0"/>
        <w:widowControl/>
        <w:kinsoku/>
        <w:wordWrap/>
        <w:overflowPunct/>
        <w:topLinePunct w:val="0"/>
        <w:autoSpaceDE/>
        <w:autoSpaceDN/>
        <w:bidi w:val="0"/>
        <w:snapToGrid w:val="0"/>
        <w:spacing w:line="360" w:lineRule="auto"/>
        <w:ind w:left="0" w:right="0" w:firstLine="0" w:firstLineChars="0"/>
        <w:jc w:val="left"/>
        <w:textAlignment w:val="auto"/>
        <w:outlineLvl w:val="2"/>
        <w:rPr>
          <w:rFonts w:hint="eastAsia" w:ascii="宋体" w:hAnsi="宋体"/>
          <w:color w:val="auto"/>
          <w:szCs w:val="21"/>
          <w:highlight w:val="none"/>
        </w:rPr>
      </w:pPr>
    </w:p>
    <w:p w14:paraId="7E1F31AE">
      <w:pPr>
        <w:pageBreakBefore w:val="0"/>
        <w:widowControl/>
        <w:kinsoku/>
        <w:wordWrap/>
        <w:overflowPunct/>
        <w:topLinePunct w:val="0"/>
        <w:autoSpaceDE/>
        <w:autoSpaceDN/>
        <w:bidi w:val="0"/>
        <w:snapToGrid w:val="0"/>
        <w:spacing w:line="360" w:lineRule="auto"/>
        <w:ind w:left="0" w:right="0" w:firstLine="0" w:firstLineChars="0"/>
        <w:jc w:val="left"/>
        <w:textAlignment w:val="auto"/>
        <w:outlineLvl w:val="2"/>
        <w:rPr>
          <w:rFonts w:hint="eastAsia" w:ascii="宋体" w:hAnsi="宋体"/>
          <w:color w:val="auto"/>
          <w:szCs w:val="21"/>
          <w:highlight w:val="none"/>
        </w:rPr>
      </w:pPr>
    </w:p>
    <w:p w14:paraId="1E504738">
      <w:pPr>
        <w:pageBreakBefore w:val="0"/>
        <w:widowControl/>
        <w:kinsoku/>
        <w:wordWrap/>
        <w:overflowPunct/>
        <w:topLinePunct w:val="0"/>
        <w:autoSpaceDE/>
        <w:autoSpaceDN/>
        <w:bidi w:val="0"/>
        <w:snapToGrid w:val="0"/>
        <w:spacing w:line="360" w:lineRule="auto"/>
        <w:ind w:left="0" w:right="0" w:firstLine="0" w:firstLineChars="0"/>
        <w:jc w:val="left"/>
        <w:textAlignment w:val="auto"/>
        <w:outlineLvl w:val="2"/>
        <w:rPr>
          <w:rFonts w:hint="eastAsia" w:ascii="宋体" w:hAnsi="宋体"/>
          <w:color w:val="auto"/>
          <w:szCs w:val="21"/>
          <w:highlight w:val="none"/>
        </w:rPr>
      </w:pPr>
    </w:p>
    <w:p w14:paraId="65C2A524">
      <w:pPr>
        <w:pageBreakBefore w:val="0"/>
        <w:widowControl/>
        <w:kinsoku/>
        <w:wordWrap/>
        <w:overflowPunct/>
        <w:topLinePunct w:val="0"/>
        <w:autoSpaceDE/>
        <w:autoSpaceDN/>
        <w:bidi w:val="0"/>
        <w:snapToGrid w:val="0"/>
        <w:spacing w:line="360" w:lineRule="auto"/>
        <w:ind w:left="0" w:right="0" w:firstLine="0" w:firstLineChars="0"/>
        <w:jc w:val="left"/>
        <w:textAlignment w:val="auto"/>
        <w:outlineLvl w:val="2"/>
        <w:rPr>
          <w:rFonts w:hint="eastAsia" w:ascii="宋体" w:hAnsi="宋体"/>
          <w:color w:val="auto"/>
          <w:szCs w:val="21"/>
          <w:highlight w:val="none"/>
        </w:rPr>
      </w:pPr>
    </w:p>
    <w:p w14:paraId="70F30048">
      <w:pPr>
        <w:pageBreakBefore w:val="0"/>
        <w:widowControl/>
        <w:kinsoku/>
        <w:wordWrap/>
        <w:overflowPunct/>
        <w:topLinePunct w:val="0"/>
        <w:autoSpaceDE/>
        <w:autoSpaceDN/>
        <w:bidi w:val="0"/>
        <w:snapToGrid w:val="0"/>
        <w:spacing w:line="360" w:lineRule="auto"/>
        <w:ind w:left="0" w:right="0" w:firstLine="0" w:firstLineChars="0"/>
        <w:jc w:val="left"/>
        <w:textAlignment w:val="auto"/>
        <w:outlineLvl w:val="2"/>
        <w:rPr>
          <w:rFonts w:hint="eastAsia" w:ascii="宋体" w:hAnsi="宋体"/>
          <w:color w:val="auto"/>
          <w:szCs w:val="21"/>
          <w:highlight w:val="none"/>
        </w:rPr>
      </w:pPr>
    </w:p>
    <w:p w14:paraId="48EC7F0E">
      <w:pPr>
        <w:pageBreakBefore w:val="0"/>
        <w:widowControl/>
        <w:kinsoku/>
        <w:wordWrap/>
        <w:overflowPunct/>
        <w:topLinePunct w:val="0"/>
        <w:autoSpaceDE/>
        <w:autoSpaceDN/>
        <w:bidi w:val="0"/>
        <w:snapToGrid w:val="0"/>
        <w:spacing w:line="360" w:lineRule="auto"/>
        <w:ind w:left="0" w:right="0" w:firstLine="0" w:firstLineChars="0"/>
        <w:jc w:val="left"/>
        <w:textAlignment w:val="auto"/>
        <w:outlineLvl w:val="2"/>
        <w:rPr>
          <w:rFonts w:hint="eastAsia" w:ascii="宋体" w:hAnsi="宋体"/>
          <w:color w:val="auto"/>
          <w:szCs w:val="21"/>
          <w:highlight w:val="none"/>
        </w:rPr>
      </w:pPr>
    </w:p>
    <w:p w14:paraId="49101A3C">
      <w:pPr>
        <w:pageBreakBefore w:val="0"/>
        <w:widowControl/>
        <w:kinsoku/>
        <w:wordWrap/>
        <w:overflowPunct/>
        <w:topLinePunct w:val="0"/>
        <w:autoSpaceDE/>
        <w:autoSpaceDN/>
        <w:bidi w:val="0"/>
        <w:snapToGrid w:val="0"/>
        <w:spacing w:line="360" w:lineRule="auto"/>
        <w:ind w:left="0" w:right="0" w:firstLine="0" w:firstLineChars="0"/>
        <w:jc w:val="left"/>
        <w:textAlignment w:val="auto"/>
        <w:outlineLvl w:val="2"/>
        <w:rPr>
          <w:rFonts w:hint="eastAsia" w:ascii="宋体" w:hAnsi="宋体"/>
          <w:color w:val="auto"/>
          <w:szCs w:val="21"/>
          <w:highlight w:val="none"/>
        </w:rPr>
      </w:pPr>
    </w:p>
    <w:p w14:paraId="310F2A98">
      <w:pPr>
        <w:pageBreakBefore w:val="0"/>
        <w:widowControl/>
        <w:kinsoku/>
        <w:wordWrap/>
        <w:overflowPunct/>
        <w:topLinePunct w:val="0"/>
        <w:autoSpaceDE/>
        <w:autoSpaceDN/>
        <w:bidi w:val="0"/>
        <w:snapToGrid w:val="0"/>
        <w:spacing w:line="360" w:lineRule="auto"/>
        <w:ind w:left="0" w:right="0" w:firstLine="0" w:firstLineChars="0"/>
        <w:jc w:val="left"/>
        <w:textAlignment w:val="auto"/>
        <w:outlineLvl w:val="2"/>
        <w:rPr>
          <w:rFonts w:hint="eastAsia" w:ascii="宋体" w:hAnsi="宋体"/>
          <w:color w:val="auto"/>
          <w:szCs w:val="21"/>
          <w:highlight w:val="none"/>
        </w:rPr>
      </w:pPr>
    </w:p>
    <w:p w14:paraId="5EAD6B11">
      <w:pPr>
        <w:pageBreakBefore w:val="0"/>
        <w:widowControl/>
        <w:kinsoku/>
        <w:wordWrap/>
        <w:overflowPunct/>
        <w:topLinePunct w:val="0"/>
        <w:autoSpaceDE/>
        <w:autoSpaceDN/>
        <w:bidi w:val="0"/>
        <w:snapToGrid w:val="0"/>
        <w:spacing w:line="360" w:lineRule="auto"/>
        <w:ind w:left="0" w:right="0" w:firstLine="0" w:firstLineChars="0"/>
        <w:jc w:val="left"/>
        <w:textAlignment w:val="auto"/>
        <w:outlineLvl w:val="2"/>
        <w:rPr>
          <w:rFonts w:hint="eastAsia" w:ascii="宋体" w:hAnsi="宋体"/>
          <w:color w:val="auto"/>
          <w:szCs w:val="21"/>
          <w:highlight w:val="none"/>
        </w:rPr>
      </w:pPr>
    </w:p>
    <w:p w14:paraId="655E0212">
      <w:pPr>
        <w:pageBreakBefore w:val="0"/>
        <w:widowControl/>
        <w:kinsoku/>
        <w:wordWrap/>
        <w:overflowPunct/>
        <w:topLinePunct w:val="0"/>
        <w:autoSpaceDE/>
        <w:autoSpaceDN/>
        <w:bidi w:val="0"/>
        <w:snapToGrid w:val="0"/>
        <w:spacing w:line="360" w:lineRule="auto"/>
        <w:ind w:left="0" w:right="0" w:firstLine="0" w:firstLineChars="0"/>
        <w:jc w:val="left"/>
        <w:textAlignment w:val="auto"/>
        <w:outlineLvl w:val="2"/>
        <w:rPr>
          <w:rFonts w:hint="eastAsia" w:ascii="宋体" w:hAnsi="宋体"/>
          <w:color w:val="auto"/>
          <w:szCs w:val="21"/>
          <w:highlight w:val="none"/>
        </w:rPr>
      </w:pPr>
    </w:p>
    <w:p w14:paraId="1AEDEA56">
      <w:pPr>
        <w:pageBreakBefore w:val="0"/>
        <w:widowControl/>
        <w:kinsoku/>
        <w:wordWrap/>
        <w:overflowPunct/>
        <w:topLinePunct w:val="0"/>
        <w:autoSpaceDE/>
        <w:autoSpaceDN/>
        <w:bidi w:val="0"/>
        <w:snapToGrid w:val="0"/>
        <w:spacing w:line="360" w:lineRule="auto"/>
        <w:ind w:left="0" w:right="0" w:firstLine="0" w:firstLineChars="0"/>
        <w:jc w:val="left"/>
        <w:textAlignment w:val="auto"/>
        <w:outlineLvl w:val="2"/>
        <w:rPr>
          <w:color w:val="auto"/>
          <w:highlight w:val="none"/>
        </w:rPr>
      </w:pPr>
      <w:r>
        <w:rPr>
          <w:rFonts w:hint="eastAsia" w:ascii="宋体" w:hAnsi="宋体"/>
          <w:color w:val="auto"/>
          <w:szCs w:val="21"/>
          <w:highlight w:val="none"/>
        </w:rPr>
        <w:t>合同附件</w:t>
      </w:r>
      <w:r>
        <w:rPr>
          <w:rFonts w:hint="eastAsia" w:hAnsi="宋体"/>
          <w:color w:val="auto"/>
          <w:highlight w:val="none"/>
          <w:lang w:val="en-US" w:eastAsia="zh-CN"/>
        </w:rPr>
        <w:t>6</w:t>
      </w:r>
      <w:r>
        <w:rPr>
          <w:rFonts w:hint="eastAsia" w:hAnsi="宋体"/>
          <w:color w:val="auto"/>
          <w:highlight w:val="none"/>
        </w:rPr>
        <w:t xml:space="preserve">  施工</w:t>
      </w:r>
      <w:r>
        <w:rPr>
          <w:rFonts w:hAnsi="宋体"/>
          <w:color w:val="auto"/>
          <w:highlight w:val="none"/>
        </w:rPr>
        <w:t>质量、安全、进度服务承诺书</w:t>
      </w:r>
      <w:bookmarkEnd w:id="351"/>
      <w:bookmarkEnd w:id="352"/>
    </w:p>
    <w:p w14:paraId="2722FD9B">
      <w:pPr>
        <w:pageBreakBefore w:val="0"/>
        <w:kinsoku/>
        <w:wordWrap/>
        <w:overflowPunct/>
        <w:topLinePunct w:val="0"/>
        <w:autoSpaceDE/>
        <w:autoSpaceDN/>
        <w:bidi w:val="0"/>
        <w:spacing w:line="360" w:lineRule="auto"/>
        <w:ind w:left="0" w:right="0" w:firstLine="0" w:firstLineChars="0"/>
        <w:textAlignment w:val="auto"/>
        <w:rPr>
          <w:rFonts w:ascii="宋体" w:hAnsi="宋体"/>
          <w:color w:val="auto"/>
          <w:highlight w:val="none"/>
        </w:rPr>
      </w:pPr>
    </w:p>
    <w:p w14:paraId="081C4612">
      <w:pPr>
        <w:pageBreakBefore w:val="0"/>
        <w:kinsoku/>
        <w:wordWrap/>
        <w:overflowPunct/>
        <w:topLinePunct w:val="0"/>
        <w:autoSpaceDE/>
        <w:autoSpaceDN/>
        <w:bidi w:val="0"/>
        <w:adjustRightInd w:val="0"/>
        <w:snapToGrid w:val="0"/>
        <w:spacing w:line="360" w:lineRule="auto"/>
        <w:ind w:left="0" w:right="0" w:firstLine="0" w:firstLineChars="0"/>
        <w:jc w:val="center"/>
        <w:textAlignment w:val="auto"/>
        <w:rPr>
          <w:rFonts w:ascii="宋体" w:hAnsi="宋体"/>
          <w:b/>
          <w:color w:val="auto"/>
          <w:sz w:val="32"/>
          <w:szCs w:val="32"/>
          <w:highlight w:val="none"/>
        </w:rPr>
      </w:pPr>
      <w:r>
        <w:rPr>
          <w:rFonts w:hint="eastAsia" w:ascii="宋体" w:hAnsi="宋体"/>
          <w:b/>
          <w:color w:val="auto"/>
          <w:sz w:val="32"/>
          <w:szCs w:val="32"/>
          <w:highlight w:val="none"/>
        </w:rPr>
        <w:t>施工质量</w:t>
      </w:r>
      <w:r>
        <w:rPr>
          <w:rFonts w:ascii="宋体" w:hAnsi="宋体"/>
          <w:b/>
          <w:color w:val="auto"/>
          <w:sz w:val="32"/>
          <w:szCs w:val="32"/>
          <w:highlight w:val="none"/>
        </w:rPr>
        <w:t>、安全、进度</w:t>
      </w:r>
      <w:r>
        <w:rPr>
          <w:rFonts w:hint="eastAsia" w:ascii="宋体" w:hAnsi="宋体"/>
          <w:b/>
          <w:color w:val="auto"/>
          <w:sz w:val="32"/>
          <w:szCs w:val="32"/>
          <w:highlight w:val="none"/>
        </w:rPr>
        <w:t>服务承诺书</w:t>
      </w:r>
    </w:p>
    <w:p w14:paraId="2C35E5E4">
      <w:pPr>
        <w:pageBreakBefore w:val="0"/>
        <w:kinsoku/>
        <w:wordWrap/>
        <w:overflowPunct/>
        <w:topLinePunct w:val="0"/>
        <w:autoSpaceDE/>
        <w:autoSpaceDN/>
        <w:bidi w:val="0"/>
        <w:spacing w:line="360" w:lineRule="auto"/>
        <w:ind w:left="0" w:right="0" w:firstLine="0" w:firstLineChars="0"/>
        <w:textAlignment w:val="auto"/>
        <w:rPr>
          <w:rFonts w:ascii="宋体" w:hAnsi="宋体" w:cs="宋体"/>
          <w:bCs/>
          <w:color w:val="auto"/>
          <w:highlight w:val="none"/>
        </w:rPr>
      </w:pPr>
    </w:p>
    <w:p w14:paraId="713184F6">
      <w:pPr>
        <w:pageBreakBefore w:val="0"/>
        <w:kinsoku/>
        <w:wordWrap/>
        <w:overflowPunct/>
        <w:topLinePunct w:val="0"/>
        <w:autoSpaceDE/>
        <w:autoSpaceDN/>
        <w:bidi w:val="0"/>
        <w:spacing w:line="360" w:lineRule="auto"/>
        <w:ind w:left="0" w:right="0" w:firstLine="0" w:firstLineChars="0"/>
        <w:textAlignment w:val="auto"/>
        <w:rPr>
          <w:rFonts w:ascii="宋体" w:hAnsi="宋体" w:cs="宋体"/>
          <w:bCs/>
          <w:color w:val="auto"/>
          <w:szCs w:val="21"/>
          <w:highlight w:val="none"/>
        </w:rPr>
      </w:pPr>
      <w:r>
        <w:rPr>
          <w:rFonts w:hint="eastAsia" w:ascii="宋体" w:hAnsi="宋体" w:cs="宋体"/>
          <w:bCs/>
          <w:color w:val="auto"/>
          <w:szCs w:val="21"/>
          <w:highlight w:val="none"/>
        </w:rPr>
        <w:t>致</w:t>
      </w:r>
      <w:r>
        <w:rPr>
          <w:rFonts w:ascii="宋体" w:hAnsi="宋体" w:cs="宋体"/>
          <w:bCs/>
          <w:color w:val="auto"/>
          <w:szCs w:val="21"/>
          <w:highlight w:val="none"/>
        </w:rPr>
        <w:t>：</w:t>
      </w:r>
      <w:r>
        <w:rPr>
          <w:rFonts w:hint="eastAsia" w:ascii="宋体" w:hAnsi="宋体" w:cs="宋体"/>
          <w:bCs/>
          <w:color w:val="auto"/>
          <w:szCs w:val="21"/>
          <w:highlight w:val="none"/>
          <w:lang w:val="en-US" w:eastAsia="zh-CN"/>
        </w:rPr>
        <w:t xml:space="preserve"> </w:t>
      </w:r>
      <w:r>
        <w:rPr>
          <w:rFonts w:hint="eastAsia" w:ascii="宋体" w:hAnsi="宋体" w:cs="宋体"/>
          <w:bCs/>
          <w:color w:val="auto"/>
          <w:szCs w:val="21"/>
          <w:highlight w:val="none"/>
        </w:rPr>
        <w:t xml:space="preserve"> </w:t>
      </w:r>
    </w:p>
    <w:p w14:paraId="6377297D">
      <w:pPr>
        <w:pageBreakBefore w:val="0"/>
        <w:kinsoku/>
        <w:wordWrap/>
        <w:overflowPunct/>
        <w:topLinePunct w:val="0"/>
        <w:autoSpaceDE/>
        <w:autoSpaceDN/>
        <w:bidi w:val="0"/>
        <w:spacing w:line="360" w:lineRule="auto"/>
        <w:ind w:left="0" w:right="0" w:firstLine="0" w:firstLineChars="0"/>
        <w:textAlignment w:val="auto"/>
        <w:rPr>
          <w:rFonts w:ascii="宋体" w:hAnsi="宋体" w:cs="宋体"/>
          <w:color w:val="auto"/>
          <w:szCs w:val="21"/>
          <w:highlight w:val="none"/>
        </w:rPr>
      </w:pPr>
      <w:r>
        <w:rPr>
          <w:rFonts w:hint="eastAsia" w:ascii="宋体" w:hAnsi="宋体"/>
          <w:color w:val="auto"/>
          <w:szCs w:val="21"/>
          <w:highlight w:val="none"/>
        </w:rPr>
        <w:t>本承诺书</w:t>
      </w:r>
      <w:r>
        <w:rPr>
          <w:rFonts w:ascii="宋体" w:hAnsi="宋体"/>
          <w:color w:val="auto"/>
          <w:szCs w:val="21"/>
          <w:highlight w:val="none"/>
        </w:rPr>
        <w:t>作为</w:t>
      </w:r>
      <w:r>
        <w:rPr>
          <w:rFonts w:hint="eastAsia" w:ascii="宋体" w:hAnsi="宋体"/>
          <w:color w:val="auto"/>
          <w:szCs w:val="21"/>
          <w:highlight w:val="none"/>
        </w:rPr>
        <w:t>我单位</w:t>
      </w:r>
      <w:r>
        <w:rPr>
          <w:rFonts w:ascii="宋体" w:hAnsi="宋体"/>
          <w:color w:val="auto"/>
          <w:szCs w:val="21"/>
          <w:highlight w:val="none"/>
        </w:rPr>
        <w:t>投标</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良田粮库分布式光储项目</w:t>
      </w:r>
      <w:r>
        <w:rPr>
          <w:rFonts w:hint="eastAsia" w:ascii="宋体" w:hAnsi="宋体"/>
          <w:color w:val="auto"/>
          <w:szCs w:val="21"/>
          <w:highlight w:val="none"/>
          <w:u w:val="single"/>
        </w:rPr>
        <w:t xml:space="preserve"> </w:t>
      </w:r>
      <w:r>
        <w:rPr>
          <w:rFonts w:hint="eastAsia" w:ascii="宋体" w:hAnsi="宋体"/>
          <w:color w:val="auto"/>
          <w:szCs w:val="21"/>
          <w:highlight w:val="none"/>
        </w:rPr>
        <w:t>（以下简称“项目”）的施工</w:t>
      </w:r>
      <w:r>
        <w:rPr>
          <w:rFonts w:ascii="宋体" w:hAnsi="宋体"/>
          <w:color w:val="auto"/>
          <w:szCs w:val="21"/>
          <w:highlight w:val="none"/>
        </w:rPr>
        <w:t>服务承诺书</w:t>
      </w:r>
      <w:r>
        <w:rPr>
          <w:rFonts w:hint="eastAsia" w:ascii="宋体" w:hAnsi="宋体"/>
          <w:color w:val="auto"/>
          <w:szCs w:val="21"/>
          <w:highlight w:val="none"/>
        </w:rPr>
        <w:t>。</w:t>
      </w:r>
      <w:r>
        <w:rPr>
          <w:rFonts w:hint="eastAsia" w:ascii="宋体" w:hAnsi="宋体" w:cs="宋体"/>
          <w:color w:val="auto"/>
          <w:szCs w:val="21"/>
          <w:highlight w:val="none"/>
        </w:rPr>
        <w:t>如我单位能中标，我单位将做出以下承诺：</w:t>
      </w:r>
    </w:p>
    <w:p w14:paraId="521D319E">
      <w:pPr>
        <w:pageBreakBefore w:val="0"/>
        <w:kinsoku/>
        <w:wordWrap/>
        <w:overflowPunct/>
        <w:topLinePunct w:val="0"/>
        <w:autoSpaceDE/>
        <w:autoSpaceDN/>
        <w:bidi w:val="0"/>
        <w:spacing w:line="360" w:lineRule="auto"/>
        <w:ind w:left="0" w:right="0" w:firstLine="0" w:firstLineChars="0"/>
        <w:textAlignment w:val="auto"/>
        <w:rPr>
          <w:rFonts w:ascii="宋体" w:hAnsi="宋体" w:cs="宋体"/>
          <w:color w:val="auto"/>
          <w:szCs w:val="21"/>
          <w:highlight w:val="none"/>
        </w:rPr>
      </w:pPr>
    </w:p>
    <w:p w14:paraId="336B5EE2">
      <w:pPr>
        <w:pageBreakBefore w:val="0"/>
        <w:kinsoku/>
        <w:wordWrap/>
        <w:overflowPunct/>
        <w:topLinePunct w:val="0"/>
        <w:autoSpaceDE/>
        <w:autoSpaceDN/>
        <w:bidi w:val="0"/>
        <w:spacing w:line="360" w:lineRule="auto"/>
        <w:ind w:left="0" w:right="0" w:firstLine="0" w:firstLineChars="0"/>
        <w:textAlignment w:val="auto"/>
        <w:rPr>
          <w:rFonts w:ascii="宋体" w:hAnsi="宋体" w:cs="宋体"/>
          <w:color w:val="auto"/>
          <w:szCs w:val="21"/>
          <w:highlight w:val="none"/>
        </w:rPr>
      </w:pPr>
      <w:r>
        <w:rPr>
          <w:rFonts w:hint="eastAsia" w:ascii="宋体" w:hAnsi="宋体" w:cs="宋体"/>
          <w:b/>
          <w:color w:val="auto"/>
          <w:szCs w:val="21"/>
          <w:highlight w:val="none"/>
        </w:rPr>
        <w:t>第一、从计划管理、技术管理、资金管理等方面与招标方积极配合</w:t>
      </w:r>
    </w:p>
    <w:p w14:paraId="0D2FE899">
      <w:pPr>
        <w:pageBreakBefore w:val="0"/>
        <w:kinsoku/>
        <w:wordWrap/>
        <w:overflowPunct/>
        <w:topLinePunct w:val="0"/>
        <w:autoSpaceDE/>
        <w:autoSpaceDN/>
        <w:bidi w:val="0"/>
        <w:spacing w:line="360" w:lineRule="auto"/>
        <w:ind w:left="0" w:right="0" w:firstLine="0" w:firstLineChars="0"/>
        <w:textAlignment w:val="auto"/>
        <w:rPr>
          <w:rFonts w:ascii="宋体" w:hAnsi="宋体" w:cs="宋体"/>
          <w:color w:val="auto"/>
          <w:szCs w:val="21"/>
          <w:highlight w:val="none"/>
        </w:rPr>
      </w:pPr>
      <w:r>
        <w:rPr>
          <w:rFonts w:hint="eastAsia" w:ascii="宋体" w:hAnsi="宋体" w:cs="宋体"/>
          <w:color w:val="auto"/>
          <w:szCs w:val="21"/>
          <w:highlight w:val="none"/>
        </w:rPr>
        <w:t>（1）选择优秀施工班组，且依法与其签订劳务合同，按时支付工人工资，绝不拖欠工人工资。</w:t>
      </w:r>
    </w:p>
    <w:p w14:paraId="45F660A0">
      <w:pPr>
        <w:pageBreakBefore w:val="0"/>
        <w:kinsoku/>
        <w:wordWrap/>
        <w:overflowPunct/>
        <w:topLinePunct w:val="0"/>
        <w:autoSpaceDE/>
        <w:autoSpaceDN/>
        <w:bidi w:val="0"/>
        <w:spacing w:line="360" w:lineRule="auto"/>
        <w:ind w:left="0" w:right="0" w:firstLine="0" w:firstLineChars="0"/>
        <w:textAlignment w:val="auto"/>
        <w:rPr>
          <w:rFonts w:ascii="宋体" w:hAnsi="宋体" w:cs="宋体"/>
          <w:color w:val="auto"/>
          <w:szCs w:val="21"/>
          <w:highlight w:val="none"/>
        </w:rPr>
      </w:pPr>
      <w:r>
        <w:rPr>
          <w:rFonts w:hint="eastAsia" w:ascii="宋体" w:hAnsi="宋体" w:cs="宋体"/>
          <w:color w:val="auto"/>
          <w:szCs w:val="21"/>
          <w:highlight w:val="none"/>
        </w:rPr>
        <w:t>（2）向招标方报送总体工期网络计划，并积极协助招标方确定各专业分包队伍及供货商的进退场和中间交接事宜，配合招标方合理解决运输设备、施工用水、电、材料堆放、场地划分等。</w:t>
      </w:r>
    </w:p>
    <w:p w14:paraId="18902476">
      <w:pPr>
        <w:pageBreakBefore w:val="0"/>
        <w:kinsoku/>
        <w:wordWrap/>
        <w:overflowPunct/>
        <w:topLinePunct w:val="0"/>
        <w:autoSpaceDE/>
        <w:autoSpaceDN/>
        <w:bidi w:val="0"/>
        <w:spacing w:line="360" w:lineRule="auto"/>
        <w:ind w:left="0" w:right="0" w:firstLine="0" w:firstLineChars="0"/>
        <w:textAlignment w:val="auto"/>
        <w:rPr>
          <w:rFonts w:ascii="宋体" w:hAnsi="宋体" w:cs="宋体"/>
          <w:color w:val="auto"/>
          <w:szCs w:val="21"/>
          <w:highlight w:val="none"/>
        </w:rPr>
      </w:pPr>
      <w:r>
        <w:rPr>
          <w:rFonts w:hint="eastAsia" w:ascii="宋体" w:hAnsi="宋体" w:cs="宋体"/>
          <w:color w:val="auto"/>
          <w:szCs w:val="21"/>
          <w:highlight w:val="none"/>
        </w:rPr>
        <w:t>（3）每月的施工进度计划、劳动力计划和材料进场计划，经监理审核后报招标方进行审核确定</w:t>
      </w:r>
      <w:r>
        <w:rPr>
          <w:rFonts w:ascii="宋体" w:hAnsi="宋体" w:cs="宋体"/>
          <w:color w:val="auto"/>
          <w:szCs w:val="21"/>
          <w:highlight w:val="none"/>
        </w:rPr>
        <w:t>。</w:t>
      </w:r>
    </w:p>
    <w:p w14:paraId="7894BDFC">
      <w:pPr>
        <w:pageBreakBefore w:val="0"/>
        <w:kinsoku/>
        <w:wordWrap/>
        <w:overflowPunct/>
        <w:topLinePunct w:val="0"/>
        <w:autoSpaceDE/>
        <w:autoSpaceDN/>
        <w:bidi w:val="0"/>
        <w:spacing w:line="360" w:lineRule="auto"/>
        <w:ind w:left="0" w:right="0" w:firstLine="0" w:firstLineChars="0"/>
        <w:textAlignment w:val="auto"/>
        <w:rPr>
          <w:rFonts w:hint="eastAsia" w:ascii="宋体" w:hAnsi="宋体" w:cs="宋体"/>
          <w:color w:val="auto"/>
          <w:szCs w:val="21"/>
          <w:highlight w:val="none"/>
        </w:rPr>
      </w:pPr>
      <w:r>
        <w:rPr>
          <w:rFonts w:hint="eastAsia" w:ascii="宋体" w:hAnsi="宋体" w:cs="宋体"/>
          <w:color w:val="auto"/>
          <w:szCs w:val="21"/>
          <w:highlight w:val="none"/>
        </w:rPr>
        <w:t>（4）每周召开工程例会，由监理主持，招标方及项目经理部参加。协调施工过程中出现的各种问题，确保工程顺利进行，并在</w:t>
      </w:r>
      <w:r>
        <w:rPr>
          <w:rFonts w:ascii="宋体" w:hAnsi="宋体" w:cs="宋体"/>
          <w:color w:val="auto"/>
          <w:szCs w:val="21"/>
          <w:highlight w:val="none"/>
        </w:rPr>
        <w:t>合同约定的工期内</w:t>
      </w:r>
      <w:r>
        <w:rPr>
          <w:rFonts w:hint="eastAsia" w:ascii="宋体" w:hAnsi="宋体" w:cs="宋体"/>
          <w:color w:val="auto"/>
          <w:szCs w:val="21"/>
          <w:highlight w:val="none"/>
        </w:rPr>
        <w:t>完成竣工验收。</w:t>
      </w:r>
    </w:p>
    <w:p w14:paraId="3B3090F5">
      <w:pPr>
        <w:pageBreakBefore w:val="0"/>
        <w:kinsoku/>
        <w:wordWrap/>
        <w:overflowPunct/>
        <w:topLinePunct w:val="0"/>
        <w:autoSpaceDE/>
        <w:autoSpaceDN/>
        <w:bidi w:val="0"/>
        <w:spacing w:line="360" w:lineRule="auto"/>
        <w:ind w:left="0" w:right="0" w:firstLine="0" w:firstLineChars="0"/>
        <w:textAlignment w:val="auto"/>
        <w:rPr>
          <w:rFonts w:ascii="宋体" w:hAnsi="宋体" w:cs="宋体"/>
          <w:color w:val="auto"/>
          <w:szCs w:val="21"/>
          <w:highlight w:val="none"/>
        </w:rPr>
      </w:pPr>
      <w:r>
        <w:rPr>
          <w:rFonts w:hint="eastAsia" w:ascii="宋体" w:hAnsi="宋体" w:cs="宋体"/>
          <w:color w:val="auto"/>
          <w:szCs w:val="21"/>
          <w:highlight w:val="none"/>
        </w:rPr>
        <w:t>（5）向招标方提交每周工作汇报及下周工作计划，在报告中详细说明工程的进展情况，在计划中详细说明及进度、材料、劳力、设备、资金等的工作计划。</w:t>
      </w:r>
    </w:p>
    <w:p w14:paraId="553259C2">
      <w:pPr>
        <w:pageBreakBefore w:val="0"/>
        <w:kinsoku/>
        <w:wordWrap/>
        <w:overflowPunct/>
        <w:topLinePunct w:val="0"/>
        <w:autoSpaceDE/>
        <w:autoSpaceDN/>
        <w:bidi w:val="0"/>
        <w:spacing w:line="360" w:lineRule="auto"/>
        <w:ind w:left="0" w:right="0" w:firstLine="0" w:firstLineChars="0"/>
        <w:textAlignment w:val="auto"/>
        <w:rPr>
          <w:rFonts w:ascii="宋体" w:hAnsi="宋体" w:cs="宋体"/>
          <w:color w:val="auto"/>
          <w:szCs w:val="21"/>
          <w:highlight w:val="none"/>
        </w:rPr>
      </w:pPr>
      <w:r>
        <w:rPr>
          <w:rFonts w:hint="eastAsia" w:ascii="宋体" w:hAnsi="宋体" w:cs="宋体"/>
          <w:color w:val="auto"/>
          <w:szCs w:val="21"/>
          <w:highlight w:val="none"/>
        </w:rPr>
        <w:t>（6）认真做好施工日志，记录工地上每个工种雇佣工人及使用机械的数目、运到工地物料数量，以及每天的天气情况，并将其放在工地办公室，以便招标方随时查阅。</w:t>
      </w:r>
    </w:p>
    <w:p w14:paraId="5F51FFE9">
      <w:pPr>
        <w:pageBreakBefore w:val="0"/>
        <w:kinsoku/>
        <w:wordWrap/>
        <w:overflowPunct/>
        <w:topLinePunct w:val="0"/>
        <w:autoSpaceDE/>
        <w:autoSpaceDN/>
        <w:bidi w:val="0"/>
        <w:spacing w:line="360" w:lineRule="auto"/>
        <w:ind w:left="0" w:right="0" w:firstLine="0" w:firstLineChars="0"/>
        <w:textAlignment w:val="auto"/>
        <w:rPr>
          <w:rFonts w:ascii="宋体" w:hAnsi="宋体" w:cs="宋体"/>
          <w:color w:val="auto"/>
          <w:szCs w:val="21"/>
          <w:highlight w:val="none"/>
        </w:rPr>
      </w:pPr>
      <w:r>
        <w:rPr>
          <w:rFonts w:hint="eastAsia" w:ascii="宋体" w:hAnsi="宋体" w:cs="宋体"/>
          <w:color w:val="auto"/>
          <w:szCs w:val="21"/>
          <w:highlight w:val="none"/>
        </w:rPr>
        <w:t>（7）充分重视并积极落实招标方的指示，现场管理人员随时以书面形式记录招标方的指示，并予以贯彻。</w:t>
      </w:r>
    </w:p>
    <w:p w14:paraId="180F9E22">
      <w:pPr>
        <w:pageBreakBefore w:val="0"/>
        <w:kinsoku/>
        <w:wordWrap/>
        <w:overflowPunct/>
        <w:topLinePunct w:val="0"/>
        <w:autoSpaceDE/>
        <w:autoSpaceDN/>
        <w:bidi w:val="0"/>
        <w:spacing w:line="360" w:lineRule="auto"/>
        <w:ind w:left="0" w:right="0" w:firstLine="0" w:firstLineChars="0"/>
        <w:textAlignment w:val="auto"/>
        <w:rPr>
          <w:rFonts w:ascii="宋体" w:hAnsi="宋体" w:cs="宋体"/>
          <w:color w:val="auto"/>
          <w:szCs w:val="21"/>
          <w:highlight w:val="none"/>
          <w:shd w:val="pct10" w:color="auto" w:fill="FFFFFF"/>
        </w:rPr>
      </w:pPr>
      <w:r>
        <w:rPr>
          <w:rFonts w:hint="eastAsia" w:ascii="宋体" w:hAnsi="宋体" w:cs="宋体"/>
          <w:color w:val="auto"/>
          <w:szCs w:val="21"/>
          <w:highlight w:val="none"/>
        </w:rPr>
        <w:t>（8</w:t>
      </w:r>
      <w:r>
        <w:rPr>
          <w:rFonts w:ascii="宋体" w:hAnsi="宋体" w:cs="宋体"/>
          <w:color w:val="auto"/>
          <w:szCs w:val="21"/>
          <w:highlight w:val="none"/>
        </w:rPr>
        <w:t>）</w:t>
      </w:r>
      <w:r>
        <w:rPr>
          <w:rFonts w:hint="eastAsia" w:ascii="宋体" w:hAnsi="宋体" w:cs="宋体"/>
          <w:color w:val="auto"/>
          <w:szCs w:val="21"/>
          <w:highlight w:val="none"/>
        </w:rPr>
        <w:t>因承包方的</w:t>
      </w:r>
      <w:r>
        <w:rPr>
          <w:rFonts w:ascii="宋体" w:hAnsi="宋体" w:cs="宋体"/>
          <w:color w:val="auto"/>
          <w:szCs w:val="21"/>
          <w:highlight w:val="none"/>
        </w:rPr>
        <w:t>原因造成工</w:t>
      </w:r>
      <w:r>
        <w:rPr>
          <w:rFonts w:hint="eastAsia" w:ascii="宋体" w:hAnsi="宋体" w:cs="宋体"/>
          <w:color w:val="auto"/>
          <w:szCs w:val="21"/>
          <w:highlight w:val="none"/>
        </w:rPr>
        <w:t>程</w:t>
      </w:r>
      <w:r>
        <w:rPr>
          <w:rFonts w:ascii="宋体" w:hAnsi="宋体" w:cs="宋体"/>
          <w:color w:val="auto"/>
          <w:szCs w:val="21"/>
          <w:highlight w:val="none"/>
        </w:rPr>
        <w:t>延期</w:t>
      </w:r>
      <w:r>
        <w:rPr>
          <w:rFonts w:hint="eastAsia" w:ascii="宋体" w:hAnsi="宋体" w:cs="宋体"/>
          <w:color w:val="auto"/>
          <w:szCs w:val="21"/>
          <w:highlight w:val="none"/>
        </w:rPr>
        <w:t>，依据合同约定对</w:t>
      </w:r>
      <w:r>
        <w:rPr>
          <w:rFonts w:ascii="宋体" w:hAnsi="宋体" w:cs="宋体"/>
          <w:color w:val="auto"/>
          <w:szCs w:val="21"/>
          <w:highlight w:val="none"/>
        </w:rPr>
        <w:t>招标方</w:t>
      </w:r>
      <w:r>
        <w:rPr>
          <w:rFonts w:hint="eastAsia" w:ascii="宋体" w:hAnsi="宋体" w:cs="宋体"/>
          <w:color w:val="auto"/>
          <w:szCs w:val="21"/>
          <w:highlight w:val="none"/>
        </w:rPr>
        <w:t>进行</w:t>
      </w:r>
      <w:r>
        <w:rPr>
          <w:rFonts w:ascii="宋体" w:hAnsi="宋体" w:cs="宋体"/>
          <w:color w:val="auto"/>
          <w:szCs w:val="21"/>
          <w:highlight w:val="none"/>
        </w:rPr>
        <w:t>赔偿。</w:t>
      </w:r>
    </w:p>
    <w:p w14:paraId="0810EA21">
      <w:pPr>
        <w:pageBreakBefore w:val="0"/>
        <w:tabs>
          <w:tab w:val="left" w:pos="3329"/>
        </w:tabs>
        <w:kinsoku/>
        <w:wordWrap/>
        <w:overflowPunct/>
        <w:topLinePunct w:val="0"/>
        <w:autoSpaceDE/>
        <w:autoSpaceDN/>
        <w:bidi w:val="0"/>
        <w:spacing w:line="360" w:lineRule="auto"/>
        <w:ind w:left="0" w:right="0" w:firstLine="0" w:firstLineChars="0"/>
        <w:textAlignment w:val="auto"/>
        <w:rPr>
          <w:rFonts w:ascii="宋体" w:hAnsi="宋体" w:cs="宋体"/>
          <w:color w:val="auto"/>
          <w:szCs w:val="21"/>
          <w:highlight w:val="none"/>
        </w:rPr>
      </w:pPr>
      <w:r>
        <w:rPr>
          <w:rFonts w:ascii="宋体" w:hAnsi="宋体" w:cs="宋体"/>
          <w:color w:val="auto"/>
          <w:szCs w:val="21"/>
          <w:highlight w:val="none"/>
        </w:rPr>
        <w:tab/>
      </w:r>
    </w:p>
    <w:p w14:paraId="59E01A88">
      <w:pPr>
        <w:pageBreakBefore w:val="0"/>
        <w:kinsoku/>
        <w:wordWrap/>
        <w:overflowPunct/>
        <w:topLinePunct w:val="0"/>
        <w:autoSpaceDE/>
        <w:autoSpaceDN/>
        <w:bidi w:val="0"/>
        <w:spacing w:line="360" w:lineRule="auto"/>
        <w:ind w:left="0" w:right="0" w:firstLine="0" w:firstLineChars="0"/>
        <w:textAlignment w:val="auto"/>
        <w:rPr>
          <w:rFonts w:ascii="宋体" w:hAnsi="宋体" w:cs="宋体"/>
          <w:b/>
          <w:color w:val="auto"/>
          <w:szCs w:val="21"/>
          <w:highlight w:val="none"/>
        </w:rPr>
      </w:pPr>
      <w:r>
        <w:rPr>
          <w:rFonts w:hint="eastAsia" w:ascii="宋体" w:hAnsi="宋体" w:cs="宋体"/>
          <w:b/>
          <w:color w:val="auto"/>
          <w:szCs w:val="21"/>
          <w:highlight w:val="none"/>
        </w:rPr>
        <w:t>第二、质量及售后服务方面</w:t>
      </w:r>
    </w:p>
    <w:p w14:paraId="226090C9">
      <w:pPr>
        <w:pageBreakBefore w:val="0"/>
        <w:kinsoku/>
        <w:wordWrap/>
        <w:overflowPunct/>
        <w:topLinePunct w:val="0"/>
        <w:autoSpaceDE/>
        <w:autoSpaceDN/>
        <w:bidi w:val="0"/>
        <w:spacing w:line="360" w:lineRule="auto"/>
        <w:ind w:left="0" w:right="0" w:firstLine="0" w:firstLineChars="0"/>
        <w:textAlignment w:val="auto"/>
        <w:rPr>
          <w:rFonts w:ascii="宋体" w:hAnsi="宋体" w:cs="宋体"/>
          <w:color w:val="auto"/>
          <w:szCs w:val="21"/>
          <w:highlight w:val="none"/>
        </w:rPr>
      </w:pPr>
      <w:r>
        <w:rPr>
          <w:rFonts w:hint="eastAsia" w:ascii="宋体" w:hAnsi="宋体" w:cs="宋体"/>
          <w:color w:val="auto"/>
          <w:szCs w:val="21"/>
          <w:highlight w:val="none"/>
        </w:rPr>
        <w:t>自觉接受招标方、监理单位以及相关管理部门对建设工程质量、安全等的监督检查，及时改正检查中提出的问题。在质量及</w:t>
      </w:r>
      <w:r>
        <w:rPr>
          <w:rFonts w:ascii="宋体" w:hAnsi="宋体" w:cs="宋体"/>
          <w:color w:val="auto"/>
          <w:szCs w:val="21"/>
          <w:highlight w:val="none"/>
        </w:rPr>
        <w:t>售后服务方面</w:t>
      </w:r>
      <w:r>
        <w:rPr>
          <w:rFonts w:hint="eastAsia" w:ascii="宋体" w:hAnsi="宋体" w:cs="宋体"/>
          <w:color w:val="auto"/>
          <w:szCs w:val="21"/>
          <w:highlight w:val="none"/>
        </w:rPr>
        <w:t>做出以下承诺：</w:t>
      </w:r>
    </w:p>
    <w:p w14:paraId="213E93FA">
      <w:pPr>
        <w:pageBreakBefore w:val="0"/>
        <w:kinsoku/>
        <w:wordWrap/>
        <w:overflowPunct/>
        <w:topLinePunct w:val="0"/>
        <w:autoSpaceDE/>
        <w:autoSpaceDN/>
        <w:bidi w:val="0"/>
        <w:spacing w:line="360" w:lineRule="auto"/>
        <w:ind w:left="0" w:right="0" w:firstLine="0" w:firstLineChars="0"/>
        <w:textAlignment w:val="auto"/>
        <w:rPr>
          <w:rFonts w:ascii="宋体" w:hAnsi="宋体" w:cs="宋体"/>
          <w:color w:val="auto"/>
          <w:szCs w:val="21"/>
          <w:highlight w:val="none"/>
        </w:rPr>
      </w:pPr>
      <w:r>
        <w:rPr>
          <w:rFonts w:hint="eastAsia" w:ascii="宋体" w:hAnsi="宋体" w:cs="宋体"/>
          <w:color w:val="auto"/>
          <w:szCs w:val="21"/>
          <w:highlight w:val="none"/>
        </w:rPr>
        <w:t>（1）依法取得相应等级的资质证书，并在其资质等级许可的范围内承揽工程。不转包或者违法分包工程。</w:t>
      </w:r>
    </w:p>
    <w:p w14:paraId="4C2D6237">
      <w:pPr>
        <w:pageBreakBefore w:val="0"/>
        <w:kinsoku/>
        <w:wordWrap/>
        <w:overflowPunct/>
        <w:topLinePunct w:val="0"/>
        <w:autoSpaceDE/>
        <w:autoSpaceDN/>
        <w:bidi w:val="0"/>
        <w:spacing w:line="360" w:lineRule="auto"/>
        <w:ind w:left="0" w:right="0" w:firstLine="0" w:firstLineChars="0"/>
        <w:textAlignment w:val="auto"/>
        <w:rPr>
          <w:rFonts w:ascii="宋体" w:hAnsi="宋体" w:cs="宋体"/>
          <w:color w:val="auto"/>
          <w:szCs w:val="21"/>
          <w:highlight w:val="none"/>
        </w:rPr>
      </w:pPr>
      <w:r>
        <w:rPr>
          <w:rFonts w:hint="eastAsia" w:ascii="宋体" w:hAnsi="宋体" w:cs="宋体"/>
          <w:color w:val="auto"/>
          <w:szCs w:val="21"/>
          <w:highlight w:val="none"/>
        </w:rPr>
        <w:t>（2）建立质量责任制，对建筑工程的施工质量负责。</w:t>
      </w:r>
    </w:p>
    <w:p w14:paraId="1DF7DA6D">
      <w:pPr>
        <w:pageBreakBefore w:val="0"/>
        <w:kinsoku/>
        <w:wordWrap/>
        <w:overflowPunct/>
        <w:topLinePunct w:val="0"/>
        <w:autoSpaceDE/>
        <w:autoSpaceDN/>
        <w:bidi w:val="0"/>
        <w:spacing w:line="360" w:lineRule="auto"/>
        <w:ind w:left="0" w:right="0" w:firstLine="0" w:firstLineChars="0"/>
        <w:textAlignment w:val="auto"/>
        <w:rPr>
          <w:rFonts w:ascii="宋体" w:hAnsi="宋体" w:cs="宋体"/>
          <w:color w:val="auto"/>
          <w:szCs w:val="21"/>
          <w:highlight w:val="none"/>
        </w:rPr>
      </w:pPr>
      <w:r>
        <w:rPr>
          <w:rFonts w:hint="eastAsia" w:ascii="宋体" w:hAnsi="宋体" w:cs="宋体"/>
          <w:color w:val="auto"/>
          <w:szCs w:val="21"/>
          <w:highlight w:val="none"/>
        </w:rPr>
        <w:t>（3）按照工程设计图纸和施工技术标准施工，不擅自修改工程设计，不偷工减料。在施工过程中发现设计文件和图纸有差错的，及时提出意见和建议。</w:t>
      </w:r>
    </w:p>
    <w:p w14:paraId="3E7B9627">
      <w:pPr>
        <w:pageBreakBefore w:val="0"/>
        <w:kinsoku/>
        <w:wordWrap/>
        <w:overflowPunct/>
        <w:topLinePunct w:val="0"/>
        <w:autoSpaceDE/>
        <w:autoSpaceDN/>
        <w:bidi w:val="0"/>
        <w:spacing w:line="360" w:lineRule="auto"/>
        <w:ind w:left="0" w:right="0" w:firstLine="0" w:firstLineChars="0"/>
        <w:textAlignment w:val="auto"/>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4</w:t>
      </w:r>
      <w:r>
        <w:rPr>
          <w:rFonts w:hint="eastAsia" w:ascii="宋体" w:hAnsi="宋体" w:cs="宋体"/>
          <w:color w:val="auto"/>
          <w:szCs w:val="21"/>
          <w:highlight w:val="none"/>
        </w:rPr>
        <w:t>）依法履行建筑工程质量保修义务。如光伏</w:t>
      </w:r>
      <w:r>
        <w:rPr>
          <w:rFonts w:ascii="宋体" w:hAnsi="宋体" w:cs="宋体"/>
          <w:color w:val="auto"/>
          <w:szCs w:val="21"/>
          <w:highlight w:val="none"/>
        </w:rPr>
        <w:t>发电</w:t>
      </w:r>
      <w:r>
        <w:rPr>
          <w:rFonts w:hint="eastAsia" w:ascii="宋体" w:hAnsi="宋体" w:cs="宋体"/>
          <w:color w:val="auto"/>
          <w:szCs w:val="21"/>
          <w:highlight w:val="none"/>
        </w:rPr>
        <w:t>系统设备出现故障，在接到用户电话后2小时</w:t>
      </w:r>
      <w:r>
        <w:rPr>
          <w:rFonts w:ascii="宋体" w:hAnsi="宋体" w:cs="宋体"/>
          <w:color w:val="auto"/>
          <w:szCs w:val="21"/>
          <w:highlight w:val="none"/>
        </w:rPr>
        <w:t>内响应，</w:t>
      </w:r>
      <w:r>
        <w:rPr>
          <w:rFonts w:hint="eastAsia" w:ascii="宋体" w:hAnsi="宋体" w:cs="宋体"/>
          <w:color w:val="auto"/>
          <w:szCs w:val="21"/>
          <w:highlight w:val="none"/>
        </w:rPr>
        <w:t>24小时内赶到现场进行维修处理。</w:t>
      </w:r>
    </w:p>
    <w:p w14:paraId="05502EF5">
      <w:pPr>
        <w:pageBreakBefore w:val="0"/>
        <w:kinsoku/>
        <w:wordWrap/>
        <w:overflowPunct/>
        <w:topLinePunct w:val="0"/>
        <w:autoSpaceDE/>
        <w:autoSpaceDN/>
        <w:bidi w:val="0"/>
        <w:spacing w:line="360" w:lineRule="auto"/>
        <w:ind w:left="0" w:right="0" w:firstLine="0" w:firstLineChars="0"/>
        <w:textAlignment w:val="auto"/>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5</w:t>
      </w:r>
      <w:r>
        <w:rPr>
          <w:rFonts w:hint="eastAsia" w:ascii="宋体" w:hAnsi="宋体" w:cs="宋体"/>
          <w:color w:val="auto"/>
          <w:szCs w:val="21"/>
          <w:highlight w:val="none"/>
        </w:rPr>
        <w:t>）对本工程的稳定运行进行终身跟踪服务。</w:t>
      </w:r>
    </w:p>
    <w:p w14:paraId="15A86078">
      <w:pPr>
        <w:pageBreakBefore w:val="0"/>
        <w:kinsoku/>
        <w:wordWrap/>
        <w:overflowPunct/>
        <w:topLinePunct w:val="0"/>
        <w:autoSpaceDE/>
        <w:autoSpaceDN/>
        <w:bidi w:val="0"/>
        <w:spacing w:line="360" w:lineRule="auto"/>
        <w:ind w:left="0" w:right="0" w:firstLine="0" w:firstLineChars="0"/>
        <w:textAlignment w:val="auto"/>
        <w:rPr>
          <w:rFonts w:ascii="宋体" w:hAnsi="宋体" w:cs="宋体"/>
          <w:color w:val="auto"/>
          <w:szCs w:val="21"/>
          <w:highlight w:val="none"/>
        </w:rPr>
      </w:pPr>
    </w:p>
    <w:p w14:paraId="0D5FCE16">
      <w:pPr>
        <w:pageBreakBefore w:val="0"/>
        <w:kinsoku/>
        <w:wordWrap/>
        <w:overflowPunct/>
        <w:topLinePunct w:val="0"/>
        <w:autoSpaceDE/>
        <w:autoSpaceDN/>
        <w:bidi w:val="0"/>
        <w:spacing w:line="360" w:lineRule="auto"/>
        <w:ind w:left="0" w:right="0" w:firstLine="0" w:firstLineChars="0"/>
        <w:textAlignment w:val="auto"/>
        <w:rPr>
          <w:rFonts w:ascii="宋体" w:hAnsi="宋体" w:cs="宋体"/>
          <w:b/>
          <w:color w:val="auto"/>
          <w:szCs w:val="21"/>
          <w:highlight w:val="none"/>
        </w:rPr>
      </w:pPr>
      <w:r>
        <w:rPr>
          <w:rFonts w:hint="eastAsia" w:ascii="宋体" w:hAnsi="宋体" w:cs="宋体"/>
          <w:b/>
          <w:color w:val="auto"/>
          <w:szCs w:val="21"/>
          <w:highlight w:val="none"/>
        </w:rPr>
        <w:t>第三、安全文明施工方面</w:t>
      </w:r>
    </w:p>
    <w:p w14:paraId="1220A3E8">
      <w:pPr>
        <w:pageBreakBefore w:val="0"/>
        <w:kinsoku/>
        <w:wordWrap/>
        <w:overflowPunct/>
        <w:topLinePunct w:val="0"/>
        <w:autoSpaceDE/>
        <w:autoSpaceDN/>
        <w:bidi w:val="0"/>
        <w:spacing w:line="360" w:lineRule="auto"/>
        <w:ind w:left="0" w:right="0" w:firstLine="0" w:firstLineChars="0"/>
        <w:textAlignment w:val="auto"/>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w:t>
      </w:r>
      <w:r>
        <w:rPr>
          <w:rFonts w:hint="eastAsia" w:ascii="宋体" w:hAnsi="宋体" w:cs="宋体"/>
          <w:color w:val="auto"/>
          <w:szCs w:val="21"/>
          <w:highlight w:val="none"/>
        </w:rPr>
        <w:t>）建立、健全施工质量的检验制度，严格工序管理，作好隐蔽工程的质量检查和记录。</w:t>
      </w:r>
    </w:p>
    <w:p w14:paraId="4BA17F2D">
      <w:pPr>
        <w:pageBreakBefore w:val="0"/>
        <w:kinsoku/>
        <w:wordWrap/>
        <w:overflowPunct/>
        <w:topLinePunct w:val="0"/>
        <w:autoSpaceDE/>
        <w:autoSpaceDN/>
        <w:bidi w:val="0"/>
        <w:spacing w:line="360" w:lineRule="auto"/>
        <w:ind w:left="0" w:right="0" w:firstLine="0" w:firstLineChars="0"/>
        <w:textAlignment w:val="auto"/>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）建立、健全教育培训制度，加强对职工的教育培训；未经教育培训或者考核不合格的人员，不允许上岗作业。</w:t>
      </w:r>
    </w:p>
    <w:p w14:paraId="7BFB87A5">
      <w:pPr>
        <w:pageBreakBefore w:val="0"/>
        <w:kinsoku/>
        <w:wordWrap/>
        <w:overflowPunct/>
        <w:topLinePunct w:val="0"/>
        <w:autoSpaceDE/>
        <w:autoSpaceDN/>
        <w:bidi w:val="0"/>
        <w:spacing w:line="360" w:lineRule="auto"/>
        <w:ind w:left="0" w:right="0" w:firstLine="0" w:firstLineChars="0"/>
        <w:textAlignment w:val="auto"/>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3</w:t>
      </w:r>
      <w:r>
        <w:rPr>
          <w:rFonts w:hint="eastAsia" w:ascii="宋体" w:hAnsi="宋体" w:cs="宋体"/>
          <w:color w:val="auto"/>
          <w:szCs w:val="21"/>
          <w:highlight w:val="none"/>
        </w:rPr>
        <w:t>）项目负责人由取得相应执业资格的人员担任，对建筑工程项目的安全施工负责，落实安全生产责任制度、安全生产规章制度和操作规程，确保安全生产费用的有效使用，并根据工程的特点组织制定安全施工措施，消除安全事故隐患，及时、如实报告生产安全事故。</w:t>
      </w:r>
    </w:p>
    <w:p w14:paraId="11B748F5">
      <w:pPr>
        <w:pageBreakBefore w:val="0"/>
        <w:kinsoku/>
        <w:wordWrap/>
        <w:overflowPunct/>
        <w:topLinePunct w:val="0"/>
        <w:autoSpaceDE/>
        <w:autoSpaceDN/>
        <w:bidi w:val="0"/>
        <w:spacing w:line="360" w:lineRule="auto"/>
        <w:ind w:left="0" w:right="0" w:firstLine="0" w:firstLineChars="0"/>
        <w:textAlignment w:val="auto"/>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4</w:t>
      </w:r>
      <w:r>
        <w:rPr>
          <w:rFonts w:hint="eastAsia" w:ascii="宋体" w:hAnsi="宋体" w:cs="宋体"/>
          <w:color w:val="auto"/>
          <w:szCs w:val="21"/>
          <w:highlight w:val="none"/>
        </w:rPr>
        <w:t>）设立安全生产管理机构，配备专职安全生产管理人员。专职安全生产管理人员负责对现场的安全生产进行监督检查。发现安全事故隐患，及时向项目负责人和安全生产管理机构报告；对违章指挥、违章作业等违章行为，立即制止。</w:t>
      </w:r>
    </w:p>
    <w:p w14:paraId="3116E4F8">
      <w:pPr>
        <w:pageBreakBefore w:val="0"/>
        <w:kinsoku/>
        <w:wordWrap/>
        <w:overflowPunct/>
        <w:topLinePunct w:val="0"/>
        <w:autoSpaceDE/>
        <w:autoSpaceDN/>
        <w:bidi w:val="0"/>
        <w:spacing w:line="360" w:lineRule="auto"/>
        <w:ind w:left="0" w:right="0" w:firstLine="0" w:firstLineChars="0"/>
        <w:textAlignment w:val="auto"/>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5</w:t>
      </w:r>
      <w:r>
        <w:rPr>
          <w:rFonts w:hint="eastAsia" w:ascii="宋体" w:hAnsi="宋体" w:cs="宋体"/>
          <w:color w:val="auto"/>
          <w:szCs w:val="21"/>
          <w:highlight w:val="none"/>
        </w:rPr>
        <w:t>）根据不同施工阶段和周围环境及季节、气候的变化，在施工现场采取相应的安全施工措施。施工现场暂时停止施工的，需做好现场防护。职工的膳食、饮水、休息场所等符合卫生标准。</w:t>
      </w:r>
    </w:p>
    <w:p w14:paraId="0692480D">
      <w:pPr>
        <w:pageBreakBefore w:val="0"/>
        <w:kinsoku/>
        <w:wordWrap/>
        <w:overflowPunct/>
        <w:topLinePunct w:val="0"/>
        <w:autoSpaceDE/>
        <w:autoSpaceDN/>
        <w:bidi w:val="0"/>
        <w:spacing w:line="360" w:lineRule="auto"/>
        <w:ind w:left="0" w:right="0" w:firstLine="0" w:firstLineChars="0"/>
        <w:textAlignment w:val="auto"/>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6</w:t>
      </w:r>
      <w:r>
        <w:rPr>
          <w:rFonts w:hint="eastAsia" w:ascii="宋体" w:hAnsi="宋体" w:cs="宋体"/>
          <w:color w:val="auto"/>
          <w:szCs w:val="21"/>
          <w:highlight w:val="none"/>
        </w:rPr>
        <w:t>））作业人员遵守安全施工的强制性标准、规章制度和操作规程，正确使用安全防护用具、机械设备等。</w:t>
      </w:r>
    </w:p>
    <w:p w14:paraId="48E693B0">
      <w:pPr>
        <w:pageBreakBefore w:val="0"/>
        <w:kinsoku/>
        <w:wordWrap/>
        <w:overflowPunct/>
        <w:topLinePunct w:val="0"/>
        <w:autoSpaceDE/>
        <w:autoSpaceDN/>
        <w:bidi w:val="0"/>
        <w:spacing w:line="360" w:lineRule="auto"/>
        <w:ind w:left="0" w:right="0" w:firstLine="0" w:firstLineChars="0"/>
        <w:textAlignment w:val="auto"/>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7</w:t>
      </w:r>
      <w:r>
        <w:rPr>
          <w:rFonts w:hint="eastAsia" w:ascii="宋体" w:hAnsi="宋体" w:cs="宋体"/>
          <w:color w:val="auto"/>
          <w:szCs w:val="21"/>
          <w:highlight w:val="none"/>
        </w:rPr>
        <w:t>）采购、租赁具有生产（制造）许可证、产品合格证的安全防护用具、机械设备、施工机具及配件，并在进入施工现场前进行查验。</w:t>
      </w:r>
    </w:p>
    <w:p w14:paraId="6ED93CB9">
      <w:pPr>
        <w:pageBreakBefore w:val="0"/>
        <w:kinsoku/>
        <w:wordWrap/>
        <w:overflowPunct/>
        <w:topLinePunct w:val="0"/>
        <w:autoSpaceDE/>
        <w:autoSpaceDN/>
        <w:bidi w:val="0"/>
        <w:spacing w:line="360" w:lineRule="auto"/>
        <w:ind w:left="0" w:right="0" w:firstLine="0" w:firstLineChars="0"/>
        <w:textAlignment w:val="auto"/>
        <w:rPr>
          <w:rFonts w:ascii="宋体" w:hAnsi="宋体" w:cs="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8）</w:t>
      </w:r>
      <w:r>
        <w:rPr>
          <w:rFonts w:hint="eastAsia" w:ascii="宋体" w:hAnsi="宋体"/>
          <w:color w:val="auto"/>
          <w:szCs w:val="21"/>
          <w:highlight w:val="none"/>
        </w:rPr>
        <w:t>严格遵守</w:t>
      </w:r>
      <w:r>
        <w:rPr>
          <w:rFonts w:ascii="宋体" w:hAnsi="宋体"/>
          <w:color w:val="auto"/>
          <w:szCs w:val="21"/>
          <w:highlight w:val="none"/>
        </w:rPr>
        <w:t>招标方的安全文明施工</w:t>
      </w:r>
      <w:r>
        <w:rPr>
          <w:rFonts w:hint="eastAsia" w:ascii="宋体" w:hAnsi="宋体"/>
          <w:color w:val="auto"/>
          <w:szCs w:val="21"/>
          <w:highlight w:val="none"/>
        </w:rPr>
        <w:t>要求和</w:t>
      </w:r>
      <w:r>
        <w:rPr>
          <w:rFonts w:ascii="宋体" w:hAnsi="宋体"/>
          <w:color w:val="auto"/>
          <w:szCs w:val="21"/>
          <w:highlight w:val="none"/>
        </w:rPr>
        <w:t>合同的规定，</w:t>
      </w:r>
      <w:r>
        <w:rPr>
          <w:rFonts w:hint="eastAsia" w:ascii="宋体" w:hAnsi="宋体"/>
          <w:color w:val="auto"/>
          <w:szCs w:val="21"/>
          <w:highlight w:val="none"/>
        </w:rPr>
        <w:t>若</w:t>
      </w:r>
      <w:r>
        <w:rPr>
          <w:rFonts w:ascii="宋体" w:hAnsi="宋体"/>
          <w:color w:val="auto"/>
          <w:szCs w:val="21"/>
          <w:highlight w:val="none"/>
        </w:rPr>
        <w:t>违反则按合同</w:t>
      </w:r>
      <w:r>
        <w:rPr>
          <w:rFonts w:hint="eastAsia" w:ascii="宋体" w:hAnsi="宋体"/>
          <w:color w:val="auto"/>
          <w:szCs w:val="21"/>
          <w:highlight w:val="none"/>
        </w:rPr>
        <w:t>条款的</w:t>
      </w:r>
      <w:r>
        <w:rPr>
          <w:rFonts w:ascii="宋体" w:hAnsi="宋体"/>
          <w:color w:val="auto"/>
          <w:szCs w:val="21"/>
          <w:highlight w:val="none"/>
        </w:rPr>
        <w:t>约定</w:t>
      </w:r>
      <w:r>
        <w:rPr>
          <w:rFonts w:hint="eastAsia" w:ascii="宋体" w:hAnsi="宋体"/>
          <w:color w:val="auto"/>
          <w:szCs w:val="21"/>
          <w:highlight w:val="none"/>
        </w:rPr>
        <w:t>对</w:t>
      </w:r>
      <w:r>
        <w:rPr>
          <w:rFonts w:ascii="宋体" w:hAnsi="宋体"/>
          <w:color w:val="auto"/>
          <w:szCs w:val="21"/>
          <w:highlight w:val="none"/>
        </w:rPr>
        <w:t>发包人进行赔偿。</w:t>
      </w:r>
    </w:p>
    <w:p w14:paraId="7F2E7D8C">
      <w:pPr>
        <w:pageBreakBefore w:val="0"/>
        <w:kinsoku/>
        <w:wordWrap/>
        <w:overflowPunct/>
        <w:topLinePunct w:val="0"/>
        <w:autoSpaceDE/>
        <w:autoSpaceDN/>
        <w:bidi w:val="0"/>
        <w:spacing w:line="360" w:lineRule="auto"/>
        <w:ind w:left="0" w:right="0" w:firstLine="0" w:firstLineChars="0"/>
        <w:textAlignment w:val="auto"/>
        <w:rPr>
          <w:rFonts w:ascii="宋体" w:hAnsi="宋体" w:cs="宋体"/>
          <w:color w:val="auto"/>
          <w:szCs w:val="21"/>
          <w:highlight w:val="none"/>
        </w:rPr>
      </w:pPr>
    </w:p>
    <w:p w14:paraId="6ECE7AE2">
      <w:pPr>
        <w:pageBreakBefore w:val="0"/>
        <w:kinsoku/>
        <w:wordWrap/>
        <w:overflowPunct/>
        <w:topLinePunct w:val="0"/>
        <w:autoSpaceDE/>
        <w:autoSpaceDN/>
        <w:bidi w:val="0"/>
        <w:spacing w:line="360" w:lineRule="auto"/>
        <w:ind w:left="0" w:right="0" w:firstLine="0" w:firstLineChars="0"/>
        <w:textAlignment w:val="auto"/>
        <w:rPr>
          <w:rFonts w:ascii="宋体" w:hAnsi="宋体"/>
          <w:color w:val="auto"/>
          <w:szCs w:val="21"/>
          <w:highlight w:val="none"/>
        </w:rPr>
      </w:pPr>
      <w:r>
        <w:rPr>
          <w:rFonts w:hint="eastAsia" w:ascii="宋体" w:hAnsi="宋体" w:cs="宋体"/>
          <w:color w:val="auto"/>
          <w:szCs w:val="21"/>
          <w:highlight w:val="none"/>
        </w:rPr>
        <w:t>第四条 本承诺书作为</w:t>
      </w:r>
      <w:r>
        <w:rPr>
          <w:rFonts w:hint="eastAsia" w:ascii="宋体" w:hAnsi="宋体" w:cs="宋体"/>
          <w:color w:val="auto"/>
          <w:szCs w:val="21"/>
          <w:highlight w:val="none"/>
          <w:lang w:eastAsia="zh-CN"/>
        </w:rPr>
        <w:t>主合同</w:t>
      </w:r>
      <w:r>
        <w:rPr>
          <w:rFonts w:hint="eastAsia" w:ascii="宋体" w:hAnsi="宋体" w:cs="宋体"/>
          <w:color w:val="auto"/>
          <w:highlight w:val="none"/>
          <w:lang w:eastAsia="zh-CN"/>
        </w:rPr>
        <w:t>《</w:t>
      </w:r>
      <w:r>
        <w:rPr>
          <w:rFonts w:hint="eastAsia" w:ascii="宋体" w:hAnsi="宋体" w:cs="宋体"/>
          <w:color w:val="auto"/>
          <w:highlight w:val="none"/>
          <w:lang w:val="en-US" w:eastAsia="zh-CN"/>
        </w:rPr>
        <w:t>良田粮库分布式光储</w:t>
      </w:r>
      <w:r>
        <w:rPr>
          <w:rFonts w:hint="eastAsia" w:ascii="宋体" w:hAnsi="宋体" w:cs="宋体"/>
          <w:color w:val="auto"/>
          <w:highlight w:val="none"/>
        </w:rPr>
        <w:t>项目EPC总承包合同</w:t>
      </w:r>
      <w:r>
        <w:rPr>
          <w:rFonts w:hint="eastAsia" w:ascii="宋体" w:hAnsi="宋体" w:cs="宋体"/>
          <w:color w:val="auto"/>
          <w:highlight w:val="none"/>
          <w:lang w:eastAsia="zh-CN"/>
        </w:rPr>
        <w:t>》</w:t>
      </w:r>
      <w:r>
        <w:rPr>
          <w:rFonts w:hint="eastAsia" w:ascii="宋体" w:hAnsi="宋体" w:cs="宋体"/>
          <w:color w:val="auto"/>
          <w:szCs w:val="21"/>
          <w:highlight w:val="none"/>
        </w:rPr>
        <w:t>的附件，与</w:t>
      </w:r>
      <w:r>
        <w:rPr>
          <w:rFonts w:hint="eastAsia" w:ascii="宋体" w:hAnsi="宋体" w:cs="宋体"/>
          <w:color w:val="auto"/>
          <w:szCs w:val="21"/>
          <w:highlight w:val="none"/>
          <w:lang w:eastAsia="zh-CN"/>
        </w:rPr>
        <w:t>主</w:t>
      </w:r>
      <w:r>
        <w:rPr>
          <w:rFonts w:hint="eastAsia" w:ascii="宋体" w:hAnsi="宋体" w:cs="宋体"/>
          <w:color w:val="auto"/>
          <w:szCs w:val="21"/>
          <w:highlight w:val="none"/>
        </w:rPr>
        <w:t>合同具有同等法律效力。经双方签署后立即生效。</w:t>
      </w:r>
    </w:p>
    <w:p w14:paraId="237EAEB9">
      <w:pPr>
        <w:pageBreakBefore w:val="0"/>
        <w:kinsoku/>
        <w:wordWrap/>
        <w:overflowPunct/>
        <w:topLinePunct w:val="0"/>
        <w:autoSpaceDE/>
        <w:autoSpaceDN/>
        <w:bidi w:val="0"/>
        <w:spacing w:line="360" w:lineRule="auto"/>
        <w:ind w:left="0" w:right="0" w:firstLine="0" w:firstLineChars="0"/>
        <w:textAlignment w:val="auto"/>
        <w:rPr>
          <w:rFonts w:ascii="宋体" w:hAnsi="宋体" w:cs="宋体"/>
          <w:color w:val="auto"/>
          <w:szCs w:val="21"/>
          <w:highlight w:val="none"/>
        </w:rPr>
      </w:pPr>
    </w:p>
    <w:p w14:paraId="2AA8578B">
      <w:pPr>
        <w:pageBreakBefore w:val="0"/>
        <w:kinsoku/>
        <w:wordWrap/>
        <w:overflowPunct/>
        <w:topLinePunct w:val="0"/>
        <w:autoSpaceDE/>
        <w:autoSpaceDN/>
        <w:bidi w:val="0"/>
        <w:spacing w:line="360" w:lineRule="auto"/>
        <w:ind w:left="0" w:right="0" w:firstLine="0" w:firstLineChars="0"/>
        <w:textAlignment w:val="auto"/>
        <w:rPr>
          <w:rFonts w:ascii="宋体" w:hAnsi="宋体"/>
          <w:color w:val="auto"/>
          <w:szCs w:val="21"/>
          <w:highlight w:val="none"/>
        </w:rPr>
      </w:pPr>
      <w:r>
        <w:rPr>
          <w:rFonts w:hint="eastAsia" w:ascii="宋体" w:hAnsi="宋体" w:cs="宋体"/>
          <w:color w:val="auto"/>
          <w:szCs w:val="21"/>
          <w:highlight w:val="none"/>
        </w:rPr>
        <w:t>第五条 本承诺书的有效期为双方签署之日起至该项目验收合格结算与合同履行的法律时效相对应时止。</w:t>
      </w:r>
    </w:p>
    <w:p w14:paraId="16A83D29">
      <w:pPr>
        <w:pageBreakBefore w:val="0"/>
        <w:kinsoku/>
        <w:wordWrap/>
        <w:overflowPunct/>
        <w:topLinePunct w:val="0"/>
        <w:autoSpaceDE/>
        <w:autoSpaceDN/>
        <w:bidi w:val="0"/>
        <w:spacing w:line="360" w:lineRule="auto"/>
        <w:ind w:left="0" w:right="0" w:firstLine="0" w:firstLineChars="0"/>
        <w:textAlignment w:val="auto"/>
        <w:rPr>
          <w:rFonts w:ascii="宋体" w:hAnsi="宋体" w:cs="宋体"/>
          <w:color w:val="auto"/>
          <w:szCs w:val="21"/>
          <w:highlight w:val="none"/>
        </w:rPr>
      </w:pPr>
    </w:p>
    <w:p w14:paraId="6953179C">
      <w:pPr>
        <w:pageBreakBefore w:val="0"/>
        <w:kinsoku/>
        <w:wordWrap/>
        <w:overflowPunct/>
        <w:topLinePunct w:val="0"/>
        <w:autoSpaceDE/>
        <w:autoSpaceDN/>
        <w:bidi w:val="0"/>
        <w:spacing w:line="360" w:lineRule="auto"/>
        <w:ind w:left="0" w:right="0" w:firstLine="0" w:firstLineChars="0"/>
        <w:textAlignment w:val="auto"/>
        <w:rPr>
          <w:rFonts w:ascii="宋体" w:hAnsi="宋体"/>
          <w:color w:val="auto"/>
          <w:szCs w:val="21"/>
          <w:highlight w:val="none"/>
        </w:rPr>
      </w:pPr>
      <w:r>
        <w:rPr>
          <w:rFonts w:hint="eastAsia" w:ascii="宋体" w:hAnsi="宋体" w:cs="宋体"/>
          <w:color w:val="auto"/>
          <w:szCs w:val="21"/>
          <w:highlight w:val="none"/>
        </w:rPr>
        <w:t>第六条 本承诺书一式</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份，由甲乙双方各执</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份。</w:t>
      </w:r>
    </w:p>
    <w:p w14:paraId="08635348">
      <w:pPr>
        <w:pageBreakBefore w:val="0"/>
        <w:kinsoku/>
        <w:wordWrap/>
        <w:overflowPunct/>
        <w:topLinePunct w:val="0"/>
        <w:autoSpaceDE/>
        <w:autoSpaceDN/>
        <w:bidi w:val="0"/>
        <w:spacing w:line="360" w:lineRule="auto"/>
        <w:ind w:left="0" w:right="0" w:firstLine="0" w:firstLineChars="0"/>
        <w:textAlignment w:val="auto"/>
        <w:rPr>
          <w:rFonts w:ascii="宋体" w:hAnsi="宋体"/>
          <w:b/>
          <w:bCs/>
          <w:color w:val="auto"/>
          <w:szCs w:val="21"/>
          <w:highlight w:val="none"/>
        </w:rPr>
      </w:pPr>
    </w:p>
    <w:p w14:paraId="7DB5AAD3">
      <w:pPr>
        <w:pStyle w:val="2"/>
        <w:pageBreakBefore w:val="0"/>
        <w:kinsoku/>
        <w:wordWrap/>
        <w:overflowPunct/>
        <w:topLinePunct w:val="0"/>
        <w:autoSpaceDE/>
        <w:autoSpaceDN/>
        <w:bidi w:val="0"/>
        <w:spacing w:line="360" w:lineRule="auto"/>
        <w:ind w:left="0" w:right="0" w:firstLine="0" w:firstLineChars="0"/>
        <w:textAlignment w:val="auto"/>
        <w:rPr>
          <w:rFonts w:ascii="宋体" w:hAnsi="宋体"/>
          <w:b/>
          <w:bCs/>
          <w:color w:val="auto"/>
          <w:szCs w:val="21"/>
          <w:highlight w:val="none"/>
        </w:rPr>
      </w:pPr>
    </w:p>
    <w:p w14:paraId="0516B0E0">
      <w:pPr>
        <w:rPr>
          <w:rFonts w:ascii="宋体" w:hAnsi="宋体"/>
          <w:b/>
          <w:bCs/>
          <w:color w:val="auto"/>
          <w:szCs w:val="21"/>
          <w:highlight w:val="none"/>
        </w:rPr>
      </w:pPr>
      <w:r>
        <w:rPr>
          <w:rFonts w:ascii="宋体" w:hAnsi="宋体"/>
          <w:b/>
          <w:bCs/>
          <w:color w:val="auto"/>
          <w:szCs w:val="21"/>
          <w:highlight w:val="none"/>
        </w:rPr>
        <w:br w:type="page"/>
      </w:r>
    </w:p>
    <w:p w14:paraId="0A94BBD2">
      <w:pPr>
        <w:rPr>
          <w:color w:val="auto"/>
          <w:highlight w:val="none"/>
        </w:rPr>
      </w:pPr>
    </w:p>
    <w:p w14:paraId="6D0235D0">
      <w:pPr>
        <w:pStyle w:val="2"/>
        <w:pageBreakBefore w:val="0"/>
        <w:kinsoku/>
        <w:wordWrap/>
        <w:overflowPunct/>
        <w:topLinePunct w:val="0"/>
        <w:autoSpaceDE/>
        <w:autoSpaceDN/>
        <w:bidi w:val="0"/>
        <w:spacing w:line="360" w:lineRule="auto"/>
        <w:ind w:left="0" w:right="0" w:firstLine="0" w:firstLineChars="0"/>
        <w:textAlignment w:val="auto"/>
        <w:rPr>
          <w:rFonts w:ascii="宋体" w:hAnsi="宋体"/>
          <w:b/>
          <w:bCs/>
          <w:color w:val="auto"/>
          <w:szCs w:val="21"/>
          <w:highlight w:val="none"/>
        </w:rPr>
      </w:pPr>
    </w:p>
    <w:p w14:paraId="2E2F1561">
      <w:pPr>
        <w:pageBreakBefore w:val="0"/>
        <w:kinsoku/>
        <w:wordWrap/>
        <w:overflowPunct/>
        <w:topLinePunct w:val="0"/>
        <w:autoSpaceDE/>
        <w:autoSpaceDN/>
        <w:bidi w:val="0"/>
        <w:spacing w:line="360" w:lineRule="auto"/>
        <w:ind w:left="0" w:right="0" w:firstLine="0" w:firstLineChars="0"/>
        <w:textAlignment w:val="auto"/>
        <w:rPr>
          <w:rFonts w:ascii="宋体" w:hAnsi="宋体" w:cs="宋体"/>
          <w:color w:val="auto"/>
          <w:szCs w:val="21"/>
          <w:highlight w:val="none"/>
        </w:rPr>
      </w:pPr>
      <w:r>
        <w:rPr>
          <w:rFonts w:hint="eastAsia" w:ascii="宋体" w:hAnsi="宋体" w:cs="宋体"/>
          <w:color w:val="auto"/>
          <w:szCs w:val="21"/>
          <w:highlight w:val="none"/>
        </w:rPr>
        <w:t>甲方</w:t>
      </w:r>
      <w:r>
        <w:rPr>
          <w:rFonts w:hint="eastAsia" w:ascii="宋体" w:hAnsi="宋体" w:cs="宋体"/>
          <w:color w:val="auto"/>
          <w:szCs w:val="21"/>
          <w:highlight w:val="none"/>
          <w:lang w:eastAsia="zh-CN"/>
        </w:rPr>
        <w:t>（</w:t>
      </w:r>
      <w:r>
        <w:rPr>
          <w:rFonts w:hint="eastAsia" w:ascii="宋体" w:hAnsi="宋体" w:cs="宋体"/>
          <w:color w:val="auto"/>
          <w:szCs w:val="21"/>
          <w:highlight w:val="none"/>
        </w:rPr>
        <w:t>公章</w:t>
      </w:r>
      <w:r>
        <w:rPr>
          <w:rFonts w:hint="eastAsia" w:ascii="宋体" w:hAnsi="宋体" w:cs="宋体"/>
          <w:color w:val="auto"/>
          <w:szCs w:val="21"/>
          <w:highlight w:val="none"/>
          <w:lang w:eastAsia="zh-CN"/>
        </w:rPr>
        <w:t>）</w:t>
      </w:r>
      <w:r>
        <w:rPr>
          <w:rFonts w:hint="eastAsia" w:ascii="宋体" w:hAnsi="宋体" w:cs="宋体"/>
          <w:color w:val="auto"/>
          <w:szCs w:val="21"/>
          <w:highlight w:val="non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14:paraId="242A1E18">
      <w:pPr>
        <w:pageBreakBefore w:val="0"/>
        <w:kinsoku/>
        <w:wordWrap/>
        <w:overflowPunct/>
        <w:topLinePunct w:val="0"/>
        <w:autoSpaceDE/>
        <w:autoSpaceDN/>
        <w:bidi w:val="0"/>
        <w:spacing w:line="360" w:lineRule="auto"/>
        <w:ind w:left="0" w:right="0" w:firstLine="0" w:firstLineChars="0"/>
        <w:textAlignment w:val="auto"/>
        <w:rPr>
          <w:rFonts w:ascii="宋体" w:hAnsi="宋体" w:cs="宋体"/>
          <w:color w:val="auto"/>
          <w:szCs w:val="21"/>
          <w:highlight w:val="none"/>
        </w:rPr>
      </w:pPr>
    </w:p>
    <w:p w14:paraId="21D7C54F">
      <w:pPr>
        <w:pageBreakBefore w:val="0"/>
        <w:kinsoku/>
        <w:wordWrap/>
        <w:overflowPunct/>
        <w:topLinePunct w:val="0"/>
        <w:autoSpaceDE/>
        <w:autoSpaceDN/>
        <w:bidi w:val="0"/>
        <w:spacing w:line="360" w:lineRule="auto"/>
        <w:ind w:left="0" w:right="0" w:firstLine="0" w:firstLineChars="0"/>
        <w:textAlignment w:val="auto"/>
        <w:rPr>
          <w:rFonts w:ascii="宋体" w:hAnsi="宋体" w:cs="宋体"/>
          <w:color w:val="auto"/>
          <w:szCs w:val="21"/>
          <w:highlight w:val="none"/>
        </w:rPr>
      </w:pPr>
      <w:r>
        <w:rPr>
          <w:rFonts w:hint="eastAsia" w:ascii="宋体" w:hAnsi="宋体" w:cs="宋体"/>
          <w:color w:val="auto"/>
          <w:szCs w:val="21"/>
          <w:highlight w:val="none"/>
        </w:rPr>
        <w:t>法定代表人或委托代理人</w:t>
      </w:r>
      <w:r>
        <w:rPr>
          <w:rFonts w:hint="eastAsia" w:ascii="宋体" w:hAnsi="宋体" w:cs="宋体"/>
          <w:color w:val="auto"/>
          <w:szCs w:val="21"/>
          <w:highlight w:val="none"/>
          <w:lang w:eastAsia="zh-CN"/>
        </w:rPr>
        <w:t>（</w:t>
      </w:r>
      <w:r>
        <w:rPr>
          <w:rFonts w:hint="eastAsia" w:ascii="宋体" w:hAnsi="宋体" w:cs="宋体"/>
          <w:color w:val="auto"/>
          <w:szCs w:val="21"/>
          <w:highlight w:val="none"/>
        </w:rPr>
        <w:t>签字</w:t>
      </w:r>
      <w:r>
        <w:rPr>
          <w:rFonts w:hint="eastAsia" w:ascii="宋体" w:hAnsi="宋体" w:cs="宋体"/>
          <w:color w:val="auto"/>
          <w:szCs w:val="21"/>
          <w:highlight w:val="none"/>
          <w:lang w:eastAsia="zh-CN"/>
        </w:rPr>
        <w:t>）</w:t>
      </w:r>
      <w:r>
        <w:rPr>
          <w:rFonts w:hint="eastAsia" w:ascii="宋体" w:hAnsi="宋体" w:cs="宋体"/>
          <w:color w:val="auto"/>
          <w:szCs w:val="21"/>
          <w:highlight w:val="none"/>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14:paraId="65A6E425">
      <w:pPr>
        <w:pageBreakBefore w:val="0"/>
        <w:kinsoku/>
        <w:wordWrap/>
        <w:overflowPunct/>
        <w:topLinePunct w:val="0"/>
        <w:autoSpaceDE/>
        <w:autoSpaceDN/>
        <w:bidi w:val="0"/>
        <w:spacing w:line="360" w:lineRule="auto"/>
        <w:ind w:left="0" w:right="0" w:firstLine="0" w:firstLineChars="0"/>
        <w:textAlignment w:val="auto"/>
        <w:rPr>
          <w:rFonts w:ascii="宋体" w:hAnsi="宋体" w:cs="宋体"/>
          <w:color w:val="auto"/>
          <w:szCs w:val="21"/>
          <w:highlight w:val="none"/>
        </w:rPr>
      </w:pPr>
    </w:p>
    <w:p w14:paraId="6DC6DD78">
      <w:pPr>
        <w:pageBreakBefore w:val="0"/>
        <w:kinsoku/>
        <w:wordWrap/>
        <w:overflowPunct/>
        <w:topLinePunct w:val="0"/>
        <w:autoSpaceDE/>
        <w:autoSpaceDN/>
        <w:bidi w:val="0"/>
        <w:spacing w:line="360" w:lineRule="auto"/>
        <w:ind w:left="0" w:right="0" w:firstLine="0" w:firstLineChars="0"/>
        <w:textAlignment w:val="auto"/>
        <w:rPr>
          <w:rFonts w:ascii="宋体" w:hAnsi="宋体" w:cs="宋体"/>
          <w:color w:val="auto"/>
          <w:szCs w:val="21"/>
          <w:highlight w:val="none"/>
        </w:rPr>
      </w:pPr>
      <w:r>
        <w:rPr>
          <w:rFonts w:hint="eastAsia" w:ascii="宋体" w:hAnsi="宋体" w:cs="宋体"/>
          <w:color w:val="auto"/>
          <w:szCs w:val="21"/>
          <w:highlight w:val="none"/>
        </w:rPr>
        <w:t>日期：  年  月  日</w:t>
      </w:r>
    </w:p>
    <w:p w14:paraId="33841CA7">
      <w:pPr>
        <w:pStyle w:val="5"/>
        <w:pageBreakBefore w:val="0"/>
        <w:kinsoku/>
        <w:wordWrap/>
        <w:overflowPunct/>
        <w:topLinePunct w:val="0"/>
        <w:autoSpaceDE/>
        <w:autoSpaceDN/>
        <w:bidi w:val="0"/>
        <w:adjustRightInd w:val="0"/>
        <w:snapToGrid w:val="0"/>
        <w:spacing w:after="0" w:afterLines="0" w:line="360" w:lineRule="auto"/>
        <w:ind w:left="0" w:right="0" w:firstLine="0" w:firstLineChars="0"/>
        <w:textAlignment w:val="auto"/>
        <w:rPr>
          <w:color w:val="auto"/>
          <w:szCs w:val="21"/>
          <w:highlight w:val="none"/>
        </w:rPr>
      </w:pPr>
    </w:p>
    <w:p w14:paraId="0B61434D">
      <w:pPr>
        <w:pageBreakBefore w:val="0"/>
        <w:kinsoku/>
        <w:wordWrap/>
        <w:overflowPunct/>
        <w:topLinePunct w:val="0"/>
        <w:autoSpaceDE/>
        <w:autoSpaceDN/>
        <w:bidi w:val="0"/>
        <w:adjustRightInd w:val="0"/>
        <w:snapToGrid w:val="0"/>
        <w:spacing w:line="360" w:lineRule="auto"/>
        <w:ind w:left="0" w:right="0" w:firstLine="0" w:firstLineChars="0"/>
        <w:textAlignment w:val="auto"/>
        <w:rPr>
          <w:rFonts w:hAnsi="宋体" w:cs="宋体"/>
          <w:color w:val="auto"/>
          <w:szCs w:val="21"/>
          <w:highlight w:val="none"/>
        </w:rPr>
      </w:pPr>
    </w:p>
    <w:p w14:paraId="19FFC598">
      <w:pPr>
        <w:pageBreakBefore w:val="0"/>
        <w:kinsoku/>
        <w:wordWrap/>
        <w:overflowPunct/>
        <w:topLinePunct w:val="0"/>
        <w:autoSpaceDE/>
        <w:autoSpaceDN/>
        <w:bidi w:val="0"/>
        <w:adjustRightInd w:val="0"/>
        <w:snapToGrid w:val="0"/>
        <w:spacing w:line="360" w:lineRule="auto"/>
        <w:ind w:left="0" w:right="0" w:firstLine="0" w:firstLineChars="0"/>
        <w:textAlignment w:val="auto"/>
        <w:rPr>
          <w:rFonts w:hAnsi="宋体" w:cs="宋体"/>
          <w:color w:val="auto"/>
          <w:szCs w:val="21"/>
          <w:highlight w:val="none"/>
        </w:rPr>
      </w:pPr>
      <w:r>
        <w:rPr>
          <w:rFonts w:hint="eastAsia" w:hAnsi="宋体" w:cs="宋体"/>
          <w:color w:val="auto"/>
          <w:szCs w:val="21"/>
          <w:highlight w:val="none"/>
        </w:rPr>
        <w:t>乙方（公章）：</w:t>
      </w:r>
      <w:r>
        <w:rPr>
          <w:rFonts w:hint="eastAsia" w:ascii="宋体" w:hAnsi="宋体" w:cs="宋体"/>
          <w:color w:val="auto"/>
          <w:szCs w:val="21"/>
          <w:highlight w:val="non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14:paraId="1ACABE39">
      <w:pPr>
        <w:pStyle w:val="5"/>
        <w:pageBreakBefore w:val="0"/>
        <w:kinsoku/>
        <w:wordWrap/>
        <w:overflowPunct/>
        <w:topLinePunct w:val="0"/>
        <w:autoSpaceDE/>
        <w:autoSpaceDN/>
        <w:bidi w:val="0"/>
        <w:adjustRightInd w:val="0"/>
        <w:snapToGrid w:val="0"/>
        <w:spacing w:after="0" w:afterLines="0" w:line="360" w:lineRule="auto"/>
        <w:ind w:left="0" w:right="0" w:firstLine="0" w:firstLineChars="0"/>
        <w:textAlignment w:val="auto"/>
        <w:rPr>
          <w:rFonts w:hAnsi="宋体" w:cs="宋体"/>
          <w:color w:val="auto"/>
          <w:szCs w:val="21"/>
          <w:highlight w:val="none"/>
        </w:rPr>
      </w:pPr>
    </w:p>
    <w:p w14:paraId="49BD4236">
      <w:pPr>
        <w:pageBreakBefore w:val="0"/>
        <w:kinsoku/>
        <w:wordWrap/>
        <w:overflowPunct/>
        <w:topLinePunct w:val="0"/>
        <w:autoSpaceDE/>
        <w:autoSpaceDN/>
        <w:bidi w:val="0"/>
        <w:spacing w:line="360" w:lineRule="auto"/>
        <w:ind w:left="0" w:right="0" w:firstLine="0" w:firstLineChars="0"/>
        <w:textAlignment w:val="auto"/>
        <w:rPr>
          <w:rFonts w:ascii="宋体" w:hAnsi="宋体" w:cs="宋体"/>
          <w:color w:val="auto"/>
          <w:szCs w:val="21"/>
          <w:highlight w:val="none"/>
        </w:rPr>
      </w:pPr>
      <w:r>
        <w:rPr>
          <w:rFonts w:hint="eastAsia" w:ascii="宋体" w:hAnsi="宋体" w:cs="宋体"/>
          <w:color w:val="auto"/>
          <w:szCs w:val="21"/>
          <w:highlight w:val="none"/>
        </w:rPr>
        <w:t>法定代表人或委托代理人</w:t>
      </w:r>
      <w:r>
        <w:rPr>
          <w:rFonts w:hint="eastAsia" w:ascii="宋体" w:hAnsi="宋体" w:cs="宋体"/>
          <w:color w:val="auto"/>
          <w:szCs w:val="21"/>
          <w:highlight w:val="none"/>
          <w:lang w:eastAsia="zh-CN"/>
        </w:rPr>
        <w:t>（</w:t>
      </w:r>
      <w:r>
        <w:rPr>
          <w:rFonts w:hint="eastAsia" w:ascii="宋体" w:hAnsi="宋体" w:cs="宋体"/>
          <w:color w:val="auto"/>
          <w:szCs w:val="21"/>
          <w:highlight w:val="none"/>
        </w:rPr>
        <w:t>签字</w:t>
      </w:r>
      <w:r>
        <w:rPr>
          <w:rFonts w:hint="eastAsia" w:ascii="宋体" w:hAnsi="宋体" w:cs="宋体"/>
          <w:color w:val="auto"/>
          <w:szCs w:val="21"/>
          <w:highlight w:val="none"/>
          <w:lang w:eastAsia="zh-CN"/>
        </w:rPr>
        <w:t>）</w:t>
      </w:r>
      <w:r>
        <w:rPr>
          <w:rFonts w:hint="eastAsia" w:ascii="宋体" w:hAnsi="宋体" w:cs="宋体"/>
          <w:color w:val="auto"/>
          <w:szCs w:val="21"/>
          <w:highlight w:val="none"/>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14:paraId="15726C8E">
      <w:pPr>
        <w:pageBreakBefore w:val="0"/>
        <w:kinsoku/>
        <w:wordWrap/>
        <w:overflowPunct/>
        <w:topLinePunct w:val="0"/>
        <w:autoSpaceDE/>
        <w:autoSpaceDN/>
        <w:bidi w:val="0"/>
        <w:spacing w:line="360" w:lineRule="auto"/>
        <w:ind w:left="0" w:right="0" w:firstLine="0" w:firstLineChars="0"/>
        <w:textAlignment w:val="auto"/>
        <w:rPr>
          <w:rFonts w:ascii="宋体" w:hAnsi="宋体" w:cs="宋体"/>
          <w:color w:val="auto"/>
          <w:szCs w:val="21"/>
          <w:highlight w:val="none"/>
        </w:rPr>
      </w:pPr>
    </w:p>
    <w:p w14:paraId="0E174247">
      <w:pPr>
        <w:pageBreakBefore w:val="0"/>
        <w:kinsoku/>
        <w:wordWrap/>
        <w:overflowPunct/>
        <w:topLinePunct w:val="0"/>
        <w:autoSpaceDE/>
        <w:autoSpaceDN/>
        <w:bidi w:val="0"/>
        <w:spacing w:line="360" w:lineRule="auto"/>
        <w:ind w:left="0" w:right="0" w:firstLine="0" w:firstLineChars="0"/>
        <w:textAlignment w:val="auto"/>
        <w:rPr>
          <w:rFonts w:ascii="宋体" w:hAnsi="宋体" w:cs="宋体"/>
          <w:color w:val="auto"/>
          <w:szCs w:val="21"/>
          <w:highlight w:val="none"/>
        </w:rPr>
      </w:pPr>
      <w:r>
        <w:rPr>
          <w:rFonts w:hint="eastAsia" w:ascii="宋体" w:hAnsi="宋体" w:cs="宋体"/>
          <w:color w:val="auto"/>
          <w:szCs w:val="21"/>
          <w:highlight w:val="none"/>
        </w:rPr>
        <w:t>日期：  年  月  日</w:t>
      </w:r>
    </w:p>
    <w:p w14:paraId="0282D94D">
      <w:pPr>
        <w:pStyle w:val="5"/>
        <w:pageBreakBefore w:val="0"/>
        <w:kinsoku/>
        <w:wordWrap/>
        <w:overflowPunct/>
        <w:topLinePunct w:val="0"/>
        <w:autoSpaceDE/>
        <w:autoSpaceDN/>
        <w:bidi w:val="0"/>
        <w:adjustRightInd w:val="0"/>
        <w:snapToGrid w:val="0"/>
        <w:spacing w:after="0" w:afterLines="0" w:line="360" w:lineRule="auto"/>
        <w:ind w:left="0" w:right="0" w:firstLine="0" w:firstLineChars="0"/>
        <w:textAlignment w:val="auto"/>
        <w:rPr>
          <w:color w:val="auto"/>
          <w:szCs w:val="21"/>
          <w:highlight w:val="none"/>
        </w:rPr>
      </w:pPr>
      <w:r>
        <w:rPr>
          <w:rFonts w:hint="eastAsia" w:hAnsi="宋体" w:cs="宋体"/>
          <w:color w:val="auto"/>
          <w:kern w:val="0"/>
          <w:szCs w:val="21"/>
          <w:highlight w:val="none"/>
        </w:rPr>
        <w:t xml:space="preserve">  </w:t>
      </w:r>
    </w:p>
    <w:p w14:paraId="62853C07">
      <w:pPr>
        <w:pStyle w:val="5"/>
        <w:pageBreakBefore w:val="0"/>
        <w:kinsoku/>
        <w:wordWrap/>
        <w:overflowPunct/>
        <w:topLinePunct w:val="0"/>
        <w:autoSpaceDE/>
        <w:autoSpaceDN/>
        <w:bidi w:val="0"/>
        <w:adjustRightInd w:val="0"/>
        <w:snapToGrid w:val="0"/>
        <w:spacing w:after="0" w:afterLines="0" w:line="360" w:lineRule="auto"/>
        <w:ind w:left="0" w:right="0" w:firstLine="0" w:firstLineChars="0"/>
        <w:textAlignment w:val="auto"/>
        <w:rPr>
          <w:color w:val="auto"/>
          <w:szCs w:val="21"/>
          <w:highlight w:val="none"/>
        </w:rPr>
      </w:pPr>
    </w:p>
    <w:p w14:paraId="127BB9B5">
      <w:pPr>
        <w:pStyle w:val="5"/>
        <w:pageBreakBefore w:val="0"/>
        <w:kinsoku/>
        <w:wordWrap/>
        <w:overflowPunct/>
        <w:topLinePunct w:val="0"/>
        <w:autoSpaceDE/>
        <w:autoSpaceDN/>
        <w:bidi w:val="0"/>
        <w:spacing w:after="0" w:afterLines="0" w:line="360" w:lineRule="auto"/>
        <w:ind w:left="0" w:right="0" w:firstLine="0" w:firstLineChars="0"/>
        <w:textAlignment w:val="auto"/>
        <w:rPr>
          <w:rFonts w:hAnsi="宋体" w:cs="宋体"/>
          <w:color w:val="auto"/>
          <w:kern w:val="0"/>
          <w:highlight w:val="none"/>
        </w:rPr>
      </w:pPr>
    </w:p>
    <w:p w14:paraId="3258A6F3">
      <w:pPr>
        <w:pStyle w:val="5"/>
        <w:pageBreakBefore w:val="0"/>
        <w:kinsoku/>
        <w:wordWrap/>
        <w:overflowPunct/>
        <w:topLinePunct w:val="0"/>
        <w:autoSpaceDE/>
        <w:autoSpaceDN/>
        <w:bidi w:val="0"/>
        <w:spacing w:after="0" w:afterLines="0" w:line="360" w:lineRule="auto"/>
        <w:ind w:left="0" w:right="0" w:firstLine="0" w:firstLineChars="0"/>
        <w:textAlignment w:val="auto"/>
        <w:rPr>
          <w:rFonts w:hAnsi="宋体" w:cs="宋体"/>
          <w:color w:val="auto"/>
          <w:kern w:val="0"/>
          <w:highlight w:val="none"/>
        </w:rPr>
      </w:pPr>
    </w:p>
    <w:p w14:paraId="1F30B4CD">
      <w:pPr>
        <w:pStyle w:val="5"/>
        <w:pageBreakBefore w:val="0"/>
        <w:kinsoku/>
        <w:wordWrap/>
        <w:overflowPunct/>
        <w:topLinePunct w:val="0"/>
        <w:autoSpaceDE/>
        <w:autoSpaceDN/>
        <w:bidi w:val="0"/>
        <w:spacing w:after="0" w:afterLines="0" w:line="360" w:lineRule="auto"/>
        <w:ind w:left="0" w:right="0" w:firstLine="0" w:firstLineChars="0"/>
        <w:textAlignment w:val="auto"/>
        <w:rPr>
          <w:rFonts w:hAnsi="宋体" w:cs="宋体"/>
          <w:color w:val="auto"/>
          <w:kern w:val="0"/>
          <w:highlight w:val="none"/>
        </w:rPr>
      </w:pPr>
    </w:p>
    <w:p w14:paraId="59E415D1">
      <w:pPr>
        <w:pStyle w:val="5"/>
        <w:pageBreakBefore w:val="0"/>
        <w:kinsoku/>
        <w:wordWrap/>
        <w:overflowPunct/>
        <w:topLinePunct w:val="0"/>
        <w:autoSpaceDE/>
        <w:autoSpaceDN/>
        <w:bidi w:val="0"/>
        <w:spacing w:after="0" w:afterLines="0" w:line="360" w:lineRule="auto"/>
        <w:ind w:left="0" w:right="0" w:firstLine="0" w:firstLineChars="0"/>
        <w:textAlignment w:val="auto"/>
        <w:rPr>
          <w:rFonts w:hAnsi="宋体" w:cs="宋体"/>
          <w:color w:val="auto"/>
          <w:kern w:val="0"/>
          <w:highlight w:val="none"/>
        </w:rPr>
      </w:pPr>
    </w:p>
    <w:p w14:paraId="3ACE8E3E">
      <w:pPr>
        <w:pStyle w:val="5"/>
        <w:pageBreakBefore w:val="0"/>
        <w:kinsoku/>
        <w:wordWrap/>
        <w:overflowPunct/>
        <w:topLinePunct w:val="0"/>
        <w:autoSpaceDE/>
        <w:autoSpaceDN/>
        <w:bidi w:val="0"/>
        <w:spacing w:after="0" w:afterLines="0" w:line="360" w:lineRule="auto"/>
        <w:ind w:left="0" w:right="0" w:firstLine="0" w:firstLineChars="0"/>
        <w:textAlignment w:val="auto"/>
        <w:rPr>
          <w:rFonts w:hAnsi="宋体" w:cs="宋体"/>
          <w:color w:val="auto"/>
          <w:kern w:val="0"/>
          <w:highlight w:val="none"/>
        </w:rPr>
      </w:pPr>
      <w:r>
        <w:rPr>
          <w:rFonts w:hAnsi="宋体" w:cs="宋体"/>
          <w:color w:val="auto"/>
          <w:kern w:val="0"/>
          <w:highlight w:val="none"/>
        </w:rPr>
        <w:br w:type="page"/>
      </w:r>
    </w:p>
    <w:p w14:paraId="37EB908B">
      <w:pPr>
        <w:pageBreakBefore w:val="0"/>
        <w:widowControl/>
        <w:kinsoku/>
        <w:wordWrap/>
        <w:overflowPunct/>
        <w:topLinePunct w:val="0"/>
        <w:autoSpaceDE/>
        <w:autoSpaceDN/>
        <w:bidi w:val="0"/>
        <w:snapToGrid w:val="0"/>
        <w:spacing w:line="360" w:lineRule="auto"/>
        <w:ind w:left="0" w:right="0" w:firstLine="0" w:firstLineChars="0"/>
        <w:jc w:val="left"/>
        <w:textAlignment w:val="auto"/>
        <w:outlineLvl w:val="2"/>
        <w:rPr>
          <w:rFonts w:hint="eastAsia" w:hAnsi="宋体" w:eastAsia="宋体"/>
          <w:color w:val="auto"/>
          <w:highlight w:val="none"/>
          <w:lang w:eastAsia="zh-CN"/>
        </w:rPr>
      </w:pPr>
      <w:bookmarkStart w:id="353" w:name="_Toc80633206"/>
      <w:bookmarkStart w:id="354" w:name="_Toc76720094"/>
      <w:r>
        <w:rPr>
          <w:rFonts w:hint="eastAsia" w:hAnsi="宋体"/>
          <w:color w:val="auto"/>
          <w:highlight w:val="none"/>
        </w:rPr>
        <w:t>合同附件</w:t>
      </w:r>
      <w:r>
        <w:rPr>
          <w:rFonts w:hint="eastAsia" w:hAnsi="宋体"/>
          <w:color w:val="auto"/>
          <w:highlight w:val="none"/>
          <w:lang w:val="en-US" w:eastAsia="zh-CN"/>
        </w:rPr>
        <w:t>7</w:t>
      </w:r>
      <w:r>
        <w:rPr>
          <w:rFonts w:hint="eastAsia" w:hAnsi="宋体"/>
          <w:color w:val="auto"/>
          <w:highlight w:val="none"/>
        </w:rPr>
        <w:t xml:space="preserve">  </w:t>
      </w:r>
      <w:r>
        <w:rPr>
          <w:rFonts w:hint="eastAsia" w:ascii="宋体" w:hAnsi="宋体"/>
          <w:color w:val="auto"/>
          <w:szCs w:val="21"/>
          <w:highlight w:val="none"/>
        </w:rPr>
        <w:t>分项价格表</w:t>
      </w:r>
      <w:bookmarkEnd w:id="353"/>
      <w:bookmarkEnd w:id="354"/>
    </w:p>
    <w:p w14:paraId="5DC27F4A">
      <w:pPr>
        <w:pStyle w:val="5"/>
        <w:pageBreakBefore w:val="0"/>
        <w:kinsoku/>
        <w:wordWrap/>
        <w:overflowPunct/>
        <w:topLinePunct w:val="0"/>
        <w:autoSpaceDE/>
        <w:autoSpaceDN/>
        <w:bidi w:val="0"/>
        <w:spacing w:after="0" w:afterLines="0" w:line="360" w:lineRule="auto"/>
        <w:ind w:left="0" w:right="0" w:firstLine="0" w:firstLineChars="0"/>
        <w:textAlignment w:val="auto"/>
        <w:rPr>
          <w:rFonts w:ascii="宋体" w:hAnsi="宋体"/>
          <w:color w:val="auto"/>
          <w:szCs w:val="21"/>
          <w:highlight w:val="none"/>
        </w:rPr>
      </w:pPr>
    </w:p>
    <w:p w14:paraId="6C12A79F">
      <w:pPr>
        <w:pStyle w:val="5"/>
        <w:pageBreakBefore w:val="0"/>
        <w:kinsoku/>
        <w:wordWrap/>
        <w:overflowPunct/>
        <w:topLinePunct w:val="0"/>
        <w:autoSpaceDE/>
        <w:autoSpaceDN/>
        <w:bidi w:val="0"/>
        <w:spacing w:after="0" w:afterLines="0" w:line="360" w:lineRule="auto"/>
        <w:ind w:left="0" w:right="0" w:firstLine="0" w:firstLineChars="0"/>
        <w:textAlignment w:val="auto"/>
        <w:rPr>
          <w:rFonts w:ascii="宋体" w:hAnsi="宋体"/>
          <w:color w:val="auto"/>
          <w:szCs w:val="21"/>
          <w:highlight w:val="none"/>
        </w:rPr>
      </w:pPr>
    </w:p>
    <w:p w14:paraId="00F75EBA">
      <w:pPr>
        <w:pStyle w:val="5"/>
        <w:pageBreakBefore w:val="0"/>
        <w:kinsoku/>
        <w:wordWrap/>
        <w:overflowPunct/>
        <w:topLinePunct w:val="0"/>
        <w:autoSpaceDE/>
        <w:autoSpaceDN/>
        <w:bidi w:val="0"/>
        <w:spacing w:after="0" w:afterLines="0" w:line="360" w:lineRule="auto"/>
        <w:ind w:left="0" w:right="0" w:firstLine="0" w:firstLineChars="0"/>
        <w:textAlignment w:val="auto"/>
        <w:rPr>
          <w:rFonts w:ascii="宋体" w:hAnsi="宋体"/>
          <w:color w:val="auto"/>
          <w:szCs w:val="21"/>
          <w:highlight w:val="none"/>
        </w:rPr>
      </w:pPr>
      <w:r>
        <w:rPr>
          <w:rFonts w:hint="eastAsia" w:ascii="宋体" w:hAnsi="宋体"/>
          <w:color w:val="auto"/>
          <w:szCs w:val="21"/>
          <w:highlight w:val="none"/>
        </w:rPr>
        <w:t>（注：发包人、承包人双方签订本项目合同时，根据承包人的投标文件的投标报价明细表进行提供。）</w:t>
      </w:r>
    </w:p>
    <w:p w14:paraId="17B0C644">
      <w:pPr>
        <w:pStyle w:val="5"/>
        <w:pageBreakBefore w:val="0"/>
        <w:kinsoku/>
        <w:wordWrap/>
        <w:overflowPunct/>
        <w:topLinePunct w:val="0"/>
        <w:autoSpaceDE/>
        <w:autoSpaceDN/>
        <w:bidi w:val="0"/>
        <w:spacing w:after="0" w:afterLines="0" w:line="360" w:lineRule="auto"/>
        <w:ind w:left="0" w:right="0" w:firstLine="0" w:firstLineChars="0"/>
        <w:textAlignment w:val="auto"/>
        <w:rPr>
          <w:rFonts w:ascii="宋体" w:hAnsi="宋体"/>
          <w:color w:val="auto"/>
          <w:szCs w:val="21"/>
          <w:highlight w:val="none"/>
        </w:rPr>
      </w:pPr>
    </w:p>
    <w:p w14:paraId="2B3EF4E0">
      <w:pPr>
        <w:pStyle w:val="5"/>
        <w:pageBreakBefore w:val="0"/>
        <w:kinsoku/>
        <w:wordWrap/>
        <w:overflowPunct/>
        <w:topLinePunct w:val="0"/>
        <w:autoSpaceDE/>
        <w:autoSpaceDN/>
        <w:bidi w:val="0"/>
        <w:spacing w:after="0" w:afterLines="0" w:line="360" w:lineRule="auto"/>
        <w:ind w:left="0" w:right="0" w:firstLine="0" w:firstLineChars="0"/>
        <w:textAlignment w:val="auto"/>
        <w:rPr>
          <w:rFonts w:ascii="宋体" w:hAnsi="宋体"/>
          <w:color w:val="auto"/>
          <w:szCs w:val="21"/>
          <w:highlight w:val="none"/>
        </w:rPr>
      </w:pPr>
    </w:p>
    <w:p w14:paraId="339986EC">
      <w:pPr>
        <w:pStyle w:val="5"/>
        <w:pageBreakBefore w:val="0"/>
        <w:kinsoku/>
        <w:wordWrap/>
        <w:overflowPunct/>
        <w:topLinePunct w:val="0"/>
        <w:autoSpaceDE/>
        <w:autoSpaceDN/>
        <w:bidi w:val="0"/>
        <w:spacing w:after="0" w:afterLines="0" w:line="360" w:lineRule="auto"/>
        <w:ind w:left="0" w:right="0" w:firstLine="0" w:firstLineChars="0"/>
        <w:textAlignment w:val="auto"/>
        <w:rPr>
          <w:rFonts w:ascii="宋体" w:hAnsi="宋体"/>
          <w:color w:val="auto"/>
          <w:szCs w:val="21"/>
          <w:highlight w:val="none"/>
        </w:rPr>
      </w:pPr>
    </w:p>
    <w:p w14:paraId="2FDDAF3A">
      <w:pPr>
        <w:pStyle w:val="5"/>
        <w:pageBreakBefore w:val="0"/>
        <w:kinsoku/>
        <w:wordWrap/>
        <w:overflowPunct/>
        <w:topLinePunct w:val="0"/>
        <w:autoSpaceDE/>
        <w:autoSpaceDN/>
        <w:bidi w:val="0"/>
        <w:spacing w:after="0" w:afterLines="0" w:line="360" w:lineRule="auto"/>
        <w:ind w:left="0" w:right="0" w:firstLine="0" w:firstLineChars="0"/>
        <w:textAlignment w:val="auto"/>
        <w:rPr>
          <w:rFonts w:ascii="宋体" w:hAnsi="宋体"/>
          <w:color w:val="auto"/>
          <w:szCs w:val="21"/>
          <w:highlight w:val="none"/>
        </w:rPr>
      </w:pPr>
    </w:p>
    <w:p w14:paraId="264C53D6">
      <w:pPr>
        <w:pStyle w:val="5"/>
        <w:pageBreakBefore w:val="0"/>
        <w:kinsoku/>
        <w:wordWrap/>
        <w:overflowPunct/>
        <w:topLinePunct w:val="0"/>
        <w:autoSpaceDE/>
        <w:autoSpaceDN/>
        <w:bidi w:val="0"/>
        <w:spacing w:after="0" w:afterLines="0" w:line="360" w:lineRule="auto"/>
        <w:ind w:left="0" w:right="0" w:firstLine="0" w:firstLineChars="0"/>
        <w:textAlignment w:val="auto"/>
        <w:rPr>
          <w:rFonts w:ascii="宋体" w:hAnsi="宋体"/>
          <w:color w:val="auto"/>
          <w:szCs w:val="21"/>
          <w:highlight w:val="none"/>
        </w:rPr>
      </w:pPr>
    </w:p>
    <w:p w14:paraId="26D5F9C5">
      <w:pPr>
        <w:pStyle w:val="5"/>
        <w:pageBreakBefore w:val="0"/>
        <w:kinsoku/>
        <w:wordWrap/>
        <w:overflowPunct/>
        <w:topLinePunct w:val="0"/>
        <w:autoSpaceDE/>
        <w:autoSpaceDN/>
        <w:bidi w:val="0"/>
        <w:spacing w:after="0" w:afterLines="0" w:line="360" w:lineRule="auto"/>
        <w:ind w:left="0" w:right="0" w:firstLine="0" w:firstLineChars="0"/>
        <w:textAlignment w:val="auto"/>
        <w:rPr>
          <w:rFonts w:hAnsi="宋体" w:cs="宋体"/>
          <w:color w:val="auto"/>
          <w:kern w:val="0"/>
          <w:highlight w:val="none"/>
        </w:rPr>
      </w:pPr>
      <w:r>
        <w:rPr>
          <w:rFonts w:hint="eastAsia" w:ascii="宋体" w:hAnsi="宋体"/>
          <w:color w:val="auto"/>
          <w:szCs w:val="21"/>
          <w:highlight w:val="none"/>
        </w:rPr>
        <w:t>合同附件</w:t>
      </w:r>
      <w:r>
        <w:rPr>
          <w:rFonts w:hint="eastAsia" w:hAnsi="宋体"/>
          <w:color w:val="auto"/>
          <w:highlight w:val="none"/>
          <w:lang w:val="en-US" w:eastAsia="zh-CN"/>
        </w:rPr>
        <w:t>8</w:t>
      </w:r>
      <w:r>
        <w:rPr>
          <w:rFonts w:hint="eastAsia" w:hAnsi="宋体"/>
          <w:color w:val="auto"/>
          <w:highlight w:val="none"/>
        </w:rPr>
        <w:t xml:space="preserve">   发包人要求</w:t>
      </w:r>
      <w:r>
        <w:rPr>
          <w:rFonts w:hint="eastAsia" w:hAnsi="宋体" w:cs="宋体"/>
          <w:color w:val="auto"/>
          <w:kern w:val="0"/>
          <w:highlight w:val="none"/>
        </w:rPr>
        <w:t xml:space="preserve">  </w:t>
      </w:r>
    </w:p>
    <w:p w14:paraId="53375ED2">
      <w:pPr>
        <w:pStyle w:val="5"/>
        <w:pageBreakBefore w:val="0"/>
        <w:kinsoku/>
        <w:wordWrap/>
        <w:overflowPunct/>
        <w:topLinePunct w:val="0"/>
        <w:autoSpaceDE/>
        <w:autoSpaceDN/>
        <w:bidi w:val="0"/>
        <w:spacing w:after="0" w:afterLines="0" w:line="360" w:lineRule="auto"/>
        <w:ind w:left="0" w:right="0" w:firstLine="0" w:firstLineChars="0"/>
        <w:textAlignment w:val="auto"/>
        <w:rPr>
          <w:rFonts w:hAnsi="宋体" w:cs="宋体"/>
          <w:color w:val="auto"/>
          <w:kern w:val="0"/>
          <w:highlight w:val="none"/>
        </w:rPr>
      </w:pPr>
      <w:r>
        <w:rPr>
          <w:rFonts w:hint="eastAsia" w:hAnsi="宋体" w:cs="宋体"/>
          <w:color w:val="auto"/>
          <w:kern w:val="0"/>
          <w:highlight w:val="none"/>
        </w:rPr>
        <w:t xml:space="preserve">   </w:t>
      </w:r>
    </w:p>
    <w:p w14:paraId="338ADA08">
      <w:pPr>
        <w:pageBreakBefore w:val="0"/>
        <w:kinsoku/>
        <w:wordWrap/>
        <w:overflowPunct/>
        <w:topLinePunct w:val="0"/>
        <w:autoSpaceDE/>
        <w:autoSpaceDN/>
        <w:bidi w:val="0"/>
        <w:spacing w:line="360" w:lineRule="auto"/>
        <w:ind w:left="0" w:right="0" w:firstLine="0" w:firstLineChars="0"/>
        <w:textAlignment w:val="auto"/>
        <w:rPr>
          <w:rFonts w:hint="eastAsia" w:ascii="宋体" w:hAnsi="宋体"/>
          <w:color w:val="auto"/>
          <w:szCs w:val="21"/>
          <w:highlight w:val="none"/>
        </w:rPr>
      </w:pPr>
      <w:r>
        <w:rPr>
          <w:rFonts w:hint="eastAsia" w:ascii="宋体" w:hAnsi="宋体"/>
          <w:color w:val="auto"/>
          <w:szCs w:val="21"/>
          <w:highlight w:val="none"/>
        </w:rPr>
        <w:t>（注：本项目发包人要求：详见本</w:t>
      </w:r>
      <w:r>
        <w:rPr>
          <w:rFonts w:hint="eastAsia" w:ascii="宋体" w:hAnsi="宋体"/>
          <w:color w:val="auto"/>
          <w:szCs w:val="21"/>
          <w:highlight w:val="none"/>
          <w:lang w:eastAsia="zh-CN"/>
        </w:rPr>
        <w:t>招标文件</w:t>
      </w:r>
      <w:r>
        <w:rPr>
          <w:rFonts w:hint="eastAsia" w:ascii="宋体" w:hAnsi="宋体"/>
          <w:color w:val="auto"/>
          <w:szCs w:val="21"/>
          <w:highlight w:val="none"/>
        </w:rPr>
        <w:t>技术标准和要求。）</w:t>
      </w:r>
    </w:p>
    <w:p w14:paraId="5F33D41E">
      <w:pPr>
        <w:pStyle w:val="2"/>
        <w:rPr>
          <w:rFonts w:hint="eastAsia" w:ascii="宋体" w:hAnsi="宋体"/>
          <w:color w:val="auto"/>
          <w:szCs w:val="21"/>
          <w:highlight w:val="none"/>
        </w:rPr>
      </w:pPr>
    </w:p>
    <w:p w14:paraId="177C140A">
      <w:pPr>
        <w:rPr>
          <w:rFonts w:hint="eastAsia" w:ascii="宋体" w:hAnsi="宋体"/>
          <w:color w:val="auto"/>
          <w:szCs w:val="21"/>
          <w:highlight w:val="none"/>
        </w:rPr>
      </w:pPr>
    </w:p>
    <w:p w14:paraId="6C04F43F">
      <w:pPr>
        <w:pStyle w:val="2"/>
        <w:rPr>
          <w:rFonts w:hint="eastAsia" w:ascii="宋体" w:hAnsi="宋体"/>
          <w:color w:val="auto"/>
          <w:szCs w:val="21"/>
          <w:highlight w:val="none"/>
        </w:rPr>
      </w:pPr>
      <w:bookmarkStart w:id="355" w:name="_GoBack"/>
      <w:bookmarkEnd w:id="355"/>
    </w:p>
    <w:p w14:paraId="693DD07E">
      <w:pPr>
        <w:rPr>
          <w:rFonts w:hint="eastAsia" w:ascii="宋体" w:hAnsi="宋体"/>
          <w:color w:val="auto"/>
          <w:szCs w:val="21"/>
          <w:highlight w:val="none"/>
        </w:rPr>
      </w:pPr>
    </w:p>
    <w:p w14:paraId="777887D9">
      <w:pPr>
        <w:pStyle w:val="2"/>
        <w:rPr>
          <w:rFonts w:hint="eastAsia" w:ascii="宋体" w:hAnsi="宋体"/>
          <w:color w:val="auto"/>
          <w:szCs w:val="21"/>
          <w:highlight w:val="none"/>
        </w:rPr>
      </w:pPr>
    </w:p>
    <w:p w14:paraId="3FD6D96B">
      <w:pPr>
        <w:rPr>
          <w:rFonts w:hint="eastAsia" w:ascii="宋体" w:hAnsi="宋体"/>
          <w:color w:val="auto"/>
          <w:szCs w:val="21"/>
          <w:highlight w:val="none"/>
        </w:rPr>
      </w:pPr>
    </w:p>
    <w:p w14:paraId="4B344E85">
      <w:pPr>
        <w:pStyle w:val="2"/>
        <w:rPr>
          <w:rFonts w:hint="eastAsia" w:ascii="宋体" w:hAnsi="宋体"/>
          <w:color w:val="auto"/>
          <w:szCs w:val="21"/>
          <w:highlight w:val="none"/>
        </w:rPr>
      </w:pPr>
    </w:p>
    <w:p w14:paraId="201456B1">
      <w:pPr>
        <w:rPr>
          <w:rFonts w:hint="eastAsia" w:ascii="宋体" w:hAnsi="宋体"/>
          <w:color w:val="auto"/>
          <w:szCs w:val="21"/>
          <w:highlight w:val="none"/>
        </w:rPr>
      </w:pPr>
    </w:p>
    <w:p w14:paraId="6CD442F3">
      <w:pPr>
        <w:pStyle w:val="2"/>
        <w:rPr>
          <w:rFonts w:hint="eastAsia" w:ascii="宋体" w:hAnsi="宋体"/>
          <w:color w:val="auto"/>
          <w:szCs w:val="21"/>
          <w:highlight w:val="none"/>
        </w:rPr>
      </w:pPr>
    </w:p>
    <w:p w14:paraId="690F7C65">
      <w:pPr>
        <w:rPr>
          <w:rFonts w:hint="eastAsia" w:ascii="宋体" w:hAnsi="宋体"/>
          <w:color w:val="auto"/>
          <w:szCs w:val="21"/>
          <w:highlight w:val="none"/>
        </w:rPr>
      </w:pPr>
    </w:p>
    <w:p w14:paraId="716B518B">
      <w:pPr>
        <w:pStyle w:val="2"/>
        <w:rPr>
          <w:rFonts w:hint="eastAsia" w:ascii="宋体" w:hAnsi="宋体"/>
          <w:color w:val="auto"/>
          <w:szCs w:val="21"/>
          <w:highlight w:val="none"/>
        </w:rPr>
      </w:pPr>
    </w:p>
    <w:p w14:paraId="513B8D97">
      <w:pPr>
        <w:rPr>
          <w:rFonts w:hint="eastAsia" w:ascii="宋体" w:hAnsi="宋体"/>
          <w:color w:val="auto"/>
          <w:szCs w:val="21"/>
          <w:highlight w:val="none"/>
        </w:rPr>
      </w:pPr>
    </w:p>
    <w:p w14:paraId="449D5AA2">
      <w:pPr>
        <w:pStyle w:val="2"/>
        <w:rPr>
          <w:rFonts w:hint="eastAsia" w:ascii="宋体" w:hAnsi="宋体"/>
          <w:color w:val="auto"/>
          <w:szCs w:val="21"/>
          <w:highlight w:val="none"/>
        </w:rPr>
      </w:pPr>
    </w:p>
    <w:p w14:paraId="3550C217">
      <w:pPr>
        <w:rPr>
          <w:rFonts w:hint="eastAsia" w:ascii="宋体" w:hAnsi="宋体"/>
          <w:color w:val="auto"/>
          <w:szCs w:val="21"/>
          <w:highlight w:val="none"/>
        </w:rPr>
      </w:pPr>
    </w:p>
    <w:p w14:paraId="09E85BFB">
      <w:pPr>
        <w:pStyle w:val="2"/>
        <w:rPr>
          <w:rFonts w:hint="eastAsia" w:ascii="宋体" w:hAnsi="宋体"/>
          <w:color w:val="auto"/>
          <w:szCs w:val="21"/>
          <w:highlight w:val="none"/>
        </w:rPr>
      </w:pPr>
    </w:p>
    <w:p w14:paraId="37A47563">
      <w:pPr>
        <w:rPr>
          <w:rFonts w:hint="eastAsia" w:ascii="宋体" w:hAnsi="宋体"/>
          <w:color w:val="auto"/>
          <w:szCs w:val="21"/>
          <w:highlight w:val="none"/>
        </w:rPr>
      </w:pPr>
    </w:p>
    <w:p w14:paraId="7AD32E61">
      <w:pPr>
        <w:pStyle w:val="2"/>
        <w:rPr>
          <w:rFonts w:hint="eastAsia" w:ascii="宋体" w:hAnsi="宋体"/>
          <w:color w:val="auto"/>
          <w:szCs w:val="21"/>
          <w:highlight w:val="none"/>
        </w:rPr>
      </w:pPr>
    </w:p>
    <w:p w14:paraId="5556BB3E">
      <w:pPr>
        <w:rPr>
          <w:rFonts w:hint="eastAsia" w:ascii="宋体" w:hAnsi="宋体"/>
          <w:color w:val="auto"/>
          <w:szCs w:val="21"/>
          <w:highlight w:val="none"/>
        </w:rPr>
      </w:pPr>
    </w:p>
    <w:p w14:paraId="74257752">
      <w:pPr>
        <w:pStyle w:val="2"/>
        <w:rPr>
          <w:rFonts w:hint="eastAsia" w:ascii="宋体" w:hAnsi="宋体"/>
          <w:color w:val="auto"/>
          <w:szCs w:val="21"/>
          <w:highlight w:val="none"/>
        </w:rPr>
      </w:pPr>
    </w:p>
    <w:p w14:paraId="196EA2EA">
      <w:pPr>
        <w:rPr>
          <w:rFonts w:hint="eastAsia" w:ascii="宋体" w:hAnsi="宋体"/>
          <w:color w:val="auto"/>
          <w:szCs w:val="21"/>
          <w:highlight w:val="none"/>
        </w:rPr>
      </w:pPr>
    </w:p>
    <w:p w14:paraId="76E074C2">
      <w:pPr>
        <w:pStyle w:val="2"/>
        <w:rPr>
          <w:rFonts w:hint="eastAsia" w:ascii="宋体" w:hAnsi="宋体"/>
          <w:color w:val="auto"/>
          <w:szCs w:val="21"/>
          <w:highlight w:val="none"/>
        </w:rPr>
      </w:pPr>
    </w:p>
    <w:p w14:paraId="33CE6B3B">
      <w:pPr>
        <w:rPr>
          <w:rFonts w:hint="eastAsia" w:ascii="宋体" w:hAnsi="宋体"/>
          <w:color w:val="auto"/>
          <w:szCs w:val="21"/>
          <w:highlight w:val="none"/>
        </w:rPr>
      </w:pPr>
    </w:p>
    <w:p w14:paraId="35E9E492">
      <w:pPr>
        <w:pStyle w:val="2"/>
        <w:rPr>
          <w:rFonts w:hint="eastAsia" w:ascii="宋体" w:hAnsi="宋体"/>
          <w:color w:val="auto"/>
          <w:szCs w:val="21"/>
          <w:highlight w:val="none"/>
        </w:rPr>
      </w:pPr>
    </w:p>
    <w:p w14:paraId="5A4B0A55">
      <w:pPr>
        <w:rPr>
          <w:rFonts w:hint="eastAsia" w:ascii="宋体" w:hAnsi="宋体"/>
          <w:color w:val="auto"/>
          <w:szCs w:val="21"/>
          <w:highlight w:val="none"/>
        </w:rPr>
      </w:pPr>
    </w:p>
    <w:p w14:paraId="295059E6">
      <w:pPr>
        <w:pStyle w:val="2"/>
        <w:rPr>
          <w:rFonts w:hint="eastAsia" w:ascii="宋体" w:hAnsi="宋体"/>
          <w:color w:val="auto"/>
          <w:szCs w:val="21"/>
          <w:highlight w:val="none"/>
        </w:rPr>
      </w:pPr>
    </w:p>
    <w:p w14:paraId="281B2912">
      <w:pPr>
        <w:rPr>
          <w:rFonts w:hint="eastAsia" w:ascii="宋体" w:hAnsi="宋体"/>
          <w:color w:val="auto"/>
          <w:szCs w:val="21"/>
          <w:highlight w:val="none"/>
        </w:rPr>
      </w:pPr>
    </w:p>
    <w:p w14:paraId="1146C2BE">
      <w:pPr>
        <w:pStyle w:val="46"/>
        <w:jc w:val="both"/>
        <w:rPr>
          <w:rFonts w:hint="eastAsia" w:ascii="宋体" w:hAnsi="宋体" w:eastAsia="宋体" w:cs="Times New Roman"/>
          <w:color w:val="auto"/>
          <w:kern w:val="0"/>
          <w:sz w:val="20"/>
          <w:szCs w:val="21"/>
          <w:highlight w:val="none"/>
          <w:lang w:val="en-US" w:eastAsia="zh-CN" w:bidi="ar-SA"/>
        </w:rPr>
      </w:pPr>
      <w:r>
        <w:rPr>
          <w:rFonts w:hint="eastAsia" w:ascii="宋体" w:hAnsi="宋体" w:eastAsia="宋体" w:cs="Times New Roman"/>
          <w:color w:val="auto"/>
          <w:kern w:val="0"/>
          <w:sz w:val="20"/>
          <w:szCs w:val="21"/>
          <w:highlight w:val="none"/>
          <w:lang w:val="en-US" w:eastAsia="zh-CN" w:bidi="ar-SA"/>
        </w:rPr>
        <w:t>合同附件9</w:t>
      </w:r>
    </w:p>
    <w:p w14:paraId="4B76D1D0">
      <w:pPr>
        <w:pStyle w:val="46"/>
        <w:ind w:firstLine="280"/>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承包人主要管理人员和技术人员最低要求</w:t>
      </w:r>
    </w:p>
    <w:tbl>
      <w:tblPr>
        <w:tblStyle w:val="470"/>
        <w:tblW w:w="872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66"/>
        <w:gridCol w:w="658"/>
        <w:gridCol w:w="5242"/>
        <w:gridCol w:w="1763"/>
      </w:tblGrid>
      <w:tr w14:paraId="10ADACA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38" w:hRule="atLeast"/>
          <w:jc w:val="center"/>
        </w:trPr>
        <w:tc>
          <w:tcPr>
            <w:tcW w:w="1066" w:type="dxa"/>
            <w:noWrap w:val="0"/>
            <w:vAlign w:val="center"/>
          </w:tcPr>
          <w:p w14:paraId="545FD25C">
            <w:pPr>
              <w:pStyle w:val="480"/>
              <w:adjustRightInd w:val="0"/>
              <w:snapToGrid w:val="0"/>
              <w:spacing w:line="360" w:lineRule="exact"/>
              <w:jc w:val="center"/>
              <w:rPr>
                <w:rFonts w:hint="eastAsia" w:ascii="宋体" w:hAnsi="宋体" w:cs="宋体"/>
                <w:b/>
                <w:color w:val="auto"/>
                <w:sz w:val="18"/>
                <w:szCs w:val="18"/>
                <w:highlight w:val="none"/>
              </w:rPr>
            </w:pPr>
            <w:r>
              <w:rPr>
                <w:rFonts w:hint="eastAsia" w:ascii="宋体" w:hAnsi="宋体" w:cs="宋体"/>
                <w:b/>
                <w:color w:val="auto"/>
                <w:sz w:val="18"/>
                <w:szCs w:val="18"/>
                <w:highlight w:val="none"/>
              </w:rPr>
              <w:t>岗位人员</w:t>
            </w:r>
          </w:p>
        </w:tc>
        <w:tc>
          <w:tcPr>
            <w:tcW w:w="658" w:type="dxa"/>
            <w:noWrap w:val="0"/>
            <w:vAlign w:val="center"/>
          </w:tcPr>
          <w:p w14:paraId="5951FB70">
            <w:pPr>
              <w:pStyle w:val="480"/>
              <w:adjustRightInd w:val="0"/>
              <w:snapToGrid w:val="0"/>
              <w:spacing w:line="360" w:lineRule="exact"/>
              <w:jc w:val="center"/>
              <w:rPr>
                <w:rFonts w:hint="eastAsia" w:ascii="宋体" w:hAnsi="宋体" w:cs="宋体"/>
                <w:b/>
                <w:color w:val="auto"/>
                <w:sz w:val="18"/>
                <w:szCs w:val="18"/>
                <w:highlight w:val="none"/>
              </w:rPr>
            </w:pPr>
            <w:r>
              <w:rPr>
                <w:rFonts w:hint="eastAsia" w:ascii="宋体" w:hAnsi="宋体" w:cs="宋体"/>
                <w:b/>
                <w:color w:val="auto"/>
                <w:sz w:val="18"/>
                <w:szCs w:val="18"/>
                <w:highlight w:val="none"/>
              </w:rPr>
              <w:t>数量</w:t>
            </w:r>
          </w:p>
        </w:tc>
        <w:tc>
          <w:tcPr>
            <w:tcW w:w="5242" w:type="dxa"/>
            <w:noWrap w:val="0"/>
            <w:vAlign w:val="center"/>
          </w:tcPr>
          <w:p w14:paraId="54CB5BB6">
            <w:pPr>
              <w:pStyle w:val="480"/>
              <w:adjustRightInd w:val="0"/>
              <w:snapToGrid w:val="0"/>
              <w:spacing w:line="360" w:lineRule="exact"/>
              <w:jc w:val="center"/>
              <w:rPr>
                <w:rFonts w:hint="eastAsia" w:ascii="宋体" w:hAnsi="宋体" w:cs="宋体"/>
                <w:b/>
                <w:color w:val="auto"/>
                <w:sz w:val="18"/>
                <w:szCs w:val="18"/>
                <w:highlight w:val="none"/>
              </w:rPr>
            </w:pPr>
            <w:r>
              <w:rPr>
                <w:rFonts w:hint="eastAsia" w:ascii="宋体" w:hAnsi="宋体" w:cs="宋体"/>
                <w:b/>
                <w:color w:val="auto"/>
                <w:sz w:val="18"/>
                <w:szCs w:val="18"/>
                <w:highlight w:val="none"/>
              </w:rPr>
              <w:t>资格要求</w:t>
            </w:r>
          </w:p>
        </w:tc>
        <w:tc>
          <w:tcPr>
            <w:tcW w:w="1763" w:type="dxa"/>
            <w:noWrap w:val="0"/>
            <w:vAlign w:val="center"/>
          </w:tcPr>
          <w:p w14:paraId="5315C81F">
            <w:pPr>
              <w:pStyle w:val="480"/>
              <w:adjustRightInd w:val="0"/>
              <w:snapToGrid w:val="0"/>
              <w:spacing w:line="360" w:lineRule="exact"/>
              <w:jc w:val="center"/>
              <w:rPr>
                <w:rFonts w:hint="eastAsia" w:ascii="宋体" w:hAnsi="宋体" w:eastAsia="宋体" w:cs="宋体"/>
                <w:b/>
                <w:color w:val="auto"/>
                <w:sz w:val="18"/>
                <w:szCs w:val="18"/>
                <w:highlight w:val="none"/>
                <w:lang w:val="en-US" w:eastAsia="zh-CN"/>
              </w:rPr>
            </w:pPr>
            <w:r>
              <w:rPr>
                <w:rFonts w:hint="eastAsia" w:ascii="宋体" w:hAnsi="宋体" w:cs="宋体"/>
                <w:b/>
                <w:color w:val="auto"/>
                <w:sz w:val="18"/>
                <w:szCs w:val="18"/>
                <w:highlight w:val="none"/>
                <w:lang w:val="en-US" w:eastAsia="zh-CN"/>
              </w:rPr>
              <w:t>备注</w:t>
            </w:r>
          </w:p>
        </w:tc>
      </w:tr>
      <w:tr w14:paraId="300EE86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54" w:hRule="atLeast"/>
          <w:jc w:val="center"/>
        </w:trPr>
        <w:tc>
          <w:tcPr>
            <w:tcW w:w="1066" w:type="dxa"/>
            <w:noWrap w:val="0"/>
            <w:vAlign w:val="center"/>
          </w:tcPr>
          <w:p w14:paraId="435F5E02">
            <w:pPr>
              <w:pStyle w:val="480"/>
              <w:adjustRightInd w:val="0"/>
              <w:snapToGrid w:val="0"/>
              <w:spacing w:line="360" w:lineRule="exact"/>
              <w:jc w:val="center"/>
              <w:rPr>
                <w:rFonts w:hint="default" w:ascii="宋体" w:hAnsi="宋体" w:eastAsia="宋体" w:cs="宋体"/>
                <w:color w:val="auto"/>
                <w:sz w:val="18"/>
                <w:szCs w:val="18"/>
                <w:highlight w:val="none"/>
                <w:lang w:val="en-US" w:eastAsia="zh-CN"/>
              </w:rPr>
            </w:pPr>
            <w:r>
              <w:rPr>
                <w:rFonts w:hint="eastAsia" w:ascii="宋体" w:hAnsi="宋体" w:cs="宋体"/>
                <w:color w:val="auto"/>
                <w:sz w:val="18"/>
                <w:szCs w:val="18"/>
                <w:highlight w:val="none"/>
                <w:lang w:val="en-US" w:eastAsia="zh-CN"/>
              </w:rPr>
              <w:t>项目负责人</w:t>
            </w:r>
          </w:p>
        </w:tc>
        <w:tc>
          <w:tcPr>
            <w:tcW w:w="658" w:type="dxa"/>
            <w:noWrap w:val="0"/>
            <w:vAlign w:val="center"/>
          </w:tcPr>
          <w:p w14:paraId="06D360C1">
            <w:pPr>
              <w:pStyle w:val="480"/>
              <w:adjustRightInd w:val="0"/>
              <w:snapToGrid w:val="0"/>
              <w:spacing w:line="360" w:lineRule="exact"/>
              <w:jc w:val="center"/>
              <w:rPr>
                <w:rFonts w:hint="eastAsia" w:ascii="宋体" w:hAnsi="宋体" w:eastAsia="宋体" w:cs="宋体"/>
                <w:color w:val="auto"/>
                <w:sz w:val="18"/>
                <w:szCs w:val="18"/>
                <w:highlight w:val="none"/>
                <w:lang w:val="en-US" w:eastAsia="zh-CN"/>
              </w:rPr>
            </w:pPr>
            <w:r>
              <w:rPr>
                <w:rFonts w:hint="eastAsia" w:ascii="宋体" w:hAnsi="宋体" w:cs="宋体"/>
                <w:color w:val="auto"/>
                <w:sz w:val="18"/>
                <w:szCs w:val="18"/>
                <w:highlight w:val="none"/>
                <w:lang w:val="en-US" w:eastAsia="zh-CN"/>
              </w:rPr>
              <w:t>1</w:t>
            </w:r>
          </w:p>
        </w:tc>
        <w:tc>
          <w:tcPr>
            <w:tcW w:w="5242" w:type="dxa"/>
            <w:noWrap w:val="0"/>
            <w:vAlign w:val="center"/>
          </w:tcPr>
          <w:p w14:paraId="61626FF0">
            <w:pPr>
              <w:pStyle w:val="480"/>
              <w:adjustRightInd w:val="0"/>
              <w:snapToGrid w:val="0"/>
              <w:spacing w:line="360" w:lineRule="exact"/>
              <w:jc w:val="left"/>
              <w:rPr>
                <w:rFonts w:hint="eastAsia" w:ascii="宋体" w:hAnsi="宋体" w:cs="宋体"/>
                <w:color w:val="auto"/>
                <w:kern w:val="0"/>
                <w:sz w:val="18"/>
                <w:szCs w:val="18"/>
                <w:highlight w:val="none"/>
              </w:rPr>
            </w:pPr>
            <w:r>
              <w:rPr>
                <w:rFonts w:hint="eastAsia"/>
                <w:color w:val="auto"/>
                <w:sz w:val="18"/>
                <w:szCs w:val="18"/>
                <w:highlight w:val="none"/>
              </w:rPr>
              <w:t>须具备注册于投标人本单位的机电工程专业</w:t>
            </w:r>
            <w:r>
              <w:rPr>
                <w:rFonts w:hint="eastAsia"/>
                <w:color w:val="auto"/>
                <w:sz w:val="18"/>
                <w:szCs w:val="18"/>
                <w:highlight w:val="none"/>
                <w:lang w:val="en-US" w:eastAsia="zh-CN"/>
              </w:rPr>
              <w:t>二</w:t>
            </w:r>
            <w:r>
              <w:rPr>
                <w:rFonts w:hint="eastAsia"/>
                <w:color w:val="auto"/>
                <w:sz w:val="18"/>
                <w:szCs w:val="18"/>
                <w:highlight w:val="none"/>
              </w:rPr>
              <w:t>级（或以上级）</w:t>
            </w:r>
            <w:r>
              <w:rPr>
                <w:rFonts w:hint="eastAsia"/>
                <w:color w:val="auto"/>
                <w:sz w:val="18"/>
                <w:szCs w:val="18"/>
                <w:highlight w:val="none"/>
                <w:lang w:eastAsia="zh-CN"/>
              </w:rPr>
              <w:t>建造师注册证书</w:t>
            </w:r>
            <w:r>
              <w:rPr>
                <w:rFonts w:hint="eastAsia"/>
                <w:color w:val="auto"/>
                <w:sz w:val="18"/>
                <w:szCs w:val="18"/>
                <w:highlight w:val="none"/>
              </w:rPr>
              <w:t>，持有有效的《安全生产考核合格证（B证）》</w:t>
            </w:r>
          </w:p>
        </w:tc>
        <w:tc>
          <w:tcPr>
            <w:tcW w:w="1763" w:type="dxa"/>
            <w:noWrap w:val="0"/>
            <w:vAlign w:val="center"/>
          </w:tcPr>
          <w:p w14:paraId="57BDCE4C">
            <w:pPr>
              <w:pStyle w:val="480"/>
              <w:adjustRightInd w:val="0"/>
              <w:snapToGrid w:val="0"/>
              <w:spacing w:line="360" w:lineRule="exact"/>
              <w:jc w:val="left"/>
              <w:rPr>
                <w:rFonts w:hint="eastAsia" w:ascii="宋体" w:hAnsi="宋体" w:cs="宋体"/>
                <w:color w:val="auto"/>
                <w:kern w:val="0"/>
                <w:sz w:val="18"/>
                <w:szCs w:val="18"/>
                <w:highlight w:val="none"/>
              </w:rPr>
            </w:pPr>
          </w:p>
        </w:tc>
      </w:tr>
      <w:tr w14:paraId="1B25F20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54" w:hRule="atLeast"/>
          <w:jc w:val="center"/>
        </w:trPr>
        <w:tc>
          <w:tcPr>
            <w:tcW w:w="1066" w:type="dxa"/>
            <w:noWrap w:val="0"/>
            <w:vAlign w:val="center"/>
          </w:tcPr>
          <w:p w14:paraId="377811D0">
            <w:pPr>
              <w:pStyle w:val="480"/>
              <w:adjustRightInd w:val="0"/>
              <w:snapToGrid w:val="0"/>
              <w:spacing w:line="360" w:lineRule="exact"/>
              <w:jc w:val="center"/>
              <w:rPr>
                <w:rFonts w:hint="default"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技术负责人</w:t>
            </w:r>
          </w:p>
        </w:tc>
        <w:tc>
          <w:tcPr>
            <w:tcW w:w="658" w:type="dxa"/>
            <w:noWrap w:val="0"/>
            <w:vAlign w:val="center"/>
          </w:tcPr>
          <w:p w14:paraId="5E0B4E9F">
            <w:pPr>
              <w:pStyle w:val="480"/>
              <w:adjustRightInd w:val="0"/>
              <w:snapToGrid w:val="0"/>
              <w:spacing w:line="360" w:lineRule="exact"/>
              <w:jc w:val="center"/>
              <w:rPr>
                <w:rFonts w:hint="eastAsia" w:ascii="宋体" w:hAnsi="宋体" w:eastAsia="宋体" w:cs="宋体"/>
                <w:color w:val="auto"/>
                <w:sz w:val="18"/>
                <w:szCs w:val="18"/>
                <w:highlight w:val="none"/>
                <w:lang w:val="en-US" w:eastAsia="zh-CN"/>
              </w:rPr>
            </w:pPr>
            <w:r>
              <w:rPr>
                <w:rFonts w:hint="eastAsia" w:ascii="宋体" w:hAnsi="宋体" w:cs="宋体"/>
                <w:color w:val="auto"/>
                <w:sz w:val="18"/>
                <w:szCs w:val="18"/>
                <w:highlight w:val="none"/>
                <w:lang w:val="en-US" w:eastAsia="zh-CN"/>
              </w:rPr>
              <w:t>1</w:t>
            </w:r>
          </w:p>
        </w:tc>
        <w:tc>
          <w:tcPr>
            <w:tcW w:w="5242" w:type="dxa"/>
            <w:noWrap w:val="0"/>
            <w:vAlign w:val="center"/>
          </w:tcPr>
          <w:p w14:paraId="294799B2">
            <w:pPr>
              <w:pStyle w:val="480"/>
              <w:adjustRightInd w:val="0"/>
              <w:snapToGrid w:val="0"/>
              <w:spacing w:line="360" w:lineRule="exact"/>
              <w:jc w:val="left"/>
              <w:rPr>
                <w:rFonts w:hint="eastAsia"/>
                <w:color w:val="auto"/>
                <w:sz w:val="18"/>
                <w:szCs w:val="18"/>
                <w:highlight w:val="none"/>
              </w:rPr>
            </w:pPr>
            <w:r>
              <w:rPr>
                <w:rFonts w:hint="eastAsia" w:ascii="宋体" w:hAnsi="宋体" w:cs="宋体"/>
                <w:bCs/>
                <w:color w:val="auto"/>
                <w:sz w:val="18"/>
                <w:szCs w:val="18"/>
                <w:highlight w:val="none"/>
              </w:rPr>
              <w:t>具有</w:t>
            </w:r>
            <w:r>
              <w:rPr>
                <w:rFonts w:hint="eastAsia" w:ascii="宋体" w:hAnsi="宋体" w:cs="宋体"/>
                <w:bCs/>
                <w:color w:val="auto"/>
                <w:sz w:val="18"/>
                <w:szCs w:val="18"/>
                <w:highlight w:val="none"/>
                <w:lang w:val="en-US" w:eastAsia="zh-CN"/>
              </w:rPr>
              <w:t>中级</w:t>
            </w:r>
            <w:r>
              <w:rPr>
                <w:rFonts w:hint="eastAsia" w:ascii="宋体" w:hAnsi="宋体" w:cs="宋体"/>
                <w:bCs/>
                <w:color w:val="auto"/>
                <w:sz w:val="18"/>
                <w:szCs w:val="18"/>
                <w:highlight w:val="none"/>
              </w:rPr>
              <w:t>或以上职称证书或</w:t>
            </w:r>
            <w:r>
              <w:rPr>
                <w:rFonts w:hint="eastAsia" w:ascii="宋体" w:hAnsi="宋体" w:cs="宋体"/>
                <w:color w:val="auto"/>
                <w:kern w:val="0"/>
                <w:sz w:val="18"/>
                <w:szCs w:val="18"/>
                <w:highlight w:val="none"/>
              </w:rPr>
              <w:t>具备</w:t>
            </w:r>
            <w:r>
              <w:rPr>
                <w:rFonts w:hint="eastAsia"/>
                <w:color w:val="auto"/>
                <w:sz w:val="18"/>
                <w:szCs w:val="18"/>
                <w:highlight w:val="none"/>
              </w:rPr>
              <w:t>注册于投标人本单位的机电工程专业</w:t>
            </w:r>
            <w:r>
              <w:rPr>
                <w:rFonts w:hint="eastAsia"/>
                <w:color w:val="auto"/>
                <w:sz w:val="18"/>
                <w:szCs w:val="18"/>
                <w:highlight w:val="none"/>
                <w:lang w:val="en-US" w:eastAsia="zh-CN"/>
              </w:rPr>
              <w:t>二</w:t>
            </w:r>
            <w:r>
              <w:rPr>
                <w:rFonts w:hint="eastAsia"/>
                <w:color w:val="auto"/>
                <w:sz w:val="18"/>
                <w:szCs w:val="18"/>
                <w:highlight w:val="none"/>
              </w:rPr>
              <w:t>级（或以上级）</w:t>
            </w:r>
            <w:r>
              <w:rPr>
                <w:rFonts w:hint="eastAsia"/>
                <w:color w:val="auto"/>
                <w:sz w:val="18"/>
                <w:szCs w:val="18"/>
                <w:highlight w:val="none"/>
                <w:lang w:eastAsia="zh-CN"/>
              </w:rPr>
              <w:t>建造师注册证书</w:t>
            </w:r>
          </w:p>
        </w:tc>
        <w:tc>
          <w:tcPr>
            <w:tcW w:w="1763" w:type="dxa"/>
            <w:noWrap w:val="0"/>
            <w:vAlign w:val="center"/>
          </w:tcPr>
          <w:p w14:paraId="7E94AD47">
            <w:pPr>
              <w:pStyle w:val="480"/>
              <w:adjustRightInd w:val="0"/>
              <w:snapToGrid w:val="0"/>
              <w:spacing w:line="360" w:lineRule="exact"/>
              <w:jc w:val="left"/>
              <w:rPr>
                <w:rFonts w:hint="eastAsia" w:ascii="宋体" w:hAnsi="宋体" w:cs="宋体"/>
                <w:color w:val="auto"/>
                <w:kern w:val="0"/>
                <w:sz w:val="18"/>
                <w:szCs w:val="18"/>
                <w:highlight w:val="none"/>
                <w:lang w:val="en-US" w:eastAsia="zh-CN"/>
              </w:rPr>
            </w:pPr>
          </w:p>
        </w:tc>
      </w:tr>
      <w:tr w14:paraId="2FDC7A5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28" w:hRule="atLeast"/>
          <w:jc w:val="center"/>
        </w:trPr>
        <w:tc>
          <w:tcPr>
            <w:tcW w:w="1066" w:type="dxa"/>
            <w:noWrap w:val="0"/>
            <w:vAlign w:val="center"/>
          </w:tcPr>
          <w:p w14:paraId="5191CB13">
            <w:pPr>
              <w:pStyle w:val="480"/>
              <w:adjustRightInd w:val="0"/>
              <w:snapToGrid w:val="0"/>
              <w:spacing w:line="360" w:lineRule="exact"/>
              <w:jc w:val="center"/>
              <w:rPr>
                <w:rFonts w:hint="default" w:ascii="宋体" w:hAnsi="宋体" w:eastAsia="宋体" w:cs="宋体"/>
                <w:color w:val="auto"/>
                <w:sz w:val="18"/>
                <w:szCs w:val="18"/>
                <w:highlight w:val="none"/>
                <w:lang w:val="en-US" w:eastAsia="zh-CN"/>
              </w:rPr>
            </w:pPr>
            <w:r>
              <w:rPr>
                <w:rFonts w:hint="eastAsia" w:ascii="宋体" w:hAnsi="宋体" w:cs="宋体"/>
                <w:color w:val="auto"/>
                <w:sz w:val="18"/>
                <w:szCs w:val="18"/>
                <w:highlight w:val="none"/>
                <w:lang w:val="en-US" w:eastAsia="zh-CN"/>
              </w:rPr>
              <w:t>项目施工负责人</w:t>
            </w:r>
          </w:p>
        </w:tc>
        <w:tc>
          <w:tcPr>
            <w:tcW w:w="658" w:type="dxa"/>
            <w:noWrap w:val="0"/>
            <w:vAlign w:val="center"/>
          </w:tcPr>
          <w:p w14:paraId="762C95EB">
            <w:pPr>
              <w:pStyle w:val="480"/>
              <w:adjustRightInd w:val="0"/>
              <w:snapToGrid w:val="0"/>
              <w:spacing w:line="360" w:lineRule="exact"/>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1</w:t>
            </w:r>
          </w:p>
        </w:tc>
        <w:tc>
          <w:tcPr>
            <w:tcW w:w="5242" w:type="dxa"/>
            <w:noWrap w:val="0"/>
            <w:vAlign w:val="center"/>
          </w:tcPr>
          <w:p w14:paraId="2B9264B7">
            <w:pPr>
              <w:pStyle w:val="480"/>
              <w:adjustRightInd w:val="0"/>
              <w:snapToGrid w:val="0"/>
              <w:spacing w:line="360" w:lineRule="exact"/>
              <w:jc w:val="left"/>
              <w:rPr>
                <w:rFonts w:hint="eastAsia" w:ascii="宋体" w:hAnsi="宋体" w:cs="宋体"/>
                <w:color w:val="auto"/>
                <w:sz w:val="18"/>
                <w:szCs w:val="18"/>
                <w:highlight w:val="none"/>
              </w:rPr>
            </w:pPr>
            <w:r>
              <w:rPr>
                <w:rFonts w:hint="eastAsia"/>
                <w:color w:val="auto"/>
                <w:sz w:val="18"/>
                <w:szCs w:val="18"/>
                <w:highlight w:val="none"/>
              </w:rPr>
              <w:t>须具备注册于投标人本单位的机电工程专业</w:t>
            </w:r>
            <w:r>
              <w:rPr>
                <w:rFonts w:hint="eastAsia"/>
                <w:color w:val="auto"/>
                <w:sz w:val="18"/>
                <w:szCs w:val="18"/>
                <w:highlight w:val="none"/>
                <w:lang w:val="en-US" w:eastAsia="zh-CN"/>
              </w:rPr>
              <w:t>二</w:t>
            </w:r>
            <w:r>
              <w:rPr>
                <w:rFonts w:hint="eastAsia"/>
                <w:color w:val="auto"/>
                <w:sz w:val="18"/>
                <w:szCs w:val="18"/>
                <w:highlight w:val="none"/>
              </w:rPr>
              <w:t>级（或以上级）</w:t>
            </w:r>
            <w:r>
              <w:rPr>
                <w:rFonts w:hint="eastAsia"/>
                <w:color w:val="auto"/>
                <w:sz w:val="18"/>
                <w:szCs w:val="18"/>
                <w:highlight w:val="none"/>
                <w:lang w:eastAsia="zh-CN"/>
              </w:rPr>
              <w:t>建造师注册证书</w:t>
            </w:r>
            <w:r>
              <w:rPr>
                <w:rFonts w:hint="eastAsia"/>
                <w:color w:val="auto"/>
                <w:sz w:val="18"/>
                <w:szCs w:val="18"/>
                <w:highlight w:val="none"/>
              </w:rPr>
              <w:t>，持有有效的《安全生产考核合格证（B证）》</w:t>
            </w:r>
          </w:p>
        </w:tc>
        <w:tc>
          <w:tcPr>
            <w:tcW w:w="1763" w:type="dxa"/>
            <w:noWrap w:val="0"/>
            <w:vAlign w:val="center"/>
          </w:tcPr>
          <w:p w14:paraId="014A57C8">
            <w:pPr>
              <w:pStyle w:val="480"/>
              <w:adjustRightInd w:val="0"/>
              <w:snapToGrid w:val="0"/>
              <w:spacing w:line="360" w:lineRule="exact"/>
              <w:jc w:val="left"/>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项目负责人可兼任项目施工负责人</w:t>
            </w:r>
          </w:p>
        </w:tc>
      </w:tr>
      <w:tr w14:paraId="2F07A25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25" w:hRule="atLeast"/>
          <w:jc w:val="center"/>
        </w:trPr>
        <w:tc>
          <w:tcPr>
            <w:tcW w:w="1066" w:type="dxa"/>
            <w:noWrap w:val="0"/>
            <w:vAlign w:val="center"/>
          </w:tcPr>
          <w:p w14:paraId="60A26B38">
            <w:pPr>
              <w:pStyle w:val="480"/>
              <w:widowControl/>
              <w:snapToGrid w:val="0"/>
              <w:spacing w:line="360" w:lineRule="exact"/>
              <w:jc w:val="center"/>
              <w:rPr>
                <w:rFonts w:hint="default" w:ascii="宋体" w:hAnsi="宋体" w:eastAsia="宋体" w:cs="宋体"/>
                <w:color w:val="auto"/>
                <w:sz w:val="18"/>
                <w:szCs w:val="18"/>
                <w:highlight w:val="none"/>
                <w:lang w:val="en-US" w:eastAsia="zh-CN"/>
              </w:rPr>
            </w:pPr>
            <w:r>
              <w:rPr>
                <w:rFonts w:hint="eastAsia" w:ascii="宋体" w:hAnsi="宋体" w:cs="宋体"/>
                <w:color w:val="auto"/>
                <w:sz w:val="18"/>
                <w:szCs w:val="18"/>
                <w:highlight w:val="none"/>
                <w:lang w:val="en-US" w:eastAsia="zh-CN"/>
              </w:rPr>
              <w:t>项目设计负责人</w:t>
            </w:r>
          </w:p>
        </w:tc>
        <w:tc>
          <w:tcPr>
            <w:tcW w:w="658" w:type="dxa"/>
            <w:noWrap w:val="0"/>
            <w:vAlign w:val="center"/>
          </w:tcPr>
          <w:p w14:paraId="5BBA5222">
            <w:pPr>
              <w:pStyle w:val="480"/>
              <w:adjustRightInd w:val="0"/>
              <w:snapToGrid w:val="0"/>
              <w:spacing w:line="360" w:lineRule="exact"/>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1</w:t>
            </w:r>
          </w:p>
        </w:tc>
        <w:tc>
          <w:tcPr>
            <w:tcW w:w="5242" w:type="dxa"/>
            <w:noWrap w:val="0"/>
            <w:vAlign w:val="center"/>
          </w:tcPr>
          <w:p w14:paraId="26CD9619">
            <w:pPr>
              <w:pStyle w:val="480"/>
              <w:spacing w:line="360" w:lineRule="exact"/>
              <w:ind w:right="105" w:rightChars="50"/>
              <w:rPr>
                <w:rFonts w:hint="eastAsia" w:ascii="宋体" w:hAnsi="宋体" w:cs="宋体"/>
                <w:bCs/>
                <w:color w:val="auto"/>
                <w:sz w:val="18"/>
                <w:szCs w:val="18"/>
                <w:highlight w:val="none"/>
              </w:rPr>
            </w:pPr>
            <w:r>
              <w:rPr>
                <w:rFonts w:hint="eastAsia" w:ascii="宋体" w:hAnsi="宋体" w:cs="宋体"/>
                <w:bCs/>
                <w:color w:val="auto"/>
                <w:sz w:val="18"/>
                <w:szCs w:val="18"/>
                <w:highlight w:val="none"/>
              </w:rPr>
              <w:t>须具备建设行业主管部门颁发的注册电气工程师注册执业证书。</w:t>
            </w:r>
          </w:p>
        </w:tc>
        <w:tc>
          <w:tcPr>
            <w:tcW w:w="1763" w:type="dxa"/>
            <w:noWrap w:val="0"/>
            <w:vAlign w:val="center"/>
          </w:tcPr>
          <w:p w14:paraId="469918FD">
            <w:pPr>
              <w:pStyle w:val="480"/>
              <w:spacing w:line="360" w:lineRule="exact"/>
              <w:ind w:right="105" w:rightChars="50"/>
              <w:rPr>
                <w:rFonts w:hint="default" w:ascii="宋体" w:hAnsi="宋体" w:eastAsia="宋体" w:cs="宋体"/>
                <w:bCs/>
                <w:color w:val="auto"/>
                <w:sz w:val="18"/>
                <w:szCs w:val="18"/>
                <w:highlight w:val="none"/>
                <w:lang w:val="en-US" w:eastAsia="zh-CN"/>
              </w:rPr>
            </w:pPr>
            <w:r>
              <w:rPr>
                <w:rFonts w:hint="eastAsia" w:ascii="宋体" w:hAnsi="宋体" w:cs="宋体"/>
                <w:bCs/>
                <w:color w:val="auto"/>
                <w:sz w:val="18"/>
                <w:szCs w:val="18"/>
                <w:highlight w:val="none"/>
                <w:lang w:val="en-US" w:eastAsia="zh-CN"/>
              </w:rPr>
              <w:t>承包单位或设计分包单位人员</w:t>
            </w:r>
          </w:p>
        </w:tc>
      </w:tr>
      <w:tr w14:paraId="70F097F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36" w:hRule="atLeast"/>
          <w:jc w:val="center"/>
        </w:trPr>
        <w:tc>
          <w:tcPr>
            <w:tcW w:w="1066" w:type="dxa"/>
            <w:noWrap w:val="0"/>
            <w:vAlign w:val="center"/>
          </w:tcPr>
          <w:p w14:paraId="49049D13">
            <w:pPr>
              <w:pStyle w:val="480"/>
              <w:widowControl/>
              <w:snapToGrid w:val="0"/>
              <w:spacing w:line="360" w:lineRule="exact"/>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专职安全员</w:t>
            </w:r>
          </w:p>
        </w:tc>
        <w:tc>
          <w:tcPr>
            <w:tcW w:w="658" w:type="dxa"/>
            <w:noWrap w:val="0"/>
            <w:vAlign w:val="center"/>
          </w:tcPr>
          <w:p w14:paraId="7AE6E797">
            <w:pPr>
              <w:pStyle w:val="480"/>
              <w:adjustRightInd w:val="0"/>
              <w:snapToGrid w:val="0"/>
              <w:spacing w:line="360" w:lineRule="exact"/>
              <w:jc w:val="center"/>
              <w:rPr>
                <w:rFonts w:hint="eastAsia" w:ascii="宋体" w:hAnsi="宋体" w:eastAsia="宋体" w:cs="宋体"/>
                <w:color w:val="auto"/>
                <w:sz w:val="18"/>
                <w:szCs w:val="18"/>
                <w:highlight w:val="none"/>
                <w:lang w:eastAsia="zh-CN"/>
              </w:rPr>
            </w:pPr>
            <w:r>
              <w:rPr>
                <w:rFonts w:hint="eastAsia" w:ascii="宋体" w:hAnsi="宋体" w:cs="宋体"/>
                <w:color w:val="auto"/>
                <w:sz w:val="18"/>
                <w:szCs w:val="18"/>
                <w:highlight w:val="none"/>
                <w:lang w:val="en-US" w:eastAsia="zh-CN"/>
              </w:rPr>
              <w:t>1</w:t>
            </w:r>
          </w:p>
        </w:tc>
        <w:tc>
          <w:tcPr>
            <w:tcW w:w="5242" w:type="dxa"/>
            <w:noWrap w:val="0"/>
            <w:vAlign w:val="center"/>
          </w:tcPr>
          <w:p w14:paraId="37A40FC6">
            <w:pPr>
              <w:pStyle w:val="480"/>
              <w:spacing w:line="360" w:lineRule="exact"/>
              <w:ind w:right="105" w:rightChars="50"/>
              <w:rPr>
                <w:rFonts w:hint="eastAsia" w:ascii="宋体" w:hAnsi="宋体" w:cs="宋体"/>
                <w:color w:val="auto"/>
                <w:kern w:val="0"/>
                <w:sz w:val="18"/>
                <w:szCs w:val="18"/>
                <w:highlight w:val="none"/>
              </w:rPr>
            </w:pPr>
            <w:r>
              <w:rPr>
                <w:rFonts w:hint="eastAsia" w:ascii="宋体" w:hAnsi="宋体" w:cs="宋体"/>
                <w:bCs/>
                <w:color w:val="auto"/>
                <w:sz w:val="18"/>
                <w:szCs w:val="18"/>
                <w:highlight w:val="none"/>
              </w:rPr>
              <w:t>具有《安全生产考核合格证（C证）》或《安全生产考核合格证（综合类C3证）》</w:t>
            </w:r>
          </w:p>
        </w:tc>
        <w:tc>
          <w:tcPr>
            <w:tcW w:w="1763" w:type="dxa"/>
            <w:noWrap w:val="0"/>
            <w:vAlign w:val="center"/>
          </w:tcPr>
          <w:p w14:paraId="6D82A0D9">
            <w:pPr>
              <w:pStyle w:val="480"/>
              <w:spacing w:line="360" w:lineRule="exact"/>
              <w:ind w:right="105" w:rightChars="50"/>
              <w:rPr>
                <w:rFonts w:hint="eastAsia" w:ascii="宋体" w:hAnsi="宋体" w:cs="宋体"/>
                <w:bCs/>
                <w:color w:val="auto"/>
                <w:sz w:val="18"/>
                <w:szCs w:val="18"/>
                <w:highlight w:val="none"/>
              </w:rPr>
            </w:pPr>
          </w:p>
        </w:tc>
      </w:tr>
    </w:tbl>
    <w:p w14:paraId="7CC34870">
      <w:pPr>
        <w:pStyle w:val="46"/>
        <w:ind w:firstLine="0" w:firstLineChars="0"/>
        <w:rPr>
          <w:color w:val="auto"/>
          <w:highlight w:val="none"/>
        </w:rPr>
      </w:pPr>
      <w:r>
        <w:rPr>
          <w:rFonts w:hint="eastAsia"/>
          <w:color w:val="auto"/>
          <w:highlight w:val="none"/>
        </w:rPr>
        <w:t>注：如实际施工过程中人员不满足工程的管理需求，承包人须按发包人要求无条件增加符合要求的人员。</w:t>
      </w:r>
    </w:p>
    <w:p w14:paraId="6AE604E7">
      <w:pPr>
        <w:rPr>
          <w:color w:val="auto"/>
          <w:highlight w:val="none"/>
        </w:rPr>
      </w:pPr>
    </w:p>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AFAD21">
    <w:pPr>
      <w:pStyle w:val="7"/>
      <w:rPr>
        <w:rFonts w:cs="宋体"/>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ffectLst/>
                    </wps:spPr>
                    <wps:txbx>
                      <w:txbxContent>
                        <w:p w14:paraId="18797BC2">
                          <w:pPr>
                            <w:pStyle w:val="7"/>
                          </w:pPr>
                          <w:r>
                            <w:rPr>
                              <w:rFonts w:hint="eastAsia" w:cs="宋体"/>
                            </w:rPr>
                            <w:fldChar w:fldCharType="begin"/>
                          </w:r>
                          <w:r>
                            <w:rPr>
                              <w:rFonts w:hint="eastAsia" w:cs="宋体"/>
                            </w:rPr>
                            <w:instrText xml:space="preserve"> PAGE   \* MERGEFORMAT </w:instrText>
                          </w:r>
                          <w:r>
                            <w:rPr>
                              <w:rFonts w:hint="eastAsia" w:cs="宋体"/>
                            </w:rPr>
                            <w:fldChar w:fldCharType="separate"/>
                          </w:r>
                          <w:r>
                            <w:rPr>
                              <w:rFonts w:cs="宋体"/>
                            </w:rPr>
                            <w:t>9</w:t>
                          </w:r>
                          <w:r>
                            <w:rPr>
                              <w:rFonts w:hint="eastAsia" w:cs="宋体"/>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Q+V+SdAAAAADAQAADwAAAAAAAAABACAAAAAiAAAA&#10;ZHJzL2Rvd25yZXYueG1sUEsBAhQAFAAAAAgAh07iQGrcfTsPAgAAEAQAAA4AAAAAAAAAAQAgAAAA&#10;HwEAAGRycy9lMm9Eb2MueG1sUEsFBgAAAAAGAAYAWQEAAKAFAAAAAA==&#10;">
              <v:fill on="f" focussize="0,0"/>
              <v:stroke on="f"/>
              <v:imagedata o:title=""/>
              <o:lock v:ext="edit" aspectratio="f"/>
              <v:textbox inset="0mm,0mm,0mm,0mm" style="mso-fit-shape-to-text:t;">
                <w:txbxContent>
                  <w:p w14:paraId="18797BC2">
                    <w:pPr>
                      <w:pStyle w:val="7"/>
                    </w:pPr>
                    <w:r>
                      <w:rPr>
                        <w:rFonts w:hint="eastAsia" w:cs="宋体"/>
                      </w:rPr>
                      <w:fldChar w:fldCharType="begin"/>
                    </w:r>
                    <w:r>
                      <w:rPr>
                        <w:rFonts w:hint="eastAsia" w:cs="宋体"/>
                      </w:rPr>
                      <w:instrText xml:space="preserve"> PAGE   \* MERGEFORMAT </w:instrText>
                    </w:r>
                    <w:r>
                      <w:rPr>
                        <w:rFonts w:hint="eastAsia" w:cs="宋体"/>
                      </w:rPr>
                      <w:fldChar w:fldCharType="separate"/>
                    </w:r>
                    <w:r>
                      <w:rPr>
                        <w:rFonts w:cs="宋体"/>
                      </w:rPr>
                      <w:t>9</w:t>
                    </w:r>
                    <w:r>
                      <w:rPr>
                        <w:rFonts w:hint="eastAsia" w:cs="宋体"/>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A1C177">
    <w:pPr>
      <w:jc w:val="center"/>
      <w:rPr>
        <w:rFonts w:hint="eastAsia"/>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0BBEC2">
                          <w:pPr>
                            <w:jc w:val="center"/>
                          </w:pPr>
                          <w:r>
                            <w:rPr>
                              <w:rFonts w:hint="eastAsia"/>
                            </w:rPr>
                            <w:fldChar w:fldCharType="begin"/>
                          </w:r>
                          <w:r>
                            <w:rPr>
                              <w:rFonts w:hint="eastAsia"/>
                            </w:rPr>
                            <w:instrText xml:space="preserve"> PAGE  \* MERGEFORMAT </w:instrText>
                          </w:r>
                          <w:r>
                            <w:rPr>
                              <w:rFonts w:hint="eastAsia"/>
                            </w:rPr>
                            <w:fldChar w:fldCharType="separate"/>
                          </w:r>
                          <w:r>
                            <w:t>120</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40BBEC2">
                    <w:pPr>
                      <w:jc w:val="center"/>
                    </w:pPr>
                    <w:r>
                      <w:rPr>
                        <w:rFonts w:hint="eastAsia"/>
                      </w:rPr>
                      <w:fldChar w:fldCharType="begin"/>
                    </w:r>
                    <w:r>
                      <w:rPr>
                        <w:rFonts w:hint="eastAsia"/>
                      </w:rPr>
                      <w:instrText xml:space="preserve"> PAGE  \* MERGEFORMAT </w:instrText>
                    </w:r>
                    <w:r>
                      <w:rPr>
                        <w:rFonts w:hint="eastAsia"/>
                      </w:rPr>
                      <w:fldChar w:fldCharType="separate"/>
                    </w:r>
                    <w:r>
                      <w:t>120</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DD7618">
    <w:pPr>
      <w:pStyle w:val="7"/>
      <w:ind w:left="4410"/>
      <w:rPr>
        <w:rFonts w:cs="宋体"/>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36AF3F">
                          <w:pPr>
                            <w:pStyle w:val="7"/>
                          </w:pPr>
                          <w:r>
                            <w:fldChar w:fldCharType="begin"/>
                          </w:r>
                          <w:r>
                            <w:instrText xml:space="preserve"> PAGE  \* MERGEFORMAT </w:instrText>
                          </w:r>
                          <w:r>
                            <w:fldChar w:fldCharType="separate"/>
                          </w:r>
                          <w:r>
                            <w:t>109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4C36AF3F">
                    <w:pPr>
                      <w:pStyle w:val="7"/>
                    </w:pPr>
                    <w:r>
                      <w:fldChar w:fldCharType="begin"/>
                    </w:r>
                    <w:r>
                      <w:instrText xml:space="preserve"> PAGE  \* MERGEFORMAT </w:instrText>
                    </w:r>
                    <w:r>
                      <w:fldChar w:fldCharType="separate"/>
                    </w:r>
                    <w:r>
                      <w:t>109</w:t>
                    </w:r>
                    <w:r>
                      <w:fldChar w:fldCharType="end"/>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72085" cy="131445"/>
              <wp:effectExtent l="0" t="0" r="0" b="0"/>
              <wp:wrapNone/>
              <wp:docPr id="9" name="文本框 9"/>
              <wp:cNvGraphicFramePr/>
              <a:graphic xmlns:a="http://schemas.openxmlformats.org/drawingml/2006/main">
                <a:graphicData uri="http://schemas.microsoft.com/office/word/2010/wordprocessingShape">
                  <wps:wsp>
                    <wps:cNvSpPr txBox="1">
                      <a:spLocks noChangeArrowheads="1"/>
                    </wps:cNvSpPr>
                    <wps:spPr bwMode="auto">
                      <a:xfrm>
                        <a:off x="0" y="0"/>
                        <a:ext cx="172085" cy="131445"/>
                      </a:xfrm>
                      <a:prstGeom prst="rect">
                        <a:avLst/>
                      </a:prstGeom>
                      <a:noFill/>
                      <a:ln>
                        <a:noFill/>
                      </a:ln>
                      <a:effectLst/>
                    </wps:spPr>
                    <wps:txbx>
                      <w:txbxContent>
                        <w:p w14:paraId="2E2F565B">
                          <w:pPr>
                            <w:pStyle w:val="7"/>
                            <w:ind w:left="4410"/>
                            <w:rPr>
                              <w:strike/>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13.55pt;mso-position-horizontal:center;mso-position-horizontal-relative:margin;mso-wrap-style:none;z-index:251660288;mso-width-relative:page;mso-height-relative:page;" filled="f" stroked="f" coordsize="21600,21600" o:gfxdata="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UldDlzwAAAAMBAAAPAAAAAAAAAAEAIAAAACIAAABk&#10;cnMvZG93bnJldi54bWxQSwECFAAUAAAACACHTuJAsdgqdw8CAAAQBAAADgAAAAAAAAABACAAAAAe&#10;AQAAZHJzL2Uyb0RvYy54bWxQSwUGAAAAAAYABgBZAQAAnwUAAAAA&#10;">
              <v:fill on="f" focussize="0,0"/>
              <v:stroke on="f"/>
              <v:imagedata o:title=""/>
              <o:lock v:ext="edit" aspectratio="f"/>
              <v:textbox inset="0mm,0mm,0mm,0mm" style="mso-fit-shape-to-text:t;">
                <w:txbxContent>
                  <w:p w14:paraId="2E2F565B">
                    <w:pPr>
                      <w:pStyle w:val="7"/>
                      <w:ind w:left="4410"/>
                      <w:rPr>
                        <w:strike/>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3A311C">
    <w:pPr>
      <w:pStyle w:val="7"/>
      <w:ind w:left="44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783BB0"/>
    <w:multiLevelType w:val="singleLevel"/>
    <w:tmpl w:val="80783BB0"/>
    <w:lvl w:ilvl="0" w:tentative="0">
      <w:start w:val="1"/>
      <w:numFmt w:val="decimal"/>
      <w:lvlText w:val="(%1)"/>
      <w:lvlJc w:val="left"/>
      <w:pPr>
        <w:ind w:left="425" w:hanging="425"/>
      </w:pPr>
      <w:rPr>
        <w:rFonts w:hint="default"/>
      </w:rPr>
    </w:lvl>
  </w:abstractNum>
  <w:abstractNum w:abstractNumId="1">
    <w:nsid w:val="8C248174"/>
    <w:multiLevelType w:val="singleLevel"/>
    <w:tmpl w:val="8C248174"/>
    <w:lvl w:ilvl="0" w:tentative="0">
      <w:start w:val="1"/>
      <w:numFmt w:val="decimal"/>
      <w:suff w:val="nothing"/>
      <w:lvlText w:val="（%1）"/>
      <w:lvlJc w:val="left"/>
    </w:lvl>
  </w:abstractNum>
  <w:abstractNum w:abstractNumId="2">
    <w:nsid w:val="908A9A19"/>
    <w:multiLevelType w:val="singleLevel"/>
    <w:tmpl w:val="908A9A19"/>
    <w:lvl w:ilvl="0" w:tentative="0">
      <w:start w:val="1"/>
      <w:numFmt w:val="decimal"/>
      <w:lvlText w:val="(%1)"/>
      <w:lvlJc w:val="left"/>
      <w:pPr>
        <w:ind w:left="425" w:hanging="425"/>
      </w:pPr>
      <w:rPr>
        <w:rFonts w:hint="default"/>
      </w:rPr>
    </w:lvl>
  </w:abstractNum>
  <w:abstractNum w:abstractNumId="3">
    <w:nsid w:val="90B75474"/>
    <w:multiLevelType w:val="singleLevel"/>
    <w:tmpl w:val="90B75474"/>
    <w:lvl w:ilvl="0" w:tentative="0">
      <w:start w:val="1"/>
      <w:numFmt w:val="decimal"/>
      <w:lvlText w:val="(%1)"/>
      <w:lvlJc w:val="left"/>
      <w:pPr>
        <w:ind w:left="425" w:hanging="425"/>
      </w:pPr>
      <w:rPr>
        <w:rFonts w:hint="default"/>
      </w:rPr>
    </w:lvl>
  </w:abstractNum>
  <w:abstractNum w:abstractNumId="4">
    <w:nsid w:val="92AA20DE"/>
    <w:multiLevelType w:val="singleLevel"/>
    <w:tmpl w:val="92AA20DE"/>
    <w:lvl w:ilvl="0" w:tentative="0">
      <w:start w:val="1"/>
      <w:numFmt w:val="decimal"/>
      <w:lvlText w:val="(%1)"/>
      <w:lvlJc w:val="left"/>
      <w:pPr>
        <w:ind w:left="425" w:hanging="425"/>
      </w:pPr>
      <w:rPr>
        <w:rFonts w:hint="default"/>
      </w:rPr>
    </w:lvl>
  </w:abstractNum>
  <w:abstractNum w:abstractNumId="5">
    <w:nsid w:val="9B289055"/>
    <w:multiLevelType w:val="multilevel"/>
    <w:tmpl w:val="9B289055"/>
    <w:lvl w:ilvl="0" w:tentative="0">
      <w:start w:val="1"/>
      <w:numFmt w:val="decimal"/>
      <w:suff w:val="space"/>
      <w:lvlText w:val="（%1）"/>
      <w:lvlJc w:val="left"/>
      <w:pPr>
        <w:tabs>
          <w:tab w:val="left" w:pos="1740"/>
        </w:tabs>
        <w:ind w:left="0" w:firstLine="1134"/>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A33C7D79"/>
    <w:multiLevelType w:val="singleLevel"/>
    <w:tmpl w:val="A33C7D79"/>
    <w:lvl w:ilvl="0" w:tentative="0">
      <w:start w:val="1"/>
      <w:numFmt w:val="decimal"/>
      <w:lvlText w:val="(%1)"/>
      <w:lvlJc w:val="left"/>
      <w:pPr>
        <w:ind w:left="425" w:hanging="425"/>
      </w:pPr>
      <w:rPr>
        <w:rFonts w:hint="default"/>
      </w:rPr>
    </w:lvl>
  </w:abstractNum>
  <w:abstractNum w:abstractNumId="7">
    <w:nsid w:val="A340CB95"/>
    <w:multiLevelType w:val="multilevel"/>
    <w:tmpl w:val="A340CB95"/>
    <w:lvl w:ilvl="0" w:tentative="0">
      <w:start w:val="1"/>
      <w:numFmt w:val="decimal"/>
      <w:suff w:val="space"/>
      <w:lvlText w:val="（%1）"/>
      <w:lvlJc w:val="left"/>
      <w:pPr>
        <w:tabs>
          <w:tab w:val="left" w:pos="1740"/>
        </w:tabs>
        <w:ind w:left="0" w:firstLine="1134"/>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AAF8F2BD"/>
    <w:multiLevelType w:val="singleLevel"/>
    <w:tmpl w:val="AAF8F2BD"/>
    <w:lvl w:ilvl="0" w:tentative="0">
      <w:start w:val="1"/>
      <w:numFmt w:val="decimal"/>
      <w:lvlText w:val="(%1)"/>
      <w:lvlJc w:val="left"/>
      <w:pPr>
        <w:ind w:left="425" w:hanging="425"/>
      </w:pPr>
      <w:rPr>
        <w:rFonts w:hint="default"/>
      </w:rPr>
    </w:lvl>
  </w:abstractNum>
  <w:abstractNum w:abstractNumId="9">
    <w:nsid w:val="B1A90CA3"/>
    <w:multiLevelType w:val="singleLevel"/>
    <w:tmpl w:val="B1A90CA3"/>
    <w:lvl w:ilvl="0" w:tentative="0">
      <w:start w:val="11"/>
      <w:numFmt w:val="chineseCounting"/>
      <w:suff w:val="nothing"/>
      <w:lvlText w:val="%1、"/>
      <w:lvlJc w:val="left"/>
      <w:rPr>
        <w:rFonts w:hint="eastAsia"/>
      </w:rPr>
    </w:lvl>
  </w:abstractNum>
  <w:abstractNum w:abstractNumId="10">
    <w:nsid w:val="C5C78C19"/>
    <w:multiLevelType w:val="singleLevel"/>
    <w:tmpl w:val="C5C78C19"/>
    <w:lvl w:ilvl="0" w:tentative="0">
      <w:start w:val="1"/>
      <w:numFmt w:val="decimal"/>
      <w:lvlText w:val="(%1)"/>
      <w:lvlJc w:val="left"/>
      <w:pPr>
        <w:ind w:left="425" w:hanging="425"/>
      </w:pPr>
      <w:rPr>
        <w:rFonts w:hint="default"/>
      </w:rPr>
    </w:lvl>
  </w:abstractNum>
  <w:abstractNum w:abstractNumId="11">
    <w:nsid w:val="CBF8B59E"/>
    <w:multiLevelType w:val="multilevel"/>
    <w:tmpl w:val="CBF8B59E"/>
    <w:lvl w:ilvl="0" w:tentative="0">
      <w:start w:val="1"/>
      <w:numFmt w:val="decimal"/>
      <w:suff w:val="space"/>
      <w:lvlText w:val="（%1）"/>
      <w:lvlJc w:val="left"/>
      <w:pPr>
        <w:tabs>
          <w:tab w:val="left" w:pos="1740"/>
        </w:tabs>
        <w:ind w:left="0" w:firstLine="1134"/>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CF2EEF02"/>
    <w:multiLevelType w:val="singleLevel"/>
    <w:tmpl w:val="CF2EEF02"/>
    <w:lvl w:ilvl="0" w:tentative="0">
      <w:start w:val="1"/>
      <w:numFmt w:val="decimal"/>
      <w:suff w:val="nothing"/>
      <w:lvlText w:val="（%1）"/>
      <w:lvlJc w:val="left"/>
    </w:lvl>
  </w:abstractNum>
  <w:abstractNum w:abstractNumId="13">
    <w:nsid w:val="D60B56C3"/>
    <w:multiLevelType w:val="singleLevel"/>
    <w:tmpl w:val="D60B56C3"/>
    <w:lvl w:ilvl="0" w:tentative="0">
      <w:start w:val="1"/>
      <w:numFmt w:val="decimal"/>
      <w:lvlText w:val="(%1)"/>
      <w:lvlJc w:val="left"/>
      <w:pPr>
        <w:ind w:left="425" w:hanging="425"/>
      </w:pPr>
      <w:rPr>
        <w:rFonts w:hint="default" w:ascii="宋体" w:hAnsi="宋体" w:eastAsia="宋体" w:cs="宋体"/>
        <w:sz w:val="21"/>
        <w:szCs w:val="21"/>
      </w:rPr>
    </w:lvl>
  </w:abstractNum>
  <w:abstractNum w:abstractNumId="14">
    <w:nsid w:val="E368D979"/>
    <w:multiLevelType w:val="multilevel"/>
    <w:tmpl w:val="E368D979"/>
    <w:lvl w:ilvl="0" w:tentative="0">
      <w:start w:val="1"/>
      <w:numFmt w:val="decimal"/>
      <w:suff w:val="space"/>
      <w:lvlText w:val="（%1）"/>
      <w:lvlJc w:val="left"/>
      <w:pPr>
        <w:tabs>
          <w:tab w:val="left" w:pos="1740"/>
        </w:tabs>
        <w:ind w:left="0" w:firstLine="1134"/>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E4F3884D"/>
    <w:multiLevelType w:val="singleLevel"/>
    <w:tmpl w:val="E4F3884D"/>
    <w:lvl w:ilvl="0" w:tentative="0">
      <w:start w:val="1"/>
      <w:numFmt w:val="decimal"/>
      <w:lvlText w:val="(%1)"/>
      <w:lvlJc w:val="left"/>
      <w:pPr>
        <w:ind w:left="425" w:hanging="425"/>
      </w:pPr>
      <w:rPr>
        <w:rFonts w:hint="default"/>
      </w:rPr>
    </w:lvl>
  </w:abstractNum>
  <w:abstractNum w:abstractNumId="16">
    <w:nsid w:val="E5586B76"/>
    <w:multiLevelType w:val="singleLevel"/>
    <w:tmpl w:val="E5586B76"/>
    <w:lvl w:ilvl="0" w:tentative="0">
      <w:start w:val="1"/>
      <w:numFmt w:val="decimal"/>
      <w:lvlText w:val="(%1)"/>
      <w:lvlJc w:val="left"/>
      <w:pPr>
        <w:ind w:left="425" w:hanging="425"/>
      </w:pPr>
      <w:rPr>
        <w:rFonts w:hint="default"/>
      </w:rPr>
    </w:lvl>
  </w:abstractNum>
  <w:abstractNum w:abstractNumId="17">
    <w:nsid w:val="E591A1AA"/>
    <w:multiLevelType w:val="multilevel"/>
    <w:tmpl w:val="E591A1AA"/>
    <w:lvl w:ilvl="0" w:tentative="0">
      <w:start w:val="1"/>
      <w:numFmt w:val="decimal"/>
      <w:suff w:val="space"/>
      <w:lvlText w:val="（%1）"/>
      <w:lvlJc w:val="left"/>
      <w:pPr>
        <w:tabs>
          <w:tab w:val="left" w:pos="1740"/>
        </w:tabs>
        <w:ind w:left="0" w:firstLine="1134"/>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8">
    <w:nsid w:val="E8ABCAF0"/>
    <w:multiLevelType w:val="multilevel"/>
    <w:tmpl w:val="E8ABCAF0"/>
    <w:lvl w:ilvl="0" w:tentative="0">
      <w:start w:val="1"/>
      <w:numFmt w:val="decimal"/>
      <w:suff w:val="space"/>
      <w:lvlText w:val="（%1）"/>
      <w:lvlJc w:val="left"/>
      <w:pPr>
        <w:tabs>
          <w:tab w:val="left" w:pos="1740"/>
        </w:tabs>
        <w:ind w:left="0" w:firstLine="1134"/>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9">
    <w:nsid w:val="EBACFE7A"/>
    <w:multiLevelType w:val="singleLevel"/>
    <w:tmpl w:val="EBACFE7A"/>
    <w:lvl w:ilvl="0" w:tentative="0">
      <w:start w:val="1"/>
      <w:numFmt w:val="decimal"/>
      <w:lvlText w:val="(%1)"/>
      <w:lvlJc w:val="left"/>
      <w:pPr>
        <w:ind w:left="425" w:hanging="425"/>
      </w:pPr>
      <w:rPr>
        <w:rFonts w:hint="default"/>
      </w:rPr>
    </w:lvl>
  </w:abstractNum>
  <w:abstractNum w:abstractNumId="20">
    <w:nsid w:val="EE561F70"/>
    <w:multiLevelType w:val="singleLevel"/>
    <w:tmpl w:val="EE561F70"/>
    <w:lvl w:ilvl="0" w:tentative="0">
      <w:start w:val="1"/>
      <w:numFmt w:val="decimal"/>
      <w:lvlText w:val="(%1)"/>
      <w:lvlJc w:val="left"/>
      <w:pPr>
        <w:ind w:left="425" w:hanging="425"/>
      </w:pPr>
      <w:rPr>
        <w:rFonts w:hint="default"/>
      </w:rPr>
    </w:lvl>
  </w:abstractNum>
  <w:abstractNum w:abstractNumId="21">
    <w:nsid w:val="EE64CF41"/>
    <w:multiLevelType w:val="singleLevel"/>
    <w:tmpl w:val="EE64CF41"/>
    <w:lvl w:ilvl="0" w:tentative="0">
      <w:start w:val="1"/>
      <w:numFmt w:val="decimal"/>
      <w:lvlText w:val="%1."/>
      <w:lvlJc w:val="left"/>
      <w:pPr>
        <w:ind w:left="425" w:hanging="425"/>
      </w:pPr>
      <w:rPr>
        <w:rFonts w:hint="default"/>
      </w:rPr>
    </w:lvl>
  </w:abstractNum>
  <w:abstractNum w:abstractNumId="22">
    <w:nsid w:val="EFD1B958"/>
    <w:multiLevelType w:val="singleLevel"/>
    <w:tmpl w:val="EFD1B958"/>
    <w:lvl w:ilvl="0" w:tentative="0">
      <w:start w:val="1"/>
      <w:numFmt w:val="decimal"/>
      <w:lvlText w:val="(%1)"/>
      <w:lvlJc w:val="left"/>
      <w:pPr>
        <w:ind w:left="425" w:hanging="425"/>
      </w:pPr>
      <w:rPr>
        <w:rFonts w:hint="default"/>
      </w:rPr>
    </w:lvl>
  </w:abstractNum>
  <w:abstractNum w:abstractNumId="23">
    <w:nsid w:val="F027D70D"/>
    <w:multiLevelType w:val="singleLevel"/>
    <w:tmpl w:val="F027D70D"/>
    <w:lvl w:ilvl="0" w:tentative="0">
      <w:start w:val="1"/>
      <w:numFmt w:val="decimal"/>
      <w:lvlText w:val="%1."/>
      <w:lvlJc w:val="left"/>
      <w:pPr>
        <w:ind w:left="425" w:hanging="425"/>
      </w:pPr>
      <w:rPr>
        <w:rFonts w:hint="default"/>
      </w:rPr>
    </w:lvl>
  </w:abstractNum>
  <w:abstractNum w:abstractNumId="24">
    <w:nsid w:val="F2735DC4"/>
    <w:multiLevelType w:val="singleLevel"/>
    <w:tmpl w:val="F2735DC4"/>
    <w:lvl w:ilvl="0" w:tentative="0">
      <w:start w:val="1"/>
      <w:numFmt w:val="decimal"/>
      <w:lvlText w:val="(%1)"/>
      <w:lvlJc w:val="left"/>
      <w:pPr>
        <w:ind w:left="425" w:hanging="425"/>
      </w:pPr>
      <w:rPr>
        <w:rFonts w:hint="default"/>
      </w:rPr>
    </w:lvl>
  </w:abstractNum>
  <w:abstractNum w:abstractNumId="25">
    <w:nsid w:val="F36CEDB6"/>
    <w:multiLevelType w:val="singleLevel"/>
    <w:tmpl w:val="F36CEDB6"/>
    <w:lvl w:ilvl="0" w:tentative="0">
      <w:start w:val="1"/>
      <w:numFmt w:val="decimal"/>
      <w:lvlText w:val="(%1)"/>
      <w:lvlJc w:val="left"/>
      <w:pPr>
        <w:ind w:left="425" w:hanging="425"/>
      </w:pPr>
      <w:rPr>
        <w:rFonts w:hint="default"/>
      </w:rPr>
    </w:lvl>
  </w:abstractNum>
  <w:abstractNum w:abstractNumId="26">
    <w:nsid w:val="F47462EF"/>
    <w:multiLevelType w:val="singleLevel"/>
    <w:tmpl w:val="F47462EF"/>
    <w:lvl w:ilvl="0" w:tentative="0">
      <w:start w:val="1"/>
      <w:numFmt w:val="decimal"/>
      <w:lvlText w:val="(%1)"/>
      <w:lvlJc w:val="left"/>
      <w:pPr>
        <w:ind w:left="425" w:hanging="425"/>
      </w:pPr>
      <w:rPr>
        <w:rFonts w:hint="default"/>
      </w:rPr>
    </w:lvl>
  </w:abstractNum>
  <w:abstractNum w:abstractNumId="27">
    <w:nsid w:val="F6AFFDEF"/>
    <w:multiLevelType w:val="singleLevel"/>
    <w:tmpl w:val="F6AFFDEF"/>
    <w:lvl w:ilvl="0" w:tentative="0">
      <w:start w:val="1"/>
      <w:numFmt w:val="decimal"/>
      <w:lvlText w:val="(%1)"/>
      <w:lvlJc w:val="left"/>
      <w:pPr>
        <w:ind w:left="425" w:hanging="425"/>
      </w:pPr>
      <w:rPr>
        <w:rFonts w:hint="default"/>
      </w:rPr>
    </w:lvl>
  </w:abstractNum>
  <w:abstractNum w:abstractNumId="28">
    <w:nsid w:val="F923C320"/>
    <w:multiLevelType w:val="singleLevel"/>
    <w:tmpl w:val="F923C320"/>
    <w:lvl w:ilvl="0" w:tentative="0">
      <w:start w:val="1"/>
      <w:numFmt w:val="decimal"/>
      <w:lvlText w:val="(%1)"/>
      <w:lvlJc w:val="left"/>
      <w:pPr>
        <w:ind w:left="425" w:hanging="425"/>
      </w:pPr>
      <w:rPr>
        <w:rFonts w:hint="default"/>
      </w:rPr>
    </w:lvl>
  </w:abstractNum>
  <w:abstractNum w:abstractNumId="29">
    <w:nsid w:val="000026B2"/>
    <w:multiLevelType w:val="singleLevel"/>
    <w:tmpl w:val="000026B2"/>
    <w:lvl w:ilvl="0" w:tentative="0">
      <w:start w:val="1"/>
      <w:numFmt w:val="decimal"/>
      <w:lvlText w:val="(%1)"/>
      <w:lvlJc w:val="left"/>
      <w:pPr>
        <w:ind w:left="425" w:hanging="425"/>
      </w:pPr>
      <w:rPr>
        <w:rFonts w:hint="default"/>
      </w:rPr>
    </w:lvl>
  </w:abstractNum>
  <w:abstractNum w:abstractNumId="30">
    <w:nsid w:val="08883605"/>
    <w:multiLevelType w:val="multilevel"/>
    <w:tmpl w:val="08883605"/>
    <w:lvl w:ilvl="0" w:tentative="0">
      <w:start w:val="1"/>
      <w:numFmt w:val="decimal"/>
      <w:suff w:val="space"/>
      <w:lvlText w:val="（%1）"/>
      <w:lvlJc w:val="left"/>
      <w:pPr>
        <w:tabs>
          <w:tab w:val="left" w:pos="1740"/>
        </w:tabs>
        <w:ind w:left="0" w:firstLine="1134"/>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1">
    <w:nsid w:val="09F92361"/>
    <w:multiLevelType w:val="multilevel"/>
    <w:tmpl w:val="09F92361"/>
    <w:lvl w:ilvl="0" w:tentative="0">
      <w:start w:val="1"/>
      <w:numFmt w:val="decimal"/>
      <w:suff w:val="space"/>
      <w:lvlText w:val="（%1）"/>
      <w:lvlJc w:val="left"/>
      <w:pPr>
        <w:tabs>
          <w:tab w:val="left" w:pos="1740"/>
        </w:tabs>
        <w:ind w:left="0" w:firstLine="1134"/>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2">
    <w:nsid w:val="10482460"/>
    <w:multiLevelType w:val="singleLevel"/>
    <w:tmpl w:val="10482460"/>
    <w:lvl w:ilvl="0" w:tentative="0">
      <w:start w:val="1"/>
      <w:numFmt w:val="decimal"/>
      <w:lvlText w:val="(%1)"/>
      <w:lvlJc w:val="left"/>
      <w:pPr>
        <w:ind w:left="425" w:hanging="425"/>
      </w:pPr>
      <w:rPr>
        <w:rFonts w:hint="default"/>
      </w:rPr>
    </w:lvl>
  </w:abstractNum>
  <w:abstractNum w:abstractNumId="33">
    <w:nsid w:val="18CA14A7"/>
    <w:multiLevelType w:val="multilevel"/>
    <w:tmpl w:val="18CA14A7"/>
    <w:lvl w:ilvl="0" w:tentative="0">
      <w:start w:val="1"/>
      <w:numFmt w:val="decimal"/>
      <w:suff w:val="space"/>
      <w:lvlText w:val="（%1）"/>
      <w:lvlJc w:val="left"/>
      <w:pPr>
        <w:tabs>
          <w:tab w:val="left" w:pos="1740"/>
        </w:tabs>
        <w:ind w:left="0" w:firstLine="1134"/>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4">
    <w:nsid w:val="1AA3E278"/>
    <w:multiLevelType w:val="singleLevel"/>
    <w:tmpl w:val="1AA3E278"/>
    <w:lvl w:ilvl="0" w:tentative="0">
      <w:start w:val="1"/>
      <w:numFmt w:val="decimal"/>
      <w:lvlText w:val="(%1)"/>
      <w:lvlJc w:val="left"/>
      <w:pPr>
        <w:ind w:left="425" w:hanging="425"/>
      </w:pPr>
      <w:rPr>
        <w:rFonts w:hint="default"/>
      </w:rPr>
    </w:lvl>
  </w:abstractNum>
  <w:abstractNum w:abstractNumId="35">
    <w:nsid w:val="1ABE7610"/>
    <w:multiLevelType w:val="singleLevel"/>
    <w:tmpl w:val="1ABE7610"/>
    <w:lvl w:ilvl="0" w:tentative="0">
      <w:start w:val="1"/>
      <w:numFmt w:val="decimal"/>
      <w:lvlText w:val="(%1)"/>
      <w:lvlJc w:val="left"/>
      <w:pPr>
        <w:ind w:left="425" w:hanging="425"/>
      </w:pPr>
      <w:rPr>
        <w:rFonts w:hint="default"/>
      </w:rPr>
    </w:lvl>
  </w:abstractNum>
  <w:abstractNum w:abstractNumId="36">
    <w:nsid w:val="1ADF8D38"/>
    <w:multiLevelType w:val="multilevel"/>
    <w:tmpl w:val="1ADF8D38"/>
    <w:lvl w:ilvl="0" w:tentative="0">
      <w:start w:val="1"/>
      <w:numFmt w:val="decimal"/>
      <w:suff w:val="space"/>
      <w:lvlText w:val="（%1）"/>
      <w:lvlJc w:val="left"/>
      <w:pPr>
        <w:tabs>
          <w:tab w:val="left" w:pos="720"/>
        </w:tabs>
        <w:ind w:left="0" w:firstLine="0"/>
      </w:pPr>
      <w:rPr>
        <w:rFonts w:hint="default"/>
      </w:rPr>
    </w:lvl>
    <w:lvl w:ilvl="1" w:tentative="0">
      <w:start w:val="1"/>
      <w:numFmt w:val="lowerLetter"/>
      <w:lvlText w:val="%2)"/>
      <w:lvlJc w:val="left"/>
      <w:pPr>
        <w:tabs>
          <w:tab w:val="left" w:pos="-180"/>
        </w:tabs>
        <w:ind w:left="-180" w:hanging="420"/>
      </w:pPr>
    </w:lvl>
    <w:lvl w:ilvl="2" w:tentative="0">
      <w:start w:val="1"/>
      <w:numFmt w:val="lowerRoman"/>
      <w:lvlText w:val="%3."/>
      <w:lvlJc w:val="right"/>
      <w:pPr>
        <w:tabs>
          <w:tab w:val="left" w:pos="240"/>
        </w:tabs>
        <w:ind w:left="240" w:hanging="420"/>
      </w:pPr>
    </w:lvl>
    <w:lvl w:ilvl="3" w:tentative="0">
      <w:start w:val="1"/>
      <w:numFmt w:val="decimal"/>
      <w:lvlText w:val="%4."/>
      <w:lvlJc w:val="left"/>
      <w:pPr>
        <w:tabs>
          <w:tab w:val="left" w:pos="660"/>
        </w:tabs>
        <w:ind w:left="660" w:hanging="420"/>
      </w:pPr>
    </w:lvl>
    <w:lvl w:ilvl="4" w:tentative="0">
      <w:start w:val="1"/>
      <w:numFmt w:val="lowerLetter"/>
      <w:lvlText w:val="%5)"/>
      <w:lvlJc w:val="left"/>
      <w:pPr>
        <w:tabs>
          <w:tab w:val="left" w:pos="1080"/>
        </w:tabs>
        <w:ind w:left="1080" w:hanging="420"/>
      </w:pPr>
    </w:lvl>
    <w:lvl w:ilvl="5" w:tentative="0">
      <w:start w:val="1"/>
      <w:numFmt w:val="lowerRoman"/>
      <w:lvlText w:val="%6."/>
      <w:lvlJc w:val="right"/>
      <w:pPr>
        <w:tabs>
          <w:tab w:val="left" w:pos="1500"/>
        </w:tabs>
        <w:ind w:left="1500" w:hanging="420"/>
      </w:pPr>
    </w:lvl>
    <w:lvl w:ilvl="6" w:tentative="0">
      <w:start w:val="1"/>
      <w:numFmt w:val="decimal"/>
      <w:lvlText w:val="%7."/>
      <w:lvlJc w:val="left"/>
      <w:pPr>
        <w:tabs>
          <w:tab w:val="left" w:pos="1920"/>
        </w:tabs>
        <w:ind w:left="1920" w:hanging="420"/>
      </w:pPr>
    </w:lvl>
    <w:lvl w:ilvl="7" w:tentative="0">
      <w:start w:val="1"/>
      <w:numFmt w:val="lowerLetter"/>
      <w:lvlText w:val="%8)"/>
      <w:lvlJc w:val="left"/>
      <w:pPr>
        <w:tabs>
          <w:tab w:val="left" w:pos="2340"/>
        </w:tabs>
        <w:ind w:left="2340" w:hanging="420"/>
      </w:pPr>
    </w:lvl>
    <w:lvl w:ilvl="8" w:tentative="0">
      <w:start w:val="1"/>
      <w:numFmt w:val="lowerRoman"/>
      <w:lvlText w:val="%9."/>
      <w:lvlJc w:val="right"/>
      <w:pPr>
        <w:tabs>
          <w:tab w:val="left" w:pos="2760"/>
        </w:tabs>
        <w:ind w:left="2760" w:hanging="420"/>
      </w:pPr>
    </w:lvl>
  </w:abstractNum>
  <w:abstractNum w:abstractNumId="37">
    <w:nsid w:val="1BE74724"/>
    <w:multiLevelType w:val="singleLevel"/>
    <w:tmpl w:val="1BE74724"/>
    <w:lvl w:ilvl="0" w:tentative="0">
      <w:start w:val="1"/>
      <w:numFmt w:val="decimal"/>
      <w:lvlText w:val="(%1)"/>
      <w:lvlJc w:val="left"/>
      <w:pPr>
        <w:ind w:left="425" w:hanging="425"/>
      </w:pPr>
      <w:rPr>
        <w:rFonts w:hint="default"/>
      </w:rPr>
    </w:lvl>
  </w:abstractNum>
  <w:abstractNum w:abstractNumId="38">
    <w:nsid w:val="1F385B86"/>
    <w:multiLevelType w:val="singleLevel"/>
    <w:tmpl w:val="1F385B86"/>
    <w:lvl w:ilvl="0" w:tentative="0">
      <w:start w:val="1"/>
      <w:numFmt w:val="decimal"/>
      <w:lvlText w:val="(%1)"/>
      <w:lvlJc w:val="left"/>
      <w:pPr>
        <w:ind w:left="425" w:hanging="425"/>
      </w:pPr>
      <w:rPr>
        <w:rFonts w:hint="default"/>
      </w:rPr>
    </w:lvl>
  </w:abstractNum>
  <w:abstractNum w:abstractNumId="39">
    <w:nsid w:val="22338437"/>
    <w:multiLevelType w:val="singleLevel"/>
    <w:tmpl w:val="22338437"/>
    <w:lvl w:ilvl="0" w:tentative="0">
      <w:start w:val="1"/>
      <w:numFmt w:val="decimal"/>
      <w:lvlText w:val="(%1)"/>
      <w:lvlJc w:val="left"/>
      <w:pPr>
        <w:ind w:left="425" w:hanging="425"/>
      </w:pPr>
      <w:rPr>
        <w:rFonts w:hint="default"/>
      </w:rPr>
    </w:lvl>
  </w:abstractNum>
  <w:abstractNum w:abstractNumId="40">
    <w:nsid w:val="229734FF"/>
    <w:multiLevelType w:val="multilevel"/>
    <w:tmpl w:val="229734FF"/>
    <w:lvl w:ilvl="0" w:tentative="0">
      <w:start w:val="1"/>
      <w:numFmt w:val="decimal"/>
      <w:lvlText w:val="第%1条"/>
      <w:lvlJc w:val="left"/>
      <w:pPr>
        <w:ind w:left="0" w:firstLine="0"/>
      </w:pPr>
    </w:lvl>
    <w:lvl w:ilvl="1" w:tentative="0">
      <w:start w:val="1"/>
      <w:numFmt w:val="decimal"/>
      <w:lvlText w:val="%1.%2"/>
      <w:lvlJc w:val="left"/>
      <w:pPr>
        <w:ind w:left="0" w:firstLine="0"/>
      </w:pPr>
    </w:lvl>
    <w:lvl w:ilvl="2" w:tentative="0">
      <w:start w:val="1"/>
      <w:numFmt w:val="decimal"/>
      <w:lvlText w:val="%1.%2.%3"/>
      <w:lvlJc w:val="left"/>
      <w:pPr>
        <w:ind w:left="0" w:firstLine="0"/>
      </w:pPr>
    </w:lvl>
    <w:lvl w:ilvl="3" w:tentative="0">
      <w:start w:val="1"/>
      <w:numFmt w:val="decimal"/>
      <w:lvlText w:val="%1.%2.%3.%4"/>
      <w:lvlJc w:val="left"/>
      <w:pPr>
        <w:ind w:left="0" w:firstLine="0"/>
      </w:pPr>
    </w:lvl>
    <w:lvl w:ilvl="4" w:tentative="0">
      <w:start w:val="1"/>
      <w:numFmt w:val="decimal"/>
      <w:lvlText w:val="%1.%2.%3.%4.%5"/>
      <w:lvlJc w:val="left"/>
      <w:pPr>
        <w:ind w:left="0" w:firstLine="0"/>
      </w:pPr>
    </w:lvl>
    <w:lvl w:ilvl="5" w:tentative="0">
      <w:start w:val="1"/>
      <w:numFmt w:val="decimal"/>
      <w:lvlText w:val="%1.%2.%3.%4.%5.%6"/>
      <w:lvlJc w:val="left"/>
      <w:pPr>
        <w:ind w:left="0" w:firstLine="0"/>
      </w:pPr>
    </w:lvl>
    <w:lvl w:ilvl="6" w:tentative="0">
      <w:start w:val="1"/>
      <w:numFmt w:val="decimal"/>
      <w:lvlText w:val="%1.%2.%3.%4.%5.%6.%7"/>
      <w:lvlJc w:val="left"/>
      <w:pPr>
        <w:ind w:left="0" w:firstLine="0"/>
      </w:pPr>
    </w:lvl>
    <w:lvl w:ilvl="7" w:tentative="0">
      <w:start w:val="1"/>
      <w:numFmt w:val="decimal"/>
      <w:lvlText w:val="%1.%2.%3.%4.%5.%6.%7.%8"/>
      <w:lvlJc w:val="left"/>
      <w:pPr>
        <w:ind w:left="0" w:firstLine="0"/>
      </w:pPr>
    </w:lvl>
    <w:lvl w:ilvl="8" w:tentative="0">
      <w:start w:val="1"/>
      <w:numFmt w:val="decimal"/>
      <w:lvlText w:val="%1.%2.%3.%4.%5.%6.%7.%8.%9"/>
      <w:lvlJc w:val="left"/>
      <w:pPr>
        <w:ind w:left="0" w:firstLine="0"/>
      </w:pPr>
    </w:lvl>
  </w:abstractNum>
  <w:abstractNum w:abstractNumId="41">
    <w:nsid w:val="3267B260"/>
    <w:multiLevelType w:val="singleLevel"/>
    <w:tmpl w:val="3267B260"/>
    <w:lvl w:ilvl="0" w:tentative="0">
      <w:start w:val="1"/>
      <w:numFmt w:val="decimal"/>
      <w:lvlText w:val="(%1)"/>
      <w:lvlJc w:val="left"/>
      <w:pPr>
        <w:ind w:left="425" w:hanging="425"/>
      </w:pPr>
      <w:rPr>
        <w:rFonts w:hint="default"/>
      </w:rPr>
    </w:lvl>
  </w:abstractNum>
  <w:abstractNum w:abstractNumId="42">
    <w:nsid w:val="32D0763D"/>
    <w:multiLevelType w:val="singleLevel"/>
    <w:tmpl w:val="32D0763D"/>
    <w:lvl w:ilvl="0" w:tentative="0">
      <w:start w:val="1"/>
      <w:numFmt w:val="decimal"/>
      <w:lvlText w:val="%1."/>
      <w:lvlJc w:val="left"/>
      <w:pPr>
        <w:ind w:left="425" w:hanging="425"/>
      </w:pPr>
      <w:rPr>
        <w:rFonts w:hint="default"/>
      </w:rPr>
    </w:lvl>
  </w:abstractNum>
  <w:abstractNum w:abstractNumId="43">
    <w:nsid w:val="332FACE7"/>
    <w:multiLevelType w:val="singleLevel"/>
    <w:tmpl w:val="332FACE7"/>
    <w:lvl w:ilvl="0" w:tentative="0">
      <w:start w:val="1"/>
      <w:numFmt w:val="decimal"/>
      <w:lvlText w:val="(%1)"/>
      <w:lvlJc w:val="left"/>
      <w:pPr>
        <w:ind w:left="425" w:hanging="425"/>
      </w:pPr>
      <w:rPr>
        <w:rFonts w:hint="default"/>
      </w:rPr>
    </w:lvl>
  </w:abstractNum>
  <w:abstractNum w:abstractNumId="44">
    <w:nsid w:val="3597AAAD"/>
    <w:multiLevelType w:val="singleLevel"/>
    <w:tmpl w:val="3597AAAD"/>
    <w:lvl w:ilvl="0" w:tentative="0">
      <w:start w:val="1"/>
      <w:numFmt w:val="decimal"/>
      <w:lvlText w:val="(%1)"/>
      <w:lvlJc w:val="left"/>
      <w:pPr>
        <w:ind w:left="425" w:hanging="425"/>
      </w:pPr>
      <w:rPr>
        <w:rFonts w:hint="default"/>
      </w:rPr>
    </w:lvl>
  </w:abstractNum>
  <w:abstractNum w:abstractNumId="45">
    <w:nsid w:val="35AB9E57"/>
    <w:multiLevelType w:val="multilevel"/>
    <w:tmpl w:val="35AB9E57"/>
    <w:lvl w:ilvl="0" w:tentative="0">
      <w:start w:val="1"/>
      <w:numFmt w:val="decimal"/>
      <w:suff w:val="space"/>
      <w:lvlText w:val="（%1）"/>
      <w:lvlJc w:val="left"/>
      <w:pPr>
        <w:tabs>
          <w:tab w:val="left" w:pos="1740"/>
        </w:tabs>
        <w:ind w:left="0" w:firstLine="1134"/>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6">
    <w:nsid w:val="38CA4593"/>
    <w:multiLevelType w:val="multilevel"/>
    <w:tmpl w:val="38CA4593"/>
    <w:lvl w:ilvl="0" w:tentative="0">
      <w:start w:val="1"/>
      <w:numFmt w:val="decimal"/>
      <w:suff w:val="space"/>
      <w:lvlText w:val="（%1）"/>
      <w:lvlJc w:val="left"/>
      <w:pPr>
        <w:tabs>
          <w:tab w:val="left" w:pos="1740"/>
        </w:tabs>
        <w:ind w:left="0" w:firstLine="1134"/>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7">
    <w:nsid w:val="3F19CC97"/>
    <w:multiLevelType w:val="singleLevel"/>
    <w:tmpl w:val="3F19CC97"/>
    <w:lvl w:ilvl="0" w:tentative="0">
      <w:start w:val="1"/>
      <w:numFmt w:val="decimal"/>
      <w:lvlText w:val="(%1)"/>
      <w:lvlJc w:val="left"/>
      <w:pPr>
        <w:ind w:left="425" w:hanging="425"/>
      </w:pPr>
      <w:rPr>
        <w:rFonts w:hint="default"/>
      </w:rPr>
    </w:lvl>
  </w:abstractNum>
  <w:abstractNum w:abstractNumId="48">
    <w:nsid w:val="44B6A82E"/>
    <w:multiLevelType w:val="singleLevel"/>
    <w:tmpl w:val="44B6A82E"/>
    <w:lvl w:ilvl="0" w:tentative="0">
      <w:start w:val="1"/>
      <w:numFmt w:val="decimal"/>
      <w:lvlText w:val="%1."/>
      <w:lvlJc w:val="left"/>
      <w:pPr>
        <w:ind w:left="425" w:hanging="425"/>
      </w:pPr>
      <w:rPr>
        <w:rFonts w:hint="default"/>
      </w:rPr>
    </w:lvl>
  </w:abstractNum>
  <w:abstractNum w:abstractNumId="49">
    <w:nsid w:val="44FDF816"/>
    <w:multiLevelType w:val="singleLevel"/>
    <w:tmpl w:val="44FDF816"/>
    <w:lvl w:ilvl="0" w:tentative="0">
      <w:start w:val="1"/>
      <w:numFmt w:val="decimal"/>
      <w:lvlText w:val="(%1)"/>
      <w:lvlJc w:val="left"/>
      <w:pPr>
        <w:ind w:left="425" w:hanging="425"/>
      </w:pPr>
      <w:rPr>
        <w:rFonts w:hint="default"/>
      </w:rPr>
    </w:lvl>
  </w:abstractNum>
  <w:abstractNum w:abstractNumId="50">
    <w:nsid w:val="4B7EFC5D"/>
    <w:multiLevelType w:val="singleLevel"/>
    <w:tmpl w:val="4B7EFC5D"/>
    <w:lvl w:ilvl="0" w:tentative="0">
      <w:start w:val="1"/>
      <w:numFmt w:val="decimal"/>
      <w:lvlText w:val="(%1)"/>
      <w:lvlJc w:val="left"/>
      <w:pPr>
        <w:ind w:left="425" w:hanging="425"/>
      </w:pPr>
      <w:rPr>
        <w:rFonts w:hint="default"/>
      </w:rPr>
    </w:lvl>
  </w:abstractNum>
  <w:abstractNum w:abstractNumId="51">
    <w:nsid w:val="4D146E6C"/>
    <w:multiLevelType w:val="singleLevel"/>
    <w:tmpl w:val="4D146E6C"/>
    <w:lvl w:ilvl="0" w:tentative="0">
      <w:start w:val="1"/>
      <w:numFmt w:val="decimal"/>
      <w:lvlText w:val="(%1)"/>
      <w:lvlJc w:val="left"/>
      <w:pPr>
        <w:ind w:left="425" w:hanging="425"/>
      </w:pPr>
      <w:rPr>
        <w:rFonts w:hint="default"/>
      </w:rPr>
    </w:lvl>
  </w:abstractNum>
  <w:abstractNum w:abstractNumId="52">
    <w:nsid w:val="51C09092"/>
    <w:multiLevelType w:val="singleLevel"/>
    <w:tmpl w:val="51C09092"/>
    <w:lvl w:ilvl="0" w:tentative="0">
      <w:start w:val="1"/>
      <w:numFmt w:val="decimal"/>
      <w:lvlText w:val="(%1)"/>
      <w:lvlJc w:val="left"/>
      <w:pPr>
        <w:ind w:left="425" w:hanging="425"/>
      </w:pPr>
      <w:rPr>
        <w:rFonts w:hint="default"/>
      </w:rPr>
    </w:lvl>
  </w:abstractNum>
  <w:abstractNum w:abstractNumId="53">
    <w:nsid w:val="5A0F93F5"/>
    <w:multiLevelType w:val="multilevel"/>
    <w:tmpl w:val="5A0F93F5"/>
    <w:lvl w:ilvl="0" w:tentative="0">
      <w:start w:val="1"/>
      <w:numFmt w:val="decimal"/>
      <w:suff w:val="space"/>
      <w:lvlText w:val="第 %1 条"/>
      <w:lvlJc w:val="left"/>
      <w:pPr>
        <w:tabs>
          <w:tab w:val="left" w:pos="1134"/>
        </w:tabs>
        <w:ind w:left="1134" w:hanging="1134"/>
      </w:pPr>
      <w:rPr>
        <w:rFonts w:hint="default" w:ascii="宋体" w:hAnsi="Times New Roman" w:eastAsia="宋体"/>
        <w:b/>
        <w:bCs/>
        <w:i w:val="0"/>
        <w:sz w:val="21"/>
        <w:szCs w:val="21"/>
      </w:rPr>
    </w:lvl>
    <w:lvl w:ilvl="1" w:tentative="0">
      <w:start w:val="1"/>
      <w:numFmt w:val="decimal"/>
      <w:suff w:val="space"/>
      <w:lvlText w:val="%1.%2"/>
      <w:lvlJc w:val="left"/>
      <w:pPr>
        <w:tabs>
          <w:tab w:val="left" w:pos="1134"/>
        </w:tabs>
        <w:ind w:left="0" w:firstLine="170"/>
      </w:pPr>
      <w:rPr>
        <w:rFonts w:hint="default" w:ascii="宋体" w:hAnsi="宋体" w:eastAsia="宋体"/>
        <w:b w:val="0"/>
        <w:i w:val="0"/>
        <w:sz w:val="21"/>
        <w:szCs w:val="21"/>
      </w:rPr>
    </w:lvl>
    <w:lvl w:ilvl="2" w:tentative="0">
      <w:start w:val="1"/>
      <w:numFmt w:val="decimal"/>
      <w:suff w:val="space"/>
      <w:lvlText w:val="%1.%2.%3"/>
      <w:lvlJc w:val="left"/>
      <w:pPr>
        <w:tabs>
          <w:tab w:val="left" w:pos="0"/>
        </w:tabs>
        <w:ind w:left="0" w:firstLine="567"/>
      </w:pPr>
      <w:rPr>
        <w:rFonts w:hint="default" w:ascii="宋体" w:hAnsi="宋体" w:eastAsia="宋体"/>
        <w:b w:val="0"/>
        <w:i w:val="0"/>
        <w:sz w:val="21"/>
      </w:rPr>
    </w:lvl>
    <w:lvl w:ilvl="3" w:tentative="0">
      <w:start w:val="1"/>
      <w:numFmt w:val="decimal"/>
      <w:suff w:val="space"/>
      <w:lvlText w:val="%1.%2.%3.%4"/>
      <w:lvlJc w:val="left"/>
      <w:pPr>
        <w:tabs>
          <w:tab w:val="left" w:pos="1417"/>
        </w:tabs>
        <w:ind w:left="0" w:firstLine="510"/>
      </w:pPr>
      <w:rPr>
        <w:rFonts w:hint="default" w:ascii="宋体" w:hAnsi="Times New Roman" w:eastAsia="宋体"/>
        <w:b w:val="0"/>
        <w:i w:val="0"/>
        <w:sz w:val="21"/>
        <w:szCs w:val="21"/>
      </w:rPr>
    </w:lvl>
    <w:lvl w:ilvl="4" w:tentative="0">
      <w:start w:val="1"/>
      <w:numFmt w:val="decimal"/>
      <w:lvlText w:val="%1.%2.%3.%4.%5"/>
      <w:lvlJc w:val="left"/>
      <w:pPr>
        <w:tabs>
          <w:tab w:val="left" w:pos="3141"/>
        </w:tabs>
        <w:ind w:left="2551" w:hanging="850"/>
      </w:pPr>
      <w:rPr>
        <w:rFonts w:hint="eastAsia"/>
      </w:rPr>
    </w:lvl>
    <w:lvl w:ilvl="5" w:tentative="0">
      <w:start w:val="1"/>
      <w:numFmt w:val="decimal"/>
      <w:lvlText w:val="%1.%2.%3.%4.%5.%6"/>
      <w:lvlJc w:val="left"/>
      <w:pPr>
        <w:tabs>
          <w:tab w:val="left" w:pos="3926"/>
        </w:tabs>
        <w:ind w:left="3260" w:hanging="1134"/>
      </w:pPr>
      <w:rPr>
        <w:rFonts w:hint="eastAsia"/>
      </w:rPr>
    </w:lvl>
    <w:lvl w:ilvl="6" w:tentative="0">
      <w:start w:val="1"/>
      <w:numFmt w:val="decimal"/>
      <w:lvlText w:val="%1.%2.%3.%4.%5.%6.%7"/>
      <w:lvlJc w:val="left"/>
      <w:pPr>
        <w:tabs>
          <w:tab w:val="left" w:pos="4711"/>
        </w:tabs>
        <w:ind w:left="3827" w:hanging="1276"/>
      </w:pPr>
      <w:rPr>
        <w:rFonts w:hint="eastAsia"/>
      </w:rPr>
    </w:lvl>
    <w:lvl w:ilvl="7" w:tentative="0">
      <w:start w:val="1"/>
      <w:numFmt w:val="decimal"/>
      <w:lvlText w:val="%1.%2.%3.%4.%5.%6.%7.%8"/>
      <w:lvlJc w:val="left"/>
      <w:pPr>
        <w:tabs>
          <w:tab w:val="left" w:pos="5496"/>
        </w:tabs>
        <w:ind w:left="4394" w:hanging="1418"/>
      </w:pPr>
      <w:rPr>
        <w:rFonts w:hint="eastAsia"/>
      </w:rPr>
    </w:lvl>
    <w:lvl w:ilvl="8" w:tentative="0">
      <w:start w:val="1"/>
      <w:numFmt w:val="decimal"/>
      <w:lvlText w:val="%1.%2.%3.%4.%5.%6.%7.%8.%9"/>
      <w:lvlJc w:val="left"/>
      <w:pPr>
        <w:tabs>
          <w:tab w:val="left" w:pos="6282"/>
        </w:tabs>
        <w:ind w:left="5102" w:hanging="1700"/>
      </w:pPr>
      <w:rPr>
        <w:rFonts w:hint="eastAsia"/>
      </w:rPr>
    </w:lvl>
  </w:abstractNum>
  <w:abstractNum w:abstractNumId="54">
    <w:nsid w:val="5C3EBEAC"/>
    <w:multiLevelType w:val="singleLevel"/>
    <w:tmpl w:val="5C3EBEAC"/>
    <w:lvl w:ilvl="0" w:tentative="0">
      <w:start w:val="1"/>
      <w:numFmt w:val="decimal"/>
      <w:lvlText w:val="(%1)"/>
      <w:lvlJc w:val="left"/>
      <w:pPr>
        <w:ind w:left="425" w:hanging="425"/>
      </w:pPr>
      <w:rPr>
        <w:rFonts w:hint="default"/>
      </w:rPr>
    </w:lvl>
  </w:abstractNum>
  <w:abstractNum w:abstractNumId="55">
    <w:nsid w:val="5D10E36F"/>
    <w:multiLevelType w:val="singleLevel"/>
    <w:tmpl w:val="5D10E36F"/>
    <w:lvl w:ilvl="0" w:tentative="0">
      <w:start w:val="1"/>
      <w:numFmt w:val="decimal"/>
      <w:suff w:val="space"/>
      <w:lvlText w:val="(%1)"/>
      <w:lvlJc w:val="left"/>
      <w:pPr>
        <w:tabs>
          <w:tab w:val="left" w:pos="0"/>
        </w:tabs>
        <w:ind w:left="0" w:firstLine="0"/>
      </w:pPr>
      <w:rPr>
        <w:rFonts w:hint="default"/>
      </w:rPr>
    </w:lvl>
  </w:abstractNum>
  <w:abstractNum w:abstractNumId="56">
    <w:nsid w:val="62687BB6"/>
    <w:multiLevelType w:val="multilevel"/>
    <w:tmpl w:val="62687BB6"/>
    <w:lvl w:ilvl="0" w:tentative="0">
      <w:start w:val="1"/>
      <w:numFmt w:val="decimal"/>
      <w:pStyle w:val="481"/>
      <w:lvlText w:val="附件%1"/>
      <w:lvlJc w:val="left"/>
      <w:pPr>
        <w:ind w:left="3681" w:hanging="420"/>
      </w:pPr>
      <w:rPr>
        <w:sz w:val="30"/>
        <w:szCs w:val="30"/>
      </w:rPr>
    </w:lvl>
    <w:lvl w:ilvl="1" w:tentative="0">
      <w:start w:val="1"/>
      <w:numFmt w:val="lowerLetter"/>
      <w:lvlText w:val="%2)"/>
      <w:lvlJc w:val="left"/>
      <w:pPr>
        <w:ind w:left="983" w:hanging="420"/>
      </w:pPr>
    </w:lvl>
    <w:lvl w:ilvl="2" w:tentative="0">
      <w:start w:val="1"/>
      <w:numFmt w:val="lowerRoman"/>
      <w:lvlText w:val="%3."/>
      <w:lvlJc w:val="right"/>
      <w:pPr>
        <w:ind w:left="1403" w:hanging="420"/>
      </w:pPr>
    </w:lvl>
    <w:lvl w:ilvl="3" w:tentative="0">
      <w:start w:val="1"/>
      <w:numFmt w:val="decimal"/>
      <w:lvlText w:val="%4."/>
      <w:lvlJc w:val="left"/>
      <w:pPr>
        <w:ind w:left="1823" w:hanging="420"/>
      </w:pPr>
    </w:lvl>
    <w:lvl w:ilvl="4" w:tentative="0">
      <w:start w:val="1"/>
      <w:numFmt w:val="lowerLetter"/>
      <w:lvlText w:val="%5)"/>
      <w:lvlJc w:val="left"/>
      <w:pPr>
        <w:ind w:left="2243" w:hanging="420"/>
      </w:pPr>
    </w:lvl>
    <w:lvl w:ilvl="5" w:tentative="0">
      <w:start w:val="1"/>
      <w:numFmt w:val="lowerRoman"/>
      <w:lvlText w:val="%6."/>
      <w:lvlJc w:val="right"/>
      <w:pPr>
        <w:ind w:left="2663" w:hanging="420"/>
      </w:pPr>
    </w:lvl>
    <w:lvl w:ilvl="6" w:tentative="0">
      <w:start w:val="1"/>
      <w:numFmt w:val="decimal"/>
      <w:lvlText w:val="%7."/>
      <w:lvlJc w:val="left"/>
      <w:pPr>
        <w:ind w:left="3083" w:hanging="420"/>
      </w:pPr>
    </w:lvl>
    <w:lvl w:ilvl="7" w:tentative="0">
      <w:start w:val="1"/>
      <w:numFmt w:val="lowerLetter"/>
      <w:lvlText w:val="%8)"/>
      <w:lvlJc w:val="left"/>
      <w:pPr>
        <w:ind w:left="3503" w:hanging="420"/>
      </w:pPr>
    </w:lvl>
    <w:lvl w:ilvl="8" w:tentative="0">
      <w:start w:val="1"/>
      <w:numFmt w:val="lowerRoman"/>
      <w:lvlText w:val="%9."/>
      <w:lvlJc w:val="right"/>
      <w:pPr>
        <w:ind w:left="3923" w:hanging="420"/>
      </w:pPr>
    </w:lvl>
  </w:abstractNum>
  <w:abstractNum w:abstractNumId="57">
    <w:nsid w:val="645DDA70"/>
    <w:multiLevelType w:val="singleLevel"/>
    <w:tmpl w:val="645DDA70"/>
    <w:lvl w:ilvl="0" w:tentative="0">
      <w:start w:val="1"/>
      <w:numFmt w:val="decimal"/>
      <w:lvlText w:val="(%1)"/>
      <w:lvlJc w:val="left"/>
      <w:pPr>
        <w:ind w:left="425" w:hanging="425"/>
      </w:pPr>
      <w:rPr>
        <w:rFonts w:hint="default"/>
      </w:rPr>
    </w:lvl>
  </w:abstractNum>
  <w:abstractNum w:abstractNumId="58">
    <w:nsid w:val="6AC771FF"/>
    <w:multiLevelType w:val="singleLevel"/>
    <w:tmpl w:val="6AC771FF"/>
    <w:lvl w:ilvl="0" w:tentative="0">
      <w:start w:val="1"/>
      <w:numFmt w:val="decimal"/>
      <w:lvlText w:val="(%1)"/>
      <w:lvlJc w:val="left"/>
      <w:pPr>
        <w:ind w:left="425" w:hanging="425"/>
      </w:pPr>
      <w:rPr>
        <w:rFonts w:hint="default"/>
      </w:rPr>
    </w:lvl>
  </w:abstractNum>
  <w:abstractNum w:abstractNumId="59">
    <w:nsid w:val="6E87019F"/>
    <w:multiLevelType w:val="multilevel"/>
    <w:tmpl w:val="6E87019F"/>
    <w:lvl w:ilvl="0" w:tentative="0">
      <w:start w:val="1"/>
      <w:numFmt w:val="chineseCountingThousand"/>
      <w:pStyle w:val="474"/>
      <w:lvlText w:val="%1、"/>
      <w:lvlJc w:val="left"/>
      <w:pPr>
        <w:ind w:left="425" w:hanging="425"/>
      </w:p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60">
    <w:nsid w:val="74046AD6"/>
    <w:multiLevelType w:val="singleLevel"/>
    <w:tmpl w:val="74046AD6"/>
    <w:lvl w:ilvl="0" w:tentative="0">
      <w:start w:val="2"/>
      <w:numFmt w:val="chineseCounting"/>
      <w:suff w:val="nothing"/>
      <w:lvlText w:val="%1、"/>
      <w:lvlJc w:val="left"/>
      <w:rPr>
        <w:rFonts w:hint="eastAsia"/>
      </w:rPr>
    </w:lvl>
  </w:abstractNum>
  <w:abstractNum w:abstractNumId="61">
    <w:nsid w:val="79F999D5"/>
    <w:multiLevelType w:val="singleLevel"/>
    <w:tmpl w:val="79F999D5"/>
    <w:lvl w:ilvl="0" w:tentative="0">
      <w:start w:val="1"/>
      <w:numFmt w:val="decimal"/>
      <w:lvlText w:val="(%1)"/>
      <w:lvlJc w:val="left"/>
      <w:pPr>
        <w:ind w:left="425" w:hanging="425"/>
      </w:pPr>
      <w:rPr>
        <w:rFonts w:hint="default"/>
      </w:rPr>
    </w:lvl>
  </w:abstractNum>
  <w:abstractNum w:abstractNumId="62">
    <w:nsid w:val="7C30D3BC"/>
    <w:multiLevelType w:val="multilevel"/>
    <w:tmpl w:val="7C30D3BC"/>
    <w:lvl w:ilvl="0" w:tentative="0">
      <w:start w:val="1"/>
      <w:numFmt w:val="decimal"/>
      <w:suff w:val="space"/>
      <w:lvlText w:val="（%1）"/>
      <w:lvlJc w:val="left"/>
      <w:pPr>
        <w:tabs>
          <w:tab w:val="left" w:pos="1740"/>
        </w:tabs>
        <w:ind w:left="0" w:firstLine="1134"/>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3">
    <w:nsid w:val="7D3A6676"/>
    <w:multiLevelType w:val="multilevel"/>
    <w:tmpl w:val="7D3A6676"/>
    <w:lvl w:ilvl="0" w:tentative="0">
      <w:start w:val="1"/>
      <w:numFmt w:val="japaneseCounting"/>
      <w:lvlText w:val="%1、"/>
      <w:lvlJc w:val="left"/>
      <w:pPr>
        <w:tabs>
          <w:tab w:val="left" w:pos="1440"/>
        </w:tabs>
        <w:ind w:left="1440" w:hanging="720"/>
      </w:pPr>
      <w:rPr>
        <w:rFonts w:hint="default"/>
      </w:rPr>
    </w:lvl>
    <w:lvl w:ilvl="1" w:tentative="0">
      <w:start w:val="1"/>
      <w:numFmt w:val="decimal"/>
      <w:lvlText w:val="（%2）"/>
      <w:lvlJc w:val="left"/>
      <w:pPr>
        <w:tabs>
          <w:tab w:val="left" w:pos="1860"/>
        </w:tabs>
        <w:ind w:left="1860" w:hanging="720"/>
      </w:pPr>
      <w:rPr>
        <w:rFonts w:hint="default"/>
      </w:rPr>
    </w:lvl>
    <w:lvl w:ilvl="2" w:tentative="0">
      <w:start w:val="1"/>
      <w:numFmt w:val="lowerRoman"/>
      <w:lvlText w:val="%3."/>
      <w:lvlJc w:val="right"/>
      <w:pPr>
        <w:tabs>
          <w:tab w:val="left" w:pos="1980"/>
        </w:tabs>
        <w:ind w:left="1980" w:hanging="420"/>
      </w:pPr>
    </w:lvl>
    <w:lvl w:ilvl="3" w:tentative="0">
      <w:start w:val="1"/>
      <w:numFmt w:val="decimal"/>
      <w:lvlText w:val="%4."/>
      <w:lvlJc w:val="left"/>
      <w:pPr>
        <w:tabs>
          <w:tab w:val="left" w:pos="2400"/>
        </w:tabs>
        <w:ind w:left="2400" w:hanging="420"/>
      </w:pPr>
    </w:lvl>
    <w:lvl w:ilvl="4" w:tentative="0">
      <w:start w:val="1"/>
      <w:numFmt w:val="lowerLetter"/>
      <w:lvlText w:val="%5)"/>
      <w:lvlJc w:val="left"/>
      <w:pPr>
        <w:tabs>
          <w:tab w:val="left" w:pos="2820"/>
        </w:tabs>
        <w:ind w:left="2820" w:hanging="420"/>
      </w:pPr>
    </w:lvl>
    <w:lvl w:ilvl="5" w:tentative="0">
      <w:start w:val="1"/>
      <w:numFmt w:val="lowerRoman"/>
      <w:lvlText w:val="%6."/>
      <w:lvlJc w:val="right"/>
      <w:pPr>
        <w:tabs>
          <w:tab w:val="left" w:pos="3240"/>
        </w:tabs>
        <w:ind w:left="3240" w:hanging="420"/>
      </w:pPr>
    </w:lvl>
    <w:lvl w:ilvl="6" w:tentative="0">
      <w:start w:val="1"/>
      <w:numFmt w:val="decimal"/>
      <w:lvlText w:val="%7."/>
      <w:lvlJc w:val="left"/>
      <w:pPr>
        <w:tabs>
          <w:tab w:val="left" w:pos="3660"/>
        </w:tabs>
        <w:ind w:left="3660" w:hanging="420"/>
      </w:pPr>
    </w:lvl>
    <w:lvl w:ilvl="7" w:tentative="0">
      <w:start w:val="1"/>
      <w:numFmt w:val="lowerLetter"/>
      <w:lvlText w:val="%8)"/>
      <w:lvlJc w:val="left"/>
      <w:pPr>
        <w:tabs>
          <w:tab w:val="left" w:pos="4080"/>
        </w:tabs>
        <w:ind w:left="4080" w:hanging="420"/>
      </w:pPr>
    </w:lvl>
    <w:lvl w:ilvl="8" w:tentative="0">
      <w:start w:val="1"/>
      <w:numFmt w:val="lowerRoman"/>
      <w:lvlText w:val="%9."/>
      <w:lvlJc w:val="right"/>
      <w:pPr>
        <w:tabs>
          <w:tab w:val="left" w:pos="4500"/>
        </w:tabs>
        <w:ind w:left="4500" w:hanging="420"/>
      </w:pPr>
    </w:lvl>
  </w:abstractNum>
  <w:num w:numId="1">
    <w:abstractNumId w:val="59"/>
  </w:num>
  <w:num w:numId="2">
    <w:abstractNumId w:val="40"/>
    <w:lvlOverride w:ilvl="0">
      <w:lvl w:ilvl="0" w:tentative="1">
        <w:start w:val="1"/>
        <w:numFmt w:val="decimal"/>
        <w:lvlText w:val="第%1条"/>
        <w:lvlJc w:val="left"/>
        <w:pPr>
          <w:ind w:left="0" w:firstLine="0"/>
        </w:pPr>
      </w:lvl>
    </w:lvlOverride>
    <w:lvlOverride w:ilvl="1">
      <w:lvl w:ilvl="1" w:tentative="1">
        <w:start w:val="1"/>
        <w:numFmt w:val="decimal"/>
        <w:lvlText w:val="%1.%2"/>
        <w:lvlJc w:val="left"/>
        <w:pPr>
          <w:ind w:left="1843" w:firstLine="0"/>
        </w:pPr>
      </w:lvl>
    </w:lvlOverride>
    <w:lvlOverride w:ilvl="2">
      <w:lvl w:ilvl="2" w:tentative="1">
        <w:start w:val="1"/>
        <w:numFmt w:val="decimal"/>
        <w:pStyle w:val="479"/>
        <w:lvlText w:val="%1.%2.%3"/>
        <w:lvlJc w:val="left"/>
        <w:pPr>
          <w:ind w:left="2126" w:firstLine="0"/>
        </w:pPr>
      </w:lvl>
    </w:lvlOverride>
    <w:lvlOverride w:ilvl="3">
      <w:lvl w:ilvl="3" w:tentative="1">
        <w:start w:val="1"/>
        <w:numFmt w:val="decimal"/>
        <w:lvlText w:val="%1.%2.%3.%4"/>
        <w:lvlJc w:val="left"/>
        <w:pPr>
          <w:ind w:left="710" w:firstLine="0"/>
        </w:pPr>
      </w:lvl>
    </w:lvlOverride>
    <w:lvlOverride w:ilvl="4">
      <w:lvl w:ilvl="4" w:tentative="1">
        <w:start w:val="1"/>
        <w:numFmt w:val="decimal"/>
        <w:lvlText w:val="%1.%2.%3.%4.%5"/>
        <w:lvlJc w:val="left"/>
        <w:pPr>
          <w:ind w:left="0" w:firstLine="0"/>
        </w:pPr>
      </w:lvl>
    </w:lvlOverride>
    <w:lvlOverride w:ilvl="5">
      <w:lvl w:ilvl="5" w:tentative="1">
        <w:start w:val="1"/>
        <w:numFmt w:val="decimal"/>
        <w:lvlText w:val="%1.%2.%3.%4.%5.%6"/>
        <w:lvlJc w:val="left"/>
        <w:pPr>
          <w:ind w:left="0" w:firstLine="0"/>
        </w:pPr>
      </w:lvl>
    </w:lvlOverride>
    <w:lvlOverride w:ilvl="6">
      <w:lvl w:ilvl="6" w:tentative="1">
        <w:start w:val="1"/>
        <w:numFmt w:val="decimal"/>
        <w:lvlText w:val="%1.%2.%3.%4.%5.%6.%7"/>
        <w:lvlJc w:val="left"/>
        <w:pPr>
          <w:ind w:left="0" w:firstLine="0"/>
        </w:pPr>
      </w:lvl>
    </w:lvlOverride>
    <w:lvlOverride w:ilvl="7">
      <w:lvl w:ilvl="7" w:tentative="1">
        <w:start w:val="1"/>
        <w:numFmt w:val="decimal"/>
        <w:lvlText w:val="%1.%2.%3.%4.%5.%6.%7.%8"/>
        <w:lvlJc w:val="left"/>
        <w:pPr>
          <w:ind w:left="0" w:firstLine="0"/>
        </w:pPr>
      </w:lvl>
    </w:lvlOverride>
    <w:lvlOverride w:ilvl="8">
      <w:lvl w:ilvl="8" w:tentative="1">
        <w:start w:val="1"/>
        <w:numFmt w:val="decimal"/>
        <w:lvlText w:val="%1.%2.%3.%4.%5.%6.%7.%8.%9"/>
        <w:lvlJc w:val="left"/>
        <w:pPr>
          <w:ind w:left="0" w:firstLine="0"/>
        </w:pPr>
      </w:lvl>
    </w:lvlOverride>
  </w:num>
  <w:num w:numId="3">
    <w:abstractNumId w:val="56"/>
  </w:num>
  <w:num w:numId="4">
    <w:abstractNumId w:val="23"/>
  </w:num>
  <w:num w:numId="5">
    <w:abstractNumId w:val="1"/>
  </w:num>
  <w:num w:numId="6">
    <w:abstractNumId w:val="60"/>
  </w:num>
  <w:num w:numId="7">
    <w:abstractNumId w:val="42"/>
  </w:num>
  <w:num w:numId="8">
    <w:abstractNumId w:val="21"/>
  </w:num>
  <w:num w:numId="9">
    <w:abstractNumId w:val="48"/>
  </w:num>
  <w:num w:numId="10">
    <w:abstractNumId w:val="9"/>
  </w:num>
  <w:num w:numId="11">
    <w:abstractNumId w:val="53"/>
  </w:num>
  <w:num w:numId="12">
    <w:abstractNumId w:val="36"/>
  </w:num>
  <w:num w:numId="13">
    <w:abstractNumId w:val="33"/>
  </w:num>
  <w:num w:numId="14">
    <w:abstractNumId w:val="7"/>
  </w:num>
  <w:num w:numId="15">
    <w:abstractNumId w:val="5"/>
  </w:num>
  <w:num w:numId="16">
    <w:abstractNumId w:val="17"/>
  </w:num>
  <w:num w:numId="17">
    <w:abstractNumId w:val="31"/>
  </w:num>
  <w:num w:numId="18">
    <w:abstractNumId w:val="45"/>
  </w:num>
  <w:num w:numId="19">
    <w:abstractNumId w:val="11"/>
  </w:num>
  <w:num w:numId="20">
    <w:abstractNumId w:val="14"/>
  </w:num>
  <w:num w:numId="21">
    <w:abstractNumId w:val="30"/>
  </w:num>
  <w:num w:numId="22">
    <w:abstractNumId w:val="46"/>
  </w:num>
  <w:num w:numId="23">
    <w:abstractNumId w:val="62"/>
  </w:num>
  <w:num w:numId="24">
    <w:abstractNumId w:val="18"/>
  </w:num>
  <w:num w:numId="25">
    <w:abstractNumId w:val="24"/>
  </w:num>
  <w:num w:numId="26">
    <w:abstractNumId w:val="22"/>
  </w:num>
  <w:num w:numId="27">
    <w:abstractNumId w:val="51"/>
  </w:num>
  <w:num w:numId="28">
    <w:abstractNumId w:val="0"/>
  </w:num>
  <w:num w:numId="29">
    <w:abstractNumId w:val="26"/>
  </w:num>
  <w:num w:numId="30">
    <w:abstractNumId w:val="49"/>
  </w:num>
  <w:num w:numId="31">
    <w:abstractNumId w:val="8"/>
  </w:num>
  <w:num w:numId="32">
    <w:abstractNumId w:val="27"/>
  </w:num>
  <w:num w:numId="33">
    <w:abstractNumId w:val="4"/>
  </w:num>
  <w:num w:numId="34">
    <w:abstractNumId w:val="35"/>
  </w:num>
  <w:num w:numId="35">
    <w:abstractNumId w:val="38"/>
  </w:num>
  <w:num w:numId="36">
    <w:abstractNumId w:val="2"/>
  </w:num>
  <w:num w:numId="37">
    <w:abstractNumId w:val="41"/>
  </w:num>
  <w:num w:numId="38">
    <w:abstractNumId w:val="19"/>
  </w:num>
  <w:num w:numId="39">
    <w:abstractNumId w:val="13"/>
  </w:num>
  <w:num w:numId="40">
    <w:abstractNumId w:val="55"/>
  </w:num>
  <w:num w:numId="41">
    <w:abstractNumId w:val="25"/>
  </w:num>
  <w:num w:numId="42">
    <w:abstractNumId w:val="57"/>
  </w:num>
  <w:num w:numId="43">
    <w:abstractNumId w:val="10"/>
  </w:num>
  <w:num w:numId="44">
    <w:abstractNumId w:val="58"/>
  </w:num>
  <w:num w:numId="45">
    <w:abstractNumId w:val="6"/>
  </w:num>
  <w:num w:numId="46">
    <w:abstractNumId w:val="50"/>
  </w:num>
  <w:num w:numId="47">
    <w:abstractNumId w:val="15"/>
  </w:num>
  <w:num w:numId="48">
    <w:abstractNumId w:val="32"/>
  </w:num>
  <w:num w:numId="49">
    <w:abstractNumId w:val="61"/>
  </w:num>
  <w:num w:numId="50">
    <w:abstractNumId w:val="20"/>
  </w:num>
  <w:num w:numId="51">
    <w:abstractNumId w:val="16"/>
  </w:num>
  <w:num w:numId="52">
    <w:abstractNumId w:val="28"/>
  </w:num>
  <w:num w:numId="53">
    <w:abstractNumId w:val="44"/>
  </w:num>
  <w:num w:numId="54">
    <w:abstractNumId w:val="43"/>
  </w:num>
  <w:num w:numId="55">
    <w:abstractNumId w:val="47"/>
  </w:num>
  <w:num w:numId="56">
    <w:abstractNumId w:val="52"/>
  </w:num>
  <w:num w:numId="57">
    <w:abstractNumId w:val="39"/>
  </w:num>
  <w:num w:numId="58">
    <w:abstractNumId w:val="34"/>
  </w:num>
  <w:num w:numId="59">
    <w:abstractNumId w:val="54"/>
  </w:num>
  <w:num w:numId="60">
    <w:abstractNumId w:val="29"/>
  </w:num>
  <w:num w:numId="61">
    <w:abstractNumId w:val="3"/>
  </w:num>
  <w:num w:numId="62">
    <w:abstractNumId w:val="37"/>
  </w:num>
  <w:num w:numId="63">
    <w:abstractNumId w:val="12"/>
  </w:num>
  <w:num w:numId="64">
    <w:abstractNumId w:val="6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yZDMxNWRkYmY5MjE3NjUxYTk3ZDA1NDUyNmVkYWEifQ=="/>
    <w:docVar w:name="KSO_WPS_MARK_KEY" w:val="6b079250-a014-446e-9b30-e3ecaab18e1c"/>
  </w:docVars>
  <w:rsids>
    <w:rsidRoot w:val="6F357034"/>
    <w:rsid w:val="0147495D"/>
    <w:rsid w:val="026214C8"/>
    <w:rsid w:val="066A5381"/>
    <w:rsid w:val="08CB4E3C"/>
    <w:rsid w:val="09B354DF"/>
    <w:rsid w:val="0A35463C"/>
    <w:rsid w:val="0A850E88"/>
    <w:rsid w:val="0BEF4CA9"/>
    <w:rsid w:val="13775BF0"/>
    <w:rsid w:val="16481B85"/>
    <w:rsid w:val="183429E4"/>
    <w:rsid w:val="1D3C1D18"/>
    <w:rsid w:val="23264FFC"/>
    <w:rsid w:val="24594056"/>
    <w:rsid w:val="280D678A"/>
    <w:rsid w:val="2A1A600B"/>
    <w:rsid w:val="2A875616"/>
    <w:rsid w:val="2B8B6EA0"/>
    <w:rsid w:val="2D253398"/>
    <w:rsid w:val="351948D8"/>
    <w:rsid w:val="36762766"/>
    <w:rsid w:val="3B3A1F66"/>
    <w:rsid w:val="3FA21D34"/>
    <w:rsid w:val="43AC565A"/>
    <w:rsid w:val="46877B5C"/>
    <w:rsid w:val="4ABE5986"/>
    <w:rsid w:val="4BC70D52"/>
    <w:rsid w:val="54D1276A"/>
    <w:rsid w:val="55A66197"/>
    <w:rsid w:val="58AC1219"/>
    <w:rsid w:val="591D307C"/>
    <w:rsid w:val="5B5A15A7"/>
    <w:rsid w:val="5BFA718B"/>
    <w:rsid w:val="5CD610AC"/>
    <w:rsid w:val="5D5800B9"/>
    <w:rsid w:val="5DDA4310"/>
    <w:rsid w:val="63691DC0"/>
    <w:rsid w:val="64711BB5"/>
    <w:rsid w:val="69182864"/>
    <w:rsid w:val="6A1938B4"/>
    <w:rsid w:val="6C010820"/>
    <w:rsid w:val="6C0C119D"/>
    <w:rsid w:val="6E8A6CA4"/>
    <w:rsid w:val="6F357034"/>
    <w:rsid w:val="6FC726C9"/>
    <w:rsid w:val="794D6E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line="578" w:lineRule="auto"/>
      <w:jc w:val="center"/>
      <w:outlineLvl w:val="0"/>
    </w:pPr>
    <w:rPr>
      <w:rFonts w:eastAsia="黑体"/>
      <w:b/>
      <w:bCs/>
      <w:kern w:val="32"/>
      <w:sz w:val="32"/>
      <w:szCs w:val="44"/>
    </w:rPr>
  </w:style>
  <w:style w:type="paragraph" w:styleId="4">
    <w:name w:val="heading 2"/>
    <w:basedOn w:val="1"/>
    <w:next w:val="1"/>
    <w:qFormat/>
    <w:uiPriority w:val="0"/>
    <w:pPr>
      <w:keepNext/>
      <w:keepLines/>
      <w:spacing w:line="416" w:lineRule="auto"/>
      <w:outlineLvl w:val="1"/>
    </w:pPr>
    <w:rPr>
      <w:rFonts w:ascii="Cambria" w:hAnsi="Cambria"/>
      <w:b/>
      <w:bCs/>
      <w:sz w:val="32"/>
      <w:szCs w:val="32"/>
    </w:rPr>
  </w:style>
  <w:style w:type="character" w:default="1" w:styleId="471">
    <w:name w:val="Default Paragraph Font"/>
    <w:semiHidden/>
    <w:qFormat/>
    <w:uiPriority w:val="0"/>
  </w:style>
  <w:style w:type="table" w:default="1" w:styleId="470">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style>
  <w:style w:type="paragraph" w:styleId="5">
    <w:name w:val="Body Text"/>
    <w:basedOn w:val="1"/>
    <w:qFormat/>
    <w:uiPriority w:val="0"/>
    <w:pPr>
      <w:spacing w:after="120" w:afterLines="0"/>
    </w:pPr>
    <w:rPr>
      <w:kern w:val="0"/>
      <w:sz w:val="20"/>
      <w:szCs w:val="20"/>
    </w:rPr>
  </w:style>
  <w:style w:type="paragraph" w:styleId="6">
    <w:name w:val="Plain Text"/>
    <w:basedOn w:val="1"/>
    <w:qFormat/>
    <w:uiPriority w:val="0"/>
    <w:rPr>
      <w:rFonts w:ascii="Cambria" w:hAnsi="Cambria"/>
      <w:b/>
      <w:bCs/>
      <w:kern w:val="28"/>
      <w:sz w:val="32"/>
      <w:szCs w:val="32"/>
    </w:rPr>
  </w:style>
  <w:style w:type="paragraph" w:styleId="7">
    <w:name w:val="footer"/>
    <w:basedOn w:val="1"/>
    <w:qFormat/>
    <w:uiPriority w:val="0"/>
    <w:pPr>
      <w:tabs>
        <w:tab w:val="center" w:pos="4153"/>
        <w:tab w:val="right" w:pos="8306"/>
      </w:tabs>
      <w:snapToGrid w:val="0"/>
      <w:jc w:val="left"/>
    </w:pPr>
    <w:rPr>
      <w:rFonts w:ascii="Calibri" w:hAnsi="Calibri"/>
      <w:sz w:val="18"/>
      <w:szCs w:val="18"/>
    </w:rPr>
  </w:style>
  <w:style w:type="paragraph" w:styleId="8">
    <w:name w:val="Body Text 2"/>
    <w:basedOn w:val="9"/>
    <w:qFormat/>
    <w:uiPriority w:val="0"/>
    <w:rPr>
      <w:rFonts w:ascii="Calibri" w:hAnsi="Calibri"/>
      <w:sz w:val="24"/>
      <w:szCs w:val="22"/>
    </w:rPr>
  </w:style>
  <w:style w:type="paragraph" w:customStyle="1" w:styleId="9">
    <w:name w:val="正文_0_0_0"/>
    <w:basedOn w:val="10"/>
    <w:next w:val="468"/>
    <w:qFormat/>
    <w:uiPriority w:val="0"/>
    <w:pPr>
      <w:widowControl w:val="0"/>
      <w:jc w:val="both"/>
    </w:pPr>
    <w:rPr>
      <w:rFonts w:ascii="Calibri" w:hAnsi="Calibri" w:eastAsia="宋体" w:cs="Times New Roman"/>
      <w:kern w:val="2"/>
      <w:sz w:val="21"/>
      <w:lang w:val="en-US" w:eastAsia="zh-CN" w:bidi="ar-SA"/>
    </w:rPr>
  </w:style>
  <w:style w:type="paragraph" w:customStyle="1" w:styleId="10">
    <w:name w:val="正文_1_1"/>
    <w:basedOn w:val="11"/>
    <w:next w:val="467"/>
    <w:qFormat/>
    <w:uiPriority w:val="0"/>
    <w:pPr>
      <w:widowControl w:val="0"/>
      <w:jc w:val="both"/>
    </w:pPr>
    <w:rPr>
      <w:kern w:val="2"/>
      <w:sz w:val="21"/>
      <w:szCs w:val="24"/>
      <w:lang w:val="en-US" w:eastAsia="zh-CN" w:bidi="ar-SA"/>
    </w:rPr>
  </w:style>
  <w:style w:type="paragraph" w:customStyle="1" w:styleId="11">
    <w:name w:val="正文_2_0"/>
    <w:basedOn w:val="12"/>
    <w:next w:val="467"/>
    <w:qFormat/>
    <w:uiPriority w:val="0"/>
    <w:pPr>
      <w:widowControl w:val="0"/>
      <w:jc w:val="both"/>
    </w:pPr>
    <w:rPr>
      <w:rFonts w:ascii="等线" w:hAnsi="等线" w:eastAsia="等线"/>
      <w:kern w:val="2"/>
      <w:sz w:val="21"/>
      <w:szCs w:val="22"/>
      <w:lang w:val="en-US" w:eastAsia="zh-CN" w:bidi="ar-SA"/>
    </w:rPr>
  </w:style>
  <w:style w:type="paragraph" w:customStyle="1" w:styleId="12">
    <w:name w:val="正文_3_0"/>
    <w:basedOn w:val="13"/>
    <w:next w:val="51"/>
    <w:qFormat/>
    <w:uiPriority w:val="0"/>
    <w:pPr>
      <w:widowControl w:val="0"/>
      <w:jc w:val="both"/>
    </w:pPr>
    <w:rPr>
      <w:rFonts w:ascii="等线" w:hAnsi="等线" w:eastAsia="等线"/>
      <w:kern w:val="2"/>
      <w:sz w:val="21"/>
      <w:szCs w:val="22"/>
      <w:lang w:val="en-US" w:eastAsia="zh-CN" w:bidi="ar-SA"/>
    </w:rPr>
  </w:style>
  <w:style w:type="paragraph" w:customStyle="1" w:styleId="13">
    <w:name w:val="正文_4_1"/>
    <w:basedOn w:val="14"/>
    <w:next w:val="24"/>
    <w:qFormat/>
    <w:uiPriority w:val="0"/>
  </w:style>
  <w:style w:type="paragraph" w:customStyle="1" w:styleId="14">
    <w:name w:val="正文_5_0"/>
    <w:basedOn w:val="15"/>
    <w:next w:val="23"/>
    <w:qFormat/>
    <w:uiPriority w:val="0"/>
    <w:rPr>
      <w:rFonts w:ascii="Times New Roman" w:hAnsi="Times New Roman"/>
      <w:szCs w:val="21"/>
    </w:rPr>
  </w:style>
  <w:style w:type="paragraph" w:customStyle="1" w:styleId="15">
    <w:name w:val="正文_6_0"/>
    <w:next w:val="16"/>
    <w:qFormat/>
    <w:uiPriority w:val="0"/>
    <w:pPr>
      <w:widowControl w:val="0"/>
      <w:jc w:val="both"/>
    </w:pPr>
    <w:rPr>
      <w:rFonts w:ascii="等线" w:hAnsi="等线" w:eastAsia="等线" w:cs="Times New Roman"/>
      <w:kern w:val="2"/>
      <w:sz w:val="21"/>
      <w:szCs w:val="22"/>
      <w:lang w:val="en-US" w:eastAsia="zh-CN" w:bidi="ar-SA"/>
    </w:rPr>
  </w:style>
  <w:style w:type="paragraph" w:customStyle="1" w:styleId="16">
    <w:name w:val="标题 3_1"/>
    <w:basedOn w:val="17"/>
    <w:next w:val="19"/>
    <w:unhideWhenUsed/>
    <w:qFormat/>
    <w:uiPriority w:val="9"/>
    <w:pPr>
      <w:keepNext/>
      <w:keepLines/>
      <w:spacing w:before="260" w:after="260" w:line="416" w:lineRule="auto"/>
      <w:outlineLvl w:val="2"/>
    </w:pPr>
    <w:rPr>
      <w:rFonts w:ascii="等线" w:hAnsi="等线" w:eastAsia="等线"/>
      <w:b/>
      <w:bCs/>
      <w:sz w:val="32"/>
      <w:szCs w:val="32"/>
    </w:rPr>
  </w:style>
  <w:style w:type="paragraph" w:customStyle="1" w:styleId="17">
    <w:name w:val="正文_8_1"/>
    <w:next w:val="18"/>
    <w:qFormat/>
    <w:uiPriority w:val="0"/>
    <w:pPr>
      <w:widowControl w:val="0"/>
      <w:jc w:val="both"/>
    </w:pPr>
    <w:rPr>
      <w:rFonts w:ascii="等线" w:hAnsi="等线" w:eastAsia="等线" w:cs="Times New Roman"/>
      <w:kern w:val="2"/>
      <w:sz w:val="21"/>
      <w:szCs w:val="22"/>
      <w:lang w:val="en-US" w:eastAsia="zh-CN" w:bidi="ar-SA"/>
    </w:rPr>
  </w:style>
  <w:style w:type="paragraph" w:customStyle="1" w:styleId="18">
    <w:name w:val="正文缩进_4_0"/>
    <w:basedOn w:val="17"/>
    <w:qFormat/>
    <w:uiPriority w:val="0"/>
    <w:pPr>
      <w:ind w:firstLine="420" w:firstLineChars="200"/>
    </w:pPr>
  </w:style>
  <w:style w:type="paragraph" w:customStyle="1" w:styleId="19">
    <w:name w:val="正文_6"/>
    <w:basedOn w:val="20"/>
    <w:next w:val="16"/>
    <w:qFormat/>
    <w:uiPriority w:val="0"/>
    <w:pPr>
      <w:widowControl w:val="0"/>
      <w:jc w:val="both"/>
    </w:pPr>
    <w:rPr>
      <w:kern w:val="2"/>
      <w:sz w:val="21"/>
      <w:szCs w:val="24"/>
      <w:lang w:val="en-US" w:eastAsia="zh-CN" w:bidi="ar-SA"/>
    </w:rPr>
  </w:style>
  <w:style w:type="paragraph" w:customStyle="1" w:styleId="20">
    <w:name w:val="正文_7"/>
    <w:next w:val="2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
    <w:name w:val="纯文本_5"/>
    <w:basedOn w:val="22"/>
    <w:qFormat/>
    <w:uiPriority w:val="0"/>
    <w:rPr>
      <w:rFonts w:ascii="Cambria" w:hAnsi="Cambria"/>
      <w:b/>
      <w:bCs/>
      <w:kern w:val="28"/>
      <w:sz w:val="32"/>
      <w:szCs w:val="32"/>
    </w:rPr>
  </w:style>
  <w:style w:type="paragraph" w:customStyle="1" w:styleId="22">
    <w:name w:val="正文_8"/>
    <w:next w:val="21"/>
    <w:qFormat/>
    <w:uiPriority w:val="0"/>
    <w:pPr>
      <w:widowControl w:val="0"/>
      <w:jc w:val="both"/>
    </w:pPr>
    <w:rPr>
      <w:rFonts w:ascii="等线" w:hAnsi="等线" w:eastAsia="等线" w:cs="Times New Roman"/>
      <w:kern w:val="2"/>
      <w:sz w:val="21"/>
      <w:szCs w:val="22"/>
      <w:lang w:val="en-US" w:eastAsia="zh-CN" w:bidi="ar-SA"/>
    </w:rPr>
  </w:style>
  <w:style w:type="paragraph" w:customStyle="1" w:styleId="23">
    <w:name w:val="标题 1_5"/>
    <w:basedOn w:val="14"/>
    <w:next w:val="14"/>
    <w:qFormat/>
    <w:uiPriority w:val="0"/>
    <w:pPr>
      <w:keepNext/>
      <w:keepLines/>
      <w:spacing w:line="576" w:lineRule="auto"/>
      <w:jc w:val="center"/>
      <w:outlineLvl w:val="0"/>
    </w:pPr>
    <w:rPr>
      <w:rFonts w:eastAsia="黑体"/>
      <w:b/>
      <w:bCs/>
      <w:kern w:val="32"/>
      <w:sz w:val="32"/>
      <w:szCs w:val="32"/>
    </w:rPr>
  </w:style>
  <w:style w:type="paragraph" w:customStyle="1" w:styleId="24">
    <w:name w:val="正文首行缩进_0_0_1"/>
    <w:basedOn w:val="25"/>
    <w:qFormat/>
    <w:uiPriority w:val="0"/>
    <w:pPr>
      <w:ind w:firstLine="420" w:firstLineChars="100"/>
    </w:pPr>
    <w:rPr>
      <w:rFonts w:ascii="等线" w:hAnsi="等线"/>
    </w:rPr>
  </w:style>
  <w:style w:type="paragraph" w:customStyle="1" w:styleId="25">
    <w:name w:val="正文文本_0_0_0"/>
    <w:basedOn w:val="26"/>
    <w:next w:val="63"/>
    <w:qFormat/>
    <w:uiPriority w:val="0"/>
    <w:pPr>
      <w:spacing w:before="100" w:beforeAutospacing="1" w:after="120"/>
    </w:pPr>
    <w:rPr>
      <w:kern w:val="0"/>
      <w:sz w:val="20"/>
      <w:szCs w:val="20"/>
    </w:rPr>
  </w:style>
  <w:style w:type="paragraph" w:customStyle="1" w:styleId="26">
    <w:name w:val="正文_0_0"/>
    <w:basedOn w:val="27"/>
    <w:qFormat/>
    <w:uiPriority w:val="0"/>
    <w:pPr>
      <w:widowControl w:val="0"/>
      <w:jc w:val="both"/>
    </w:pPr>
    <w:rPr>
      <w:kern w:val="2"/>
      <w:sz w:val="21"/>
      <w:szCs w:val="24"/>
      <w:lang w:val="en-US" w:eastAsia="zh-CN" w:bidi="ar-SA"/>
    </w:rPr>
  </w:style>
  <w:style w:type="paragraph" w:customStyle="1" w:styleId="27">
    <w:name w:val="正文_1"/>
    <w:basedOn w:val="28"/>
    <w:qFormat/>
    <w:uiPriority w:val="0"/>
    <w:pPr>
      <w:widowControl w:val="0"/>
      <w:jc w:val="both"/>
    </w:pPr>
    <w:rPr>
      <w:kern w:val="2"/>
      <w:sz w:val="21"/>
      <w:szCs w:val="24"/>
      <w:lang w:val="en-US" w:eastAsia="zh-CN" w:bidi="ar-SA"/>
    </w:rPr>
  </w:style>
  <w:style w:type="paragraph" w:customStyle="1" w:styleId="28">
    <w:name w:val="正文_2"/>
    <w:basedOn w:val="29"/>
    <w:qFormat/>
    <w:uiPriority w:val="0"/>
    <w:pPr>
      <w:widowControl w:val="0"/>
      <w:jc w:val="both"/>
    </w:pPr>
    <w:rPr>
      <w:kern w:val="2"/>
      <w:sz w:val="21"/>
      <w:szCs w:val="24"/>
      <w:lang w:val="en-US" w:eastAsia="zh-CN" w:bidi="ar-SA"/>
    </w:rPr>
  </w:style>
  <w:style w:type="paragraph" w:customStyle="1" w:styleId="29">
    <w:name w:val="正文_3"/>
    <w:basedOn w:val="3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
    <w:name w:val="正文_4"/>
    <w:basedOn w:val="31"/>
    <w:next w:val="441"/>
    <w:qFormat/>
    <w:uiPriority w:val="0"/>
    <w:pPr>
      <w:widowControl w:val="0"/>
      <w:jc w:val="both"/>
    </w:pPr>
    <w:rPr>
      <w:kern w:val="2"/>
      <w:sz w:val="21"/>
      <w:szCs w:val="24"/>
      <w:lang w:val="en-US" w:eastAsia="zh-CN" w:bidi="ar-SA"/>
    </w:rPr>
  </w:style>
  <w:style w:type="paragraph" w:customStyle="1" w:styleId="31">
    <w:name w:val="正文_5"/>
    <w:basedOn w:val="19"/>
    <w:next w:val="32"/>
    <w:qFormat/>
    <w:uiPriority w:val="0"/>
    <w:pPr>
      <w:widowControl w:val="0"/>
      <w:jc w:val="both"/>
    </w:pPr>
    <w:rPr>
      <w:kern w:val="2"/>
      <w:sz w:val="21"/>
      <w:szCs w:val="24"/>
      <w:lang w:val="en-US" w:eastAsia="zh-CN" w:bidi="ar-SA"/>
    </w:rPr>
  </w:style>
  <w:style w:type="paragraph" w:customStyle="1" w:styleId="32">
    <w:name w:val="Normal Indent1_0"/>
    <w:basedOn w:val="33"/>
    <w:qFormat/>
    <w:uiPriority w:val="0"/>
    <w:pPr>
      <w:ind w:firstLine="420" w:firstLineChars="200"/>
    </w:pPr>
    <w:rPr>
      <w:kern w:val="2"/>
    </w:rPr>
  </w:style>
  <w:style w:type="paragraph" w:customStyle="1" w:styleId="33">
    <w:name w:val="正文_10_0"/>
    <w:basedOn w:val="34"/>
    <w:next w:val="32"/>
    <w:qFormat/>
    <w:uiPriority w:val="0"/>
    <w:pPr>
      <w:widowControl w:val="0"/>
      <w:jc w:val="both"/>
    </w:pPr>
    <w:rPr>
      <w:rFonts w:ascii="Calibri" w:hAnsi="Calibri" w:eastAsia="宋体" w:cs="Times New Roman"/>
      <w:kern w:val="2"/>
      <w:sz w:val="21"/>
      <w:szCs w:val="22"/>
      <w:lang w:val="en-US" w:eastAsia="zh-CN" w:bidi="ar-SA"/>
    </w:rPr>
  </w:style>
  <w:style w:type="paragraph" w:customStyle="1" w:styleId="34">
    <w:name w:val="正文_6_0_0"/>
    <w:basedOn w:val="35"/>
    <w:next w:val="452"/>
    <w:qFormat/>
    <w:uiPriority w:val="0"/>
    <w:pPr>
      <w:widowControl w:val="0"/>
      <w:jc w:val="both"/>
    </w:pPr>
    <w:rPr>
      <w:rFonts w:ascii="Calibri" w:hAnsi="Calibri" w:eastAsia="宋体" w:cs="Times New Roman"/>
      <w:kern w:val="2"/>
      <w:sz w:val="21"/>
      <w:szCs w:val="22"/>
      <w:lang w:val="en-US" w:eastAsia="zh-CN" w:bidi="ar-SA"/>
    </w:rPr>
  </w:style>
  <w:style w:type="paragraph" w:customStyle="1" w:styleId="35">
    <w:name w:val="正文_0_3"/>
    <w:basedOn w:val="36"/>
    <w:next w:val="451"/>
    <w:qFormat/>
    <w:uiPriority w:val="0"/>
    <w:rPr>
      <w:rFonts w:ascii="等线" w:hAnsi="等线"/>
      <w:szCs w:val="24"/>
    </w:rPr>
  </w:style>
  <w:style w:type="paragraph" w:customStyle="1" w:styleId="36">
    <w:name w:val="正文_1_2"/>
    <w:basedOn w:val="37"/>
    <w:next w:val="451"/>
    <w:qFormat/>
    <w:uiPriority w:val="0"/>
    <w:rPr>
      <w:rFonts w:ascii="Calibri" w:hAnsi="Calibri" w:cs="宋体"/>
      <w:szCs w:val="21"/>
    </w:rPr>
  </w:style>
  <w:style w:type="paragraph" w:customStyle="1" w:styleId="37">
    <w:name w:val="正文_2_1"/>
    <w:basedOn w:val="38"/>
    <w:next w:val="48"/>
    <w:qFormat/>
    <w:uiPriority w:val="0"/>
    <w:rPr>
      <w:rFonts w:ascii="等线" w:hAnsi="等线" w:eastAsia="等线"/>
      <w:szCs w:val="22"/>
    </w:rPr>
  </w:style>
  <w:style w:type="paragraph" w:customStyle="1" w:styleId="38">
    <w:name w:val="正文_3_1"/>
    <w:basedOn w:val="39"/>
    <w:next w:val="450"/>
    <w:qFormat/>
    <w:uiPriority w:val="0"/>
  </w:style>
  <w:style w:type="paragraph" w:customStyle="1" w:styleId="39">
    <w:name w:val="正文_4_2"/>
    <w:basedOn w:val="40"/>
    <w:next w:val="43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0">
    <w:name w:val="正文_5_2"/>
    <w:basedOn w:val="41"/>
    <w:next w:val="47"/>
    <w:qFormat/>
    <w:uiPriority w:val="0"/>
    <w:rPr>
      <w:rFonts w:ascii="Calibri" w:hAnsi="Calibri" w:eastAsia="等线"/>
      <w:szCs w:val="21"/>
    </w:rPr>
  </w:style>
  <w:style w:type="paragraph" w:customStyle="1" w:styleId="41">
    <w:name w:val="正文_0_4"/>
    <w:next w:val="4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
    <w:name w:val="正文首行缩进_0_1"/>
    <w:basedOn w:val="43"/>
    <w:qFormat/>
    <w:uiPriority w:val="99"/>
    <w:pPr>
      <w:ind w:firstLine="420" w:firstLineChars="100"/>
    </w:pPr>
  </w:style>
  <w:style w:type="paragraph" w:customStyle="1" w:styleId="43">
    <w:name w:val="正文_0_2"/>
    <w:basedOn w:val="10"/>
    <w:next w:val="44"/>
    <w:qFormat/>
    <w:uiPriority w:val="0"/>
    <w:pPr>
      <w:widowControl w:val="0"/>
      <w:jc w:val="both"/>
    </w:pPr>
    <w:rPr>
      <w:kern w:val="2"/>
      <w:sz w:val="21"/>
      <w:szCs w:val="24"/>
      <w:lang w:val="en-US" w:eastAsia="zh-CN" w:bidi="ar-SA"/>
    </w:rPr>
  </w:style>
  <w:style w:type="paragraph" w:customStyle="1" w:styleId="44">
    <w:name w:val="正文首行缩进_0"/>
    <w:basedOn w:val="45"/>
    <w:unhideWhenUsed/>
    <w:qFormat/>
    <w:uiPriority w:val="0"/>
    <w:pPr>
      <w:ind w:firstLine="420" w:firstLineChars="100"/>
    </w:pPr>
  </w:style>
  <w:style w:type="paragraph" w:customStyle="1" w:styleId="45">
    <w:name w:val="正文文本_0"/>
    <w:basedOn w:val="19"/>
    <w:next w:val="46"/>
    <w:qFormat/>
    <w:uiPriority w:val="0"/>
    <w:pPr>
      <w:spacing w:after="120" w:afterLines="0"/>
    </w:pPr>
    <w:rPr>
      <w:szCs w:val="24"/>
    </w:rPr>
  </w:style>
  <w:style w:type="paragraph" w:customStyle="1" w:styleId="46">
    <w:name w:val="正文文本首行缩进"/>
    <w:basedOn w:val="45"/>
    <w:unhideWhenUsed/>
    <w:qFormat/>
    <w:uiPriority w:val="0"/>
    <w:pPr>
      <w:ind w:firstLine="420" w:firstLineChars="100"/>
    </w:pPr>
    <w:rPr>
      <w:rFonts w:ascii="等线" w:hAnsi="等线" w:eastAsia="等线"/>
    </w:rPr>
  </w:style>
  <w:style w:type="paragraph" w:customStyle="1" w:styleId="47">
    <w:name w:val="正文首行缩进_0_2"/>
    <w:basedOn w:val="48"/>
    <w:qFormat/>
    <w:uiPriority w:val="0"/>
    <w:pPr>
      <w:spacing w:before="100" w:beforeAutospacing="1"/>
      <w:ind w:firstLine="420" w:firstLineChars="100"/>
    </w:pPr>
    <w:rPr>
      <w:rFonts w:eastAsia="等线"/>
      <w:kern w:val="2"/>
      <w:sz w:val="21"/>
      <w:szCs w:val="21"/>
    </w:rPr>
  </w:style>
  <w:style w:type="paragraph" w:customStyle="1" w:styleId="48">
    <w:name w:val="正文文本_0_2"/>
    <w:basedOn w:val="49"/>
    <w:next w:val="391"/>
    <w:qFormat/>
    <w:uiPriority w:val="0"/>
    <w:pPr>
      <w:spacing w:after="120"/>
    </w:pPr>
    <w:rPr>
      <w:rFonts w:ascii="Calibri" w:hAnsi="Calibri" w:eastAsia="宋体"/>
      <w:kern w:val="0"/>
      <w:sz w:val="20"/>
      <w:szCs w:val="24"/>
    </w:rPr>
  </w:style>
  <w:style w:type="paragraph" w:customStyle="1" w:styleId="49">
    <w:name w:val="正文_2_2"/>
    <w:basedOn w:val="50"/>
    <w:next w:val="48"/>
    <w:qFormat/>
    <w:uiPriority w:val="0"/>
    <w:pPr>
      <w:widowControl w:val="0"/>
      <w:jc w:val="both"/>
    </w:pPr>
    <w:rPr>
      <w:kern w:val="2"/>
      <w:sz w:val="21"/>
      <w:szCs w:val="24"/>
      <w:lang w:val="en-US" w:eastAsia="zh-CN" w:bidi="ar-SA"/>
    </w:rPr>
  </w:style>
  <w:style w:type="paragraph" w:customStyle="1" w:styleId="50">
    <w:name w:val="正文_3_2"/>
    <w:next w:val="5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1">
    <w:name w:val="正文首行缩进_0_0_0_1"/>
    <w:basedOn w:val="52"/>
    <w:qFormat/>
    <w:uiPriority w:val="0"/>
  </w:style>
  <w:style w:type="paragraph" w:customStyle="1" w:styleId="52">
    <w:name w:val="正文文本_0_0_0_0"/>
    <w:basedOn w:val="53"/>
    <w:next w:val="390"/>
    <w:semiHidden/>
    <w:qFormat/>
    <w:uiPriority w:val="0"/>
    <w:pPr>
      <w:spacing w:before="100" w:beforeAutospacing="1" w:after="120"/>
    </w:pPr>
    <w:rPr>
      <w:kern w:val="0"/>
      <w:sz w:val="20"/>
      <w:szCs w:val="20"/>
    </w:rPr>
  </w:style>
  <w:style w:type="paragraph" w:customStyle="1" w:styleId="53">
    <w:name w:val="正文_0_0_0_0"/>
    <w:basedOn w:val="54"/>
    <w:next w:val="61"/>
    <w:qFormat/>
    <w:uiPriority w:val="0"/>
    <w:rPr>
      <w:rFonts w:ascii="等线" w:hAnsi="等线"/>
    </w:rPr>
  </w:style>
  <w:style w:type="paragraph" w:customStyle="1" w:styleId="54">
    <w:name w:val="正文_0_1_0"/>
    <w:basedOn w:val="43"/>
    <w:next w:val="55"/>
    <w:qFormat/>
    <w:uiPriority w:val="0"/>
    <w:rPr>
      <w:rFonts w:ascii="Times New Roman" w:hAnsi="Times New Roman" w:cs="Times New Roman"/>
    </w:rPr>
  </w:style>
  <w:style w:type="paragraph" w:customStyle="1" w:styleId="55">
    <w:name w:val="正文缩进_0_1_0"/>
    <w:basedOn w:val="56"/>
    <w:next w:val="389"/>
    <w:qFormat/>
    <w:uiPriority w:val="0"/>
    <w:pPr>
      <w:ind w:firstLine="420" w:firstLineChars="200"/>
    </w:pPr>
    <w:rPr>
      <w:rFonts w:ascii="Calibri" w:hAnsi="Calibri"/>
    </w:rPr>
  </w:style>
  <w:style w:type="paragraph" w:customStyle="1" w:styleId="56">
    <w:name w:val="正文_1_1_0"/>
    <w:basedOn w:val="57"/>
    <w:next w:val="55"/>
    <w:qFormat/>
    <w:uiPriority w:val="0"/>
  </w:style>
  <w:style w:type="paragraph" w:customStyle="1" w:styleId="57">
    <w:name w:val="正文_2_0_0"/>
    <w:basedOn w:val="58"/>
    <w:next w:val="388"/>
    <w:qFormat/>
    <w:uiPriority w:val="0"/>
    <w:rPr>
      <w:rFonts w:ascii="Times New Roman" w:hAnsi="Times New Roman" w:eastAsia="宋体"/>
    </w:rPr>
  </w:style>
  <w:style w:type="paragraph" w:customStyle="1" w:styleId="58">
    <w:name w:val="正文_3_0_0"/>
    <w:basedOn w:val="59"/>
    <w:next w:val="387"/>
    <w:qFormat/>
    <w:uiPriority w:val="0"/>
    <w:rPr>
      <w:rFonts w:ascii="等线" w:hAnsi="等线" w:eastAsia="等线"/>
    </w:rPr>
  </w:style>
  <w:style w:type="paragraph" w:customStyle="1" w:styleId="59">
    <w:name w:val="正文_4_1_0"/>
    <w:basedOn w:val="60"/>
    <w:next w:val="64"/>
    <w:qFormat/>
    <w:uiPriority w:val="0"/>
  </w:style>
  <w:style w:type="paragraph" w:customStyle="1" w:styleId="60">
    <w:name w:val="正文_5_1_0"/>
    <w:next w:val="6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1">
    <w:name w:val="正文首行缩进_0_1_0"/>
    <w:basedOn w:val="62"/>
    <w:qFormat/>
    <w:uiPriority w:val="0"/>
    <w:pPr>
      <w:spacing w:before="100" w:beforeAutospacing="1"/>
      <w:ind w:firstLine="420" w:firstLineChars="100"/>
    </w:pPr>
    <w:rPr>
      <w:rFonts w:eastAsia="等线"/>
      <w:kern w:val="2"/>
      <w:sz w:val="21"/>
      <w:szCs w:val="21"/>
    </w:rPr>
  </w:style>
  <w:style w:type="paragraph" w:customStyle="1" w:styleId="62">
    <w:name w:val="正文文本_0_1"/>
    <w:basedOn w:val="11"/>
    <w:next w:val="63"/>
    <w:qFormat/>
    <w:uiPriority w:val="0"/>
    <w:pPr>
      <w:spacing w:after="120"/>
    </w:pPr>
    <w:rPr>
      <w:rFonts w:ascii="Calibri" w:hAnsi="Calibri" w:eastAsia="宋体"/>
      <w:kern w:val="0"/>
      <w:sz w:val="20"/>
      <w:szCs w:val="24"/>
    </w:rPr>
  </w:style>
  <w:style w:type="paragraph" w:customStyle="1" w:styleId="63">
    <w:name w:val="正文文本 2_0"/>
    <w:basedOn w:val="9"/>
    <w:qFormat/>
    <w:uiPriority w:val="0"/>
  </w:style>
  <w:style w:type="paragraph" w:customStyle="1" w:styleId="64">
    <w:name w:val="正文首行缩进_0_0_1_0"/>
    <w:basedOn w:val="65"/>
    <w:qFormat/>
    <w:uiPriority w:val="0"/>
    <w:pPr>
      <w:ind w:firstLine="420" w:firstLineChars="100"/>
    </w:pPr>
  </w:style>
  <w:style w:type="paragraph" w:customStyle="1" w:styleId="65">
    <w:name w:val="正文文本_0_0_0_0_1"/>
    <w:basedOn w:val="66"/>
    <w:next w:val="383"/>
    <w:semiHidden/>
    <w:qFormat/>
    <w:uiPriority w:val="0"/>
    <w:pPr>
      <w:spacing w:before="100" w:beforeAutospacing="1" w:after="120"/>
    </w:pPr>
    <w:rPr>
      <w:kern w:val="0"/>
      <w:sz w:val="20"/>
      <w:szCs w:val="20"/>
    </w:rPr>
  </w:style>
  <w:style w:type="paragraph" w:customStyle="1" w:styleId="66">
    <w:name w:val="正文_0_0_0_1"/>
    <w:basedOn w:val="67"/>
    <w:next w:val="69"/>
    <w:qFormat/>
    <w:uiPriority w:val="0"/>
    <w:pPr>
      <w:widowControl w:val="0"/>
      <w:jc w:val="both"/>
    </w:pPr>
    <w:rPr>
      <w:rFonts w:ascii="等线" w:hAnsi="等线" w:eastAsia="等线"/>
      <w:kern w:val="2"/>
      <w:sz w:val="21"/>
      <w:szCs w:val="24"/>
      <w:lang w:val="en-US" w:eastAsia="zh-CN" w:bidi="ar-SA"/>
    </w:rPr>
  </w:style>
  <w:style w:type="paragraph" w:customStyle="1" w:styleId="67">
    <w:name w:val="正文_1_2_1"/>
    <w:next w:val="68"/>
    <w:qFormat/>
    <w:uiPriority w:val="0"/>
    <w:pPr>
      <w:widowControl w:val="0"/>
      <w:jc w:val="both"/>
    </w:pPr>
    <w:rPr>
      <w:rFonts w:ascii="等线" w:hAnsi="等线" w:eastAsia="等线" w:cs="Times New Roman"/>
      <w:kern w:val="2"/>
      <w:sz w:val="21"/>
      <w:szCs w:val="22"/>
      <w:lang w:val="en-US" w:eastAsia="zh-CN" w:bidi="ar-SA"/>
    </w:rPr>
  </w:style>
  <w:style w:type="paragraph" w:customStyle="1" w:styleId="68">
    <w:name w:val="正文缩进_1_1_1"/>
    <w:basedOn w:val="67"/>
    <w:unhideWhenUsed/>
    <w:qFormat/>
    <w:uiPriority w:val="0"/>
    <w:pPr>
      <w:spacing w:beforeLines="0" w:afterLines="0"/>
      <w:ind w:firstLine="420" w:firstLineChars="200"/>
    </w:pPr>
    <w:rPr>
      <w:rFonts w:hint="default" w:ascii="Times New Roman" w:hAnsi="Times New Roman"/>
      <w:sz w:val="21"/>
    </w:rPr>
  </w:style>
  <w:style w:type="paragraph" w:customStyle="1" w:styleId="69">
    <w:name w:val="正文首行缩进_0_1_1"/>
    <w:basedOn w:val="70"/>
    <w:qFormat/>
    <w:uiPriority w:val="99"/>
    <w:pPr>
      <w:ind w:firstLine="420" w:firstLineChars="100"/>
    </w:pPr>
  </w:style>
  <w:style w:type="paragraph" w:customStyle="1" w:styleId="70">
    <w:name w:val="正文文本_0_1_1"/>
    <w:basedOn w:val="71"/>
    <w:next w:val="108"/>
    <w:unhideWhenUsed/>
    <w:qFormat/>
    <w:uiPriority w:val="0"/>
    <w:pPr>
      <w:spacing w:after="120"/>
    </w:pPr>
    <w:rPr>
      <w:kern w:val="0"/>
      <w:sz w:val="20"/>
    </w:rPr>
  </w:style>
  <w:style w:type="paragraph" w:customStyle="1" w:styleId="71">
    <w:name w:val="正文_2_0_1"/>
    <w:basedOn w:val="72"/>
    <w:next w:val="382"/>
    <w:qFormat/>
    <w:uiPriority w:val="0"/>
  </w:style>
  <w:style w:type="paragraph" w:customStyle="1" w:styleId="72">
    <w:name w:val="正文_3_0_1"/>
    <w:basedOn w:val="73"/>
    <w:next w:val="36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3">
    <w:name w:val="正文_4_1_1"/>
    <w:basedOn w:val="74"/>
    <w:next w:val="267"/>
    <w:qFormat/>
    <w:uiPriority w:val="0"/>
  </w:style>
  <w:style w:type="paragraph" w:customStyle="1" w:styleId="74">
    <w:name w:val="正文_5_1_1"/>
    <w:next w:val="7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5">
    <w:name w:val="正文首行缩进_0_2_1"/>
    <w:basedOn w:val="76"/>
    <w:qFormat/>
    <w:uiPriority w:val="0"/>
    <w:pPr>
      <w:ind w:firstLine="420" w:firstLineChars="100"/>
    </w:pPr>
    <w:rPr>
      <w:rFonts w:ascii="Calibri" w:hAnsi="Calibri"/>
    </w:rPr>
  </w:style>
  <w:style w:type="paragraph" w:customStyle="1" w:styleId="76">
    <w:name w:val="正文文本_0_2_1"/>
    <w:basedOn w:val="77"/>
    <w:next w:val="365"/>
    <w:unhideWhenUsed/>
    <w:qFormat/>
    <w:uiPriority w:val="0"/>
    <w:pPr>
      <w:spacing w:after="120"/>
    </w:pPr>
  </w:style>
  <w:style w:type="paragraph" w:customStyle="1" w:styleId="77">
    <w:name w:val="正文_2_2_1"/>
    <w:basedOn w:val="78"/>
    <w:next w:val="76"/>
    <w:qFormat/>
    <w:uiPriority w:val="0"/>
    <w:pPr>
      <w:widowControl w:val="0"/>
      <w:jc w:val="both"/>
    </w:pPr>
    <w:rPr>
      <w:kern w:val="2"/>
      <w:sz w:val="21"/>
      <w:szCs w:val="24"/>
      <w:lang w:val="en-US" w:eastAsia="zh-CN" w:bidi="ar-SA"/>
    </w:rPr>
  </w:style>
  <w:style w:type="paragraph" w:customStyle="1" w:styleId="78">
    <w:name w:val="正文_3_2_1"/>
    <w:basedOn w:val="79"/>
    <w:next w:val="367"/>
    <w:qFormat/>
    <w:uiPriority w:val="0"/>
    <w:pPr>
      <w:widowControl w:val="0"/>
      <w:jc w:val="both"/>
    </w:pPr>
    <w:rPr>
      <w:kern w:val="2"/>
      <w:sz w:val="21"/>
      <w:szCs w:val="24"/>
      <w:lang w:val="en-US" w:eastAsia="zh-CN" w:bidi="ar-SA"/>
    </w:rPr>
  </w:style>
  <w:style w:type="paragraph" w:customStyle="1" w:styleId="79">
    <w:name w:val="正文_4_3_1"/>
    <w:basedOn w:val="80"/>
    <w:next w:val="177"/>
    <w:qFormat/>
    <w:uiPriority w:val="0"/>
    <w:rPr>
      <w:rFonts w:ascii="Times New Roman" w:hAnsi="Times New Roman" w:cs="Times New Roman"/>
      <w:kern w:val="2"/>
      <w:sz w:val="21"/>
      <w:szCs w:val="21"/>
    </w:rPr>
  </w:style>
  <w:style w:type="paragraph" w:customStyle="1" w:styleId="80">
    <w:name w:val="正文_5_2_1"/>
    <w:basedOn w:val="81"/>
    <w:next w:val="160"/>
    <w:qFormat/>
    <w:uiPriority w:val="0"/>
    <w:pPr>
      <w:widowControl w:val="0"/>
      <w:jc w:val="both"/>
    </w:pPr>
    <w:rPr>
      <w:kern w:val="2"/>
      <w:sz w:val="21"/>
      <w:szCs w:val="22"/>
      <w:lang w:val="en-US" w:eastAsia="zh-CN" w:bidi="ar-SA"/>
    </w:rPr>
  </w:style>
  <w:style w:type="paragraph" w:customStyle="1" w:styleId="81">
    <w:name w:val="正文_0_4_2"/>
    <w:next w:val="8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2">
    <w:name w:val="正文首行缩进_0_1_4"/>
    <w:basedOn w:val="83"/>
    <w:unhideWhenUsed/>
    <w:qFormat/>
    <w:uiPriority w:val="0"/>
    <w:pPr>
      <w:ind w:firstLine="420" w:firstLineChars="100"/>
    </w:pPr>
  </w:style>
  <w:style w:type="paragraph" w:customStyle="1" w:styleId="83">
    <w:name w:val="正文_0_2_1"/>
    <w:basedOn w:val="84"/>
    <w:next w:val="82"/>
    <w:qFormat/>
    <w:uiPriority w:val="0"/>
    <w:pPr>
      <w:widowControl w:val="0"/>
      <w:jc w:val="both"/>
    </w:pPr>
    <w:rPr>
      <w:rFonts w:ascii="Calibri" w:hAnsi="Calibri" w:eastAsia="等线"/>
      <w:kern w:val="2"/>
      <w:sz w:val="21"/>
      <w:lang w:val="en-US" w:eastAsia="zh-CN" w:bidi="ar-SA"/>
    </w:rPr>
  </w:style>
  <w:style w:type="paragraph" w:customStyle="1" w:styleId="84">
    <w:name w:val="正文_1_3_1"/>
    <w:basedOn w:val="85"/>
    <w:next w:val="129"/>
    <w:qFormat/>
    <w:uiPriority w:val="0"/>
    <w:pPr>
      <w:widowControl w:val="0"/>
      <w:jc w:val="both"/>
    </w:pPr>
    <w:rPr>
      <w:rFonts w:ascii="等线" w:hAnsi="等线" w:eastAsia="等线"/>
      <w:kern w:val="2"/>
      <w:sz w:val="21"/>
      <w:szCs w:val="22"/>
      <w:lang w:val="en-US" w:eastAsia="zh-CN" w:bidi="ar-SA"/>
    </w:rPr>
  </w:style>
  <w:style w:type="paragraph" w:customStyle="1" w:styleId="85">
    <w:name w:val="正文_2_1_2"/>
    <w:basedOn w:val="86"/>
    <w:next w:val="127"/>
    <w:qFormat/>
    <w:uiPriority w:val="0"/>
    <w:pPr>
      <w:widowControl w:val="0"/>
      <w:jc w:val="both"/>
    </w:pPr>
    <w:rPr>
      <w:rFonts w:ascii="Calibri" w:hAnsi="Calibri"/>
      <w:kern w:val="2"/>
      <w:sz w:val="21"/>
      <w:szCs w:val="24"/>
      <w:lang w:val="en-US" w:eastAsia="zh-CN" w:bidi="ar-SA"/>
    </w:rPr>
  </w:style>
  <w:style w:type="paragraph" w:customStyle="1" w:styleId="86">
    <w:name w:val="正文_3_1_2"/>
    <w:basedOn w:val="87"/>
    <w:next w:val="112"/>
    <w:qFormat/>
    <w:uiPriority w:val="0"/>
    <w:pPr>
      <w:widowControl w:val="0"/>
      <w:jc w:val="both"/>
    </w:pPr>
    <w:rPr>
      <w:kern w:val="2"/>
      <w:sz w:val="21"/>
      <w:szCs w:val="24"/>
      <w:lang w:val="en-US" w:eastAsia="zh-CN" w:bidi="ar-SA"/>
    </w:rPr>
  </w:style>
  <w:style w:type="paragraph" w:customStyle="1" w:styleId="87">
    <w:name w:val="正文_4_1_2"/>
    <w:basedOn w:val="88"/>
    <w:next w:val="93"/>
    <w:qFormat/>
    <w:uiPriority w:val="0"/>
    <w:rPr>
      <w:rFonts w:ascii="Times New Roman" w:hAnsi="Times New Roman" w:cs="Times New Roman"/>
      <w:sz w:val="21"/>
      <w:szCs w:val="21"/>
    </w:rPr>
  </w:style>
  <w:style w:type="paragraph" w:customStyle="1" w:styleId="88">
    <w:name w:val="正文_5_0_2"/>
    <w:basedOn w:val="89"/>
    <w:next w:val="92"/>
    <w:qFormat/>
    <w:uiPriority w:val="0"/>
    <w:pPr>
      <w:widowControl w:val="0"/>
      <w:jc w:val="both"/>
    </w:pPr>
    <w:rPr>
      <w:rFonts w:ascii="Calibri" w:hAnsi="Calibri"/>
      <w:kern w:val="2"/>
      <w:sz w:val="21"/>
      <w:szCs w:val="22"/>
      <w:lang w:val="en-US" w:eastAsia="zh-CN" w:bidi="ar-SA"/>
    </w:rPr>
  </w:style>
  <w:style w:type="paragraph" w:customStyle="1" w:styleId="89">
    <w:name w:val="正文_7_1"/>
    <w:next w:val="90"/>
    <w:qFormat/>
    <w:uiPriority w:val="0"/>
    <w:pPr>
      <w:widowControl w:val="0"/>
      <w:jc w:val="both"/>
    </w:pPr>
    <w:rPr>
      <w:rFonts w:ascii="等线" w:hAnsi="等线" w:eastAsia="等线" w:cs="Times New Roman"/>
      <w:kern w:val="2"/>
      <w:sz w:val="21"/>
      <w:szCs w:val="22"/>
      <w:lang w:val="en-US" w:eastAsia="zh-CN" w:bidi="ar-SA"/>
    </w:rPr>
  </w:style>
  <w:style w:type="paragraph" w:customStyle="1" w:styleId="90">
    <w:name w:val="标题 3_3_0"/>
    <w:basedOn w:val="91"/>
    <w:next w:val="91"/>
    <w:qFormat/>
    <w:uiPriority w:val="9"/>
    <w:pPr>
      <w:keepNext/>
      <w:keepLines/>
      <w:spacing w:before="260" w:after="260" w:line="416" w:lineRule="auto"/>
      <w:outlineLvl w:val="2"/>
    </w:pPr>
    <w:rPr>
      <w:b/>
      <w:bCs/>
      <w:sz w:val="32"/>
      <w:szCs w:val="32"/>
    </w:rPr>
  </w:style>
  <w:style w:type="paragraph" w:customStyle="1" w:styleId="91">
    <w:name w:val="正文_5_1"/>
    <w:basedOn w:val="15"/>
    <w:next w:val="9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2">
    <w:name w:val="Plain Text1_3_0"/>
    <w:basedOn w:val="88"/>
    <w:unhideWhenUsed/>
    <w:qFormat/>
    <w:uiPriority w:val="99"/>
    <w:pPr>
      <w:spacing w:beforeLines="0" w:afterLines="0"/>
    </w:pPr>
    <w:rPr>
      <w:rFonts w:hint="default" w:ascii="Courier New" w:hAnsi="Courier New" w:eastAsia="等线"/>
      <w:sz w:val="21"/>
    </w:rPr>
  </w:style>
  <w:style w:type="paragraph" w:customStyle="1" w:styleId="93">
    <w:name w:val="正文首行缩进_0_0_2_2"/>
    <w:basedOn w:val="94"/>
    <w:unhideWhenUsed/>
    <w:qFormat/>
    <w:uiPriority w:val="0"/>
    <w:pPr>
      <w:ind w:firstLine="420" w:firstLineChars="100"/>
    </w:pPr>
    <w:rPr>
      <w:rFonts w:hint="default"/>
      <w:sz w:val="20"/>
      <w:szCs w:val="20"/>
    </w:rPr>
  </w:style>
  <w:style w:type="paragraph" w:customStyle="1" w:styleId="94">
    <w:name w:val="正文文本_0_0_1_2"/>
    <w:basedOn w:val="95"/>
    <w:next w:val="108"/>
    <w:unhideWhenUsed/>
    <w:qFormat/>
    <w:uiPriority w:val="0"/>
    <w:pPr>
      <w:spacing w:before="100" w:beforeAutospacing="1" w:after="120"/>
    </w:pPr>
    <w:rPr>
      <w:rFonts w:hint="default" w:ascii="Times New Roman" w:hAnsi="Times New Roman" w:eastAsia="宋体"/>
      <w:kern w:val="0"/>
      <w:sz w:val="20"/>
      <w:szCs w:val="20"/>
    </w:rPr>
  </w:style>
  <w:style w:type="paragraph" w:customStyle="1" w:styleId="95">
    <w:name w:val="正文_0_0_0_2"/>
    <w:basedOn w:val="96"/>
    <w:next w:val="97"/>
    <w:qFormat/>
    <w:uiPriority w:val="0"/>
    <w:pPr>
      <w:widowControl w:val="0"/>
      <w:jc w:val="both"/>
    </w:pPr>
    <w:rPr>
      <w:rFonts w:ascii="等线" w:hAnsi="等线" w:eastAsia="等线"/>
      <w:kern w:val="2"/>
      <w:sz w:val="21"/>
      <w:szCs w:val="24"/>
      <w:lang w:val="en-US" w:eastAsia="zh-CN" w:bidi="ar-SA"/>
    </w:rPr>
  </w:style>
  <w:style w:type="paragraph" w:customStyle="1" w:styleId="96">
    <w:name w:val="正文_1_2_2"/>
    <w:basedOn w:val="85"/>
    <w:unhideWhenUsed/>
    <w:qFormat/>
    <w:uiPriority w:val="0"/>
    <w:rPr>
      <w:rFonts w:hint="eastAsia"/>
      <w:sz w:val="21"/>
      <w:szCs w:val="22"/>
    </w:rPr>
  </w:style>
  <w:style w:type="paragraph" w:customStyle="1" w:styleId="97">
    <w:name w:val="正文缩进_0_0_3"/>
    <w:basedOn w:val="98"/>
    <w:next w:val="107"/>
    <w:unhideWhenUsed/>
    <w:qFormat/>
    <w:uiPriority w:val="0"/>
    <w:rPr>
      <w:rFonts w:hint="eastAsia" w:ascii="等线" w:hAnsi="等线" w:eastAsia="等线"/>
      <w:sz w:val="21"/>
      <w:szCs w:val="21"/>
    </w:rPr>
  </w:style>
  <w:style w:type="paragraph" w:customStyle="1" w:styleId="98">
    <w:name w:val="正文_10_0_4"/>
    <w:basedOn w:val="99"/>
    <w:unhideWhenUsed/>
    <w:qFormat/>
    <w:uiPriority w:val="0"/>
    <w:rPr>
      <w:rFonts w:hint="default" w:ascii="Times New Roman" w:hAnsi="Times New Roman" w:cs="Times New Roman"/>
      <w:sz w:val="21"/>
      <w:szCs w:val="21"/>
    </w:rPr>
  </w:style>
  <w:style w:type="paragraph" w:customStyle="1" w:styleId="99">
    <w:name w:val="正文_6_0_4"/>
    <w:basedOn w:val="100"/>
    <w:next w:val="103"/>
    <w:unhideWhenUsed/>
    <w:qFormat/>
    <w:uiPriority w:val="0"/>
    <w:rPr>
      <w:rFonts w:hint="default" w:cs="宋体"/>
      <w:sz w:val="21"/>
      <w:szCs w:val="21"/>
    </w:rPr>
  </w:style>
  <w:style w:type="paragraph" w:customStyle="1" w:styleId="100">
    <w:name w:val="正文_7_5"/>
    <w:next w:val="10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1">
    <w:name w:val="纯文本_5_4"/>
    <w:basedOn w:val="102"/>
    <w:qFormat/>
    <w:uiPriority w:val="0"/>
    <w:rPr>
      <w:rFonts w:ascii="Cambria" w:hAnsi="Cambria"/>
      <w:b/>
      <w:bCs/>
      <w:kern w:val="28"/>
      <w:sz w:val="32"/>
      <w:szCs w:val="32"/>
    </w:rPr>
  </w:style>
  <w:style w:type="paragraph" w:customStyle="1" w:styleId="102">
    <w:name w:val="正文_8_5"/>
    <w:next w:val="10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3">
    <w:name w:val="正文缩进_1_0_4"/>
    <w:basedOn w:val="104"/>
    <w:qFormat/>
    <w:uiPriority w:val="0"/>
    <w:pPr>
      <w:ind w:firstLine="420" w:firstLineChars="200"/>
    </w:pPr>
  </w:style>
  <w:style w:type="paragraph" w:customStyle="1" w:styleId="104">
    <w:name w:val="正文_5_0_0_4"/>
    <w:basedOn w:val="105"/>
    <w:next w:val="106"/>
    <w:unhideWhenUsed/>
    <w:qFormat/>
    <w:uiPriority w:val="0"/>
    <w:rPr>
      <w:rFonts w:hint="default" w:ascii="Times New Roman" w:hAnsi="Times New Roman" w:cs="Times New Roman"/>
      <w:sz w:val="21"/>
      <w:szCs w:val="21"/>
    </w:rPr>
  </w:style>
  <w:style w:type="paragraph" w:customStyle="1" w:styleId="105">
    <w:name w:val="正文_7_0_4"/>
    <w:basedOn w:val="106"/>
    <w:unhideWhenUsed/>
    <w:qFormat/>
    <w:uiPriority w:val="0"/>
    <w:rPr>
      <w:rFonts w:hint="default" w:cs="宋体"/>
      <w:sz w:val="21"/>
      <w:szCs w:val="21"/>
    </w:rPr>
  </w:style>
  <w:style w:type="paragraph" w:customStyle="1" w:styleId="106">
    <w:name w:val="正文_13_5"/>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7">
    <w:name w:val="正文_0_2_3"/>
    <w:next w:val="97"/>
    <w:unhideWhenUsed/>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8">
    <w:name w:val="正文文本 2_0_2"/>
    <w:basedOn w:val="109"/>
    <w:qFormat/>
    <w:uiPriority w:val="0"/>
    <w:pPr>
      <w:spacing w:before="100" w:beforeAutospacing="1" w:line="480" w:lineRule="auto"/>
    </w:pPr>
  </w:style>
  <w:style w:type="paragraph" w:customStyle="1" w:styleId="109">
    <w:name w:val="正文_1_1_2"/>
    <w:basedOn w:val="57"/>
    <w:next w:val="110"/>
    <w:qFormat/>
    <w:uiPriority w:val="0"/>
    <w:pPr>
      <w:widowControl w:val="0"/>
      <w:jc w:val="both"/>
    </w:pPr>
    <w:rPr>
      <w:rFonts w:ascii="等线" w:hAnsi="等线" w:eastAsia="等线"/>
      <w:kern w:val="2"/>
      <w:sz w:val="21"/>
      <w:szCs w:val="24"/>
      <w:lang w:val="en-US" w:eastAsia="zh-CN" w:bidi="ar-SA"/>
    </w:rPr>
  </w:style>
  <w:style w:type="paragraph" w:customStyle="1" w:styleId="110">
    <w:name w:val="正文首行缩进_1_2"/>
    <w:basedOn w:val="111"/>
    <w:qFormat/>
    <w:uiPriority w:val="99"/>
    <w:pPr>
      <w:ind w:firstLine="420" w:firstLineChars="100"/>
    </w:pPr>
  </w:style>
  <w:style w:type="paragraph" w:customStyle="1" w:styleId="111">
    <w:name w:val="正文文本_1_2"/>
    <w:basedOn w:val="109"/>
    <w:next w:val="108"/>
    <w:qFormat/>
    <w:uiPriority w:val="99"/>
    <w:pPr>
      <w:spacing w:after="120" w:afterLines="0"/>
    </w:pPr>
    <w:rPr>
      <w:rFonts w:ascii="Times New Roman" w:hAnsi="Times New Roman"/>
    </w:rPr>
  </w:style>
  <w:style w:type="paragraph" w:customStyle="1" w:styleId="112">
    <w:name w:val="正文首行缩进_0_0_0_1_2"/>
    <w:basedOn w:val="113"/>
    <w:qFormat/>
    <w:uiPriority w:val="0"/>
  </w:style>
  <w:style w:type="paragraph" w:customStyle="1" w:styleId="113">
    <w:name w:val="正文文本_0_0_0_0_0_2"/>
    <w:basedOn w:val="114"/>
    <w:next w:val="126"/>
    <w:qFormat/>
    <w:uiPriority w:val="0"/>
    <w:rPr>
      <w:kern w:val="0"/>
      <w:sz w:val="20"/>
      <w:szCs w:val="20"/>
    </w:rPr>
  </w:style>
  <w:style w:type="paragraph" w:customStyle="1" w:styleId="114">
    <w:name w:val="正文_0_0_0_0_2"/>
    <w:basedOn w:val="115"/>
    <w:next w:val="118"/>
    <w:qFormat/>
    <w:uiPriority w:val="0"/>
    <w:rPr>
      <w:rFonts w:ascii="等线" w:hAnsi="等线" w:eastAsia="等线"/>
    </w:rPr>
  </w:style>
  <w:style w:type="paragraph" w:customStyle="1" w:styleId="115">
    <w:name w:val="正文_0_1_0_2"/>
    <w:next w:val="116"/>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6">
    <w:name w:val="正文缩进_0_1_0_2"/>
    <w:basedOn w:val="117"/>
    <w:qFormat/>
    <w:uiPriority w:val="0"/>
    <w:pPr>
      <w:ind w:firstLine="420" w:firstLineChars="200"/>
    </w:pPr>
  </w:style>
  <w:style w:type="paragraph" w:customStyle="1" w:styleId="117">
    <w:name w:val="正文_1_1_0_2"/>
    <w:next w:val="11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8">
    <w:name w:val="正文首行缩进_0_1_0_2"/>
    <w:basedOn w:val="119"/>
    <w:qFormat/>
    <w:uiPriority w:val="0"/>
    <w:pPr>
      <w:ind w:firstLine="420" w:firstLineChars="100"/>
    </w:pPr>
  </w:style>
  <w:style w:type="paragraph" w:customStyle="1" w:styleId="119">
    <w:name w:val="正文文本_0_1_2"/>
    <w:basedOn w:val="120"/>
    <w:next w:val="122"/>
    <w:qFormat/>
    <w:uiPriority w:val="0"/>
    <w:pPr>
      <w:spacing w:before="100" w:beforeAutospacing="1" w:after="120"/>
    </w:pPr>
    <w:rPr>
      <w:rFonts w:ascii="等线" w:hAnsi="等线" w:eastAsia="等线"/>
    </w:rPr>
  </w:style>
  <w:style w:type="paragraph" w:customStyle="1" w:styleId="120">
    <w:name w:val="正文_2_0_2"/>
    <w:basedOn w:val="121"/>
    <w:next w:val="119"/>
    <w:qFormat/>
    <w:uiPriority w:val="0"/>
    <w:pPr>
      <w:widowControl w:val="0"/>
      <w:jc w:val="both"/>
    </w:pPr>
    <w:rPr>
      <w:rFonts w:ascii="等线" w:hAnsi="等线" w:eastAsia="等线"/>
      <w:kern w:val="2"/>
      <w:sz w:val="21"/>
      <w:szCs w:val="22"/>
      <w:lang w:val="en-US" w:eastAsia="zh-CN" w:bidi="ar-SA"/>
    </w:rPr>
  </w:style>
  <w:style w:type="paragraph" w:customStyle="1" w:styleId="121">
    <w:name w:val="正文_3_0_2"/>
    <w:basedOn w:val="87"/>
    <w:next w:val="112"/>
    <w:qFormat/>
    <w:uiPriority w:val="0"/>
    <w:pPr>
      <w:widowControl w:val="0"/>
      <w:jc w:val="both"/>
    </w:pPr>
    <w:rPr>
      <w:rFonts w:ascii="等线" w:hAnsi="等线" w:eastAsia="等线"/>
      <w:kern w:val="2"/>
      <w:sz w:val="21"/>
      <w:szCs w:val="22"/>
      <w:lang w:val="en-US" w:eastAsia="zh-CN" w:bidi="ar-SA"/>
    </w:rPr>
  </w:style>
  <w:style w:type="paragraph" w:customStyle="1" w:styleId="122">
    <w:name w:val="正文文本 2_0_3"/>
    <w:basedOn w:val="123"/>
    <w:qFormat/>
    <w:uiPriority w:val="0"/>
    <w:pPr>
      <w:spacing w:before="100" w:beforeAutospacing="1" w:line="480" w:lineRule="auto"/>
    </w:pPr>
  </w:style>
  <w:style w:type="paragraph" w:customStyle="1" w:styleId="123">
    <w:name w:val="正文_7_3"/>
    <w:next w:val="124"/>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4">
    <w:name w:val="纯文本_5_2"/>
    <w:basedOn w:val="125"/>
    <w:qFormat/>
    <w:uiPriority w:val="0"/>
    <w:rPr>
      <w:rFonts w:ascii="Cambria" w:hAnsi="Cambria"/>
      <w:b/>
      <w:bCs/>
      <w:kern w:val="28"/>
      <w:sz w:val="32"/>
      <w:szCs w:val="32"/>
    </w:rPr>
  </w:style>
  <w:style w:type="paragraph" w:customStyle="1" w:styleId="125">
    <w:name w:val="正文_8_3"/>
    <w:next w:val="12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6">
    <w:name w:val="正文文本 2_0_0_2"/>
    <w:basedOn w:val="114"/>
    <w:qFormat/>
    <w:uiPriority w:val="0"/>
    <w:pPr>
      <w:spacing w:before="100" w:beforeAutospacing="1" w:line="480" w:lineRule="auto"/>
    </w:pPr>
  </w:style>
  <w:style w:type="paragraph" w:customStyle="1" w:styleId="127">
    <w:name w:val="正文首行缩进_0_0_0_0_1_2"/>
    <w:basedOn w:val="128"/>
    <w:unhideWhenUsed/>
    <w:qFormat/>
    <w:uiPriority w:val="0"/>
    <w:rPr>
      <w:rFonts w:hint="eastAsia" w:ascii="等线" w:hAnsi="等线" w:eastAsia="等线"/>
      <w:sz w:val="21"/>
      <w:szCs w:val="22"/>
    </w:rPr>
  </w:style>
  <w:style w:type="paragraph" w:customStyle="1" w:styleId="128">
    <w:name w:val="正文_4_0_1_2"/>
    <w:basedOn w:val="87"/>
    <w:next w:val="112"/>
    <w:unhideWhenUsed/>
    <w:qFormat/>
    <w:uiPriority w:val="0"/>
    <w:rPr>
      <w:rFonts w:hint="default"/>
      <w:sz w:val="21"/>
      <w:szCs w:val="22"/>
    </w:rPr>
  </w:style>
  <w:style w:type="paragraph" w:customStyle="1" w:styleId="129">
    <w:name w:val="正文首行缩进_7_1"/>
    <w:basedOn w:val="130"/>
    <w:qFormat/>
    <w:uiPriority w:val="0"/>
    <w:pPr>
      <w:ind w:firstLine="420" w:firstLineChars="100"/>
    </w:pPr>
  </w:style>
  <w:style w:type="paragraph" w:customStyle="1" w:styleId="130">
    <w:name w:val="正文文本_6_1"/>
    <w:basedOn w:val="84"/>
    <w:next w:val="131"/>
    <w:qFormat/>
    <w:uiPriority w:val="0"/>
    <w:pPr>
      <w:spacing w:after="120" w:afterLines="0"/>
    </w:pPr>
    <w:rPr>
      <w:rFonts w:ascii="Times New Roman" w:hAnsi="Times New Roman"/>
    </w:rPr>
  </w:style>
  <w:style w:type="paragraph" w:customStyle="1" w:styleId="131">
    <w:name w:val="正文文本 2_5_1"/>
    <w:basedOn w:val="132"/>
    <w:qFormat/>
    <w:uiPriority w:val="0"/>
  </w:style>
  <w:style w:type="paragraph" w:customStyle="1" w:styleId="132">
    <w:name w:val="正文_0_0_0_5_1"/>
    <w:basedOn w:val="133"/>
    <w:next w:val="158"/>
    <w:qFormat/>
    <w:uiPriority w:val="0"/>
    <w:pPr>
      <w:widowControl w:val="0"/>
      <w:jc w:val="both"/>
    </w:pPr>
    <w:rPr>
      <w:rFonts w:ascii="等线" w:hAnsi="等线" w:eastAsia="等线"/>
      <w:kern w:val="2"/>
      <w:sz w:val="21"/>
      <w:szCs w:val="24"/>
      <w:lang w:val="en-US" w:eastAsia="zh-CN" w:bidi="ar-SA"/>
    </w:rPr>
  </w:style>
  <w:style w:type="paragraph" w:customStyle="1" w:styleId="133">
    <w:name w:val="正文_1_1_6_1"/>
    <w:basedOn w:val="134"/>
    <w:next w:val="154"/>
    <w:qFormat/>
    <w:uiPriority w:val="0"/>
    <w:pPr>
      <w:widowControl w:val="0"/>
      <w:jc w:val="both"/>
    </w:pPr>
    <w:rPr>
      <w:rFonts w:ascii="等线" w:hAnsi="等线" w:eastAsia="等线"/>
      <w:kern w:val="2"/>
      <w:sz w:val="21"/>
      <w:szCs w:val="24"/>
      <w:lang w:val="en-US" w:eastAsia="zh-CN" w:bidi="ar-SA"/>
    </w:rPr>
  </w:style>
  <w:style w:type="paragraph" w:customStyle="1" w:styleId="134">
    <w:name w:val="正文_2_0_4_1"/>
    <w:basedOn w:val="135"/>
    <w:next w:val="152"/>
    <w:qFormat/>
    <w:uiPriority w:val="0"/>
    <w:pPr>
      <w:widowControl w:val="0"/>
      <w:jc w:val="both"/>
    </w:pPr>
    <w:rPr>
      <w:rFonts w:ascii="等线" w:hAnsi="等线" w:eastAsia="等线"/>
      <w:kern w:val="2"/>
      <w:sz w:val="21"/>
      <w:szCs w:val="22"/>
      <w:lang w:val="en-US" w:eastAsia="zh-CN" w:bidi="ar-SA"/>
    </w:rPr>
  </w:style>
  <w:style w:type="paragraph" w:customStyle="1" w:styleId="135">
    <w:name w:val="正文_3_0_4_1"/>
    <w:basedOn w:val="136"/>
    <w:next w:val="145"/>
    <w:qFormat/>
    <w:uiPriority w:val="0"/>
    <w:pPr>
      <w:widowControl w:val="0"/>
      <w:jc w:val="both"/>
    </w:pPr>
    <w:rPr>
      <w:rFonts w:ascii="等线" w:hAnsi="等线" w:eastAsia="等线"/>
      <w:kern w:val="2"/>
      <w:sz w:val="21"/>
      <w:szCs w:val="22"/>
      <w:lang w:val="en-US" w:eastAsia="zh-CN" w:bidi="ar-SA"/>
    </w:rPr>
  </w:style>
  <w:style w:type="paragraph" w:customStyle="1" w:styleId="136">
    <w:name w:val="正文_4_1_4_1"/>
    <w:basedOn w:val="137"/>
    <w:next w:val="142"/>
    <w:qFormat/>
    <w:uiPriority w:val="0"/>
    <w:rPr>
      <w:rFonts w:ascii="Times New Roman" w:hAnsi="Times New Roman" w:cs="Times New Roman"/>
      <w:sz w:val="21"/>
      <w:szCs w:val="21"/>
    </w:rPr>
  </w:style>
  <w:style w:type="paragraph" w:customStyle="1" w:styleId="137">
    <w:name w:val="正文_5_0_4_1"/>
    <w:basedOn w:val="138"/>
    <w:next w:val="141"/>
    <w:qFormat/>
    <w:uiPriority w:val="0"/>
    <w:pPr>
      <w:widowControl w:val="0"/>
      <w:jc w:val="both"/>
    </w:pPr>
    <w:rPr>
      <w:rFonts w:ascii="Calibri" w:hAnsi="Calibri"/>
      <w:kern w:val="2"/>
      <w:sz w:val="21"/>
      <w:szCs w:val="22"/>
      <w:lang w:val="en-US" w:eastAsia="zh-CN" w:bidi="ar-SA"/>
    </w:rPr>
  </w:style>
  <w:style w:type="paragraph" w:customStyle="1" w:styleId="138">
    <w:name w:val="正文_7_5_1"/>
    <w:next w:val="139"/>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9">
    <w:name w:val="纯文本_5_4_1"/>
    <w:basedOn w:val="140"/>
    <w:qFormat/>
    <w:uiPriority w:val="0"/>
    <w:rPr>
      <w:rFonts w:ascii="Cambria" w:hAnsi="Cambria"/>
      <w:b/>
      <w:bCs/>
      <w:kern w:val="28"/>
      <w:sz w:val="32"/>
      <w:szCs w:val="32"/>
    </w:rPr>
  </w:style>
  <w:style w:type="paragraph" w:customStyle="1" w:styleId="140">
    <w:name w:val="正文_8_5_1"/>
    <w:next w:val="139"/>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1">
    <w:name w:val="标题 1_5_4_1"/>
    <w:basedOn w:val="137"/>
    <w:next w:val="137"/>
    <w:qFormat/>
    <w:uiPriority w:val="0"/>
    <w:pPr>
      <w:keepNext/>
      <w:keepLines/>
      <w:spacing w:line="576" w:lineRule="auto"/>
      <w:jc w:val="center"/>
      <w:outlineLvl w:val="0"/>
    </w:pPr>
    <w:rPr>
      <w:rFonts w:eastAsia="黑体"/>
      <w:b/>
      <w:bCs/>
      <w:kern w:val="32"/>
      <w:sz w:val="32"/>
      <w:szCs w:val="32"/>
    </w:rPr>
  </w:style>
  <w:style w:type="paragraph" w:customStyle="1" w:styleId="142">
    <w:name w:val="正文首行缩进_0_0_1_4_1"/>
    <w:basedOn w:val="143"/>
    <w:qFormat/>
    <w:uiPriority w:val="0"/>
    <w:pPr>
      <w:ind w:firstLine="420" w:firstLineChars="100"/>
    </w:pPr>
    <w:rPr>
      <w:rFonts w:ascii="等线" w:hAnsi="等线"/>
    </w:rPr>
  </w:style>
  <w:style w:type="paragraph" w:customStyle="1" w:styleId="143">
    <w:name w:val="正文文本_0_0_0_0_5_1"/>
    <w:basedOn w:val="132"/>
    <w:next w:val="144"/>
    <w:semiHidden/>
    <w:qFormat/>
    <w:uiPriority w:val="0"/>
    <w:pPr>
      <w:spacing w:before="100" w:beforeAutospacing="1" w:after="120"/>
    </w:pPr>
    <w:rPr>
      <w:kern w:val="0"/>
      <w:sz w:val="20"/>
      <w:szCs w:val="20"/>
    </w:rPr>
  </w:style>
  <w:style w:type="paragraph" w:customStyle="1" w:styleId="144">
    <w:name w:val="正文文本 2_0_5_1"/>
    <w:basedOn w:val="138"/>
    <w:qFormat/>
    <w:uiPriority w:val="0"/>
    <w:pPr>
      <w:spacing w:before="100" w:beforeAutospacing="1" w:line="480" w:lineRule="auto"/>
    </w:pPr>
  </w:style>
  <w:style w:type="paragraph" w:customStyle="1" w:styleId="145">
    <w:name w:val="正文首行缩进_0_0_0_1_4_1"/>
    <w:basedOn w:val="146"/>
    <w:qFormat/>
    <w:uiPriority w:val="0"/>
  </w:style>
  <w:style w:type="paragraph" w:customStyle="1" w:styleId="146">
    <w:name w:val="正文文本_0_0_0_0_0_4_1"/>
    <w:basedOn w:val="147"/>
    <w:next w:val="153"/>
    <w:qFormat/>
    <w:uiPriority w:val="0"/>
    <w:rPr>
      <w:kern w:val="0"/>
      <w:sz w:val="20"/>
      <w:szCs w:val="20"/>
    </w:rPr>
  </w:style>
  <w:style w:type="paragraph" w:customStyle="1" w:styleId="147">
    <w:name w:val="正文_0_0_0_0_4_1"/>
    <w:basedOn w:val="148"/>
    <w:next w:val="151"/>
    <w:qFormat/>
    <w:uiPriority w:val="0"/>
    <w:rPr>
      <w:rFonts w:ascii="等线" w:hAnsi="等线" w:eastAsia="等线"/>
    </w:rPr>
  </w:style>
  <w:style w:type="paragraph" w:customStyle="1" w:styleId="148">
    <w:name w:val="正文_0_1_0_4_1"/>
    <w:next w:val="149"/>
    <w:qFormat/>
    <w:uiPriority w:val="0"/>
    <w:pPr>
      <w:widowControl w:val="0"/>
      <w:jc w:val="both"/>
    </w:pPr>
    <w:rPr>
      <w:rFonts w:ascii="Calibri" w:hAnsi="Calibri" w:eastAsia="宋体" w:cs="Times New Roman"/>
      <w:kern w:val="2"/>
      <w:sz w:val="21"/>
      <w:szCs w:val="22"/>
      <w:lang w:val="en-US" w:eastAsia="zh-CN" w:bidi="ar-SA"/>
    </w:rPr>
  </w:style>
  <w:style w:type="paragraph" w:customStyle="1" w:styleId="149">
    <w:name w:val="正文缩进_0_1_0_4_1"/>
    <w:basedOn w:val="150"/>
    <w:qFormat/>
    <w:uiPriority w:val="0"/>
    <w:pPr>
      <w:ind w:firstLine="420" w:firstLineChars="200"/>
    </w:pPr>
  </w:style>
  <w:style w:type="paragraph" w:customStyle="1" w:styleId="150">
    <w:name w:val="正文_1_1_0_4_1"/>
    <w:next w:val="149"/>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1">
    <w:name w:val="正文首行缩进_0_1_0_4_1"/>
    <w:basedOn w:val="152"/>
    <w:qFormat/>
    <w:uiPriority w:val="0"/>
    <w:pPr>
      <w:ind w:firstLine="420" w:firstLineChars="100"/>
    </w:pPr>
  </w:style>
  <w:style w:type="paragraph" w:customStyle="1" w:styleId="152">
    <w:name w:val="正文文本_0_1_4_1"/>
    <w:basedOn w:val="134"/>
    <w:next w:val="144"/>
    <w:qFormat/>
    <w:uiPriority w:val="0"/>
    <w:pPr>
      <w:spacing w:before="100" w:beforeAutospacing="1" w:after="120"/>
    </w:pPr>
    <w:rPr>
      <w:rFonts w:ascii="等线" w:hAnsi="等线" w:eastAsia="等线"/>
    </w:rPr>
  </w:style>
  <w:style w:type="paragraph" w:customStyle="1" w:styleId="153">
    <w:name w:val="正文文本 2_0_0_4_1"/>
    <w:basedOn w:val="147"/>
    <w:qFormat/>
    <w:uiPriority w:val="0"/>
    <w:pPr>
      <w:spacing w:before="100" w:beforeAutospacing="1" w:line="480" w:lineRule="auto"/>
    </w:pPr>
  </w:style>
  <w:style w:type="paragraph" w:customStyle="1" w:styleId="154">
    <w:name w:val="正文缩进_1_0_4_1"/>
    <w:basedOn w:val="155"/>
    <w:qFormat/>
    <w:uiPriority w:val="0"/>
    <w:pPr>
      <w:ind w:firstLine="420" w:firstLineChars="200"/>
    </w:pPr>
  </w:style>
  <w:style w:type="paragraph" w:customStyle="1" w:styleId="155">
    <w:name w:val="正文_5_0_0_4_1"/>
    <w:basedOn w:val="156"/>
    <w:next w:val="157"/>
    <w:qFormat/>
    <w:uiPriority w:val="0"/>
    <w:rPr>
      <w:rFonts w:ascii="Times New Roman" w:hAnsi="Times New Roman" w:eastAsia="宋体" w:cs="Times New Roman"/>
    </w:rPr>
  </w:style>
  <w:style w:type="paragraph" w:customStyle="1" w:styleId="156">
    <w:name w:val="正文_7_0_4_1"/>
    <w:basedOn w:val="157"/>
    <w:qFormat/>
    <w:uiPriority w:val="0"/>
    <w:rPr>
      <w:rFonts w:ascii="Calibri" w:hAnsi="Calibri" w:eastAsia="宋体" w:cs="宋体"/>
      <w:szCs w:val="21"/>
    </w:rPr>
  </w:style>
  <w:style w:type="paragraph" w:customStyle="1" w:styleId="157">
    <w:name w:val="正文_13_5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58">
    <w:name w:val="正文首行缩进_0_0_5_1"/>
    <w:basedOn w:val="159"/>
    <w:qFormat/>
    <w:uiPriority w:val="0"/>
    <w:pPr>
      <w:ind w:firstLine="420" w:firstLineChars="100"/>
    </w:pPr>
    <w:rPr>
      <w:rFonts w:ascii="Calibri" w:hAnsi="Calibri" w:eastAsia="等线"/>
    </w:rPr>
  </w:style>
  <w:style w:type="paragraph" w:customStyle="1" w:styleId="159">
    <w:name w:val="正文文本_0_0_4_1"/>
    <w:basedOn w:val="132"/>
    <w:next w:val="131"/>
    <w:qFormat/>
    <w:uiPriority w:val="0"/>
    <w:pPr>
      <w:spacing w:after="120"/>
    </w:pPr>
    <w:rPr>
      <w:rFonts w:ascii="等线" w:hAnsi="等线" w:eastAsia="等线"/>
      <w:kern w:val="0"/>
      <w:sz w:val="20"/>
      <w:szCs w:val="24"/>
    </w:rPr>
  </w:style>
  <w:style w:type="paragraph" w:customStyle="1" w:styleId="160">
    <w:name w:val="正文首行缩进_0_3_1"/>
    <w:basedOn w:val="161"/>
    <w:qFormat/>
    <w:uiPriority w:val="0"/>
    <w:pPr>
      <w:ind w:firstLine="420" w:firstLineChars="100"/>
    </w:pPr>
  </w:style>
  <w:style w:type="paragraph" w:customStyle="1" w:styleId="161">
    <w:name w:val="正文文本_0_3_1"/>
    <w:basedOn w:val="162"/>
    <w:next w:val="163"/>
    <w:qFormat/>
    <w:uiPriority w:val="0"/>
    <w:pPr>
      <w:spacing w:after="120" w:afterLines="0"/>
    </w:pPr>
    <w:rPr>
      <w:rFonts w:ascii="Times New Roman" w:hAnsi="Times New Roman"/>
    </w:rPr>
  </w:style>
  <w:style w:type="paragraph" w:customStyle="1" w:styleId="162">
    <w:name w:val="正文_19_0_1"/>
    <w:next w:val="16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3">
    <w:name w:val="正文文本 2_1_1_1"/>
    <w:basedOn w:val="164"/>
    <w:qFormat/>
    <w:uiPriority w:val="0"/>
  </w:style>
  <w:style w:type="paragraph" w:customStyle="1" w:styleId="164">
    <w:name w:val="正文_5_1_1_1"/>
    <w:basedOn w:val="165"/>
    <w:next w:val="172"/>
    <w:qFormat/>
    <w:uiPriority w:val="0"/>
    <w:pPr>
      <w:widowControl w:val="0"/>
      <w:jc w:val="both"/>
    </w:pPr>
    <w:rPr>
      <w:rFonts w:ascii="Calibri" w:hAnsi="Calibri"/>
      <w:kern w:val="2"/>
      <w:sz w:val="21"/>
      <w:szCs w:val="22"/>
      <w:lang w:val="en-US" w:eastAsia="zh-CN" w:bidi="ar-SA"/>
    </w:rPr>
  </w:style>
  <w:style w:type="paragraph" w:customStyle="1" w:styleId="165">
    <w:name w:val="正文_6_0_2_1"/>
    <w:basedOn w:val="166"/>
    <w:next w:val="169"/>
    <w:qFormat/>
    <w:uiPriority w:val="0"/>
    <w:pPr>
      <w:widowControl w:val="0"/>
      <w:jc w:val="both"/>
    </w:pPr>
    <w:rPr>
      <w:rFonts w:ascii="Calibri" w:hAnsi="Calibri"/>
      <w:kern w:val="2"/>
      <w:sz w:val="21"/>
      <w:szCs w:val="22"/>
      <w:lang w:val="en-US" w:eastAsia="zh-CN" w:bidi="ar-SA"/>
    </w:rPr>
  </w:style>
  <w:style w:type="paragraph" w:customStyle="1" w:styleId="166">
    <w:name w:val="正文_7_0_1_1"/>
    <w:next w:val="167"/>
    <w:qFormat/>
    <w:uiPriority w:val="0"/>
    <w:pPr>
      <w:widowControl w:val="0"/>
      <w:jc w:val="both"/>
    </w:pPr>
    <w:rPr>
      <w:rFonts w:ascii="Calibri" w:hAnsi="Calibri" w:eastAsia="宋体" w:cs="Times New Roman"/>
      <w:kern w:val="2"/>
      <w:sz w:val="21"/>
      <w:szCs w:val="22"/>
      <w:lang w:val="en-US" w:eastAsia="zh-CN" w:bidi="ar-SA"/>
    </w:rPr>
  </w:style>
  <w:style w:type="paragraph" w:customStyle="1" w:styleId="167">
    <w:name w:val="纯文本_5_0_1_1"/>
    <w:basedOn w:val="168"/>
    <w:qFormat/>
    <w:uiPriority w:val="0"/>
    <w:rPr>
      <w:rFonts w:ascii="Cambria" w:hAnsi="Cambria"/>
      <w:b/>
      <w:bCs/>
      <w:kern w:val="28"/>
      <w:sz w:val="32"/>
      <w:szCs w:val="32"/>
    </w:rPr>
  </w:style>
  <w:style w:type="paragraph" w:customStyle="1" w:styleId="168">
    <w:name w:val="正文_8_0_1_1"/>
    <w:next w:val="16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9">
    <w:name w:val="标题 3_1_1_1"/>
    <w:basedOn w:val="170"/>
    <w:next w:val="165"/>
    <w:unhideWhenUsed/>
    <w:qFormat/>
    <w:uiPriority w:val="9"/>
    <w:pPr>
      <w:keepNext/>
      <w:keepLines/>
      <w:spacing w:before="260" w:after="260" w:line="416" w:lineRule="auto"/>
      <w:outlineLvl w:val="2"/>
    </w:pPr>
    <w:rPr>
      <w:b/>
      <w:bCs/>
      <w:sz w:val="32"/>
      <w:szCs w:val="32"/>
    </w:rPr>
  </w:style>
  <w:style w:type="paragraph" w:customStyle="1" w:styleId="170">
    <w:name w:val="正文_8_1_1_1"/>
    <w:next w:val="17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71">
    <w:name w:val="正文缩进_4_0_1_1"/>
    <w:basedOn w:val="170"/>
    <w:qFormat/>
    <w:uiPriority w:val="0"/>
    <w:pPr>
      <w:ind w:firstLine="420" w:firstLineChars="200"/>
    </w:pPr>
    <w:rPr>
      <w:rFonts w:ascii="Times New Roman" w:hAnsi="Times New Roman" w:eastAsia="宋体" w:cs="Times New Roman"/>
      <w:szCs w:val="24"/>
    </w:rPr>
  </w:style>
  <w:style w:type="paragraph" w:customStyle="1" w:styleId="172">
    <w:name w:val="Normal Indent1_0_1_1"/>
    <w:basedOn w:val="173"/>
    <w:qFormat/>
    <w:uiPriority w:val="0"/>
    <w:pPr>
      <w:ind w:firstLine="420" w:firstLineChars="200"/>
    </w:pPr>
    <w:rPr>
      <w:kern w:val="2"/>
    </w:rPr>
  </w:style>
  <w:style w:type="paragraph" w:customStyle="1" w:styleId="173">
    <w:name w:val="正文_10_0_1_1"/>
    <w:basedOn w:val="174"/>
    <w:next w:val="172"/>
    <w:qFormat/>
    <w:uiPriority w:val="0"/>
    <w:pPr>
      <w:widowControl w:val="0"/>
      <w:jc w:val="both"/>
    </w:pPr>
    <w:rPr>
      <w:rFonts w:ascii="Calibri" w:hAnsi="Calibri"/>
      <w:kern w:val="2"/>
      <w:sz w:val="21"/>
      <w:szCs w:val="22"/>
      <w:lang w:val="en-US" w:eastAsia="zh-CN" w:bidi="ar-SA"/>
    </w:rPr>
  </w:style>
  <w:style w:type="paragraph" w:customStyle="1" w:styleId="174">
    <w:name w:val="正文_6_0_0_2_1"/>
    <w:basedOn w:val="175"/>
    <w:next w:val="176"/>
    <w:qFormat/>
    <w:uiPriority w:val="0"/>
    <w:pPr>
      <w:widowControl w:val="0"/>
      <w:jc w:val="both"/>
    </w:pPr>
    <w:rPr>
      <w:kern w:val="2"/>
      <w:sz w:val="21"/>
      <w:szCs w:val="22"/>
      <w:lang w:val="en-US" w:eastAsia="zh-CN" w:bidi="ar-SA"/>
    </w:rPr>
  </w:style>
  <w:style w:type="paragraph" w:customStyle="1" w:styleId="175">
    <w:name w:val="正文_0_3_2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6">
    <w:name w:val="正文首行缩进_2_0_2_1"/>
    <w:basedOn w:val="174"/>
    <w:qFormat/>
    <w:uiPriority w:val="0"/>
    <w:pPr>
      <w:ind w:firstLine="420" w:firstLineChars="100"/>
    </w:pPr>
  </w:style>
  <w:style w:type="paragraph" w:customStyle="1" w:styleId="177">
    <w:name w:val="正文首行缩进_0_0_3_1"/>
    <w:basedOn w:val="178"/>
    <w:qFormat/>
    <w:uiPriority w:val="0"/>
    <w:pPr>
      <w:ind w:firstLine="420" w:firstLineChars="100"/>
    </w:pPr>
    <w:rPr>
      <w:rFonts w:ascii="Calibri" w:hAnsi="Calibri" w:eastAsia="等线"/>
    </w:rPr>
  </w:style>
  <w:style w:type="paragraph" w:customStyle="1" w:styleId="178">
    <w:name w:val="正文文本_0_0_2_1"/>
    <w:basedOn w:val="179"/>
    <w:next w:val="365"/>
    <w:qFormat/>
    <w:uiPriority w:val="0"/>
    <w:pPr>
      <w:spacing w:after="120"/>
    </w:pPr>
    <w:rPr>
      <w:rFonts w:ascii="等线" w:hAnsi="等线" w:eastAsia="等线"/>
      <w:kern w:val="0"/>
      <w:sz w:val="20"/>
      <w:szCs w:val="24"/>
    </w:rPr>
  </w:style>
  <w:style w:type="paragraph" w:customStyle="1" w:styleId="179">
    <w:name w:val="正文_0_0_0_3_1"/>
    <w:basedOn w:val="180"/>
    <w:next w:val="182"/>
    <w:qFormat/>
    <w:uiPriority w:val="0"/>
    <w:pPr>
      <w:widowControl w:val="0"/>
      <w:jc w:val="both"/>
    </w:pPr>
    <w:rPr>
      <w:rFonts w:ascii="等线" w:hAnsi="等线" w:eastAsia="等线"/>
      <w:kern w:val="2"/>
      <w:sz w:val="21"/>
      <w:szCs w:val="24"/>
      <w:lang w:val="en-US" w:eastAsia="zh-CN" w:bidi="ar-SA"/>
    </w:rPr>
  </w:style>
  <w:style w:type="paragraph" w:customStyle="1" w:styleId="180">
    <w:name w:val="正文_1_2_3_1"/>
    <w:next w:val="181"/>
    <w:qFormat/>
    <w:uiPriority w:val="0"/>
    <w:pPr>
      <w:widowControl w:val="0"/>
      <w:jc w:val="both"/>
    </w:pPr>
    <w:rPr>
      <w:rFonts w:ascii="等线" w:hAnsi="等线" w:eastAsia="等线" w:cs="Times New Roman"/>
      <w:kern w:val="2"/>
      <w:sz w:val="21"/>
      <w:szCs w:val="22"/>
      <w:lang w:val="en-US" w:eastAsia="zh-CN" w:bidi="ar-SA"/>
    </w:rPr>
  </w:style>
  <w:style w:type="paragraph" w:customStyle="1" w:styleId="181">
    <w:name w:val="正文缩进_1_1_3_1"/>
    <w:basedOn w:val="180"/>
    <w:unhideWhenUsed/>
    <w:qFormat/>
    <w:uiPriority w:val="0"/>
    <w:pPr>
      <w:spacing w:beforeLines="0" w:afterLines="0"/>
      <w:ind w:firstLine="420" w:firstLineChars="200"/>
    </w:pPr>
    <w:rPr>
      <w:rFonts w:hint="default" w:ascii="Times New Roman" w:hAnsi="Times New Roman"/>
      <w:sz w:val="21"/>
    </w:rPr>
  </w:style>
  <w:style w:type="paragraph" w:customStyle="1" w:styleId="182">
    <w:name w:val="正文首行缩进_0_1_3_1"/>
    <w:basedOn w:val="183"/>
    <w:qFormat/>
    <w:uiPriority w:val="0"/>
  </w:style>
  <w:style w:type="paragraph" w:customStyle="1" w:styleId="183">
    <w:name w:val="正文文本_0_1_3_1"/>
    <w:basedOn w:val="184"/>
    <w:next w:val="200"/>
    <w:qFormat/>
    <w:uiPriority w:val="0"/>
    <w:pPr>
      <w:spacing w:before="100" w:beforeAutospacing="1" w:after="120"/>
    </w:pPr>
    <w:rPr>
      <w:rFonts w:ascii="等线" w:hAnsi="等线" w:eastAsia="等线"/>
    </w:rPr>
  </w:style>
  <w:style w:type="paragraph" w:customStyle="1" w:styleId="184">
    <w:name w:val="正文_2_0_3_1"/>
    <w:basedOn w:val="185"/>
    <w:next w:val="364"/>
    <w:qFormat/>
    <w:uiPriority w:val="0"/>
    <w:pPr>
      <w:widowControl w:val="0"/>
      <w:jc w:val="both"/>
    </w:pPr>
    <w:rPr>
      <w:rFonts w:ascii="等线" w:hAnsi="等线" w:eastAsia="等线"/>
      <w:kern w:val="2"/>
      <w:sz w:val="21"/>
      <w:szCs w:val="22"/>
      <w:lang w:val="en-US" w:eastAsia="zh-CN" w:bidi="ar-SA"/>
    </w:rPr>
  </w:style>
  <w:style w:type="paragraph" w:customStyle="1" w:styleId="185">
    <w:name w:val="正文_3_0_3_1"/>
    <w:basedOn w:val="186"/>
    <w:next w:val="350"/>
    <w:qFormat/>
    <w:uiPriority w:val="0"/>
    <w:pPr>
      <w:widowControl w:val="0"/>
      <w:jc w:val="both"/>
    </w:pPr>
    <w:rPr>
      <w:rFonts w:ascii="等线" w:hAnsi="等线" w:eastAsia="等线"/>
      <w:kern w:val="2"/>
      <w:sz w:val="21"/>
      <w:szCs w:val="22"/>
      <w:lang w:val="en-US" w:eastAsia="zh-CN" w:bidi="ar-SA"/>
    </w:rPr>
  </w:style>
  <w:style w:type="paragraph" w:customStyle="1" w:styleId="186">
    <w:name w:val="正文_4_1_3_1"/>
    <w:basedOn w:val="187"/>
    <w:next w:val="192"/>
    <w:qFormat/>
    <w:uiPriority w:val="0"/>
    <w:rPr>
      <w:rFonts w:ascii="Times New Roman" w:hAnsi="Times New Roman" w:cs="Times New Roman"/>
      <w:sz w:val="21"/>
      <w:szCs w:val="21"/>
    </w:rPr>
  </w:style>
  <w:style w:type="paragraph" w:customStyle="1" w:styleId="187">
    <w:name w:val="正文_5_0_3_1"/>
    <w:basedOn w:val="188"/>
    <w:next w:val="191"/>
    <w:qFormat/>
    <w:uiPriority w:val="0"/>
    <w:pPr>
      <w:widowControl w:val="0"/>
      <w:jc w:val="both"/>
    </w:pPr>
    <w:rPr>
      <w:rFonts w:ascii="Calibri" w:hAnsi="Calibri"/>
      <w:kern w:val="2"/>
      <w:sz w:val="21"/>
      <w:szCs w:val="22"/>
      <w:lang w:val="en-US" w:eastAsia="zh-CN" w:bidi="ar-SA"/>
    </w:rPr>
  </w:style>
  <w:style w:type="paragraph" w:customStyle="1" w:styleId="188">
    <w:name w:val="正文_7_4_1"/>
    <w:next w:val="189"/>
    <w:qFormat/>
    <w:uiPriority w:val="0"/>
    <w:pPr>
      <w:widowControl w:val="0"/>
      <w:jc w:val="both"/>
    </w:pPr>
    <w:rPr>
      <w:rFonts w:ascii="Calibri" w:hAnsi="Calibri" w:eastAsia="宋体" w:cs="Times New Roman"/>
      <w:kern w:val="2"/>
      <w:sz w:val="21"/>
      <w:szCs w:val="22"/>
      <w:lang w:val="en-US" w:eastAsia="zh-CN" w:bidi="ar-SA"/>
    </w:rPr>
  </w:style>
  <w:style w:type="paragraph" w:customStyle="1" w:styleId="189">
    <w:name w:val="纯文本_5_3_1"/>
    <w:basedOn w:val="190"/>
    <w:qFormat/>
    <w:uiPriority w:val="0"/>
    <w:rPr>
      <w:rFonts w:ascii="Cambria" w:hAnsi="Cambria"/>
      <w:b/>
      <w:bCs/>
      <w:kern w:val="28"/>
      <w:sz w:val="32"/>
      <w:szCs w:val="32"/>
    </w:rPr>
  </w:style>
  <w:style w:type="paragraph" w:customStyle="1" w:styleId="190">
    <w:name w:val="正文_8_4_1"/>
    <w:next w:val="189"/>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1">
    <w:name w:val="标题 1_5_3_1"/>
    <w:basedOn w:val="187"/>
    <w:next w:val="187"/>
    <w:qFormat/>
    <w:uiPriority w:val="0"/>
    <w:pPr>
      <w:keepNext/>
      <w:keepLines/>
      <w:spacing w:line="576" w:lineRule="auto"/>
      <w:jc w:val="center"/>
      <w:outlineLvl w:val="0"/>
    </w:pPr>
    <w:rPr>
      <w:rFonts w:eastAsia="黑体"/>
      <w:b/>
      <w:bCs/>
      <w:kern w:val="32"/>
      <w:sz w:val="32"/>
      <w:szCs w:val="32"/>
    </w:rPr>
  </w:style>
  <w:style w:type="paragraph" w:customStyle="1" w:styleId="192">
    <w:name w:val="正文首行缩进_0_0_1_3_1"/>
    <w:basedOn w:val="193"/>
    <w:qFormat/>
    <w:uiPriority w:val="0"/>
    <w:pPr>
      <w:ind w:firstLine="420" w:firstLineChars="100"/>
    </w:pPr>
    <w:rPr>
      <w:rFonts w:ascii="等线" w:hAnsi="等线"/>
    </w:rPr>
  </w:style>
  <w:style w:type="paragraph" w:customStyle="1" w:styleId="193">
    <w:name w:val="正文文本_0_0_0_0_4_1"/>
    <w:basedOn w:val="194"/>
    <w:next w:val="200"/>
    <w:semiHidden/>
    <w:qFormat/>
    <w:uiPriority w:val="0"/>
    <w:pPr>
      <w:spacing w:before="100" w:beforeAutospacing="1" w:after="120"/>
    </w:pPr>
    <w:rPr>
      <w:kern w:val="0"/>
      <w:sz w:val="20"/>
      <w:szCs w:val="20"/>
    </w:rPr>
  </w:style>
  <w:style w:type="paragraph" w:customStyle="1" w:styleId="194">
    <w:name w:val="正文_0_0_0_4_1"/>
    <w:basedOn w:val="195"/>
    <w:next w:val="197"/>
    <w:qFormat/>
    <w:uiPriority w:val="0"/>
    <w:pPr>
      <w:widowControl w:val="0"/>
      <w:jc w:val="both"/>
    </w:pPr>
    <w:rPr>
      <w:rFonts w:ascii="等线" w:hAnsi="等线" w:eastAsia="等线"/>
      <w:kern w:val="2"/>
      <w:sz w:val="21"/>
      <w:szCs w:val="24"/>
      <w:lang w:val="en-US" w:eastAsia="zh-CN" w:bidi="ar-SA"/>
    </w:rPr>
  </w:style>
  <w:style w:type="paragraph" w:customStyle="1" w:styleId="195">
    <w:name w:val="正文_1_1_5_1"/>
    <w:basedOn w:val="184"/>
    <w:next w:val="196"/>
    <w:qFormat/>
    <w:uiPriority w:val="0"/>
    <w:pPr>
      <w:widowControl w:val="0"/>
      <w:jc w:val="both"/>
    </w:pPr>
    <w:rPr>
      <w:rFonts w:ascii="等线" w:hAnsi="等线" w:eastAsia="等线"/>
      <w:kern w:val="2"/>
      <w:sz w:val="21"/>
      <w:szCs w:val="24"/>
      <w:lang w:val="en-US" w:eastAsia="zh-CN" w:bidi="ar-SA"/>
    </w:rPr>
  </w:style>
  <w:style w:type="paragraph" w:customStyle="1" w:styleId="196">
    <w:name w:val="正文缩进_1_0_3_1"/>
    <w:basedOn w:val="184"/>
    <w:qFormat/>
    <w:uiPriority w:val="0"/>
    <w:pPr>
      <w:ind w:firstLine="420" w:firstLineChars="200"/>
    </w:pPr>
  </w:style>
  <w:style w:type="paragraph" w:customStyle="1" w:styleId="197">
    <w:name w:val="正文首行缩进_0_0_4_1"/>
    <w:basedOn w:val="198"/>
    <w:qFormat/>
    <w:uiPriority w:val="0"/>
    <w:pPr>
      <w:ind w:firstLine="420" w:firstLineChars="100"/>
    </w:pPr>
    <w:rPr>
      <w:rFonts w:ascii="Calibri" w:hAnsi="Calibri" w:eastAsia="等线"/>
    </w:rPr>
  </w:style>
  <w:style w:type="paragraph" w:customStyle="1" w:styleId="198">
    <w:name w:val="正文文本_0_0_3_1"/>
    <w:basedOn w:val="194"/>
    <w:next w:val="199"/>
    <w:qFormat/>
    <w:uiPriority w:val="0"/>
    <w:pPr>
      <w:spacing w:after="120"/>
    </w:pPr>
    <w:rPr>
      <w:rFonts w:ascii="等线" w:hAnsi="等线" w:eastAsia="等线"/>
      <w:kern w:val="0"/>
      <w:sz w:val="20"/>
      <w:szCs w:val="24"/>
    </w:rPr>
  </w:style>
  <w:style w:type="paragraph" w:customStyle="1" w:styleId="199">
    <w:name w:val="正文文本 2_4_2"/>
    <w:basedOn w:val="194"/>
    <w:qFormat/>
    <w:uiPriority w:val="0"/>
  </w:style>
  <w:style w:type="paragraph" w:customStyle="1" w:styleId="200">
    <w:name w:val="正文文本 2_0_4_1"/>
    <w:basedOn w:val="201"/>
    <w:qFormat/>
    <w:uiPriority w:val="0"/>
    <w:pPr>
      <w:spacing w:before="100" w:beforeAutospacing="1" w:line="480" w:lineRule="auto"/>
    </w:pPr>
  </w:style>
  <w:style w:type="paragraph" w:customStyle="1" w:styleId="201">
    <w:name w:val="正文_1_1_4_1"/>
    <w:basedOn w:val="202"/>
    <w:next w:val="348"/>
    <w:qFormat/>
    <w:uiPriority w:val="0"/>
    <w:pPr>
      <w:widowControl w:val="0"/>
      <w:jc w:val="both"/>
    </w:pPr>
    <w:rPr>
      <w:rFonts w:ascii="等线" w:hAnsi="等线" w:eastAsia="等线"/>
      <w:kern w:val="2"/>
      <w:sz w:val="21"/>
      <w:szCs w:val="24"/>
      <w:lang w:val="en-US" w:eastAsia="zh-CN" w:bidi="ar-SA"/>
    </w:rPr>
  </w:style>
  <w:style w:type="paragraph" w:customStyle="1" w:styleId="202">
    <w:name w:val="正文_2_0_2_1"/>
    <w:basedOn w:val="203"/>
    <w:next w:val="234"/>
    <w:qFormat/>
    <w:uiPriority w:val="0"/>
    <w:pPr>
      <w:widowControl w:val="0"/>
      <w:jc w:val="both"/>
    </w:pPr>
    <w:rPr>
      <w:rFonts w:ascii="等线" w:hAnsi="等线" w:eastAsia="等线"/>
      <w:kern w:val="2"/>
      <w:sz w:val="21"/>
      <w:szCs w:val="22"/>
      <w:lang w:val="en-US" w:eastAsia="zh-CN" w:bidi="ar-SA"/>
    </w:rPr>
  </w:style>
  <w:style w:type="paragraph" w:customStyle="1" w:styleId="203">
    <w:name w:val="正文_3_0_2_1"/>
    <w:basedOn w:val="204"/>
    <w:next w:val="227"/>
    <w:qFormat/>
    <w:uiPriority w:val="0"/>
    <w:pPr>
      <w:widowControl w:val="0"/>
      <w:jc w:val="both"/>
    </w:pPr>
    <w:rPr>
      <w:rFonts w:ascii="等线" w:hAnsi="等线" w:eastAsia="等线"/>
      <w:kern w:val="2"/>
      <w:sz w:val="21"/>
      <w:szCs w:val="22"/>
      <w:lang w:val="en-US" w:eastAsia="zh-CN" w:bidi="ar-SA"/>
    </w:rPr>
  </w:style>
  <w:style w:type="paragraph" w:customStyle="1" w:styleId="204">
    <w:name w:val="正文_4_1_2_1"/>
    <w:basedOn w:val="205"/>
    <w:next w:val="221"/>
    <w:qFormat/>
    <w:uiPriority w:val="0"/>
    <w:rPr>
      <w:rFonts w:ascii="Times New Roman" w:hAnsi="Times New Roman" w:cs="Times New Roman"/>
      <w:sz w:val="21"/>
      <w:szCs w:val="21"/>
    </w:rPr>
  </w:style>
  <w:style w:type="paragraph" w:customStyle="1" w:styleId="205">
    <w:name w:val="正文_5_0_2_1"/>
    <w:basedOn w:val="206"/>
    <w:next w:val="220"/>
    <w:qFormat/>
    <w:uiPriority w:val="0"/>
    <w:pPr>
      <w:widowControl w:val="0"/>
      <w:jc w:val="both"/>
    </w:pPr>
    <w:rPr>
      <w:rFonts w:ascii="Calibri" w:hAnsi="Calibri"/>
      <w:kern w:val="2"/>
      <w:sz w:val="21"/>
      <w:szCs w:val="22"/>
      <w:lang w:val="en-US" w:eastAsia="zh-CN" w:bidi="ar-SA"/>
    </w:rPr>
  </w:style>
  <w:style w:type="paragraph" w:customStyle="1" w:styleId="206">
    <w:name w:val="正文_7_1_2"/>
    <w:next w:val="207"/>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07">
    <w:name w:val="标题 3_3_0_1"/>
    <w:basedOn w:val="208"/>
    <w:next w:val="206"/>
    <w:qFormat/>
    <w:uiPriority w:val="9"/>
    <w:pPr>
      <w:keepNext/>
      <w:keepLines/>
      <w:spacing w:before="260" w:after="260" w:line="416" w:lineRule="auto"/>
      <w:outlineLvl w:val="2"/>
    </w:pPr>
    <w:rPr>
      <w:b/>
      <w:bCs/>
      <w:sz w:val="32"/>
      <w:szCs w:val="32"/>
    </w:rPr>
  </w:style>
  <w:style w:type="paragraph" w:customStyle="1" w:styleId="208">
    <w:name w:val="正文_5_1_2"/>
    <w:next w:val="209"/>
    <w:qFormat/>
    <w:uiPriority w:val="0"/>
    <w:pPr>
      <w:widowControl w:val="0"/>
      <w:jc w:val="both"/>
    </w:pPr>
    <w:rPr>
      <w:rFonts w:ascii="Calibri" w:hAnsi="Calibri" w:eastAsia="宋体" w:cs="Times New Roman"/>
      <w:kern w:val="2"/>
      <w:sz w:val="21"/>
      <w:szCs w:val="22"/>
      <w:lang w:val="en-US" w:eastAsia="zh-CN" w:bidi="ar-SA"/>
    </w:rPr>
  </w:style>
  <w:style w:type="paragraph" w:customStyle="1" w:styleId="209">
    <w:name w:val="正文首行缩进_0_4_1"/>
    <w:basedOn w:val="210"/>
    <w:qFormat/>
    <w:uiPriority w:val="99"/>
    <w:pPr>
      <w:ind w:firstLine="420" w:firstLineChars="100"/>
    </w:pPr>
  </w:style>
  <w:style w:type="paragraph" w:customStyle="1" w:styleId="210">
    <w:name w:val="正文文本_0_4_1"/>
    <w:basedOn w:val="211"/>
    <w:next w:val="215"/>
    <w:qFormat/>
    <w:uiPriority w:val="99"/>
    <w:pPr>
      <w:spacing w:after="120" w:afterLines="0"/>
    </w:pPr>
    <w:rPr>
      <w:rFonts w:ascii="Times New Roman" w:hAnsi="Times New Roman"/>
    </w:rPr>
  </w:style>
  <w:style w:type="paragraph" w:customStyle="1" w:styleId="211">
    <w:name w:val="正文_2_4_1"/>
    <w:basedOn w:val="212"/>
    <w:next w:val="210"/>
    <w:qFormat/>
    <w:uiPriority w:val="0"/>
    <w:pPr>
      <w:widowControl w:val="0"/>
      <w:jc w:val="both"/>
    </w:pPr>
    <w:rPr>
      <w:rFonts w:ascii="Calibri" w:hAnsi="Calibri"/>
      <w:kern w:val="2"/>
      <w:sz w:val="21"/>
      <w:szCs w:val="22"/>
      <w:lang w:val="en-US" w:eastAsia="zh-CN" w:bidi="ar-SA"/>
    </w:rPr>
  </w:style>
  <w:style w:type="paragraph" w:customStyle="1" w:styleId="212">
    <w:name w:val="正文_3_4_1"/>
    <w:next w:val="213"/>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13">
    <w:name w:val="正文首行缩进_0_0_0_3_1"/>
    <w:basedOn w:val="214"/>
    <w:qFormat/>
    <w:uiPriority w:val="99"/>
    <w:pPr>
      <w:ind w:firstLine="420" w:firstLineChars="100"/>
    </w:pPr>
    <w:rPr>
      <w:rFonts w:ascii="等线" w:hAnsi="等线" w:eastAsia="等线"/>
    </w:rPr>
  </w:style>
  <w:style w:type="paragraph" w:customStyle="1" w:styleId="214">
    <w:name w:val="正文文本_0_0_0_3_1"/>
    <w:basedOn w:val="179"/>
    <w:next w:val="200"/>
    <w:qFormat/>
    <w:uiPriority w:val="99"/>
    <w:pPr>
      <w:spacing w:after="120" w:afterLines="0"/>
    </w:pPr>
    <w:rPr>
      <w:rFonts w:ascii="Times New Roman" w:hAnsi="Times New Roman"/>
    </w:rPr>
  </w:style>
  <w:style w:type="paragraph" w:customStyle="1" w:styleId="215">
    <w:name w:val="Body Text 2_0_1"/>
    <w:basedOn w:val="216"/>
    <w:qFormat/>
    <w:uiPriority w:val="0"/>
    <w:pPr>
      <w:autoSpaceDE w:val="0"/>
      <w:autoSpaceDN w:val="0"/>
      <w:adjustRightInd w:val="0"/>
      <w:spacing w:line="380" w:lineRule="atLeast"/>
    </w:pPr>
    <w:rPr>
      <w:spacing w:val="10"/>
      <w:kern w:val="0"/>
      <w:sz w:val="24"/>
      <w:szCs w:val="20"/>
    </w:rPr>
  </w:style>
  <w:style w:type="paragraph" w:customStyle="1" w:styleId="216">
    <w:name w:val="正文_6_4_1"/>
    <w:next w:val="2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7">
    <w:name w:val="正文首行缩进_5_4_1"/>
    <w:basedOn w:val="218"/>
    <w:qFormat/>
    <w:uiPriority w:val="99"/>
    <w:pPr>
      <w:ind w:firstLine="420" w:firstLineChars="100"/>
    </w:pPr>
  </w:style>
  <w:style w:type="paragraph" w:customStyle="1" w:styleId="218">
    <w:name w:val="正文文本_5_4_1"/>
    <w:basedOn w:val="216"/>
    <w:next w:val="219"/>
    <w:qFormat/>
    <w:uiPriority w:val="99"/>
    <w:pPr>
      <w:spacing w:after="120" w:afterLines="0"/>
    </w:pPr>
    <w:rPr>
      <w:rFonts w:ascii="Times New Roman" w:hAnsi="Times New Roman"/>
    </w:rPr>
  </w:style>
  <w:style w:type="paragraph" w:customStyle="1" w:styleId="219">
    <w:name w:val="正文文本 2_4_4_1"/>
    <w:basedOn w:val="216"/>
    <w:qFormat/>
    <w:uiPriority w:val="0"/>
  </w:style>
  <w:style w:type="paragraph" w:customStyle="1" w:styleId="220">
    <w:name w:val="Plain Text1_3_0_1"/>
    <w:basedOn w:val="205"/>
    <w:unhideWhenUsed/>
    <w:qFormat/>
    <w:uiPriority w:val="99"/>
    <w:pPr>
      <w:spacing w:beforeLines="0" w:afterLines="0"/>
    </w:pPr>
    <w:rPr>
      <w:rFonts w:hint="default" w:ascii="Courier New" w:hAnsi="Courier New" w:eastAsia="等线"/>
      <w:sz w:val="21"/>
    </w:rPr>
  </w:style>
  <w:style w:type="paragraph" w:customStyle="1" w:styleId="221">
    <w:name w:val="正文首行缩进_0_0_1_2_1"/>
    <w:basedOn w:val="222"/>
    <w:qFormat/>
    <w:uiPriority w:val="0"/>
    <w:pPr>
      <w:ind w:firstLine="420" w:firstLineChars="100"/>
    </w:pPr>
    <w:rPr>
      <w:rFonts w:ascii="等线" w:hAnsi="等线"/>
    </w:rPr>
  </w:style>
  <w:style w:type="paragraph" w:customStyle="1" w:styleId="222">
    <w:name w:val="正文文本_0_0_0_0_3_1"/>
    <w:basedOn w:val="179"/>
    <w:next w:val="223"/>
    <w:semiHidden/>
    <w:qFormat/>
    <w:uiPriority w:val="0"/>
    <w:pPr>
      <w:spacing w:before="100" w:beforeAutospacing="1" w:after="120"/>
    </w:pPr>
    <w:rPr>
      <w:kern w:val="0"/>
      <w:sz w:val="20"/>
      <w:szCs w:val="20"/>
    </w:rPr>
  </w:style>
  <w:style w:type="paragraph" w:customStyle="1" w:styleId="223">
    <w:name w:val="正文文本 2_0_3_1"/>
    <w:basedOn w:val="224"/>
    <w:qFormat/>
    <w:uiPriority w:val="0"/>
    <w:pPr>
      <w:spacing w:before="100" w:beforeAutospacing="1" w:line="480" w:lineRule="auto"/>
    </w:pPr>
  </w:style>
  <w:style w:type="paragraph" w:customStyle="1" w:styleId="224">
    <w:name w:val="正文_7_3_1"/>
    <w:next w:val="225"/>
    <w:qFormat/>
    <w:uiPriority w:val="0"/>
    <w:pPr>
      <w:widowControl w:val="0"/>
      <w:jc w:val="both"/>
    </w:pPr>
    <w:rPr>
      <w:rFonts w:ascii="Calibri" w:hAnsi="Calibri" w:eastAsia="宋体" w:cs="Times New Roman"/>
      <w:kern w:val="2"/>
      <w:sz w:val="21"/>
      <w:szCs w:val="22"/>
      <w:lang w:val="en-US" w:eastAsia="zh-CN" w:bidi="ar-SA"/>
    </w:rPr>
  </w:style>
  <w:style w:type="paragraph" w:customStyle="1" w:styleId="225">
    <w:name w:val="纯文本_5_2_1"/>
    <w:basedOn w:val="226"/>
    <w:qFormat/>
    <w:uiPriority w:val="0"/>
    <w:rPr>
      <w:rFonts w:ascii="Cambria" w:hAnsi="Cambria"/>
      <w:b/>
      <w:bCs/>
      <w:kern w:val="28"/>
      <w:sz w:val="32"/>
      <w:szCs w:val="32"/>
    </w:rPr>
  </w:style>
  <w:style w:type="paragraph" w:customStyle="1" w:styleId="226">
    <w:name w:val="正文_8_3_1"/>
    <w:next w:val="22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7">
    <w:name w:val="正文首行缩进_0_0_0_1_2_1"/>
    <w:basedOn w:val="228"/>
    <w:qFormat/>
    <w:uiPriority w:val="0"/>
  </w:style>
  <w:style w:type="paragraph" w:customStyle="1" w:styleId="228">
    <w:name w:val="正文文本_0_0_0_0_0_2_1"/>
    <w:basedOn w:val="229"/>
    <w:next w:val="347"/>
    <w:qFormat/>
    <w:uiPriority w:val="0"/>
    <w:rPr>
      <w:kern w:val="0"/>
      <w:sz w:val="20"/>
      <w:szCs w:val="20"/>
    </w:rPr>
  </w:style>
  <w:style w:type="paragraph" w:customStyle="1" w:styleId="229">
    <w:name w:val="正文_0_0_0_0_2_1"/>
    <w:basedOn w:val="230"/>
    <w:next w:val="233"/>
    <w:qFormat/>
    <w:uiPriority w:val="0"/>
    <w:rPr>
      <w:rFonts w:ascii="等线" w:hAnsi="等线" w:eastAsia="等线"/>
    </w:rPr>
  </w:style>
  <w:style w:type="paragraph" w:customStyle="1" w:styleId="230">
    <w:name w:val="正文_0_1_0_2_1"/>
    <w:next w:val="231"/>
    <w:qFormat/>
    <w:uiPriority w:val="0"/>
    <w:pPr>
      <w:widowControl w:val="0"/>
      <w:jc w:val="both"/>
    </w:pPr>
    <w:rPr>
      <w:rFonts w:ascii="Calibri" w:hAnsi="Calibri" w:eastAsia="宋体" w:cs="Times New Roman"/>
      <w:kern w:val="2"/>
      <w:sz w:val="21"/>
      <w:szCs w:val="22"/>
      <w:lang w:val="en-US" w:eastAsia="zh-CN" w:bidi="ar-SA"/>
    </w:rPr>
  </w:style>
  <w:style w:type="paragraph" w:customStyle="1" w:styleId="231">
    <w:name w:val="正文缩进_0_1_0_2_1"/>
    <w:basedOn w:val="232"/>
    <w:qFormat/>
    <w:uiPriority w:val="0"/>
    <w:pPr>
      <w:ind w:firstLine="420" w:firstLineChars="200"/>
    </w:pPr>
  </w:style>
  <w:style w:type="paragraph" w:customStyle="1" w:styleId="232">
    <w:name w:val="正文_1_1_0_2_1"/>
    <w:next w:val="23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3">
    <w:name w:val="正文首行缩进_0_1_0_2_1"/>
    <w:basedOn w:val="234"/>
    <w:qFormat/>
    <w:uiPriority w:val="0"/>
    <w:pPr>
      <w:ind w:firstLine="420" w:firstLineChars="100"/>
    </w:pPr>
  </w:style>
  <w:style w:type="paragraph" w:customStyle="1" w:styleId="234">
    <w:name w:val="正文文本_0_1_2_1"/>
    <w:basedOn w:val="235"/>
    <w:next w:val="223"/>
    <w:qFormat/>
    <w:uiPriority w:val="0"/>
    <w:pPr>
      <w:spacing w:before="100" w:beforeAutospacing="1" w:after="120"/>
    </w:pPr>
    <w:rPr>
      <w:rFonts w:ascii="等线" w:hAnsi="等线" w:eastAsia="等线"/>
    </w:rPr>
  </w:style>
  <w:style w:type="paragraph" w:customStyle="1" w:styleId="235">
    <w:name w:val="正文_0_0_4_1"/>
    <w:basedOn w:val="236"/>
    <w:next w:val="345"/>
    <w:qFormat/>
    <w:uiPriority w:val="0"/>
    <w:rPr>
      <w:rFonts w:ascii="等线" w:hAnsi="等线" w:eastAsia="等线" w:cs="Times New Roman"/>
    </w:rPr>
  </w:style>
  <w:style w:type="paragraph" w:customStyle="1" w:styleId="236">
    <w:name w:val="正文_1_1_2_2"/>
    <w:basedOn w:val="237"/>
    <w:next w:val="343"/>
    <w:qFormat/>
    <w:uiPriority w:val="0"/>
    <w:pPr>
      <w:widowControl w:val="0"/>
      <w:jc w:val="both"/>
    </w:pPr>
    <w:rPr>
      <w:rFonts w:ascii="等线" w:hAnsi="等线" w:eastAsia="等线"/>
      <w:kern w:val="2"/>
      <w:sz w:val="21"/>
      <w:szCs w:val="24"/>
      <w:lang w:val="en-US" w:eastAsia="zh-CN" w:bidi="ar-SA"/>
    </w:rPr>
  </w:style>
  <w:style w:type="paragraph" w:customStyle="1" w:styleId="237">
    <w:name w:val="正文_2_0_0_2"/>
    <w:basedOn w:val="238"/>
    <w:next w:val="342"/>
    <w:qFormat/>
    <w:uiPriority w:val="0"/>
    <w:pPr>
      <w:widowControl w:val="0"/>
      <w:jc w:val="both"/>
    </w:pPr>
    <w:rPr>
      <w:rFonts w:ascii="等线" w:hAnsi="等线" w:eastAsia="等线"/>
      <w:kern w:val="2"/>
      <w:sz w:val="21"/>
      <w:szCs w:val="22"/>
      <w:lang w:val="en-US" w:eastAsia="zh-CN" w:bidi="ar-SA"/>
    </w:rPr>
  </w:style>
  <w:style w:type="paragraph" w:customStyle="1" w:styleId="238">
    <w:name w:val="正文_3_0_0_2"/>
    <w:basedOn w:val="239"/>
    <w:next w:val="337"/>
    <w:qFormat/>
    <w:uiPriority w:val="0"/>
    <w:pPr>
      <w:widowControl w:val="0"/>
      <w:jc w:val="both"/>
    </w:pPr>
    <w:rPr>
      <w:rFonts w:ascii="等线" w:hAnsi="等线" w:eastAsia="等线"/>
      <w:kern w:val="2"/>
      <w:sz w:val="21"/>
      <w:szCs w:val="22"/>
      <w:lang w:val="en-US" w:eastAsia="zh-CN" w:bidi="ar-SA"/>
    </w:rPr>
  </w:style>
  <w:style w:type="paragraph" w:customStyle="1" w:styleId="239">
    <w:name w:val="正文_4_1_0_2"/>
    <w:basedOn w:val="240"/>
    <w:next w:val="247"/>
    <w:qFormat/>
    <w:uiPriority w:val="0"/>
    <w:rPr>
      <w:rFonts w:ascii="Times New Roman" w:hAnsi="Times New Roman" w:cs="Times New Roman"/>
      <w:sz w:val="21"/>
      <w:szCs w:val="21"/>
    </w:rPr>
  </w:style>
  <w:style w:type="paragraph" w:customStyle="1" w:styleId="240">
    <w:name w:val="正文_5_0_0_1"/>
    <w:basedOn w:val="206"/>
    <w:next w:val="241"/>
    <w:qFormat/>
    <w:uiPriority w:val="0"/>
    <w:pPr>
      <w:widowControl w:val="0"/>
      <w:jc w:val="both"/>
    </w:pPr>
    <w:rPr>
      <w:rFonts w:ascii="Calibri" w:hAnsi="Calibri"/>
      <w:kern w:val="2"/>
      <w:sz w:val="21"/>
      <w:szCs w:val="22"/>
      <w:lang w:val="en-US" w:eastAsia="zh-CN" w:bidi="ar-SA"/>
    </w:rPr>
  </w:style>
  <w:style w:type="paragraph" w:customStyle="1" w:styleId="241">
    <w:name w:val="标题 1_5_2"/>
    <w:basedOn w:val="240"/>
    <w:next w:val="242"/>
    <w:qFormat/>
    <w:uiPriority w:val="0"/>
    <w:pPr>
      <w:keepNext/>
      <w:keepLines/>
      <w:spacing w:line="576" w:lineRule="auto"/>
      <w:jc w:val="center"/>
      <w:outlineLvl w:val="0"/>
    </w:pPr>
    <w:rPr>
      <w:rFonts w:eastAsia="黑体"/>
      <w:b/>
      <w:bCs/>
      <w:kern w:val="32"/>
      <w:sz w:val="32"/>
      <w:szCs w:val="32"/>
    </w:rPr>
  </w:style>
  <w:style w:type="paragraph" w:customStyle="1" w:styleId="242">
    <w:name w:val="正文_5_0_6"/>
    <w:basedOn w:val="243"/>
    <w:next w:val="241"/>
    <w:qFormat/>
    <w:uiPriority w:val="0"/>
    <w:pPr>
      <w:widowControl w:val="0"/>
      <w:jc w:val="both"/>
    </w:pPr>
    <w:rPr>
      <w:rFonts w:ascii="Calibri" w:hAnsi="Calibri"/>
      <w:kern w:val="2"/>
      <w:sz w:val="21"/>
      <w:szCs w:val="22"/>
      <w:lang w:val="en-US" w:eastAsia="zh-CN" w:bidi="ar-SA"/>
    </w:rPr>
  </w:style>
  <w:style w:type="paragraph" w:customStyle="1" w:styleId="243">
    <w:name w:val="正文_7_7"/>
    <w:next w:val="244"/>
    <w:qFormat/>
    <w:uiPriority w:val="0"/>
    <w:pPr>
      <w:widowControl w:val="0"/>
      <w:jc w:val="both"/>
    </w:pPr>
    <w:rPr>
      <w:rFonts w:ascii="Calibri" w:hAnsi="Calibri" w:eastAsia="宋体" w:cs="Times New Roman"/>
      <w:kern w:val="2"/>
      <w:sz w:val="21"/>
      <w:szCs w:val="22"/>
      <w:lang w:val="en-US" w:eastAsia="zh-CN" w:bidi="ar-SA"/>
    </w:rPr>
  </w:style>
  <w:style w:type="paragraph" w:customStyle="1" w:styleId="244">
    <w:name w:val="正文缩进_2_1"/>
    <w:basedOn w:val="245"/>
    <w:next w:val="246"/>
    <w:unhideWhenUsed/>
    <w:qFormat/>
    <w:uiPriority w:val="0"/>
    <w:pPr>
      <w:ind w:firstLine="420" w:firstLineChars="200"/>
    </w:pPr>
  </w:style>
  <w:style w:type="paragraph" w:customStyle="1" w:styleId="245">
    <w:name w:val="正文_6_2_1"/>
    <w:next w:val="244"/>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46">
    <w:name w:val="正文_13_1"/>
    <w:next w:val="244"/>
    <w:qFormat/>
    <w:uiPriority w:val="0"/>
    <w:pPr>
      <w:widowControl w:val="0"/>
      <w:jc w:val="both"/>
    </w:pPr>
    <w:rPr>
      <w:rFonts w:ascii="Calibri" w:hAnsi="Calibri" w:eastAsia="宋体" w:cs="Times New Roman"/>
      <w:kern w:val="2"/>
      <w:sz w:val="21"/>
      <w:szCs w:val="22"/>
      <w:lang w:val="en-US" w:eastAsia="zh-CN" w:bidi="ar-SA"/>
    </w:rPr>
  </w:style>
  <w:style w:type="paragraph" w:customStyle="1" w:styleId="247">
    <w:name w:val="正文首行缩进_0_0_1_0_2"/>
    <w:basedOn w:val="248"/>
    <w:qFormat/>
    <w:uiPriority w:val="0"/>
    <w:pPr>
      <w:ind w:firstLine="420" w:firstLineChars="100"/>
    </w:pPr>
    <w:rPr>
      <w:rFonts w:ascii="等线" w:hAnsi="等线"/>
    </w:rPr>
  </w:style>
  <w:style w:type="paragraph" w:customStyle="1" w:styleId="248">
    <w:name w:val="正文文本_0_0_0_0_1_1"/>
    <w:basedOn w:val="249"/>
    <w:next w:val="282"/>
    <w:semiHidden/>
    <w:qFormat/>
    <w:uiPriority w:val="0"/>
    <w:pPr>
      <w:spacing w:before="100" w:beforeAutospacing="1" w:after="120"/>
    </w:pPr>
    <w:rPr>
      <w:kern w:val="0"/>
      <w:sz w:val="20"/>
      <w:szCs w:val="20"/>
    </w:rPr>
  </w:style>
  <w:style w:type="paragraph" w:customStyle="1" w:styleId="249">
    <w:name w:val="正文_0_0_0_1_1"/>
    <w:basedOn w:val="250"/>
    <w:next w:val="252"/>
    <w:qFormat/>
    <w:uiPriority w:val="0"/>
    <w:pPr>
      <w:widowControl w:val="0"/>
      <w:jc w:val="both"/>
    </w:pPr>
    <w:rPr>
      <w:rFonts w:ascii="等线" w:hAnsi="等线" w:eastAsia="等线"/>
      <w:kern w:val="2"/>
      <w:sz w:val="21"/>
      <w:szCs w:val="24"/>
      <w:lang w:val="en-US" w:eastAsia="zh-CN" w:bidi="ar-SA"/>
    </w:rPr>
  </w:style>
  <w:style w:type="paragraph" w:customStyle="1" w:styleId="250">
    <w:name w:val="正文_1_2_1_1"/>
    <w:next w:val="251"/>
    <w:qFormat/>
    <w:uiPriority w:val="0"/>
    <w:pPr>
      <w:widowControl w:val="0"/>
      <w:jc w:val="both"/>
    </w:pPr>
    <w:rPr>
      <w:rFonts w:ascii="等线" w:hAnsi="等线" w:eastAsia="等线" w:cs="Times New Roman"/>
      <w:kern w:val="2"/>
      <w:sz w:val="21"/>
      <w:szCs w:val="22"/>
      <w:lang w:val="en-US" w:eastAsia="zh-CN" w:bidi="ar-SA"/>
    </w:rPr>
  </w:style>
  <w:style w:type="paragraph" w:customStyle="1" w:styleId="251">
    <w:name w:val="正文缩进_1_1_1_1"/>
    <w:basedOn w:val="250"/>
    <w:unhideWhenUsed/>
    <w:qFormat/>
    <w:uiPriority w:val="0"/>
    <w:pPr>
      <w:spacing w:beforeLines="0" w:afterLines="0"/>
      <w:ind w:firstLine="420" w:firstLineChars="200"/>
    </w:pPr>
    <w:rPr>
      <w:rFonts w:hint="default" w:ascii="Times New Roman" w:hAnsi="Times New Roman"/>
      <w:sz w:val="21"/>
    </w:rPr>
  </w:style>
  <w:style w:type="paragraph" w:customStyle="1" w:styleId="252">
    <w:name w:val="正文首行缩进_0_1_1_1"/>
    <w:basedOn w:val="253"/>
    <w:qFormat/>
    <w:uiPriority w:val="0"/>
  </w:style>
  <w:style w:type="paragraph" w:customStyle="1" w:styleId="253">
    <w:name w:val="正文文本_0_1_1_1"/>
    <w:basedOn w:val="254"/>
    <w:next w:val="299"/>
    <w:qFormat/>
    <w:uiPriority w:val="0"/>
    <w:pPr>
      <w:spacing w:before="100" w:beforeAutospacing="1" w:after="120"/>
    </w:pPr>
    <w:rPr>
      <w:rFonts w:ascii="等线" w:hAnsi="等线" w:eastAsia="等线"/>
    </w:rPr>
  </w:style>
  <w:style w:type="paragraph" w:customStyle="1" w:styleId="254">
    <w:name w:val="正文_2_0_1_1"/>
    <w:basedOn w:val="255"/>
    <w:next w:val="336"/>
    <w:qFormat/>
    <w:uiPriority w:val="0"/>
    <w:pPr>
      <w:widowControl w:val="0"/>
      <w:jc w:val="both"/>
    </w:pPr>
    <w:rPr>
      <w:rFonts w:ascii="等线" w:hAnsi="等线" w:eastAsia="等线"/>
      <w:kern w:val="2"/>
      <w:sz w:val="21"/>
      <w:szCs w:val="22"/>
      <w:lang w:val="en-US" w:eastAsia="zh-CN" w:bidi="ar-SA"/>
    </w:rPr>
  </w:style>
  <w:style w:type="paragraph" w:customStyle="1" w:styleId="255">
    <w:name w:val="正文_3_0_1_1"/>
    <w:basedOn w:val="256"/>
    <w:next w:val="331"/>
    <w:qFormat/>
    <w:uiPriority w:val="0"/>
    <w:pPr>
      <w:widowControl w:val="0"/>
      <w:jc w:val="both"/>
    </w:pPr>
    <w:rPr>
      <w:rFonts w:ascii="等线" w:hAnsi="等线" w:eastAsia="等线"/>
      <w:kern w:val="2"/>
      <w:sz w:val="21"/>
      <w:szCs w:val="22"/>
      <w:lang w:val="en-US" w:eastAsia="zh-CN" w:bidi="ar-SA"/>
    </w:rPr>
  </w:style>
  <w:style w:type="paragraph" w:customStyle="1" w:styleId="256">
    <w:name w:val="正文_4_1_1_1"/>
    <w:basedOn w:val="257"/>
    <w:next w:val="262"/>
    <w:qFormat/>
    <w:uiPriority w:val="0"/>
    <w:rPr>
      <w:rFonts w:ascii="Times New Roman" w:hAnsi="Times New Roman" w:cs="Times New Roman"/>
      <w:sz w:val="21"/>
      <w:szCs w:val="21"/>
    </w:rPr>
  </w:style>
  <w:style w:type="paragraph" w:customStyle="1" w:styleId="257">
    <w:name w:val="正文_5_0_1_2"/>
    <w:basedOn w:val="258"/>
    <w:next w:val="261"/>
    <w:qFormat/>
    <w:uiPriority w:val="0"/>
    <w:pPr>
      <w:widowControl w:val="0"/>
      <w:jc w:val="both"/>
    </w:pPr>
    <w:rPr>
      <w:rFonts w:ascii="Calibri" w:hAnsi="Calibri"/>
      <w:kern w:val="2"/>
      <w:sz w:val="21"/>
      <w:szCs w:val="22"/>
      <w:lang w:val="en-US" w:eastAsia="zh-CN" w:bidi="ar-SA"/>
    </w:rPr>
  </w:style>
  <w:style w:type="paragraph" w:customStyle="1" w:styleId="258">
    <w:name w:val="正文_7_2_1"/>
    <w:next w:val="259"/>
    <w:qFormat/>
    <w:uiPriority w:val="0"/>
    <w:pPr>
      <w:widowControl w:val="0"/>
      <w:jc w:val="both"/>
    </w:pPr>
    <w:rPr>
      <w:rFonts w:ascii="Calibri" w:hAnsi="Calibri" w:eastAsia="宋体" w:cs="Times New Roman"/>
      <w:kern w:val="2"/>
      <w:sz w:val="21"/>
      <w:szCs w:val="22"/>
      <w:lang w:val="en-US" w:eastAsia="zh-CN" w:bidi="ar-SA"/>
    </w:rPr>
  </w:style>
  <w:style w:type="paragraph" w:customStyle="1" w:styleId="259">
    <w:name w:val="纯文本_5_1_1"/>
    <w:basedOn w:val="260"/>
    <w:qFormat/>
    <w:uiPriority w:val="0"/>
    <w:rPr>
      <w:rFonts w:ascii="Cambria" w:hAnsi="Cambria"/>
      <w:b/>
      <w:bCs/>
      <w:kern w:val="28"/>
      <w:sz w:val="32"/>
      <w:szCs w:val="32"/>
    </w:rPr>
  </w:style>
  <w:style w:type="paragraph" w:customStyle="1" w:styleId="260">
    <w:name w:val="正文_8_2_1"/>
    <w:next w:val="259"/>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1">
    <w:name w:val="标题 1_5_1_2"/>
    <w:basedOn w:val="257"/>
    <w:next w:val="257"/>
    <w:qFormat/>
    <w:uiPriority w:val="0"/>
    <w:pPr>
      <w:keepNext/>
      <w:keepLines/>
      <w:spacing w:line="576" w:lineRule="auto"/>
      <w:jc w:val="center"/>
      <w:outlineLvl w:val="0"/>
    </w:pPr>
    <w:rPr>
      <w:rFonts w:eastAsia="黑体"/>
      <w:b/>
      <w:bCs/>
      <w:kern w:val="32"/>
      <w:sz w:val="32"/>
      <w:szCs w:val="32"/>
    </w:rPr>
  </w:style>
  <w:style w:type="paragraph" w:customStyle="1" w:styleId="262">
    <w:name w:val="正文首行缩进_0_0_1_1_1"/>
    <w:basedOn w:val="263"/>
    <w:qFormat/>
    <w:uiPriority w:val="0"/>
    <w:pPr>
      <w:ind w:firstLine="420" w:firstLineChars="100"/>
    </w:pPr>
    <w:rPr>
      <w:rFonts w:ascii="等线" w:hAnsi="等线"/>
    </w:rPr>
  </w:style>
  <w:style w:type="paragraph" w:customStyle="1" w:styleId="263">
    <w:name w:val="正文文本_0_0_0_0_2_1"/>
    <w:basedOn w:val="264"/>
    <w:next w:val="299"/>
    <w:semiHidden/>
    <w:qFormat/>
    <w:uiPriority w:val="0"/>
    <w:pPr>
      <w:spacing w:before="100" w:beforeAutospacing="1" w:after="120"/>
    </w:pPr>
    <w:rPr>
      <w:kern w:val="0"/>
      <w:sz w:val="20"/>
      <w:szCs w:val="20"/>
    </w:rPr>
  </w:style>
  <w:style w:type="paragraph" w:customStyle="1" w:styleId="264">
    <w:name w:val="正文_0_0_0_2_1"/>
    <w:basedOn w:val="265"/>
    <w:next w:val="267"/>
    <w:qFormat/>
    <w:uiPriority w:val="0"/>
    <w:pPr>
      <w:widowControl w:val="0"/>
      <w:jc w:val="both"/>
    </w:pPr>
    <w:rPr>
      <w:rFonts w:ascii="等线" w:hAnsi="等线" w:eastAsia="等线"/>
      <w:kern w:val="2"/>
      <w:sz w:val="21"/>
      <w:szCs w:val="24"/>
      <w:lang w:val="en-US" w:eastAsia="zh-CN" w:bidi="ar-SA"/>
    </w:rPr>
  </w:style>
  <w:style w:type="paragraph" w:customStyle="1" w:styleId="265">
    <w:name w:val="正文_1_1_3_1"/>
    <w:basedOn w:val="254"/>
    <w:next w:val="266"/>
    <w:qFormat/>
    <w:uiPriority w:val="0"/>
    <w:pPr>
      <w:widowControl w:val="0"/>
      <w:jc w:val="both"/>
    </w:pPr>
    <w:rPr>
      <w:rFonts w:ascii="等线" w:hAnsi="等线" w:eastAsia="等线"/>
      <w:kern w:val="2"/>
      <w:sz w:val="21"/>
      <w:szCs w:val="24"/>
      <w:lang w:val="en-US" w:eastAsia="zh-CN" w:bidi="ar-SA"/>
    </w:rPr>
  </w:style>
  <w:style w:type="paragraph" w:customStyle="1" w:styleId="266">
    <w:name w:val="正文缩进_1_0_1_1"/>
    <w:basedOn w:val="254"/>
    <w:qFormat/>
    <w:uiPriority w:val="0"/>
    <w:pPr>
      <w:ind w:firstLine="420" w:firstLineChars="200"/>
    </w:pPr>
  </w:style>
  <w:style w:type="paragraph" w:customStyle="1" w:styleId="267">
    <w:name w:val="正文首行缩进_0_0_2_1"/>
    <w:basedOn w:val="268"/>
    <w:qFormat/>
    <w:uiPriority w:val="0"/>
    <w:pPr>
      <w:ind w:firstLine="420" w:firstLineChars="100"/>
    </w:pPr>
    <w:rPr>
      <w:rFonts w:ascii="Calibri" w:hAnsi="Calibri" w:eastAsia="等线"/>
    </w:rPr>
  </w:style>
  <w:style w:type="paragraph" w:customStyle="1" w:styleId="268">
    <w:name w:val="正文文本_0_0_1_1"/>
    <w:basedOn w:val="269"/>
    <w:next w:val="329"/>
    <w:qFormat/>
    <w:uiPriority w:val="0"/>
    <w:pPr>
      <w:spacing w:after="120"/>
    </w:pPr>
    <w:rPr>
      <w:rFonts w:ascii="等线" w:hAnsi="等线" w:eastAsia="等线"/>
      <w:kern w:val="0"/>
      <w:sz w:val="20"/>
      <w:szCs w:val="24"/>
    </w:rPr>
  </w:style>
  <w:style w:type="paragraph" w:customStyle="1" w:styleId="269">
    <w:name w:val="正文_0_0_1_1"/>
    <w:basedOn w:val="270"/>
    <w:next w:val="267"/>
    <w:qFormat/>
    <w:uiPriority w:val="0"/>
    <w:pPr>
      <w:widowControl w:val="0"/>
      <w:jc w:val="both"/>
    </w:pPr>
    <w:rPr>
      <w:rFonts w:ascii="Calibri" w:hAnsi="Calibri"/>
      <w:kern w:val="2"/>
      <w:sz w:val="21"/>
      <w:szCs w:val="22"/>
      <w:lang w:val="en-US" w:eastAsia="zh-CN" w:bidi="ar-SA"/>
    </w:rPr>
  </w:style>
  <w:style w:type="paragraph" w:customStyle="1" w:styleId="270">
    <w:name w:val="正文_0_1_1_0_1"/>
    <w:basedOn w:val="271"/>
    <w:next w:val="287"/>
    <w:qFormat/>
    <w:uiPriority w:val="0"/>
    <w:pPr>
      <w:widowControl w:val="0"/>
      <w:jc w:val="both"/>
    </w:pPr>
    <w:rPr>
      <w:rFonts w:ascii="Calibri" w:hAnsi="Calibri"/>
      <w:kern w:val="2"/>
      <w:sz w:val="21"/>
      <w:lang w:val="en-US" w:eastAsia="zh-CN" w:bidi="ar-SA"/>
    </w:rPr>
  </w:style>
  <w:style w:type="paragraph" w:customStyle="1" w:styleId="271">
    <w:name w:val="正文_1_2_0_1"/>
    <w:basedOn w:val="272"/>
    <w:next w:val="286"/>
    <w:qFormat/>
    <w:uiPriority w:val="0"/>
    <w:pPr>
      <w:widowControl w:val="0"/>
      <w:jc w:val="both"/>
    </w:pPr>
    <w:rPr>
      <w:kern w:val="2"/>
      <w:sz w:val="21"/>
      <w:szCs w:val="24"/>
      <w:lang w:val="en-US" w:eastAsia="zh-CN" w:bidi="ar-SA"/>
    </w:rPr>
  </w:style>
  <w:style w:type="paragraph" w:customStyle="1" w:styleId="272">
    <w:name w:val="正文_2_1_0_1"/>
    <w:basedOn w:val="273"/>
    <w:next w:val="277"/>
    <w:qFormat/>
    <w:uiPriority w:val="0"/>
    <w:pPr>
      <w:widowControl w:val="0"/>
      <w:jc w:val="both"/>
    </w:pPr>
    <w:rPr>
      <w:kern w:val="2"/>
      <w:sz w:val="21"/>
      <w:szCs w:val="24"/>
      <w:lang w:val="en-US" w:eastAsia="zh-CN" w:bidi="ar-SA"/>
    </w:rPr>
  </w:style>
  <w:style w:type="paragraph" w:customStyle="1" w:styleId="273">
    <w:name w:val="正文_3_1_0_1"/>
    <w:basedOn w:val="274"/>
    <w:next w:val="75"/>
    <w:qFormat/>
    <w:uiPriority w:val="0"/>
    <w:pPr>
      <w:widowControl w:val="0"/>
      <w:jc w:val="both"/>
    </w:pPr>
    <w:rPr>
      <w:kern w:val="2"/>
      <w:sz w:val="21"/>
      <w:szCs w:val="24"/>
      <w:lang w:val="en-US" w:eastAsia="zh-CN" w:bidi="ar-SA"/>
    </w:rPr>
  </w:style>
  <w:style w:type="paragraph" w:customStyle="1" w:styleId="274">
    <w:name w:val="正文_4_0_0_1"/>
    <w:basedOn w:val="275"/>
    <w:next w:val="277"/>
    <w:qFormat/>
    <w:uiPriority w:val="0"/>
    <w:pPr>
      <w:widowControl w:val="0"/>
      <w:jc w:val="both"/>
    </w:pPr>
    <w:rPr>
      <w:kern w:val="2"/>
      <w:sz w:val="21"/>
      <w:szCs w:val="24"/>
      <w:lang w:val="en-US" w:eastAsia="zh-CN" w:bidi="ar-SA"/>
    </w:rPr>
  </w:style>
  <w:style w:type="paragraph" w:customStyle="1" w:styleId="275">
    <w:name w:val="正文_5_3_1"/>
    <w:basedOn w:val="276"/>
    <w:next w:val="75"/>
    <w:qFormat/>
    <w:uiPriority w:val="0"/>
    <w:pPr>
      <w:widowControl w:val="0"/>
      <w:jc w:val="both"/>
    </w:pPr>
    <w:rPr>
      <w:rFonts w:ascii="Calibri" w:hAnsi="Calibri"/>
      <w:kern w:val="2"/>
      <w:sz w:val="21"/>
      <w:szCs w:val="22"/>
      <w:lang w:val="en-US" w:eastAsia="zh-CN" w:bidi="ar-SA"/>
    </w:rPr>
  </w:style>
  <w:style w:type="paragraph" w:customStyle="1" w:styleId="276">
    <w:name w:val="正文_0_4_0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7">
    <w:name w:val="正文首行缩进_0_0_0_0_1"/>
    <w:basedOn w:val="278"/>
    <w:qFormat/>
    <w:uiPriority w:val="0"/>
    <w:pPr>
      <w:ind w:firstLine="420" w:firstLineChars="100"/>
    </w:pPr>
    <w:rPr>
      <w:rFonts w:ascii="等线" w:hAnsi="等线" w:eastAsia="等线"/>
    </w:rPr>
  </w:style>
  <w:style w:type="paragraph" w:customStyle="1" w:styleId="278">
    <w:name w:val="正文文本_0_0_0_0_6"/>
    <w:basedOn w:val="279"/>
    <w:next w:val="282"/>
    <w:semiHidden/>
    <w:qFormat/>
    <w:uiPriority w:val="0"/>
    <w:pPr>
      <w:spacing w:before="100" w:beforeAutospacing="1" w:after="120"/>
    </w:pPr>
    <w:rPr>
      <w:kern w:val="0"/>
      <w:sz w:val="20"/>
      <w:szCs w:val="20"/>
    </w:rPr>
  </w:style>
  <w:style w:type="paragraph" w:customStyle="1" w:styleId="279">
    <w:name w:val="正文_0_0_0_0_1"/>
    <w:basedOn w:val="271"/>
    <w:next w:val="280"/>
    <w:qFormat/>
    <w:uiPriority w:val="0"/>
    <w:rPr>
      <w:rFonts w:ascii="等线" w:hAnsi="等线" w:eastAsia="等线"/>
    </w:rPr>
  </w:style>
  <w:style w:type="paragraph" w:customStyle="1" w:styleId="280">
    <w:name w:val="正文首行缩进_0_1_0_1"/>
    <w:basedOn w:val="281"/>
    <w:qFormat/>
    <w:uiPriority w:val="0"/>
    <w:pPr>
      <w:ind w:firstLine="420" w:firstLineChars="100"/>
    </w:pPr>
  </w:style>
  <w:style w:type="paragraph" w:customStyle="1" w:styleId="281">
    <w:name w:val="正文文本_0_1_0_2"/>
    <w:basedOn w:val="237"/>
    <w:next w:val="282"/>
    <w:qFormat/>
    <w:uiPriority w:val="0"/>
    <w:pPr>
      <w:spacing w:before="100" w:beforeAutospacing="1" w:after="120"/>
    </w:pPr>
    <w:rPr>
      <w:rFonts w:ascii="等线" w:hAnsi="等线" w:eastAsia="等线"/>
    </w:rPr>
  </w:style>
  <w:style w:type="paragraph" w:customStyle="1" w:styleId="282">
    <w:name w:val="正文文本 2_0_1_2"/>
    <w:basedOn w:val="283"/>
    <w:qFormat/>
    <w:uiPriority w:val="0"/>
    <w:pPr>
      <w:spacing w:before="100" w:beforeAutospacing="1" w:line="480" w:lineRule="auto"/>
    </w:pPr>
  </w:style>
  <w:style w:type="paragraph" w:customStyle="1" w:styleId="283">
    <w:name w:val="正文_1_1_1_1"/>
    <w:next w:val="28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4">
    <w:name w:val="正文首行缩进_1_1_1"/>
    <w:basedOn w:val="285"/>
    <w:qFormat/>
    <w:uiPriority w:val="0"/>
    <w:pPr>
      <w:ind w:firstLine="420" w:firstLineChars="100"/>
    </w:pPr>
  </w:style>
  <w:style w:type="paragraph" w:customStyle="1" w:styleId="285">
    <w:name w:val="正文文本_1_1_1"/>
    <w:basedOn w:val="81"/>
    <w:next w:val="282"/>
    <w:qFormat/>
    <w:uiPriority w:val="0"/>
    <w:pPr>
      <w:spacing w:after="120" w:afterLines="0"/>
    </w:pPr>
    <w:rPr>
      <w:rFonts w:ascii="Times New Roman" w:hAnsi="Times New Roman"/>
    </w:rPr>
  </w:style>
  <w:style w:type="paragraph" w:customStyle="1" w:styleId="286">
    <w:name w:val="正文缩进_1_1_0_1"/>
    <w:basedOn w:val="271"/>
    <w:unhideWhenUsed/>
    <w:qFormat/>
    <w:uiPriority w:val="0"/>
    <w:pPr>
      <w:spacing w:beforeLines="0" w:afterLines="0"/>
      <w:ind w:firstLine="420" w:firstLineChars="200"/>
    </w:pPr>
    <w:rPr>
      <w:rFonts w:hint="default" w:ascii="Times New Roman" w:hAnsi="Times New Roman"/>
      <w:sz w:val="21"/>
    </w:rPr>
  </w:style>
  <w:style w:type="paragraph" w:customStyle="1" w:styleId="287">
    <w:name w:val="正文缩进_0_1_2_1"/>
    <w:basedOn w:val="288"/>
    <w:unhideWhenUsed/>
    <w:qFormat/>
    <w:uiPriority w:val="0"/>
    <w:pPr>
      <w:ind w:firstLine="420" w:firstLineChars="200"/>
    </w:pPr>
  </w:style>
  <w:style w:type="paragraph" w:customStyle="1" w:styleId="288">
    <w:name w:val="正文_1_1_2_0_1"/>
    <w:basedOn w:val="289"/>
    <w:next w:val="328"/>
    <w:qFormat/>
    <w:uiPriority w:val="0"/>
    <w:pPr>
      <w:widowControl w:val="0"/>
      <w:jc w:val="both"/>
    </w:pPr>
    <w:rPr>
      <w:kern w:val="2"/>
      <w:sz w:val="21"/>
      <w:szCs w:val="24"/>
      <w:lang w:val="en-US" w:eastAsia="zh-CN" w:bidi="ar-SA"/>
    </w:rPr>
  </w:style>
  <w:style w:type="paragraph" w:customStyle="1" w:styleId="289">
    <w:name w:val="正文_2_0_0_0_1"/>
    <w:basedOn w:val="290"/>
    <w:next w:val="326"/>
    <w:qFormat/>
    <w:uiPriority w:val="0"/>
    <w:pPr>
      <w:widowControl w:val="0"/>
      <w:jc w:val="both"/>
    </w:pPr>
    <w:rPr>
      <w:rFonts w:ascii="等线" w:hAnsi="等线" w:eastAsia="等线"/>
      <w:kern w:val="2"/>
      <w:sz w:val="21"/>
      <w:szCs w:val="22"/>
      <w:lang w:val="en-US" w:eastAsia="zh-CN" w:bidi="ar-SA"/>
    </w:rPr>
  </w:style>
  <w:style w:type="paragraph" w:customStyle="1" w:styleId="290">
    <w:name w:val="正文_3_0_0_0_1"/>
    <w:basedOn w:val="291"/>
    <w:next w:val="300"/>
    <w:qFormat/>
    <w:uiPriority w:val="0"/>
    <w:pPr>
      <w:widowControl w:val="0"/>
      <w:jc w:val="both"/>
    </w:pPr>
    <w:rPr>
      <w:rFonts w:ascii="等线" w:hAnsi="等线" w:eastAsia="等线"/>
      <w:kern w:val="2"/>
      <w:sz w:val="21"/>
      <w:szCs w:val="22"/>
      <w:lang w:val="en-US" w:eastAsia="zh-CN" w:bidi="ar-SA"/>
    </w:rPr>
  </w:style>
  <w:style w:type="paragraph" w:customStyle="1" w:styleId="291">
    <w:name w:val="正文_4_1_0_0_1"/>
    <w:basedOn w:val="292"/>
    <w:next w:val="297"/>
    <w:qFormat/>
    <w:uiPriority w:val="0"/>
    <w:rPr>
      <w:rFonts w:ascii="Times New Roman" w:hAnsi="Times New Roman" w:cs="Times New Roman"/>
      <w:sz w:val="21"/>
      <w:szCs w:val="21"/>
    </w:rPr>
  </w:style>
  <w:style w:type="paragraph" w:customStyle="1" w:styleId="292">
    <w:name w:val="正文_5_0_1_0_1"/>
    <w:basedOn w:val="293"/>
    <w:next w:val="296"/>
    <w:qFormat/>
    <w:uiPriority w:val="0"/>
    <w:pPr>
      <w:widowControl w:val="0"/>
      <w:jc w:val="both"/>
    </w:pPr>
    <w:rPr>
      <w:rFonts w:ascii="Calibri" w:hAnsi="Calibri"/>
      <w:kern w:val="2"/>
      <w:sz w:val="21"/>
      <w:szCs w:val="22"/>
      <w:lang w:val="en-US" w:eastAsia="zh-CN" w:bidi="ar-SA"/>
    </w:rPr>
  </w:style>
  <w:style w:type="paragraph" w:customStyle="1" w:styleId="293">
    <w:name w:val="正文_7_1_1_1"/>
    <w:next w:val="294"/>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94">
    <w:name w:val="纯文本_5_0_0_0_1"/>
    <w:basedOn w:val="295"/>
    <w:qFormat/>
    <w:uiPriority w:val="0"/>
    <w:rPr>
      <w:rFonts w:ascii="Cambria" w:hAnsi="Cambria"/>
      <w:b/>
      <w:bCs/>
      <w:kern w:val="28"/>
      <w:sz w:val="32"/>
      <w:szCs w:val="32"/>
    </w:rPr>
  </w:style>
  <w:style w:type="paragraph" w:customStyle="1" w:styleId="295">
    <w:name w:val="正文_8_0_0_0_1"/>
    <w:next w:val="294"/>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6">
    <w:name w:val="标题 1_5_1_0_1"/>
    <w:basedOn w:val="292"/>
    <w:next w:val="292"/>
    <w:qFormat/>
    <w:uiPriority w:val="0"/>
    <w:pPr>
      <w:keepNext/>
      <w:keepLines/>
      <w:spacing w:line="576" w:lineRule="auto"/>
      <w:jc w:val="center"/>
      <w:outlineLvl w:val="0"/>
    </w:pPr>
    <w:rPr>
      <w:rFonts w:eastAsia="黑体"/>
      <w:b/>
      <w:bCs/>
      <w:kern w:val="32"/>
      <w:sz w:val="32"/>
      <w:szCs w:val="32"/>
    </w:rPr>
  </w:style>
  <w:style w:type="paragraph" w:customStyle="1" w:styleId="297">
    <w:name w:val="正文首行缩进_0_0_1_0_0_1"/>
    <w:basedOn w:val="298"/>
    <w:qFormat/>
    <w:uiPriority w:val="0"/>
    <w:pPr>
      <w:ind w:firstLine="420" w:firstLineChars="100"/>
    </w:pPr>
    <w:rPr>
      <w:rFonts w:ascii="等线" w:hAnsi="等线"/>
    </w:rPr>
  </w:style>
  <w:style w:type="paragraph" w:customStyle="1" w:styleId="298">
    <w:name w:val="正文文本_0_0_0_1_1"/>
    <w:basedOn w:val="249"/>
    <w:next w:val="299"/>
    <w:semiHidden/>
    <w:qFormat/>
    <w:uiPriority w:val="0"/>
    <w:pPr>
      <w:spacing w:before="100" w:beforeAutospacing="1" w:after="120"/>
    </w:pPr>
    <w:rPr>
      <w:kern w:val="0"/>
      <w:sz w:val="20"/>
      <w:szCs w:val="20"/>
    </w:rPr>
  </w:style>
  <w:style w:type="paragraph" w:customStyle="1" w:styleId="299">
    <w:name w:val="正文文本 2_0_2_1"/>
    <w:basedOn w:val="236"/>
    <w:qFormat/>
    <w:uiPriority w:val="0"/>
    <w:pPr>
      <w:spacing w:before="100" w:beforeAutospacing="1" w:line="480" w:lineRule="auto"/>
    </w:pPr>
  </w:style>
  <w:style w:type="paragraph" w:customStyle="1" w:styleId="300">
    <w:name w:val="正文首行缩进_0_0_0_1_0_0_1"/>
    <w:basedOn w:val="301"/>
    <w:qFormat/>
    <w:uiPriority w:val="0"/>
  </w:style>
  <w:style w:type="paragraph" w:customStyle="1" w:styleId="301">
    <w:name w:val="正文文本_0_0_0_0_0_0_0_1"/>
    <w:basedOn w:val="302"/>
    <w:next w:val="325"/>
    <w:qFormat/>
    <w:uiPriority w:val="0"/>
    <w:rPr>
      <w:kern w:val="0"/>
      <w:sz w:val="20"/>
      <w:szCs w:val="20"/>
    </w:rPr>
  </w:style>
  <w:style w:type="paragraph" w:customStyle="1" w:styleId="302">
    <w:name w:val="正文_0_0_0_0_0_0_1"/>
    <w:basedOn w:val="303"/>
    <w:next w:val="306"/>
    <w:qFormat/>
    <w:uiPriority w:val="0"/>
    <w:rPr>
      <w:rFonts w:ascii="等线" w:hAnsi="等线" w:eastAsia="等线"/>
    </w:rPr>
  </w:style>
  <w:style w:type="paragraph" w:customStyle="1" w:styleId="303">
    <w:name w:val="正文_0_1_0_0_0_1"/>
    <w:next w:val="304"/>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04">
    <w:name w:val="正文缩进_0_1_0_0_0_1"/>
    <w:basedOn w:val="305"/>
    <w:qFormat/>
    <w:uiPriority w:val="0"/>
    <w:pPr>
      <w:ind w:firstLine="420" w:firstLineChars="200"/>
    </w:pPr>
  </w:style>
  <w:style w:type="paragraph" w:customStyle="1" w:styleId="305">
    <w:name w:val="正文_1_1_0_0_0_1"/>
    <w:next w:val="30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6">
    <w:name w:val="正文首行缩进_0_1_0_0_0_1"/>
    <w:basedOn w:val="307"/>
    <w:qFormat/>
    <w:uiPriority w:val="0"/>
    <w:pPr>
      <w:ind w:firstLine="420" w:firstLineChars="100"/>
    </w:pPr>
  </w:style>
  <w:style w:type="paragraph" w:customStyle="1" w:styleId="307">
    <w:name w:val="正文文本_0_1_0_0_0_1"/>
    <w:basedOn w:val="308"/>
    <w:next w:val="310"/>
    <w:unhideWhenUsed/>
    <w:qFormat/>
    <w:uiPriority w:val="0"/>
    <w:pPr>
      <w:spacing w:after="120"/>
    </w:pPr>
    <w:rPr>
      <w:kern w:val="0"/>
      <w:sz w:val="20"/>
    </w:rPr>
  </w:style>
  <w:style w:type="paragraph" w:customStyle="1" w:styleId="308">
    <w:name w:val="正文_0_1_1_0_0_0_1"/>
    <w:next w:val="309"/>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309">
    <w:name w:val="正文缩进_0_0_1_0_0_0_1"/>
    <w:basedOn w:val="308"/>
    <w:qFormat/>
    <w:uiPriority w:val="0"/>
    <w:pPr>
      <w:ind w:firstLine="420" w:firstLineChars="200"/>
    </w:pPr>
    <w:rPr>
      <w:rFonts w:ascii="等线" w:hAnsi="等线" w:eastAsia="等线"/>
    </w:rPr>
  </w:style>
  <w:style w:type="paragraph" w:customStyle="1" w:styleId="310">
    <w:name w:val="正文文本 2_1_0_0_0_1"/>
    <w:basedOn w:val="311"/>
    <w:qFormat/>
    <w:uiPriority w:val="0"/>
  </w:style>
  <w:style w:type="paragraph" w:customStyle="1" w:styleId="311">
    <w:name w:val="正文_0_2_1_0_0_1"/>
    <w:basedOn w:val="312"/>
    <w:next w:val="31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12">
    <w:name w:val="正文_1_3_0_0_0_1"/>
    <w:basedOn w:val="313"/>
    <w:next w:val="314"/>
    <w:qFormat/>
    <w:uiPriority w:val="0"/>
    <w:pPr>
      <w:widowControl w:val="0"/>
      <w:jc w:val="both"/>
    </w:pPr>
    <w:rPr>
      <w:kern w:val="2"/>
      <w:sz w:val="21"/>
      <w:szCs w:val="24"/>
      <w:lang w:val="en-US" w:eastAsia="zh-CN" w:bidi="ar-SA"/>
    </w:rPr>
  </w:style>
  <w:style w:type="paragraph" w:customStyle="1" w:styleId="313">
    <w:name w:val="正文_2_2_0_0_0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14">
    <w:name w:val="正文缩进_0_2_0_0_0_1"/>
    <w:basedOn w:val="311"/>
    <w:next w:val="312"/>
    <w:unhideWhenUsed/>
    <w:qFormat/>
    <w:uiPriority w:val="0"/>
    <w:pPr>
      <w:ind w:firstLine="420" w:firstLineChars="200"/>
    </w:pPr>
  </w:style>
  <w:style w:type="paragraph" w:customStyle="1" w:styleId="315">
    <w:name w:val="正文首行缩进_0_1_0_0_1_1"/>
    <w:basedOn w:val="316"/>
    <w:qFormat/>
    <w:uiPriority w:val="0"/>
    <w:pPr>
      <w:ind w:firstLine="420" w:firstLineChars="100"/>
    </w:pPr>
  </w:style>
  <w:style w:type="paragraph" w:customStyle="1" w:styleId="316">
    <w:name w:val="正文文本_0_1_0_0_1_1"/>
    <w:basedOn w:val="317"/>
    <w:next w:val="319"/>
    <w:unhideWhenUsed/>
    <w:qFormat/>
    <w:uiPriority w:val="0"/>
    <w:pPr>
      <w:spacing w:after="120"/>
    </w:pPr>
    <w:rPr>
      <w:kern w:val="0"/>
      <w:sz w:val="20"/>
    </w:rPr>
  </w:style>
  <w:style w:type="paragraph" w:customStyle="1" w:styleId="317">
    <w:name w:val="正文_0_1_1_0_0_1_1"/>
    <w:next w:val="318"/>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318">
    <w:name w:val="正文缩进_0_0_1_0_0_1_1"/>
    <w:basedOn w:val="317"/>
    <w:qFormat/>
    <w:uiPriority w:val="0"/>
    <w:pPr>
      <w:ind w:firstLine="420" w:firstLineChars="200"/>
    </w:pPr>
    <w:rPr>
      <w:rFonts w:ascii="等线" w:hAnsi="等线" w:eastAsia="等线"/>
    </w:rPr>
  </w:style>
  <w:style w:type="paragraph" w:customStyle="1" w:styleId="319">
    <w:name w:val="正文文本 2_1_0_0_1_1"/>
    <w:basedOn w:val="320"/>
    <w:qFormat/>
    <w:uiPriority w:val="0"/>
  </w:style>
  <w:style w:type="paragraph" w:customStyle="1" w:styleId="320">
    <w:name w:val="正文_0_2_1_0_1_1"/>
    <w:basedOn w:val="321"/>
    <w:next w:val="32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21">
    <w:name w:val="正文_1_3_0_0_1_1"/>
    <w:basedOn w:val="322"/>
    <w:next w:val="323"/>
    <w:qFormat/>
    <w:uiPriority w:val="0"/>
    <w:pPr>
      <w:widowControl w:val="0"/>
      <w:jc w:val="both"/>
    </w:pPr>
    <w:rPr>
      <w:kern w:val="2"/>
      <w:sz w:val="21"/>
      <w:szCs w:val="24"/>
      <w:lang w:val="en-US" w:eastAsia="zh-CN" w:bidi="ar-SA"/>
    </w:rPr>
  </w:style>
  <w:style w:type="paragraph" w:customStyle="1" w:styleId="322">
    <w:name w:val="正文_2_2_0_0_1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23">
    <w:name w:val="正文缩进_0_2_0_0_1_1"/>
    <w:basedOn w:val="320"/>
    <w:next w:val="321"/>
    <w:unhideWhenUsed/>
    <w:qFormat/>
    <w:uiPriority w:val="0"/>
    <w:pPr>
      <w:ind w:firstLine="420" w:firstLineChars="200"/>
    </w:pPr>
  </w:style>
  <w:style w:type="paragraph" w:customStyle="1" w:styleId="324">
    <w:name w:val="正文首行缩进_0_1_0_0_2_1"/>
    <w:basedOn w:val="316"/>
    <w:qFormat/>
    <w:uiPriority w:val="0"/>
    <w:pPr>
      <w:ind w:firstLine="420" w:firstLineChars="100"/>
    </w:pPr>
  </w:style>
  <w:style w:type="paragraph" w:customStyle="1" w:styleId="325">
    <w:name w:val="正文文本 2_0_0_0_0_1"/>
    <w:basedOn w:val="302"/>
    <w:qFormat/>
    <w:uiPriority w:val="0"/>
    <w:pPr>
      <w:spacing w:before="100" w:beforeAutospacing="1" w:line="480" w:lineRule="auto"/>
    </w:pPr>
  </w:style>
  <w:style w:type="paragraph" w:customStyle="1" w:styleId="326">
    <w:name w:val="正文文本_0_1_0_1_1"/>
    <w:basedOn w:val="289"/>
    <w:next w:val="327"/>
    <w:qFormat/>
    <w:uiPriority w:val="0"/>
    <w:pPr>
      <w:spacing w:before="100" w:beforeAutospacing="1" w:after="120"/>
    </w:pPr>
    <w:rPr>
      <w:rFonts w:ascii="等线" w:hAnsi="等线" w:eastAsia="等线"/>
    </w:rPr>
  </w:style>
  <w:style w:type="paragraph" w:customStyle="1" w:styleId="327">
    <w:name w:val="正文文本 2_0_1_0_1"/>
    <w:basedOn w:val="293"/>
    <w:qFormat/>
    <w:uiPriority w:val="0"/>
    <w:pPr>
      <w:spacing w:before="100" w:beforeAutospacing="1" w:line="480" w:lineRule="auto"/>
    </w:pPr>
  </w:style>
  <w:style w:type="paragraph" w:customStyle="1" w:styleId="328">
    <w:name w:val="正文缩进_1_0_0_0_1"/>
    <w:basedOn w:val="289"/>
    <w:qFormat/>
    <w:uiPriority w:val="0"/>
    <w:pPr>
      <w:ind w:firstLine="420" w:firstLineChars="200"/>
    </w:pPr>
  </w:style>
  <w:style w:type="paragraph" w:customStyle="1" w:styleId="329">
    <w:name w:val="正文文本 2_1_1"/>
    <w:basedOn w:val="330"/>
    <w:qFormat/>
    <w:uiPriority w:val="0"/>
  </w:style>
  <w:style w:type="paragraph" w:customStyle="1" w:styleId="330">
    <w:name w:val="正文_0_0_2_1"/>
    <w:next w:val="26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31">
    <w:name w:val="正文首行缩进_3_0_1_1"/>
    <w:basedOn w:val="332"/>
    <w:qFormat/>
    <w:uiPriority w:val="0"/>
    <w:pPr>
      <w:ind w:firstLine="420" w:firstLineChars="100"/>
    </w:pPr>
    <w:rPr>
      <w:rFonts w:ascii="Calibri" w:hAnsi="Calibri"/>
    </w:rPr>
  </w:style>
  <w:style w:type="paragraph" w:customStyle="1" w:styleId="332">
    <w:name w:val="正文文本_3_0_1_1"/>
    <w:basedOn w:val="333"/>
    <w:next w:val="319"/>
    <w:qFormat/>
    <w:uiPriority w:val="0"/>
    <w:pPr>
      <w:spacing w:after="120"/>
    </w:pPr>
    <w:rPr>
      <w:rFonts w:ascii="Times New Roman" w:hAnsi="Times New Roman" w:eastAsia="宋体" w:cs="Times New Roman"/>
    </w:rPr>
  </w:style>
  <w:style w:type="paragraph" w:customStyle="1" w:styleId="333">
    <w:name w:val="正文_7_0_0_1_1"/>
    <w:next w:val="33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34">
    <w:name w:val="正文首行缩进_3_2_0_1"/>
    <w:basedOn w:val="335"/>
    <w:qFormat/>
    <w:uiPriority w:val="0"/>
    <w:pPr>
      <w:ind w:firstLine="420" w:firstLineChars="100"/>
    </w:pPr>
  </w:style>
  <w:style w:type="paragraph" w:customStyle="1" w:styleId="335">
    <w:name w:val="正文_9_0_2_0_1"/>
    <w:next w:val="334"/>
    <w:qFormat/>
    <w:uiPriority w:val="0"/>
    <w:pPr>
      <w:widowControl w:val="0"/>
      <w:jc w:val="both"/>
    </w:pPr>
    <w:rPr>
      <w:rFonts w:ascii="Calibri" w:hAnsi="Calibri" w:eastAsia="宋体" w:cs="Times New Roman"/>
      <w:kern w:val="2"/>
      <w:sz w:val="21"/>
      <w:szCs w:val="22"/>
      <w:lang w:val="en-US" w:eastAsia="zh-CN" w:bidi="ar-SA"/>
    </w:rPr>
  </w:style>
  <w:style w:type="paragraph" w:customStyle="1" w:styleId="336">
    <w:name w:val="Plain Text1_1_1_1"/>
    <w:basedOn w:val="254"/>
    <w:qFormat/>
    <w:uiPriority w:val="99"/>
    <w:rPr>
      <w:rFonts w:ascii="Courier New" w:hAnsi="Courier New" w:cs="Courier New"/>
    </w:rPr>
  </w:style>
  <w:style w:type="paragraph" w:customStyle="1" w:styleId="337">
    <w:name w:val="正文首行缩进_3_0_0_1"/>
    <w:basedOn w:val="338"/>
    <w:qFormat/>
    <w:uiPriority w:val="0"/>
    <w:pPr>
      <w:ind w:firstLine="420" w:firstLineChars="100"/>
    </w:pPr>
    <w:rPr>
      <w:rFonts w:ascii="Calibri" w:hAnsi="Calibri"/>
    </w:rPr>
  </w:style>
  <w:style w:type="paragraph" w:customStyle="1" w:styleId="338">
    <w:name w:val="正文文本_3_0_0_1"/>
    <w:basedOn w:val="339"/>
    <w:next w:val="310"/>
    <w:qFormat/>
    <w:uiPriority w:val="0"/>
    <w:pPr>
      <w:spacing w:after="120"/>
    </w:pPr>
    <w:rPr>
      <w:rFonts w:ascii="Times New Roman" w:hAnsi="Times New Roman" w:eastAsia="宋体" w:cs="Times New Roman"/>
    </w:rPr>
  </w:style>
  <w:style w:type="paragraph" w:customStyle="1" w:styleId="339">
    <w:name w:val="正文_7_0_0_0_1"/>
    <w:next w:val="34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0">
    <w:name w:val="正文首行缩进_3_2_2"/>
    <w:basedOn w:val="341"/>
    <w:qFormat/>
    <w:uiPriority w:val="0"/>
    <w:pPr>
      <w:ind w:firstLine="420" w:firstLineChars="100"/>
    </w:pPr>
  </w:style>
  <w:style w:type="paragraph" w:customStyle="1" w:styleId="341">
    <w:name w:val="正文_9_0_2_2"/>
    <w:next w:val="340"/>
    <w:qFormat/>
    <w:uiPriority w:val="0"/>
    <w:pPr>
      <w:widowControl w:val="0"/>
      <w:jc w:val="both"/>
    </w:pPr>
    <w:rPr>
      <w:rFonts w:ascii="Calibri" w:hAnsi="Calibri" w:eastAsia="宋体" w:cs="Times New Roman"/>
      <w:kern w:val="2"/>
      <w:sz w:val="21"/>
      <w:szCs w:val="22"/>
      <w:lang w:val="en-US" w:eastAsia="zh-CN" w:bidi="ar-SA"/>
    </w:rPr>
  </w:style>
  <w:style w:type="paragraph" w:customStyle="1" w:styleId="342">
    <w:name w:val="Plain Text1_1_0_1"/>
    <w:basedOn w:val="237"/>
    <w:qFormat/>
    <w:uiPriority w:val="99"/>
    <w:rPr>
      <w:rFonts w:ascii="Courier New" w:hAnsi="Courier New" w:cs="Courier New"/>
    </w:rPr>
  </w:style>
  <w:style w:type="paragraph" w:customStyle="1" w:styleId="343">
    <w:name w:val="正文首行缩进_1_2_1"/>
    <w:basedOn w:val="344"/>
    <w:qFormat/>
    <w:uiPriority w:val="99"/>
    <w:pPr>
      <w:ind w:firstLine="420" w:firstLineChars="100"/>
    </w:pPr>
  </w:style>
  <w:style w:type="paragraph" w:customStyle="1" w:styleId="344">
    <w:name w:val="正文文本_1_2_1"/>
    <w:basedOn w:val="236"/>
    <w:next w:val="299"/>
    <w:qFormat/>
    <w:uiPriority w:val="99"/>
    <w:pPr>
      <w:spacing w:after="120" w:afterLines="0"/>
    </w:pPr>
    <w:rPr>
      <w:rFonts w:ascii="Times New Roman" w:hAnsi="Times New Roman"/>
    </w:rPr>
  </w:style>
  <w:style w:type="paragraph" w:customStyle="1" w:styleId="345">
    <w:name w:val="表格文字_0_4_1"/>
    <w:basedOn w:val="346"/>
    <w:qFormat/>
    <w:uiPriority w:val="0"/>
    <w:pPr>
      <w:adjustRightInd w:val="0"/>
      <w:spacing w:line="420" w:lineRule="atLeast"/>
      <w:jc w:val="left"/>
      <w:textAlignment w:val="baseline"/>
    </w:pPr>
    <w:rPr>
      <w:rFonts w:ascii="Calibri" w:hAnsi="Calibri" w:eastAsia="等线" w:cs="宋体"/>
      <w:kern w:val="0"/>
      <w:szCs w:val="21"/>
    </w:rPr>
  </w:style>
  <w:style w:type="paragraph" w:customStyle="1" w:styleId="346">
    <w:name w:val="正文_11_4_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47">
    <w:name w:val="正文文本 2_0_0_2_1"/>
    <w:basedOn w:val="229"/>
    <w:qFormat/>
    <w:uiPriority w:val="0"/>
    <w:pPr>
      <w:spacing w:before="100" w:beforeAutospacing="1" w:line="480" w:lineRule="auto"/>
    </w:pPr>
  </w:style>
  <w:style w:type="paragraph" w:customStyle="1" w:styleId="348">
    <w:name w:val="正文首行缩进_1_4_1"/>
    <w:basedOn w:val="349"/>
    <w:qFormat/>
    <w:uiPriority w:val="99"/>
    <w:pPr>
      <w:ind w:firstLine="420" w:firstLineChars="100"/>
    </w:pPr>
  </w:style>
  <w:style w:type="paragraph" w:customStyle="1" w:styleId="349">
    <w:name w:val="正文文本_1_4_1"/>
    <w:basedOn w:val="201"/>
    <w:next w:val="200"/>
    <w:qFormat/>
    <w:uiPriority w:val="99"/>
    <w:pPr>
      <w:spacing w:after="120" w:afterLines="0"/>
    </w:pPr>
    <w:rPr>
      <w:rFonts w:ascii="Times New Roman" w:hAnsi="Times New Roman"/>
    </w:rPr>
  </w:style>
  <w:style w:type="paragraph" w:customStyle="1" w:styleId="350">
    <w:name w:val="正文首行缩进_3_0_3_1"/>
    <w:basedOn w:val="351"/>
    <w:qFormat/>
    <w:uiPriority w:val="0"/>
    <w:pPr>
      <w:ind w:firstLine="420" w:firstLineChars="100"/>
    </w:pPr>
    <w:rPr>
      <w:rFonts w:ascii="Calibri" w:hAnsi="Calibri"/>
    </w:rPr>
  </w:style>
  <w:style w:type="paragraph" w:customStyle="1" w:styleId="351">
    <w:name w:val="正文文本_3_0_3_1"/>
    <w:basedOn w:val="352"/>
    <w:next w:val="355"/>
    <w:qFormat/>
    <w:uiPriority w:val="0"/>
    <w:pPr>
      <w:spacing w:after="120"/>
    </w:pPr>
    <w:rPr>
      <w:rFonts w:ascii="Times New Roman" w:hAnsi="Times New Roman" w:eastAsia="宋体" w:cs="Times New Roman"/>
    </w:rPr>
  </w:style>
  <w:style w:type="paragraph" w:customStyle="1" w:styleId="352">
    <w:name w:val="正文_7_0_0_3_1"/>
    <w:next w:val="35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53">
    <w:name w:val="正文首行缩进_3_2_3_1"/>
    <w:basedOn w:val="354"/>
    <w:qFormat/>
    <w:uiPriority w:val="0"/>
    <w:pPr>
      <w:ind w:firstLine="420" w:firstLineChars="100"/>
    </w:pPr>
  </w:style>
  <w:style w:type="paragraph" w:customStyle="1" w:styleId="354">
    <w:name w:val="正文_9_0_2_3_1"/>
    <w:next w:val="353"/>
    <w:qFormat/>
    <w:uiPriority w:val="0"/>
    <w:pPr>
      <w:widowControl w:val="0"/>
      <w:jc w:val="both"/>
    </w:pPr>
    <w:rPr>
      <w:rFonts w:ascii="Calibri" w:hAnsi="Calibri" w:eastAsia="宋体" w:cs="Times New Roman"/>
      <w:kern w:val="2"/>
      <w:sz w:val="21"/>
      <w:szCs w:val="22"/>
      <w:lang w:val="en-US" w:eastAsia="zh-CN" w:bidi="ar-SA"/>
    </w:rPr>
  </w:style>
  <w:style w:type="paragraph" w:customStyle="1" w:styleId="355">
    <w:name w:val="正文文本 2_1_0_0_3_1"/>
    <w:basedOn w:val="356"/>
    <w:qFormat/>
    <w:uiPriority w:val="0"/>
  </w:style>
  <w:style w:type="paragraph" w:customStyle="1" w:styleId="356">
    <w:name w:val="正文_0_2_1_0_3_1"/>
    <w:basedOn w:val="357"/>
    <w:next w:val="36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57">
    <w:name w:val="正文_1_3_0_0_3_1"/>
    <w:basedOn w:val="358"/>
    <w:next w:val="359"/>
    <w:qFormat/>
    <w:uiPriority w:val="0"/>
    <w:pPr>
      <w:widowControl w:val="0"/>
      <w:jc w:val="both"/>
    </w:pPr>
    <w:rPr>
      <w:kern w:val="2"/>
      <w:sz w:val="21"/>
      <w:szCs w:val="24"/>
      <w:lang w:val="en-US" w:eastAsia="zh-CN" w:bidi="ar-SA"/>
    </w:rPr>
  </w:style>
  <w:style w:type="paragraph" w:customStyle="1" w:styleId="358">
    <w:name w:val="正文_2_2_0_0_3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59">
    <w:name w:val="正文缩进_0_2_0_0_3_1"/>
    <w:basedOn w:val="356"/>
    <w:next w:val="357"/>
    <w:unhideWhenUsed/>
    <w:qFormat/>
    <w:uiPriority w:val="0"/>
    <w:pPr>
      <w:ind w:firstLine="420" w:firstLineChars="200"/>
    </w:pPr>
  </w:style>
  <w:style w:type="paragraph" w:customStyle="1" w:styleId="360">
    <w:name w:val="正文首行缩进_0_1_0_0_3_1"/>
    <w:basedOn w:val="361"/>
    <w:unhideWhenUsed/>
    <w:qFormat/>
    <w:uiPriority w:val="0"/>
    <w:pPr>
      <w:ind w:firstLine="420" w:firstLineChars="100"/>
    </w:pPr>
    <w:rPr>
      <w:rFonts w:ascii="等线" w:hAnsi="等线" w:eastAsia="等线"/>
    </w:rPr>
  </w:style>
  <w:style w:type="paragraph" w:customStyle="1" w:styleId="361">
    <w:name w:val="正文文本_0_1_0_0_3_1"/>
    <w:basedOn w:val="362"/>
    <w:next w:val="355"/>
    <w:unhideWhenUsed/>
    <w:qFormat/>
    <w:uiPriority w:val="0"/>
    <w:pPr>
      <w:spacing w:after="120"/>
    </w:pPr>
    <w:rPr>
      <w:kern w:val="0"/>
      <w:sz w:val="20"/>
    </w:rPr>
  </w:style>
  <w:style w:type="paragraph" w:customStyle="1" w:styleId="362">
    <w:name w:val="正文_0_1_1_0_0_3_1"/>
    <w:next w:val="363"/>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363">
    <w:name w:val="正文缩进_0_0_1_0_0_3_1"/>
    <w:basedOn w:val="362"/>
    <w:qFormat/>
    <w:uiPriority w:val="0"/>
    <w:pPr>
      <w:ind w:firstLine="420" w:firstLineChars="200"/>
    </w:pPr>
    <w:rPr>
      <w:rFonts w:ascii="等线" w:hAnsi="等线" w:eastAsia="等线"/>
    </w:rPr>
  </w:style>
  <w:style w:type="paragraph" w:customStyle="1" w:styleId="364">
    <w:name w:val="Plain Text1_1_3_1"/>
    <w:basedOn w:val="184"/>
    <w:qFormat/>
    <w:uiPriority w:val="99"/>
    <w:rPr>
      <w:rFonts w:ascii="Courier New" w:hAnsi="Courier New" w:cs="Courier New"/>
    </w:rPr>
  </w:style>
  <w:style w:type="paragraph" w:customStyle="1" w:styleId="365">
    <w:name w:val="正文文本 2_2_1"/>
    <w:basedOn w:val="366"/>
    <w:qFormat/>
    <w:uiPriority w:val="0"/>
  </w:style>
  <w:style w:type="paragraph" w:customStyle="1" w:styleId="366">
    <w:name w:val="正文_6_1_1"/>
    <w:basedOn w:val="17"/>
    <w:next w:val="17"/>
    <w:qFormat/>
    <w:uiPriority w:val="0"/>
    <w:pPr>
      <w:widowControl w:val="0"/>
      <w:jc w:val="both"/>
    </w:pPr>
    <w:rPr>
      <w:rFonts w:ascii="Calibri" w:hAnsi="Calibri"/>
      <w:kern w:val="2"/>
      <w:sz w:val="21"/>
      <w:szCs w:val="22"/>
      <w:lang w:val="en-US" w:eastAsia="zh-CN" w:bidi="ar-SA"/>
    </w:rPr>
  </w:style>
  <w:style w:type="paragraph" w:customStyle="1" w:styleId="367">
    <w:name w:val="正文首行缩进_0_0_0_1_1"/>
    <w:basedOn w:val="298"/>
    <w:qFormat/>
    <w:uiPriority w:val="0"/>
  </w:style>
  <w:style w:type="paragraph" w:customStyle="1" w:styleId="368">
    <w:name w:val="正文首行缩进_3_0_1"/>
    <w:basedOn w:val="369"/>
    <w:qFormat/>
    <w:uiPriority w:val="0"/>
    <w:pPr>
      <w:ind w:firstLine="420" w:firstLineChars="100"/>
    </w:pPr>
    <w:rPr>
      <w:rFonts w:ascii="Calibri" w:hAnsi="Calibri"/>
    </w:rPr>
  </w:style>
  <w:style w:type="paragraph" w:customStyle="1" w:styleId="369">
    <w:name w:val="正文文本_3_0_1"/>
    <w:basedOn w:val="370"/>
    <w:next w:val="373"/>
    <w:qFormat/>
    <w:uiPriority w:val="0"/>
    <w:pPr>
      <w:spacing w:after="120"/>
    </w:pPr>
    <w:rPr>
      <w:rFonts w:ascii="Times New Roman" w:hAnsi="Times New Roman" w:eastAsia="宋体" w:cs="Times New Roman"/>
    </w:rPr>
  </w:style>
  <w:style w:type="paragraph" w:customStyle="1" w:styleId="370">
    <w:name w:val="正文_7_0_0_1"/>
    <w:next w:val="37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1">
    <w:name w:val="正文首行缩进_3_2_0"/>
    <w:basedOn w:val="372"/>
    <w:qFormat/>
    <w:uiPriority w:val="0"/>
    <w:pPr>
      <w:ind w:firstLine="420" w:firstLineChars="100"/>
    </w:pPr>
  </w:style>
  <w:style w:type="paragraph" w:customStyle="1" w:styleId="372">
    <w:name w:val="正文_9_0_2_0"/>
    <w:next w:val="37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73">
    <w:name w:val="正文文本 2_1_0_0_1"/>
    <w:basedOn w:val="374"/>
    <w:qFormat/>
    <w:uiPriority w:val="0"/>
  </w:style>
  <w:style w:type="paragraph" w:customStyle="1" w:styleId="374">
    <w:name w:val="正文_0_2_1_0_1"/>
    <w:basedOn w:val="375"/>
    <w:next w:val="37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5">
    <w:name w:val="正文_1_3_0_0_1"/>
    <w:basedOn w:val="376"/>
    <w:next w:val="377"/>
    <w:qFormat/>
    <w:uiPriority w:val="0"/>
    <w:pPr>
      <w:widowControl w:val="0"/>
      <w:jc w:val="both"/>
    </w:pPr>
    <w:rPr>
      <w:kern w:val="2"/>
      <w:sz w:val="21"/>
      <w:szCs w:val="24"/>
      <w:lang w:val="en-US" w:eastAsia="zh-CN" w:bidi="ar-SA"/>
    </w:rPr>
  </w:style>
  <w:style w:type="paragraph" w:customStyle="1" w:styleId="376">
    <w:name w:val="正文_2_2_0_0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7">
    <w:name w:val="正文缩进_0_2_0_0_1"/>
    <w:basedOn w:val="374"/>
    <w:next w:val="375"/>
    <w:unhideWhenUsed/>
    <w:qFormat/>
    <w:uiPriority w:val="0"/>
    <w:pPr>
      <w:ind w:firstLine="420" w:firstLineChars="200"/>
    </w:pPr>
  </w:style>
  <w:style w:type="paragraph" w:customStyle="1" w:styleId="378">
    <w:name w:val="正文首行缩进_0_1_0_0_2"/>
    <w:basedOn w:val="379"/>
    <w:qFormat/>
    <w:uiPriority w:val="0"/>
    <w:pPr>
      <w:ind w:firstLine="420" w:firstLineChars="100"/>
    </w:pPr>
  </w:style>
  <w:style w:type="paragraph" w:customStyle="1" w:styleId="379">
    <w:name w:val="正文文本_0_1_0_0_1"/>
    <w:basedOn w:val="380"/>
    <w:next w:val="373"/>
    <w:unhideWhenUsed/>
    <w:qFormat/>
    <w:uiPriority w:val="0"/>
    <w:pPr>
      <w:spacing w:after="120"/>
    </w:pPr>
    <w:rPr>
      <w:kern w:val="0"/>
      <w:sz w:val="20"/>
    </w:rPr>
  </w:style>
  <w:style w:type="paragraph" w:customStyle="1" w:styleId="380">
    <w:name w:val="正文_0_1_1_0_0_1"/>
    <w:next w:val="381"/>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381">
    <w:name w:val="正文缩进_0_0_1_0_0_1"/>
    <w:basedOn w:val="380"/>
    <w:qFormat/>
    <w:uiPriority w:val="0"/>
    <w:pPr>
      <w:ind w:firstLine="420" w:firstLineChars="200"/>
    </w:pPr>
    <w:rPr>
      <w:rFonts w:ascii="等线" w:hAnsi="等线" w:eastAsia="等线"/>
    </w:rPr>
  </w:style>
  <w:style w:type="paragraph" w:customStyle="1" w:styleId="382">
    <w:name w:val="Plain Text1_1_1"/>
    <w:basedOn w:val="71"/>
    <w:qFormat/>
    <w:uiPriority w:val="99"/>
    <w:rPr>
      <w:rFonts w:ascii="Courier New" w:hAnsi="Courier New" w:cs="Courier New"/>
    </w:rPr>
  </w:style>
  <w:style w:type="paragraph" w:customStyle="1" w:styleId="383">
    <w:name w:val="正文文本 2_0_1"/>
    <w:basedOn w:val="384"/>
    <w:qFormat/>
    <w:uiPriority w:val="0"/>
    <w:pPr>
      <w:spacing w:after="120" w:line="480" w:lineRule="auto"/>
    </w:pPr>
    <w:rPr>
      <w:rFonts w:ascii="宋体" w:hAnsi="宋体" w:eastAsia="Times New Roman"/>
      <w:b/>
      <w:kern w:val="0"/>
      <w:sz w:val="24"/>
      <w:szCs w:val="20"/>
    </w:rPr>
  </w:style>
  <w:style w:type="paragraph" w:customStyle="1" w:styleId="384">
    <w:name w:val="正文_1_1_1"/>
    <w:basedOn w:val="385"/>
    <w:next w:val="55"/>
    <w:qFormat/>
    <w:uiPriority w:val="0"/>
    <w:rPr>
      <w:szCs w:val="21"/>
    </w:rPr>
  </w:style>
  <w:style w:type="paragraph" w:customStyle="1" w:styleId="385">
    <w:name w:val="正文_2_1_1"/>
    <w:basedOn w:val="386"/>
    <w:next w:val="76"/>
    <w:qFormat/>
    <w:uiPriority w:val="0"/>
  </w:style>
  <w:style w:type="paragraph" w:customStyle="1" w:styleId="386">
    <w:name w:val="正文_3_1_1"/>
    <w:basedOn w:val="73"/>
    <w:next w:val="367"/>
    <w:qFormat/>
    <w:uiPriority w:val="0"/>
  </w:style>
  <w:style w:type="paragraph" w:customStyle="1" w:styleId="387">
    <w:name w:val="正文首行缩进_0_0_0_1_0"/>
    <w:basedOn w:val="59"/>
    <w:qFormat/>
    <w:uiPriority w:val="0"/>
    <w:rPr>
      <w:rFonts w:ascii="等线" w:hAnsi="等线" w:eastAsia="等线"/>
    </w:rPr>
  </w:style>
  <w:style w:type="paragraph" w:customStyle="1" w:styleId="388">
    <w:name w:val="正文文本_0_1_0"/>
    <w:basedOn w:val="57"/>
    <w:next w:val="383"/>
    <w:qFormat/>
    <w:uiPriority w:val="0"/>
    <w:pPr>
      <w:spacing w:after="120"/>
    </w:pPr>
    <w:rPr>
      <w:rFonts w:ascii="Calibri" w:hAnsi="Calibri"/>
      <w:kern w:val="0"/>
      <w:sz w:val="20"/>
    </w:rPr>
  </w:style>
  <w:style w:type="paragraph" w:customStyle="1" w:styleId="389">
    <w:name w:val="正文_0_3_0"/>
    <w:basedOn w:val="384"/>
    <w:next w:val="55"/>
    <w:qFormat/>
    <w:uiPriority w:val="0"/>
    <w:rPr>
      <w:rFonts w:ascii="等线" w:hAnsi="等线" w:eastAsia="等线"/>
      <w:szCs w:val="24"/>
    </w:rPr>
  </w:style>
  <w:style w:type="paragraph" w:customStyle="1" w:styleId="390">
    <w:name w:val="正文文本 2_0_0"/>
    <w:basedOn w:val="53"/>
    <w:qFormat/>
    <w:uiPriority w:val="0"/>
  </w:style>
  <w:style w:type="paragraph" w:customStyle="1" w:styleId="391">
    <w:name w:val="正文文本 2_2"/>
    <w:basedOn w:val="392"/>
    <w:qFormat/>
    <w:uiPriority w:val="0"/>
    <w:pPr>
      <w:spacing w:after="120" w:line="480" w:lineRule="auto"/>
    </w:pPr>
    <w:rPr>
      <w:rFonts w:ascii="宋体" w:hAnsi="宋体" w:eastAsia="Times New Roman"/>
      <w:b/>
      <w:kern w:val="0"/>
      <w:sz w:val="24"/>
      <w:szCs w:val="20"/>
    </w:rPr>
  </w:style>
  <w:style w:type="paragraph" w:customStyle="1" w:styleId="392">
    <w:name w:val="正文_0_0_2"/>
    <w:basedOn w:val="393"/>
    <w:next w:val="395"/>
    <w:unhideWhenUsed/>
    <w:qFormat/>
    <w:uiPriority w:val="0"/>
    <w:rPr>
      <w:rFonts w:hint="default"/>
      <w:sz w:val="21"/>
      <w:szCs w:val="24"/>
    </w:rPr>
  </w:style>
  <w:style w:type="paragraph" w:customStyle="1" w:styleId="393">
    <w:name w:val="正文_1_3"/>
    <w:basedOn w:val="49"/>
    <w:next w:val="394"/>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94">
    <w:name w:val="正文缩进_0_2"/>
    <w:basedOn w:val="43"/>
    <w:next w:val="393"/>
    <w:unhideWhenUsed/>
    <w:qFormat/>
    <w:uiPriority w:val="0"/>
    <w:pPr>
      <w:ind w:firstLine="420" w:firstLineChars="200"/>
    </w:pPr>
  </w:style>
  <w:style w:type="paragraph" w:customStyle="1" w:styleId="395">
    <w:name w:val="正文首行缩进_0_0_3"/>
    <w:basedOn w:val="396"/>
    <w:unhideWhenUsed/>
    <w:qFormat/>
    <w:uiPriority w:val="0"/>
    <w:pPr>
      <w:ind w:firstLine="420" w:firstLineChars="100"/>
    </w:pPr>
    <w:rPr>
      <w:rFonts w:hint="eastAsia"/>
      <w:sz w:val="20"/>
      <w:szCs w:val="20"/>
    </w:rPr>
  </w:style>
  <w:style w:type="paragraph" w:customStyle="1" w:styleId="396">
    <w:name w:val="正文文本_0_0_2"/>
    <w:basedOn w:val="397"/>
    <w:next w:val="439"/>
    <w:unhideWhenUsed/>
    <w:qFormat/>
    <w:uiPriority w:val="0"/>
    <w:pPr>
      <w:spacing w:after="120"/>
    </w:pPr>
  </w:style>
  <w:style w:type="paragraph" w:customStyle="1" w:styleId="397">
    <w:name w:val="正文_0_0_1"/>
    <w:basedOn w:val="398"/>
    <w:next w:val="438"/>
    <w:qFormat/>
    <w:uiPriority w:val="0"/>
    <w:rPr>
      <w:rFonts w:ascii="Times New Roman" w:hAnsi="Times New Roman" w:eastAsia="宋体" w:cs="Times New Roman"/>
    </w:rPr>
  </w:style>
  <w:style w:type="paragraph" w:customStyle="1" w:styleId="398">
    <w:name w:val="正文_0_1_1_0"/>
    <w:basedOn w:val="399"/>
    <w:next w:val="407"/>
    <w:qFormat/>
    <w:uiPriority w:val="0"/>
    <w:pPr>
      <w:widowControl w:val="0"/>
      <w:jc w:val="both"/>
    </w:pPr>
    <w:rPr>
      <w:rFonts w:ascii="Calibri" w:hAnsi="Calibri"/>
      <w:kern w:val="2"/>
      <w:sz w:val="21"/>
      <w:lang w:val="en-US" w:eastAsia="zh-CN" w:bidi="ar-SA"/>
    </w:rPr>
  </w:style>
  <w:style w:type="paragraph" w:customStyle="1" w:styleId="399">
    <w:name w:val="正文_1_2_0"/>
    <w:basedOn w:val="400"/>
    <w:next w:val="406"/>
    <w:qFormat/>
    <w:uiPriority w:val="0"/>
    <w:pPr>
      <w:widowControl w:val="0"/>
      <w:jc w:val="both"/>
    </w:pPr>
    <w:rPr>
      <w:kern w:val="2"/>
      <w:sz w:val="21"/>
      <w:szCs w:val="24"/>
      <w:lang w:val="en-US" w:eastAsia="zh-CN" w:bidi="ar-SA"/>
    </w:rPr>
  </w:style>
  <w:style w:type="paragraph" w:customStyle="1" w:styleId="400">
    <w:name w:val="正文_2_1_0"/>
    <w:basedOn w:val="401"/>
    <w:next w:val="405"/>
    <w:qFormat/>
    <w:uiPriority w:val="0"/>
    <w:pPr>
      <w:widowControl w:val="0"/>
      <w:jc w:val="both"/>
    </w:pPr>
    <w:rPr>
      <w:kern w:val="2"/>
      <w:sz w:val="21"/>
      <w:szCs w:val="24"/>
      <w:lang w:val="en-US" w:eastAsia="zh-CN" w:bidi="ar-SA"/>
    </w:rPr>
  </w:style>
  <w:style w:type="paragraph" w:customStyle="1" w:styleId="401">
    <w:name w:val="正文_3_1_0"/>
    <w:basedOn w:val="402"/>
    <w:next w:val="47"/>
    <w:qFormat/>
    <w:uiPriority w:val="0"/>
    <w:pPr>
      <w:widowControl w:val="0"/>
      <w:jc w:val="both"/>
    </w:pPr>
    <w:rPr>
      <w:kern w:val="2"/>
      <w:sz w:val="21"/>
      <w:szCs w:val="24"/>
      <w:lang w:val="en-US" w:eastAsia="zh-CN" w:bidi="ar-SA"/>
    </w:rPr>
  </w:style>
  <w:style w:type="paragraph" w:customStyle="1" w:styleId="402">
    <w:name w:val="正文_4_0_0"/>
    <w:basedOn w:val="403"/>
    <w:next w:val="405"/>
    <w:qFormat/>
    <w:uiPriority w:val="0"/>
    <w:pPr>
      <w:widowControl w:val="0"/>
      <w:jc w:val="both"/>
    </w:pPr>
    <w:rPr>
      <w:kern w:val="2"/>
      <w:sz w:val="21"/>
      <w:szCs w:val="24"/>
      <w:lang w:val="en-US" w:eastAsia="zh-CN" w:bidi="ar-SA"/>
    </w:rPr>
  </w:style>
  <w:style w:type="paragraph" w:customStyle="1" w:styleId="403">
    <w:name w:val="正文_5_3"/>
    <w:basedOn w:val="404"/>
    <w:next w:val="47"/>
    <w:qFormat/>
    <w:uiPriority w:val="0"/>
    <w:pPr>
      <w:widowControl w:val="0"/>
      <w:jc w:val="both"/>
    </w:pPr>
    <w:rPr>
      <w:rFonts w:ascii="Calibri" w:hAnsi="Calibri"/>
      <w:kern w:val="2"/>
      <w:sz w:val="21"/>
      <w:szCs w:val="22"/>
      <w:lang w:val="en-US" w:eastAsia="zh-CN" w:bidi="ar-SA"/>
    </w:rPr>
  </w:style>
  <w:style w:type="paragraph" w:customStyle="1" w:styleId="404">
    <w:name w:val="正文_0_4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05">
    <w:name w:val="正文首行缩进_0_0_0_0"/>
    <w:basedOn w:val="52"/>
    <w:qFormat/>
    <w:uiPriority w:val="0"/>
    <w:rPr>
      <w:rFonts w:ascii="等线" w:hAnsi="等线" w:eastAsia="等线"/>
    </w:rPr>
  </w:style>
  <w:style w:type="paragraph" w:customStyle="1" w:styleId="406">
    <w:name w:val="正文缩进_1_1_0"/>
    <w:basedOn w:val="399"/>
    <w:unhideWhenUsed/>
    <w:qFormat/>
    <w:uiPriority w:val="0"/>
    <w:pPr>
      <w:spacing w:beforeLines="0" w:afterLines="0"/>
      <w:ind w:firstLine="420" w:firstLineChars="200"/>
    </w:pPr>
    <w:rPr>
      <w:rFonts w:hint="default" w:ascii="Times New Roman" w:hAnsi="Times New Roman"/>
      <w:sz w:val="21"/>
    </w:rPr>
  </w:style>
  <w:style w:type="paragraph" w:customStyle="1" w:styleId="407">
    <w:name w:val="正文缩进_0_1_2"/>
    <w:basedOn w:val="408"/>
    <w:unhideWhenUsed/>
    <w:qFormat/>
    <w:uiPriority w:val="0"/>
    <w:pPr>
      <w:ind w:firstLine="420" w:firstLineChars="200"/>
    </w:pPr>
  </w:style>
  <w:style w:type="paragraph" w:customStyle="1" w:styleId="408">
    <w:name w:val="正文_1_1_2_0"/>
    <w:basedOn w:val="409"/>
    <w:next w:val="437"/>
    <w:qFormat/>
    <w:uiPriority w:val="0"/>
    <w:pPr>
      <w:widowControl w:val="0"/>
      <w:jc w:val="both"/>
    </w:pPr>
    <w:rPr>
      <w:kern w:val="2"/>
      <w:sz w:val="21"/>
      <w:szCs w:val="24"/>
      <w:lang w:val="en-US" w:eastAsia="zh-CN" w:bidi="ar-SA"/>
    </w:rPr>
  </w:style>
  <w:style w:type="paragraph" w:customStyle="1" w:styleId="409">
    <w:name w:val="正文_2_0_0_0"/>
    <w:basedOn w:val="410"/>
    <w:next w:val="435"/>
    <w:qFormat/>
    <w:uiPriority w:val="0"/>
    <w:pPr>
      <w:widowControl w:val="0"/>
      <w:jc w:val="both"/>
    </w:pPr>
    <w:rPr>
      <w:rFonts w:ascii="等线" w:hAnsi="等线" w:eastAsia="等线"/>
      <w:kern w:val="2"/>
      <w:sz w:val="21"/>
      <w:szCs w:val="22"/>
      <w:lang w:val="en-US" w:eastAsia="zh-CN" w:bidi="ar-SA"/>
    </w:rPr>
  </w:style>
  <w:style w:type="paragraph" w:customStyle="1" w:styleId="410">
    <w:name w:val="正文_3_0_0_0"/>
    <w:basedOn w:val="411"/>
    <w:next w:val="419"/>
    <w:qFormat/>
    <w:uiPriority w:val="0"/>
    <w:pPr>
      <w:widowControl w:val="0"/>
      <w:jc w:val="both"/>
    </w:pPr>
    <w:rPr>
      <w:rFonts w:ascii="等线" w:hAnsi="等线" w:eastAsia="等线"/>
      <w:kern w:val="2"/>
      <w:sz w:val="21"/>
      <w:szCs w:val="22"/>
      <w:lang w:val="en-US" w:eastAsia="zh-CN" w:bidi="ar-SA"/>
    </w:rPr>
  </w:style>
  <w:style w:type="paragraph" w:customStyle="1" w:styleId="411">
    <w:name w:val="正文_4_1_0_0"/>
    <w:basedOn w:val="412"/>
    <w:next w:val="417"/>
    <w:qFormat/>
    <w:uiPriority w:val="0"/>
    <w:rPr>
      <w:rFonts w:ascii="Times New Roman" w:hAnsi="Times New Roman" w:cs="Times New Roman"/>
      <w:sz w:val="21"/>
      <w:szCs w:val="21"/>
    </w:rPr>
  </w:style>
  <w:style w:type="paragraph" w:customStyle="1" w:styleId="412">
    <w:name w:val="正文_5_0_1_0"/>
    <w:basedOn w:val="413"/>
    <w:next w:val="416"/>
    <w:qFormat/>
    <w:uiPriority w:val="0"/>
    <w:pPr>
      <w:widowControl w:val="0"/>
      <w:jc w:val="both"/>
    </w:pPr>
    <w:rPr>
      <w:rFonts w:ascii="Calibri" w:hAnsi="Calibri"/>
      <w:kern w:val="2"/>
      <w:sz w:val="21"/>
      <w:szCs w:val="22"/>
      <w:lang w:val="en-US" w:eastAsia="zh-CN" w:bidi="ar-SA"/>
    </w:rPr>
  </w:style>
  <w:style w:type="paragraph" w:customStyle="1" w:styleId="413">
    <w:name w:val="正文_7_1_1"/>
    <w:next w:val="414"/>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14">
    <w:name w:val="纯文本_5_0_0_0"/>
    <w:basedOn w:val="415"/>
    <w:qFormat/>
    <w:uiPriority w:val="0"/>
    <w:rPr>
      <w:rFonts w:ascii="Cambria" w:hAnsi="Cambria"/>
      <w:b/>
      <w:bCs/>
      <w:kern w:val="28"/>
      <w:sz w:val="32"/>
      <w:szCs w:val="32"/>
    </w:rPr>
  </w:style>
  <w:style w:type="paragraph" w:customStyle="1" w:styleId="415">
    <w:name w:val="正文_8_0_0_0"/>
    <w:next w:val="414"/>
    <w:qFormat/>
    <w:uiPriority w:val="0"/>
    <w:pPr>
      <w:widowControl w:val="0"/>
      <w:jc w:val="both"/>
    </w:pPr>
    <w:rPr>
      <w:rFonts w:ascii="Calibri" w:hAnsi="Calibri" w:eastAsia="宋体" w:cs="Times New Roman"/>
      <w:kern w:val="2"/>
      <w:sz w:val="21"/>
      <w:szCs w:val="22"/>
      <w:lang w:val="en-US" w:eastAsia="zh-CN" w:bidi="ar-SA"/>
    </w:rPr>
  </w:style>
  <w:style w:type="paragraph" w:customStyle="1" w:styleId="416">
    <w:name w:val="标题 1_5_1_0"/>
    <w:basedOn w:val="412"/>
    <w:next w:val="412"/>
    <w:qFormat/>
    <w:uiPriority w:val="0"/>
    <w:pPr>
      <w:keepNext/>
      <w:keepLines/>
      <w:spacing w:line="576" w:lineRule="auto"/>
      <w:jc w:val="center"/>
      <w:outlineLvl w:val="0"/>
    </w:pPr>
    <w:rPr>
      <w:rFonts w:eastAsia="黑体"/>
      <w:b/>
      <w:bCs/>
      <w:kern w:val="32"/>
      <w:sz w:val="32"/>
      <w:szCs w:val="32"/>
    </w:rPr>
  </w:style>
  <w:style w:type="paragraph" w:customStyle="1" w:styleId="417">
    <w:name w:val="正文首行缩进_0_0_1_0_0"/>
    <w:basedOn w:val="418"/>
    <w:qFormat/>
    <w:uiPriority w:val="0"/>
    <w:pPr>
      <w:ind w:firstLine="420" w:firstLineChars="100"/>
    </w:pPr>
    <w:rPr>
      <w:rFonts w:ascii="等线" w:hAnsi="等线"/>
    </w:rPr>
  </w:style>
  <w:style w:type="paragraph" w:customStyle="1" w:styleId="418">
    <w:name w:val="正文文本_0_0_0_1"/>
    <w:basedOn w:val="66"/>
    <w:next w:val="108"/>
    <w:qFormat/>
    <w:uiPriority w:val="0"/>
    <w:pPr>
      <w:spacing w:before="100" w:beforeAutospacing="1" w:after="120"/>
    </w:pPr>
    <w:rPr>
      <w:kern w:val="0"/>
      <w:sz w:val="20"/>
      <w:szCs w:val="20"/>
    </w:rPr>
  </w:style>
  <w:style w:type="paragraph" w:customStyle="1" w:styleId="419">
    <w:name w:val="正文首行缩进_0_0_0_1_0_0"/>
    <w:basedOn w:val="420"/>
    <w:qFormat/>
    <w:uiPriority w:val="0"/>
  </w:style>
  <w:style w:type="paragraph" w:customStyle="1" w:styleId="420">
    <w:name w:val="正文文本_0_0_0_0_0_0_0"/>
    <w:basedOn w:val="421"/>
    <w:next w:val="434"/>
    <w:qFormat/>
    <w:uiPriority w:val="0"/>
    <w:rPr>
      <w:kern w:val="0"/>
      <w:sz w:val="20"/>
      <w:szCs w:val="20"/>
    </w:rPr>
  </w:style>
  <w:style w:type="paragraph" w:customStyle="1" w:styleId="421">
    <w:name w:val="正文_0_0_0_0_0_0"/>
    <w:basedOn w:val="422"/>
    <w:next w:val="425"/>
    <w:qFormat/>
    <w:uiPriority w:val="0"/>
    <w:rPr>
      <w:rFonts w:ascii="等线" w:hAnsi="等线" w:eastAsia="等线"/>
    </w:rPr>
  </w:style>
  <w:style w:type="paragraph" w:customStyle="1" w:styleId="422">
    <w:name w:val="正文_0_1_0_0_0"/>
    <w:next w:val="423"/>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23">
    <w:name w:val="正文缩进_0_1_0_0_0"/>
    <w:basedOn w:val="424"/>
    <w:qFormat/>
    <w:uiPriority w:val="0"/>
    <w:pPr>
      <w:ind w:firstLine="420" w:firstLineChars="200"/>
    </w:pPr>
  </w:style>
  <w:style w:type="paragraph" w:customStyle="1" w:styleId="424">
    <w:name w:val="正文_1_1_0_0_0"/>
    <w:next w:val="42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5">
    <w:name w:val="正文首行缩进_0_1_0_0_0"/>
    <w:basedOn w:val="426"/>
    <w:qFormat/>
    <w:uiPriority w:val="0"/>
    <w:pPr>
      <w:ind w:firstLine="420" w:firstLineChars="100"/>
    </w:pPr>
  </w:style>
  <w:style w:type="paragraph" w:customStyle="1" w:styleId="426">
    <w:name w:val="正文文本_0_1_0_0_0"/>
    <w:basedOn w:val="427"/>
    <w:next w:val="429"/>
    <w:unhideWhenUsed/>
    <w:qFormat/>
    <w:uiPriority w:val="0"/>
    <w:pPr>
      <w:spacing w:after="120"/>
    </w:pPr>
    <w:rPr>
      <w:kern w:val="0"/>
      <w:sz w:val="20"/>
    </w:rPr>
  </w:style>
  <w:style w:type="paragraph" w:customStyle="1" w:styleId="427">
    <w:name w:val="正文_0_1_1_0_0_0"/>
    <w:next w:val="428"/>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428">
    <w:name w:val="正文缩进_0_0_1_0_0_0"/>
    <w:basedOn w:val="427"/>
    <w:qFormat/>
    <w:uiPriority w:val="0"/>
    <w:pPr>
      <w:ind w:firstLine="420" w:firstLineChars="200"/>
    </w:pPr>
    <w:rPr>
      <w:rFonts w:ascii="等线" w:hAnsi="等线" w:eastAsia="等线"/>
    </w:rPr>
  </w:style>
  <w:style w:type="paragraph" w:customStyle="1" w:styleId="429">
    <w:name w:val="正文文本 2_1_0_0_0"/>
    <w:basedOn w:val="430"/>
    <w:qFormat/>
    <w:uiPriority w:val="0"/>
  </w:style>
  <w:style w:type="paragraph" w:customStyle="1" w:styleId="430">
    <w:name w:val="正文_0_2_1_0_0"/>
    <w:basedOn w:val="431"/>
    <w:next w:val="42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1">
    <w:name w:val="正文_1_3_0_0_0"/>
    <w:basedOn w:val="432"/>
    <w:next w:val="433"/>
    <w:qFormat/>
    <w:uiPriority w:val="0"/>
    <w:pPr>
      <w:widowControl w:val="0"/>
      <w:jc w:val="both"/>
    </w:pPr>
    <w:rPr>
      <w:kern w:val="2"/>
      <w:sz w:val="21"/>
      <w:szCs w:val="24"/>
      <w:lang w:val="en-US" w:eastAsia="zh-CN" w:bidi="ar-SA"/>
    </w:rPr>
  </w:style>
  <w:style w:type="paragraph" w:customStyle="1" w:styleId="432">
    <w:name w:val="正文_2_2_0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3">
    <w:name w:val="正文缩进_0_2_0_0_0"/>
    <w:basedOn w:val="430"/>
    <w:next w:val="431"/>
    <w:unhideWhenUsed/>
    <w:qFormat/>
    <w:uiPriority w:val="0"/>
    <w:pPr>
      <w:ind w:firstLine="420" w:firstLineChars="200"/>
    </w:pPr>
  </w:style>
  <w:style w:type="paragraph" w:customStyle="1" w:styleId="434">
    <w:name w:val="正文文本 2_0_0_0_0"/>
    <w:basedOn w:val="421"/>
    <w:qFormat/>
    <w:uiPriority w:val="0"/>
    <w:pPr>
      <w:spacing w:before="100" w:beforeAutospacing="1" w:line="480" w:lineRule="auto"/>
    </w:pPr>
  </w:style>
  <w:style w:type="paragraph" w:customStyle="1" w:styleId="435">
    <w:name w:val="正文文本_0_1_0_1"/>
    <w:basedOn w:val="409"/>
    <w:next w:val="436"/>
    <w:qFormat/>
    <w:uiPriority w:val="0"/>
    <w:pPr>
      <w:spacing w:before="100" w:beforeAutospacing="1" w:after="120"/>
    </w:pPr>
    <w:rPr>
      <w:rFonts w:ascii="等线" w:hAnsi="等线" w:eastAsia="等线"/>
    </w:rPr>
  </w:style>
  <w:style w:type="paragraph" w:customStyle="1" w:styleId="436">
    <w:name w:val="正文文本 2_0_1_0"/>
    <w:basedOn w:val="413"/>
    <w:qFormat/>
    <w:uiPriority w:val="0"/>
    <w:pPr>
      <w:spacing w:before="100" w:beforeAutospacing="1" w:line="480" w:lineRule="auto"/>
    </w:pPr>
  </w:style>
  <w:style w:type="paragraph" w:customStyle="1" w:styleId="437">
    <w:name w:val="正文缩进_1_0_0_0"/>
    <w:basedOn w:val="409"/>
    <w:qFormat/>
    <w:uiPriority w:val="0"/>
    <w:pPr>
      <w:ind w:firstLine="420" w:firstLineChars="200"/>
    </w:pPr>
  </w:style>
  <w:style w:type="paragraph" w:customStyle="1" w:styleId="438">
    <w:name w:val="正文首行缩进_0_0_2"/>
    <w:basedOn w:val="396"/>
    <w:qFormat/>
    <w:uiPriority w:val="0"/>
    <w:pPr>
      <w:ind w:firstLine="420" w:firstLineChars="100"/>
    </w:pPr>
    <w:rPr>
      <w:rFonts w:ascii="等线" w:hAnsi="等线" w:eastAsia="等线"/>
    </w:rPr>
  </w:style>
  <w:style w:type="paragraph" w:customStyle="1" w:styleId="439">
    <w:name w:val="正文文本 2_1"/>
    <w:basedOn w:val="440"/>
    <w:qFormat/>
    <w:uiPriority w:val="0"/>
    <w:pPr>
      <w:spacing w:after="120" w:line="480" w:lineRule="auto"/>
    </w:pPr>
    <w:rPr>
      <w:rFonts w:ascii="宋体" w:hAnsi="宋体" w:eastAsia="Times New Roman"/>
      <w:b/>
      <w:kern w:val="0"/>
      <w:sz w:val="24"/>
      <w:szCs w:val="20"/>
    </w:rPr>
  </w:style>
  <w:style w:type="paragraph" w:customStyle="1" w:styleId="440">
    <w:name w:val="正文_9"/>
    <w:next w:val="44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41">
    <w:name w:val="正文缩进_1"/>
    <w:basedOn w:val="442"/>
    <w:next w:val="440"/>
    <w:qFormat/>
    <w:uiPriority w:val="0"/>
    <w:pPr>
      <w:ind w:firstLine="420" w:firstLineChars="200"/>
    </w:pPr>
    <w:rPr>
      <w:rFonts w:ascii="Times New Roman" w:hAnsi="Times New Roman" w:eastAsia="宋体" w:cs="Times New Roman"/>
      <w:szCs w:val="24"/>
    </w:rPr>
  </w:style>
  <w:style w:type="paragraph" w:customStyle="1" w:styleId="442">
    <w:name w:val="正文_13_0"/>
    <w:basedOn w:val="443"/>
    <w:next w:val="447"/>
    <w:qFormat/>
    <w:uiPriority w:val="0"/>
    <w:rPr>
      <w:rFonts w:ascii="Calibri" w:hAnsi="Calibri"/>
      <w:szCs w:val="21"/>
    </w:rPr>
  </w:style>
  <w:style w:type="paragraph" w:customStyle="1" w:styleId="443">
    <w:name w:val="正文_13"/>
    <w:next w:val="444"/>
    <w:qFormat/>
    <w:uiPriority w:val="0"/>
    <w:pPr>
      <w:widowControl w:val="0"/>
      <w:jc w:val="both"/>
    </w:pPr>
    <w:rPr>
      <w:rFonts w:ascii="Calibri" w:hAnsi="Calibri" w:eastAsia="宋体" w:cs="Times New Roman"/>
      <w:kern w:val="2"/>
      <w:sz w:val="21"/>
      <w:szCs w:val="22"/>
      <w:lang w:val="en-US" w:eastAsia="zh-CN" w:bidi="ar-SA"/>
    </w:rPr>
  </w:style>
  <w:style w:type="paragraph" w:customStyle="1" w:styleId="444">
    <w:name w:val="正文首行缩进_3"/>
    <w:basedOn w:val="445"/>
    <w:qFormat/>
    <w:uiPriority w:val="0"/>
    <w:pPr>
      <w:ind w:firstLine="420" w:firstLineChars="100"/>
    </w:pPr>
  </w:style>
  <w:style w:type="paragraph" w:customStyle="1" w:styleId="445">
    <w:name w:val="正文文本_3"/>
    <w:basedOn w:val="446"/>
    <w:next w:val="391"/>
    <w:unhideWhenUsed/>
    <w:qFormat/>
    <w:uiPriority w:val="0"/>
    <w:pPr>
      <w:spacing w:beforeLines="0" w:after="120"/>
    </w:pPr>
    <w:rPr>
      <w:rFonts w:hint="default" w:ascii="Times New Roman" w:hAnsi="Times New Roman" w:eastAsia="宋体"/>
      <w:sz w:val="21"/>
      <w:szCs w:val="24"/>
    </w:rPr>
  </w:style>
  <w:style w:type="paragraph" w:customStyle="1" w:styleId="446">
    <w:name w:val="正文_1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7">
    <w:name w:val="正文缩进_2"/>
    <w:basedOn w:val="448"/>
    <w:next w:val="443"/>
    <w:qFormat/>
    <w:uiPriority w:val="0"/>
    <w:pPr>
      <w:ind w:firstLine="420" w:firstLineChars="200"/>
    </w:pPr>
    <w:rPr>
      <w:rFonts w:ascii="Calibri" w:hAnsi="Calibri"/>
    </w:rPr>
  </w:style>
  <w:style w:type="paragraph" w:customStyle="1" w:styleId="448">
    <w:name w:val="正文_8_2"/>
    <w:next w:val="449"/>
    <w:qFormat/>
    <w:uiPriority w:val="0"/>
    <w:pPr>
      <w:widowControl w:val="0"/>
      <w:jc w:val="both"/>
    </w:pPr>
    <w:rPr>
      <w:rFonts w:ascii="等线" w:hAnsi="等线" w:eastAsia="等线" w:cs="Times New Roman"/>
      <w:kern w:val="2"/>
      <w:sz w:val="21"/>
      <w:szCs w:val="22"/>
      <w:lang w:val="en-US" w:eastAsia="zh-CN" w:bidi="ar-SA"/>
    </w:rPr>
  </w:style>
  <w:style w:type="paragraph" w:customStyle="1" w:styleId="449">
    <w:name w:val="纯文本_5_1"/>
    <w:basedOn w:val="448"/>
    <w:qFormat/>
    <w:uiPriority w:val="0"/>
    <w:rPr>
      <w:rFonts w:ascii="Cambria" w:hAnsi="Cambria"/>
      <w:b/>
      <w:bCs/>
      <w:kern w:val="28"/>
      <w:sz w:val="32"/>
      <w:szCs w:val="32"/>
    </w:rPr>
  </w:style>
  <w:style w:type="paragraph" w:customStyle="1" w:styleId="450">
    <w:name w:val="正文首行缩进_0_0_0_2"/>
    <w:basedOn w:val="396"/>
    <w:qFormat/>
    <w:uiPriority w:val="0"/>
    <w:rPr>
      <w:rFonts w:ascii="等线" w:hAnsi="等线" w:eastAsia="等线"/>
    </w:rPr>
  </w:style>
  <w:style w:type="paragraph" w:customStyle="1" w:styleId="451">
    <w:name w:val="正文缩进_0_1"/>
    <w:basedOn w:val="43"/>
    <w:next w:val="35"/>
    <w:qFormat/>
    <w:uiPriority w:val="0"/>
    <w:pPr>
      <w:ind w:firstLine="420" w:firstLineChars="200"/>
    </w:pPr>
  </w:style>
  <w:style w:type="paragraph" w:customStyle="1" w:styleId="452">
    <w:name w:val="正文首行缩进_2_0"/>
    <w:basedOn w:val="453"/>
    <w:qFormat/>
    <w:uiPriority w:val="0"/>
    <w:pPr>
      <w:ind w:firstLine="420" w:firstLineChars="100"/>
    </w:pPr>
  </w:style>
  <w:style w:type="paragraph" w:customStyle="1" w:styleId="453">
    <w:name w:val="正文文本_2_0"/>
    <w:basedOn w:val="454"/>
    <w:qFormat/>
    <w:uiPriority w:val="0"/>
    <w:pPr>
      <w:spacing w:after="120"/>
    </w:pPr>
    <w:rPr>
      <w:rFonts w:ascii="Times New Roman" w:hAnsi="Times New Roman"/>
    </w:rPr>
  </w:style>
  <w:style w:type="paragraph" w:customStyle="1" w:styleId="454">
    <w:name w:val="正文_10_1"/>
    <w:basedOn w:val="455"/>
    <w:next w:val="452"/>
    <w:qFormat/>
    <w:uiPriority w:val="0"/>
    <w:pPr>
      <w:widowControl w:val="0"/>
      <w:jc w:val="both"/>
    </w:pPr>
    <w:rPr>
      <w:rFonts w:ascii="Calibri" w:hAnsi="Calibri"/>
      <w:kern w:val="2"/>
      <w:sz w:val="21"/>
      <w:szCs w:val="24"/>
      <w:lang w:val="en-US" w:eastAsia="zh-CN" w:bidi="ar-SA"/>
    </w:rPr>
  </w:style>
  <w:style w:type="paragraph" w:customStyle="1" w:styleId="455">
    <w:name w:val="正文_6_0_1"/>
    <w:basedOn w:val="456"/>
    <w:next w:val="465"/>
    <w:qFormat/>
    <w:uiPriority w:val="0"/>
    <w:pPr>
      <w:widowControl w:val="0"/>
      <w:jc w:val="both"/>
    </w:pPr>
    <w:rPr>
      <w:rFonts w:ascii="Calibri" w:hAnsi="Calibri"/>
      <w:kern w:val="2"/>
      <w:sz w:val="21"/>
      <w:szCs w:val="22"/>
      <w:lang w:val="en-US" w:eastAsia="zh-CN" w:bidi="ar-SA"/>
    </w:rPr>
  </w:style>
  <w:style w:type="paragraph" w:customStyle="1" w:styleId="456">
    <w:name w:val="正文_7_0_2"/>
    <w:next w:val="457"/>
    <w:qFormat/>
    <w:uiPriority w:val="0"/>
    <w:pPr>
      <w:widowControl w:val="0"/>
      <w:jc w:val="both"/>
    </w:pPr>
    <w:rPr>
      <w:rFonts w:ascii="Calibri" w:hAnsi="Calibri" w:eastAsia="宋体" w:cs="Times New Roman"/>
      <w:kern w:val="2"/>
      <w:sz w:val="21"/>
      <w:szCs w:val="22"/>
      <w:lang w:val="en-US" w:eastAsia="zh-CN" w:bidi="ar-SA"/>
    </w:rPr>
  </w:style>
  <w:style w:type="paragraph" w:customStyle="1" w:styleId="457">
    <w:name w:val="纯文本_5_0_2"/>
    <w:basedOn w:val="458"/>
    <w:qFormat/>
    <w:uiPriority w:val="0"/>
    <w:rPr>
      <w:rFonts w:ascii="Cambria" w:hAnsi="Cambria"/>
      <w:b/>
      <w:bCs/>
      <w:kern w:val="28"/>
      <w:sz w:val="32"/>
      <w:szCs w:val="32"/>
    </w:rPr>
  </w:style>
  <w:style w:type="paragraph" w:customStyle="1" w:styleId="458">
    <w:name w:val="正文_8_0_2"/>
    <w:next w:val="459"/>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9">
    <w:name w:val="正文首行缩进_5_3"/>
    <w:basedOn w:val="460"/>
    <w:qFormat/>
    <w:uiPriority w:val="0"/>
    <w:pPr>
      <w:ind w:firstLine="420" w:firstLineChars="100"/>
    </w:pPr>
  </w:style>
  <w:style w:type="paragraph" w:customStyle="1" w:styleId="460">
    <w:name w:val="正文文本_4_1"/>
    <w:basedOn w:val="461"/>
    <w:next w:val="462"/>
    <w:qFormat/>
    <w:uiPriority w:val="0"/>
    <w:pPr>
      <w:jc w:val="left"/>
    </w:pPr>
  </w:style>
  <w:style w:type="paragraph" w:customStyle="1" w:styleId="461">
    <w:name w:val="正文_19_2"/>
    <w:next w:val="220"/>
    <w:qFormat/>
    <w:uiPriority w:val="0"/>
    <w:pPr>
      <w:widowControl w:val="0"/>
      <w:jc w:val="both"/>
    </w:pPr>
    <w:rPr>
      <w:rFonts w:ascii="Calibri" w:hAnsi="Calibri" w:eastAsia="宋体" w:cs="Times New Roman"/>
      <w:kern w:val="2"/>
      <w:sz w:val="21"/>
      <w:szCs w:val="24"/>
      <w:lang w:val="en-US" w:eastAsia="zh-CN" w:bidi="ar-SA"/>
    </w:rPr>
  </w:style>
  <w:style w:type="paragraph" w:customStyle="1" w:styleId="462">
    <w:name w:val="正文文本 2_3_1"/>
    <w:basedOn w:val="463"/>
    <w:qFormat/>
    <w:uiPriority w:val="0"/>
  </w:style>
  <w:style w:type="paragraph" w:customStyle="1" w:styleId="463">
    <w:name w:val="正文_6_3_1"/>
    <w:next w:val="464"/>
    <w:qFormat/>
    <w:uiPriority w:val="0"/>
    <w:pPr>
      <w:widowControl w:val="0"/>
      <w:jc w:val="both"/>
    </w:pPr>
    <w:rPr>
      <w:rFonts w:ascii="等线" w:hAnsi="等线" w:eastAsia="等线" w:cs="Times New Roman"/>
      <w:kern w:val="2"/>
      <w:sz w:val="21"/>
      <w:szCs w:val="22"/>
      <w:lang w:val="en-US" w:eastAsia="zh-CN" w:bidi="ar-SA"/>
    </w:rPr>
  </w:style>
  <w:style w:type="paragraph" w:customStyle="1" w:styleId="464">
    <w:name w:val="纯文本_0_0_1"/>
    <w:basedOn w:val="208"/>
    <w:qFormat/>
    <w:uiPriority w:val="0"/>
    <w:rPr>
      <w:rFonts w:ascii="宋体" w:hAnsi="Courier New"/>
      <w:szCs w:val="20"/>
    </w:rPr>
  </w:style>
  <w:style w:type="paragraph" w:customStyle="1" w:styleId="465">
    <w:name w:val="正文缩进_1_1"/>
    <w:basedOn w:val="455"/>
    <w:next w:val="466"/>
    <w:unhideWhenUsed/>
    <w:qFormat/>
    <w:uiPriority w:val="0"/>
    <w:pPr>
      <w:ind w:firstLine="420" w:firstLineChars="200"/>
    </w:pPr>
  </w:style>
  <w:style w:type="paragraph" w:customStyle="1" w:styleId="466">
    <w:name w:val="正文_12_1"/>
    <w:next w:val="46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67">
    <w:name w:val="正文缩进_1_0"/>
    <w:basedOn w:val="11"/>
    <w:qFormat/>
    <w:uiPriority w:val="0"/>
    <w:pPr>
      <w:ind w:firstLine="420" w:firstLineChars="200"/>
    </w:pPr>
  </w:style>
  <w:style w:type="paragraph" w:customStyle="1" w:styleId="468">
    <w:name w:val="正文首行缩进_0_0"/>
    <w:basedOn w:val="469"/>
    <w:qFormat/>
    <w:uiPriority w:val="0"/>
    <w:pPr>
      <w:ind w:firstLine="420" w:firstLineChars="100"/>
    </w:pPr>
  </w:style>
  <w:style w:type="paragraph" w:customStyle="1" w:styleId="469">
    <w:name w:val="正文文本_0_0"/>
    <w:basedOn w:val="9"/>
    <w:next w:val="8"/>
    <w:qFormat/>
    <w:uiPriority w:val="0"/>
    <w:pPr>
      <w:spacing w:before="100" w:beforeAutospacing="1" w:after="120"/>
    </w:pPr>
    <w:rPr>
      <w:kern w:val="0"/>
      <w:sz w:val="20"/>
      <w:szCs w:val="20"/>
    </w:rPr>
  </w:style>
  <w:style w:type="paragraph" w:customStyle="1" w:styleId="472">
    <w:name w:val="Main Title"/>
    <w:next w:val="1"/>
    <w:qFormat/>
    <w:uiPriority w:val="0"/>
    <w:pPr>
      <w:adjustRightInd w:val="0"/>
      <w:snapToGrid w:val="0"/>
      <w:spacing w:after="120" w:afterLines="50" w:line="360" w:lineRule="auto"/>
      <w:jc w:val="center"/>
    </w:pPr>
    <w:rPr>
      <w:rFonts w:ascii="黑体" w:hAnsi="黑体" w:eastAsia="黑体" w:cs="Times New Roman"/>
      <w:b/>
      <w:kern w:val="2"/>
      <w:sz w:val="36"/>
      <w:szCs w:val="22"/>
      <w:lang w:val="zh-CN" w:eastAsia="zh-CN" w:bidi="ar-SA"/>
    </w:rPr>
  </w:style>
  <w:style w:type="paragraph" w:customStyle="1" w:styleId="473">
    <w:name w:val="TOC 标题2"/>
    <w:basedOn w:val="3"/>
    <w:next w:val="1"/>
    <w:qFormat/>
    <w:uiPriority w:val="0"/>
    <w:pPr>
      <w:keepNext/>
      <w:keepLines/>
      <w:widowControl w:val="0"/>
      <w:adjustRightInd/>
      <w:snapToGrid/>
      <w:spacing w:before="260" w:after="260" w:line="413" w:lineRule="auto"/>
    </w:pPr>
    <w:rPr>
      <w:rFonts w:ascii="宋体" w:hAnsi="宋体" w:eastAsia="宋体" w:cs="Times New Roman"/>
      <w:sz w:val="36"/>
      <w:szCs w:val="44"/>
      <w:lang w:val="zh-CN"/>
    </w:rPr>
  </w:style>
  <w:style w:type="paragraph" w:customStyle="1" w:styleId="474">
    <w:name w:val="协议书标题2"/>
    <w:basedOn w:val="4"/>
    <w:next w:val="1"/>
    <w:qFormat/>
    <w:uiPriority w:val="0"/>
    <w:pPr>
      <w:keepNext w:val="0"/>
      <w:keepLines w:val="0"/>
      <w:numPr>
        <w:ilvl w:val="0"/>
        <w:numId w:val="1"/>
      </w:numPr>
      <w:tabs>
        <w:tab w:val="left" w:pos="567"/>
      </w:tabs>
      <w:spacing w:line="360" w:lineRule="auto"/>
      <w:ind w:firstLine="0" w:firstLineChars="0"/>
      <w:jc w:val="left"/>
    </w:pPr>
    <w:rPr>
      <w:rFonts w:ascii="宋体" w:hAnsi="宋体" w:eastAsia="宋体"/>
      <w:sz w:val="24"/>
    </w:rPr>
  </w:style>
  <w:style w:type="paragraph" w:customStyle="1" w:styleId="475">
    <w:name w:val="p0"/>
    <w:basedOn w:val="1"/>
    <w:qFormat/>
    <w:uiPriority w:val="0"/>
    <w:pPr>
      <w:widowControl/>
    </w:pPr>
    <w:rPr>
      <w:kern w:val="0"/>
      <w:szCs w:val="21"/>
    </w:rPr>
  </w:style>
  <w:style w:type="paragraph" w:customStyle="1" w:styleId="476">
    <w:name w:val="table"/>
    <w:qFormat/>
    <w:uiPriority w:val="0"/>
    <w:pPr>
      <w:framePr w:hSpace="180" w:wrap="around" w:vAnchor="text" w:hAnchor="margin" w:y="1418"/>
      <w:adjustRightInd w:val="0"/>
      <w:snapToGrid w:val="0"/>
    </w:pPr>
    <w:rPr>
      <w:rFonts w:ascii="宋体" w:hAnsi="Times New Roman" w:eastAsia="宋体" w:cs="Times New Roman"/>
      <w:kern w:val="2"/>
      <w:sz w:val="24"/>
      <w:szCs w:val="22"/>
      <w:lang w:val="en-US" w:eastAsia="zh-CN" w:bidi="ar-SA"/>
    </w:rPr>
  </w:style>
  <w:style w:type="paragraph" w:customStyle="1" w:styleId="477">
    <w:name w:val="_Style 596"/>
    <w:basedOn w:val="1"/>
    <w:next w:val="478"/>
    <w:qFormat/>
    <w:uiPriority w:val="0"/>
    <w:pPr>
      <w:ind w:firstLine="420" w:firstLineChars="200"/>
    </w:pPr>
    <w:rPr>
      <w:rFonts w:ascii="Calibri" w:hAnsi="Calibri" w:eastAsia="宋体" w:cs="Times New Roman"/>
    </w:rPr>
  </w:style>
  <w:style w:type="paragraph" w:styleId="478">
    <w:name w:val="List Paragraph"/>
    <w:basedOn w:val="1"/>
    <w:qFormat/>
    <w:uiPriority w:val="0"/>
    <w:pPr>
      <w:ind w:firstLine="420" w:firstLineChars="200"/>
    </w:pPr>
    <w:rPr>
      <w:rFonts w:ascii="Calibri" w:hAnsi="Calibri"/>
      <w:szCs w:val="22"/>
    </w:rPr>
  </w:style>
  <w:style w:type="paragraph" w:customStyle="1" w:styleId="479">
    <w:name w:val="通用标题4"/>
    <w:next w:val="1"/>
    <w:qFormat/>
    <w:uiPriority w:val="0"/>
    <w:pPr>
      <w:numPr>
        <w:ilvl w:val="2"/>
        <w:numId w:val="2"/>
      </w:numPr>
      <w:tabs>
        <w:tab w:val="left" w:pos="851"/>
      </w:tabs>
      <w:adjustRightInd w:val="0"/>
      <w:snapToGrid w:val="0"/>
      <w:spacing w:after="120" w:afterLines="50" w:line="360" w:lineRule="auto"/>
      <w:jc w:val="both"/>
      <w:outlineLvl w:val="3"/>
    </w:pPr>
    <w:rPr>
      <w:rFonts w:ascii="宋体" w:hAnsi="宋体" w:eastAsia="宋体" w:cs="Times New Roman"/>
      <w:kern w:val="2"/>
      <w:sz w:val="24"/>
      <w:szCs w:val="21"/>
      <w:lang w:val="en-US" w:eastAsia="zh-CN" w:bidi="ar-SA"/>
    </w:rPr>
  </w:style>
  <w:style w:type="paragraph" w:customStyle="1" w:styleId="480">
    <w:name w:val="正文_0"/>
    <w:basedOn w:val="27"/>
    <w:next w:val="46"/>
    <w:qFormat/>
    <w:uiPriority w:val="0"/>
    <w:pPr>
      <w:widowControl w:val="0"/>
      <w:jc w:val="both"/>
    </w:pPr>
    <w:rPr>
      <w:rFonts w:ascii="Times New Roman" w:hAnsi="Times New Roman" w:eastAsia="宋体" w:cs="Times New Roman"/>
      <w:kern w:val="2"/>
      <w:sz w:val="24"/>
      <w:szCs w:val="24"/>
      <w:lang w:val="en-US" w:eastAsia="zh-CN" w:bidi="ar-SA"/>
    </w:rPr>
  </w:style>
  <w:style w:type="paragraph" w:customStyle="1" w:styleId="481">
    <w:name w:val="附件标题"/>
    <w:basedOn w:val="4"/>
    <w:next w:val="1"/>
    <w:qFormat/>
    <w:uiPriority w:val="0"/>
    <w:pPr>
      <w:numPr>
        <w:ilvl w:val="0"/>
        <w:numId w:val="3"/>
      </w:numPr>
      <w:tabs>
        <w:tab w:val="left" w:pos="1134"/>
      </w:tabs>
      <w:spacing w:line="360" w:lineRule="auto"/>
      <w:ind w:firstLine="0"/>
      <w:jc w:val="center"/>
    </w:pPr>
    <w:rPr>
      <w:rFonts w:ascii="黑体" w:hAnsi="黑体"/>
      <w:sz w:val="30"/>
      <w:szCs w:val="30"/>
    </w:rPr>
  </w:style>
  <w:style w:type="paragraph" w:customStyle="1" w:styleId="482">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93</Pages>
  <Words>22775</Words>
  <Characters>23144</Characters>
  <Lines>0</Lines>
  <Paragraphs>0</Paragraphs>
  <TotalTime>33</TotalTime>
  <ScaleCrop>false</ScaleCrop>
  <LinksUpToDate>false</LinksUpToDate>
  <CharactersWithSpaces>23876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2025-04-28T08:58:00Z</dcterms:created>
  <dc:creator>wang</dc:creator>
  <cp:lastModifiedBy>An</cp:lastModifiedBy>
  <dcterms:modified xsi:type="dcterms:W3CDTF">2025-06-27T08:39:36Z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3A9606CB23654EF796939955838A72E8</vt:lpwstr>
  </property>
  <property fmtid="{D5CDD505-2E9C-101B-9397-08002B2CF9AE}" pid="4" name="KSOTemplateDocerSaveRecord">
    <vt:lpwstr>eyJoZGlkIjoiMDEwYzI2ZTI4MDA0ODg3MjA0ZTYxNTVhYzAzYTY5OTkiLCJ1c2VySWQiOiIzNjQxMjMwNTgifQ==</vt:lpwstr>
  </property>
</Properties>
</file>