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BABA95">
      <w:pPr>
        <w:snapToGrid/>
        <w:spacing w:before="0" w:after="0" w:line="360" w:lineRule="auto"/>
        <w:jc w:val="center"/>
        <w:rPr>
          <w:rFonts w:hint="eastAsia" w:ascii="宋体" w:hAnsi="宋体" w:eastAsia="宋体" w:cs="宋体"/>
          <w:b/>
          <w:color w:val="000000" w:themeColor="text1"/>
          <w:sz w:val="44"/>
          <w:szCs w:val="44"/>
          <w:highlight w:val="none"/>
          <w14:textFill>
            <w14:solidFill>
              <w14:schemeClr w14:val="tx1"/>
            </w14:solidFill>
          </w14:textFill>
        </w:rPr>
      </w:pPr>
    </w:p>
    <w:p w14:paraId="753EAD26">
      <w:pPr>
        <w:snapToGrid/>
        <w:spacing w:before="0" w:after="0" w:line="360" w:lineRule="auto"/>
        <w:jc w:val="center"/>
        <w:rPr>
          <w:rFonts w:hint="eastAsia" w:ascii="宋体" w:hAnsi="宋体" w:eastAsia="宋体" w:cs="宋体"/>
          <w:b/>
          <w:color w:val="000000" w:themeColor="text1"/>
          <w:sz w:val="44"/>
          <w:szCs w:val="44"/>
          <w:highlight w:val="none"/>
          <w14:textFill>
            <w14:solidFill>
              <w14:schemeClr w14:val="tx1"/>
            </w14:solidFill>
          </w14:textFill>
        </w:rPr>
      </w:pPr>
    </w:p>
    <w:p w14:paraId="15949257">
      <w:pPr>
        <w:snapToGrid/>
        <w:spacing w:before="0" w:after="0" w:line="240" w:lineRule="auto"/>
        <w:jc w:val="center"/>
        <w:rPr>
          <w:rFonts w:hint="eastAsia" w:ascii="宋体" w:hAnsi="宋体" w:eastAsia="宋体" w:cs="宋体"/>
          <w:b/>
          <w:color w:val="000000" w:themeColor="text1"/>
          <w:sz w:val="44"/>
          <w:szCs w:val="44"/>
          <w:highlight w:val="none"/>
          <w:lang w:eastAsia="zh-CN"/>
          <w14:textFill>
            <w14:solidFill>
              <w14:schemeClr w14:val="tx1"/>
            </w14:solidFill>
          </w14:textFill>
        </w:rPr>
      </w:pPr>
      <w:r>
        <w:rPr>
          <w:rFonts w:hint="eastAsia" w:ascii="宋体" w:hAnsi="宋体" w:eastAsia="宋体" w:cs="宋体"/>
          <w:b/>
          <w:color w:val="000000" w:themeColor="text1"/>
          <w:sz w:val="44"/>
          <w:szCs w:val="44"/>
          <w:highlight w:val="none"/>
          <w:lang w:eastAsia="zh-CN"/>
          <w14:textFill>
            <w14:solidFill>
              <w14:schemeClr w14:val="tx1"/>
            </w14:solidFill>
          </w14:textFill>
        </w:rPr>
        <w:t>天河区元岗村城中村改造项目AT0206023地块（即1号地块）施工图设计和施工总承包</w:t>
      </w:r>
    </w:p>
    <w:p w14:paraId="7FBECD85">
      <w:pPr>
        <w:snapToGrid/>
        <w:spacing w:before="0" w:after="0" w:line="240" w:lineRule="auto"/>
        <w:jc w:val="center"/>
        <w:rPr>
          <w:rFonts w:hint="eastAsia" w:ascii="宋体" w:hAnsi="宋体" w:eastAsia="宋体" w:cs="宋体"/>
          <w:b/>
          <w:color w:val="000000" w:themeColor="text1"/>
          <w:sz w:val="48"/>
          <w:szCs w:val="48"/>
          <w:highlight w:val="none"/>
          <w14:textFill>
            <w14:solidFill>
              <w14:schemeClr w14:val="tx1"/>
            </w14:solidFill>
          </w14:textFill>
        </w:rPr>
      </w:pPr>
    </w:p>
    <w:p w14:paraId="55DF772D">
      <w:pPr>
        <w:jc w:val="center"/>
        <w:rPr>
          <w:rFonts w:hint="eastAsia" w:ascii="宋体" w:hAnsi="宋体" w:eastAsia="宋体" w:cs="宋体"/>
          <w:b/>
          <w:color w:val="000000" w:themeColor="text1"/>
          <w:sz w:val="48"/>
          <w:szCs w:val="48"/>
          <w:highlight w:val="none"/>
          <w14:textFill>
            <w14:solidFill>
              <w14:schemeClr w14:val="tx1"/>
            </w14:solidFill>
          </w14:textFill>
        </w:rPr>
      </w:pPr>
    </w:p>
    <w:p w14:paraId="78EBEFF5">
      <w:pPr>
        <w:snapToGrid/>
        <w:spacing w:before="0" w:after="0" w:line="240" w:lineRule="auto"/>
        <w:jc w:val="center"/>
        <w:rPr>
          <w:rFonts w:hint="eastAsia" w:ascii="宋体" w:hAnsi="宋体" w:eastAsia="宋体" w:cs="宋体"/>
          <w:b/>
          <w:color w:val="000000" w:themeColor="text1"/>
          <w:sz w:val="48"/>
          <w:szCs w:val="48"/>
          <w:highlight w:val="none"/>
          <w14:textFill>
            <w14:solidFill>
              <w14:schemeClr w14:val="tx1"/>
            </w14:solidFill>
          </w14:textFill>
        </w:rPr>
      </w:pPr>
    </w:p>
    <w:p w14:paraId="0E617874">
      <w:pPr>
        <w:snapToGrid/>
        <w:spacing w:before="0" w:after="0" w:line="240" w:lineRule="auto"/>
        <w:jc w:val="center"/>
        <w:rPr>
          <w:rFonts w:hint="eastAsia" w:ascii="宋体" w:hAnsi="宋体" w:eastAsia="宋体" w:cs="宋体"/>
          <w:b/>
          <w:color w:val="000000" w:themeColor="text1"/>
          <w:sz w:val="48"/>
          <w:szCs w:val="48"/>
          <w:highlight w:val="none"/>
          <w14:textFill>
            <w14:solidFill>
              <w14:schemeClr w14:val="tx1"/>
            </w14:solidFill>
          </w14:textFill>
        </w:rPr>
      </w:pPr>
    </w:p>
    <w:p w14:paraId="4C56A3BA">
      <w:pPr>
        <w:snapToGrid/>
        <w:spacing w:before="0" w:after="0" w:line="360" w:lineRule="auto"/>
        <w:ind w:left="-376" w:leftChars="-171"/>
        <w:jc w:val="center"/>
        <w:rPr>
          <w:rFonts w:hint="eastAsia" w:ascii="宋体" w:hAnsi="宋体" w:eastAsia="宋体" w:cs="宋体"/>
          <w:b/>
          <w:bCs/>
          <w:color w:val="000000" w:themeColor="text1"/>
          <w:spacing w:val="26"/>
          <w:sz w:val="84"/>
          <w:szCs w:val="84"/>
          <w:highlight w:val="none"/>
          <w14:textFill>
            <w14:solidFill>
              <w14:schemeClr w14:val="tx1"/>
            </w14:solidFill>
          </w14:textFill>
        </w:rPr>
      </w:pPr>
      <w:r>
        <w:rPr>
          <w:rFonts w:hint="eastAsia" w:ascii="宋体" w:hAnsi="宋体" w:eastAsia="宋体" w:cs="宋体"/>
          <w:b/>
          <w:bCs/>
          <w:color w:val="000000" w:themeColor="text1"/>
          <w:spacing w:val="26"/>
          <w:sz w:val="84"/>
          <w:szCs w:val="84"/>
          <w:highlight w:val="none"/>
          <w14:textFill>
            <w14:solidFill>
              <w14:schemeClr w14:val="tx1"/>
            </w14:solidFill>
          </w14:textFill>
        </w:rPr>
        <w:t>招标文件</w:t>
      </w:r>
    </w:p>
    <w:p w14:paraId="32D3E924">
      <w:pPr>
        <w:snapToGrid/>
        <w:spacing w:before="0" w:after="0" w:line="360" w:lineRule="auto"/>
        <w:ind w:left="-376" w:leftChars="-171"/>
        <w:jc w:val="center"/>
        <w:rPr>
          <w:rFonts w:hint="eastAsia" w:ascii="宋体" w:hAnsi="宋体" w:eastAsia="宋体" w:cs="宋体"/>
          <w:color w:val="000000" w:themeColor="text1"/>
          <w:sz w:val="28"/>
          <w:szCs w:val="28"/>
          <w:highlight w:val="none"/>
          <w14:textFill>
            <w14:solidFill>
              <w14:schemeClr w14:val="tx1"/>
            </w14:solidFill>
          </w14:textFill>
        </w:rPr>
      </w:pPr>
      <w:r>
        <w:rPr>
          <w:rFonts w:hint="eastAsia" w:ascii="宋体" w:hAnsi="宋体" w:eastAsia="宋体" w:cs="宋体"/>
          <w:b/>
          <w:bCs/>
          <w:color w:val="000000" w:themeColor="text1"/>
          <w:spacing w:val="26"/>
          <w:sz w:val="28"/>
          <w:szCs w:val="28"/>
          <w:highlight w:val="none"/>
          <w14:textFill>
            <w14:solidFill>
              <w14:schemeClr w14:val="tx1"/>
            </w14:solidFill>
          </w14:textFill>
        </w:rPr>
        <w:t>（第四章 发包人要求）</w:t>
      </w:r>
    </w:p>
    <w:p w14:paraId="06A3EA5D">
      <w:pPr>
        <w:snapToGrid/>
        <w:spacing w:before="0" w:after="0" w:line="360" w:lineRule="auto"/>
        <w:jc w:val="center"/>
        <w:rPr>
          <w:rFonts w:hint="eastAsia" w:ascii="宋体" w:hAnsi="宋体" w:eastAsia="宋体" w:cs="宋体"/>
          <w:color w:val="000000" w:themeColor="text1"/>
          <w:sz w:val="32"/>
          <w:highlight w:val="none"/>
          <w14:textFill>
            <w14:solidFill>
              <w14:schemeClr w14:val="tx1"/>
            </w14:solidFill>
          </w14:textFill>
        </w:rPr>
      </w:pPr>
    </w:p>
    <w:p w14:paraId="5962B4EB">
      <w:pPr>
        <w:snapToGrid/>
        <w:spacing w:before="0" w:after="0" w:line="360" w:lineRule="auto"/>
        <w:jc w:val="center"/>
        <w:rPr>
          <w:rFonts w:hint="eastAsia" w:ascii="宋体" w:hAnsi="宋体" w:eastAsia="宋体" w:cs="宋体"/>
          <w:color w:val="000000" w:themeColor="text1"/>
          <w:sz w:val="32"/>
          <w:szCs w:val="24"/>
          <w:highlight w:val="none"/>
          <w14:textFill>
            <w14:solidFill>
              <w14:schemeClr w14:val="tx1"/>
            </w14:solidFill>
          </w14:textFill>
        </w:rPr>
      </w:pPr>
    </w:p>
    <w:p w14:paraId="3AC391FC">
      <w:pPr>
        <w:snapToGrid/>
        <w:spacing w:before="0" w:after="0" w:line="360" w:lineRule="auto"/>
        <w:jc w:val="center"/>
        <w:rPr>
          <w:rFonts w:hint="eastAsia" w:ascii="宋体" w:hAnsi="宋体" w:eastAsia="宋体" w:cs="宋体"/>
          <w:color w:val="000000" w:themeColor="text1"/>
          <w:sz w:val="32"/>
          <w:szCs w:val="24"/>
          <w:highlight w:val="none"/>
          <w14:textFill>
            <w14:solidFill>
              <w14:schemeClr w14:val="tx1"/>
            </w14:solidFill>
          </w14:textFill>
        </w:rPr>
      </w:pPr>
    </w:p>
    <w:p w14:paraId="7BC438A0">
      <w:pPr>
        <w:snapToGrid/>
        <w:spacing w:before="0" w:after="0" w:line="360" w:lineRule="auto"/>
        <w:jc w:val="center"/>
        <w:rPr>
          <w:rFonts w:hint="eastAsia" w:ascii="宋体" w:hAnsi="宋体" w:eastAsia="宋体" w:cs="宋体"/>
          <w:color w:val="000000" w:themeColor="text1"/>
          <w:sz w:val="32"/>
          <w:szCs w:val="24"/>
          <w:highlight w:val="none"/>
          <w14:textFill>
            <w14:solidFill>
              <w14:schemeClr w14:val="tx1"/>
            </w14:solidFill>
          </w14:textFill>
        </w:rPr>
      </w:pPr>
    </w:p>
    <w:p w14:paraId="31BD484A">
      <w:pPr>
        <w:snapToGrid/>
        <w:spacing w:before="0" w:after="0" w:line="360" w:lineRule="auto"/>
        <w:jc w:val="center"/>
        <w:rPr>
          <w:rFonts w:hint="eastAsia" w:ascii="宋体" w:hAnsi="宋体" w:eastAsia="宋体" w:cs="宋体"/>
          <w:color w:val="000000" w:themeColor="text1"/>
          <w:sz w:val="32"/>
          <w:szCs w:val="24"/>
          <w:highlight w:val="none"/>
          <w14:textFill>
            <w14:solidFill>
              <w14:schemeClr w14:val="tx1"/>
            </w14:solidFill>
          </w14:textFill>
        </w:rPr>
      </w:pPr>
    </w:p>
    <w:p w14:paraId="458B0398">
      <w:pPr>
        <w:snapToGrid/>
        <w:spacing w:before="0" w:after="0" w:line="360" w:lineRule="auto"/>
        <w:jc w:val="center"/>
        <w:rPr>
          <w:rFonts w:hint="eastAsia" w:ascii="宋体" w:hAnsi="宋体" w:eastAsia="宋体" w:cs="宋体"/>
          <w:color w:val="000000" w:themeColor="text1"/>
          <w:sz w:val="32"/>
          <w:szCs w:val="32"/>
          <w:highlight w:val="none"/>
          <w14:textFill>
            <w14:solidFill>
              <w14:schemeClr w14:val="tx1"/>
            </w14:solidFill>
          </w14:textFill>
        </w:rPr>
      </w:pPr>
    </w:p>
    <w:p w14:paraId="0115A75A">
      <w:pPr>
        <w:snapToGrid/>
        <w:spacing w:before="0" w:after="0" w:line="360" w:lineRule="auto"/>
        <w:ind w:firstLine="960" w:firstLineChars="300"/>
        <w:jc w:val="both"/>
        <w:rPr>
          <w:rFonts w:hint="eastAsia" w:ascii="宋体" w:hAnsi="宋体" w:eastAsia="宋体" w:cs="宋体"/>
          <w:color w:val="000000" w:themeColor="text1"/>
          <w:sz w:val="32"/>
          <w:szCs w:val="32"/>
          <w:highlight w:val="none"/>
          <w:u w:val="singl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t>招标单位：</w:t>
      </w:r>
      <w:r>
        <w:rPr>
          <w:rFonts w:hint="eastAsia" w:ascii="宋体" w:hAnsi="宋体" w:eastAsia="宋体" w:cs="宋体"/>
          <w:color w:val="000000" w:themeColor="text1"/>
          <w:sz w:val="32"/>
          <w:szCs w:val="32"/>
          <w:highlight w:val="none"/>
          <w:u w:val="single"/>
          <w14:textFill>
            <w14:solidFill>
              <w14:schemeClr w14:val="tx1"/>
            </w14:solidFill>
          </w14:textFill>
        </w:rPr>
        <w:t>广州环五山创新策源区元岗城市更新有限公司</w:t>
      </w:r>
    </w:p>
    <w:p w14:paraId="36C1E5F6">
      <w:pPr>
        <w:snapToGrid/>
        <w:spacing w:before="0" w:after="0" w:line="360" w:lineRule="auto"/>
        <w:ind w:firstLine="960" w:firstLineChars="300"/>
        <w:jc w:val="both"/>
        <w:rPr>
          <w:rFonts w:hint="eastAsia" w:ascii="宋体" w:hAnsi="宋体" w:eastAsia="宋体" w:cs="宋体"/>
          <w:color w:val="000000" w:themeColor="text1"/>
          <w:sz w:val="32"/>
          <w:szCs w:val="32"/>
          <w:highlight w:val="none"/>
          <w:u w:val="singl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t>招标代理单位：</w:t>
      </w:r>
      <w:r>
        <w:rPr>
          <w:rFonts w:hint="eastAsia" w:ascii="宋体" w:hAnsi="宋体" w:eastAsia="宋体" w:cs="宋体"/>
          <w:color w:val="000000" w:themeColor="text1"/>
          <w:sz w:val="32"/>
          <w:szCs w:val="32"/>
          <w:highlight w:val="none"/>
          <w:u w:val="single"/>
          <w14:textFill>
            <w14:solidFill>
              <w14:schemeClr w14:val="tx1"/>
            </w14:solidFill>
          </w14:textFill>
        </w:rPr>
        <w:t>北京中交建设工程咨询有限公司</w:t>
      </w:r>
    </w:p>
    <w:p w14:paraId="01C360DD">
      <w:pPr>
        <w:snapToGrid/>
        <w:spacing w:before="0" w:after="0" w:line="360" w:lineRule="auto"/>
        <w:ind w:firstLine="960" w:firstLineChars="300"/>
        <w:jc w:val="both"/>
        <w:rPr>
          <w:rFonts w:hint="eastAsia" w:ascii="宋体" w:hAnsi="宋体" w:eastAsia="宋体" w:cs="宋体"/>
          <w:color w:val="000000" w:themeColor="text1"/>
          <w:sz w:val="32"/>
          <w:szCs w:val="32"/>
          <w:highlight w:val="non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t>日期：2025年</w:t>
      </w:r>
      <w:r>
        <w:rPr>
          <w:rFonts w:hint="eastAsia" w:ascii="宋体" w:hAnsi="宋体" w:eastAsia="宋体" w:cs="宋体"/>
          <w:color w:val="000000" w:themeColor="text1"/>
          <w:sz w:val="32"/>
          <w:szCs w:val="32"/>
          <w:highlight w:val="none"/>
          <w:lang w:val="en-US" w:eastAsia="zh-CN"/>
          <w14:textFill>
            <w14:solidFill>
              <w14:schemeClr w14:val="tx1"/>
            </w14:solidFill>
          </w14:textFill>
        </w:rPr>
        <w:t>6</w:t>
      </w:r>
      <w:r>
        <w:rPr>
          <w:rFonts w:hint="eastAsia" w:ascii="宋体" w:hAnsi="宋体" w:eastAsia="宋体" w:cs="宋体"/>
          <w:color w:val="000000" w:themeColor="text1"/>
          <w:sz w:val="32"/>
          <w:szCs w:val="32"/>
          <w:highlight w:val="none"/>
          <w14:textFill>
            <w14:solidFill>
              <w14:schemeClr w14:val="tx1"/>
            </w14:solidFill>
          </w14:textFill>
        </w:rPr>
        <w:t>月</w:t>
      </w:r>
    </w:p>
    <w:p w14:paraId="11D56008">
      <w:pPr>
        <w:rPr>
          <w:rFonts w:hint="eastAsia" w:ascii="宋体" w:hAnsi="宋体" w:eastAsia="宋体" w:cs="宋体"/>
          <w:color w:val="000000" w:themeColor="text1"/>
          <w:sz w:val="32"/>
          <w:szCs w:val="32"/>
          <w:highlight w:val="non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br w:type="page"/>
      </w:r>
    </w:p>
    <w:p w14:paraId="0AA6F290">
      <w:pPr>
        <w:snapToGrid/>
        <w:spacing w:before="0" w:after="0" w:line="360" w:lineRule="auto"/>
        <w:ind w:firstLine="960" w:firstLineChars="300"/>
        <w:jc w:val="both"/>
        <w:rPr>
          <w:rFonts w:hint="eastAsia" w:ascii="宋体" w:hAnsi="宋体" w:eastAsia="宋体" w:cs="宋体"/>
          <w:color w:val="000000" w:themeColor="text1"/>
          <w:sz w:val="32"/>
          <w:szCs w:val="32"/>
          <w:highlight w:val="none"/>
          <w14:textFill>
            <w14:solidFill>
              <w14:schemeClr w14:val="tx1"/>
            </w14:solidFill>
          </w14:textFill>
        </w:rPr>
      </w:pPr>
    </w:p>
    <w:sdt>
      <w:sdtPr>
        <w:rPr>
          <w:rFonts w:ascii="宋体" w:hAnsi="宋体" w:eastAsia="宋体"/>
          <w:color w:val="000000" w:themeColor="text1"/>
          <w:kern w:val="0"/>
          <w:sz w:val="21"/>
          <w:szCs w:val="20"/>
          <w:highlight w:val="none"/>
          <w14:textFill>
            <w14:solidFill>
              <w14:schemeClr w14:val="tx1"/>
            </w14:solidFill>
          </w14:textFill>
        </w:rPr>
        <w:id w:val="147473765"/>
        <w:docPartObj>
          <w:docPartGallery w:val="Table of Contents"/>
          <w:docPartUnique/>
        </w:docPartObj>
      </w:sdtPr>
      <w:sdtEndPr>
        <w:rPr>
          <w:rFonts w:hint="eastAsia" w:asciiTheme="minorHAnsi" w:hAnsiTheme="minorHAnsi" w:eastAsiaTheme="minorEastAsia"/>
          <w:color w:val="000000" w:themeColor="text1"/>
          <w:kern w:val="0"/>
          <w:sz w:val="22"/>
          <w:szCs w:val="20"/>
          <w:highlight w:val="none"/>
          <w14:textFill>
            <w14:solidFill>
              <w14:schemeClr w14:val="tx1"/>
            </w14:solidFill>
          </w14:textFill>
        </w:rPr>
      </w:sdtEndPr>
      <w:sdtContent>
        <w:p w14:paraId="41D1BE4A">
          <w:pPr>
            <w:spacing w:before="0" w:after="0" w:line="240" w:lineRule="auto"/>
            <w:jc w:val="center"/>
            <w:rPr>
              <w:rFonts w:hint="eastAsia"/>
              <w:color w:val="000000" w:themeColor="text1"/>
              <w:highlight w:val="none"/>
              <w14:textFill>
                <w14:solidFill>
                  <w14:schemeClr w14:val="tx1"/>
                </w14:solidFill>
              </w14:textFill>
            </w:rPr>
          </w:pPr>
          <w:r>
            <w:rPr>
              <w:rFonts w:ascii="宋体" w:hAnsi="宋体" w:eastAsia="宋体"/>
              <w:b/>
              <w:bCs/>
              <w:color w:val="000000" w:themeColor="text1"/>
              <w:sz w:val="28"/>
              <w:szCs w:val="32"/>
              <w:highlight w:val="none"/>
              <w14:textFill>
                <w14:solidFill>
                  <w14:schemeClr w14:val="tx1"/>
                </w14:solidFill>
              </w14:textFill>
            </w:rPr>
            <w:t>目录</w:t>
          </w:r>
        </w:p>
        <w:p w14:paraId="267DFD3E">
          <w:pPr>
            <w:pStyle w:val="86"/>
            <w:tabs>
              <w:tab w:val="right" w:leader="dot" w:pos="9026"/>
            </w:tabs>
            <w:spacing w:line="48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fldChar w:fldCharType="begin"/>
          </w:r>
          <w:r>
            <w:rPr>
              <w:rFonts w:hint="eastAsia" w:ascii="宋体" w:hAnsi="宋体" w:eastAsia="宋体" w:cs="宋体"/>
              <w:color w:val="000000" w:themeColor="text1"/>
              <w:sz w:val="24"/>
              <w:szCs w:val="24"/>
              <w:highlight w:val="none"/>
              <w14:textFill>
                <w14:solidFill>
                  <w14:schemeClr w14:val="tx1"/>
                </w14:solidFill>
              </w14:textFill>
            </w:rPr>
            <w:instrText xml:space="preserve">TOC \o "1-1" \h \u </w:instrText>
          </w:r>
          <w:r>
            <w:rPr>
              <w:rFonts w:hint="eastAsia" w:ascii="宋体" w:hAnsi="宋体" w:eastAsia="宋体" w:cs="宋体"/>
              <w:color w:val="000000" w:themeColor="text1"/>
              <w:sz w:val="24"/>
              <w:szCs w:val="24"/>
              <w:highlight w:val="none"/>
              <w14:textFill>
                <w14:solidFill>
                  <w14:schemeClr w14:val="tx1"/>
                </w14:solidFill>
              </w14:textFill>
            </w:rPr>
            <w:fldChar w:fldCharType="separate"/>
          </w:r>
          <w:r>
            <w:rPr>
              <w:highlight w:val="none"/>
            </w:rPr>
            <w:fldChar w:fldCharType="begin"/>
          </w:r>
          <w:r>
            <w:rPr>
              <w:highlight w:val="none"/>
            </w:rPr>
            <w:instrText xml:space="preserve"> HYPERLINK \l "_Toc17888" </w:instrText>
          </w:r>
          <w:r>
            <w:rPr>
              <w:highlight w:val="none"/>
            </w:rPr>
            <w:fldChar w:fldCharType="separate"/>
          </w:r>
          <w:r>
            <w:rPr>
              <w:rFonts w:hint="eastAsia" w:ascii="宋体" w:hAnsi="宋体" w:eastAsia="宋体" w:cs="宋体"/>
              <w:color w:val="000000" w:themeColor="text1"/>
              <w:kern w:val="44"/>
              <w:sz w:val="24"/>
              <w:szCs w:val="48"/>
              <w:highlight w:val="none"/>
              <w14:textFill>
                <w14:solidFill>
                  <w14:schemeClr w14:val="tx1"/>
                </w14:solidFill>
              </w14:textFill>
            </w:rPr>
            <w:t>第一部分 总体要求</w:t>
          </w:r>
          <w:r>
            <w:rPr>
              <w:rFonts w:hint="eastAsia" w:ascii="宋体" w:hAnsi="宋体" w:eastAsia="宋体" w:cs="宋体"/>
              <w:color w:val="000000" w:themeColor="text1"/>
              <w:sz w:val="24"/>
              <w:szCs w:val="24"/>
              <w:highlight w:val="none"/>
              <w14:textFill>
                <w14:solidFill>
                  <w14:schemeClr w14:val="tx1"/>
                </w14:solidFill>
              </w14:textFill>
            </w:rPr>
            <w:tab/>
          </w:r>
          <w:r>
            <w:rPr>
              <w:rFonts w:hint="eastAsia" w:ascii="宋体" w:hAnsi="宋体" w:eastAsia="宋体" w:cs="宋体"/>
              <w:color w:val="000000" w:themeColor="text1"/>
              <w:sz w:val="24"/>
              <w:szCs w:val="24"/>
              <w:highlight w:val="none"/>
              <w14:textFill>
                <w14:solidFill>
                  <w14:schemeClr w14:val="tx1"/>
                </w14:solidFill>
              </w14:textFill>
            </w:rPr>
            <w:fldChar w:fldCharType="begin"/>
          </w:r>
          <w:r>
            <w:rPr>
              <w:rFonts w:hint="eastAsia" w:ascii="宋体" w:hAnsi="宋体" w:eastAsia="宋体" w:cs="宋体"/>
              <w:color w:val="000000" w:themeColor="text1"/>
              <w:sz w:val="24"/>
              <w:szCs w:val="24"/>
              <w:highlight w:val="none"/>
              <w14:textFill>
                <w14:solidFill>
                  <w14:schemeClr w14:val="tx1"/>
                </w14:solidFill>
              </w14:textFill>
            </w:rPr>
            <w:instrText xml:space="preserve"> PAGEREF _Toc17888 \h </w:instrText>
          </w:r>
          <w:r>
            <w:rPr>
              <w:rFonts w:hint="eastAsia" w:ascii="宋体" w:hAnsi="宋体" w:eastAsia="宋体" w:cs="宋体"/>
              <w:color w:val="000000" w:themeColor="text1"/>
              <w:sz w:val="24"/>
              <w:szCs w:val="24"/>
              <w:highlight w:val="none"/>
              <w14:textFill>
                <w14:solidFill>
                  <w14:schemeClr w14:val="tx1"/>
                </w14:solidFill>
              </w14:textFill>
            </w:rPr>
            <w:fldChar w:fldCharType="separate"/>
          </w:r>
          <w:r>
            <w:rPr>
              <w:rFonts w:hint="eastAsia"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color w:val="000000" w:themeColor="text1"/>
              <w:sz w:val="24"/>
              <w:szCs w:val="24"/>
              <w:highlight w:val="none"/>
              <w14:textFill>
                <w14:solidFill>
                  <w14:schemeClr w14:val="tx1"/>
                </w14:solidFill>
              </w14:textFill>
            </w:rPr>
            <w:fldChar w:fldCharType="end"/>
          </w:r>
          <w:r>
            <w:rPr>
              <w:rFonts w:hint="eastAsia" w:ascii="宋体" w:hAnsi="宋体" w:eastAsia="宋体" w:cs="宋体"/>
              <w:color w:val="000000" w:themeColor="text1"/>
              <w:sz w:val="24"/>
              <w:szCs w:val="24"/>
              <w:highlight w:val="none"/>
              <w14:textFill>
                <w14:solidFill>
                  <w14:schemeClr w14:val="tx1"/>
                </w14:solidFill>
              </w14:textFill>
            </w:rPr>
            <w:fldChar w:fldCharType="end"/>
          </w:r>
        </w:p>
        <w:p w14:paraId="4A68FDA1">
          <w:pPr>
            <w:pStyle w:val="86"/>
            <w:tabs>
              <w:tab w:val="right" w:leader="dot" w:pos="9026"/>
            </w:tabs>
            <w:spacing w:line="480" w:lineRule="auto"/>
            <w:rPr>
              <w:rFonts w:hint="eastAsia" w:ascii="宋体" w:hAnsi="宋体" w:eastAsia="宋体" w:cs="宋体"/>
              <w:color w:val="000000" w:themeColor="text1"/>
              <w:sz w:val="24"/>
              <w:szCs w:val="24"/>
              <w:highlight w:val="none"/>
              <w14:textFill>
                <w14:solidFill>
                  <w14:schemeClr w14:val="tx1"/>
                </w14:solidFill>
              </w14:textFill>
            </w:rPr>
          </w:pPr>
          <w:r>
            <w:rPr>
              <w:highlight w:val="none"/>
            </w:rPr>
            <w:fldChar w:fldCharType="begin"/>
          </w:r>
          <w:r>
            <w:rPr>
              <w:highlight w:val="none"/>
            </w:rPr>
            <w:instrText xml:space="preserve"> HYPERLINK \l "_Toc3156" </w:instrText>
          </w:r>
          <w:r>
            <w:rPr>
              <w:highlight w:val="none"/>
            </w:rPr>
            <w:fldChar w:fldCharType="separate"/>
          </w:r>
          <w:r>
            <w:rPr>
              <w:rFonts w:hint="eastAsia" w:ascii="宋体" w:hAnsi="宋体" w:eastAsia="宋体" w:cs="宋体"/>
              <w:color w:val="000000" w:themeColor="text1"/>
              <w:kern w:val="44"/>
              <w:sz w:val="24"/>
              <w:szCs w:val="48"/>
              <w:highlight w:val="none"/>
              <w14:textFill>
                <w14:solidFill>
                  <w14:schemeClr w14:val="tx1"/>
                </w14:solidFill>
              </w14:textFill>
            </w:rPr>
            <w:t>第二部分 设计任务书</w:t>
          </w:r>
          <w:r>
            <w:rPr>
              <w:rFonts w:hint="eastAsia" w:ascii="宋体" w:hAnsi="宋体" w:eastAsia="宋体" w:cs="宋体"/>
              <w:color w:val="000000" w:themeColor="text1"/>
              <w:sz w:val="24"/>
              <w:szCs w:val="24"/>
              <w:highlight w:val="none"/>
              <w14:textFill>
                <w14:solidFill>
                  <w14:schemeClr w14:val="tx1"/>
                </w14:solidFill>
              </w14:textFill>
            </w:rPr>
            <w:tab/>
          </w:r>
          <w:r>
            <w:rPr>
              <w:rFonts w:hint="eastAsia" w:ascii="宋体" w:hAnsi="宋体" w:eastAsia="宋体" w:cs="宋体"/>
              <w:color w:val="000000" w:themeColor="text1"/>
              <w:sz w:val="24"/>
              <w:szCs w:val="24"/>
              <w:highlight w:val="none"/>
              <w14:textFill>
                <w14:solidFill>
                  <w14:schemeClr w14:val="tx1"/>
                </w14:solidFill>
              </w14:textFill>
            </w:rPr>
            <w:fldChar w:fldCharType="begin"/>
          </w:r>
          <w:r>
            <w:rPr>
              <w:rFonts w:hint="eastAsia" w:ascii="宋体" w:hAnsi="宋体" w:eastAsia="宋体" w:cs="宋体"/>
              <w:color w:val="000000" w:themeColor="text1"/>
              <w:sz w:val="24"/>
              <w:szCs w:val="24"/>
              <w:highlight w:val="none"/>
              <w14:textFill>
                <w14:solidFill>
                  <w14:schemeClr w14:val="tx1"/>
                </w14:solidFill>
              </w14:textFill>
            </w:rPr>
            <w:instrText xml:space="preserve"> PAGEREF _Toc3156 \h </w:instrText>
          </w:r>
          <w:r>
            <w:rPr>
              <w:rFonts w:hint="eastAsia" w:ascii="宋体" w:hAnsi="宋体" w:eastAsia="宋体" w:cs="宋体"/>
              <w:color w:val="000000" w:themeColor="text1"/>
              <w:sz w:val="24"/>
              <w:szCs w:val="24"/>
              <w:highlight w:val="none"/>
              <w14:textFill>
                <w14:solidFill>
                  <w14:schemeClr w14:val="tx1"/>
                </w14:solidFill>
              </w14:textFill>
            </w:rPr>
            <w:fldChar w:fldCharType="separate"/>
          </w:r>
          <w:r>
            <w:rPr>
              <w:rFonts w:hint="eastAsia" w:ascii="宋体" w:hAnsi="宋体" w:eastAsia="宋体" w:cs="宋体"/>
              <w:color w:val="000000" w:themeColor="text1"/>
              <w:sz w:val="24"/>
              <w:szCs w:val="24"/>
              <w:highlight w:val="none"/>
              <w14:textFill>
                <w14:solidFill>
                  <w14:schemeClr w14:val="tx1"/>
                </w14:solidFill>
              </w14:textFill>
            </w:rPr>
            <w:t>5</w:t>
          </w:r>
          <w:r>
            <w:rPr>
              <w:rFonts w:hint="eastAsia" w:ascii="宋体" w:hAnsi="宋体" w:eastAsia="宋体" w:cs="宋体"/>
              <w:color w:val="000000" w:themeColor="text1"/>
              <w:sz w:val="24"/>
              <w:szCs w:val="24"/>
              <w:highlight w:val="none"/>
              <w14:textFill>
                <w14:solidFill>
                  <w14:schemeClr w14:val="tx1"/>
                </w14:solidFill>
              </w14:textFill>
            </w:rPr>
            <w:fldChar w:fldCharType="end"/>
          </w:r>
          <w:r>
            <w:rPr>
              <w:rFonts w:hint="eastAsia" w:ascii="宋体" w:hAnsi="宋体" w:eastAsia="宋体" w:cs="宋体"/>
              <w:color w:val="000000" w:themeColor="text1"/>
              <w:sz w:val="24"/>
              <w:szCs w:val="24"/>
              <w:highlight w:val="none"/>
              <w14:textFill>
                <w14:solidFill>
                  <w14:schemeClr w14:val="tx1"/>
                </w14:solidFill>
              </w14:textFill>
            </w:rPr>
            <w:fldChar w:fldCharType="end"/>
          </w:r>
        </w:p>
        <w:p w14:paraId="38D6D59E">
          <w:pPr>
            <w:pStyle w:val="86"/>
            <w:tabs>
              <w:tab w:val="right" w:leader="dot" w:pos="9026"/>
            </w:tabs>
            <w:spacing w:line="480" w:lineRule="auto"/>
            <w:rPr>
              <w:rFonts w:hint="eastAsia" w:ascii="宋体" w:hAnsi="宋体" w:eastAsia="宋体" w:cs="宋体"/>
              <w:color w:val="000000" w:themeColor="text1"/>
              <w:sz w:val="24"/>
              <w:szCs w:val="24"/>
              <w:highlight w:val="none"/>
              <w14:textFill>
                <w14:solidFill>
                  <w14:schemeClr w14:val="tx1"/>
                </w14:solidFill>
              </w14:textFill>
            </w:rPr>
          </w:pPr>
          <w:r>
            <w:rPr>
              <w:highlight w:val="none"/>
            </w:rPr>
            <w:fldChar w:fldCharType="begin"/>
          </w:r>
          <w:r>
            <w:rPr>
              <w:highlight w:val="none"/>
            </w:rPr>
            <w:instrText xml:space="preserve"> HYPERLINK \l "_Toc1007" </w:instrText>
          </w:r>
          <w:r>
            <w:rPr>
              <w:highlight w:val="none"/>
            </w:rPr>
            <w:fldChar w:fldCharType="separate"/>
          </w:r>
          <w:r>
            <w:rPr>
              <w:rFonts w:hint="eastAsia" w:ascii="宋体" w:hAnsi="宋体" w:eastAsia="宋体" w:cs="宋体"/>
              <w:bCs/>
              <w:color w:val="000000" w:themeColor="text1"/>
              <w:sz w:val="24"/>
              <w:szCs w:val="48"/>
              <w:highlight w:val="none"/>
              <w14:textFill>
                <w14:solidFill>
                  <w14:schemeClr w14:val="tx1"/>
                </w14:solidFill>
              </w14:textFill>
            </w:rPr>
            <w:t>第三部分 施工管理任务书</w:t>
          </w:r>
          <w:r>
            <w:rPr>
              <w:rFonts w:hint="eastAsia" w:ascii="宋体" w:hAnsi="宋体" w:eastAsia="宋体" w:cs="宋体"/>
              <w:color w:val="000000" w:themeColor="text1"/>
              <w:sz w:val="24"/>
              <w:szCs w:val="24"/>
              <w:highlight w:val="none"/>
              <w14:textFill>
                <w14:solidFill>
                  <w14:schemeClr w14:val="tx1"/>
                </w14:solidFill>
              </w14:textFill>
            </w:rPr>
            <w:tab/>
          </w:r>
          <w:r>
            <w:rPr>
              <w:rFonts w:hint="eastAsia" w:ascii="宋体" w:hAnsi="宋体" w:eastAsia="宋体" w:cs="宋体"/>
              <w:color w:val="000000" w:themeColor="text1"/>
              <w:sz w:val="24"/>
              <w:szCs w:val="24"/>
              <w:highlight w:val="none"/>
              <w14:textFill>
                <w14:solidFill>
                  <w14:schemeClr w14:val="tx1"/>
                </w14:solidFill>
              </w14:textFill>
            </w:rPr>
            <w:t>2</w:t>
          </w:r>
          <w:r>
            <w:rPr>
              <w:rFonts w:hint="eastAsia" w:ascii="宋体" w:hAnsi="宋体" w:eastAsia="宋体" w:cs="宋体"/>
              <w:color w:val="000000" w:themeColor="text1"/>
              <w:sz w:val="24"/>
              <w:szCs w:val="24"/>
              <w:highlight w:val="none"/>
              <w14:textFill>
                <w14:solidFill>
                  <w14:schemeClr w14:val="tx1"/>
                </w14:solidFill>
              </w14:textFill>
            </w:rPr>
            <w:fldChar w:fldCharType="end"/>
          </w:r>
          <w:r>
            <w:rPr>
              <w:rFonts w:hint="eastAsia" w:ascii="宋体" w:hAnsi="宋体" w:eastAsia="宋体" w:cs="宋体"/>
              <w:color w:val="000000" w:themeColor="text1"/>
              <w:sz w:val="24"/>
              <w:szCs w:val="24"/>
              <w:highlight w:val="none"/>
              <w14:textFill>
                <w14:solidFill>
                  <w14:schemeClr w14:val="tx1"/>
                </w14:solidFill>
              </w14:textFill>
            </w:rPr>
            <w:t>05</w:t>
          </w:r>
        </w:p>
        <w:p w14:paraId="23CD81ED">
          <w:pPr>
            <w:pStyle w:val="86"/>
            <w:tabs>
              <w:tab w:val="right" w:leader="dot" w:pos="9026"/>
            </w:tabs>
            <w:spacing w:line="480" w:lineRule="auto"/>
            <w:rPr>
              <w:rFonts w:hint="eastAsia"/>
              <w:color w:val="000000" w:themeColor="text1"/>
              <w:highlight w:val="none"/>
              <w14:textFill>
                <w14:solidFill>
                  <w14:schemeClr w14:val="tx1"/>
                </w14:solidFill>
              </w14:textFill>
            </w:rPr>
            <w:sectPr>
              <w:pgSz w:w="11906" w:h="16838"/>
              <w:pgMar w:top="1440" w:right="1440" w:bottom="1440" w:left="1440" w:header="851" w:footer="992" w:gutter="0"/>
              <w:pgBorders>
                <w:top w:val="none" w:sz="0" w:space="0"/>
                <w:left w:val="none" w:sz="0" w:space="0"/>
                <w:bottom w:val="none" w:sz="0" w:space="0"/>
                <w:right w:val="none" w:sz="0" w:space="0"/>
              </w:pgBorders>
              <w:pgNumType w:start="1"/>
              <w:cols w:space="720" w:num="1"/>
              <w:docGrid w:type="lines" w:linePitch="312" w:charSpace="0"/>
            </w:sectPr>
          </w:pPr>
          <w:r>
            <w:rPr>
              <w:highlight w:val="none"/>
            </w:rPr>
            <w:fldChar w:fldCharType="begin"/>
          </w:r>
          <w:r>
            <w:rPr>
              <w:highlight w:val="none"/>
            </w:rPr>
            <w:instrText xml:space="preserve"> HYPERLINK \l "_Toc28519" </w:instrText>
          </w:r>
          <w:r>
            <w:rPr>
              <w:highlight w:val="none"/>
            </w:rPr>
            <w:fldChar w:fldCharType="separate"/>
          </w:r>
          <w:r>
            <w:rPr>
              <w:rFonts w:hint="eastAsia" w:ascii="宋体" w:hAnsi="宋体" w:eastAsia="宋体" w:cs="宋体"/>
              <w:color w:val="000000" w:themeColor="text1"/>
              <w:kern w:val="44"/>
              <w:sz w:val="24"/>
              <w:szCs w:val="48"/>
              <w:highlight w:val="none"/>
              <w14:textFill>
                <w14:solidFill>
                  <w14:schemeClr w14:val="tx1"/>
                </w14:solidFill>
              </w14:textFill>
            </w:rPr>
            <w:t>第四部分 附件</w:t>
          </w:r>
          <w:r>
            <w:rPr>
              <w:rFonts w:hint="eastAsia" w:ascii="宋体" w:hAnsi="宋体" w:eastAsia="宋体" w:cs="宋体"/>
              <w:color w:val="000000" w:themeColor="text1"/>
              <w:sz w:val="24"/>
              <w:szCs w:val="24"/>
              <w:highlight w:val="none"/>
              <w14:textFill>
                <w14:solidFill>
                  <w14:schemeClr w14:val="tx1"/>
                </w14:solidFill>
              </w14:textFill>
            </w:rPr>
            <w:tab/>
          </w:r>
          <w:r>
            <w:rPr>
              <w:rFonts w:hint="eastAsia" w:ascii="宋体" w:hAnsi="宋体" w:eastAsia="宋体" w:cs="宋体"/>
              <w:color w:val="000000" w:themeColor="text1"/>
              <w:sz w:val="24"/>
              <w:szCs w:val="24"/>
              <w:highlight w:val="none"/>
              <w14:textFill>
                <w14:solidFill>
                  <w14:schemeClr w14:val="tx1"/>
                </w14:solidFill>
              </w14:textFill>
            </w:rPr>
            <w:t>2</w:t>
          </w:r>
          <w:r>
            <w:rPr>
              <w:rFonts w:hint="eastAsia" w:ascii="宋体" w:hAnsi="宋体" w:eastAsia="宋体" w:cs="宋体"/>
              <w:color w:val="000000" w:themeColor="text1"/>
              <w:sz w:val="24"/>
              <w:szCs w:val="24"/>
              <w:highlight w:val="none"/>
              <w14:textFill>
                <w14:solidFill>
                  <w14:schemeClr w14:val="tx1"/>
                </w14:solidFill>
              </w14:textFill>
            </w:rPr>
            <w:fldChar w:fldCharType="end"/>
          </w:r>
          <w:r>
            <w:rPr>
              <w:rFonts w:hint="eastAsia" w:ascii="宋体" w:hAnsi="宋体" w:eastAsia="宋体" w:cs="宋体"/>
              <w:color w:val="000000" w:themeColor="text1"/>
              <w:sz w:val="24"/>
              <w:szCs w:val="24"/>
              <w:highlight w:val="none"/>
              <w14:textFill>
                <w14:solidFill>
                  <w14:schemeClr w14:val="tx1"/>
                </w14:solidFill>
              </w14:textFill>
            </w:rPr>
            <w:fldChar w:fldCharType="end"/>
          </w:r>
          <w:r>
            <w:rPr>
              <w:rFonts w:hint="eastAsia" w:ascii="宋体" w:hAnsi="宋体" w:eastAsia="宋体" w:cs="宋体"/>
              <w:color w:val="000000" w:themeColor="text1"/>
              <w:sz w:val="24"/>
              <w:szCs w:val="24"/>
              <w:highlight w:val="none"/>
              <w14:textFill>
                <w14:solidFill>
                  <w14:schemeClr w14:val="tx1"/>
                </w14:solidFill>
              </w14:textFill>
            </w:rPr>
            <w:t>47</w:t>
          </w:r>
        </w:p>
      </w:sdtContent>
    </w:sdt>
    <w:p w14:paraId="07B85BD7">
      <w:pPr>
        <w:widowControl/>
        <w:snapToGrid/>
        <w:spacing w:before="0" w:after="0" w:line="240" w:lineRule="auto"/>
        <w:rPr>
          <w:rStyle w:val="52"/>
          <w:rFonts w:hint="eastAsia" w:ascii="宋体" w:hAnsi="宋体" w:eastAsia="宋体" w:cs="宋体"/>
          <w:color w:val="000000" w:themeColor="text1"/>
          <w:kern w:val="44"/>
          <w:szCs w:val="28"/>
          <w:highlight w:val="none"/>
          <w14:textFill>
            <w14:solidFill>
              <w14:schemeClr w14:val="tx1"/>
            </w14:solidFill>
          </w14:textFill>
        </w:rPr>
      </w:pPr>
    </w:p>
    <w:p w14:paraId="46A7F722">
      <w:pPr>
        <w:widowControl/>
        <w:snapToGrid/>
        <w:spacing w:before="0" w:after="0" w:line="240" w:lineRule="auto"/>
        <w:jc w:val="center"/>
        <w:rPr>
          <w:rStyle w:val="52"/>
          <w:rFonts w:hint="eastAsia" w:ascii="宋体" w:hAnsi="宋体" w:eastAsia="宋体" w:cs="宋体"/>
          <w:color w:val="000000" w:themeColor="text1"/>
          <w:kern w:val="44"/>
          <w:sz w:val="36"/>
          <w:highlight w:val="none"/>
          <w14:textFill>
            <w14:solidFill>
              <w14:schemeClr w14:val="tx1"/>
            </w14:solidFill>
          </w14:textFill>
        </w:rPr>
      </w:pPr>
    </w:p>
    <w:p w14:paraId="34C0BDC0">
      <w:pPr>
        <w:widowControl/>
        <w:snapToGrid/>
        <w:spacing w:before="0" w:after="0" w:line="240" w:lineRule="auto"/>
        <w:jc w:val="center"/>
        <w:outlineLvl w:val="0"/>
        <w:rPr>
          <w:rFonts w:hint="eastAsia" w:ascii="宋体" w:hAnsi="宋体" w:eastAsia="宋体" w:cs="宋体"/>
          <w:b/>
          <w:bCs/>
          <w:color w:val="000000" w:themeColor="text1"/>
          <w:sz w:val="48"/>
          <w:szCs w:val="48"/>
          <w:highlight w:val="none"/>
          <w14:textFill>
            <w14:solidFill>
              <w14:schemeClr w14:val="tx1"/>
            </w14:solidFill>
          </w14:textFill>
        </w:rPr>
      </w:pPr>
      <w:bookmarkStart w:id="0" w:name="_Toc17888"/>
      <w:r>
        <w:rPr>
          <w:rStyle w:val="52"/>
          <w:rFonts w:hint="eastAsia" w:ascii="宋体" w:hAnsi="宋体" w:eastAsia="宋体" w:cs="宋体"/>
          <w:color w:val="000000" w:themeColor="text1"/>
          <w:kern w:val="44"/>
          <w:sz w:val="36"/>
          <w:highlight w:val="none"/>
          <w14:textFill>
            <w14:solidFill>
              <w14:schemeClr w14:val="tx1"/>
            </w14:solidFill>
          </w14:textFill>
        </w:rPr>
        <w:t>第一部分 总体要求</w:t>
      </w:r>
      <w:bookmarkEnd w:id="0"/>
    </w:p>
    <w:p w14:paraId="613C45E4">
      <w:pPr>
        <w:rPr>
          <w:rFonts w:hint="eastAsia" w:ascii="宋体" w:hAnsi="宋体" w:eastAsia="宋体" w:cs="宋体"/>
          <w:b/>
          <w:bCs/>
          <w:color w:val="000000" w:themeColor="text1"/>
          <w:kern w:val="0"/>
          <w:sz w:val="28"/>
          <w:szCs w:val="28"/>
          <w:highlight w:val="none"/>
          <w14:textFill>
            <w14:solidFill>
              <w14:schemeClr w14:val="tx1"/>
            </w14:solidFill>
          </w14:textFill>
        </w:rPr>
      </w:pPr>
      <w:r>
        <w:rPr>
          <w:rFonts w:hint="eastAsia" w:ascii="宋体" w:hAnsi="宋体" w:eastAsia="宋体" w:cs="宋体"/>
          <w:b/>
          <w:bCs/>
          <w:color w:val="000000" w:themeColor="text1"/>
          <w:kern w:val="0"/>
          <w:sz w:val="28"/>
          <w:szCs w:val="28"/>
          <w:highlight w:val="none"/>
          <w14:textFill>
            <w14:solidFill>
              <w14:schemeClr w14:val="tx1"/>
            </w14:solidFill>
          </w14:textFill>
        </w:rPr>
        <w:br w:type="page"/>
      </w:r>
    </w:p>
    <w:p w14:paraId="60521F2E">
      <w:pPr>
        <w:pStyle w:val="2"/>
        <w:spacing w:line="360" w:lineRule="auto"/>
        <w:rPr>
          <w:rFonts w:hint="eastAsia" w:ascii="宋体" w:hAnsi="宋体" w:eastAsia="宋体" w:cs="宋体"/>
          <w:color w:val="000000" w:themeColor="text1"/>
          <w:sz w:val="24"/>
          <w:szCs w:val="24"/>
          <w:highlight w:val="none"/>
          <w14:textFill>
            <w14:solidFill>
              <w14:schemeClr w14:val="tx1"/>
            </w14:solidFill>
          </w14:textFill>
        </w:rPr>
      </w:pPr>
      <w:bookmarkStart w:id="1" w:name="_Toc9414"/>
      <w:r>
        <w:rPr>
          <w:rFonts w:hint="eastAsia" w:ascii="宋体" w:hAnsi="宋体" w:eastAsia="宋体" w:cs="宋体"/>
          <w:color w:val="000000" w:themeColor="text1"/>
          <w:kern w:val="0"/>
          <w:szCs w:val="28"/>
          <w:highlight w:val="none"/>
          <w14:textFill>
            <w14:solidFill>
              <w14:schemeClr w14:val="tx1"/>
            </w14:solidFill>
          </w14:textFill>
        </w:rPr>
        <w:t>一、项目概述</w:t>
      </w:r>
      <w:bookmarkEnd w:id="1"/>
    </w:p>
    <w:p w14:paraId="4983225E">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1.1项目概述</w:t>
      </w:r>
    </w:p>
    <w:p w14:paraId="46CA5740">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1.1.1 项目地点：</w:t>
      </w:r>
      <w:bookmarkStart w:id="2" w:name="OLE_LINK4"/>
      <w:r>
        <w:rPr>
          <w:rFonts w:hint="eastAsia" w:ascii="宋体" w:hAnsi="宋体" w:eastAsia="宋体" w:cs="宋体"/>
          <w:color w:val="000000" w:themeColor="text1"/>
          <w:sz w:val="24"/>
          <w:szCs w:val="24"/>
          <w:highlight w:val="none"/>
          <w14:textFill>
            <w14:solidFill>
              <w14:schemeClr w14:val="tx1"/>
            </w14:solidFill>
          </w14:textFill>
        </w:rPr>
        <w:t>本项目位于</w:t>
      </w:r>
      <w:bookmarkStart w:id="3" w:name="OLE_LINK3"/>
      <w:r>
        <w:rPr>
          <w:rFonts w:hint="eastAsia" w:ascii="宋体" w:hAnsi="宋体" w:eastAsia="宋体" w:cs="宋体"/>
          <w:color w:val="000000" w:themeColor="text1"/>
          <w:sz w:val="24"/>
          <w:szCs w:val="24"/>
          <w:highlight w:val="none"/>
          <w14:textFill>
            <w14:solidFill>
              <w14:schemeClr w14:val="tx1"/>
            </w14:solidFill>
          </w14:textFill>
        </w:rPr>
        <w:t>天河区元岗</w:t>
      </w:r>
      <w:bookmarkEnd w:id="3"/>
      <w:r>
        <w:rPr>
          <w:rFonts w:hint="eastAsia" w:ascii="宋体" w:hAnsi="宋体" w:eastAsia="宋体" w:cs="宋体"/>
          <w:color w:val="000000" w:themeColor="text1"/>
          <w:sz w:val="24"/>
          <w:szCs w:val="24"/>
          <w:highlight w:val="none"/>
          <w:lang w:val="en-US" w:eastAsia="zh-CN"/>
          <w14:textFill>
            <w14:solidFill>
              <w14:schemeClr w14:val="tx1"/>
            </w14:solidFill>
          </w14:textFill>
        </w:rPr>
        <w:t>路</w:t>
      </w:r>
      <w:r>
        <w:rPr>
          <w:rFonts w:hint="eastAsia" w:ascii="宋体" w:hAnsi="宋体" w:eastAsia="宋体" w:cs="宋体"/>
          <w:color w:val="000000" w:themeColor="text1"/>
          <w:sz w:val="24"/>
          <w:szCs w:val="24"/>
          <w:highlight w:val="none"/>
          <w14:textFill>
            <w14:solidFill>
              <w14:schemeClr w14:val="tx1"/>
            </w14:solidFill>
          </w14:textFill>
        </w:rPr>
        <w:t>。</w:t>
      </w:r>
      <w:bookmarkStart w:id="4" w:name="OLE_LINK2"/>
      <w:r>
        <w:rPr>
          <w:rFonts w:hint="eastAsia" w:ascii="宋体" w:hAnsi="宋体" w:eastAsia="宋体" w:cs="宋体"/>
          <w:color w:val="000000" w:themeColor="text1"/>
          <w:sz w:val="24"/>
          <w:szCs w:val="24"/>
          <w:highlight w:val="none"/>
          <w:lang w:val="en-US" w:eastAsia="zh-CN"/>
          <w14:textFill>
            <w14:solidFill>
              <w14:schemeClr w14:val="tx1"/>
            </w14:solidFill>
          </w14:textFill>
        </w:rPr>
        <w:t>东侧为空地（4号地块），南侧为元岗路，场地北侧、西侧为居民楼或者办公用房</w:t>
      </w:r>
      <w:r>
        <w:rPr>
          <w:rFonts w:hint="eastAsia" w:ascii="宋体" w:hAnsi="宋体" w:eastAsia="宋体" w:cs="宋体"/>
          <w:color w:val="000000" w:themeColor="text1"/>
          <w:sz w:val="24"/>
          <w:szCs w:val="24"/>
          <w:highlight w:val="none"/>
          <w14:textFill>
            <w14:solidFill>
              <w14:schemeClr w14:val="tx1"/>
            </w14:solidFill>
          </w14:textFill>
        </w:rPr>
        <w:t>。</w:t>
      </w:r>
      <w:bookmarkEnd w:id="2"/>
      <w:bookmarkEnd w:id="4"/>
    </w:p>
    <w:p w14:paraId="5B8209B1">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1.1.2 项目规模：详见招标公告。</w:t>
      </w:r>
    </w:p>
    <w:p w14:paraId="26BAA42B">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1.2项目实施内容及范围：见合同协议书。</w:t>
      </w:r>
    </w:p>
    <w:p w14:paraId="6138C96E">
      <w:pPr>
        <w:pStyle w:val="6"/>
        <w:keepNext w:val="0"/>
        <w:keepLines w:val="0"/>
        <w:widowControl/>
        <w:snapToGrid/>
        <w:spacing w:line="360" w:lineRule="auto"/>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二、项目管理目标</w:t>
      </w:r>
    </w:p>
    <w:p w14:paraId="5A94698F">
      <w:pPr>
        <w:pStyle w:val="6"/>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2.1 工期进度目标：工期暂定为</w:t>
      </w:r>
      <w:r>
        <w:rPr>
          <w:rFonts w:hint="eastAsia" w:ascii="宋体" w:hAnsi="宋体" w:eastAsia="宋体" w:cs="宋体"/>
          <w:b w:val="0"/>
          <w:bCs w:val="0"/>
          <w:snapToGrid w:val="0"/>
          <w:color w:val="000000" w:themeColor="text1"/>
          <w:kern w:val="0"/>
          <w:sz w:val="24"/>
          <w:szCs w:val="24"/>
          <w:highlight w:val="none"/>
          <w:lang w:val="en-US" w:eastAsia="zh-CN"/>
          <w14:textFill>
            <w14:solidFill>
              <w14:schemeClr w14:val="tx1"/>
            </w14:solidFill>
          </w14:textFill>
        </w:rPr>
        <w:t>913</w:t>
      </w: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个日历天（含设计工期）。最终的进度计划按合同约定履行审批手续后实施，具体施工开工时间以总监理工程师发出的开工令为准。发包人根据政府部门以及工程实施情况，有权对本合同工程工期进行适当调整。</w:t>
      </w:r>
    </w:p>
    <w:p w14:paraId="0AA282AC">
      <w:pPr>
        <w:pStyle w:val="61"/>
        <w:spacing w:line="360" w:lineRule="auto"/>
        <w:ind w:firstLine="480" w:firstLineChars="200"/>
        <w:jc w:val="both"/>
        <w:rPr>
          <w:rFonts w:hint="eastAsia" w:ascii="宋体" w:hAnsi="宋体" w:eastAsia="宋体" w:cs="宋体"/>
          <w:b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snapToGrid w:val="0"/>
          <w:color w:val="000000" w:themeColor="text1"/>
          <w:kern w:val="0"/>
          <w:sz w:val="24"/>
          <w:szCs w:val="24"/>
          <w:highlight w:val="none"/>
          <w14:textFill>
            <w14:solidFill>
              <w14:schemeClr w14:val="tx1"/>
            </w14:solidFill>
          </w14:textFill>
        </w:rPr>
        <w:t>2.2 设计工期：见合同协议书。</w:t>
      </w:r>
    </w:p>
    <w:p w14:paraId="177BAD4B">
      <w:pPr>
        <w:pStyle w:val="6"/>
        <w:keepNext w:val="0"/>
        <w:keepLines w:val="0"/>
        <w:widowControl/>
        <w:snapToGrid/>
        <w:spacing w:line="360" w:lineRule="auto"/>
        <w:jc w:val="both"/>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snapToGrid w:val="0"/>
          <w:color w:val="000000" w:themeColor="text1"/>
          <w:kern w:val="0"/>
          <w:sz w:val="24"/>
          <w:szCs w:val="24"/>
          <w:highlight w:val="none"/>
          <w14:textFill>
            <w14:solidFill>
              <w14:schemeClr w14:val="tx1"/>
            </w14:solidFill>
          </w14:textFill>
        </w:rPr>
        <w:t>3、关键节点工期要求：</w:t>
      </w:r>
    </w:p>
    <w:tbl>
      <w:tblPr>
        <w:tblStyle w:val="42"/>
        <w:tblW w:w="9390" w:type="dxa"/>
        <w:tblInd w:w="0" w:type="dxa"/>
        <w:tblLayout w:type="fixed"/>
        <w:tblCellMar>
          <w:top w:w="0" w:type="dxa"/>
          <w:left w:w="108" w:type="dxa"/>
          <w:bottom w:w="0" w:type="dxa"/>
          <w:right w:w="108" w:type="dxa"/>
        </w:tblCellMar>
      </w:tblPr>
      <w:tblGrid>
        <w:gridCol w:w="723"/>
        <w:gridCol w:w="2595"/>
        <w:gridCol w:w="3840"/>
        <w:gridCol w:w="2232"/>
      </w:tblGrid>
      <w:tr w14:paraId="0EB0F514">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EB3E18C">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序号</w:t>
            </w:r>
          </w:p>
        </w:tc>
        <w:tc>
          <w:tcPr>
            <w:tcW w:w="259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E0A6C1">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Ⅰ级关键节点</w:t>
            </w:r>
          </w:p>
        </w:tc>
        <w:tc>
          <w:tcPr>
            <w:tcW w:w="384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66A0D5C">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关键节点完成时间</w:t>
            </w:r>
          </w:p>
        </w:tc>
        <w:tc>
          <w:tcPr>
            <w:tcW w:w="2232"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D8F54B1">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备注</w:t>
            </w:r>
          </w:p>
        </w:tc>
      </w:tr>
      <w:tr w14:paraId="3782EF99">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16F426A">
            <w:pPr>
              <w:spacing w:before="0" w:after="0" w:line="360" w:lineRule="auto"/>
              <w:jc w:val="center"/>
              <w:rPr>
                <w:rFonts w:hint="eastAsia" w:ascii="宋体" w:hAnsi="宋体" w:eastAsia="宋体" w:cs="宋体"/>
                <w:color w:val="000000" w:themeColor="text1"/>
                <w:sz w:val="21"/>
                <w:szCs w:val="21"/>
                <w:highlight w:val="none"/>
                <w:lang w:val="en-US" w:eastAsia="zh-CN"/>
                <w14:textFill>
                  <w14:solidFill>
                    <w14:schemeClr w14:val="tx1"/>
                  </w14:solidFill>
                </w14:textFill>
              </w:rPr>
            </w:pPr>
            <w:bookmarkStart w:id="5" w:name="_Hlk196494154"/>
            <w:r>
              <w:rPr>
                <w:rFonts w:hint="eastAsia" w:ascii="宋体" w:hAnsi="宋体" w:eastAsia="宋体" w:cs="宋体"/>
                <w:color w:val="000000" w:themeColor="text1"/>
                <w:sz w:val="21"/>
                <w:szCs w:val="21"/>
                <w:highlight w:val="none"/>
                <w:lang w:val="en-US" w:eastAsia="zh-CN"/>
                <w14:textFill>
                  <w14:solidFill>
                    <w14:schemeClr w14:val="tx1"/>
                  </w14:solidFill>
                </w14:textFill>
              </w:rPr>
              <w:t>1</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4539767">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地下室结构</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E41B6A">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发出开工令之日起</w:t>
            </w:r>
            <w:r>
              <w:rPr>
                <w:rFonts w:hint="eastAsia" w:ascii="宋体" w:hAnsi="宋体" w:eastAsia="宋体" w:cs="宋体"/>
                <w:color w:val="000000" w:themeColor="text1"/>
                <w:sz w:val="21"/>
                <w:szCs w:val="21"/>
                <w:highlight w:val="none"/>
                <w:lang w:val="en-US" w:eastAsia="zh-CN"/>
                <w14:textFill>
                  <w14:solidFill>
                    <w14:schemeClr w14:val="tx1"/>
                  </w14:solidFill>
                </w14:textFill>
              </w:rPr>
              <w:t>330</w:t>
            </w:r>
            <w:r>
              <w:rPr>
                <w:rFonts w:hint="eastAsia" w:ascii="宋体" w:hAnsi="宋体" w:eastAsia="宋体" w:cs="宋体"/>
                <w:color w:val="000000" w:themeColor="text1"/>
                <w:sz w:val="21"/>
                <w:szCs w:val="21"/>
                <w:highlight w:val="none"/>
                <w14:textFill>
                  <w14:solidFill>
                    <w14:schemeClr w14:val="tx1"/>
                  </w14:solidFill>
                </w14:textFill>
              </w:rPr>
              <w:t>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AFC98E9">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根据施工进度调整</w:t>
            </w:r>
          </w:p>
        </w:tc>
      </w:tr>
      <w:tr w14:paraId="669DCFF7">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52E88F7">
            <w:pPr>
              <w:spacing w:before="0" w:after="0" w:line="360" w:lineRule="auto"/>
              <w:jc w:val="center"/>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2</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49310A">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主体结构</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3EB2725">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发出开工令之日起</w:t>
            </w:r>
            <w:r>
              <w:rPr>
                <w:rFonts w:hint="eastAsia" w:ascii="宋体" w:hAnsi="宋体" w:eastAsia="宋体" w:cs="宋体"/>
                <w:color w:val="000000" w:themeColor="text1"/>
                <w:sz w:val="21"/>
                <w:szCs w:val="21"/>
                <w:highlight w:val="none"/>
                <w:lang w:val="en-US" w:eastAsia="zh-CN"/>
                <w14:textFill>
                  <w14:solidFill>
                    <w14:schemeClr w14:val="tx1"/>
                  </w14:solidFill>
                </w14:textFill>
              </w:rPr>
              <w:t>570</w:t>
            </w:r>
            <w:r>
              <w:rPr>
                <w:rFonts w:hint="eastAsia" w:ascii="宋体" w:hAnsi="宋体" w:eastAsia="宋体" w:cs="宋体"/>
                <w:color w:val="000000" w:themeColor="text1"/>
                <w:sz w:val="21"/>
                <w:szCs w:val="21"/>
                <w:highlight w:val="none"/>
                <w14:textFill>
                  <w14:solidFill>
                    <w14:schemeClr w14:val="tx1"/>
                  </w14:solidFill>
                </w14:textFill>
              </w:rPr>
              <w:t>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F49A078">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根据施工进度调整</w:t>
            </w:r>
          </w:p>
        </w:tc>
      </w:tr>
      <w:tr w14:paraId="69332E8C">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12B3CE1">
            <w:pPr>
              <w:spacing w:before="0" w:after="0" w:line="360" w:lineRule="auto"/>
              <w:jc w:val="center"/>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3</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2CB33D8">
            <w:pPr>
              <w:spacing w:before="0" w:after="0" w:line="360" w:lineRule="auto"/>
              <w:jc w:val="center"/>
              <w:rPr>
                <w:rFonts w:hint="default"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竣工验收</w:t>
            </w:r>
            <w:r>
              <w:rPr>
                <w:rFonts w:hint="eastAsia" w:ascii="宋体" w:hAnsi="宋体" w:eastAsia="宋体" w:cs="宋体"/>
                <w:color w:val="000000" w:themeColor="text1"/>
                <w:sz w:val="21"/>
                <w:szCs w:val="21"/>
                <w:highlight w:val="none"/>
                <w:lang w:val="en-US" w:eastAsia="zh-CN"/>
                <w14:textFill>
                  <w14:solidFill>
                    <w14:schemeClr w14:val="tx1"/>
                  </w14:solidFill>
                </w14:textFill>
              </w:rPr>
              <w:t>及交付</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890B07A">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发出开工令之日起</w:t>
            </w:r>
            <w:r>
              <w:rPr>
                <w:rFonts w:hint="eastAsia" w:ascii="宋体" w:hAnsi="宋体" w:eastAsia="宋体" w:cs="宋体"/>
                <w:color w:val="000000" w:themeColor="text1"/>
                <w:sz w:val="21"/>
                <w:szCs w:val="21"/>
                <w:highlight w:val="none"/>
                <w:lang w:val="en-US" w:eastAsia="zh-CN"/>
                <w14:textFill>
                  <w14:solidFill>
                    <w14:schemeClr w14:val="tx1"/>
                  </w14:solidFill>
                </w14:textFill>
              </w:rPr>
              <w:t>913</w:t>
            </w:r>
            <w:r>
              <w:rPr>
                <w:rFonts w:hint="eastAsia" w:ascii="宋体" w:hAnsi="宋体" w:eastAsia="宋体" w:cs="宋体"/>
                <w:color w:val="000000" w:themeColor="text1"/>
                <w:sz w:val="21"/>
                <w:szCs w:val="21"/>
                <w:highlight w:val="none"/>
                <w14:textFill>
                  <w14:solidFill>
                    <w14:schemeClr w14:val="tx1"/>
                  </w14:solidFill>
                </w14:textFill>
              </w:rPr>
              <w:t>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1CEE4FB">
            <w:pPr>
              <w:spacing w:before="0" w:after="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根据单位工程完成办理竣工验收</w:t>
            </w:r>
          </w:p>
        </w:tc>
      </w:tr>
      <w:bookmarkEnd w:id="5"/>
    </w:tbl>
    <w:p w14:paraId="6B8DA7FE">
      <w:pPr>
        <w:snapToGrid/>
        <w:spacing w:before="0" w:after="0" w:line="360" w:lineRule="auto"/>
        <w:ind w:right="11" w:firstLine="385"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1"/>
          <w:szCs w:val="21"/>
          <w:highlight w:val="none"/>
          <w14:textFill>
            <w14:solidFill>
              <w14:schemeClr w14:val="tx1"/>
            </w14:solidFill>
          </w14:textFill>
        </w:rPr>
        <w:t>注：设计进度以满足施工要求为准。</w:t>
      </w:r>
    </w:p>
    <w:p w14:paraId="3472B422">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4、质量目标</w:t>
      </w:r>
    </w:p>
    <w:p w14:paraId="2F7555BE">
      <w:pPr>
        <w:pStyle w:val="3"/>
        <w:ind w:firstLine="480" w:firstLineChars="200"/>
        <w:rPr>
          <w:rFonts w:hint="eastAsia" w:ascii="宋体" w:hAnsi="宋体" w:cs="宋体"/>
          <w:color w:val="000000" w:themeColor="text1"/>
          <w:sz w:val="24"/>
          <w:szCs w:val="24"/>
          <w:highlight w:val="none"/>
          <w14:textFill>
            <w14:solidFill>
              <w14:schemeClr w14:val="tx1"/>
            </w14:solidFill>
          </w14:textFill>
        </w:rPr>
      </w:pPr>
      <w:r>
        <w:rPr>
          <w:rFonts w:ascii="宋体" w:hAnsi="宋体" w:cs="宋体"/>
          <w:color w:val="000000" w:themeColor="text1"/>
          <w:sz w:val="24"/>
          <w:szCs w:val="24"/>
          <w:highlight w:val="none"/>
          <w14:textFill>
            <w14:solidFill>
              <w14:schemeClr w14:val="tx1"/>
            </w14:solidFill>
          </w14:textFill>
        </w:rPr>
        <w:t>4.</w:t>
      </w:r>
      <w:r>
        <w:rPr>
          <w:rFonts w:hint="eastAsia" w:ascii="宋体" w:hAnsi="宋体" w:cs="宋体"/>
          <w:color w:val="000000" w:themeColor="text1"/>
          <w:sz w:val="24"/>
          <w:szCs w:val="24"/>
          <w:highlight w:val="none"/>
          <w14:textFill>
            <w14:solidFill>
              <w14:schemeClr w14:val="tx1"/>
            </w14:solidFill>
          </w14:textFill>
        </w:rPr>
        <w:t xml:space="preserve">1 </w:t>
      </w:r>
      <w:r>
        <w:rPr>
          <w:rFonts w:ascii="宋体" w:hAnsi="宋体" w:cs="宋体"/>
          <w:color w:val="000000" w:themeColor="text1"/>
          <w:sz w:val="24"/>
          <w:szCs w:val="24"/>
          <w:highlight w:val="none"/>
          <w14:textFill>
            <w14:solidFill>
              <w14:schemeClr w14:val="tx1"/>
            </w14:solidFill>
          </w14:textFill>
        </w:rPr>
        <w:t>BIM技术应用：</w:t>
      </w:r>
      <w:r>
        <w:rPr>
          <w:rFonts w:hint="eastAsia" w:ascii="宋体" w:hAnsi="宋体" w:cs="宋体"/>
          <w:color w:val="000000" w:themeColor="text1"/>
          <w:sz w:val="24"/>
          <w:szCs w:val="24"/>
          <w:highlight w:val="none"/>
          <w14:textFill>
            <w14:solidFill>
              <w14:schemeClr w14:val="tx1"/>
            </w14:solidFill>
          </w14:textFill>
        </w:rPr>
        <w:t>利用</w:t>
      </w:r>
      <w:r>
        <w:rPr>
          <w:rFonts w:ascii="宋体" w:hAnsi="宋体" w:cs="宋体"/>
          <w:color w:val="000000" w:themeColor="text1"/>
          <w:sz w:val="24"/>
          <w:szCs w:val="24"/>
          <w:highlight w:val="none"/>
          <w14:textFill>
            <w14:solidFill>
              <w14:schemeClr w14:val="tx1"/>
            </w14:solidFill>
          </w14:textFill>
        </w:rPr>
        <w:t>BIM技术进行正向设计与建模、施工实施、造价管理及相关协调配合</w:t>
      </w:r>
      <w:r>
        <w:rPr>
          <w:rFonts w:hint="eastAsia" w:ascii="宋体" w:hAnsi="宋体" w:cs="宋体"/>
          <w:color w:val="000000" w:themeColor="text1"/>
          <w:sz w:val="24"/>
          <w:szCs w:val="24"/>
          <w:highlight w:val="none"/>
          <w14:textFill>
            <w14:solidFill>
              <w14:schemeClr w14:val="tx1"/>
            </w14:solidFill>
          </w14:textFill>
        </w:rPr>
        <w:t>，BIM模型交付深度应满足广州市BIM、CIM相关标准要求</w:t>
      </w:r>
      <w:r>
        <w:rPr>
          <w:rFonts w:ascii="宋体" w:hAnsi="宋体" w:cs="宋体"/>
          <w:color w:val="000000" w:themeColor="text1"/>
          <w:sz w:val="24"/>
          <w:szCs w:val="24"/>
          <w:highlight w:val="none"/>
          <w14:textFill>
            <w14:solidFill>
              <w14:schemeClr w14:val="tx1"/>
            </w14:solidFill>
          </w14:textFill>
        </w:rPr>
        <w:t>。</w:t>
      </w:r>
    </w:p>
    <w:p w14:paraId="43672840">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4.2工程质量标准和要求（施工质量及项目成效目标）：分部工程验收合格率</w:t>
      </w:r>
      <w:r>
        <w:rPr>
          <w:rFonts w:ascii="宋体" w:hAnsi="宋体" w:cs="宋体"/>
          <w:color w:val="000000" w:themeColor="text1"/>
          <w:szCs w:val="24"/>
          <w:highlight w:val="none"/>
          <w14:textFill>
            <w14:solidFill>
              <w14:schemeClr w14:val="tx1"/>
            </w14:solidFill>
          </w14:textFill>
        </w:rPr>
        <w:t>100%，项目所涉及的政府专项验收全部通过，单位工程一次竣工验收合格，质量等级评定优良。</w:t>
      </w:r>
    </w:p>
    <w:p w14:paraId="677FEB00">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ascii="宋体" w:hAnsi="宋体" w:cs="宋体"/>
          <w:color w:val="000000" w:themeColor="text1"/>
          <w:szCs w:val="24"/>
          <w:highlight w:val="none"/>
          <w14:textFill>
            <w14:solidFill>
              <w14:schemeClr w14:val="tx1"/>
            </w14:solidFill>
          </w14:textFill>
        </w:rPr>
        <w:t>4.</w:t>
      </w:r>
      <w:r>
        <w:rPr>
          <w:rFonts w:hint="eastAsia" w:ascii="宋体" w:hAnsi="宋体" w:cs="宋体"/>
          <w:color w:val="000000" w:themeColor="text1"/>
          <w:szCs w:val="24"/>
          <w:highlight w:val="none"/>
          <w14:textFill>
            <w14:solidFill>
              <w14:schemeClr w14:val="tx1"/>
            </w14:solidFill>
          </w14:textFill>
        </w:rPr>
        <w:t>3绿色建筑建设目标：本项目内绿色建筑不应低于国标</w:t>
      </w:r>
      <w:r>
        <w:rPr>
          <w:rFonts w:ascii="宋体" w:hAnsi="宋体" w:cs="宋体"/>
          <w:color w:val="000000" w:themeColor="text1"/>
          <w:szCs w:val="24"/>
          <w:highlight w:val="none"/>
          <w14:textFill>
            <w14:solidFill>
              <w14:schemeClr w14:val="tx1"/>
            </w14:solidFill>
          </w14:textFill>
        </w:rPr>
        <w:t>《绿色建筑评价标准》GB/T50378-2019（2024修订版）二星级标准。（项目内需要执行绿色建筑相关要求的楼栋以初步设计审批结果为准）。</w:t>
      </w:r>
    </w:p>
    <w:p w14:paraId="31675157">
      <w:pPr>
        <w:ind w:firstLine="480" w:firstLineChars="200"/>
        <w:rPr>
          <w:rFonts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4装配式建筑要求：满足《广州市城中村改造项目改造主体工作评估实施细则》对本项目的要求。</w:t>
      </w:r>
      <w:r>
        <w:rPr>
          <w:rFonts w:hint="eastAsia" w:ascii="宋体" w:hAnsi="宋体" w:eastAsia="宋体" w:cs="宋体"/>
          <w:color w:val="000000" w:themeColor="text1"/>
          <w:sz w:val="24"/>
          <w:szCs w:val="24"/>
          <w14:textFill>
            <w14:solidFill>
              <w14:schemeClr w14:val="tx1"/>
            </w14:solidFill>
          </w14:textFill>
        </w:rPr>
        <w:t>住宅项目至少满足广东省《装配式建筑评价标准》（</w:t>
      </w:r>
      <w:r>
        <w:rPr>
          <w:rFonts w:ascii="宋体" w:hAnsi="宋体" w:eastAsia="宋体" w:cs="宋体"/>
          <w:color w:val="000000" w:themeColor="text1"/>
          <w:sz w:val="24"/>
          <w:szCs w:val="24"/>
          <w14:textFill>
            <w14:solidFill>
              <w14:schemeClr w14:val="tx1"/>
            </w14:solidFill>
          </w14:textFill>
        </w:rPr>
        <w:t>DBJ/T15-163-2019）</w:t>
      </w:r>
      <w:r>
        <w:rPr>
          <w:rFonts w:hint="eastAsia" w:ascii="宋体" w:hAnsi="宋体" w:eastAsia="宋体" w:cs="宋体"/>
          <w:color w:val="000000" w:themeColor="text1"/>
          <w:sz w:val="24"/>
          <w:szCs w:val="24"/>
          <w14:textFill>
            <w14:solidFill>
              <w14:schemeClr w14:val="tx1"/>
            </w14:solidFill>
          </w14:textFill>
        </w:rPr>
        <w:t>A</w:t>
      </w:r>
      <w:r>
        <w:rPr>
          <w:rFonts w:ascii="宋体" w:hAnsi="宋体" w:eastAsia="宋体" w:cs="宋体"/>
          <w:color w:val="000000" w:themeColor="text1"/>
          <w:sz w:val="24"/>
          <w:szCs w:val="24"/>
          <w14:textFill>
            <w14:solidFill>
              <w14:schemeClr w14:val="tx1"/>
            </w14:solidFill>
          </w14:textFill>
        </w:rPr>
        <w:t>级或者广州市《装配式建筑评价标准》（DB4401/T 151—2022）</w:t>
      </w:r>
      <w:r>
        <w:rPr>
          <w:rFonts w:hint="eastAsia" w:ascii="宋体" w:hAnsi="宋体" w:eastAsia="宋体" w:cs="宋体"/>
          <w:color w:val="000000" w:themeColor="text1"/>
          <w:sz w:val="24"/>
          <w:szCs w:val="24"/>
          <w14:textFill>
            <w14:solidFill>
              <w14:schemeClr w14:val="tx1"/>
            </w14:solidFill>
          </w14:textFill>
        </w:rPr>
        <w:t>A</w:t>
      </w:r>
      <w:r>
        <w:rPr>
          <w:rFonts w:ascii="宋体" w:hAnsi="宋体" w:eastAsia="宋体" w:cs="宋体"/>
          <w:color w:val="000000" w:themeColor="text1"/>
          <w:sz w:val="24"/>
          <w:szCs w:val="24"/>
          <w14:textFill>
            <w14:solidFill>
              <w14:schemeClr w14:val="tx1"/>
            </w14:solidFill>
          </w14:textFill>
        </w:rPr>
        <w:t>级的要求</w:t>
      </w:r>
      <w:r>
        <w:rPr>
          <w:rFonts w:hint="eastAsia" w:ascii="宋体" w:hAnsi="宋体" w:eastAsia="宋体" w:cs="宋体"/>
          <w:color w:val="000000" w:themeColor="text1"/>
          <w:sz w:val="24"/>
          <w:szCs w:val="24"/>
          <w:highlight w:val="none"/>
          <w14:textFill>
            <w14:solidFill>
              <w14:schemeClr w14:val="tx1"/>
            </w14:solidFill>
          </w14:textFill>
        </w:rPr>
        <w:t>。</w:t>
      </w:r>
    </w:p>
    <w:p w14:paraId="4656CB0C">
      <w:pPr>
        <w:ind w:firstLine="480" w:firstLineChars="200"/>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4.5其他发包人根据《广州市城中村改造项目改造主体工作评估实施细则(试行)》的通知（穗建前期〔2025〕158号）制定的相关要求。</w:t>
      </w:r>
    </w:p>
    <w:p w14:paraId="63A8577C">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五、创优目标：</w:t>
      </w:r>
    </w:p>
    <w:p w14:paraId="4C312AEE">
      <w:pPr>
        <w:pStyle w:val="23"/>
        <w:snapToGrid/>
        <w:ind w:left="0" w:leftChars="0" w:firstLine="480" w:firstLineChars="200"/>
        <w:jc w:val="both"/>
        <w:rPr>
          <w:rFonts w:hint="default" w:ascii="宋体" w:hAnsi="宋体" w:eastAsia="宋体" w:cs="宋体"/>
          <w:color w:val="000000" w:themeColor="text1"/>
          <w:szCs w:val="24"/>
          <w:highlight w:val="none"/>
          <w:lang w:val="en-US" w:eastAsia="zh-CN"/>
          <w14:textFill>
            <w14:solidFill>
              <w14:schemeClr w14:val="tx1"/>
            </w14:solidFill>
          </w14:textFill>
        </w:rPr>
      </w:pPr>
      <w:r>
        <w:rPr>
          <w:rFonts w:ascii="宋体" w:hAnsi="宋体" w:cs="宋体"/>
          <w:color w:val="000000" w:themeColor="text1"/>
          <w:szCs w:val="24"/>
          <w:highlight w:val="none"/>
          <w14:textFill>
            <w14:solidFill>
              <w14:schemeClr w14:val="tx1"/>
            </w14:solidFill>
          </w14:textFill>
        </w:rPr>
        <w:t>5.</w:t>
      </w:r>
      <w:r>
        <w:rPr>
          <w:rFonts w:hint="eastAsia" w:ascii="宋体" w:hAnsi="宋体" w:cs="宋体"/>
          <w:color w:val="000000" w:themeColor="text1"/>
          <w:szCs w:val="24"/>
          <w:highlight w:val="none"/>
          <w14:textFill>
            <w14:solidFill>
              <w14:schemeClr w14:val="tx1"/>
            </w14:solidFill>
          </w14:textFill>
        </w:rPr>
        <w:t>1确保获得广东省建设工程优质奖或广东省建设工程金匠奖</w:t>
      </w:r>
      <w:r>
        <w:rPr>
          <w:rFonts w:hint="eastAsia" w:ascii="宋体" w:hAnsi="宋体" w:cs="宋体"/>
          <w:color w:val="000000" w:themeColor="text1"/>
          <w:szCs w:val="24"/>
          <w:highlight w:val="none"/>
          <w:lang w:eastAsia="zh-CN"/>
          <w14:textFill>
            <w14:solidFill>
              <w14:schemeClr w14:val="tx1"/>
            </w14:solidFill>
          </w14:textFill>
        </w:rPr>
        <w:t>，</w:t>
      </w:r>
      <w:r>
        <w:rPr>
          <w:rFonts w:hint="eastAsia" w:ascii="宋体" w:hAnsi="宋体" w:cs="宋体"/>
          <w:color w:val="000000" w:themeColor="text1"/>
          <w:szCs w:val="24"/>
          <w:highlight w:val="none"/>
          <w:lang w:val="en-US" w:eastAsia="zh-CN"/>
          <w14:textFill>
            <w14:solidFill>
              <w14:schemeClr w14:val="tx1"/>
            </w14:solidFill>
          </w14:textFill>
        </w:rPr>
        <w:t>为达到创优目标所产生的一切相关费用已包含在投标总价中，不再另行计取。</w:t>
      </w:r>
    </w:p>
    <w:p w14:paraId="1548C21B">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六</w:t>
      </w:r>
      <w:r>
        <w:rPr>
          <w:rFonts w:ascii="宋体" w:hAnsi="宋体" w:eastAsia="宋体" w:cs="宋体"/>
          <w:b w:val="0"/>
          <w:bCs w:val="0"/>
          <w:snapToGrid w:val="0"/>
          <w:color w:val="000000" w:themeColor="text1"/>
          <w:kern w:val="0"/>
          <w:sz w:val="24"/>
          <w:szCs w:val="24"/>
          <w:highlight w:val="none"/>
          <w14:textFill>
            <w14:solidFill>
              <w14:schemeClr w14:val="tx1"/>
            </w14:solidFill>
          </w14:textFill>
        </w:rPr>
        <w:t>、创文明工地目标：</w:t>
      </w:r>
    </w:p>
    <w:p w14:paraId="234B50E4">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 xml:space="preserve"> 市级安全文明绿色施工样板工地；</w:t>
      </w:r>
    </w:p>
    <w:p w14:paraId="1B6AEE75">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sym w:font="Wingdings 2" w:char="F052"/>
      </w:r>
      <w:r>
        <w:rPr>
          <w:rFonts w:ascii="宋体" w:hAnsi="宋体" w:cs="宋体"/>
          <w:color w:val="000000" w:themeColor="text1"/>
          <w:szCs w:val="24"/>
          <w:highlight w:val="none"/>
          <w14:textFill>
            <w14:solidFill>
              <w14:schemeClr w14:val="tx1"/>
            </w14:solidFill>
          </w14:textFill>
        </w:rPr>
        <w:t xml:space="preserve"> 省级安全文明示范工地；</w:t>
      </w:r>
    </w:p>
    <w:p w14:paraId="704AB7BF">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bookmarkStart w:id="6" w:name="OLE_LINK16"/>
      <w:r>
        <w:rPr>
          <w:rFonts w:hint="eastAsia" w:ascii="宋体" w:hAnsi="宋体" w:cs="宋体"/>
          <w:color w:val="000000" w:themeColor="text1"/>
          <w:szCs w:val="24"/>
          <w:highlight w:val="none"/>
          <w14:textFill>
            <w14:solidFill>
              <w14:schemeClr w14:val="tx1"/>
            </w14:solidFill>
          </w14:textFill>
        </w:rPr>
        <w:t>□</w:t>
      </w:r>
      <w:bookmarkEnd w:id="6"/>
      <w:r>
        <w:rPr>
          <w:rFonts w:ascii="宋体" w:hAnsi="宋体" w:cs="宋体"/>
          <w:color w:val="000000" w:themeColor="text1"/>
          <w:szCs w:val="24"/>
          <w:highlight w:val="none"/>
          <w14:textFill>
            <w14:solidFill>
              <w14:schemeClr w14:val="tx1"/>
            </w14:solidFill>
          </w14:textFill>
        </w:rPr>
        <w:t xml:space="preserve"> 国家级安全文明工地；</w:t>
      </w:r>
    </w:p>
    <w:p w14:paraId="7D7811E5">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 xml:space="preserve"> 广州市建筑业绿色施工示范工程；</w:t>
      </w:r>
    </w:p>
    <w:p w14:paraId="0253739C">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 xml:space="preserve"> 广东省建筑业绿色施工示范工程；</w:t>
      </w:r>
    </w:p>
    <w:p w14:paraId="5686CD0F">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 xml:space="preserve"> 全国建筑业绿色施工示范工程；</w:t>
      </w:r>
    </w:p>
    <w:p w14:paraId="0C75AACC">
      <w:pPr>
        <w:pStyle w:val="23"/>
        <w:snapToGrid/>
        <w:ind w:left="0" w:leftChars="0" w:firstLine="480" w:firstLineChars="200"/>
        <w:jc w:val="both"/>
        <w:rPr>
          <w:rFonts w:hint="eastAsia" w:ascii="宋体" w:hAnsi="宋体" w:cs="宋体"/>
          <w:strike/>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 xml:space="preserve"> </w:t>
      </w:r>
      <w:r>
        <w:rPr>
          <w:rFonts w:hint="eastAsia" w:ascii="宋体" w:hAnsi="宋体" w:cs="宋体"/>
          <w:color w:val="000000" w:themeColor="text1"/>
          <w:szCs w:val="24"/>
          <w:highlight w:val="none"/>
          <w14:textFill>
            <w14:solidFill>
              <w14:schemeClr w14:val="tx1"/>
            </w14:solidFill>
          </w14:textFill>
        </w:rPr>
        <w:t>其它：/</w:t>
      </w:r>
      <w:r>
        <w:rPr>
          <w:rFonts w:hint="eastAsia" w:ascii="宋体" w:hAnsi="宋体" w:cs="宋体"/>
          <w:strike/>
          <w:color w:val="000000" w:themeColor="text1"/>
          <w:szCs w:val="24"/>
          <w:highlight w:val="none"/>
          <w14:textFill>
            <w14:solidFill>
              <w14:schemeClr w14:val="tx1"/>
            </w14:solidFill>
          </w14:textFill>
        </w:rPr>
        <w:t xml:space="preserve"> </w:t>
      </w:r>
    </w:p>
    <w:p w14:paraId="690CFEA6">
      <w:pPr>
        <w:pStyle w:val="23"/>
        <w:snapToGrid/>
        <w:ind w:left="0" w:leftChars="0" w:firstLine="480" w:firstLineChars="200"/>
        <w:jc w:val="both"/>
        <w:rPr>
          <w:rFonts w:hint="default" w:ascii="宋体" w:hAnsi="宋体" w:cs="宋体"/>
          <w:color w:val="000000" w:themeColor="text1"/>
          <w:szCs w:val="24"/>
          <w:highlight w:val="none"/>
          <w:lang w:val="en-US" w:eastAsia="zh-CN"/>
          <w14:textFill>
            <w14:solidFill>
              <w14:schemeClr w14:val="tx1"/>
            </w14:solidFill>
          </w14:textFill>
        </w:rPr>
      </w:pPr>
      <w:r>
        <w:rPr>
          <w:rFonts w:hint="eastAsia" w:ascii="宋体" w:hAnsi="宋体" w:cs="宋体"/>
          <w:color w:val="000000" w:themeColor="text1"/>
          <w:szCs w:val="24"/>
          <w:highlight w:val="none"/>
          <w:lang w:val="en-US" w:eastAsia="zh-CN"/>
          <w14:textFill>
            <w14:solidFill>
              <w14:schemeClr w14:val="tx1"/>
            </w14:solidFill>
          </w14:textFill>
        </w:rPr>
        <w:t>为达到创优目标所产生的一切相关费用已包含在投标总价中，不再另行计取。</w:t>
      </w:r>
    </w:p>
    <w:p w14:paraId="1925FF45">
      <w:pPr>
        <w:pStyle w:val="6"/>
        <w:keepNext w:val="0"/>
        <w:keepLines w:val="0"/>
        <w:widowControl/>
        <w:snapToGrid/>
        <w:spacing w:line="360" w:lineRule="auto"/>
        <w:rPr>
          <w:rFonts w:hint="eastAsia" w:ascii="宋体" w:hAnsi="宋体" w:eastAsia="宋体" w:cs="宋体"/>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七、职业健康安全管理目标和环境管理目标</w:t>
      </w:r>
    </w:p>
    <w:p w14:paraId="61BEC584">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ascii="宋体" w:hAnsi="宋体" w:cs="宋体"/>
          <w:color w:val="000000" w:themeColor="text1"/>
          <w:szCs w:val="24"/>
          <w:highlight w:val="none"/>
          <w14:textFill>
            <w14:solidFill>
              <w14:schemeClr w14:val="tx1"/>
            </w14:solidFill>
          </w14:textFill>
        </w:rPr>
        <w:t>7.1职业健康安全管理目标：</w:t>
      </w:r>
    </w:p>
    <w:p w14:paraId="6EAC55C8">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1）杜绝发生一般事故等级及以上的伤亡事故且工伤责任事故死亡人数为零。</w:t>
      </w:r>
    </w:p>
    <w:p w14:paraId="6463CB05">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Fonts w:ascii="宋体" w:hAnsi="宋体" w:cs="宋体"/>
          <w:color w:val="000000" w:themeColor="text1"/>
          <w:szCs w:val="24"/>
          <w:highlight w:val="none"/>
          <w14:textFill>
            <w14:solidFill>
              <w14:schemeClr w14:val="tx1"/>
            </w14:solidFill>
          </w14:textFill>
        </w:rPr>
        <w:t>2）切实做好疫情防控工作，及时有效采取各项防控措施，提高疫情防控能力，严格落实防疫“四早”原则，确保建设项目不发生疫情，杜绝疫情扩散感染。</w:t>
      </w:r>
    </w:p>
    <w:p w14:paraId="63707846">
      <w:pPr>
        <w:pStyle w:val="23"/>
        <w:snapToGrid/>
        <w:ind w:left="0" w:leftChars="0" w:firstLine="480" w:firstLineChars="200"/>
        <w:jc w:val="both"/>
        <w:rPr>
          <w:rFonts w:hint="eastAsia" w:ascii="宋体" w:hAnsi="宋体" w:cs="宋体"/>
          <w:color w:val="000000" w:themeColor="text1"/>
          <w:szCs w:val="24"/>
          <w:highlight w:val="none"/>
          <w14:textFill>
            <w14:solidFill>
              <w14:schemeClr w14:val="tx1"/>
            </w14:solidFill>
          </w14:textFill>
        </w:rPr>
      </w:pPr>
      <w:r>
        <w:rPr>
          <w:rFonts w:ascii="宋体" w:hAnsi="宋体" w:cs="宋体"/>
          <w:color w:val="000000" w:themeColor="text1"/>
          <w:szCs w:val="24"/>
          <w:highlight w:val="none"/>
          <w14:textFill>
            <w14:solidFill>
              <w14:schemeClr w14:val="tx1"/>
            </w14:solidFill>
          </w14:textFill>
        </w:rPr>
        <w:t>7.2环境管理目标：</w:t>
      </w:r>
    </w:p>
    <w:p w14:paraId="6CC30020">
      <w:pPr>
        <w:pStyle w:val="23"/>
        <w:snapToGrid/>
        <w:ind w:left="0" w:leftChars="0" w:firstLine="480" w:firstLineChars="200"/>
        <w:jc w:val="both"/>
        <w:rPr>
          <w:rFonts w:hint="eastAsia" w:ascii="宋体" w:hAnsi="宋体" w:cs="宋体"/>
          <w:b/>
          <w:bCs/>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严格执行《广州市建设工程现场文明施工管理办法》（穗建质〔</w:t>
      </w:r>
      <w:r>
        <w:rPr>
          <w:rFonts w:ascii="宋体" w:hAnsi="宋体" w:cs="宋体"/>
          <w:color w:val="000000" w:themeColor="text1"/>
          <w:szCs w:val="24"/>
          <w:highlight w:val="none"/>
          <w14:textFill>
            <w14:solidFill>
              <w14:schemeClr w14:val="tx1"/>
            </w14:solidFill>
          </w14:textFill>
        </w:rPr>
        <w:t>2008〕937号）、《关于进一步规范建设工程施工现场围蔽的通知》（穗建质〔2008〕1008号）、《广州市住房和城乡建设局等8部门关于印发广州市建设工程扬尘防治“6个100%”管理标准图集（V2.0版）的通知》和《广州市住房和城乡建设局等9部门关于印发广州市建设工程绿色施工围蔽指导图集（V2.0版）的通知 》（穗建质〔2020〕1号）等，杜绝环境破坏、环境污染和水体</w:t>
      </w:r>
      <w:r>
        <w:rPr>
          <w:rFonts w:hint="eastAsia" w:ascii="宋体" w:hAnsi="宋体" w:cs="宋体"/>
          <w:color w:val="000000" w:themeColor="text1"/>
          <w:szCs w:val="24"/>
          <w:highlight w:val="none"/>
          <w14:textFill>
            <w14:solidFill>
              <w14:schemeClr w14:val="tx1"/>
            </w14:solidFill>
          </w14:textFill>
        </w:rPr>
        <w:t>污染事故等。</w:t>
      </w:r>
    </w:p>
    <w:p w14:paraId="0FE8BEA5">
      <w:pPr>
        <w:pStyle w:val="6"/>
        <w:keepNext w:val="0"/>
        <w:keepLines w:val="0"/>
        <w:widowControl/>
        <w:snapToGrid/>
        <w:spacing w:line="360" w:lineRule="auto"/>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八、投资控制（结算）目标</w:t>
      </w:r>
    </w:p>
    <w:p w14:paraId="6EE66C85">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投资控制目标：</w:t>
      </w:r>
      <w:r>
        <w:rPr>
          <w:rFonts w:hint="eastAsia" w:ascii="宋体" w:hAnsi="宋体" w:eastAsia="宋体" w:cs="宋体"/>
          <w:color w:val="000000" w:themeColor="text1"/>
          <w:spacing w:val="4"/>
          <w:sz w:val="21"/>
          <w:szCs w:val="21"/>
          <w:highlight w:val="none"/>
          <w14:textFill>
            <w14:solidFill>
              <w14:schemeClr w14:val="tx1"/>
            </w14:solidFill>
          </w14:textFill>
        </w:rPr>
        <w:t>详见合同条款。</w:t>
      </w:r>
    </w:p>
    <w:p w14:paraId="18DE2D72">
      <w:pPr>
        <w:pStyle w:val="24"/>
        <w:numPr>
          <w:ilvl w:val="255"/>
          <w:numId w:val="0"/>
        </w:numPr>
        <w:rPr>
          <w:rFonts w:hint="eastAsia" w:hAnsi="宋体" w:cs="宋体"/>
          <w:color w:val="000000" w:themeColor="text1"/>
          <w:spacing w:val="4"/>
          <w:szCs w:val="24"/>
          <w:highlight w:val="none"/>
          <w14:textFill>
            <w14:solidFill>
              <w14:schemeClr w14:val="tx1"/>
            </w14:solidFill>
          </w14:textFill>
        </w:rPr>
      </w:pPr>
      <w:r>
        <w:rPr>
          <w:rFonts w:hint="eastAsia" w:hAnsi="宋体" w:cs="宋体"/>
          <w:color w:val="000000" w:themeColor="text1"/>
          <w:spacing w:val="4"/>
          <w:szCs w:val="24"/>
          <w:highlight w:val="none"/>
          <w14:textFill>
            <w14:solidFill>
              <w14:schemeClr w14:val="tx1"/>
            </w14:solidFill>
          </w14:textFill>
        </w:rPr>
        <w:t>九、其他要求</w:t>
      </w:r>
    </w:p>
    <w:p w14:paraId="1E821D19">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详见合同条款。</w:t>
      </w:r>
    </w:p>
    <w:p w14:paraId="00A301C8">
      <w:pPr>
        <w:widowControl/>
        <w:snapToGrid/>
        <w:spacing w:before="0" w:after="0" w:line="240" w:lineRule="auto"/>
        <w:rPr>
          <w:rFonts w:hint="eastAsia" w:ascii="宋体" w:hAnsi="宋体" w:eastAsia="宋体" w:cs="宋体"/>
          <w:b/>
          <w:bCs/>
          <w:color w:val="000000" w:themeColor="text1"/>
          <w:sz w:val="48"/>
          <w:szCs w:val="48"/>
          <w:highlight w:val="none"/>
          <w14:textFill>
            <w14:solidFill>
              <w14:schemeClr w14:val="tx1"/>
            </w14:solidFill>
          </w14:textFill>
        </w:rPr>
      </w:pPr>
    </w:p>
    <w:p w14:paraId="088803E4">
      <w:pPr>
        <w:widowControl/>
        <w:snapToGrid/>
        <w:spacing w:before="0" w:after="0" w:line="240" w:lineRule="auto"/>
        <w:rPr>
          <w:rFonts w:hint="eastAsia" w:ascii="宋体" w:hAnsi="宋体" w:eastAsia="宋体" w:cs="宋体"/>
          <w:b/>
          <w:bCs/>
          <w:color w:val="000000" w:themeColor="text1"/>
          <w:sz w:val="48"/>
          <w:szCs w:val="48"/>
          <w:highlight w:val="none"/>
          <w14:textFill>
            <w14:solidFill>
              <w14:schemeClr w14:val="tx1"/>
            </w14:solidFill>
          </w14:textFill>
        </w:rPr>
      </w:pPr>
      <w:r>
        <w:rPr>
          <w:rFonts w:hint="eastAsia" w:ascii="宋体" w:hAnsi="宋体" w:eastAsia="宋体" w:cs="宋体"/>
          <w:b/>
          <w:bCs/>
          <w:color w:val="000000" w:themeColor="text1"/>
          <w:sz w:val="48"/>
          <w:szCs w:val="48"/>
          <w:highlight w:val="none"/>
          <w14:textFill>
            <w14:solidFill>
              <w14:schemeClr w14:val="tx1"/>
            </w14:solidFill>
          </w14:textFill>
        </w:rPr>
        <w:br w:type="page"/>
      </w:r>
    </w:p>
    <w:p w14:paraId="6509F813">
      <w:pPr>
        <w:widowControl/>
        <w:snapToGrid/>
        <w:spacing w:before="0" w:after="0" w:line="240" w:lineRule="auto"/>
        <w:jc w:val="center"/>
        <w:rPr>
          <w:rStyle w:val="157"/>
          <w:rFonts w:hint="eastAsia" w:ascii="宋体" w:hAnsi="宋体" w:eastAsia="宋体" w:cs="宋体"/>
          <w:color w:val="000000" w:themeColor="text1"/>
          <w:kern w:val="44"/>
          <w:sz w:val="36"/>
          <w:highlight w:val="none"/>
          <w14:textFill>
            <w14:solidFill>
              <w14:schemeClr w14:val="tx1"/>
            </w14:solidFill>
          </w14:textFill>
        </w:rPr>
      </w:pPr>
      <w:bookmarkStart w:id="7" w:name="_Toc4505"/>
      <w:bookmarkStart w:id="8" w:name="_Toc16781"/>
      <w:bookmarkStart w:id="9" w:name="_Toc104581783"/>
      <w:bookmarkStart w:id="10" w:name="_Toc30480"/>
      <w:bookmarkStart w:id="11" w:name="_Toc12402"/>
      <w:bookmarkStart w:id="12" w:name="_Toc101635937"/>
      <w:bookmarkStart w:id="13" w:name="_Toc62770032"/>
    </w:p>
    <w:p w14:paraId="4A7EE9B9">
      <w:pPr>
        <w:widowControl/>
        <w:snapToGrid/>
        <w:spacing w:before="0" w:after="0" w:line="240" w:lineRule="auto"/>
        <w:jc w:val="center"/>
        <w:outlineLvl w:val="0"/>
        <w:rPr>
          <w:rFonts w:hint="eastAsia" w:ascii="宋体" w:hAnsi="宋体" w:eastAsia="宋体" w:cs="宋体"/>
          <w:b/>
          <w:bCs/>
          <w:color w:val="000000" w:themeColor="text1"/>
          <w:sz w:val="48"/>
          <w:szCs w:val="48"/>
          <w:highlight w:val="none"/>
          <w14:textFill>
            <w14:solidFill>
              <w14:schemeClr w14:val="tx1"/>
            </w14:solidFill>
          </w14:textFill>
        </w:rPr>
      </w:pPr>
      <w:bookmarkStart w:id="14" w:name="_Toc3156"/>
      <w:r>
        <w:rPr>
          <w:rStyle w:val="157"/>
          <w:rFonts w:hint="eastAsia" w:ascii="宋体" w:hAnsi="宋体" w:eastAsia="宋体" w:cs="宋体"/>
          <w:color w:val="000000" w:themeColor="text1"/>
          <w:kern w:val="44"/>
          <w:sz w:val="36"/>
          <w:highlight w:val="none"/>
          <w14:textFill>
            <w14:solidFill>
              <w14:schemeClr w14:val="tx1"/>
            </w14:solidFill>
          </w14:textFill>
        </w:rPr>
        <w:t>第二部分 设计任务书</w:t>
      </w:r>
      <w:bookmarkEnd w:id="14"/>
    </w:p>
    <w:p w14:paraId="01D94743">
      <w:pPr>
        <w:rPr>
          <w:rFonts w:hint="eastAsia" w:ascii="宋体" w:hAnsi="宋体" w:eastAsia="宋体" w:cs="宋体"/>
          <w:b/>
          <w:bCs/>
          <w:color w:val="000000" w:themeColor="text1"/>
          <w:sz w:val="28"/>
          <w:szCs w:val="28"/>
          <w:highlight w:val="none"/>
          <w14:textFill>
            <w14:solidFill>
              <w14:schemeClr w14:val="tx1"/>
            </w14:solidFill>
          </w14:textFill>
        </w:rPr>
      </w:pPr>
      <w:bookmarkStart w:id="15" w:name="_Toc6321"/>
      <w:bookmarkStart w:id="16" w:name="_Toc96366259"/>
      <w:r>
        <w:rPr>
          <w:rFonts w:hint="eastAsia" w:ascii="宋体" w:hAnsi="宋体" w:eastAsia="宋体" w:cs="宋体"/>
          <w:b/>
          <w:bCs/>
          <w:color w:val="000000" w:themeColor="text1"/>
          <w:sz w:val="28"/>
          <w:szCs w:val="28"/>
          <w:highlight w:val="none"/>
          <w14:textFill>
            <w14:solidFill>
              <w14:schemeClr w14:val="tx1"/>
            </w14:solidFill>
          </w14:textFill>
        </w:rPr>
        <w:br w:type="page"/>
      </w:r>
    </w:p>
    <w:p w14:paraId="078F7BC8">
      <w:pPr>
        <w:jc w:val="center"/>
        <w:rPr>
          <w:rFonts w:hint="eastAsia" w:ascii="宋体" w:hAnsi="宋体" w:eastAsia="宋体" w:cs="宋体"/>
          <w:color w:val="000000" w:themeColor="text1"/>
          <w:sz w:val="32"/>
          <w:szCs w:val="32"/>
          <w:highlight w:val="none"/>
          <w14:textFill>
            <w14:solidFill>
              <w14:schemeClr w14:val="tx1"/>
            </w14:solidFill>
          </w14:textFill>
        </w:rPr>
      </w:pPr>
      <w:r>
        <w:rPr>
          <w:rFonts w:hint="eastAsia" w:ascii="宋体" w:hAnsi="宋体" w:eastAsia="宋体" w:cs="宋体"/>
          <w:b/>
          <w:bCs/>
          <w:color w:val="000000" w:themeColor="text1"/>
          <w:sz w:val="28"/>
          <w:szCs w:val="28"/>
          <w:highlight w:val="none"/>
          <w14:textFill>
            <w14:solidFill>
              <w14:schemeClr w14:val="tx1"/>
            </w14:solidFill>
          </w14:textFill>
        </w:rPr>
        <w:t>前言</w:t>
      </w:r>
    </w:p>
    <w:p w14:paraId="268C621B">
      <w:pPr>
        <w:rPr>
          <w:rFonts w:hint="eastAsia" w:ascii="宋体" w:hAnsi="宋体" w:eastAsia="宋体" w:cs="宋体"/>
          <w:color w:val="000000" w:themeColor="text1"/>
          <w:sz w:val="28"/>
          <w:szCs w:val="28"/>
          <w:highlight w:val="none"/>
          <w14:textFill>
            <w14:solidFill>
              <w14:schemeClr w14:val="tx1"/>
            </w14:solidFill>
          </w14:textFill>
        </w:rPr>
      </w:pPr>
    </w:p>
    <w:p w14:paraId="729C63F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本项目的建设目标和任务将紧紧围绕天河区元岗村城中村的改造，作为首开区的土地开发建设，先期开展配套市政道路及市政设施、安置区建设，解决元岗村居民拆迁安置及周边地块出行交通问题，为区域改造升级奠定基础。</w:t>
      </w:r>
    </w:p>
    <w:p w14:paraId="74B4C8B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设应坚持遵循安全可靠、经济实用、资源节约、环境友好和适度创新的原则，充分考虑安置村民的居住习惯和居住行为、住宅使用功能与空间的组合，以满足安置家庭的基本居住生活需求，合理确定套型结构。商业充分考虑其商业价值及其适用性。同时体现“以人为本”的设计原则，创造安全、方便、健康、紧凑、和谐的人居环境，并合理采用成熟可靠的新技术、新材料、新工艺，符合国家有关技术标准、规范，达到节地、节能、节水、节材和环境保护的目标要求。</w:t>
      </w:r>
    </w:p>
    <w:p w14:paraId="5685415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针对本项目建设地块内容较多、建设时间短的特点，从规范、合理、经济统一的角度出发编制了本设计任务书。</w:t>
      </w:r>
    </w:p>
    <w:p w14:paraId="5128823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17" w:name="_Hlk104657704"/>
      <w:r>
        <w:rPr>
          <w:rFonts w:hint="eastAsia" w:ascii="宋体" w:hAnsi="宋体" w:eastAsia="宋体" w:cs="宋体"/>
          <w:color w:val="000000" w:themeColor="text1"/>
          <w:sz w:val="24"/>
          <w:szCs w:val="24"/>
          <w:highlight w:val="none"/>
          <w14:textFill>
            <w14:solidFill>
              <w14:schemeClr w14:val="tx1"/>
            </w14:solidFill>
          </w14:textFill>
        </w:rPr>
        <w:t>本设计任务书的主要技术内容包括并不限于规划放线测量、房屋建筑设计、公建配套设计、基坑设计、人防设计、室外园林设计、市政工程设计、预算编制、树木保护等</w:t>
      </w:r>
      <w:bookmarkEnd w:id="17"/>
      <w:r>
        <w:rPr>
          <w:rFonts w:hint="eastAsia" w:ascii="宋体" w:hAnsi="宋体" w:eastAsia="宋体" w:cs="宋体"/>
          <w:color w:val="000000" w:themeColor="text1"/>
          <w:sz w:val="24"/>
          <w:szCs w:val="24"/>
          <w:highlight w:val="none"/>
          <w14:textFill>
            <w14:solidFill>
              <w14:schemeClr w14:val="tx1"/>
            </w14:solidFill>
          </w14:textFill>
        </w:rPr>
        <w:t>。</w:t>
      </w:r>
    </w:p>
    <w:p w14:paraId="4892B247">
      <w:pPr>
        <w:pStyle w:val="3"/>
        <w:ind w:firstLine="0" w:firstLineChars="0"/>
        <w:rPr>
          <w:color w:val="000000" w:themeColor="text1"/>
          <w:highlight w:val="none"/>
          <w14:textFill>
            <w14:solidFill>
              <w14:schemeClr w14:val="tx1"/>
            </w14:solidFill>
          </w14:textFill>
        </w:rPr>
        <w:sectPr>
          <w:footerReference r:id="rId5" w:type="default"/>
          <w:pgSz w:w="11906" w:h="16838"/>
          <w:pgMar w:top="1440" w:right="1440" w:bottom="1440" w:left="1440"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5B1D7DC2">
      <w:pPr>
        <w:pStyle w:val="2"/>
        <w:keepNext w:val="0"/>
        <w:keepLines w:val="0"/>
        <w:snapToGrid/>
        <w:spacing w:line="360" w:lineRule="auto"/>
        <w:rPr>
          <w:rFonts w:hint="eastAsia" w:ascii="宋体" w:hAnsi="宋体" w:eastAsia="宋体" w:cs="宋体"/>
          <w:color w:val="000000" w:themeColor="text1"/>
          <w:highlight w:val="none"/>
          <w14:textFill>
            <w14:solidFill>
              <w14:schemeClr w14:val="tx1"/>
            </w14:solidFill>
          </w14:textFill>
        </w:rPr>
      </w:pPr>
      <w:bookmarkStart w:id="18" w:name="_Toc104581690"/>
      <w:bookmarkStart w:id="19" w:name="_Toc21262"/>
      <w:bookmarkStart w:id="20" w:name="_Toc32485"/>
      <w:bookmarkStart w:id="21" w:name="_Toc29830"/>
      <w:bookmarkStart w:id="22" w:name="_Toc30685"/>
      <w:r>
        <w:rPr>
          <w:rFonts w:hint="eastAsia" w:ascii="宋体" w:hAnsi="宋体" w:eastAsia="宋体" w:cs="宋体"/>
          <w:color w:val="000000" w:themeColor="text1"/>
          <w:highlight w:val="none"/>
          <w14:textFill>
            <w14:solidFill>
              <w14:schemeClr w14:val="tx1"/>
            </w14:solidFill>
          </w14:textFill>
        </w:rPr>
        <w:t>一、总则</w:t>
      </w:r>
      <w:bookmarkEnd w:id="18"/>
      <w:bookmarkEnd w:id="19"/>
      <w:bookmarkEnd w:id="20"/>
      <w:bookmarkEnd w:id="21"/>
      <w:bookmarkEnd w:id="22"/>
    </w:p>
    <w:p w14:paraId="156E52B2">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23" w:name="_Toc2315"/>
      <w:bookmarkStart w:id="24" w:name="_Toc179860348"/>
      <w:bookmarkStart w:id="25" w:name="_Toc14339"/>
      <w:bookmarkStart w:id="26" w:name="_Toc25611"/>
      <w:bookmarkStart w:id="27" w:name="_Toc176925089"/>
      <w:bookmarkStart w:id="28" w:name="_Toc176857809"/>
      <w:bookmarkStart w:id="29" w:name="_Toc3764"/>
      <w:bookmarkStart w:id="30" w:name="_Toc104581691"/>
      <w:bookmarkStart w:id="31" w:name="_Toc176921258"/>
      <w:r>
        <w:rPr>
          <w:rFonts w:hint="eastAsia" w:ascii="宋体" w:hAnsi="宋体" w:eastAsia="宋体" w:cs="宋体"/>
          <w:color w:val="000000" w:themeColor="text1"/>
          <w:sz w:val="24"/>
          <w:szCs w:val="24"/>
          <w:highlight w:val="none"/>
          <w14:textFill>
            <w14:solidFill>
              <w14:schemeClr w14:val="tx1"/>
            </w14:solidFill>
          </w14:textFill>
        </w:rPr>
        <w:t>1.项目背景</w:t>
      </w:r>
      <w:bookmarkEnd w:id="23"/>
      <w:bookmarkEnd w:id="24"/>
      <w:bookmarkEnd w:id="25"/>
      <w:bookmarkEnd w:id="26"/>
      <w:bookmarkEnd w:id="27"/>
      <w:bookmarkEnd w:id="28"/>
      <w:bookmarkEnd w:id="29"/>
      <w:bookmarkEnd w:id="30"/>
      <w:bookmarkEnd w:id="31"/>
    </w:p>
    <w:p w14:paraId="44673AA0">
      <w:pPr>
        <w:pStyle w:val="24"/>
        <w:ind w:firstLine="480"/>
        <w:rPr>
          <w:rFonts w:hint="eastAsia" w:hAnsi="宋体" w:cs="宋体"/>
          <w:color w:val="000000" w:themeColor="text1"/>
          <w:szCs w:val="24"/>
          <w:highlight w:val="none"/>
          <w14:textFill>
            <w14:solidFill>
              <w14:schemeClr w14:val="tx1"/>
            </w14:solidFill>
          </w14:textFill>
        </w:rPr>
      </w:pPr>
      <w:bookmarkStart w:id="32" w:name="_Toc30341"/>
      <w:bookmarkStart w:id="33" w:name="_Toc31643"/>
      <w:bookmarkStart w:id="34" w:name="_Toc176921259"/>
      <w:bookmarkStart w:id="35" w:name="_Toc179860349"/>
      <w:bookmarkStart w:id="36" w:name="_Toc104581692"/>
      <w:bookmarkStart w:id="37" w:name="_Toc176925090"/>
      <w:bookmarkStart w:id="38" w:name="_Toc15284"/>
      <w:bookmarkStart w:id="39" w:name="_Toc176857810"/>
      <w:bookmarkStart w:id="40" w:name="_Toc3177"/>
      <w:r>
        <w:rPr>
          <w:rFonts w:hint="eastAsia" w:hAnsi="宋体" w:cs="宋体"/>
          <w:color w:val="000000" w:themeColor="text1"/>
          <w:szCs w:val="24"/>
          <w:highlight w:val="none"/>
          <w14:textFill>
            <w14:solidFill>
              <w14:schemeClr w14:val="tx1"/>
            </w14:solidFill>
          </w14:textFill>
        </w:rPr>
        <w:t>为落实《关于在超大特大城市积极稳步推进城中村改造的指导意见》，为积极稳步实施城中村改造，推动城市高质量发展，改善民生、扩大内需。《广州市城市更新专项规划》与《广州市城中村改造专项规划》强调加快实现广州“老城市新活力”,稳步有序推动高质量城市更新，以城中村综合治理改造作为盘活存量用地的突破口和关键点，坚持“拆、治、兴”并举，战略引领、规划先行，探索高质量发展新路径，建设宜居、韧性、智慧的现代化城市。2024年，广州市召开全市高质量发展大会，打好城中村改造攻坚战，出台改造条例，深入实施“依法征收、净地出让”新模式，加快重点片区改造。广州市政府工作报告提出：扎实推进，加快推进“一轴两岸、四片多点”城市品质提升。“推进建设琶洲智数创新区、环港科大(广州)创新区、环五山创新策源区和环中大、环大学城科技成果转化基地”。</w:t>
      </w:r>
    </w:p>
    <w:p w14:paraId="4740DC4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为融入广州市活力创新轴发展，强化环五山创新策源区原始创新创造的空间供给。《广州活力创新轴总体规划》提出发挥“环五山”高校群新材料、生物医药、信息技术专业优势，及在新能源汽车领域的人才培养优势，加快引入芯片、航空等装备智造、新能源汽车、生物医药等应用型研发机构，引导联合实验室、产业技术研究院等创新机构布局。强化“学校-企业”互动，重点深化科研设施周边1公里范围的嵌入式创新空间供给。鼓励环五山等片区积极结合城中村改造推进土地储备，加大低成本空间、孵化空间供给力度。</w:t>
      </w:r>
    </w:p>
    <w:p w14:paraId="1E50371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为围绕天河区建成中国式现代化典范城区的战略目标，奋力争当“大干十二年、再造新广州”排头兵、领头羊。重点围绕天河中央商务区、广州国际金融城、天河智慧城、天河智谷片区、环五山创新策源区、沙河片区、龙洞凤凰片区等七个重点发展片区，挖掘潜力发展空间，力争到2035年经济总量过万亿元。落实“123456”产业发展思路举措，充分发挥环五山创新策源区动力之源作用，助力实现建成中国式现代化典范城区的战略目标，奋力争当“大干十二年、再造新广州”排头兵、领头羊。</w:t>
      </w:r>
    </w:p>
    <w:p w14:paraId="065E1AE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元岗城中村改造是《环五山创新策源区“1+N”更新发展方案》确定的近期重点项目，新增一批科创产业空间，促进科技成果转化；结合天河客运站改造建设“环五山国际科创会展中心”；完善城市功能布局，改善环五山人居环境；供给保障性住房，优化教育医疗等公共配套；推动环五山建成“华南智芯·科创旗舰”,打造广州千亿级科创产业引擎与广州活力创新轴成果转化中枢。</w:t>
      </w:r>
    </w:p>
    <w:p w14:paraId="633B474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项目的建设目标和任务将紧紧围绕天河区元岗村首开区的改造强化地区的规划统筹，高位谋划、高标准设计，释放低效存量用地资源，链接华南国家植物园、龙眼洞森林公园、环五山高校群等关键节点，有力承载高校科研院所科技成果就地转化，促进天河区打造“产城园深度融合发展示范区”;同时全面提升城市人居环境品质，为高质量实现老城市新活力提供坚实支撑。</w:t>
      </w:r>
    </w:p>
    <w:p w14:paraId="7429E7BF">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2.设计任务书编制依据</w:t>
      </w:r>
      <w:bookmarkEnd w:id="32"/>
      <w:bookmarkEnd w:id="33"/>
      <w:bookmarkEnd w:id="34"/>
      <w:bookmarkEnd w:id="35"/>
      <w:bookmarkEnd w:id="36"/>
      <w:bookmarkEnd w:id="37"/>
      <w:bookmarkEnd w:id="38"/>
      <w:bookmarkEnd w:id="39"/>
      <w:bookmarkEnd w:id="40"/>
    </w:p>
    <w:p w14:paraId="06AC87BF">
      <w:pPr>
        <w:pStyle w:val="24"/>
        <w:ind w:firstLine="480"/>
        <w:rPr>
          <w:rFonts w:hint="eastAsia" w:hAnsi="宋体" w:cs="宋体"/>
          <w:color w:val="000000" w:themeColor="text1"/>
          <w:szCs w:val="24"/>
          <w:highlight w:val="none"/>
          <w14:textFill>
            <w14:solidFill>
              <w14:schemeClr w14:val="tx1"/>
            </w14:solidFill>
          </w14:textFill>
        </w:rPr>
      </w:pPr>
      <w:bookmarkStart w:id="41" w:name="_Toc7646"/>
      <w:bookmarkStart w:id="42" w:name="_Toc25375"/>
      <w:bookmarkStart w:id="43" w:name="_Toc15723"/>
      <w:bookmarkStart w:id="44" w:name="_Toc104581693"/>
      <w:r>
        <w:rPr>
          <w:rFonts w:hint="eastAsia" w:hAnsi="宋体" w:cs="宋体"/>
          <w:color w:val="000000" w:themeColor="text1"/>
          <w:szCs w:val="24"/>
          <w:highlight w:val="none"/>
          <w14:textFill>
            <w14:solidFill>
              <w14:schemeClr w14:val="tx1"/>
            </w14:solidFill>
          </w14:textFill>
        </w:rPr>
        <w:t>2.1  《广州市住房和城乡建设局关于天河区元岗村城中村改造方案的批复(穗建综建复〔2025〕28号)》</w:t>
      </w:r>
    </w:p>
    <w:p w14:paraId="23E05985">
      <w:pPr>
        <w:pStyle w:val="24"/>
        <w:ind w:firstLine="480"/>
        <w:rPr>
          <w:rFonts w:hint="eastAsia" w:hAnsi="宋体" w:cs="宋体"/>
          <w:strike/>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 天河区环五山创新策源区元岗村首开区控制性详细规划调整方案过程稿</w:t>
      </w:r>
    </w:p>
    <w:p w14:paraId="70D7007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2.3 国家及省市颁布的相关法律、法规、规定</w:t>
      </w:r>
    </w:p>
    <w:p w14:paraId="03396AB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2.4 《广州市城市规划管理技术标准与准则》—建筑工程规划管理篇/修建性详细规划篇/市政规划篇</w:t>
      </w:r>
    </w:p>
    <w:p w14:paraId="4CC08D3B">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2.5 《广州市城乡规划技术规定》</w:t>
      </w:r>
    </w:p>
    <w:p w14:paraId="11F6EF9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2.6《天河区元岗村城中村改造项目(首开区</w:t>
      </w:r>
      <w:r>
        <w:rPr>
          <w:rFonts w:hint="eastAsia" w:ascii="宋体" w:hAnsi="宋体" w:eastAsia="宋体" w:cs="宋体"/>
          <w:b w:val="0"/>
          <w:color w:val="000000" w:themeColor="text1"/>
          <w:sz w:val="24"/>
          <w:szCs w:val="24"/>
          <w:highlight w:val="none"/>
          <w14:textFill>
            <w14:solidFill>
              <w14:schemeClr w14:val="tx1"/>
            </w14:solidFill>
          </w14:textFill>
        </w:rPr>
        <w:t>AT0206023</w:t>
      </w:r>
      <w:r>
        <w:rPr>
          <w:rFonts w:hint="eastAsia" w:hAnsi="宋体" w:cs="宋体"/>
          <w:color w:val="000000" w:themeColor="text1"/>
          <w:szCs w:val="24"/>
          <w:highlight w:val="none"/>
          <w14:textFill>
            <w14:solidFill>
              <w14:schemeClr w14:val="tx1"/>
            </w14:solidFill>
          </w14:textFill>
        </w:rPr>
        <w:t xml:space="preserve"> 地块)可行性研究报告》</w:t>
      </w:r>
    </w:p>
    <w:p w14:paraId="49527EE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2.7《</w:t>
      </w:r>
      <w:r>
        <w:rPr>
          <w:rFonts w:hint="eastAsia" w:hAnsi="宋体" w:cs="宋体"/>
          <w:color w:val="000000" w:themeColor="text1"/>
          <w:szCs w:val="24"/>
          <w:highlight w:val="none"/>
          <w:lang w:eastAsia="zh-CN"/>
          <w14:textFill>
            <w14:solidFill>
              <w14:schemeClr w14:val="tx1"/>
            </w14:solidFill>
          </w14:textFill>
        </w:rPr>
        <w:t>AT0206023</w:t>
      </w:r>
      <w:r>
        <w:rPr>
          <w:rFonts w:hint="eastAsia" w:hAnsi="宋体" w:cs="宋体"/>
          <w:color w:val="000000" w:themeColor="text1"/>
          <w:szCs w:val="24"/>
          <w:highlight w:val="none"/>
          <w14:textFill>
            <w14:solidFill>
              <w14:schemeClr w14:val="tx1"/>
            </w14:solidFill>
          </w14:textFill>
        </w:rPr>
        <w:t xml:space="preserve"> 地块建设用地规划红线示意图》</w:t>
      </w:r>
    </w:p>
    <w:p w14:paraId="7CDC025E">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2.8《穗规划资源天函〔2024〕2567号关于提供环五山创新策源区元岗片区首期项目</w:t>
      </w:r>
      <w:r>
        <w:rPr>
          <w:rFonts w:hint="eastAsia" w:hAnsi="宋体" w:cs="宋体"/>
          <w:color w:val="000000" w:themeColor="text1"/>
          <w:szCs w:val="24"/>
          <w:highlight w:val="none"/>
          <w:lang w:eastAsia="zh-CN"/>
          <w14:textFill>
            <w14:solidFill>
              <w14:schemeClr w14:val="tx1"/>
            </w14:solidFill>
          </w14:textFill>
        </w:rPr>
        <w:t>AT0206023</w:t>
      </w:r>
      <w:r>
        <w:rPr>
          <w:rFonts w:hint="eastAsia" w:hAnsi="宋体" w:cs="宋体"/>
          <w:color w:val="000000" w:themeColor="text1"/>
          <w:szCs w:val="24"/>
          <w:highlight w:val="none"/>
          <w14:textFill>
            <w14:solidFill>
              <w14:schemeClr w14:val="tx1"/>
            </w14:solidFill>
          </w14:textFill>
        </w:rPr>
        <w:t>地块规划情况的函》</w:t>
      </w:r>
    </w:p>
    <w:p w14:paraId="1F53B9C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2.9各专业相关规范。</w:t>
      </w:r>
    </w:p>
    <w:p w14:paraId="6A0BA571">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3.规划条件</w:t>
      </w:r>
      <w:bookmarkEnd w:id="41"/>
      <w:bookmarkEnd w:id="42"/>
      <w:bookmarkEnd w:id="43"/>
      <w:bookmarkEnd w:id="44"/>
    </w:p>
    <w:p w14:paraId="5BD6D430">
      <w:pPr>
        <w:pStyle w:val="6"/>
        <w:tabs>
          <w:tab w:val="left" w:pos="284"/>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bookmarkStart w:id="45" w:name="_Toc179860351"/>
      <w:bookmarkStart w:id="46" w:name="_Toc176857812"/>
      <w:bookmarkStart w:id="47" w:name="_Toc18797"/>
      <w:bookmarkStart w:id="48" w:name="_Toc14493"/>
      <w:bookmarkStart w:id="49" w:name="_Toc364689934"/>
      <w:bookmarkStart w:id="50" w:name="_Toc145"/>
      <w:bookmarkStart w:id="51" w:name="_Toc23674965"/>
      <w:bookmarkStart w:id="52" w:name="_Toc176925092"/>
      <w:bookmarkStart w:id="53" w:name="_Toc104581694"/>
      <w:bookmarkStart w:id="54" w:name="_Toc176921261"/>
      <w:r>
        <w:rPr>
          <w:rFonts w:hint="eastAsia" w:ascii="宋体" w:hAnsi="宋体" w:eastAsia="宋体" w:cs="宋体"/>
          <w:color w:val="000000" w:themeColor="text1"/>
          <w:sz w:val="24"/>
          <w:szCs w:val="24"/>
          <w:highlight w:val="none"/>
          <w14:textFill>
            <w14:solidFill>
              <w14:schemeClr w14:val="tx1"/>
            </w14:solidFill>
          </w14:textFill>
        </w:rPr>
        <w:t>3.1项目概况</w:t>
      </w:r>
      <w:bookmarkEnd w:id="45"/>
      <w:bookmarkEnd w:id="46"/>
      <w:bookmarkEnd w:id="47"/>
      <w:bookmarkEnd w:id="48"/>
      <w:bookmarkEnd w:id="49"/>
      <w:bookmarkEnd w:id="50"/>
      <w:bookmarkEnd w:id="51"/>
      <w:bookmarkEnd w:id="52"/>
      <w:bookmarkEnd w:id="53"/>
      <w:bookmarkEnd w:id="54"/>
    </w:p>
    <w:p w14:paraId="5B97241B">
      <w:pPr>
        <w:pStyle w:val="24"/>
        <w:ind w:firstLine="480"/>
        <w:rPr>
          <w:rFonts w:hint="eastAsia" w:hAnsi="宋体" w:eastAsia="宋体" w:cs="宋体"/>
          <w:color w:val="000000" w:themeColor="text1"/>
          <w:szCs w:val="24"/>
          <w:highlight w:val="none"/>
          <w:lang w:eastAsia="zh-CN"/>
          <w14:textFill>
            <w14:solidFill>
              <w14:schemeClr w14:val="tx1"/>
            </w14:solidFill>
          </w14:textFill>
        </w:rPr>
      </w:pPr>
      <w:bookmarkStart w:id="55" w:name="_Hlk196571851"/>
      <w:r>
        <w:rPr>
          <w:rFonts w:hint="eastAsia" w:hAnsi="宋体" w:cs="宋体"/>
          <w:color w:val="000000" w:themeColor="text1"/>
          <w:szCs w:val="24"/>
          <w:highlight w:val="none"/>
          <w14:textFill>
            <w14:solidFill>
              <w14:schemeClr w14:val="tx1"/>
            </w14:solidFill>
          </w14:textFill>
        </w:rPr>
        <w:t>3.1.1 工程名称：</w:t>
      </w:r>
      <w:r>
        <w:rPr>
          <w:rFonts w:hint="eastAsia"/>
          <w:color w:val="000000" w:themeColor="text1"/>
          <w:highlight w:val="none"/>
          <w:lang w:eastAsia="zh-CN"/>
          <w14:textFill>
            <w14:solidFill>
              <w14:schemeClr w14:val="tx1"/>
            </w14:solidFill>
          </w14:textFill>
        </w:rPr>
        <w:t>天河区元岗村城中村改造项目AT0206023地块（即1号地块）施工图设计和施工总承包</w:t>
      </w:r>
    </w:p>
    <w:p w14:paraId="50510483">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3.1.2 工程位置：</w:t>
      </w:r>
      <w:bookmarkEnd w:id="55"/>
      <w:r>
        <w:rPr>
          <w:rFonts w:hint="eastAsia" w:ascii="宋体" w:hAnsi="宋体" w:eastAsia="宋体" w:cs="宋体"/>
          <w:color w:val="000000" w:themeColor="text1"/>
          <w:sz w:val="24"/>
          <w:szCs w:val="24"/>
          <w:highlight w:val="none"/>
          <w14:textFill>
            <w14:solidFill>
              <w14:schemeClr w14:val="tx1"/>
            </w14:solidFill>
          </w14:textFill>
        </w:rPr>
        <w:t>本项目位于天河区元岗</w:t>
      </w:r>
      <w:r>
        <w:rPr>
          <w:rFonts w:hint="eastAsia" w:ascii="宋体" w:hAnsi="宋体" w:eastAsia="宋体" w:cs="宋体"/>
          <w:color w:val="000000" w:themeColor="text1"/>
          <w:sz w:val="24"/>
          <w:szCs w:val="24"/>
          <w:highlight w:val="none"/>
          <w:lang w:val="en-US" w:eastAsia="zh-CN"/>
          <w14:textFill>
            <w14:solidFill>
              <w14:schemeClr w14:val="tx1"/>
            </w14:solidFill>
          </w14:textFill>
        </w:rPr>
        <w:t>路</w:t>
      </w:r>
      <w:r>
        <w:rPr>
          <w:rFonts w:hint="eastAsia"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东侧为空地（4号地块），南侧为元岗路，场地北侧、西侧为居民楼或者办公用房</w:t>
      </w:r>
      <w:r>
        <w:rPr>
          <w:rFonts w:hint="eastAsia" w:ascii="宋体" w:hAnsi="宋体" w:eastAsia="宋体" w:cs="宋体"/>
          <w:color w:val="000000" w:themeColor="text1"/>
          <w:sz w:val="24"/>
          <w:szCs w:val="24"/>
          <w:highlight w:val="none"/>
          <w14:textFill>
            <w14:solidFill>
              <w14:schemeClr w14:val="tx1"/>
            </w14:solidFill>
          </w14:textFill>
        </w:rPr>
        <w:t>。</w:t>
      </w:r>
    </w:p>
    <w:p w14:paraId="0522F837">
      <w:pPr>
        <w:pStyle w:val="24"/>
        <w:ind w:firstLine="480"/>
        <w:rPr>
          <w:rFonts w:hint="eastAsia" w:hAnsi="宋体" w:cs="宋体"/>
          <w:color w:val="000000" w:themeColor="text1"/>
          <w:szCs w:val="24"/>
          <w:highlight w:val="none"/>
          <w14:textFill>
            <w14:solidFill>
              <w14:schemeClr w14:val="tx1"/>
            </w14:solidFill>
          </w14:textFill>
        </w:rPr>
        <w:sectPr>
          <w:headerReference r:id="rId7" w:type="first"/>
          <w:headerReference r:id="rId6" w:type="default"/>
          <w:footerReference r:id="rId8" w:type="default"/>
          <w:pgSz w:w="11906" w:h="16838"/>
          <w:pgMar w:top="1440" w:right="1440" w:bottom="1440" w:left="1440" w:header="851" w:footer="992" w:gutter="0"/>
          <w:pgBorders>
            <w:top w:val="none" w:sz="0" w:space="0"/>
            <w:left w:val="none" w:sz="0" w:space="0"/>
            <w:bottom w:val="none" w:sz="0" w:space="0"/>
            <w:right w:val="none" w:sz="0" w:space="0"/>
          </w:pgBorders>
          <w:cols w:space="720" w:num="1"/>
          <w:docGrid w:type="lines" w:linePitch="312" w:charSpace="0"/>
        </w:sectPr>
      </w:pPr>
    </w:p>
    <w:p w14:paraId="2474185C">
      <w:pPr>
        <w:pStyle w:val="24"/>
        <w:ind w:firstLine="480"/>
        <w:rPr>
          <w:rFonts w:hint="eastAsia" w:hAnsi="宋体" w:cs="宋体"/>
          <w:color w:val="000000" w:themeColor="text1"/>
          <w:szCs w:val="24"/>
          <w:highlight w:val="none"/>
          <w14:textFill>
            <w14:solidFill>
              <w14:schemeClr w14:val="tx1"/>
            </w14:solidFill>
          </w14:textFill>
        </w:rPr>
      </w:pPr>
      <w:bookmarkStart w:id="56" w:name="_Toc104581695"/>
      <w:bookmarkStart w:id="57" w:name="_Toc27439"/>
      <w:bookmarkStart w:id="58" w:name="_Toc5944"/>
      <w:bookmarkStart w:id="59" w:name="_Toc11981"/>
      <w:r>
        <w:rPr>
          <w:rFonts w:hint="eastAsia" w:hAnsi="宋体" w:cs="宋体"/>
          <w:color w:val="000000" w:themeColor="text1"/>
          <w:szCs w:val="24"/>
          <w:highlight w:val="none"/>
          <w14:textFill>
            <w14:solidFill>
              <w14:schemeClr w14:val="tx1"/>
            </w14:solidFill>
          </w14:textFill>
        </w:rPr>
        <w:t>3.1.3 项目规模及标准：</w:t>
      </w:r>
    </w:p>
    <w:p w14:paraId="14D7393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总用地面积</w:t>
      </w:r>
      <w:r>
        <w:rPr>
          <w:rFonts w:hint="eastAsia" w:hAnsi="宋体" w:cs="宋体"/>
          <w:color w:val="000000" w:themeColor="text1"/>
          <w:szCs w:val="24"/>
          <w:highlight w:val="none"/>
          <w:lang w:eastAsia="zh"/>
          <w14:textFill>
            <w14:solidFill>
              <w14:schemeClr w14:val="tx1"/>
            </w14:solidFill>
          </w14:textFill>
          <w:woUserID w:val="0"/>
        </w:rPr>
        <w:t>18042.37</w:t>
      </w:r>
      <w:r>
        <w:rPr>
          <w:rFonts w:hint="eastAsia" w:hAnsi="宋体" w:cs="宋体"/>
          <w:color w:val="000000" w:themeColor="text1"/>
          <w:szCs w:val="24"/>
          <w:highlight w:val="none"/>
          <w14:textFill>
            <w14:solidFill>
              <w14:schemeClr w14:val="tx1"/>
            </w14:solidFill>
          </w14:textFill>
        </w:rPr>
        <w:t>平方米，其中可建设用地面积约为</w:t>
      </w:r>
      <w:r>
        <w:rPr>
          <w:rFonts w:hint="eastAsia" w:hAnsi="宋体" w:cs="宋体"/>
          <w:color w:val="000000" w:themeColor="text1"/>
          <w:szCs w:val="24"/>
          <w:highlight w:val="none"/>
          <w:lang w:eastAsia="zh"/>
          <w14:textFill>
            <w14:solidFill>
              <w14:schemeClr w14:val="tx1"/>
            </w14:solidFill>
          </w14:textFill>
          <w:woUserID w:val="0"/>
        </w:rPr>
        <w:t>14878.48</w:t>
      </w:r>
      <w:r>
        <w:rPr>
          <w:rFonts w:hint="eastAsia" w:hAnsi="宋体" w:cs="宋体"/>
          <w:color w:val="000000" w:themeColor="text1"/>
          <w:szCs w:val="24"/>
          <w:highlight w:val="none"/>
          <w14:textFill>
            <w14:solidFill>
              <w14:schemeClr w14:val="tx1"/>
            </w14:solidFill>
          </w14:textFill>
        </w:rPr>
        <w:t>平方米；道路用地面积</w:t>
      </w:r>
      <w:r>
        <w:rPr>
          <w:rFonts w:hint="eastAsia" w:hAnsi="宋体" w:cs="宋体"/>
          <w:color w:val="000000" w:themeColor="text1"/>
          <w:szCs w:val="24"/>
          <w:highlight w:val="none"/>
          <w:lang w:eastAsia="zh"/>
          <w14:textFill>
            <w14:solidFill>
              <w14:schemeClr w14:val="tx1"/>
            </w14:solidFill>
          </w14:textFill>
          <w:woUserID w:val="0"/>
        </w:rPr>
        <w:t>3163.89</w:t>
      </w:r>
      <w:r>
        <w:rPr>
          <w:rFonts w:hint="eastAsia" w:hAnsi="宋体" w:cs="宋体"/>
          <w:color w:val="000000" w:themeColor="text1"/>
          <w:szCs w:val="24"/>
          <w:highlight w:val="none"/>
          <w14:textFill>
            <w14:solidFill>
              <w14:schemeClr w14:val="tx1"/>
            </w14:solidFill>
          </w14:textFill>
        </w:rPr>
        <w:t>平方米。</w:t>
      </w:r>
    </w:p>
    <w:p w14:paraId="1FBBE5B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lang w:eastAsia="zh"/>
          <w14:textFill>
            <w14:solidFill>
              <w14:schemeClr w14:val="tx1"/>
            </w14:solidFill>
          </w14:textFill>
          <w:woUserID w:val="5"/>
        </w:rPr>
        <w:t>建设总建筑面积约89934.00㎡,其中住宅建筑面积约56042.14㎡，公建配套(含商业配套)建筑面积约6005.86㎡，架空层建筑面积约1450.00㎡，地下室建筑面积约25044.00㎡。（具体内容参考初步设计文件，实际以政府批复为准）。</w:t>
      </w:r>
    </w:p>
    <w:p w14:paraId="0668E11F">
      <w:pPr>
        <w:pStyle w:val="7"/>
        <w:numPr>
          <w:ilvl w:val="255"/>
          <w:numId w:val="0"/>
        </w:numPr>
        <w:rPr>
          <w:rFonts w:hint="eastAsia" w:ascii="宋体" w:hAnsi="宋体" w:cs="宋体"/>
          <w:color w:val="000000" w:themeColor="text1"/>
          <w:szCs w:val="24"/>
          <w:highlight w:val="none"/>
          <w14:textFill>
            <w14:solidFill>
              <w14:schemeClr w14:val="tx1"/>
            </w14:solidFill>
          </w14:textFill>
        </w:rPr>
      </w:pPr>
      <w:bookmarkStart w:id="60" w:name="OLE_LINK5"/>
      <w:r>
        <w:rPr>
          <w:rFonts w:hint="eastAsia"/>
          <w:color w:val="000000" w:themeColor="text1"/>
          <w:highlight w:val="none"/>
          <w14:textFill>
            <w14:solidFill>
              <w14:schemeClr w14:val="tx1"/>
            </w14:solidFill>
          </w14:textFill>
        </w:rPr>
        <w:t>天河区元岗村城中村改造项目</w:t>
      </w:r>
      <w:r>
        <w:rPr>
          <w:rFonts w:hint="eastAsia"/>
          <w:color w:val="000000" w:themeColor="text1"/>
          <w:highlight w:val="none"/>
          <w:lang w:eastAsia="zh-CN"/>
          <w14:textFill>
            <w14:solidFill>
              <w14:schemeClr w14:val="tx1"/>
            </w14:solidFill>
          </w14:textFill>
        </w:rPr>
        <w:t>AT0206023</w:t>
      </w:r>
      <w:r>
        <w:rPr>
          <w:rFonts w:hint="eastAsia"/>
          <w:color w:val="000000" w:themeColor="text1"/>
          <w:highlight w:val="none"/>
          <w14:textFill>
            <w14:solidFill>
              <w14:schemeClr w14:val="tx1"/>
            </w14:solidFill>
          </w14:textFill>
        </w:rPr>
        <w:t>地块</w:t>
      </w:r>
      <w:r>
        <w:rPr>
          <w:rFonts w:ascii="宋体" w:hAnsi="宋体" w:cs="宋体"/>
          <w:bCs/>
          <w:snapToGrid w:val="0"/>
          <w:color w:val="000000" w:themeColor="text1"/>
          <w:kern w:val="0"/>
          <w:szCs w:val="24"/>
          <w:highlight w:val="none"/>
          <w14:textFill>
            <w14:solidFill>
              <w14:schemeClr w14:val="tx1"/>
            </w14:solidFill>
          </w14:textFill>
        </w:rPr>
        <w:t>项目本次招标地块主要技术经济指标表</w:t>
      </w:r>
    </w:p>
    <w:bookmarkEnd w:id="60"/>
    <w:tbl>
      <w:tblPr>
        <w:tblStyle w:val="42"/>
        <w:tblW w:w="8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77"/>
        <w:gridCol w:w="3002"/>
        <w:gridCol w:w="681"/>
        <w:gridCol w:w="3995"/>
      </w:tblGrid>
      <w:tr w14:paraId="452F7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0911FD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序号</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A7FD3DF">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内容</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4EFFE8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单位</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603A72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本次招标地块数值</w:t>
            </w:r>
          </w:p>
        </w:tc>
      </w:tr>
      <w:tr w14:paraId="640CD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91C729E">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365FB9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总用地面积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A7130FC">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37113AE">
            <w:pPr>
              <w:spacing w:line="360" w:lineRule="auto"/>
              <w:jc w:val="center"/>
              <w:rPr>
                <w:rFonts w:hint="eastAsia" w:ascii="宋体" w:hAnsi="宋体" w:cs="宋体" w:eastAsiaTheme="minorEastAsia"/>
                <w:color w:val="000000" w:themeColor="text1"/>
                <w:sz w:val="21"/>
                <w:szCs w:val="21"/>
                <w:highlight w:val="none"/>
                <w:lang w:eastAsia="zh"/>
                <w14:textFill>
                  <w14:solidFill>
                    <w14:schemeClr w14:val="tx1"/>
                  </w14:solidFill>
                </w14:textFill>
              </w:rPr>
            </w:pPr>
            <w:r>
              <w:rPr>
                <w:rFonts w:hint="eastAsia" w:hAnsi="宋体" w:cs="宋体"/>
                <w:color w:val="000000" w:themeColor="text1"/>
                <w:szCs w:val="24"/>
                <w:highlight w:val="none"/>
                <w:lang w:eastAsia="zh"/>
                <w14:textFill>
                  <w14:solidFill>
                    <w14:schemeClr w14:val="tx1"/>
                  </w14:solidFill>
                </w14:textFill>
                <w:woUserID w:val="5"/>
              </w:rPr>
              <w:t>18042.37</w:t>
            </w:r>
          </w:p>
        </w:tc>
      </w:tr>
      <w:tr w14:paraId="57FBD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B71E56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B7B279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可建设用地面积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EA9BC8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0B201CC">
            <w:pPr>
              <w:spacing w:line="360" w:lineRule="auto"/>
              <w:jc w:val="center"/>
              <w:rPr>
                <w:rFonts w:hint="eastAsia" w:ascii="宋体" w:hAnsi="宋体" w:cs="宋体" w:eastAsiaTheme="minorEastAsia"/>
                <w:color w:val="000000" w:themeColor="text1"/>
                <w:sz w:val="21"/>
                <w:szCs w:val="21"/>
                <w:highlight w:val="none"/>
                <w:lang w:eastAsia="zh"/>
                <w14:textFill>
                  <w14:solidFill>
                    <w14:schemeClr w14:val="tx1"/>
                  </w14:solidFill>
                </w14:textFill>
              </w:rPr>
            </w:pPr>
            <w:r>
              <w:rPr>
                <w:rFonts w:hint="eastAsia" w:hAnsi="宋体" w:cs="宋体"/>
                <w:color w:val="000000" w:themeColor="text1"/>
                <w:szCs w:val="24"/>
                <w:highlight w:val="none"/>
                <w:lang w:eastAsia="zh"/>
                <w14:textFill>
                  <w14:solidFill>
                    <w14:schemeClr w14:val="tx1"/>
                  </w14:solidFill>
                </w14:textFill>
                <w:woUserID w:val="5"/>
              </w:rPr>
              <w:t>14878.48</w:t>
            </w:r>
          </w:p>
        </w:tc>
      </w:tr>
      <w:tr w14:paraId="4A968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restart"/>
            <w:tcBorders>
              <w:top w:val="single" w:color="auto" w:sz="4" w:space="0"/>
              <w:left w:val="single" w:color="auto" w:sz="4" w:space="0"/>
              <w:right w:val="single" w:color="auto" w:sz="4" w:space="0"/>
            </w:tcBorders>
            <w:shd w:val="clear" w:color="auto" w:fill="auto"/>
            <w:tcMar>
              <w:top w:w="15" w:type="dxa"/>
              <w:left w:w="15" w:type="dxa"/>
              <w:right w:w="15" w:type="dxa"/>
            </w:tcMar>
            <w:vAlign w:val="center"/>
          </w:tcPr>
          <w:p w14:paraId="730250CE">
            <w:pPr>
              <w:widowControl/>
              <w:tabs>
                <w:tab w:val="left" w:pos="202"/>
              </w:tabs>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其中</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AE2F27C">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建筑基底面积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F7D5E6F">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79C8490">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4165.97</w:t>
            </w:r>
          </w:p>
        </w:tc>
      </w:tr>
      <w:tr w14:paraId="734F5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right w:val="single" w:color="auto" w:sz="4" w:space="0"/>
            </w:tcBorders>
            <w:shd w:val="clear" w:color="auto" w:fill="auto"/>
            <w:tcMar>
              <w:top w:w="15" w:type="dxa"/>
              <w:left w:w="15" w:type="dxa"/>
              <w:right w:w="15" w:type="dxa"/>
            </w:tcMar>
            <w:vAlign w:val="center"/>
          </w:tcPr>
          <w:p w14:paraId="0C397F1E">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4CE563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绿地面积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ACDB420">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084020C">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5207.47</w:t>
            </w:r>
          </w:p>
        </w:tc>
      </w:tr>
      <w:tr w14:paraId="7CCDF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right w:val="single" w:color="auto" w:sz="4" w:space="0"/>
            </w:tcBorders>
            <w:shd w:val="clear" w:color="auto" w:fill="auto"/>
            <w:tcMar>
              <w:top w:w="15" w:type="dxa"/>
              <w:left w:w="15" w:type="dxa"/>
              <w:right w:w="15" w:type="dxa"/>
            </w:tcMar>
            <w:vAlign w:val="center"/>
          </w:tcPr>
          <w:p w14:paraId="460AE32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AB85F0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道路及广场面积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E21600F">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296F9E5">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3163.89</w:t>
            </w:r>
          </w:p>
        </w:tc>
      </w:tr>
      <w:tr w14:paraId="3CDB7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4655C65">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F9631FC">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地面停车场面积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008593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B53E740">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0</w:t>
            </w:r>
          </w:p>
        </w:tc>
      </w:tr>
      <w:tr w14:paraId="1148E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9C9F6B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40B7F7C">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总建筑面积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826952F">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B35FD72">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89934</w:t>
            </w:r>
          </w:p>
        </w:tc>
      </w:tr>
      <w:tr w14:paraId="45F1C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41E3608">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60BA22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地上建筑面积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757A1EF">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7EC0E6A">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60770</w:t>
            </w:r>
          </w:p>
        </w:tc>
      </w:tr>
      <w:tr w14:paraId="1F1E1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restart"/>
            <w:tcBorders>
              <w:top w:val="single" w:color="auto" w:sz="4" w:space="0"/>
              <w:left w:val="single" w:color="auto" w:sz="4" w:space="0"/>
              <w:right w:val="single" w:color="auto" w:sz="4" w:space="0"/>
            </w:tcBorders>
            <w:shd w:val="clear" w:color="auto" w:fill="auto"/>
            <w:tcMar>
              <w:top w:w="15" w:type="dxa"/>
              <w:left w:w="15" w:type="dxa"/>
              <w:right w:w="15" w:type="dxa"/>
            </w:tcMar>
            <w:vAlign w:val="center"/>
          </w:tcPr>
          <w:p w14:paraId="66ACCE3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其中</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E6F3D97">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C9A932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C08FAF9">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56042.14</w:t>
            </w:r>
          </w:p>
        </w:tc>
      </w:tr>
      <w:tr w14:paraId="399B4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right w:val="single" w:color="auto" w:sz="4" w:space="0"/>
            </w:tcBorders>
            <w:shd w:val="clear" w:color="auto" w:fill="auto"/>
            <w:tcMar>
              <w:top w:w="15" w:type="dxa"/>
              <w:left w:w="15" w:type="dxa"/>
              <w:right w:w="15" w:type="dxa"/>
            </w:tcMar>
            <w:vAlign w:val="center"/>
          </w:tcPr>
          <w:p w14:paraId="5FEA414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8D6A47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公建配套(含商业配套)</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D70767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AC8C084">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6005.86</w:t>
            </w:r>
          </w:p>
        </w:tc>
      </w:tr>
      <w:tr w14:paraId="7E7A7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419862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23B4D65">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架空层面积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814F86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7896F2A">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1450</w:t>
            </w:r>
          </w:p>
        </w:tc>
      </w:tr>
      <w:tr w14:paraId="525F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AD42EF6">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2.2</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91A72E6">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6B6D21A">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EA6DC54">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25044</w:t>
            </w:r>
          </w:p>
        </w:tc>
      </w:tr>
      <w:tr w14:paraId="77F8E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E448DC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700785E">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8167CE7">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1C259B8">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25044</w:t>
            </w:r>
          </w:p>
        </w:tc>
      </w:tr>
      <w:tr w14:paraId="16306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2442D8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C939CA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计容建筑面积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5ECF81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EF5C917">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62490</w:t>
            </w:r>
          </w:p>
        </w:tc>
      </w:tr>
      <w:tr w14:paraId="4F7E9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B33E875">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169BCD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建筑密度</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07EC3B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A266F0A">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28.0%</w:t>
            </w:r>
          </w:p>
        </w:tc>
      </w:tr>
      <w:tr w14:paraId="01A1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5980A1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4C762C0">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绿地率</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024568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D17B5AF">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35.0%</w:t>
            </w:r>
          </w:p>
        </w:tc>
      </w:tr>
      <w:tr w14:paraId="35FB4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6ACABB5">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944209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综合容积率</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5A3EE8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D0222BB">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woUserID w:val="5"/>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4.2</w:t>
            </w:r>
          </w:p>
        </w:tc>
      </w:tr>
      <w:tr w14:paraId="46A8E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3A77E4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7</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BA5082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机动车停车位</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5373C4E">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泊</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3113848">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614</w:t>
            </w:r>
          </w:p>
        </w:tc>
      </w:tr>
      <w:tr w14:paraId="232E4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7E464D5">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FFD289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非机动车停车位</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E0A908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泊</w:t>
            </w:r>
          </w:p>
          <w:p w14:paraId="56567D81">
            <w:pPr>
              <w:rPr>
                <w:rFonts w:hint="eastAsia"/>
                <w:color w:val="000000" w:themeColor="text1"/>
                <w:highlight w:val="none"/>
                <w14:textFill>
                  <w14:solidFill>
                    <w14:schemeClr w14:val="tx1"/>
                  </w14:solidFill>
                </w14:textFill>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F199322">
            <w:pPr>
              <w:spacing w:line="360" w:lineRule="auto"/>
              <w:jc w:val="center"/>
              <w:rPr>
                <w:rFonts w:hint="eastAsia" w:ascii="宋体" w:hAnsi="宋体" w:eastAsia="宋体" w:cs="宋体"/>
                <w:color w:val="000000" w:themeColor="text1"/>
                <w:sz w:val="21"/>
                <w:szCs w:val="21"/>
                <w:highlight w:val="none"/>
                <w:lang w:eastAsia="zh"/>
                <w14:textFill>
                  <w14:solidFill>
                    <w14:schemeClr w14:val="tx1"/>
                  </w14:solidFill>
                </w14:textFill>
              </w:rPr>
            </w:pPr>
            <w:r>
              <w:rPr>
                <w:rFonts w:hint="eastAsia" w:ascii="宋体" w:hAnsi="宋体" w:eastAsia="宋体" w:cs="宋体"/>
                <w:color w:val="000000" w:themeColor="text1"/>
                <w:sz w:val="21"/>
                <w:szCs w:val="21"/>
                <w:highlight w:val="none"/>
                <w:lang w:eastAsia="zh"/>
                <w14:textFill>
                  <w14:solidFill>
                    <w14:schemeClr w14:val="tx1"/>
                  </w14:solidFill>
                </w14:textFill>
                <w:woUserID w:val="5"/>
              </w:rPr>
              <w:t>625</w:t>
            </w:r>
          </w:p>
        </w:tc>
      </w:tr>
    </w:tbl>
    <w:p w14:paraId="427151DF">
      <w:pPr>
        <w:pStyle w:val="24"/>
        <w:ind w:firstLine="420"/>
        <w:rPr>
          <w:rFonts w:hint="eastAsia" w:hAnsi="宋体" w:cs="宋体"/>
          <w:color w:val="000000" w:themeColor="text1"/>
          <w:sz w:val="21"/>
          <w:szCs w:val="21"/>
          <w:highlight w:val="none"/>
          <w14:textFill>
            <w14:solidFill>
              <w14:schemeClr w14:val="tx1"/>
            </w14:solidFill>
          </w14:textFill>
        </w:rPr>
      </w:pPr>
      <w:r>
        <w:rPr>
          <w:rFonts w:hint="eastAsia" w:hAnsi="宋体" w:cs="宋体"/>
          <w:color w:val="000000" w:themeColor="text1"/>
          <w:sz w:val="21"/>
          <w:szCs w:val="21"/>
          <w:highlight w:val="none"/>
          <w14:textFill>
            <w14:solidFill>
              <w14:schemeClr w14:val="tx1"/>
            </w14:solidFill>
          </w14:textFill>
        </w:rPr>
        <w:t>备注：以通过规划部门审批的文件为准。</w:t>
      </w:r>
    </w:p>
    <w:bookmarkEnd w:id="56"/>
    <w:bookmarkEnd w:id="57"/>
    <w:bookmarkEnd w:id="58"/>
    <w:bookmarkEnd w:id="59"/>
    <w:p w14:paraId="105EB5C0">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3.1.4 资金来源：本项目资金来源拟通过申请城中村专项借款及企业自筹资金予以解决。</w:t>
      </w:r>
    </w:p>
    <w:p w14:paraId="1C6F432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3.1.5 投资估算：本次招标范围，</w:t>
      </w:r>
      <w:r>
        <w:rPr>
          <w:rFonts w:hAnsi="宋体" w:cs="宋体"/>
          <w:color w:val="000000" w:themeColor="text1"/>
          <w:szCs w:val="24"/>
          <w:highlight w:val="none"/>
          <w:u w:val="single"/>
          <w14:textFill>
            <w14:solidFill>
              <w14:schemeClr w14:val="tx1"/>
            </w14:solidFill>
          </w14:textFill>
        </w:rPr>
        <w:t>项目可研批准估算总投资</w:t>
      </w:r>
      <w:r>
        <w:rPr>
          <w:rFonts w:hint="eastAsia" w:hAnsi="宋体" w:cs="宋体"/>
          <w:color w:val="000000" w:themeColor="text1"/>
          <w:szCs w:val="24"/>
          <w:highlight w:val="none"/>
          <w:u w:val="single"/>
          <w:lang w:eastAsia="zh-CN"/>
          <w14:textFill>
            <w14:solidFill>
              <w14:schemeClr w14:val="tx1"/>
            </w14:solidFill>
          </w14:textFill>
        </w:rPr>
        <w:t>1</w:t>
      </w:r>
      <w:r>
        <w:rPr>
          <w:rFonts w:hint="eastAsia" w:hAnsi="宋体" w:cs="宋体"/>
          <w:color w:val="000000" w:themeColor="text1"/>
          <w:szCs w:val="24"/>
          <w:highlight w:val="none"/>
          <w:u w:val="single"/>
          <w:lang w:val="en-US" w:eastAsia="zh-CN"/>
          <w14:textFill>
            <w14:solidFill>
              <w14:schemeClr w14:val="tx1"/>
            </w14:solidFill>
          </w14:textFill>
        </w:rPr>
        <w:t>09276</w:t>
      </w:r>
      <w:r>
        <w:rPr>
          <w:rFonts w:hAnsi="宋体" w:cs="宋体"/>
          <w:color w:val="000000" w:themeColor="text1"/>
          <w:szCs w:val="24"/>
          <w:highlight w:val="none"/>
          <w:u w:val="single"/>
          <w14:textFill>
            <w14:solidFill>
              <w14:schemeClr w14:val="tx1"/>
            </w14:solidFill>
          </w14:textFill>
        </w:rPr>
        <w:t>万元，包含工程费用</w:t>
      </w:r>
      <w:r>
        <w:rPr>
          <w:rFonts w:hint="eastAsia" w:hAnsi="宋体" w:cs="宋体"/>
          <w:color w:val="000000" w:themeColor="text1"/>
          <w:szCs w:val="24"/>
          <w:highlight w:val="none"/>
          <w:u w:val="single"/>
          <w:lang w:eastAsia="zh-CN"/>
          <w14:textFill>
            <w14:solidFill>
              <w14:schemeClr w14:val="tx1"/>
            </w14:solidFill>
          </w14:textFill>
        </w:rPr>
        <w:t>4</w:t>
      </w:r>
      <w:r>
        <w:rPr>
          <w:rFonts w:hint="eastAsia" w:hAnsi="宋体" w:cs="宋体"/>
          <w:color w:val="000000" w:themeColor="text1"/>
          <w:szCs w:val="24"/>
          <w:highlight w:val="none"/>
          <w:u w:val="single"/>
          <w:lang w:val="en-US" w:eastAsia="zh-CN"/>
          <w14:textFill>
            <w14:solidFill>
              <w14:schemeClr w14:val="tx1"/>
            </w14:solidFill>
          </w14:textFill>
        </w:rPr>
        <w:t>4209</w:t>
      </w:r>
      <w:r>
        <w:rPr>
          <w:rFonts w:hAnsi="宋体" w:cs="宋体"/>
          <w:color w:val="000000" w:themeColor="text1"/>
          <w:szCs w:val="24"/>
          <w:highlight w:val="none"/>
          <w:u w:val="single"/>
          <w14:textFill>
            <w14:solidFill>
              <w14:schemeClr w14:val="tx1"/>
            </w14:solidFill>
          </w14:textFill>
        </w:rPr>
        <w:t>万元、工程建设其他费用</w:t>
      </w:r>
      <w:r>
        <w:rPr>
          <w:rFonts w:hint="eastAsia" w:hAnsi="宋体" w:cs="宋体"/>
          <w:color w:val="000000" w:themeColor="text1"/>
          <w:szCs w:val="24"/>
          <w:highlight w:val="none"/>
          <w:u w:val="single"/>
          <w:lang w:eastAsia="zh-CN"/>
          <w14:textFill>
            <w14:solidFill>
              <w14:schemeClr w14:val="tx1"/>
            </w14:solidFill>
          </w14:textFill>
        </w:rPr>
        <w:t>4</w:t>
      </w:r>
      <w:r>
        <w:rPr>
          <w:rFonts w:hint="eastAsia" w:hAnsi="宋体" w:cs="宋体"/>
          <w:color w:val="000000" w:themeColor="text1"/>
          <w:szCs w:val="24"/>
          <w:highlight w:val="none"/>
          <w:u w:val="single"/>
          <w:lang w:val="en-US" w:eastAsia="zh-CN"/>
          <w14:textFill>
            <w14:solidFill>
              <w14:schemeClr w14:val="tx1"/>
            </w14:solidFill>
          </w14:textFill>
        </w:rPr>
        <w:t>6055</w:t>
      </w:r>
      <w:r>
        <w:rPr>
          <w:rFonts w:hAnsi="宋体" w:cs="宋体"/>
          <w:color w:val="000000" w:themeColor="text1"/>
          <w:szCs w:val="24"/>
          <w:highlight w:val="none"/>
          <w:u w:val="single"/>
          <w14:textFill>
            <w14:solidFill>
              <w14:schemeClr w14:val="tx1"/>
            </w14:solidFill>
          </w14:textFill>
        </w:rPr>
        <w:t>万元（其中建设用地费</w:t>
      </w:r>
      <w:r>
        <w:rPr>
          <w:rFonts w:hint="eastAsia" w:hAnsi="宋体" w:cs="宋体"/>
          <w:color w:val="000000" w:themeColor="text1"/>
          <w:szCs w:val="24"/>
          <w:highlight w:val="none"/>
          <w:u w:val="single"/>
          <w:lang w:eastAsia="zh-CN"/>
          <w14:textFill>
            <w14:solidFill>
              <w14:schemeClr w14:val="tx1"/>
            </w14:solidFill>
          </w14:textFill>
        </w:rPr>
        <w:t>3</w:t>
      </w:r>
      <w:r>
        <w:rPr>
          <w:rFonts w:hint="eastAsia" w:hAnsi="宋体" w:cs="宋体"/>
          <w:color w:val="000000" w:themeColor="text1"/>
          <w:szCs w:val="24"/>
          <w:highlight w:val="none"/>
          <w:u w:val="single"/>
          <w:lang w:val="en-US" w:eastAsia="zh-CN"/>
          <w14:textFill>
            <w14:solidFill>
              <w14:schemeClr w14:val="tx1"/>
            </w14:solidFill>
          </w14:textFill>
        </w:rPr>
        <w:t>8956</w:t>
      </w:r>
      <w:r>
        <w:rPr>
          <w:rFonts w:hAnsi="宋体" w:cs="宋体"/>
          <w:color w:val="000000" w:themeColor="text1"/>
          <w:szCs w:val="24"/>
          <w:highlight w:val="none"/>
          <w:u w:val="single"/>
          <w14:textFill>
            <w14:solidFill>
              <w14:schemeClr w14:val="tx1"/>
            </w14:solidFill>
          </w14:textFill>
        </w:rPr>
        <w:t>万元）、预备费</w:t>
      </w:r>
      <w:r>
        <w:rPr>
          <w:rFonts w:hint="eastAsia" w:hAnsi="宋体" w:cs="宋体"/>
          <w:color w:val="000000" w:themeColor="text1"/>
          <w:szCs w:val="24"/>
          <w:highlight w:val="none"/>
          <w:u w:val="single"/>
          <w:lang w:eastAsia="zh-CN"/>
          <w14:textFill>
            <w14:solidFill>
              <w14:schemeClr w14:val="tx1"/>
            </w14:solidFill>
          </w14:textFill>
        </w:rPr>
        <w:t>2</w:t>
      </w:r>
      <w:r>
        <w:rPr>
          <w:rFonts w:hint="eastAsia" w:hAnsi="宋体" w:cs="宋体"/>
          <w:color w:val="000000" w:themeColor="text1"/>
          <w:szCs w:val="24"/>
          <w:highlight w:val="none"/>
          <w:u w:val="single"/>
          <w:lang w:val="en-US" w:eastAsia="zh-CN"/>
          <w14:textFill>
            <w14:solidFill>
              <w14:schemeClr w14:val="tx1"/>
            </w14:solidFill>
          </w14:textFill>
        </w:rPr>
        <w:t>565</w:t>
      </w:r>
      <w:r>
        <w:rPr>
          <w:rFonts w:hAnsi="宋体" w:cs="宋体"/>
          <w:color w:val="000000" w:themeColor="text1"/>
          <w:szCs w:val="24"/>
          <w:highlight w:val="none"/>
          <w:u w:val="single"/>
          <w14:textFill>
            <w14:solidFill>
              <w14:schemeClr w14:val="tx1"/>
            </w14:solidFill>
          </w14:textFill>
        </w:rPr>
        <w:t>万元。</w:t>
      </w:r>
    </w:p>
    <w:p w14:paraId="736FA55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3.1.6项目建设单位：广州环五山创新策源区元岗城市更新有限公司。</w:t>
      </w:r>
    </w:p>
    <w:p w14:paraId="1D274F67">
      <w:pPr>
        <w:pStyle w:val="24"/>
        <w:ind w:firstLine="480"/>
        <w:rPr>
          <w:rFonts w:hint="eastAsia" w:hAnsi="宋体" w:cs="宋体"/>
          <w:color w:val="000000" w:themeColor="text1"/>
          <w:szCs w:val="24"/>
          <w:highlight w:val="none"/>
          <w14:textFill>
            <w14:solidFill>
              <w14:schemeClr w14:val="tx1"/>
            </w14:solidFill>
          </w14:textFill>
        </w:rPr>
      </w:pPr>
    </w:p>
    <w:p w14:paraId="081DF6DE">
      <w:pPr>
        <w:pStyle w:val="6"/>
        <w:tabs>
          <w:tab w:val="left" w:pos="284"/>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 用地规划设计条件</w:t>
      </w:r>
    </w:p>
    <w:p w14:paraId="00944AF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3.2.1 用地规划条件</w:t>
      </w:r>
    </w:p>
    <w:p w14:paraId="540C8E91">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本次招标范围内，项目住宅用地住宅建筑面积为</w:t>
      </w:r>
      <w:r>
        <w:rPr>
          <w:rFonts w:hint="eastAsia" w:hAnsi="宋体" w:cs="宋体"/>
          <w:color w:val="000000" w:themeColor="text1"/>
          <w:szCs w:val="24"/>
          <w:highlight w:val="none"/>
          <w:lang w:eastAsia="zh"/>
          <w14:textFill>
            <w14:solidFill>
              <w14:schemeClr w14:val="tx1"/>
            </w14:solidFill>
          </w14:textFill>
          <w:woUserID w:val="5"/>
        </w:rPr>
        <w:t>56042.14</w:t>
      </w:r>
      <w:r>
        <w:rPr>
          <w:rFonts w:hint="eastAsia" w:hAnsi="宋体" w:cs="宋体"/>
          <w:color w:val="000000" w:themeColor="text1"/>
          <w:szCs w:val="24"/>
          <w:highlight w:val="none"/>
          <w14:textFill>
            <w14:solidFill>
              <w14:schemeClr w14:val="tx1"/>
            </w14:solidFill>
          </w14:textFill>
        </w:rPr>
        <w:t>㎡，用地属性R2</w:t>
      </w:r>
      <w:r>
        <w:rPr>
          <w:rFonts w:hAnsi="宋体" w:cs="宋体"/>
          <w:color w:val="000000" w:themeColor="text1"/>
          <w:szCs w:val="24"/>
          <w:highlight w:val="none"/>
          <w14:textFill>
            <w14:solidFill>
              <w14:schemeClr w14:val="tx1"/>
            </w14:solidFill>
          </w14:textFill>
        </w:rPr>
        <w:t>。</w:t>
      </w:r>
    </w:p>
    <w:p w14:paraId="00C62A4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本次招标范围内</w:t>
      </w:r>
      <w:r>
        <w:rPr>
          <w:rFonts w:hAnsi="宋体" w:cs="宋体"/>
          <w:color w:val="000000" w:themeColor="text1"/>
          <w:szCs w:val="24"/>
          <w:highlight w:val="none"/>
          <w14:textFill>
            <w14:solidFill>
              <w14:schemeClr w14:val="tx1"/>
            </w14:solidFill>
          </w14:textFill>
        </w:rPr>
        <w:t>,</w:t>
      </w:r>
      <w:r>
        <w:rPr>
          <w:rFonts w:hint="eastAsia" w:hAnsi="宋体" w:cs="宋体"/>
          <w:color w:val="000000" w:themeColor="text1"/>
          <w:szCs w:val="24"/>
          <w:highlight w:val="none"/>
          <w14:textFill>
            <w14:solidFill>
              <w14:schemeClr w14:val="tx1"/>
            </w14:solidFill>
          </w14:textFill>
        </w:rPr>
        <w:t>住宅用地的商业配套建筑面积</w:t>
      </w:r>
      <w:r>
        <w:rPr>
          <w:rFonts w:hint="eastAsia" w:hAnsi="宋体" w:cs="宋体"/>
          <w:color w:val="000000" w:themeColor="text1"/>
          <w:szCs w:val="24"/>
          <w:highlight w:val="none"/>
          <w:lang w:eastAsia="zh"/>
          <w14:textFill>
            <w14:solidFill>
              <w14:schemeClr w14:val="tx1"/>
            </w14:solidFill>
          </w14:textFill>
          <w:woUserID w:val="5"/>
        </w:rPr>
        <w:t>379</w:t>
      </w:r>
      <w:r>
        <w:rPr>
          <w:rFonts w:hint="eastAsia" w:hAnsi="宋体" w:cs="宋体"/>
          <w:color w:val="000000" w:themeColor="text1"/>
          <w:szCs w:val="24"/>
          <w:highlight w:val="none"/>
          <w14:textFill>
            <w14:solidFill>
              <w14:schemeClr w14:val="tx1"/>
            </w14:solidFill>
          </w14:textFill>
        </w:rPr>
        <w:t>㎡，非商业公建配套建筑面积</w:t>
      </w:r>
      <w:r>
        <w:rPr>
          <w:rFonts w:hint="eastAsia" w:hAnsi="宋体" w:cs="宋体"/>
          <w:color w:val="000000" w:themeColor="text1"/>
          <w:szCs w:val="24"/>
          <w:highlight w:val="none"/>
          <w:lang w:eastAsia="zh"/>
          <w14:textFill>
            <w14:solidFill>
              <w14:schemeClr w14:val="tx1"/>
            </w14:solidFill>
          </w14:textFill>
          <w:woUserID w:val="5"/>
        </w:rPr>
        <w:t>5626.86</w:t>
      </w:r>
      <w:r>
        <w:rPr>
          <w:rFonts w:hint="eastAsia" w:hAnsi="宋体" w:cs="宋体"/>
          <w:color w:val="000000" w:themeColor="text1"/>
          <w:szCs w:val="24"/>
          <w:highlight w:val="none"/>
          <w14:textFill>
            <w14:solidFill>
              <w14:schemeClr w14:val="tx1"/>
            </w14:solidFill>
          </w14:textFill>
        </w:rPr>
        <w:t>㎡，合计为</w:t>
      </w:r>
      <w:r>
        <w:rPr>
          <w:rFonts w:hint="eastAsia" w:hAnsi="宋体" w:cs="宋体"/>
          <w:color w:val="000000" w:themeColor="text1"/>
          <w:szCs w:val="24"/>
          <w:highlight w:val="none"/>
          <w:lang w:eastAsia="zh"/>
          <w14:textFill>
            <w14:solidFill>
              <w14:schemeClr w14:val="tx1"/>
            </w14:solidFill>
          </w14:textFill>
          <w:woUserID w:val="5"/>
        </w:rPr>
        <w:t>6005.86</w:t>
      </w:r>
      <w:r>
        <w:rPr>
          <w:rFonts w:hint="eastAsia" w:hAnsi="宋体" w:cs="宋体"/>
          <w:color w:val="000000" w:themeColor="text1"/>
          <w:szCs w:val="24"/>
          <w:highlight w:val="none"/>
          <w14:textFill>
            <w14:solidFill>
              <w14:schemeClr w14:val="tx1"/>
            </w14:solidFill>
          </w14:textFill>
        </w:rPr>
        <w:t>㎡</w:t>
      </w:r>
      <w:r>
        <w:rPr>
          <w:rFonts w:hAnsi="宋体" w:cs="宋体"/>
          <w:color w:val="000000" w:themeColor="text1"/>
          <w:szCs w:val="24"/>
          <w:highlight w:val="none"/>
          <w14:textFill>
            <w14:solidFill>
              <w14:schemeClr w14:val="tx1"/>
            </w14:solidFill>
          </w14:textFill>
        </w:rPr>
        <w:t>。</w:t>
      </w:r>
    </w:p>
    <w:p w14:paraId="4D51477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本次招标范围内，市政道路用地面积为</w:t>
      </w:r>
      <w:r>
        <w:rPr>
          <w:rFonts w:hint="eastAsia" w:hAnsi="宋体" w:cs="宋体"/>
          <w:color w:val="000000" w:themeColor="text1"/>
          <w:szCs w:val="24"/>
          <w:highlight w:val="none"/>
          <w:lang w:eastAsia="zh"/>
          <w14:textFill>
            <w14:solidFill>
              <w14:schemeClr w14:val="tx1"/>
            </w14:solidFill>
          </w14:textFill>
          <w:woUserID w:val="5"/>
        </w:rPr>
        <w:t>3163.89</w:t>
      </w:r>
      <w:r>
        <w:rPr>
          <w:rFonts w:hint="eastAsia" w:hAnsi="宋体" w:cs="宋体"/>
          <w:color w:val="000000" w:themeColor="text1"/>
          <w:szCs w:val="24"/>
          <w:highlight w:val="none"/>
          <w14:textFill>
            <w14:solidFill>
              <w14:schemeClr w14:val="tx1"/>
            </w14:solidFill>
          </w14:textFill>
        </w:rPr>
        <w:t>㎡。</w:t>
      </w:r>
    </w:p>
    <w:p w14:paraId="422FF10F">
      <w:pPr>
        <w:pStyle w:val="4"/>
        <w:rPr>
          <w:color w:val="000000" w:themeColor="text1"/>
          <w:highlight w:val="none"/>
          <w14:textFill>
            <w14:solidFill>
              <w14:schemeClr w14:val="tx1"/>
            </w14:solidFill>
          </w14:textFill>
        </w:rPr>
      </w:pPr>
    </w:p>
    <w:p w14:paraId="443F944E">
      <w:pPr>
        <w:spacing w:line="360" w:lineRule="auto"/>
        <w:ind w:firstLine="480"/>
        <w:jc w:val="center"/>
        <w:rPr>
          <w:rFonts w:hint="eastAsia" w:ascii="宋体" w:hAnsi="宋体" w:eastAsia="宋体" w:cs="宋体"/>
          <w:b/>
          <w:bCs/>
          <w:snapToGrid w:val="0"/>
          <w:color w:val="000000" w:themeColor="text1"/>
          <w:kern w:val="0"/>
          <w:sz w:val="24"/>
          <w:szCs w:val="24"/>
          <w:highlight w:val="none"/>
          <w14:textFill>
            <w14:solidFill>
              <w14:schemeClr w14:val="tx1"/>
            </w14:solidFill>
          </w14:textFill>
        </w:rPr>
      </w:pPr>
      <w:r>
        <w:rPr>
          <w:rFonts w:hint="eastAsia" w:ascii="宋体" w:hAnsi="宋体" w:eastAsia="宋体" w:cs="宋体"/>
          <w:b/>
          <w:bCs/>
          <w:snapToGrid w:val="0"/>
          <w:color w:val="000000" w:themeColor="text1"/>
          <w:kern w:val="0"/>
          <w:sz w:val="24"/>
          <w:szCs w:val="24"/>
          <w:highlight w:val="none"/>
          <w14:textFill>
            <w14:solidFill>
              <w14:schemeClr w14:val="tx1"/>
            </w14:solidFill>
          </w14:textFill>
        </w:rPr>
        <w:t>本次招标范围-公共服务设施建筑规模一览表</w:t>
      </w:r>
    </w:p>
    <w:tbl>
      <w:tblPr>
        <w:tblStyle w:val="42"/>
        <w:tblW w:w="8526" w:type="dxa"/>
        <w:tblInd w:w="93" w:type="dxa"/>
        <w:tblLayout w:type="fixed"/>
        <w:tblCellMar>
          <w:top w:w="0" w:type="dxa"/>
          <w:left w:w="108" w:type="dxa"/>
          <w:bottom w:w="0" w:type="dxa"/>
          <w:right w:w="108" w:type="dxa"/>
        </w:tblCellMar>
      </w:tblPr>
      <w:tblGrid>
        <w:gridCol w:w="1596"/>
        <w:gridCol w:w="5015"/>
        <w:gridCol w:w="1915"/>
      </w:tblGrid>
      <w:tr w14:paraId="1BA8EE8E">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95598">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地块性质</w:t>
            </w:r>
          </w:p>
        </w:tc>
        <w:tc>
          <w:tcPr>
            <w:tcW w:w="5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57938">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项目</w:t>
            </w:r>
          </w:p>
        </w:tc>
        <w:tc>
          <w:tcPr>
            <w:tcW w:w="1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81A61">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计容建筑面积（㎡）</w:t>
            </w:r>
          </w:p>
        </w:tc>
      </w:tr>
      <w:tr w14:paraId="7D03597B">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485F8">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住宅用地</w:t>
            </w:r>
          </w:p>
        </w:tc>
        <w:tc>
          <w:tcPr>
            <w:tcW w:w="5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44068">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商业配套</w:t>
            </w:r>
          </w:p>
        </w:tc>
        <w:tc>
          <w:tcPr>
            <w:tcW w:w="1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789EF">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hAnsi="宋体" w:cs="宋体"/>
                <w:color w:val="000000" w:themeColor="text1"/>
                <w:szCs w:val="24"/>
                <w:highlight w:val="none"/>
                <w:lang w:eastAsia="zh"/>
                <w14:textFill>
                  <w14:solidFill>
                    <w14:schemeClr w14:val="tx1"/>
                  </w14:solidFill>
                </w14:textFill>
                <w:woUserID w:val="5"/>
              </w:rPr>
              <w:t>6005.86</w:t>
            </w:r>
            <w:r>
              <w:rPr>
                <w:rFonts w:hint="eastAsia" w:hAnsi="宋体" w:cs="宋体"/>
                <w:color w:val="000000" w:themeColor="text1"/>
                <w:szCs w:val="24"/>
                <w:highlight w:val="none"/>
                <w14:textFill>
                  <w14:solidFill>
                    <w14:schemeClr w14:val="tx1"/>
                  </w14:solidFill>
                </w14:textFill>
              </w:rPr>
              <w:t>㎡</w:t>
            </w:r>
          </w:p>
        </w:tc>
      </w:tr>
      <w:tr w14:paraId="7EE3AD0B">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CC4B7">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合计</w:t>
            </w:r>
          </w:p>
        </w:tc>
        <w:tc>
          <w:tcPr>
            <w:tcW w:w="5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34BDE">
            <w:pPr>
              <w:jc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w:t>
            </w:r>
          </w:p>
        </w:tc>
        <w:tc>
          <w:tcPr>
            <w:tcW w:w="1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23DA5">
            <w:pPr>
              <w:widowControl/>
              <w:jc w:val="center"/>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hAnsi="宋体" w:cs="宋体"/>
                <w:color w:val="000000" w:themeColor="text1"/>
                <w:szCs w:val="24"/>
                <w:highlight w:val="none"/>
                <w:lang w:eastAsia="zh"/>
                <w14:textFill>
                  <w14:solidFill>
                    <w14:schemeClr w14:val="tx1"/>
                  </w14:solidFill>
                </w14:textFill>
                <w:woUserID w:val="5"/>
              </w:rPr>
              <w:t>6005.86</w:t>
            </w:r>
            <w:r>
              <w:rPr>
                <w:rFonts w:hint="eastAsia" w:hAnsi="宋体" w:cs="宋体"/>
                <w:color w:val="000000" w:themeColor="text1"/>
                <w:szCs w:val="24"/>
                <w:highlight w:val="none"/>
                <w14:textFill>
                  <w14:solidFill>
                    <w14:schemeClr w14:val="tx1"/>
                  </w14:solidFill>
                </w14:textFill>
              </w:rPr>
              <w:t>㎡</w:t>
            </w:r>
          </w:p>
        </w:tc>
      </w:tr>
    </w:tbl>
    <w:p w14:paraId="7F72717C">
      <w:pPr>
        <w:pStyle w:val="4"/>
        <w:rPr>
          <w:color w:val="000000" w:themeColor="text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注：</w:t>
      </w:r>
      <w:r>
        <w:rPr>
          <w:rFonts w:ascii="宋体" w:hAnsi="宋体" w:cs="宋体"/>
          <w:color w:val="000000" w:themeColor="text1"/>
          <w:szCs w:val="21"/>
          <w:highlight w:val="none"/>
          <w14:textFill>
            <w14:solidFill>
              <w14:schemeClr w14:val="tx1"/>
            </w14:solidFill>
          </w14:textFill>
        </w:rPr>
        <w:t>具体</w:t>
      </w:r>
      <w:r>
        <w:rPr>
          <w:rFonts w:hint="eastAsia" w:ascii="宋体" w:hAnsi="宋体" w:cs="宋体"/>
          <w:color w:val="000000" w:themeColor="text1"/>
          <w:szCs w:val="21"/>
          <w:highlight w:val="none"/>
          <w14:textFill>
            <w14:solidFill>
              <w14:schemeClr w14:val="tx1"/>
            </w14:solidFill>
          </w14:textFill>
        </w:rPr>
        <w:t>指标</w:t>
      </w:r>
      <w:r>
        <w:rPr>
          <w:rFonts w:ascii="宋体" w:hAnsi="宋体" w:cs="宋体"/>
          <w:color w:val="000000" w:themeColor="text1"/>
          <w:szCs w:val="21"/>
          <w:highlight w:val="none"/>
          <w14:textFill>
            <w14:solidFill>
              <w14:schemeClr w14:val="tx1"/>
            </w14:solidFill>
          </w14:textFill>
        </w:rPr>
        <w:t>以规划部门批复为准。</w:t>
      </w:r>
    </w:p>
    <w:p w14:paraId="647890D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3.2.2 建筑间距要求</w:t>
      </w:r>
    </w:p>
    <w:p w14:paraId="005A6101">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各类建筑工程之间的间距及与规划用地界线之间的退界距离应符合《广州市城乡规划技术规定》中有关间距的要求。各类建筑之间的建筑间距应当符合消防、环保和工艺要求，并执行国家相关规范。</w:t>
      </w:r>
    </w:p>
    <w:p w14:paraId="26481A5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3.2.3 道路交通规划要求</w:t>
      </w:r>
    </w:p>
    <w:p w14:paraId="372821B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（1）用地交通主要出入口距城市干道交叉路口红线转弯起点处不应小于70米。</w:t>
      </w:r>
    </w:p>
    <w:p w14:paraId="19A1B5E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停车场设置指标：安置房及其配套公建建筑均按照1.0泊/100平方米建筑面积的标准配建机动车停车位，并应按照1.0泊/10000平方米建筑面积的要求配建出租车上落客泊位。非机动车停车位按照1辆/100平方米的标准配置。其余的停车要求参照《广州市建设项目停车配建指标规定》配置。</w:t>
      </w:r>
    </w:p>
    <w:p w14:paraId="6BCD467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（3）停车场设置原则：</w:t>
      </w:r>
    </w:p>
    <w:p w14:paraId="3D166A93">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①按照“地下停车100%”的设计原则；独立多层停车可结合配套商业等一并设计。</w:t>
      </w:r>
    </w:p>
    <w:p w14:paraId="20036DBC">
      <w:pPr>
        <w:rPr>
          <w:rFonts w:hint="eastAsia"/>
          <w:color w:val="000000" w:themeColor="text1"/>
          <w:highlight w:val="none"/>
          <w14:textFill>
            <w14:solidFill>
              <w14:schemeClr w14:val="tx1"/>
            </w14:solidFill>
          </w14:textFill>
        </w:rPr>
      </w:pPr>
    </w:p>
    <w:p w14:paraId="3E958117">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61" w:name="_Toc29895"/>
      <w:bookmarkStart w:id="62" w:name="_Toc176925093"/>
      <w:bookmarkStart w:id="63" w:name="_Toc23488"/>
      <w:bookmarkStart w:id="64" w:name="_Toc23694"/>
      <w:bookmarkStart w:id="65" w:name="_Toc2892"/>
      <w:bookmarkStart w:id="66" w:name="_Toc176921262"/>
      <w:bookmarkStart w:id="67" w:name="_Toc179860352"/>
      <w:bookmarkStart w:id="68" w:name="_Toc176857813"/>
      <w:bookmarkStart w:id="69" w:name="_Toc104581696"/>
      <w:r>
        <w:rPr>
          <w:rFonts w:hint="eastAsia" w:ascii="宋体" w:hAnsi="宋体" w:eastAsia="宋体" w:cs="宋体"/>
          <w:color w:val="000000" w:themeColor="text1"/>
          <w:sz w:val="24"/>
          <w:szCs w:val="24"/>
          <w:highlight w:val="none"/>
          <w14:textFill>
            <w14:solidFill>
              <w14:schemeClr w14:val="tx1"/>
            </w14:solidFill>
          </w14:textFill>
        </w:rPr>
        <w:t>4、用地现状情况</w:t>
      </w:r>
      <w:bookmarkEnd w:id="61"/>
      <w:bookmarkEnd w:id="62"/>
      <w:bookmarkEnd w:id="63"/>
      <w:bookmarkEnd w:id="64"/>
      <w:bookmarkEnd w:id="65"/>
      <w:bookmarkEnd w:id="66"/>
      <w:bookmarkEnd w:id="67"/>
      <w:bookmarkEnd w:id="68"/>
      <w:bookmarkEnd w:id="69"/>
    </w:p>
    <w:p w14:paraId="0886274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70" w:name="_Hlk196572338"/>
      <w:bookmarkStart w:id="71" w:name="_Toc104581697"/>
      <w:bookmarkStart w:id="72" w:name="_Toc13273"/>
      <w:bookmarkStart w:id="73" w:name="_Toc1224"/>
      <w:bookmarkStart w:id="74" w:name="_Toc1745"/>
      <w:bookmarkStart w:id="75" w:name="_Toc16810"/>
      <w:r>
        <w:rPr>
          <w:rFonts w:hint="eastAsia" w:ascii="宋体" w:hAnsi="宋体" w:eastAsia="宋体" w:cs="宋体"/>
          <w:color w:val="000000" w:themeColor="text1"/>
          <w:sz w:val="24"/>
          <w:szCs w:val="24"/>
          <w:highlight w:val="none"/>
          <w14:textFill>
            <w14:solidFill>
              <w14:schemeClr w14:val="tx1"/>
            </w14:solidFill>
          </w14:textFill>
        </w:rPr>
        <w:t>本项目安置区选址位于广州市天河区，项目选址交通便利，符合安置区建设的选址要求。</w:t>
      </w:r>
    </w:p>
    <w:p w14:paraId="1D9C7833">
      <w:pPr>
        <w:pStyle w:val="3"/>
        <w:ind w:firstLine="210"/>
        <w:rPr>
          <w:color w:val="000000" w:themeColor="text1"/>
          <w:highlight w:val="none"/>
          <w14:textFill>
            <w14:solidFill>
              <w14:schemeClr w14:val="tx1"/>
            </w14:solidFill>
          </w14:textFill>
        </w:rPr>
      </w:pPr>
    </w:p>
    <w:bookmarkEnd w:id="70"/>
    <w:p w14:paraId="16BC0DF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4.1 选址现状条件概述</w:t>
      </w:r>
      <w:bookmarkEnd w:id="71"/>
      <w:bookmarkEnd w:id="72"/>
      <w:bookmarkEnd w:id="73"/>
      <w:bookmarkEnd w:id="74"/>
      <w:bookmarkEnd w:id="75"/>
    </w:p>
    <w:p w14:paraId="4770F44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76" w:name="_Toc30382"/>
      <w:bookmarkStart w:id="77" w:name="_Toc176925095"/>
      <w:bookmarkStart w:id="78" w:name="_Toc104581698"/>
      <w:bookmarkStart w:id="79" w:name="_Toc23639"/>
      <w:bookmarkStart w:id="80" w:name="_Toc17031"/>
      <w:bookmarkStart w:id="81" w:name="_Toc176857815"/>
      <w:bookmarkStart w:id="82" w:name="_Toc179860354"/>
      <w:bookmarkStart w:id="83" w:name="_Toc23999"/>
      <w:bookmarkStart w:id="84" w:name="_Toc176921264"/>
      <w:r>
        <w:rPr>
          <w:rFonts w:hint="eastAsia" w:ascii="宋体" w:hAnsi="宋体" w:eastAsia="宋体" w:cs="宋体"/>
          <w:color w:val="000000" w:themeColor="text1"/>
          <w:sz w:val="24"/>
          <w:szCs w:val="24"/>
          <w:highlight w:val="none"/>
          <w14:textFill>
            <w14:solidFill>
              <w14:schemeClr w14:val="tx1"/>
            </w14:solidFill>
          </w14:textFill>
        </w:rPr>
        <w:t>项目用地现状为国有用地，现状已无建筑，场地已基本平整。现状用地地形东北高西南低，为三级台地地貌，台地与周边高差较大元岗北街、元岗路与开发用地有较大高差。</w:t>
      </w:r>
    </w:p>
    <w:p w14:paraId="53592EE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4.2 气候条件</w:t>
      </w:r>
      <w:bookmarkEnd w:id="76"/>
      <w:bookmarkEnd w:id="77"/>
      <w:bookmarkEnd w:id="78"/>
      <w:bookmarkEnd w:id="79"/>
      <w:bookmarkEnd w:id="80"/>
      <w:bookmarkEnd w:id="81"/>
      <w:bookmarkEnd w:id="82"/>
      <w:bookmarkEnd w:id="83"/>
      <w:bookmarkEnd w:id="84"/>
    </w:p>
    <w:p w14:paraId="1F6A04B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85" w:name="_Toc104581699"/>
      <w:bookmarkStart w:id="86" w:name="_Toc8104"/>
      <w:bookmarkStart w:id="87" w:name="_Toc180918606"/>
      <w:bookmarkStart w:id="88" w:name="_Toc21802"/>
      <w:bookmarkStart w:id="89" w:name="_Toc23606"/>
      <w:bookmarkStart w:id="90" w:name="_Toc26636"/>
      <w:r>
        <w:rPr>
          <w:rFonts w:hint="eastAsia" w:ascii="宋体" w:hAnsi="宋体" w:eastAsia="宋体" w:cs="宋体"/>
          <w:color w:val="000000" w:themeColor="text1"/>
          <w:sz w:val="24"/>
          <w:szCs w:val="24"/>
          <w:highlight w:val="none"/>
          <w14:textFill>
            <w14:solidFill>
              <w14:schemeClr w14:val="tx1"/>
            </w14:solidFill>
          </w14:textFill>
        </w:rPr>
        <w:t>天河区属南亚热带季风气候，位于北回归线以南。由于四周环水，气候具有海洋性较强的特点。全年暖热，光照充足，雨量充沛，温差较小，干湿季节明显。年平均气温21.8℃，最冷月为1月，平均气温13.3℃，极端最低气温0.0℃，出现在1957年2月11日；最热为7月，平均气温28.4，极端最高气温38.7℃，出现在1953年8月12日。日平均气温全年均在0℃以上。无霜期年平均338天，年平均日照时数为1906小时，年总辐射4489兆焦/米。雨量充沛，年平均降雨量约1694.1毫米，降雨集中在每年4月至9月，雨季长达6个月，平均降雨量为1391.1毫米，占年降雨量的82.1%。旱季总降雨量只有303毫米，占全年降雨量的17.9%。5月最多，达293.8毫米，占全年的降雨量的17.46%，最少为12月，只有24.7毫米，占全年降雨量的1.5%。极端日最大雨量为284.9毫米，出现在1955年6月6日。冬夏季风交替是区内季风气候突出的特征，冬季吹偏北风，夏季吹偏南风，每年4~8月盛行夏季风，9~3月盛行冬季风。夏季风盛行季节，有时会受热带风暴和台风侵袭。冬季风盛行季节，有时会受强冷空气南下影响，会形成“寒露风”和“霜降风”天气。</w:t>
      </w:r>
    </w:p>
    <w:p w14:paraId="41442A1D">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5、设计范围和内容</w:t>
      </w:r>
      <w:bookmarkEnd w:id="85"/>
      <w:bookmarkEnd w:id="86"/>
      <w:bookmarkEnd w:id="87"/>
      <w:bookmarkEnd w:id="88"/>
      <w:bookmarkEnd w:id="89"/>
      <w:bookmarkEnd w:id="90"/>
    </w:p>
    <w:p w14:paraId="6F106C8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91" w:name="_Toc104581700"/>
      <w:bookmarkStart w:id="92" w:name="_Toc28237"/>
      <w:bookmarkStart w:id="93" w:name="_Toc14096"/>
      <w:bookmarkStart w:id="94" w:name="_Toc27040"/>
      <w:r>
        <w:rPr>
          <w:rFonts w:hint="eastAsia" w:ascii="宋体" w:hAnsi="宋体" w:eastAsia="宋体" w:cs="宋体"/>
          <w:color w:val="000000" w:themeColor="text1"/>
          <w:sz w:val="24"/>
          <w:szCs w:val="24"/>
          <w:highlight w:val="none"/>
          <w14:textFill>
            <w14:solidFill>
              <w14:schemeClr w14:val="tx1"/>
            </w14:solidFill>
          </w14:textFill>
        </w:rPr>
        <w:t>5.1 本项目设计范围</w:t>
      </w:r>
      <w:bookmarkEnd w:id="91"/>
      <w:bookmarkEnd w:id="92"/>
      <w:bookmarkEnd w:id="93"/>
      <w:bookmarkEnd w:id="94"/>
    </w:p>
    <w:p w14:paraId="641F862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按本项目招标公告约定。</w:t>
      </w:r>
    </w:p>
    <w:p w14:paraId="28695DC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95" w:name="_Toc30499"/>
      <w:bookmarkStart w:id="96" w:name="_Toc104581701"/>
      <w:bookmarkStart w:id="97" w:name="_Toc30875"/>
      <w:bookmarkStart w:id="98" w:name="_Toc2992"/>
      <w:r>
        <w:rPr>
          <w:rFonts w:hint="eastAsia" w:ascii="宋体" w:hAnsi="宋体" w:eastAsia="宋体" w:cs="宋体"/>
          <w:color w:val="000000" w:themeColor="text1"/>
          <w:sz w:val="24"/>
          <w:szCs w:val="24"/>
          <w:highlight w:val="none"/>
          <w14:textFill>
            <w14:solidFill>
              <w14:schemeClr w14:val="tx1"/>
            </w14:solidFill>
          </w14:textFill>
        </w:rPr>
        <w:t>5.2 本项目设计主要内容</w:t>
      </w:r>
      <w:bookmarkEnd w:id="95"/>
      <w:bookmarkEnd w:id="96"/>
      <w:bookmarkEnd w:id="97"/>
      <w:bookmarkEnd w:id="98"/>
    </w:p>
    <w:p w14:paraId="6D407C0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根据《建筑工程设计文件编制深度规定》（2016年版）中关于施工图设计应达到的设计深度要求及招标人各设计管理办法要求，</w:t>
      </w:r>
      <w:r>
        <w:rPr>
          <w:rFonts w:hint="eastAsia" w:ascii="宋体" w:hAnsi="宋体" w:eastAsia="宋体" w:cs="宋体"/>
          <w:b/>
          <w:color w:val="000000" w:themeColor="text1"/>
          <w:sz w:val="24"/>
          <w:szCs w:val="24"/>
          <w:highlight w:val="none"/>
          <w14:textFill>
            <w14:solidFill>
              <w14:schemeClr w14:val="tx1"/>
            </w14:solidFill>
          </w14:textFill>
        </w:rPr>
        <w:t>在前期完成的方案和初步设计文件基础上开展施工图设计工作</w:t>
      </w:r>
      <w:r>
        <w:rPr>
          <w:rFonts w:hint="eastAsia" w:ascii="宋体" w:hAnsi="宋体" w:eastAsia="宋体" w:cs="宋体"/>
          <w:color w:val="000000" w:themeColor="text1"/>
          <w:sz w:val="24"/>
          <w:szCs w:val="24"/>
          <w:highlight w:val="none"/>
          <w14:textFill>
            <w14:solidFill>
              <w14:schemeClr w14:val="tx1"/>
            </w14:solidFill>
          </w14:textFill>
        </w:rPr>
        <w:t>。</w:t>
      </w:r>
    </w:p>
    <w:p w14:paraId="5DE4053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 施工图设计、施工图预算编制、协助施工单位编制竣工图及施工配合、现场服务、配合竣工验收、因政策变化或相应外部条件改变带来的相应设计工作、总协调工作、与本项目相关的设计等工作。</w:t>
      </w:r>
    </w:p>
    <w:p w14:paraId="0FA910F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 主要设计工作，包括但不限于以下内容：</w:t>
      </w:r>
    </w:p>
    <w:p w14:paraId="63FD4CA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5.2.2.1基坑支护设计：基坑设计、基坑监测布点及要求、高支模监测布点及要求等。</w:t>
      </w:r>
    </w:p>
    <w:p w14:paraId="0772192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5.2.2.2 市政工程设计：包括本项目用地红线范围内的市政道路及随路市政配套设施（含雨水、污水、电力管沟或缆线管廊、市政道路照明）等工程设计，以及各种管线综合平衡设计（含配合市政管线接口对接）等。</w:t>
      </w:r>
    </w:p>
    <w:p w14:paraId="3F3BC46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5.2.2.3 房屋建筑设计：</w:t>
      </w:r>
    </w:p>
    <w:p w14:paraId="72E9CDE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①建筑部分：包括但不限于提供主体建筑与附属建筑各层平面图，建筑四个方向立面图、主要剖面图、功能区域设计、交通组织图、外立面装修及室内装修工程施工图、效果图、构造做法、新技术做法。</w:t>
      </w:r>
    </w:p>
    <w:p w14:paraId="0E8DCD4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②结构设计：包括总平面范围内主体、附属的结构设计、装修工程的结构设计与验算、室外工程及构筑物的结构设计。</w:t>
      </w:r>
    </w:p>
    <w:p w14:paraId="7108B7B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③电气设计：包括红线范围内的变配电系统、应急电源供电系统、电力系统、照明系统（含室内普通照明、室外景观照明及智能照明控制）、消防自动报警系统、建筑物防雷、接地系统及安全措施，并配合完成红线范围内管线综合平衡设计。智能化系统设计：包括火灾自动报警及联动控制系统、通信接入系统、综合布线系统、有线电视、公共广播系统、信息导引及发布系统、视频安防监控系统、停车场管理系统、安全防范系统（访客对讲、紧急求助报警装置等）、监控中心并配合完成红线范围内管线综合平衡设计。</w:t>
      </w:r>
    </w:p>
    <w:p w14:paraId="767BE32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④给排水设计：包括红线范围内给水排水系统；消火栓系统；自动喷水灭火系统；灭火器配置；气体灭火系统；雨水收集、处理与回用系统。</w:t>
      </w:r>
    </w:p>
    <w:p w14:paraId="09C6581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⑤暖通空调设计：建筑物内部通风系统、建筑物内部空气调节系统、防排烟系统。</w:t>
      </w:r>
    </w:p>
    <w:p w14:paraId="192D324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⑥室内管线综合平衡设计：各专业设备、系统的管线在建筑物内部通道走线平衡设计。</w:t>
      </w:r>
    </w:p>
    <w:p w14:paraId="75EDDCA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⑦人防、燃气、绿色建筑、海绵城市、外水外电、5G室内覆盖系统、泛光照明、电梯工程等专业设计。</w:t>
      </w:r>
    </w:p>
    <w:p w14:paraId="4136C1D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⑧装配式专项设计及构件深化设计、幕墙深化设计等相关专业深化设计。</w:t>
      </w:r>
    </w:p>
    <w:p w14:paraId="6CB83B5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5.2.2.4 要求使用BIM正向设计完成工作。</w:t>
      </w:r>
    </w:p>
    <w:p w14:paraId="72C93C5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5.2.2.5所有深化设计均需体现在施工蓝图中，包括但不限于铝模深化设计、门窗深化设计、电梯深化设计等。</w:t>
      </w:r>
    </w:p>
    <w:p w14:paraId="2D1CB73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5.2.3 编制施工图预算。</w:t>
      </w:r>
    </w:p>
    <w:p w14:paraId="41AE6CB6">
      <w:pPr>
        <w:spacing w:line="360" w:lineRule="auto"/>
        <w:ind w:firstLine="480" w:firstLineChars="200"/>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5.2.4 专项分包施工图设计文件中，需设计人校核确认的部分由设计人及专项分包方人员进行会签并盖章确认。设计人应配合深化设计单位出图（如有）。对于有设计资质的深化设计单位，对其设计文件进行设计协调和按建设方要求办理审核确认手续；对于没有设计资质的深化设计单位，在完成深化设计后需套设计人单位图签出图，深化设计单位必须盖章确认。</w:t>
      </w:r>
    </w:p>
    <w:p w14:paraId="5B8D5BE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5.2.5 设计变更、现场指导和施工配合服务（设计阶段根据工程建设的需要及建设方的要求确定服务时间）。</w:t>
      </w:r>
    </w:p>
    <w:p w14:paraId="590AB7C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5.2.6 向政府主管部门进行报建、验收手续及相关协调工作（包括但不限于基坑支护设计方案技术审查、人防报建、消防报建、绿建备案、海绵城市建设效果评估、装配式预评价、绿化迁移报批、联合验收、施工图三维数字化审查、配合住建局完成CIM平台试点工作等）。并负责就设计图纸向政府相关部门进行意见征询，包括但不限于供电、水务、市政、燃气、教育（如有）等。</w:t>
      </w:r>
    </w:p>
    <w:p w14:paraId="0B3A375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5.2.7 对施工荷载（如重型施工车辆在地下室顶板上行走等）作用于构件上的结构复核，并在必要时出具加固意见。</w:t>
      </w:r>
    </w:p>
    <w:p w14:paraId="536A1F2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5.2.8 人员驻场服务：按招标文件及合同要求。</w:t>
      </w:r>
    </w:p>
    <w:p w14:paraId="293B1D5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5.2.9 招标文件及合同约定的其他设计、服务工作。</w:t>
      </w:r>
    </w:p>
    <w:p w14:paraId="5BE1BFE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5.2.10 因政策变化或相应外部条件改变带来的相应设计工作。包括但不限于：历史文化遗产保护专项设计、绿化迁移保护专项设计、CIM平台报审工作等。</w:t>
      </w:r>
    </w:p>
    <w:p w14:paraId="7E8C530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5.2.11对传统建筑进行保护或活化利用，包括但不限于精密测绘、安全鉴定、安全监测、保护修复、报规报建、竣工验收等方面工作。 </w:t>
      </w:r>
    </w:p>
    <w:p w14:paraId="6859A69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5.2.12 承包人在本项目中项目前期建立创优管理架构，制定创优质量目标、管理制度，向发包人报送创优工作计划方案。</w:t>
      </w:r>
    </w:p>
    <w:p w14:paraId="52586BC8">
      <w:pPr>
        <w:spacing w:line="360" w:lineRule="auto"/>
        <w:ind w:firstLine="480" w:firstLineChars="200"/>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5.2.13与本项目相关的设计工作。</w:t>
      </w:r>
    </w:p>
    <w:p w14:paraId="252BC6B4">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99" w:name="_Toc104581702"/>
      <w:bookmarkStart w:id="100" w:name="_Toc22233"/>
      <w:bookmarkStart w:id="101" w:name="_Toc1085"/>
      <w:bookmarkStart w:id="102" w:name="_Toc8288"/>
      <w:r>
        <w:rPr>
          <w:rFonts w:hint="eastAsia" w:ascii="宋体" w:hAnsi="宋体" w:eastAsia="宋体" w:cs="宋体"/>
          <w:color w:val="000000" w:themeColor="text1"/>
          <w:sz w:val="24"/>
          <w:szCs w:val="24"/>
          <w:highlight w:val="none"/>
          <w14:textFill>
            <w14:solidFill>
              <w14:schemeClr w14:val="tx1"/>
            </w14:solidFill>
          </w14:textFill>
        </w:rPr>
        <w:t>6.设计原则</w:t>
      </w:r>
      <w:bookmarkEnd w:id="99"/>
      <w:bookmarkEnd w:id="100"/>
      <w:bookmarkEnd w:id="101"/>
      <w:bookmarkEnd w:id="102"/>
    </w:p>
    <w:p w14:paraId="1B72A23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103" w:name="_Toc9255"/>
      <w:bookmarkStart w:id="104" w:name="_Toc8805"/>
      <w:bookmarkStart w:id="105" w:name="_Toc31699"/>
      <w:bookmarkStart w:id="106" w:name="_Toc104581703"/>
      <w:bookmarkStart w:id="107" w:name="_Toc19474"/>
      <w:bookmarkStart w:id="108" w:name="_Toc16109"/>
      <w:bookmarkStart w:id="109" w:name="_Toc104581708"/>
      <w:bookmarkStart w:id="110" w:name="_Toc17701"/>
      <w:r>
        <w:rPr>
          <w:rFonts w:hint="eastAsia" w:ascii="宋体" w:hAnsi="宋体" w:eastAsia="宋体" w:cs="宋体"/>
          <w:color w:val="000000" w:themeColor="text1"/>
          <w:sz w:val="24"/>
          <w:szCs w:val="24"/>
          <w:highlight w:val="none"/>
          <w14:textFill>
            <w14:solidFill>
              <w14:schemeClr w14:val="tx1"/>
            </w14:solidFill>
          </w14:textFill>
        </w:rPr>
        <w:t>本项目的建设目标和任务将紧紧围绕天河区元岗村城中村的改造，作为首开区的土地开发建设，先期开展配套市政道路及市政设施、安置区建设，解决元岗村居民拆迁安置及周边地块出行交通问题，为区域改造升级奠定基础。</w:t>
      </w:r>
    </w:p>
    <w:p w14:paraId="17C5BBA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设应坚持遵循安全可靠、经济实用、资源节约、环境友好和适度创新的原则，充分考虑安置村民的居住习惯和居住行为、住宅使用功能与空间的组合，以满足安置家庭的基本居住生活需求，合理确定套型结构。商业充分考虑其商业价值及其适用性。同时体现“以人为本”的设计原则，创造安全、方便、健康、紧凑、和谐的人居环境，并合理采用成熟可靠的新技术、新材料、新工艺，符合国家有关技术标准、规范，达到节地、节能、节水、节材和环境保护的目标要求。</w:t>
      </w:r>
    </w:p>
    <w:bookmarkEnd w:id="103"/>
    <w:bookmarkEnd w:id="104"/>
    <w:bookmarkEnd w:id="105"/>
    <w:bookmarkEnd w:id="106"/>
    <w:p w14:paraId="17BC947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111" w:name="_Toc32356"/>
      <w:bookmarkStart w:id="112" w:name="_Toc104581706"/>
      <w:bookmarkStart w:id="113" w:name="_Toc10875"/>
      <w:bookmarkStart w:id="114" w:name="_Toc19360"/>
      <w:r>
        <w:rPr>
          <w:rFonts w:hint="eastAsia" w:ascii="宋体" w:hAnsi="宋体" w:eastAsia="宋体" w:cs="宋体"/>
          <w:color w:val="000000" w:themeColor="text1"/>
          <w:sz w:val="24"/>
          <w:szCs w:val="24"/>
          <w:highlight w:val="none"/>
          <w14:textFill>
            <w14:solidFill>
              <w14:schemeClr w14:val="tx1"/>
            </w14:solidFill>
          </w14:textFill>
        </w:rPr>
        <w:t>6.1  规划布局和建筑设计体现岭南建筑的特色，造型简洁大方，富有时代气息，提取具有岭南地域特色的设计元素，强化建筑的地域性。</w:t>
      </w:r>
    </w:p>
    <w:p w14:paraId="389865C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6.2 环境、生态的设计及绿地布置本着以人为本的原则，注重共享性、注重生态设计、注重、注重文化延续、注重多元化，使其达到最佳状态的环境。</w:t>
      </w:r>
    </w:p>
    <w:p w14:paraId="4986821A">
      <w:pPr>
        <w:spacing w:line="360" w:lineRule="auto"/>
        <w:ind w:firstLine="480" w:firstLineChars="200"/>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6.3 本项目为限额设计，宜本着节约投资的原则，要求依据建设和技术资料合理选择、运用技术经济多方案比选等技术手段，科学分析、系统考虑，不断优化设计方案</w:t>
      </w:r>
    </w:p>
    <w:p w14:paraId="4839F95C">
      <w:pPr>
        <w:spacing w:line="360" w:lineRule="auto"/>
        <w:ind w:firstLine="480" w:firstLineChars="200"/>
        <w:rPr>
          <w:rFonts w:hint="eastAsia" w:ascii="宋体" w:hAnsi="宋体" w:eastAsia="宋体" w:cs="宋体"/>
          <w:strike/>
          <w:color w:val="000000" w:themeColor="text1"/>
          <w:sz w:val="24"/>
          <w:szCs w:val="24"/>
          <w:highlight w:val="none"/>
          <w14:textFill>
            <w14:solidFill>
              <w14:schemeClr w14:val="tx1"/>
            </w14:solidFill>
          </w14:textFill>
        </w:rPr>
      </w:pPr>
    </w:p>
    <w:p w14:paraId="7320170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6.4 体现“绿色节能、生态宜居”的设计理念</w:t>
      </w:r>
      <w:bookmarkEnd w:id="111"/>
      <w:bookmarkEnd w:id="112"/>
      <w:bookmarkEnd w:id="113"/>
      <w:bookmarkEnd w:id="114"/>
    </w:p>
    <w:p w14:paraId="3121961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项目应按绿色建筑标准进行规划设计，积极采用低碳、绿色、环保技术措施。</w:t>
      </w:r>
      <w:bookmarkStart w:id="115" w:name="_Toc26296"/>
      <w:bookmarkStart w:id="116" w:name="_Toc104581707"/>
      <w:bookmarkStart w:id="117" w:name="_Toc27332"/>
      <w:bookmarkStart w:id="118" w:name="_Toc26626"/>
    </w:p>
    <w:bookmarkEnd w:id="115"/>
    <w:bookmarkEnd w:id="116"/>
    <w:bookmarkEnd w:id="117"/>
    <w:bookmarkEnd w:id="118"/>
    <w:p w14:paraId="7087726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6.5 BIM全周期管理的应用要求</w:t>
      </w:r>
      <w:bookmarkEnd w:id="107"/>
      <w:bookmarkEnd w:id="108"/>
      <w:bookmarkEnd w:id="109"/>
      <w:bookmarkEnd w:id="110"/>
    </w:p>
    <w:p w14:paraId="173BC96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项目要求用BIM正向设计完成，要求在主体结构工程以及各专业安装工程的设计须应用BIM技术,并预留施工、运营阶段的数据接入条件.通过开展针对该项目的BIM实施管理，保证各参与单位有计划的按照统一标准实现信息共享和工作协同，辅助设计、施工、移交管理，根据发包人要求及相关规范，保障BIM电子成果顺利在发包人提供或指定的信息系统上运行，实现BIM价值的延伸。</w:t>
      </w:r>
    </w:p>
    <w:p w14:paraId="6BAA706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实现各参与方通过BIM应用提升专业服务水平，提升项目的建设品质；通过同一BIM模型，统一信息传递标准，形成标准化模式，基于统一管理平台实现项目信息的集成管理；通过BIM为项目节省建造成本，减少资源浪费，实现绿色施工；为后期运营维护的信息化、数字化管理建立良好的数据基础；增强EPC项目团队协同管理能力，提升工作效率和项目质量，实现精益、智能建造。</w:t>
      </w:r>
    </w:p>
    <w:p w14:paraId="04A7D0A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需使用信息化管理平台完成相关建设工作，并与发包人现有系统平台实现数据对接。应根据甲方及项目进度要求完成模型的搭建、修改及相关调整工作，并把最新的模型和分析报告上传到甲方提供或指定的项目全生命期数字化管理平台中，BIM 模型必须由甲方或者甲方指定的顾问单位进行审核，且需满足甲方要求的平台格式标准。如承包人不具备自建数字工地及信息化管理平台能力，可经发包人认可分包技术服务商完成对接。经与发包人建立的信息化平台接通，并经发包人认可后方可入场施工。相关费用已包含在BIM应用费中。</w:t>
      </w:r>
    </w:p>
    <w:p w14:paraId="34FD56F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具体应用项包括但不限于：</w:t>
      </w:r>
    </w:p>
    <w:p w14:paraId="75FEEF1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6.6.1 施工图设计阶段，建立施工图阶段BIM模型，并按要求提供BIM设计模型进行审查（包括但不限于公司、住建局施工图三维数字化审查等）。</w:t>
      </w:r>
    </w:p>
    <w:p w14:paraId="502734A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6.6.2 在施工阶段，利用BIM技术进行交底，辅助、配合施工单位，建立BIM施工模型，实现工程项目施工过程可视化模拟、施工方案优化、施工进度和成本的动态管控。根据发包人现有信息系统及未来需对接的系统，制定BIM协同管理平台与对接系统的对接方案（包含预留数据接口），如与OA系统、施工单位智慧工地系统等，并进行实施。配合发包人统筹协调BIM与智慧工地、BIM与数字化施工等BIM+的应用管理工作。</w:t>
      </w:r>
    </w:p>
    <w:p w14:paraId="0B1AADE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6.6.3 配合运维平台单位以及其他平台单位进行数据交互与共享，具备BIM模型数据迁移功能条件，为数据互通提供技术支持，确保BIM为运维打下坚实的基础。</w:t>
      </w:r>
    </w:p>
    <w:p w14:paraId="198F21B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p>
    <w:p w14:paraId="70E6D39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sectPr>
          <w:headerReference r:id="rId9" w:type="default"/>
          <w:footerReference r:id="rId10" w:type="default"/>
          <w:pgSz w:w="11906" w:h="16838"/>
          <w:pgMar w:top="1440" w:right="1440" w:bottom="1440" w:left="1440" w:header="851" w:footer="992" w:gutter="0"/>
          <w:pgBorders>
            <w:top w:val="none" w:sz="0" w:space="0"/>
            <w:left w:val="none" w:sz="0" w:space="0"/>
            <w:bottom w:val="none" w:sz="0" w:space="0"/>
            <w:right w:val="none" w:sz="0" w:space="0"/>
          </w:pgBorders>
          <w:cols w:space="720" w:num="1"/>
          <w:docGrid w:type="lines" w:linePitch="312" w:charSpace="0"/>
        </w:sectPr>
      </w:pPr>
    </w:p>
    <w:p w14:paraId="680ED040">
      <w:pPr>
        <w:pStyle w:val="2"/>
        <w:keepNext w:val="0"/>
        <w:keepLines w:val="0"/>
        <w:snapToGrid/>
        <w:spacing w:line="360" w:lineRule="auto"/>
        <w:rPr>
          <w:rFonts w:hint="eastAsia" w:ascii="宋体" w:hAnsi="宋体" w:eastAsia="宋体" w:cs="宋体"/>
          <w:color w:val="000000" w:themeColor="text1"/>
          <w:highlight w:val="none"/>
          <w14:textFill>
            <w14:solidFill>
              <w14:schemeClr w14:val="tx1"/>
            </w14:solidFill>
          </w14:textFill>
        </w:rPr>
      </w:pPr>
      <w:bookmarkStart w:id="119" w:name="_Toc472"/>
      <w:bookmarkStart w:id="120" w:name="_Toc29537"/>
      <w:bookmarkStart w:id="121" w:name="_Toc3606"/>
      <w:bookmarkStart w:id="122" w:name="_Toc104581709"/>
      <w:bookmarkStart w:id="123" w:name="_Toc1637"/>
      <w:r>
        <w:rPr>
          <w:rFonts w:hint="eastAsia" w:ascii="宋体" w:hAnsi="宋体" w:eastAsia="宋体" w:cs="宋体"/>
          <w:color w:val="000000" w:themeColor="text1"/>
          <w:highlight w:val="none"/>
          <w14:textFill>
            <w14:solidFill>
              <w14:schemeClr w14:val="tx1"/>
            </w14:solidFill>
          </w14:textFill>
        </w:rPr>
        <w:t>二、规划设计要求</w:t>
      </w:r>
      <w:bookmarkEnd w:id="119"/>
      <w:bookmarkEnd w:id="120"/>
      <w:bookmarkEnd w:id="121"/>
      <w:bookmarkEnd w:id="122"/>
      <w:bookmarkEnd w:id="123"/>
      <w:bookmarkStart w:id="124" w:name="_Toc104581710"/>
      <w:bookmarkStart w:id="125" w:name="_Toc18248"/>
      <w:bookmarkStart w:id="126" w:name="_Toc12841"/>
      <w:bookmarkStart w:id="127" w:name="_Toc11924"/>
      <w:bookmarkStart w:id="128" w:name="_Toc179860362"/>
      <w:bookmarkStart w:id="129" w:name="_Toc176857828"/>
      <w:bookmarkStart w:id="130" w:name="_Toc176921272"/>
      <w:bookmarkStart w:id="131" w:name="_Toc176925103"/>
    </w:p>
    <w:bookmarkEnd w:id="124"/>
    <w:bookmarkEnd w:id="125"/>
    <w:bookmarkEnd w:id="126"/>
    <w:bookmarkEnd w:id="127"/>
    <w:p w14:paraId="1B5824E8">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bookmarkStart w:id="132" w:name="_Toc9361"/>
      <w:r>
        <w:rPr>
          <w:rFonts w:hint="eastAsia" w:ascii="宋体" w:hAnsi="宋体" w:eastAsia="宋体" w:cs="宋体"/>
          <w:color w:val="000000" w:themeColor="text1"/>
          <w:sz w:val="24"/>
          <w:szCs w:val="32"/>
          <w:highlight w:val="none"/>
          <w14:textFill>
            <w14:solidFill>
              <w14:schemeClr w14:val="tx1"/>
            </w14:solidFill>
          </w14:textFill>
        </w:rPr>
        <w:t>1、规划原则及用地布局</w:t>
      </w:r>
      <w:bookmarkEnd w:id="132"/>
    </w:p>
    <w:p w14:paraId="1F8CA336">
      <w:pPr>
        <w:snapToGrid/>
        <w:ind w:firstLine="480" w:firstLineChars="200"/>
        <w:rPr>
          <w:rFonts w:hint="eastAsia" w:ascii="宋体" w:hAnsi="宋体" w:eastAsia="宋体" w:cs="宋体"/>
          <w:b/>
          <w:bCs/>
          <w:strike/>
          <w:color w:val="000000" w:themeColor="text1"/>
          <w:sz w:val="24"/>
          <w:szCs w:val="32"/>
          <w:highlight w:val="none"/>
          <w14:textFill>
            <w14:solidFill>
              <w14:schemeClr w14:val="tx1"/>
            </w14:solidFill>
          </w14:textFill>
        </w:rPr>
      </w:pPr>
      <w:bookmarkStart w:id="133" w:name="_Toc6183"/>
      <w:r>
        <w:rPr>
          <w:rFonts w:hint="eastAsia" w:ascii="宋体" w:hAnsi="宋体" w:eastAsia="宋体" w:cs="宋体"/>
          <w:color w:val="000000" w:themeColor="text1"/>
          <w:sz w:val="24"/>
          <w:szCs w:val="32"/>
          <w:highlight w:val="none"/>
          <w14:textFill>
            <w14:solidFill>
              <w14:schemeClr w14:val="tx1"/>
            </w14:solidFill>
          </w14:textFill>
        </w:rPr>
        <w:t xml:space="preserve">1.1 </w:t>
      </w:r>
      <w:r>
        <w:rPr>
          <w:rFonts w:hint="eastAsia" w:ascii="宋体" w:hAnsi="宋体" w:eastAsia="宋体" w:cs="宋体"/>
          <w:color w:val="000000" w:themeColor="text1"/>
          <w:sz w:val="24"/>
          <w:szCs w:val="24"/>
          <w:highlight w:val="none"/>
          <w:lang w:bidi="ar"/>
          <w14:textFill>
            <w14:solidFill>
              <w14:schemeClr w14:val="tx1"/>
            </w14:solidFill>
          </w14:textFill>
        </w:rPr>
        <w:t>符合现有地形特征，尽量利用地形，以充分考虑经济性为基础，合理确定建筑的总体布局与功能设置。</w:t>
      </w:r>
    </w:p>
    <w:p w14:paraId="715E1AAB">
      <w:pPr>
        <w:snapToGrid/>
        <w:spacing w:before="0" w:after="0" w:line="360" w:lineRule="auto"/>
        <w:ind w:firstLine="480" w:firstLineChars="200"/>
        <w:jc w:val="both"/>
        <w:rPr>
          <w:rFonts w:hint="eastAsia" w:ascii="宋体" w:hAnsi="宋体" w:eastAsia="宋体" w:cs="宋体"/>
          <w:color w:val="000000" w:themeColor="text1"/>
          <w:sz w:val="24"/>
          <w:szCs w:val="32"/>
          <w:highlight w:val="none"/>
          <w14:textFill>
            <w14:solidFill>
              <w14:schemeClr w14:val="tx1"/>
            </w14:solidFill>
          </w14:textFill>
        </w:rPr>
      </w:pPr>
      <w:bookmarkStart w:id="134" w:name="_Toc6514"/>
      <w:r>
        <w:rPr>
          <w:rFonts w:hint="eastAsia" w:ascii="宋体" w:hAnsi="宋体" w:eastAsia="宋体" w:cs="宋体"/>
          <w:color w:val="000000" w:themeColor="text1"/>
          <w:sz w:val="24"/>
          <w:szCs w:val="32"/>
          <w:highlight w:val="none"/>
          <w14:textFill>
            <w14:solidFill>
              <w14:schemeClr w14:val="tx1"/>
            </w14:solidFill>
          </w14:textFill>
        </w:rPr>
        <w:t xml:space="preserve">1.2 </w:t>
      </w:r>
      <w:r>
        <w:rPr>
          <w:rFonts w:hint="eastAsia" w:ascii="宋体" w:hAnsi="宋体" w:eastAsia="宋体" w:cs="宋体"/>
          <w:color w:val="000000" w:themeColor="text1"/>
          <w:sz w:val="24"/>
          <w:szCs w:val="24"/>
          <w:highlight w:val="none"/>
          <w:lang w:bidi="ar"/>
          <w14:textFill>
            <w14:solidFill>
              <w14:schemeClr w14:val="tx1"/>
            </w14:solidFill>
          </w14:textFill>
        </w:rPr>
        <w:t>符合城市规划及商业建筑建设规划的要求，综合考虑建筑性质、建筑造型、建筑立面特征等与周围环境的关系，并应符合国家有关节约用地、节能节水、环境保护和消防安全等规定</w:t>
      </w:r>
      <w:r>
        <w:rPr>
          <w:rFonts w:hint="eastAsia" w:ascii="宋体" w:hAnsi="宋体" w:eastAsia="宋体" w:cs="宋体"/>
          <w:color w:val="000000" w:themeColor="text1"/>
          <w:sz w:val="24"/>
          <w:szCs w:val="32"/>
          <w:highlight w:val="none"/>
          <w14:textFill>
            <w14:solidFill>
              <w14:schemeClr w14:val="tx1"/>
            </w14:solidFill>
          </w14:textFill>
        </w:rPr>
        <w:t>。</w:t>
      </w:r>
    </w:p>
    <w:p w14:paraId="4231F9F9">
      <w:pPr>
        <w:pStyle w:val="2"/>
        <w:keepNext w:val="0"/>
        <w:keepLines w:val="0"/>
        <w:snapToGrid/>
        <w:spacing w:line="360" w:lineRule="auto"/>
        <w:ind w:firstLine="482" w:firstLineChars="200"/>
        <w:rPr>
          <w:rFonts w:hint="eastAsia" w:ascii="宋体" w:hAnsi="宋体" w:eastAsia="宋体" w:cs="宋体"/>
          <w:color w:val="000000" w:themeColor="text1"/>
          <w:sz w:val="24"/>
          <w:szCs w:val="24"/>
          <w:highlight w:val="none"/>
          <w:lang w:bidi="ar"/>
          <w14:textFill>
            <w14:solidFill>
              <w14:schemeClr w14:val="tx1"/>
            </w14:solidFill>
          </w14:textFill>
        </w:rPr>
      </w:pPr>
      <w:r>
        <w:rPr>
          <w:rFonts w:hint="eastAsia" w:ascii="宋体" w:hAnsi="宋体" w:eastAsia="宋体" w:cs="宋体"/>
          <w:color w:val="000000" w:themeColor="text1"/>
          <w:sz w:val="24"/>
          <w:szCs w:val="32"/>
          <w:highlight w:val="none"/>
          <w14:textFill>
            <w14:solidFill>
              <w14:schemeClr w14:val="tx1"/>
            </w14:solidFill>
          </w14:textFill>
        </w:rPr>
        <w:t xml:space="preserve">1.3 </w:t>
      </w:r>
      <w:r>
        <w:rPr>
          <w:rFonts w:hint="eastAsia" w:ascii="宋体" w:hAnsi="宋体" w:eastAsia="宋体" w:cs="宋体"/>
          <w:color w:val="000000" w:themeColor="text1"/>
          <w:sz w:val="24"/>
          <w:szCs w:val="24"/>
          <w:highlight w:val="none"/>
          <w:lang w:bidi="ar"/>
          <w14:textFill>
            <w14:solidFill>
              <w14:schemeClr w14:val="tx1"/>
            </w14:solidFill>
          </w14:textFill>
        </w:rPr>
        <w:t>综合布置建筑、绿地、停车场、道路等设施，交通组织合理，环境美观舒适。</w:t>
      </w:r>
      <w:bookmarkEnd w:id="134"/>
      <w:bookmarkStart w:id="135" w:name="_Toc9939"/>
    </w:p>
    <w:p w14:paraId="124F9602">
      <w:pPr>
        <w:pStyle w:val="2"/>
        <w:keepNext w:val="0"/>
        <w:keepLines w:val="0"/>
        <w:snapToGrid/>
        <w:spacing w:line="360" w:lineRule="auto"/>
        <w:ind w:firstLine="480" w:firstLineChars="200"/>
        <w:rPr>
          <w:rFonts w:hint="eastAsia" w:ascii="宋体" w:hAnsi="宋体" w:eastAsia="宋体" w:cs="宋体"/>
          <w:b w:val="0"/>
          <w:bCs w:val="0"/>
          <w:color w:val="000000" w:themeColor="text1"/>
          <w:sz w:val="24"/>
          <w:szCs w:val="32"/>
          <w:highlight w:val="none"/>
          <w14:textFill>
            <w14:solidFill>
              <w14:schemeClr w14:val="tx1"/>
            </w14:solidFill>
          </w14:textFill>
        </w:rPr>
      </w:pPr>
      <w:r>
        <w:rPr>
          <w:rFonts w:hint="eastAsia" w:ascii="宋体" w:hAnsi="宋体" w:eastAsia="宋体" w:cs="宋体"/>
          <w:b w:val="0"/>
          <w:bCs w:val="0"/>
          <w:color w:val="000000" w:themeColor="text1"/>
          <w:sz w:val="24"/>
          <w:szCs w:val="32"/>
          <w:highlight w:val="none"/>
          <w14:textFill>
            <w14:solidFill>
              <w14:schemeClr w14:val="tx1"/>
            </w14:solidFill>
          </w14:textFill>
        </w:rPr>
        <w:t>1.3 建设应体现“绿色节能、生态宜居”的设计理念。本项目按绿色建筑评价标准二星绿色建筑标准规划设计。</w:t>
      </w:r>
      <w:bookmarkEnd w:id="135"/>
    </w:p>
    <w:p w14:paraId="123A8852">
      <w:pPr>
        <w:ind w:firstLine="480" w:firstLineChars="200"/>
        <w:rPr>
          <w:rFonts w:ascii="Times New Roman" w:hAnsi="Times New Roman" w:cs="Times New Roman"/>
          <w:color w:val="000000" w:themeColor="text1"/>
          <w:sz w:val="21"/>
          <w:szCs w:val="20"/>
          <w:highlight w:val="none"/>
          <w14:textFill>
            <w14:solidFill>
              <w14:schemeClr w14:val="tx1"/>
            </w14:solidFill>
          </w14:textFill>
        </w:rPr>
      </w:pPr>
      <w:r>
        <w:rPr>
          <w:rFonts w:hint="eastAsia" w:ascii="宋体" w:hAnsi="宋体" w:eastAsia="宋体" w:cs="宋体"/>
          <w:color w:val="000000" w:themeColor="text1"/>
          <w:sz w:val="24"/>
          <w:szCs w:val="32"/>
          <w:highlight w:val="none"/>
          <w14:textFill>
            <w14:solidFill>
              <w14:schemeClr w14:val="tx1"/>
            </w14:solidFill>
          </w14:textFill>
        </w:rPr>
        <w:t xml:space="preserve">1.5 </w:t>
      </w:r>
      <w:r>
        <w:rPr>
          <w:rFonts w:hint="eastAsia" w:ascii="宋体" w:hAnsi="宋体" w:eastAsia="宋体" w:cs="宋体"/>
          <w:color w:val="000000" w:themeColor="text1"/>
          <w:sz w:val="24"/>
          <w:szCs w:val="24"/>
          <w:highlight w:val="none"/>
          <w:lang w:bidi="ar"/>
          <w14:textFill>
            <w14:solidFill>
              <w14:schemeClr w14:val="tx1"/>
            </w14:solidFill>
          </w14:textFill>
        </w:rPr>
        <w:t>针对设计难点，根据用地现状的竖向标高，以充分利用现有地台，减少土方开挖为设计指导原则。从消防登高面选择、人防地下室设置位置、土方量等方面进行多方案比选</w:t>
      </w:r>
      <w:r>
        <w:rPr>
          <w:rFonts w:hint="eastAsia" w:ascii="宋体" w:hAnsi="宋体" w:eastAsia="宋体" w:cs="宋体"/>
          <w:color w:val="000000" w:themeColor="text1"/>
          <w:sz w:val="24"/>
          <w:szCs w:val="32"/>
          <w:highlight w:val="none"/>
          <w14:textFill>
            <w14:solidFill>
              <w14:schemeClr w14:val="tx1"/>
            </w14:solidFill>
          </w14:textFill>
        </w:rPr>
        <w:t>。</w:t>
      </w:r>
    </w:p>
    <w:p w14:paraId="6A8C711A">
      <w:pPr>
        <w:pStyle w:val="2"/>
        <w:keepNext w:val="0"/>
        <w:keepLines w:val="0"/>
        <w:snapToGrid/>
        <w:spacing w:line="360" w:lineRule="auto"/>
        <w:ind w:firstLine="480" w:firstLineChars="200"/>
        <w:rPr>
          <w:rFonts w:hint="eastAsia" w:ascii="宋体" w:hAnsi="宋体" w:eastAsia="宋体" w:cs="宋体"/>
          <w:b w:val="0"/>
          <w:bCs w:val="0"/>
          <w:color w:val="000000" w:themeColor="text1"/>
          <w:sz w:val="24"/>
          <w:szCs w:val="32"/>
          <w:highlight w:val="none"/>
          <w14:textFill>
            <w14:solidFill>
              <w14:schemeClr w14:val="tx1"/>
            </w14:solidFill>
          </w14:textFill>
        </w:rPr>
      </w:pPr>
      <w:r>
        <w:rPr>
          <w:rFonts w:hint="eastAsia" w:ascii="宋体" w:hAnsi="宋体" w:eastAsia="宋体" w:cs="宋体"/>
          <w:b w:val="0"/>
          <w:bCs w:val="0"/>
          <w:color w:val="000000" w:themeColor="text1"/>
          <w:sz w:val="24"/>
          <w:szCs w:val="32"/>
          <w:highlight w:val="none"/>
          <w14:textFill>
            <w14:solidFill>
              <w14:schemeClr w14:val="tx1"/>
            </w14:solidFill>
          </w14:textFill>
        </w:rPr>
        <w:t>1.6 规划应结合绿色建筑生态理念，降低热岛效应，适度利用再生能源。</w:t>
      </w:r>
      <w:bookmarkEnd w:id="133"/>
    </w:p>
    <w:p w14:paraId="28DBDEF1">
      <w:pPr>
        <w:pStyle w:val="2"/>
        <w:keepNext w:val="0"/>
        <w:keepLines w:val="0"/>
        <w:snapToGrid/>
        <w:spacing w:line="360" w:lineRule="auto"/>
        <w:ind w:firstLine="480" w:firstLineChars="200"/>
        <w:rPr>
          <w:rFonts w:hint="eastAsia" w:ascii="宋体" w:hAnsi="宋体" w:eastAsia="宋体" w:cs="宋体"/>
          <w:b w:val="0"/>
          <w:bCs w:val="0"/>
          <w:color w:val="000000" w:themeColor="text1"/>
          <w:sz w:val="24"/>
          <w:szCs w:val="32"/>
          <w:highlight w:val="none"/>
          <w14:textFill>
            <w14:solidFill>
              <w14:schemeClr w14:val="tx1"/>
            </w14:solidFill>
          </w14:textFill>
        </w:rPr>
      </w:pPr>
      <w:bookmarkStart w:id="136" w:name="_Toc32055"/>
      <w:r>
        <w:rPr>
          <w:rFonts w:hint="eastAsia" w:ascii="宋体" w:hAnsi="宋体" w:eastAsia="宋体" w:cs="宋体"/>
          <w:b w:val="0"/>
          <w:bCs w:val="0"/>
          <w:color w:val="000000" w:themeColor="text1"/>
          <w:sz w:val="24"/>
          <w:szCs w:val="32"/>
          <w:highlight w:val="none"/>
          <w14:textFill>
            <w14:solidFill>
              <w14:schemeClr w14:val="tx1"/>
            </w14:solidFill>
          </w14:textFill>
        </w:rPr>
        <w:t>1.7 住宅单体及总体布局应尽可能保证相同户型的均好性。</w:t>
      </w:r>
      <w:bookmarkEnd w:id="136"/>
    </w:p>
    <w:p w14:paraId="16049DFE">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bookmarkStart w:id="137" w:name="_Toc20610"/>
      <w:bookmarkStart w:id="138" w:name="_Toc23949"/>
      <w:bookmarkStart w:id="139" w:name="_Toc104581711"/>
      <w:bookmarkStart w:id="140" w:name="_Toc21656"/>
      <w:bookmarkStart w:id="141" w:name="_Toc28121"/>
      <w:r>
        <w:rPr>
          <w:rFonts w:hint="eastAsia" w:ascii="宋体" w:hAnsi="宋体" w:eastAsia="宋体" w:cs="宋体"/>
          <w:color w:val="000000" w:themeColor="text1"/>
          <w:sz w:val="24"/>
          <w:szCs w:val="32"/>
          <w:highlight w:val="none"/>
          <w14:textFill>
            <w14:solidFill>
              <w14:schemeClr w14:val="tx1"/>
            </w14:solidFill>
          </w14:textFill>
        </w:rPr>
        <w:t>2、总图设计原则</w:t>
      </w:r>
      <w:bookmarkEnd w:id="137"/>
      <w:bookmarkEnd w:id="138"/>
      <w:bookmarkEnd w:id="139"/>
      <w:bookmarkEnd w:id="140"/>
      <w:bookmarkEnd w:id="141"/>
    </w:p>
    <w:p w14:paraId="4A2DD5F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2.1建筑必须按照规划设计要点的用地界线、控制高度、间距及开口天井等规划要求进行设计，并满足《广州市城乡规划技术规定》相关要求。</w:t>
      </w:r>
    </w:p>
    <w:p w14:paraId="5B76438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2.3地块交通组织应便捷、经济、合理组织人流和车流，有利安全防卫，道路网络层次适当，架构清晰，衔接合理。主要出入口、公共交通组织及公共服务设施应考虑无障碍设计。</w:t>
      </w:r>
    </w:p>
    <w:p w14:paraId="6308F02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2.4 设置与居民人口相对应的公共活动中心，综合考虑公共活动场地与步行系统的设置，注重塑造有利于居民交流的公共活动空间。</w:t>
      </w:r>
    </w:p>
    <w:p w14:paraId="68F2C44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2.5 应充分利用地形、地貌和环境，合理布置建筑和绿化景观，丰富空间，美化环境，体现地方特色，体现实用性，同时应注重景观的均好性。</w:t>
      </w:r>
    </w:p>
    <w:p w14:paraId="446131D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2.6 建筑间距、道路宽度和绿地率应遵循集约节约用地的原则，应充分利用土地，容积率可按相应区域控制指标的上限取值。</w:t>
      </w:r>
    </w:p>
    <w:p w14:paraId="5FC1A83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2.7 地下室顶板覆土的厚度在设计中应考虑植物生长的最小土层厚度。集中绿地部分覆土厚度建议不小于1.5m，需种植高大乔木处应局部加大至2.0m深。地下室顶板覆土种植应增设疏水排水系统。</w:t>
      </w:r>
    </w:p>
    <w:p w14:paraId="236059F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2.8 合理设置公共服务设施，避免烟气、粉尘及噪声对居民的污染和干扰。</w:t>
      </w:r>
    </w:p>
    <w:p w14:paraId="42694EB3">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bookmarkStart w:id="142" w:name="_Toc3972"/>
      <w:bookmarkStart w:id="143" w:name="_Toc104581712"/>
      <w:bookmarkStart w:id="144" w:name="_Toc31610"/>
      <w:bookmarkStart w:id="145" w:name="_Toc7003"/>
      <w:bookmarkStart w:id="146" w:name="_Toc14182"/>
      <w:r>
        <w:rPr>
          <w:rFonts w:hint="eastAsia" w:ascii="宋体" w:hAnsi="宋体" w:eastAsia="宋体" w:cs="宋体"/>
          <w:color w:val="000000" w:themeColor="text1"/>
          <w:sz w:val="24"/>
          <w:szCs w:val="32"/>
          <w:highlight w:val="none"/>
          <w14:textFill>
            <w14:solidFill>
              <w14:schemeClr w14:val="tx1"/>
            </w14:solidFill>
          </w14:textFill>
        </w:rPr>
        <w:t>3、空间组织和景观特色要求</w:t>
      </w:r>
      <w:bookmarkEnd w:id="142"/>
      <w:bookmarkEnd w:id="143"/>
      <w:bookmarkEnd w:id="144"/>
      <w:bookmarkEnd w:id="145"/>
      <w:bookmarkEnd w:id="146"/>
    </w:p>
    <w:p w14:paraId="5CFCF24E">
      <w:pPr>
        <w:pStyle w:val="24"/>
        <w:ind w:firstLine="480"/>
        <w:rPr>
          <w:rFonts w:hint="eastAsia" w:hAnsi="宋体" w:cs="宋体"/>
          <w:color w:val="000000" w:themeColor="text1"/>
          <w:highlight w:val="none"/>
          <w14:textFill>
            <w14:solidFill>
              <w14:schemeClr w14:val="tx1"/>
            </w14:solidFill>
          </w14:textFill>
        </w:rPr>
      </w:pPr>
      <w:bookmarkStart w:id="147" w:name="_Toc15706"/>
      <w:bookmarkStart w:id="148" w:name="_Toc26558"/>
      <w:bookmarkStart w:id="149" w:name="_Toc4091"/>
      <w:bookmarkStart w:id="150" w:name="_Toc104581713"/>
      <w:bookmarkStart w:id="151" w:name="_Toc19852"/>
      <w:r>
        <w:rPr>
          <w:rFonts w:hint="eastAsia" w:hAnsi="宋体" w:cs="宋体"/>
          <w:color w:val="000000" w:themeColor="text1"/>
          <w:highlight w:val="none"/>
          <w14:textFill>
            <w14:solidFill>
              <w14:schemeClr w14:val="tx1"/>
            </w14:solidFill>
          </w14:textFill>
        </w:rPr>
        <w:t>3.1 规划布局和建筑设计应体现岭南建筑的特色，与周边环境相协调。3.2 建筑风格应结合所在地域的气候特性和绿色建筑要求，尽量减少无功能作用的造型装饰构件。建筑构件与建筑空间、建筑造型进行一体化设计，既作为立面设计的元素，又起到遮阳隔热、通风降温的作用。</w:t>
      </w:r>
    </w:p>
    <w:p w14:paraId="6EE88CE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 宜结合架空层、景观小品布置有岭南特色的园林环境空间，商业及其他服务网点宜设置在裙楼，使住宅与主要公建配套设施连接设施连接，方便出行。</w:t>
      </w:r>
    </w:p>
    <w:p w14:paraId="6A72495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3.4 建筑造型宜简洁大方，富有时代气息，适当借鉴岭南建筑与亚热带建筑手法，提取具有岭南地域特色的设计元素，赋予建筑形态以可识别性，强化建筑的地域性。</w:t>
      </w:r>
    </w:p>
    <w:p w14:paraId="3D747D2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3.5 建筑设计风格应与周边建筑协调，同时又要有自身的特色，以适度变化的建筑色彩和文化内涵，丰富居住区的整体效果。</w:t>
      </w:r>
    </w:p>
    <w:p w14:paraId="38F10B65">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r>
        <w:rPr>
          <w:rFonts w:hint="eastAsia" w:ascii="宋体" w:hAnsi="宋体" w:eastAsia="宋体" w:cs="宋体"/>
          <w:color w:val="000000" w:themeColor="text1"/>
          <w:sz w:val="24"/>
          <w:szCs w:val="32"/>
          <w:highlight w:val="none"/>
          <w14:textFill>
            <w14:solidFill>
              <w14:schemeClr w14:val="tx1"/>
            </w14:solidFill>
          </w14:textFill>
        </w:rPr>
        <w:t>4、公共配套服务设施</w:t>
      </w:r>
      <w:bookmarkEnd w:id="147"/>
      <w:bookmarkEnd w:id="148"/>
      <w:bookmarkEnd w:id="149"/>
      <w:bookmarkEnd w:id="150"/>
      <w:bookmarkEnd w:id="151"/>
    </w:p>
    <w:p w14:paraId="124EE235">
      <w:pPr>
        <w:pStyle w:val="24"/>
        <w:ind w:firstLine="480"/>
        <w:rPr>
          <w:rFonts w:hint="eastAsia" w:hAnsi="宋体" w:cs="宋体"/>
          <w:color w:val="000000" w:themeColor="text1"/>
          <w:highlight w:val="none"/>
          <w14:textFill>
            <w14:solidFill>
              <w14:schemeClr w14:val="tx1"/>
            </w14:solidFill>
          </w14:textFill>
        </w:rPr>
      </w:pPr>
      <w:bookmarkStart w:id="152" w:name="_Toc23964"/>
      <w:bookmarkStart w:id="153" w:name="_Toc15643"/>
      <w:bookmarkStart w:id="154" w:name="_Toc14934"/>
      <w:bookmarkStart w:id="155" w:name="_Toc27612"/>
      <w:bookmarkStart w:id="156" w:name="_Toc104581714"/>
      <w:r>
        <w:rPr>
          <w:rFonts w:hint="eastAsia" w:hAnsi="宋体" w:cs="宋体"/>
          <w:color w:val="000000" w:themeColor="text1"/>
          <w:highlight w:val="none"/>
          <w14:textFill>
            <w14:solidFill>
              <w14:schemeClr w14:val="tx1"/>
            </w14:solidFill>
          </w14:textFill>
        </w:rPr>
        <w:t>4.1 配套公建的配建水平，应与居住人口规模相对应，公共服务设施布点应与居住区规划结构相适应。</w:t>
      </w:r>
    </w:p>
    <w:p w14:paraId="7748CDCA">
      <w:pPr>
        <w:pStyle w:val="24"/>
        <w:ind w:firstLine="480"/>
        <w:rPr>
          <w:rFonts w:hint="eastAsia" w:hAnsi="宋体" w:cs="宋体"/>
          <w:strike/>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4.2 餐饮等，对住户卫生及噪声干扰较大的公建配套用房，不应直接布置在住宅楼标准层的投影范围内。</w:t>
      </w:r>
    </w:p>
    <w:p w14:paraId="3F0BA39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4.3 配套公建应与住宅同步规划、设计，同步建设和同时投入使用。</w:t>
      </w:r>
    </w:p>
    <w:p w14:paraId="3C9080C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4.4 停车场设置原则：</w:t>
      </w:r>
    </w:p>
    <w:p w14:paraId="0EA9E5E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4.4.1 居住小区停车场设置应满足各组团人车分流的要求；</w:t>
      </w:r>
    </w:p>
    <w:p w14:paraId="26E4C56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4.4.2 车位宜按照“地下停车设计”的原则设置；</w:t>
      </w:r>
    </w:p>
    <w:p w14:paraId="3176B48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4.5 在车位满足规划配置要求的情况下，应结合地块地形条件布置地下车库和设备房，以降低工程造价。</w:t>
      </w:r>
    </w:p>
    <w:p w14:paraId="31F84EE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4.7 垃圾收集站、垃圾压缩站应独立用地，周边绿化隔离带，与住宅的距离不宜小于14m，且宜利用假山等绿化措施对垃圾收集站、垃圾压缩站进行遮蔽设计；垃圾收集站宜与环卫工人休息场所、环卫工具房合设，服务半径不宜超过800m；站前区布置应满足垃圾收集小车和垃圾运输车通行和安全作业的需要，站内配备给排水设施。</w:t>
      </w:r>
    </w:p>
    <w:p w14:paraId="1DF8903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4.8 110kV变电站与住宅楼的水平距离不宜小于25m。</w:t>
      </w:r>
    </w:p>
    <w:p w14:paraId="63C0AD8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4.9 餐饮建筑应预留集中排烟道，并采取高空排放；排烟道的高温与油渍不能对相邻住户产生影响，不得直接利用相邻住户砖墙做烟道壁，排烟道顶部应做防雨措施。</w:t>
      </w:r>
    </w:p>
    <w:p w14:paraId="71CEB676">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r>
        <w:rPr>
          <w:rFonts w:hint="eastAsia" w:ascii="宋体" w:hAnsi="宋体" w:eastAsia="宋体" w:cs="宋体"/>
          <w:color w:val="000000" w:themeColor="text1"/>
          <w:sz w:val="24"/>
          <w:szCs w:val="32"/>
          <w:highlight w:val="none"/>
          <w14:textFill>
            <w14:solidFill>
              <w14:schemeClr w14:val="tx1"/>
            </w14:solidFill>
          </w14:textFill>
        </w:rPr>
        <w:t>5.道路交通组织</w:t>
      </w:r>
      <w:bookmarkEnd w:id="152"/>
      <w:bookmarkEnd w:id="153"/>
      <w:bookmarkEnd w:id="154"/>
      <w:bookmarkEnd w:id="155"/>
      <w:bookmarkEnd w:id="156"/>
    </w:p>
    <w:p w14:paraId="223ACE9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5.1 合理组织地块对外交通关系：注意协调住宅地块及周边道路的标高关系，处理好各类车流的出入口与城市道路的关系。</w:t>
      </w:r>
    </w:p>
    <w:p w14:paraId="45137AB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5.2 居住小区内道路交通组织注意人车分流，组织好地块内交通流线，便捷通畅，并有利于居住小区封闭式物业管理。道路系统满足交通、消防等方面的要求，并符合无障碍设计原则。</w:t>
      </w:r>
    </w:p>
    <w:p w14:paraId="1756FFB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5.3 室内机动车和非机动车位宜按照需要集中设置。室外停车位可结合居住小区内道路停车带和其它场地设置。</w:t>
      </w:r>
    </w:p>
    <w:p w14:paraId="7F9BFAE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5.4 总图中应做好消防车道及消防登高面设计，在满足消防规范的同时，尽量减少对环境的影响。</w:t>
      </w:r>
    </w:p>
    <w:p w14:paraId="1DF51BF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5.5 地下车库的出入口应选位适当，减少汽车行驶对上部建筑的影响，出入口坡道地面处理除符合行车需要外，还应避免表面过于粗糙引致的行车噪音对周边住宅产生不良影响。</w:t>
      </w:r>
    </w:p>
    <w:p w14:paraId="5F3F182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5.6 小区机动车出入口距城市主干道交叉口不应小于70m。宜将城市公共交通线路引入小区边缘地区，并设置相应停靠站。</w:t>
      </w:r>
    </w:p>
    <w:p w14:paraId="128EF501">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bookmarkStart w:id="157" w:name="_Toc13658"/>
      <w:bookmarkStart w:id="158" w:name="_Toc19255"/>
      <w:bookmarkStart w:id="159" w:name="_Toc2421"/>
      <w:bookmarkStart w:id="160" w:name="_Toc18780"/>
      <w:bookmarkStart w:id="161" w:name="_Toc104581715"/>
      <w:r>
        <w:rPr>
          <w:rFonts w:hint="eastAsia" w:ascii="宋体" w:hAnsi="宋体" w:eastAsia="宋体" w:cs="宋体"/>
          <w:color w:val="000000" w:themeColor="text1"/>
          <w:sz w:val="24"/>
          <w:szCs w:val="32"/>
          <w:highlight w:val="none"/>
          <w14:textFill>
            <w14:solidFill>
              <w14:schemeClr w14:val="tx1"/>
            </w14:solidFill>
          </w14:textFill>
        </w:rPr>
        <w:t>6.竖向规划原则</w:t>
      </w:r>
      <w:bookmarkEnd w:id="157"/>
      <w:bookmarkEnd w:id="158"/>
      <w:bookmarkEnd w:id="159"/>
      <w:bookmarkEnd w:id="160"/>
      <w:bookmarkEnd w:id="161"/>
    </w:p>
    <w:p w14:paraId="1159D081">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6.1 因地制宜地利用现状地形，结合居住小区中的景观水体填挖，尽量实现社区内或地块内土方平衡。对于地形复杂的场地，凡是地形变标高处，均应进行详细竖向设计。</w:t>
      </w:r>
    </w:p>
    <w:p w14:paraId="3DA08DA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6.2 充分了解周围市政设施、综合管线规划和建设情况，对本项目内综合管线（供水、雨水、污水、电力、燃气、电信）进行有机的组织和布局，并考虑合理的接驳位置。</w:t>
      </w:r>
    </w:p>
    <w:p w14:paraId="536605C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6.3 需对场地的标高进行详细的设计，结合地形及其他相关因素确定场地的标高，做到经济、合理。需对场地的排水进行综合设计，做到通畅简洁；尽量使用暗沟组织场地的排水系统，确需使用明沟时，需减少对环境的影响。</w:t>
      </w:r>
      <w:bookmarkStart w:id="162" w:name="_Toc11842"/>
      <w:bookmarkStart w:id="163" w:name="_Toc27352"/>
      <w:bookmarkStart w:id="164" w:name="_Toc13171"/>
      <w:bookmarkStart w:id="165" w:name="_Toc104581716"/>
    </w:p>
    <w:p w14:paraId="0BF83DD2">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bookmarkStart w:id="166" w:name="_Toc804"/>
      <w:r>
        <w:rPr>
          <w:rFonts w:hint="eastAsia" w:ascii="宋体" w:hAnsi="宋体" w:eastAsia="宋体" w:cs="宋体"/>
          <w:color w:val="000000" w:themeColor="text1"/>
          <w:sz w:val="24"/>
          <w:szCs w:val="32"/>
          <w:highlight w:val="none"/>
          <w14:textFill>
            <w14:solidFill>
              <w14:schemeClr w14:val="tx1"/>
            </w14:solidFill>
          </w14:textFill>
        </w:rPr>
        <w:t>7.控高要求</w:t>
      </w:r>
      <w:bookmarkEnd w:id="162"/>
      <w:bookmarkEnd w:id="163"/>
      <w:bookmarkEnd w:id="164"/>
      <w:bookmarkEnd w:id="165"/>
      <w:bookmarkEnd w:id="166"/>
    </w:p>
    <w:p w14:paraId="4D68604E">
      <w:pPr>
        <w:pStyle w:val="24"/>
        <w:ind w:firstLine="480"/>
        <w:rPr>
          <w:rFonts w:hint="eastAsia" w:hAnsi="宋体" w:cs="宋体"/>
          <w:color w:val="000000" w:themeColor="text1"/>
          <w:highlight w:val="none"/>
          <w14:textFill>
            <w14:solidFill>
              <w14:schemeClr w14:val="tx1"/>
            </w14:solidFill>
          </w14:textFill>
        </w:rPr>
      </w:pPr>
      <w:bookmarkStart w:id="167" w:name="_Toc5309"/>
      <w:bookmarkStart w:id="168" w:name="_Toc20500"/>
      <w:bookmarkStart w:id="169" w:name="_Toc11743"/>
      <w:bookmarkStart w:id="170" w:name="_Toc2119"/>
      <w:bookmarkStart w:id="171" w:name="_Toc104581717"/>
      <w:r>
        <w:rPr>
          <w:rFonts w:hint="eastAsia" w:hAnsi="宋体" w:cs="宋体"/>
          <w:color w:val="000000" w:themeColor="text1"/>
          <w:highlight w:val="none"/>
          <w14:textFill>
            <w14:solidFill>
              <w14:schemeClr w14:val="tx1"/>
            </w14:solidFill>
          </w14:textFill>
        </w:rPr>
        <w:t>建筑限高100米，建筑高度须满足岑村机场净空控制要求。建筑物最高点（包括避雷针等任何构件）不得超过航空限高。</w:t>
      </w:r>
    </w:p>
    <w:bookmarkEnd w:id="128"/>
    <w:bookmarkEnd w:id="129"/>
    <w:bookmarkEnd w:id="130"/>
    <w:bookmarkEnd w:id="131"/>
    <w:bookmarkEnd w:id="167"/>
    <w:bookmarkEnd w:id="168"/>
    <w:bookmarkEnd w:id="169"/>
    <w:bookmarkEnd w:id="170"/>
    <w:bookmarkEnd w:id="171"/>
    <w:p w14:paraId="384360F6">
      <w:pPr>
        <w:pStyle w:val="2"/>
        <w:keepNext w:val="0"/>
        <w:keepLines w:val="0"/>
        <w:snapToGrid/>
        <w:spacing w:line="360" w:lineRule="auto"/>
        <w:ind w:firstLine="482" w:firstLineChars="200"/>
        <w:rPr>
          <w:rFonts w:hint="eastAsia" w:ascii="宋体" w:hAnsi="宋体" w:eastAsia="宋体" w:cs="宋体"/>
          <w:color w:val="000000" w:themeColor="text1"/>
          <w:sz w:val="24"/>
          <w:szCs w:val="32"/>
          <w:highlight w:val="none"/>
          <w14:textFill>
            <w14:solidFill>
              <w14:schemeClr w14:val="tx1"/>
            </w14:solidFill>
          </w14:textFill>
        </w:rPr>
      </w:pPr>
      <w:r>
        <w:rPr>
          <w:rFonts w:hint="eastAsia" w:ascii="宋体" w:hAnsi="宋体" w:eastAsia="宋体" w:cs="宋体"/>
          <w:color w:val="000000" w:themeColor="text1"/>
          <w:sz w:val="24"/>
          <w:szCs w:val="32"/>
          <w:highlight w:val="none"/>
          <w14:textFill>
            <w14:solidFill>
              <w14:schemeClr w14:val="tx1"/>
            </w14:solidFill>
          </w14:textFill>
        </w:rPr>
        <w:t>8.居住小区管理要求</w:t>
      </w:r>
    </w:p>
    <w:p w14:paraId="0BEB81E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8.1 居住小区以自然村为单位进行小区管理。</w:t>
      </w:r>
    </w:p>
    <w:p w14:paraId="64E442A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8.2 居住小区按智能化标准规划，设置物业管理中心，建设设计应提供必要的管理用房。物业管理服务中心对居住小区进行智能化集中管理，包括设置居住小区火灾自动报警系统及保安监控管理中心。</w:t>
      </w:r>
    </w:p>
    <w:p w14:paraId="23DDED8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8.3 居住小区建立封闭式管理模式，采用外围、单元门等层次封闭管理。出入口设置岗亭或门禁系统：单元门(大堂)设智能可视对讲。</w:t>
      </w:r>
    </w:p>
    <w:p w14:paraId="13EE9E0D">
      <w:pPr>
        <w:widowControl/>
        <w:rPr>
          <w:rFonts w:hint="eastAsia" w:ascii="宋体" w:hAnsi="宋体" w:eastAsia="宋体" w:cs="宋体"/>
          <w:b/>
          <w:color w:val="000000" w:themeColor="text1"/>
          <w:kern w:val="44"/>
          <w:sz w:val="32"/>
          <w:szCs w:val="32"/>
          <w:highlight w:val="non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br w:type="page"/>
      </w:r>
    </w:p>
    <w:bookmarkEnd w:id="15"/>
    <w:bookmarkEnd w:id="16"/>
    <w:p w14:paraId="4432272C">
      <w:pPr>
        <w:pStyle w:val="2"/>
        <w:keepNext w:val="0"/>
        <w:keepLines w:val="0"/>
        <w:snapToGrid/>
        <w:spacing w:line="360" w:lineRule="auto"/>
        <w:jc w:val="both"/>
        <w:rPr>
          <w:rFonts w:hint="eastAsia" w:ascii="宋体" w:hAnsi="宋体" w:eastAsia="宋体" w:cs="宋体"/>
          <w:color w:val="000000" w:themeColor="text1"/>
          <w:highlight w:val="none"/>
          <w14:textFill>
            <w14:solidFill>
              <w14:schemeClr w14:val="tx1"/>
            </w14:solidFill>
          </w14:textFill>
        </w:rPr>
      </w:pPr>
      <w:bookmarkStart w:id="172" w:name="_Toc69826371"/>
      <w:bookmarkEnd w:id="172"/>
      <w:bookmarkStart w:id="173" w:name="_Toc12395"/>
      <w:bookmarkStart w:id="174" w:name="_Toc19285"/>
      <w:bookmarkStart w:id="175" w:name="_Toc30697"/>
      <w:bookmarkStart w:id="176" w:name="_Toc16356"/>
      <w:bookmarkStart w:id="177" w:name="_Toc104581718"/>
      <w:r>
        <w:rPr>
          <w:rFonts w:hint="eastAsia" w:ascii="宋体" w:hAnsi="宋体" w:eastAsia="宋体" w:cs="宋体"/>
          <w:color w:val="000000" w:themeColor="text1"/>
          <w:highlight w:val="none"/>
          <w14:textFill>
            <w14:solidFill>
              <w14:schemeClr w14:val="tx1"/>
            </w14:solidFill>
          </w14:textFill>
        </w:rPr>
        <w:t>三、设计工作要求</w:t>
      </w:r>
      <w:bookmarkEnd w:id="173"/>
      <w:bookmarkEnd w:id="174"/>
      <w:bookmarkEnd w:id="175"/>
      <w:bookmarkEnd w:id="176"/>
      <w:bookmarkEnd w:id="177"/>
    </w:p>
    <w:p w14:paraId="5315A3A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178" w:name="_Toc308181984"/>
      <w:r>
        <w:rPr>
          <w:rFonts w:hint="eastAsia" w:ascii="宋体" w:hAnsi="宋体" w:eastAsia="宋体" w:cs="宋体"/>
          <w:color w:val="000000" w:themeColor="text1"/>
          <w:sz w:val="24"/>
          <w:szCs w:val="24"/>
          <w:highlight w:val="none"/>
          <w14:textFill>
            <w14:solidFill>
              <w14:schemeClr w14:val="tx1"/>
            </w14:solidFill>
          </w14:textFill>
        </w:rPr>
        <w:t>承包人应参照政府固定资产投资应当坚持估算控制概算，概算控制预算，预算控制决算的原则，参照《广州市政府投资管理条例》、《广州市财政投资评审监督管理办法》做好限额设计。</w:t>
      </w:r>
      <w:bookmarkStart w:id="179" w:name="_Toc50537206"/>
      <w:bookmarkStart w:id="180" w:name="_Toc28516"/>
      <w:bookmarkStart w:id="181" w:name="_Toc444182766"/>
      <w:bookmarkStart w:id="182" w:name="_Toc104581719"/>
      <w:bookmarkStart w:id="183" w:name="_Toc6837"/>
      <w:bookmarkStart w:id="184" w:name="_Toc15281"/>
    </w:p>
    <w:p w14:paraId="0033B08F">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1.设计目标</w:t>
      </w:r>
      <w:bookmarkEnd w:id="179"/>
      <w:bookmarkEnd w:id="180"/>
      <w:bookmarkEnd w:id="181"/>
      <w:bookmarkEnd w:id="182"/>
      <w:bookmarkEnd w:id="183"/>
      <w:bookmarkEnd w:id="184"/>
    </w:p>
    <w:p w14:paraId="5A091997">
      <w:pPr>
        <w:spacing w:line="360" w:lineRule="auto"/>
        <w:ind w:firstLine="482" w:firstLineChars="200"/>
        <w:rPr>
          <w:rFonts w:hint="eastAsia" w:ascii="宋体" w:hAnsi="宋体" w:eastAsia="宋体"/>
          <w:b/>
          <w:color w:val="000000" w:themeColor="text1"/>
          <w:sz w:val="24"/>
          <w:szCs w:val="24"/>
          <w:highlight w:val="none"/>
          <w14:textFill>
            <w14:solidFill>
              <w14:schemeClr w14:val="tx1"/>
            </w14:solidFill>
          </w14:textFill>
        </w:rPr>
      </w:pPr>
      <w:bookmarkStart w:id="185" w:name="_Toc104581720"/>
      <w:bookmarkStart w:id="186" w:name="_Toc22908"/>
      <w:bookmarkStart w:id="187" w:name="_Toc50537207"/>
      <w:bookmarkStart w:id="188" w:name="_Toc23013"/>
      <w:bookmarkStart w:id="189" w:name="_Toc16302"/>
      <w:bookmarkStart w:id="190" w:name="_Toc475397308"/>
      <w:r>
        <w:rPr>
          <w:rFonts w:hint="eastAsia" w:ascii="宋体" w:hAnsi="宋体" w:eastAsia="宋体"/>
          <w:b/>
          <w:color w:val="000000" w:themeColor="text1"/>
          <w:sz w:val="24"/>
          <w:szCs w:val="24"/>
          <w:highlight w:val="none"/>
          <w14:textFill>
            <w14:solidFill>
              <w14:schemeClr w14:val="tx1"/>
            </w14:solidFill>
          </w14:textFill>
        </w:rPr>
        <w:t>建设规模详见合同和招标公告。</w:t>
      </w:r>
    </w:p>
    <w:p w14:paraId="2A27A62D">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2.设计原则及理念</w:t>
      </w:r>
      <w:bookmarkEnd w:id="185"/>
      <w:bookmarkEnd w:id="186"/>
      <w:bookmarkEnd w:id="187"/>
      <w:bookmarkEnd w:id="188"/>
      <w:bookmarkEnd w:id="189"/>
      <w:bookmarkEnd w:id="190"/>
    </w:p>
    <w:p w14:paraId="4E1ED8E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2.1 满足国家关于建筑设计的规范标准的要求及设计行业相关技术规范条文的要求，严格执行国家工程建设标准强制性条文。“以人为本”的设计原则，考虑到使用者的使用需求。</w:t>
      </w:r>
    </w:p>
    <w:p w14:paraId="1074C80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2.2 项目设计应符合城市总体规划要求，满足规划部门的规划设计要点，同时满足业主关于项目投资控制的目标。</w:t>
      </w:r>
    </w:p>
    <w:p w14:paraId="6B2981E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2.3 合理利用土地，确保满足功能使用需求，对城市景观、邻里空间，商业价值、节约用地。做到认真深入细致研究，设计思路清晰，规划布局合理。</w:t>
      </w:r>
    </w:p>
    <w:p w14:paraId="3269C6A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2.4 正确处理使用、辅助、交通三大部分关系，对建筑空间进行合理组合，优化设计。</w:t>
      </w:r>
    </w:p>
    <w:p w14:paraId="1EF6A3A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2.5 建筑设计考虑节能要求，建筑单体平面控制建筑的体型系数，建筑立面设计应考虑工程造价及施工难度。</w:t>
      </w:r>
    </w:p>
    <w:p w14:paraId="76F0ECD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2.6 规划与建筑设计应满足建筑功能的要求，在使用上应具有较大的适应性和灵活性，各功能分区既要相对独立，又要有机联系，便于统一管理。</w:t>
      </w:r>
    </w:p>
    <w:p w14:paraId="13BC117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2.7 在保证设计质量的前提下，本项目必须按照政府主管部门确定的投资额度和要求严格控制，实行投资控制，严格控制施工图设计的变更，确保工程预算不突破投资目标。</w:t>
      </w:r>
    </w:p>
    <w:bookmarkEnd w:id="178"/>
    <w:p w14:paraId="30F7A03C">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191" w:name="_Toc50537208"/>
      <w:bookmarkStart w:id="192" w:name="_Toc571"/>
      <w:bookmarkStart w:id="193" w:name="_Toc444182768"/>
      <w:bookmarkStart w:id="194" w:name="_Toc19399"/>
      <w:bookmarkStart w:id="195" w:name="_Toc104581721"/>
      <w:bookmarkStart w:id="196" w:name="_Toc29416"/>
      <w:r>
        <w:rPr>
          <w:rFonts w:hint="eastAsia" w:ascii="宋体" w:hAnsi="宋体" w:eastAsia="宋体" w:cs="宋体"/>
          <w:b/>
          <w:bCs/>
          <w:color w:val="000000" w:themeColor="text1"/>
          <w:sz w:val="24"/>
          <w:szCs w:val="24"/>
          <w:highlight w:val="none"/>
          <w14:textFill>
            <w14:solidFill>
              <w14:schemeClr w14:val="tx1"/>
            </w14:solidFill>
          </w14:textFill>
        </w:rPr>
        <w:t>3.设计各专业要求</w:t>
      </w:r>
      <w:bookmarkEnd w:id="191"/>
      <w:bookmarkEnd w:id="192"/>
      <w:bookmarkEnd w:id="193"/>
      <w:bookmarkEnd w:id="194"/>
      <w:bookmarkEnd w:id="195"/>
      <w:bookmarkEnd w:id="196"/>
    </w:p>
    <w:p w14:paraId="26CADDA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197" w:name="_Toc20284"/>
      <w:bookmarkStart w:id="198" w:name="_Toc6927"/>
      <w:bookmarkStart w:id="199" w:name="_Toc421"/>
      <w:r>
        <w:rPr>
          <w:rFonts w:hint="eastAsia" w:ascii="宋体" w:hAnsi="宋体" w:eastAsia="宋体" w:cs="宋体"/>
          <w:color w:val="000000" w:themeColor="text1"/>
          <w:sz w:val="24"/>
          <w:szCs w:val="24"/>
          <w:highlight w:val="none"/>
          <w14:textFill>
            <w14:solidFill>
              <w14:schemeClr w14:val="tx1"/>
            </w14:solidFill>
          </w14:textFill>
        </w:rPr>
        <w:t>3.1 对设计与法律、法规、规章、规范、标准的符合性要求</w:t>
      </w:r>
      <w:bookmarkEnd w:id="197"/>
      <w:bookmarkEnd w:id="198"/>
      <w:bookmarkEnd w:id="199"/>
    </w:p>
    <w:p w14:paraId="4FA586C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3.1.1 承包人交付的设计文件应符合中华人民共和国现行的有关法律、行政法规和相关的工程设计技术规范、规定及标准，必须执行国家规定的工程建设标准强制性条文要求。在项目设计、建设期间，若有由国家、省、市有关部门颁发的新规范、标准、规定等，承包人必须按要求落实到设计和设计变更中。</w:t>
      </w:r>
    </w:p>
    <w:p w14:paraId="1C2FCAC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3.1.2 承包人应在设计文件中列出设计采用的主要技术标准名称、编号与版本。如引用标准图集，除标明出处外，要求将引用图绘制在施工图中。</w:t>
      </w:r>
    </w:p>
    <w:p w14:paraId="7083B36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3.1.3 由于工程设计的特殊需要对设计规范、规程中非强制性的条文，允许稍有选择和突破，但承包人必须提出充分的理由，提交充分的质量保证措施，并经建设管理单位论证同意后以文件形式认可。</w:t>
      </w:r>
    </w:p>
    <w:p w14:paraId="078722B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3.1.4 项目选用的工程材料、工程构配件和设备，其质量标准必须符合中华人民共和国国家规范、标准要求。</w:t>
      </w:r>
      <w:bookmarkStart w:id="200" w:name="_Toc7791"/>
      <w:bookmarkStart w:id="201" w:name="_Toc27054"/>
      <w:bookmarkStart w:id="202" w:name="_Toc9287"/>
    </w:p>
    <w:p w14:paraId="664C3A5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 规划设计要求</w:t>
      </w:r>
      <w:bookmarkEnd w:id="200"/>
      <w:bookmarkEnd w:id="201"/>
      <w:bookmarkEnd w:id="202"/>
    </w:p>
    <w:p w14:paraId="1568319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3.2.1 符合城市规划的要求，综合考虑建筑性质、建筑造型、建筑立面特征等与周围环境的关系，在满足安全与功能的前提下，应符合国家有关节约用地、节能节水节材和保护环境等规定。</w:t>
      </w:r>
    </w:p>
    <w:p w14:paraId="5942667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3.2.2 符合现有地形特征，尽量利用地形，以充分考虑经济性为基础，合理确定建筑的总体布局与功能设置。</w:t>
      </w:r>
    </w:p>
    <w:p w14:paraId="63618E1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3.2.3 整体性强。建筑组合应紧凑、集中，主要建筑之间有联系。</w:t>
      </w:r>
    </w:p>
    <w:p w14:paraId="3094DE4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3.2.4 总体规划要求功能齐全、分区明确，满足基本功能要求及规模需求，并充分考虑其所处地理位置的特点及其他配套功能设置。</w:t>
      </w:r>
    </w:p>
    <w:p w14:paraId="5A20F08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03" w:name="_Toc9922"/>
      <w:bookmarkStart w:id="204" w:name="_Toc10768"/>
      <w:bookmarkStart w:id="205" w:name="_Toc6056"/>
      <w:r>
        <w:rPr>
          <w:rFonts w:hint="eastAsia" w:ascii="宋体" w:hAnsi="宋体" w:eastAsia="宋体" w:cs="宋体"/>
          <w:color w:val="000000" w:themeColor="text1"/>
          <w:sz w:val="24"/>
          <w:szCs w:val="24"/>
          <w:highlight w:val="none"/>
          <w14:textFill>
            <w14:solidFill>
              <w14:schemeClr w14:val="tx1"/>
            </w14:solidFill>
          </w14:textFill>
        </w:rPr>
        <w:t>3.3 建筑与室内装修设计要求</w:t>
      </w:r>
      <w:bookmarkEnd w:id="203"/>
      <w:bookmarkEnd w:id="204"/>
      <w:bookmarkEnd w:id="205"/>
    </w:p>
    <w:p w14:paraId="3CB98DD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3.3.1 建设计划：详见第一部分。</w:t>
      </w:r>
    </w:p>
    <w:p w14:paraId="35826C0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3.3.2 总配建车位（包括室内、室外）符合国家及省市相关城乡技术规定。</w:t>
      </w:r>
    </w:p>
    <w:p w14:paraId="6777585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3.3.3 总平面竖向设计及场地设施（含防洪排涝设计）等需充分考虑现状地形、地貌。</w:t>
      </w:r>
    </w:p>
    <w:p w14:paraId="68847E2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3.3.4 建筑材料要求：在满足建筑功能要求的前提下，所有建筑材料（含涂料）需满足绿色环保的要求，并进行生命周期评价和环境影响评价，尽量减少使用氯基塑料产品。</w:t>
      </w:r>
    </w:p>
    <w:p w14:paraId="3DE8B71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3.3.4.1 走廊、过道、楼梯等与室外直接连通的部位，地面不应采用抛光砖等不适合岭南地区返潮、湿滑气候特点的材料。</w:t>
      </w:r>
    </w:p>
    <w:p w14:paraId="23C5098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3.3.4.2 提倡使用永久性天然材料，不得使用影响安全的挂板作为装饰面板。墙面石材建议不采用干挂形式。</w:t>
      </w:r>
    </w:p>
    <w:p w14:paraId="590A886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3.3.4.3 室外广场石与侧平石等采用石材,按《广州市政府投资项目天然石材应用指引》要求设计施工。广场石铺贴方案要求大方、整体性强，不宜采用拼花形式；若采用非石材或采用拼花形式，应专题报招标人同意。石材铺装厚度：车行的采用10cm，人行的采用5cm。室外铺装详细方案图须单独报招标人确认。</w:t>
      </w:r>
    </w:p>
    <w:p w14:paraId="041EEE5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3.3.4.4 建筑设计中要求标明所有门均为成品门进场，不采用施工现场制作门，并在施工图中标明成品门选材、配件、剖面详图、技术要求等。</w:t>
      </w:r>
    </w:p>
    <w:p w14:paraId="31AB730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3.3.5 泛光照明需进行方案比较，报招标人确认。</w:t>
      </w:r>
    </w:p>
    <w:p w14:paraId="1968961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3.3.6 必须提供相应阶段需要的包括并不限于鸟瞰、各立面、主要出入口、大堂、电梯厅、客厅、厨房、卫生间、房间、园林景观等效果图供项目决策，格式为PSD或PDF电子版文件，精度要求：分辨率不低于4k×4k。</w:t>
      </w:r>
    </w:p>
    <w:p w14:paraId="5C52627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3.3.7 承包人应在施工图设计中以单独篇章提交标志标识系统、装饰装修工程、园林景观工程、泛光照明工程等设计成果。</w:t>
      </w:r>
    </w:p>
    <w:p w14:paraId="5F9964D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3.3.8 无障碍方案：在用地范围内的人行道都应按照规定设定道路纵坡、路口的坡道及提示盲道等。建筑入口、入口平台、候梯厅、电梯轿箱及公共走道等地方均需充分考虑残障人士行动的要求，便于轮椅及拄杖者的通行，公厕设置残障人士轮椅标准厕位。</w:t>
      </w:r>
    </w:p>
    <w:p w14:paraId="1ABDBF7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3.3.9 本项目建设标准详见附件一。且满足《建筑内部装修设计防火规范》GB50222-2017及广州市相关规范的要求。</w:t>
      </w:r>
      <w:bookmarkStart w:id="206" w:name="_Toc7001"/>
      <w:bookmarkStart w:id="207" w:name="_Toc18849"/>
      <w:bookmarkStart w:id="208" w:name="_Toc20662"/>
    </w:p>
    <w:p w14:paraId="7C66A5F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 结构设计要求</w:t>
      </w:r>
      <w:bookmarkEnd w:id="206"/>
      <w:bookmarkEnd w:id="207"/>
      <w:bookmarkEnd w:id="208"/>
    </w:p>
    <w:p w14:paraId="08F928D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3.4.1 结构总体设计原则：</w:t>
      </w:r>
    </w:p>
    <w:p w14:paraId="59A026D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3.4.1.1 结构设计应安全可靠，经济合理；应采用经过实践检验的新工艺、新材料，以节约资金；应满足国家及地方的相应规范、规程及要求，采用可靠的结构体系，先进的工艺和技术。</w:t>
      </w:r>
    </w:p>
    <w:p w14:paraId="6FFF713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3.4.1.2 抗震设计应遵循现行的国家规范、规程与广州市地方标准。</w:t>
      </w:r>
    </w:p>
    <w:p w14:paraId="35A7BDD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3.4.1.3 永久建筑应以钢筋混凝土结构为主，临时建筑应以钢结构为主。临时建筑的主要结构构件应考虑重复利用的可能性。</w:t>
      </w:r>
    </w:p>
    <w:p w14:paraId="7F2A15F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3.4.1.4 地下室长、宽超出规范伸缩缝最大间距要求时，宜首选采用后浇带或加强带等抗裂措施，同时设计院应提交抗裂措施多方案比选报告。</w:t>
      </w:r>
    </w:p>
    <w:p w14:paraId="0C99045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3.4.2 基础设计：</w:t>
      </w:r>
    </w:p>
    <w:p w14:paraId="65492BA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根据地质情况选取基础型式，同时提交基础选型的经济技术多方案比选专题报告。</w:t>
      </w:r>
    </w:p>
    <w:p w14:paraId="431C13D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3.4.3 基坑设计：</w:t>
      </w:r>
    </w:p>
    <w:p w14:paraId="2731C9B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基坑支护和地基处理设计，应同时提交选型的经济技术多方案比选专题报告。</w:t>
      </w:r>
      <w:bookmarkStart w:id="209" w:name="_Toc27599"/>
      <w:bookmarkStart w:id="210" w:name="_Toc1581"/>
      <w:bookmarkStart w:id="211" w:name="_Toc10823"/>
    </w:p>
    <w:p w14:paraId="3C153F1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3.5给排水设计要求</w:t>
      </w:r>
      <w:bookmarkEnd w:id="209"/>
      <w:bookmarkEnd w:id="210"/>
      <w:bookmarkEnd w:id="211"/>
    </w:p>
    <w:p w14:paraId="162115C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 雨水径流控制应从建设项目全局出发，妥善处理防洪排涝、雨水资源化利用和初雨污染的关系，满足《广州市水务管理条例》、《广州市排水管理办法》、《广州市建设项目雨水径流控制管理办法》等法规的要求。根据《广州市建设项目雨水径流控制管理办法》（广州市人民政府令第107号），要求雨水径流控制设施需与建设项目主体工程同时设计，初步设计、施工图设计等文件应包括其内容。</w:t>
      </w:r>
    </w:p>
    <w:p w14:paraId="0E4CC89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3.5.2 给、排水系统设计应具有先进性、可靠性，同时根据项目的性质、规模进行技术、经济、环境等多项指标综合比较，力求做到安全、环保、节水、节能、节地、经济，应充分利用市政供水压力直接供水。</w:t>
      </w:r>
    </w:p>
    <w:p w14:paraId="32B7E7C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3.5.3 应采取雨水、粪便污水、废水分流排水系统，生活污水经室内管道（污、废分流）收集后排入室外污水管道。雨水系统应合理考虑就地入渗和收集回用，尽量减少对市政管网的排水负担。</w:t>
      </w:r>
    </w:p>
    <w:p w14:paraId="54447DF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3.5.4 实现对水资源的合理分配和利用，做到优质优用、低质低用、水尽其用。</w:t>
      </w:r>
    </w:p>
    <w:p w14:paraId="62A2169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3.5.5 应采用节水器材、器具。</w:t>
      </w:r>
    </w:p>
    <w:p w14:paraId="7F48B9B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3.5.6 给水系统应按供水部门的相关技术规范要求设计。</w:t>
      </w:r>
    </w:p>
    <w:p w14:paraId="2408FFF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3.5.7 给水方式和分区应根据市政水压及地形标高，并结合市政设计综合考虑。</w:t>
      </w:r>
    </w:p>
    <w:p w14:paraId="08515F6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3.5.8 给水立管敷设于管井内，管井尺寸应满足管道安装。</w:t>
      </w:r>
    </w:p>
    <w:p w14:paraId="34C5F21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3.5.9 室外绿化喷洒给水系统应结合园林统一考虑。灌溉形式宜采用喷灌、微灌等高效节水灌溉方式。配水点宜采用插接式给水接口，不采用自动喷洒（特殊要求除外）。</w:t>
      </w:r>
    </w:p>
    <w:p w14:paraId="28E5705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3.5.10 给水管材：（具体按水务管理部门要求）给水管材及管件必须满足国家生活饮用水卫生标准。</w:t>
      </w:r>
    </w:p>
    <w:p w14:paraId="0513897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3.5.11 污水管材：具体按水务管理部门要求。</w:t>
      </w:r>
    </w:p>
    <w:p w14:paraId="598DFF4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3.5.12 室内消防箱宜选用消火栓和灭火器一体化的消防箱，标准层暗敷。</w:t>
      </w:r>
    </w:p>
    <w:p w14:paraId="378777E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3.5.13 生活和消防水泵出水总管上应安装不锈钢水锤吸纳器，消防水泵出水总管上应安装泄压阀或持压阀。</w:t>
      </w:r>
    </w:p>
    <w:p w14:paraId="631081D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3.5.14 公共卫生间的洗手盆龙头采用扳手式或抬启式龙头。</w:t>
      </w:r>
    </w:p>
    <w:p w14:paraId="0B52A8B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3.5.15 公共卫生间的大便器宜用脚踏式冲洗阀（冲洗阀应有空气隔断装置），定量冲洗；小便器采用感应冲洗阀，每次冲洗水量不大于3升；大便器水箱容积不大于6L。</w:t>
      </w:r>
    </w:p>
    <w:p w14:paraId="7D1E6AF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3.5.16 给水水嘴应采用陶瓷芯等密封性能好的、能限制出流的节水水嘴。</w:t>
      </w:r>
    </w:p>
    <w:p w14:paraId="12FB39D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3.5.17 室内、外管道应绘制管线综合图。</w:t>
      </w:r>
    </w:p>
    <w:p w14:paraId="4AE69CF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3.5.18 室外场地、屋面的暴雨重现期宜按5年，地下车库坡道出入口、下沉式广场等暴雨重现期宜按50年。建筑屋面雨水排水工程应设置溢流口，重力流屋面雨水排水工程与溢流设施的总排水能力不小于50年重现期的雨水量。</w:t>
      </w:r>
    </w:p>
    <w:p w14:paraId="0C214C0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3.5.19 生活水池可采用不锈钢水箱、并应有卫生部门的检测报告及许可证。</w:t>
      </w:r>
      <w:bookmarkStart w:id="212" w:name="_Toc23086"/>
      <w:bookmarkStart w:id="213" w:name="_Toc30166"/>
      <w:bookmarkStart w:id="214" w:name="_Toc30261"/>
    </w:p>
    <w:p w14:paraId="746DC81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 电气工程（含变配电）设计要求</w:t>
      </w:r>
      <w:bookmarkEnd w:id="212"/>
      <w:bookmarkEnd w:id="213"/>
      <w:bookmarkEnd w:id="214"/>
    </w:p>
    <w:p w14:paraId="32A2BCC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3.6.1 强电系统设计应满足运营基本要求，包含本项目高低压变配电的所有设计，具体包含：建筑高低压变配电系统、动力照明系统、消防等，室外照明（含道路照明）及与供电部门提供的区域高压供电接驳和路由设计、临电接驳和路由设计（含临时、永久供电报装、路由情况摸查及变配电工程施工图通过供电局审查）等。</w:t>
      </w:r>
    </w:p>
    <w:p w14:paraId="2830F9A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p>
    <w:p w14:paraId="79E57F6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3.6.2 认真贯彻执行国家和行业规范，根据本工程用电特点，因地制宜地搞好服务区配电系统的规划，确保服务区供配电网架安全可靠、经济合理。</w:t>
      </w:r>
    </w:p>
    <w:p w14:paraId="7456BF6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3.6.</w:t>
      </w:r>
      <w:r>
        <w:rPr>
          <w:rFonts w:hint="eastAsia" w:ascii="宋体" w:hAnsi="宋体" w:eastAsia="宋体" w:cs="宋体"/>
          <w:color w:val="000000" w:themeColor="text1"/>
          <w:sz w:val="24"/>
          <w:szCs w:val="24"/>
          <w:highlight w:val="none"/>
          <w14:textFill>
            <w14:solidFill>
              <w14:schemeClr w14:val="tx1"/>
            </w14:solidFill>
          </w14:textFill>
        </w:rPr>
        <w:t>3了解南方电网、广东电网及当地供电部门的最新要求，不限于提前与主管部门沟通、掌握最新的业扩资料、了解最近的当地项目情况的方式。</w:t>
      </w:r>
    </w:p>
    <w:p w14:paraId="3EF8E86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3.6.4 规划用地红线外的供电工程须结合相关规范及相关主管部门的要求进行设计,以满足本项目的使用要求。</w:t>
      </w:r>
    </w:p>
    <w:p w14:paraId="6DF843C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3.6.5 变配电所选址按照接近负荷中心、允许供电半径、进出线方便的原则进行布置，降低电能损耗，节约有色金属，减少电压损失，提高供电质量。</w:t>
      </w:r>
    </w:p>
    <w:p w14:paraId="684D285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3.6.6 负荷预测采用单位建筑面积负荷指标法，定性、定量地预测出合理的用电负荷。</w:t>
      </w:r>
    </w:p>
    <w:p w14:paraId="7312A0B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3.6.7 消防系统（结合需要安排水喷淋系统与非水喷淋灭火系统）.</w:t>
      </w:r>
    </w:p>
    <w:p w14:paraId="2CADB03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3.6.8 机房工程（须按照业使用主需求及专业相关规范和行业标准进行设计，机电、消防、装修配合设计）。</w:t>
      </w:r>
    </w:p>
    <w:p w14:paraId="1E4E903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3.6.9 中心内设置设备监控系统，对其内部的动力、电力、空调、照明、给排水、电梯、停车库等机电设备进行监视、控制、协调、运行管理。</w:t>
      </w:r>
    </w:p>
    <w:p w14:paraId="46FE699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3.6.10 室外室内照明采用节能灯。</w:t>
      </w:r>
    </w:p>
    <w:p w14:paraId="29258BC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3.6.11 电气照明分正常照明和事故照明。</w:t>
      </w:r>
    </w:p>
    <w:p w14:paraId="206FA3B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3.6.11.1 在建筑物内事故照明和正常照明同时使用，照明电源自动切换。在楼梯间出入口、疏散通道设疏散与诱导照明。</w:t>
      </w:r>
    </w:p>
    <w:p w14:paraId="75E952B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3.6.11.2照明应根据各建筑物的设施和用途，按照设计规范而定。走道、厕所等公共位置的照明灯具采用节能光源；门诊室等采用荧光灯；设备用房采用白炽灯或荧光灯；对有特殊照明要求的地方，可采用局部照明。选择光源和灯具，要注意考虑实用、经济、美观、节能、易维修保养等方面因素。</w:t>
      </w:r>
      <w:bookmarkStart w:id="215" w:name="_Toc1272"/>
      <w:bookmarkStart w:id="216" w:name="_Toc22722"/>
      <w:bookmarkStart w:id="217" w:name="_Toc14498"/>
    </w:p>
    <w:p w14:paraId="1317142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3.7建筑智能化专业</w:t>
      </w:r>
      <w:bookmarkEnd w:id="215"/>
      <w:bookmarkEnd w:id="216"/>
      <w:bookmarkEnd w:id="217"/>
    </w:p>
    <w:p w14:paraId="776C850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3.7.1 有线电视系统</w:t>
      </w:r>
    </w:p>
    <w:p w14:paraId="1937BF6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3.7.2 信息网络系统</w:t>
      </w:r>
    </w:p>
    <w:p w14:paraId="0AB76B7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3.7.3 综合布线系统</w:t>
      </w:r>
    </w:p>
    <w:p w14:paraId="39A2E79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3.7.4 视频安防监控系统</w:t>
      </w:r>
    </w:p>
    <w:p w14:paraId="399C1FA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3.7.5 访客对讲系统</w:t>
      </w:r>
    </w:p>
    <w:p w14:paraId="3577AE5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3.7.6 停车场管理系统</w:t>
      </w:r>
    </w:p>
    <w:p w14:paraId="4B68744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3.7.7 通信接入及电话交换系统</w:t>
      </w:r>
    </w:p>
    <w:p w14:paraId="0140DF5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3.7.8 广播系统</w:t>
      </w:r>
    </w:p>
    <w:p w14:paraId="30C504D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3.7.9 火灾报警与消防联动系统</w:t>
      </w:r>
    </w:p>
    <w:p w14:paraId="1158809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3.7.10 电子巡更系统</w:t>
      </w:r>
    </w:p>
    <w:p w14:paraId="0B49A17F">
      <w:pPr>
        <w:spacing w:line="360" w:lineRule="auto"/>
        <w:ind w:firstLine="480" w:firstLineChars="200"/>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3.7.11  室内5G信号覆盖系统</w:t>
      </w:r>
    </w:p>
    <w:p w14:paraId="22C53A4D">
      <w:pPr>
        <w:pStyle w:val="3"/>
        <w:ind w:firstLine="210"/>
        <w:rPr>
          <w:color w:val="000000" w:themeColor="text1"/>
          <w:highlight w:val="none"/>
          <w14:textFill>
            <w14:solidFill>
              <w14:schemeClr w14:val="tx1"/>
            </w14:solidFill>
          </w14:textFill>
        </w:rPr>
      </w:pPr>
    </w:p>
    <w:p w14:paraId="035A5DC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18" w:name="_Toc3194"/>
      <w:bookmarkStart w:id="219" w:name="_Toc5207"/>
      <w:bookmarkStart w:id="220" w:name="_Toc9699"/>
      <w:r>
        <w:rPr>
          <w:rFonts w:hint="eastAsia" w:ascii="宋体" w:hAnsi="宋体" w:eastAsia="宋体" w:cs="宋体"/>
          <w:color w:val="000000" w:themeColor="text1"/>
          <w:sz w:val="24"/>
          <w:szCs w:val="24"/>
          <w:highlight w:val="none"/>
          <w14:textFill>
            <w14:solidFill>
              <w14:schemeClr w14:val="tx1"/>
            </w14:solidFill>
          </w14:textFill>
        </w:rPr>
        <w:t>3.8 空调与暖通专业设计要求</w:t>
      </w:r>
      <w:bookmarkEnd w:id="218"/>
      <w:bookmarkEnd w:id="219"/>
      <w:bookmarkEnd w:id="220"/>
    </w:p>
    <w:p w14:paraId="3CCD37A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3.8.1 通风、空调、防排烟系统按相关规范要求设置，结合绿色建筑要求，充分利用自然通风，并充分考虑平时利用，以求得到最佳设计方案。</w:t>
      </w:r>
    </w:p>
    <w:p w14:paraId="27DE0B3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3.8.2 地下汽车库及设备用房应设置机械送、排风系统，公共卫生间及电梯机房应设置机械排风系统。</w:t>
      </w:r>
    </w:p>
    <w:p w14:paraId="0C619FB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3.8.3 消防控制中心、电梯机房、值班室等需要满足人员舒适性的区域应考虑设置空调。</w:t>
      </w:r>
    </w:p>
    <w:p w14:paraId="1838FBA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3.8.4 设置分体空调的应保持空调室外机的通风顺畅，空调冷凝水应集中排放。空调室外机搁板的位置应考虑尺寸合适和安装方便。</w:t>
      </w:r>
    </w:p>
    <w:p w14:paraId="5D1C37FF">
      <w:pPr>
        <w:pStyle w:val="3"/>
        <w:ind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3.8.5设置中央空调系统的系统选型配置应符合安全、舒适、高效、节能的理念。</w:t>
      </w:r>
    </w:p>
    <w:p w14:paraId="1E9D202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21" w:name="_Hlk196573914"/>
      <w:r>
        <w:rPr>
          <w:rFonts w:ascii="宋体" w:hAnsi="宋体" w:eastAsia="宋体" w:cs="宋体"/>
          <w:color w:val="000000" w:themeColor="text1"/>
          <w:sz w:val="24"/>
          <w:szCs w:val="24"/>
          <w:highlight w:val="none"/>
          <w14:textFill>
            <w14:solidFill>
              <w14:schemeClr w14:val="tx1"/>
            </w14:solidFill>
          </w14:textFill>
        </w:rPr>
        <w:t xml:space="preserve">3.9 </w:t>
      </w:r>
      <w:r>
        <w:rPr>
          <w:rFonts w:hint="eastAsia" w:ascii="宋体" w:hAnsi="宋体" w:eastAsia="宋体" w:cs="宋体"/>
          <w:color w:val="000000" w:themeColor="text1"/>
          <w:sz w:val="24"/>
          <w:szCs w:val="24"/>
          <w:highlight w:val="none"/>
          <w14:textFill>
            <w14:solidFill>
              <w14:schemeClr w14:val="tx1"/>
            </w14:solidFill>
          </w14:textFill>
        </w:rPr>
        <w:t>燃气专业设计要求</w:t>
      </w:r>
    </w:p>
    <w:p w14:paraId="0CE7754D">
      <w:pPr>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满足《城镇燃气设计规范(2020年版)》GB 50028-2006、广州燃气集团的相关设计要求，并满足相关验收要求。</w:t>
      </w:r>
    </w:p>
    <w:bookmarkEnd w:id="221"/>
    <w:p w14:paraId="268BCB7D">
      <w:pPr>
        <w:pStyle w:val="3"/>
        <w:ind w:firstLine="210"/>
        <w:rPr>
          <w:color w:val="000000" w:themeColor="text1"/>
          <w:highlight w:val="none"/>
          <w14:textFill>
            <w14:solidFill>
              <w14:schemeClr w14:val="tx1"/>
            </w14:solidFill>
          </w14:textFill>
        </w:rPr>
      </w:pPr>
    </w:p>
    <w:p w14:paraId="5C0A3CF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 室外工程设计要求</w:t>
      </w:r>
    </w:p>
    <w:p w14:paraId="0FD0F52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3.9.1 设计范围包括园林景观设计（含绿化、广场、道路、停车场、园林小品、围墙、屋顶花园等）、标识系统、室外照明（泛光照明、景观照明）、市政管线综合等。</w:t>
      </w:r>
    </w:p>
    <w:p w14:paraId="5E594F2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3.9.2 建筑物与周边环境要协调统一，充分协调好与周边环境的位置关系，使建筑物合理地融入景观环境中，通过绿化环境营造出大气和庄重的效果。</w:t>
      </w:r>
    </w:p>
    <w:p w14:paraId="233D71C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3.9.3 必须保证内部交通流线顺畅，与外部交通流线连接自然。路缘石采用石材，人行道铺设人行道砖。</w:t>
      </w:r>
    </w:p>
    <w:p w14:paraId="0743333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3.9.4 室外广场石与侧平石均采用石材。广场石要求大方、整体性强，不宜采用拼花形式；若采用非石材或采用拼花形式，应专题报建设单位同意。石材铺装厚度：车行的采用10cm，人行的采用5cm。室外铺装详细方案图应单独报甲方确认。</w:t>
      </w:r>
    </w:p>
    <w:p w14:paraId="380FAC5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3.9.5 室外苗木采用岭南植物，并应避免掉皮等影响景观的现象。</w:t>
      </w:r>
      <w:bookmarkStart w:id="222" w:name="_Toc18588"/>
      <w:bookmarkStart w:id="223" w:name="_Toc30785"/>
      <w:bookmarkStart w:id="224" w:name="_Toc12822"/>
    </w:p>
    <w:p w14:paraId="4C53D275">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3.10 </w:t>
      </w:r>
      <w:r>
        <w:rPr>
          <w:rFonts w:hint="eastAsia" w:ascii="宋体" w:hAnsi="宋体" w:eastAsia="宋体" w:cs="宋体"/>
          <w:color w:val="000000" w:themeColor="text1"/>
          <w:sz w:val="24"/>
          <w:highlight w:val="none"/>
          <w14:textFill>
            <w14:solidFill>
              <w14:schemeClr w14:val="tx1"/>
            </w14:solidFill>
          </w14:textFill>
        </w:rPr>
        <w:t>垂直交通系统设计要求</w:t>
      </w:r>
      <w:bookmarkEnd w:id="222"/>
      <w:bookmarkEnd w:id="223"/>
      <w:bookmarkEnd w:id="224"/>
    </w:p>
    <w:p w14:paraId="46BDC39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3.10.1 垂直交通主要包括电梯和楼梯来解决。</w:t>
      </w:r>
    </w:p>
    <w:p w14:paraId="7904958C">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3.10.2 根据各座楼房的层高、层数和建筑面积、功能、人流状况设置电梯。</w:t>
      </w:r>
    </w:p>
    <w:p w14:paraId="3FEA101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3.10.3 电梯的型号和厢门材料、结构、上升速度、设置数量，均应在规划设计阶段配合建筑类型和装饰标准考虑。</w:t>
      </w:r>
    </w:p>
    <w:p w14:paraId="11777841">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225" w:name="_Toc5364"/>
      <w:bookmarkStart w:id="226" w:name="_Toc2090"/>
      <w:bookmarkStart w:id="227" w:name="_Toc31376"/>
      <w:r>
        <w:rPr>
          <w:rFonts w:hint="eastAsia" w:ascii="宋体" w:hAnsi="宋体" w:eastAsia="宋体" w:cs="宋体"/>
          <w:color w:val="000000" w:themeColor="text1"/>
          <w:sz w:val="24"/>
          <w:highlight w:val="none"/>
          <w14:textFill>
            <w14:solidFill>
              <w14:schemeClr w14:val="tx1"/>
            </w14:solidFill>
          </w14:textFill>
        </w:rPr>
        <w:t>3.11 建筑防火设计要求</w:t>
      </w:r>
      <w:bookmarkEnd w:id="225"/>
      <w:bookmarkEnd w:id="226"/>
      <w:bookmarkEnd w:id="227"/>
    </w:p>
    <w:p w14:paraId="2F4D16C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消防系统设计应满足国家现行消防设计规范的要求，包括以下内容：室内外消火栓系统、自动喷水灭火系统、气体灭火系统、建筑灭火器配置等；消防水池及消防泵房应设置在地下室内。</w:t>
      </w:r>
    </w:p>
    <w:p w14:paraId="3B70915C">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3.11.1 室内外消火栓系统：</w:t>
      </w:r>
    </w:p>
    <w:p w14:paraId="68855CEC">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室内外消火栓系统应严格按照现行《建筑设计防火规范》、《消防给水及消火栓系统技术规范》进行设计。</w:t>
      </w:r>
    </w:p>
    <w:p w14:paraId="5F4AB62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当市政管网条件无法满足规范要求时，室外消防用水量应贮存在消防水池内，并应按照规范要求设置吸水井供消防车取水用。</w:t>
      </w:r>
    </w:p>
    <w:p w14:paraId="503AF00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建筑内每层均应设置室内消火栓系统，室内消火栓箱体宜采用暗装形式，条件许可的情况下，可考虑一体式消防箱，用以放置建筑灭火器。</w:t>
      </w:r>
    </w:p>
    <w:p w14:paraId="0016172E">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3.11.2 自动喷水灭火系统</w:t>
      </w:r>
    </w:p>
    <w:p w14:paraId="6A83F7C1">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建筑内除规范规定不宜用水扑灭的部位外，所有公共场所均设置自动喷淋。</w:t>
      </w:r>
    </w:p>
    <w:p w14:paraId="63C4A23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3.11.3 地下室发电机房、变配电房、主要信息机房等不宜用水灭火的房间应设置气体灭火系统。</w:t>
      </w:r>
    </w:p>
    <w:p w14:paraId="09903688">
      <w:pPr>
        <w:spacing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3.11.4 建筑灭火器系统：应根据不同功能性质确定危险等级进行建筑灭火器系统设计，并根据规范于室内各区域明显且易于取用的地点设置手提式磷酸铵盐干粉灭火器。</w:t>
      </w:r>
    </w:p>
    <w:p w14:paraId="7C88C05E">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228" w:name="_Toc18844"/>
      <w:bookmarkStart w:id="229" w:name="_Toc10737"/>
      <w:bookmarkStart w:id="230" w:name="_Toc21912"/>
      <w:r>
        <w:rPr>
          <w:rFonts w:hint="eastAsia" w:ascii="宋体" w:hAnsi="宋体" w:eastAsia="宋体" w:cs="宋体"/>
          <w:color w:val="000000" w:themeColor="text1"/>
          <w:sz w:val="24"/>
          <w:highlight w:val="none"/>
          <w14:textFill>
            <w14:solidFill>
              <w14:schemeClr w14:val="tx1"/>
            </w14:solidFill>
          </w14:textFill>
        </w:rPr>
        <w:t>3.12 地下室防渗措施</w:t>
      </w:r>
      <w:bookmarkEnd w:id="228"/>
      <w:bookmarkEnd w:id="229"/>
      <w:bookmarkEnd w:id="230"/>
    </w:p>
    <w:p w14:paraId="2548C27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地下室建设过程中，混凝土工程经常会出现裂缝，导致工程渗水，影响了工程的美观和工程的持久性。为了控制地下室混凝土工程的质量，防止工程出现裂缝和渗漏，必须在设计施工及养护时采取防渗措施。</w:t>
      </w:r>
    </w:p>
    <w:p w14:paraId="735A4EC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设计中应充分考虑混凝土构件的收缩变形，构造钢筋的配置和作用力对构件施加的预应力等影响。施工及养护阶段防渗措施：控制原材料质量，减少混凝土的收缩；对地下室底板、墙板混凝土进行温度监控，掌握混凝土内外的温差变化情况，及时采取措施进行温差控制；完善施工工艺，做好养护工作，防止混凝土结构开裂。</w:t>
      </w:r>
    </w:p>
    <w:p w14:paraId="6A8D6E4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 xml:space="preserve">3.13 </w:t>
      </w:r>
      <w:r>
        <w:rPr>
          <w:rFonts w:hint="eastAsia" w:ascii="宋体" w:hAnsi="宋体" w:eastAsia="宋体" w:cs="宋体"/>
          <w:color w:val="000000" w:themeColor="text1"/>
          <w:sz w:val="24"/>
          <w:szCs w:val="20"/>
          <w:highlight w:val="none"/>
          <w14:textFill>
            <w14:solidFill>
              <w14:schemeClr w14:val="tx1"/>
            </w14:solidFill>
          </w14:textFill>
        </w:rPr>
        <w:t>人防工程</w:t>
      </w:r>
    </w:p>
    <w:p w14:paraId="4ECB898E">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防空地下室的位置、规模、战时及平时的用途，应根据城市的人防工程规划以及地面建筑规模、地下与地上综合考虑，统筹安排。</w:t>
      </w:r>
    </w:p>
    <w:p w14:paraId="7168F38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231" w:name="_Toc31278"/>
      <w:bookmarkStart w:id="232" w:name="_Toc32572"/>
      <w:bookmarkStart w:id="233" w:name="_Toc18476"/>
      <w:r>
        <w:rPr>
          <w:rFonts w:hint="eastAsia" w:ascii="宋体" w:hAnsi="宋体" w:eastAsia="宋体" w:cs="宋体"/>
          <w:color w:val="000000" w:themeColor="text1"/>
          <w:sz w:val="24"/>
          <w:highlight w:val="none"/>
          <w14:textFill>
            <w14:solidFill>
              <w14:schemeClr w14:val="tx1"/>
            </w14:solidFill>
          </w14:textFill>
        </w:rPr>
        <w:t>3.14 绿色建筑设计要求</w:t>
      </w:r>
      <w:bookmarkEnd w:id="231"/>
      <w:bookmarkEnd w:id="232"/>
      <w:bookmarkEnd w:id="233"/>
    </w:p>
    <w:p w14:paraId="6253BEA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广州市建筑节能与墙材革新管理办公室关于新建建筑全面实施绿色建筑标准贯彻落实意见的函（穗墙建函【2017】90号）》“全市范围内的新建、改建、扩建民用建筑及工业用地范围内用于办公、居住等民用建筑功能的建筑应全面执行绿色标准。”</w:t>
      </w:r>
    </w:p>
    <w:p w14:paraId="41C55466">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按《广州市城建领导小组办公室关于明确绿色建筑标准执行有关事项的通知》，政府投资公益性建筑和大型公共建筑应当按照二星级及以上绿色建筑标准进行建设；建筑面积大于10万平方米的居住小区按照一星级及以上绿色建筑标准进行建设。根据</w:t>
      </w:r>
      <w:r>
        <w:rPr>
          <w:rFonts w:hint="eastAsia" w:ascii="宋体" w:hAnsi="宋体" w:eastAsia="宋体" w:cs="宋体"/>
          <w:color w:val="000000" w:themeColor="text1"/>
          <w:sz w:val="24"/>
          <w:highlight w:val="none"/>
          <w:lang w:val="en-US" w:eastAsia="zh-CN"/>
          <w14:textFill>
            <w14:solidFill>
              <w14:schemeClr w14:val="tx1"/>
            </w14:solidFill>
          </w14:textFill>
        </w:rPr>
        <w:t>天河</w:t>
      </w:r>
      <w:r>
        <w:rPr>
          <w:rFonts w:hint="eastAsia" w:ascii="宋体" w:hAnsi="宋体" w:eastAsia="宋体" w:cs="宋体"/>
          <w:color w:val="000000" w:themeColor="text1"/>
          <w:sz w:val="24"/>
          <w:highlight w:val="none"/>
          <w14:textFill>
            <w14:solidFill>
              <w14:schemeClr w14:val="tx1"/>
            </w14:solidFill>
          </w14:textFill>
        </w:rPr>
        <w:t>区经济发展现状和本项目建设的实际情况，本项目确定与建设项目相适宜的绿色建筑级别为国标二星级标准（执行标准为《绿色建筑评价标准》GB/T50378-2019），在工程规划、勘察设计、施工、验收及备案等环节严格执行建筑节能和绿色建筑二星级别的相关技术标准、规范及技术措施。（项目内需要执行绿色建筑相关要求的楼栋以初步设计批复结果为准）。</w:t>
      </w:r>
    </w:p>
    <w:p w14:paraId="4A439715">
      <w:pPr>
        <w:pStyle w:val="4"/>
        <w:rPr>
          <w:color w:val="000000" w:themeColor="text1"/>
          <w:highlight w:val="none"/>
          <w14:textFill>
            <w14:solidFill>
              <w14:schemeClr w14:val="tx1"/>
            </w14:solidFill>
          </w14:textFill>
        </w:rPr>
      </w:pPr>
    </w:p>
    <w:p w14:paraId="1E07EC2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当总得分70分且应满足二星级绿色建筑的技术要求时，绿色建筑等级为二星级。另外，承包人必须按照广州市绿色建筑和建筑节能管理规定对本项目实行绿色二星标准的可能性组织专项论证。节能、绿色建筑咨询和评估工作以及绿色建筑设计费用包含在设计费中。</w:t>
      </w:r>
    </w:p>
    <w:p w14:paraId="30FB60B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234" w:name="_Toc2486"/>
      <w:bookmarkStart w:id="235" w:name="_Toc27139"/>
      <w:bookmarkStart w:id="236" w:name="_Toc14999"/>
      <w:r>
        <w:rPr>
          <w:rFonts w:hint="eastAsia" w:ascii="宋体" w:hAnsi="宋体" w:eastAsia="宋体" w:cs="宋体"/>
          <w:color w:val="000000" w:themeColor="text1"/>
          <w:sz w:val="24"/>
          <w:highlight w:val="none"/>
          <w14:textFill>
            <w14:solidFill>
              <w14:schemeClr w14:val="tx1"/>
            </w14:solidFill>
          </w14:textFill>
        </w:rPr>
        <w:t>3.15 装配式建筑设计要求</w:t>
      </w:r>
      <w:bookmarkEnd w:id="234"/>
      <w:bookmarkEnd w:id="235"/>
      <w:bookmarkEnd w:id="236"/>
    </w:p>
    <w:p w14:paraId="36BB4B4A">
      <w:pPr>
        <w:spacing w:line="360" w:lineRule="auto"/>
        <w:ind w:firstLine="480" w:firstLineChars="200"/>
        <w:jc w:val="both"/>
        <w:rPr>
          <w:rFonts w:hint="eastAsia" w:ascii="宋体" w:hAnsi="宋体" w:eastAsia="宋体" w:cs="宋体"/>
          <w:color w:val="000000" w:themeColor="text1"/>
          <w:sz w:val="24"/>
          <w:highlight w:val="none"/>
          <w14:textFill>
            <w14:solidFill>
              <w14:schemeClr w14:val="tx1"/>
            </w14:solidFill>
          </w14:textFill>
        </w:rPr>
      </w:pPr>
      <w:bookmarkStart w:id="237" w:name="_Toc17875"/>
      <w:bookmarkStart w:id="238" w:name="_Toc23683"/>
      <w:bookmarkStart w:id="239" w:name="_Toc3569"/>
      <w:r>
        <w:rPr>
          <w:rFonts w:hint="eastAsia" w:ascii="宋体" w:hAnsi="宋体" w:eastAsia="宋体" w:cs="宋体"/>
          <w:color w:val="000000" w:themeColor="text1"/>
          <w:sz w:val="24"/>
          <w:highlight w:val="none"/>
          <w14:textFill>
            <w14:solidFill>
              <w14:schemeClr w14:val="tx1"/>
            </w14:solidFill>
          </w14:textFill>
        </w:rPr>
        <w:t xml:space="preserve">根据《广州市人民政府办公厅关于大力发展装配式建筑加快推进建筑产业现代化的实施意见》（穗府办规〔2017〕14号），到2020年，实现装配式建筑占新建建筑的面积比例不低于30％；到2025年，实现装配式建筑占新建建筑的面积比例不低于50％。本项目全面按装配式建筑标准进行建设，住宅部分和公建部分至少应满足广东省《装配式建筑评价标准》（DBJ/T15-163-2019）基本级或者广州市《装配式建筑评价标准》（DB4401/T 151—2022）基本级的要求，并应满足智能建造与建筑工业化协同发展要求。 </w:t>
      </w:r>
    </w:p>
    <w:p w14:paraId="4A442FCC">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合同签订之后15天内承包方应将标准选用认证材料报送发包人及全过程咨询单位进行评估认定。</w:t>
      </w:r>
    </w:p>
    <w:p w14:paraId="34EA7DC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3.16 海绵城市设计要求</w:t>
      </w:r>
      <w:bookmarkEnd w:id="237"/>
      <w:bookmarkEnd w:id="238"/>
      <w:bookmarkEnd w:id="239"/>
    </w:p>
    <w:p w14:paraId="22E70405">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本项目设计要满足海绵城市设计要求。具体设计方案应满足《广州市建设项目雨水径流控制办法》、《广州市海绵城市规划设计导则》、《广州市海绵城市建设技术指引及标准图集（试行）》等规定的要求。</w:t>
      </w:r>
    </w:p>
    <w:p w14:paraId="1392026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240" w:name="_Toc7741"/>
      <w:bookmarkStart w:id="241" w:name="_Toc13342"/>
      <w:bookmarkStart w:id="242" w:name="_Toc24746"/>
      <w:r>
        <w:rPr>
          <w:rFonts w:hint="eastAsia" w:ascii="宋体" w:hAnsi="宋体" w:eastAsia="宋体" w:cs="宋体"/>
          <w:color w:val="000000" w:themeColor="text1"/>
          <w:sz w:val="24"/>
          <w:highlight w:val="none"/>
          <w14:textFill>
            <w14:solidFill>
              <w14:schemeClr w14:val="tx1"/>
            </w14:solidFill>
          </w14:textFill>
        </w:rPr>
        <w:t>3.17 BIM设计要求</w:t>
      </w:r>
      <w:bookmarkEnd w:id="240"/>
      <w:bookmarkEnd w:id="241"/>
      <w:bookmarkEnd w:id="242"/>
    </w:p>
    <w:p w14:paraId="63738B1A">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本工程全专业（包括建筑、结构、装修、给排水、电气、消防、通风、空调、弱电等）均需进行BIM设计，应用阶段包括设计阶段、施工阶段。承包人提交的BIM模型应能在管线综合、施工重点难点等方面进行模拟和合理排布，以达到减少错误损失和返工的可能性。</w:t>
      </w:r>
      <w:r>
        <w:rPr>
          <w:rFonts w:hint="eastAsia" w:ascii="宋体" w:hAnsi="宋体" w:cs="宋体"/>
          <w:color w:val="000000" w:themeColor="text1"/>
          <w:sz w:val="24"/>
          <w:szCs w:val="24"/>
          <w:highlight w:val="none"/>
          <w14:textFill>
            <w14:solidFill>
              <w14:schemeClr w14:val="tx1"/>
            </w14:solidFill>
          </w14:textFill>
        </w:rPr>
        <w:t>BIM模型交付深度应满足广州市BIM、CIM相关标准要求。</w:t>
      </w:r>
      <w:r>
        <w:rPr>
          <w:rFonts w:hint="eastAsia" w:ascii="宋体" w:hAnsi="宋体" w:eastAsia="宋体" w:cs="宋体"/>
          <w:color w:val="000000" w:themeColor="text1"/>
          <w:sz w:val="24"/>
          <w:highlight w:val="none"/>
          <w14:textFill>
            <w14:solidFill>
              <w14:schemeClr w14:val="tx1"/>
            </w14:solidFill>
          </w14:textFill>
        </w:rPr>
        <w:t>并通过整合完整的工地模型和数据库，为今后的建筑运营维护提供数字化基础。</w:t>
      </w:r>
    </w:p>
    <w:p w14:paraId="62AC422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3.17.1</w:t>
      </w:r>
      <w:r>
        <w:rPr>
          <w:rFonts w:hint="eastAsia" w:ascii="宋体" w:hAnsi="宋体" w:eastAsia="宋体" w:cs="宋体"/>
          <w:color w:val="000000" w:themeColor="text1"/>
          <w:sz w:val="24"/>
          <w:szCs w:val="24"/>
          <w:highlight w:val="none"/>
          <w14:textFill>
            <w14:solidFill>
              <w14:schemeClr w14:val="tx1"/>
            </w14:solidFill>
          </w14:textFill>
        </w:rPr>
        <w:t xml:space="preserve"> 施工图设计阶段，建立施工图阶段BIM模型，提供的BIM设计模型应满足审查要求（包括但不限于建设单位、行政主管部门相关施工图三维数字化审查等）。</w:t>
      </w:r>
    </w:p>
    <w:p w14:paraId="0573C17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3.17.</w:t>
      </w:r>
      <w:r>
        <w:rPr>
          <w:rFonts w:hint="eastAsia" w:ascii="宋体" w:hAnsi="宋体" w:eastAsia="宋体" w:cs="宋体"/>
          <w:color w:val="000000" w:themeColor="text1"/>
          <w:sz w:val="24"/>
          <w:szCs w:val="24"/>
          <w:highlight w:val="none"/>
          <w14:textFill>
            <w14:solidFill>
              <w14:schemeClr w14:val="tx1"/>
            </w14:solidFill>
          </w14:textFill>
        </w:rPr>
        <w:t>2 在施工阶段，利用BIM技术进行交底，辅助、配合施工单位，建立BIM施工模型，实现工程项目施工过程可视化模拟、施工方案优化、施工进度和成本的动态管控。</w:t>
      </w:r>
    </w:p>
    <w:p w14:paraId="44D1DB81">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3.18设计品质控制要求</w:t>
      </w:r>
    </w:p>
    <w:p w14:paraId="41DEC592">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3.18.1总图</w:t>
      </w:r>
    </w:p>
    <w:p w14:paraId="1A4E467C">
      <w:pPr>
        <w:pStyle w:val="63"/>
        <w:ind w:firstLine="480"/>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3.18.1.1</w:t>
      </w:r>
      <w:r>
        <w:rPr>
          <w:rFonts w:hint="eastAsia" w:ascii="宋体" w:hAnsi="宋体" w:eastAsia="宋体" w:cs="宋体"/>
          <w:color w:val="000000" w:themeColor="text1"/>
          <w:kern w:val="0"/>
          <w:sz w:val="24"/>
          <w:szCs w:val="24"/>
          <w:highlight w:val="none"/>
          <w14:textFill>
            <w14:solidFill>
              <w14:schemeClr w14:val="tx1"/>
            </w14:solidFill>
          </w14:textFill>
        </w:rPr>
        <w:t>合理控制出入口位置和数量，及主次入口尺度，应避免超配并尽量使商业价值最大化；对于入口处的人行流线、机动车流线进行精细化设计，保证安全，方便管理。</w:t>
      </w:r>
    </w:p>
    <w:p w14:paraId="47F2D1B9">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3.18.1.2总图规划及景观应强调空间序列感。</w:t>
      </w:r>
    </w:p>
    <w:p w14:paraId="49647568">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3.18.1.3主楼需内退裙房一定距离，尽量避免主楼外墙与裙房外墙齐平。</w:t>
      </w:r>
    </w:p>
    <w:p w14:paraId="2DF8F066">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3.18.1.4围墙边界应在总图上表达清晰，确保园区边界的完整性及管理的独立性。</w:t>
      </w:r>
    </w:p>
    <w:p w14:paraId="422B35D2">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3.18.1.5消防应急车道、消防登高场地及消防回车场的布置应结合景观设计统筹布置。</w:t>
      </w:r>
    </w:p>
    <w:p w14:paraId="0EBC9F0C">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3.18.1.6车行出入口应结合园区景观设计统一考虑布置。 </w:t>
      </w:r>
    </w:p>
    <w:p w14:paraId="752E3618">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3.18.1.7建筑入口室内外高差需考虑无障碍，同时结合景观放坡进行处理，室外园区不得出现一级台阶。</w:t>
      </w:r>
    </w:p>
    <w:p w14:paraId="08DE3367">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3.18.1.8</w:t>
      </w:r>
      <w:r>
        <w:rPr>
          <w:rFonts w:hint="eastAsia" w:ascii="宋体" w:hAnsi="宋体" w:eastAsia="宋体" w:cs="宋体"/>
          <w:color w:val="000000" w:themeColor="text1"/>
          <w:kern w:val="0"/>
          <w:sz w:val="24"/>
          <w:szCs w:val="24"/>
          <w:highlight w:val="none"/>
          <w14:textFill>
            <w14:solidFill>
              <w14:schemeClr w14:val="tx1"/>
            </w14:solidFill>
          </w14:textFill>
        </w:rPr>
        <w:t>关注商业位置的合理性。应结合交通、社区出入口、周边人流方向等合理布置。底商尽量规整，避免毫无理由的的凹凸退进，尽量满足均好性，避免损失商业价值。</w:t>
      </w:r>
    </w:p>
    <w:p w14:paraId="4F66B37C">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3.18.1.9商铺的设置应避免对首层门厅及架空层采光通风造成影响，同时不应出现三面维和或封闭的架空空间。</w:t>
      </w:r>
    </w:p>
    <w:p w14:paraId="32007750">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3.18.1.10变配电房不应出现在沿街面，，同时不应离主入口过近，如当地允许尽量放置地下。</w:t>
      </w:r>
    </w:p>
    <w:p w14:paraId="56EDF4AE">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3.18.1.11总图中需明确垃圾收集方式及垃圾房的位置，其位置应对住户干扰最小，并便于垃圾车清运。</w:t>
      </w:r>
    </w:p>
    <w:p w14:paraId="01D08F08">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3.18.1.12燃气调压柜应设计在隐蔽区域，不应设置在景观主轴及主要商业人行区域。</w:t>
      </w:r>
    </w:p>
    <w:p w14:paraId="390BD4E3">
      <w:pPr>
        <w:pStyle w:val="24"/>
        <w:ind w:firstLine="480"/>
        <w:rPr>
          <w:rFonts w:hint="eastAsia" w:hAnsi="宋体"/>
          <w:color w:val="000000" w:themeColor="text1"/>
          <w:sz w:val="21"/>
          <w:szCs w:val="21"/>
          <w:highlight w:val="none"/>
          <w:u w:val="singl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3.18.1.13</w:t>
      </w:r>
      <w:r>
        <w:rPr>
          <w:rFonts w:hint="eastAsia" w:hAnsi="宋体" w:cs="宋体"/>
          <w:color w:val="000000" w:themeColor="text1"/>
          <w:highlight w:val="none"/>
          <w14:textFill>
            <w14:solidFill>
              <w14:schemeClr w14:val="tx1"/>
            </w14:solidFill>
          </w14:textFill>
        </w:rPr>
        <w:t>化粪池不得正对且距离商铺门口，优先布置在下风向。</w:t>
      </w:r>
    </w:p>
    <w:p w14:paraId="15F2DE0A">
      <w:pPr>
        <w:pStyle w:val="63"/>
        <w:ind w:firstLine="480"/>
        <w:rPr>
          <w:rFonts w:hint="eastAsia" w:ascii="宋体" w:hAnsi="宋体" w:eastAsia="宋体"/>
          <w:color w:val="000000" w:themeColor="text1"/>
          <w:sz w:val="21"/>
          <w:szCs w:val="21"/>
          <w:highlight w:val="none"/>
          <w:u w:val="singl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3.18.1.14</w:t>
      </w:r>
      <w:r>
        <w:rPr>
          <w:rFonts w:hint="eastAsia" w:ascii="宋体" w:hAnsi="宋体" w:eastAsia="宋体"/>
          <w:color w:val="000000" w:themeColor="text1"/>
          <w:sz w:val="24"/>
          <w:szCs w:val="24"/>
          <w:highlight w:val="none"/>
          <w14:textFill>
            <w14:solidFill>
              <w14:schemeClr w14:val="tx1"/>
            </w14:solidFill>
          </w14:textFill>
        </w:rPr>
        <w:t>室外消火栓及消火栓箱应结合外立面和景观处理。</w:t>
      </w:r>
    </w:p>
    <w:p w14:paraId="213CDA62">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3.18.2地下车库</w:t>
      </w:r>
    </w:p>
    <w:p w14:paraId="3692B6A5">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3.18.2.1同等面积下，地下室首选方正矩形轮廓，避免异形和长条形轮廓；避免外墙多余凹凸，外墙周长越小越好。</w:t>
      </w:r>
    </w:p>
    <w:p w14:paraId="3575B800">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3.18.2.2地下室电梯门厅前应避免“车堵门”问题。</w:t>
      </w:r>
    </w:p>
    <w:p w14:paraId="0020AC99">
      <w:pP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    3.18.2.3人防区域应优先在最底层集中靠边靠墙设置,应布置在车位无效区域（如：非机动车库或车位无货值区域）、车位低效区域;有多层地库时，尽量布置在相同平面位置，贴外墙布置，减少结构成本;在人防总建筑面积一定的条件下，控制减少临空墙的长度，优选对平时功能影响最小，通行方便，停车效率高，平战转换量少的人防地下室方案;</w:t>
      </w:r>
      <w:r>
        <w:rPr>
          <w:rFonts w:hint="eastAsia" w:ascii="宋体" w:hAnsi="宋体" w:eastAsia="宋体" w:cs="宋体"/>
          <w:color w:val="000000" w:themeColor="text1"/>
          <w:spacing w:val="-3"/>
          <w:sz w:val="24"/>
          <w:szCs w:val="24"/>
          <w:highlight w:val="none"/>
          <w14:textFill>
            <w14:solidFill>
              <w14:schemeClr w14:val="tx1"/>
            </w14:solidFill>
          </w14:textFill>
        </w:rPr>
        <w:t>地下室消防、人防疏散应用足主楼（塔楼及其他地面建筑）楼梯及机动车坡道，避免额外设置独立出地面疏散口;</w:t>
      </w:r>
      <w:r>
        <w:rPr>
          <w:rFonts w:hint="eastAsia" w:ascii="宋体" w:hAnsi="宋体" w:eastAsia="宋体" w:cs="宋体"/>
          <w:color w:val="000000" w:themeColor="text1"/>
          <w:sz w:val="24"/>
          <w:szCs w:val="24"/>
          <w:highlight w:val="none"/>
          <w14:textFill>
            <w14:solidFill>
              <w14:schemeClr w14:val="tx1"/>
            </w14:solidFill>
          </w14:textFill>
        </w:rPr>
        <w:t>人防区防火分区轮廓宜尽量和人防单元轮廓线重合，减少排烟系统及设备穿人防隔墙套路数量。</w:t>
      </w:r>
    </w:p>
    <w:p w14:paraId="008A1FD6">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3.18.2.4①在不影响地面品质的情况下，应尽量设置地面非机动车车位；②利用塔楼投影范围内布置非机动车停车库，应充分利用层高设置多层非机动车库；上述①、②不足规划指标要求时，再利用地库内机动车位停放无效或低效区布置非机动车库。</w:t>
      </w:r>
    </w:p>
    <w:p w14:paraId="4DF3F556">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3.18.2.5消防水池优先设置在地下室塔楼投影范围内停车效率低的区域，同时不应毗邻电气用房或在其下方。</w:t>
      </w:r>
    </w:p>
    <w:p w14:paraId="2317CCFB">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3.18.2.6地下室消火栓优先设置在非停车位区域或不规则停车位墙体上，消火栓的设置不应影响车位的停放及车门的开启。</w:t>
      </w:r>
    </w:p>
    <w:p w14:paraId="631F8516">
      <w:pPr>
        <w:pStyle w:val="63"/>
        <w:spacing w:before="163" w:after="163" w:line="360" w:lineRule="auto"/>
        <w:ind w:firstLine="480"/>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3.18.2.7地下车库风机房位置避免主风管出机房即为主车道、地下电梯厅出入口区域或其他专业主要设备用房；</w:t>
      </w:r>
      <w:r>
        <w:rPr>
          <w:rFonts w:hint="eastAsia" w:ascii="宋体" w:hAnsi="宋体" w:eastAsia="宋体"/>
          <w:color w:val="000000" w:themeColor="text1"/>
          <w:sz w:val="24"/>
          <w:szCs w:val="24"/>
          <w:highlight w:val="none"/>
          <w14:textFill>
            <w14:solidFill>
              <w14:schemeClr w14:val="tx1"/>
            </w14:solidFill>
          </w14:textFill>
        </w:rPr>
        <w:t>地下车库通风、排烟干管尽量避免设置在车道上方，宜集中布置于车位上方，主管高度不宜超过400mm，车行道净高不宜小于2.4m，停车位净高不应小于2.2m。</w:t>
      </w:r>
    </w:p>
    <w:p w14:paraId="4B4176E8">
      <w:pPr>
        <w:pStyle w:val="63"/>
        <w:spacing w:before="163" w:after="163"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3.18.2.8</w:t>
      </w:r>
      <w:r>
        <w:rPr>
          <w:rFonts w:hint="eastAsia" w:ascii="宋体" w:hAnsi="宋体" w:eastAsia="宋体"/>
          <w:color w:val="000000" w:themeColor="text1"/>
          <w:sz w:val="21"/>
          <w:szCs w:val="21"/>
          <w:highlight w:val="none"/>
          <w14:textFill>
            <w14:solidFill>
              <w14:schemeClr w14:val="tx1"/>
            </w14:solidFill>
          </w14:textFill>
        </w:rPr>
        <w:t>发</w:t>
      </w:r>
      <w:r>
        <w:rPr>
          <w:rFonts w:hint="eastAsia" w:ascii="宋体" w:hAnsi="宋体" w:eastAsia="宋体"/>
          <w:color w:val="000000" w:themeColor="text1"/>
          <w:sz w:val="24"/>
          <w:szCs w:val="24"/>
          <w:highlight w:val="none"/>
          <w14:textFill>
            <w14:solidFill>
              <w14:schemeClr w14:val="tx1"/>
            </w14:solidFill>
          </w14:textFill>
        </w:rPr>
        <w:t>电机房不应设置于地下室最底层；宜与变电所贴邻或临近，不应布置在人员密集场所的上一层、下一层或贴邻。</w:t>
      </w:r>
    </w:p>
    <w:p w14:paraId="297B7AEC">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3.18.2.9集水坑尽量避免出现在停车位区域，集水坑立管及控制箱不应影响车位的停放及车门的开启。</w:t>
      </w:r>
    </w:p>
    <w:p w14:paraId="01278502">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3.18.2.10地下室功能用房开门不应影响车位使用且不应直接开向车道范围内，应预留≥1000mm的开启空间。</w:t>
      </w:r>
    </w:p>
    <w:p w14:paraId="642645F6">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3.18.3建筑单体</w:t>
      </w:r>
    </w:p>
    <w:p w14:paraId="2B56DCF7">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3.18.3.1厨房排气道优先设置在内侧，避免烟道出屋面时与女儿墙冲突影响外立面，出屋面烟道的高度应严格控制，不应因为高度超过规定要求导致计容或计算建筑面积的问题。</w:t>
      </w:r>
    </w:p>
    <w:p w14:paraId="3E67B291">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3.18.3.2开窗洞口宽度应结合户型平面、立面设计、装配式的要求综合考虑；外立面窗开启扇的宽度尺寸外平开单扇尺寸≤800mm；推拉窗或双扇开启洞口宽度至少≥1200mm；外窗宜有不小于100mm净宽的窗垛，避免外窗洞口直接贴墙边。</w:t>
      </w:r>
    </w:p>
    <w:p w14:paraId="2B3A3F6A">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3.18.3.3分体空调设备平台净尺寸应满足空调外机及管线布置尺寸的要求，同时土建尺寸不应因尺寸过大导致计算容积率的面积问题。</w:t>
      </w:r>
    </w:p>
    <w:p w14:paraId="749F9E12">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3.18.3.4①对于竖向叠放设置分体空调室外机或设置中央空调室外机的空调机位，应校核安装后设备不得遮挡外窗视线。②空调机位检修门窗应设置于角落。</w:t>
      </w:r>
    </w:p>
    <w:p w14:paraId="2A800D34">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3.18.3.5空调机位不得设置需临空达到或需采用吊装机械才能完成运输、安装、维修的空调机位。</w:t>
      </w:r>
    </w:p>
    <w:p w14:paraId="0D8756B1">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3.18.3.6内天井处的设备平台应避免跟外连廊相邻，如无法避免，应做好防盗措施（格栅隔断），避免可通过设备平台攀爬至屋内。</w:t>
      </w:r>
    </w:p>
    <w:p w14:paraId="1C156CC4">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3.18.3.7商业空间内尽量不设置明露排水横管，确需设置时，排水横管应敷设在靠墙边 400mm 内，高度控制在吊顶内。立管在墙角做管井包裹。</w:t>
      </w:r>
    </w:p>
    <w:p w14:paraId="7CFA51F9">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3.18.3.8商业空间处消火栓尽量安装在相对隐蔽位置，不正对电梯。消火栓不应放置在商业主要立面上。</w:t>
      </w:r>
    </w:p>
    <w:p w14:paraId="2A27B532">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3.18.3.9消火栓优先布置在楼梯间内，前室消火栓优先布置在管道井墙上。</w:t>
      </w:r>
    </w:p>
    <w:p w14:paraId="505EFCD4">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3.18.3.10高低压配电房和发电机房不应与人员密集场所或左右贴邻。</w:t>
      </w:r>
    </w:p>
    <w:p w14:paraId="67163DA9">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3.18.3.11门洞高度：①同一公共区域各类洞口顶部标高一致；②管井建议门高1900mm，门槛高度300mm。</w:t>
      </w:r>
    </w:p>
    <w:p w14:paraId="5B4864C5">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3.18.3.12商铺应避免因楼梯布置不合理占据较多商业适用空间，影响商铺实际使用面积。</w:t>
      </w:r>
    </w:p>
    <w:p w14:paraId="034EB462">
      <w:pPr>
        <w:pStyle w:val="63"/>
        <w:spacing w:before="163" w:after="163" w:line="360" w:lineRule="auto"/>
        <w:ind w:firstLine="480"/>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3.18.3.13</w:t>
      </w:r>
      <w:r>
        <w:rPr>
          <w:rFonts w:hint="eastAsia" w:ascii="宋体" w:hAnsi="宋体" w:eastAsia="宋体"/>
          <w:color w:val="000000" w:themeColor="text1"/>
          <w:sz w:val="24"/>
          <w:szCs w:val="24"/>
          <w:highlight w:val="none"/>
          <w14:textFill>
            <w14:solidFill>
              <w14:schemeClr w14:val="tx1"/>
            </w14:solidFill>
          </w14:textFill>
        </w:rPr>
        <w:t>多联机和屋面风机等设备应采取隔声降噪措施。多联机外机摆放在半室外空间时应充分结合机型散热方向考虑散热效率。</w:t>
      </w:r>
    </w:p>
    <w:p w14:paraId="7D6ACCC5">
      <w:pPr>
        <w:pStyle w:val="63"/>
        <w:spacing w:before="163" w:after="163" w:line="360" w:lineRule="auto"/>
        <w:ind w:firstLine="480"/>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3.18.3.14</w:t>
      </w:r>
      <w:r>
        <w:rPr>
          <w:rFonts w:hint="eastAsia" w:ascii="宋体" w:hAnsi="宋体" w:eastAsia="宋体"/>
          <w:color w:val="000000" w:themeColor="text1"/>
          <w:sz w:val="24"/>
          <w:szCs w:val="24"/>
          <w:highlight w:val="none"/>
          <w14:textFill>
            <w14:solidFill>
              <w14:schemeClr w14:val="tx1"/>
            </w14:solidFill>
          </w14:textFill>
        </w:rPr>
        <w:t>电梯专项设计应充分考虑机电设备定位及轿厢装修要求，包括机柜，外露设备面板，以及按键面板均需要土建精装进行复核，美化。电梯门洞两侧不设置剪力墙，以留足深化调整空间。</w:t>
      </w:r>
    </w:p>
    <w:p w14:paraId="053E921D">
      <w:pPr>
        <w:pStyle w:val="63"/>
        <w:spacing w:before="163" w:after="163" w:line="360" w:lineRule="auto"/>
        <w:ind w:firstLine="480"/>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3.18.3.15</w:t>
      </w:r>
      <w:r>
        <w:rPr>
          <w:rFonts w:hint="eastAsia" w:ascii="宋体" w:hAnsi="宋体" w:eastAsia="宋体"/>
          <w:color w:val="000000" w:themeColor="text1"/>
          <w:sz w:val="24"/>
          <w:szCs w:val="24"/>
          <w:highlight w:val="none"/>
          <w14:textFill>
            <w14:solidFill>
              <w14:schemeClr w14:val="tx1"/>
            </w14:solidFill>
          </w14:textFill>
        </w:rPr>
        <w:t>落地窗需设置不低于5</w:t>
      </w:r>
      <w:r>
        <w:rPr>
          <w:rFonts w:ascii="宋体" w:hAnsi="宋体" w:eastAsia="宋体"/>
          <w:color w:val="000000" w:themeColor="text1"/>
          <w:sz w:val="24"/>
          <w:szCs w:val="24"/>
          <w:highlight w:val="none"/>
          <w14:textFill>
            <w14:solidFill>
              <w14:schemeClr w14:val="tx1"/>
            </w14:solidFill>
          </w14:textFill>
        </w:rPr>
        <w:t>0</w:t>
      </w:r>
      <w:r>
        <w:rPr>
          <w:rFonts w:hint="eastAsia" w:ascii="宋体" w:hAnsi="宋体" w:eastAsia="宋体"/>
          <w:color w:val="000000" w:themeColor="text1"/>
          <w:sz w:val="24"/>
          <w:szCs w:val="24"/>
          <w:highlight w:val="none"/>
          <w14:textFill>
            <w14:solidFill>
              <w14:schemeClr w14:val="tx1"/>
            </w14:solidFill>
          </w14:textFill>
        </w:rPr>
        <w:t>mm的反坎高出内外完成面</w:t>
      </w:r>
    </w:p>
    <w:p w14:paraId="4C782658">
      <w:pPr>
        <w:pStyle w:val="63"/>
        <w:spacing w:before="163" w:after="163"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3.18.3.16</w:t>
      </w:r>
      <w:r>
        <w:rPr>
          <w:rFonts w:hint="eastAsia" w:ascii="宋体" w:hAnsi="宋体" w:eastAsia="宋体"/>
          <w:color w:val="000000" w:themeColor="text1"/>
          <w:sz w:val="24"/>
          <w:szCs w:val="24"/>
          <w:highlight w:val="none"/>
          <w14:textFill>
            <w14:solidFill>
              <w14:schemeClr w14:val="tx1"/>
            </w14:solidFill>
          </w14:textFill>
        </w:rPr>
        <w:t>公共建筑内走廊在2米高度以下或无防撞措施情况下禁止采用平开窗、上/下悬开窗。</w:t>
      </w:r>
    </w:p>
    <w:p w14:paraId="3863E692">
      <w:pPr>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3.18.4建筑立面</w:t>
      </w:r>
    </w:p>
    <w:p w14:paraId="6B913864">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3.18.4.1沿街商业面店招、雨棚等应与建筑一体化设计，预留不小于900mm高的店招位置,并预留电线。</w:t>
      </w:r>
    </w:p>
    <w:p w14:paraId="3D2D4DDD">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3.18.4.2排水立管优先设置在建筑凹槽外墙处，如影响立面效果则设置在室内卫生间管道井内，冷凝水及冷媒管线应避免在建筑立面上外露。</w:t>
      </w:r>
    </w:p>
    <w:p w14:paraId="0E10E2BE">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3.18.4.3非石材外立面线条尽量采用现浇结构，不应采用EPS、GRC等预制材料。</w:t>
      </w:r>
    </w:p>
    <w:p w14:paraId="38D74321">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3.18.4.4沿街面在满足排烟条件下，建议尽量设置大面固定扇，减少玻璃分隔，如必须开窗，需满足开启扇开启后的高度不影响人员通行。</w:t>
      </w:r>
    </w:p>
    <w:p w14:paraId="353713FE">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3.18.4.5开闭所、变配电房和垃圾房等独立设置的用房，应与裙房脱开，不建议采用石材幕墙和铝线条，可采用涂料，尽量简化设计，周边应采用高绿化进行软化遮蔽。</w:t>
      </w:r>
    </w:p>
    <w:p w14:paraId="1D06CA4C">
      <w:pPr>
        <w:pStyle w:val="63"/>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3.18.4.6</w:t>
      </w:r>
      <w:r>
        <w:rPr>
          <w:rFonts w:hint="eastAsia" w:ascii="宋体" w:hAnsi="宋体" w:eastAsia="宋体"/>
          <w:color w:val="000000" w:themeColor="text1"/>
          <w:sz w:val="24"/>
          <w:szCs w:val="24"/>
          <w:highlight w:val="none"/>
          <w14:textFill>
            <w14:solidFill>
              <w14:schemeClr w14:val="tx1"/>
            </w14:solidFill>
          </w14:textFill>
        </w:rPr>
        <w:t>独立公建配套建筑的设计风格应与周边建筑协调，同时又要有自身的特色，以适度变化的建筑色彩和文化内涵，丰富住区的整体效果。</w:t>
      </w:r>
    </w:p>
    <w:p w14:paraId="288B82FA">
      <w:pPr>
        <w:pStyle w:val="3"/>
        <w:ind w:firstLine="240"/>
        <w:rPr>
          <w:color w:val="000000" w:themeColor="text1"/>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3.18.4.7</w:t>
      </w:r>
      <w:r>
        <w:rPr>
          <w:rFonts w:hint="eastAsia" w:ascii="宋体" w:hAnsi="宋体"/>
          <w:color w:val="000000" w:themeColor="text1"/>
          <w:sz w:val="24"/>
          <w:szCs w:val="24"/>
          <w:highlight w:val="none"/>
          <w14:textFill>
            <w14:solidFill>
              <w14:schemeClr w14:val="tx1"/>
            </w14:solidFill>
          </w14:textFill>
        </w:rPr>
        <w:t>建筑外立面禁止大面积使用白色平涂。</w:t>
      </w:r>
    </w:p>
    <w:p w14:paraId="0B2C8199">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243" w:name="_Toc2360"/>
      <w:bookmarkStart w:id="244" w:name="_Toc444182769"/>
      <w:bookmarkStart w:id="245" w:name="_Toc50537209"/>
      <w:bookmarkStart w:id="246" w:name="_Toc104581722"/>
      <w:bookmarkStart w:id="247" w:name="_Toc13508"/>
      <w:bookmarkStart w:id="248" w:name="_Toc28607"/>
      <w:r>
        <w:rPr>
          <w:rFonts w:hint="eastAsia" w:ascii="宋体" w:hAnsi="宋体" w:eastAsia="宋体" w:cs="宋体"/>
          <w:b/>
          <w:bCs/>
          <w:color w:val="000000" w:themeColor="text1"/>
          <w:sz w:val="24"/>
          <w:szCs w:val="24"/>
          <w:highlight w:val="none"/>
          <w14:textFill>
            <w14:solidFill>
              <w14:schemeClr w14:val="tx1"/>
            </w14:solidFill>
          </w14:textFill>
        </w:rPr>
        <w:t>4.对各阶段设计文件设计深度的要求</w:t>
      </w:r>
      <w:bookmarkEnd w:id="243"/>
      <w:bookmarkEnd w:id="244"/>
      <w:bookmarkEnd w:id="245"/>
      <w:bookmarkEnd w:id="246"/>
      <w:bookmarkEnd w:id="247"/>
      <w:bookmarkEnd w:id="248"/>
    </w:p>
    <w:p w14:paraId="457476B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应符合中华人民共和国建设部颁发的《建筑工程设计文件编制深度的规定》（最新版）以及建设管理单位编制的项目设计文件深度规定中对各阶段、各专业设计文件编制深度的要求。</w:t>
      </w:r>
    </w:p>
    <w:p w14:paraId="1FFB23CC">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249" w:name="_Toc104581723"/>
      <w:bookmarkStart w:id="250" w:name="_Toc21086"/>
      <w:bookmarkStart w:id="251" w:name="_Toc20415"/>
      <w:bookmarkStart w:id="252" w:name="_Toc444182770"/>
      <w:bookmarkStart w:id="253" w:name="_Toc31811"/>
      <w:bookmarkStart w:id="254" w:name="_Toc50537210"/>
      <w:r>
        <w:rPr>
          <w:rFonts w:hint="eastAsia" w:ascii="宋体" w:hAnsi="宋体" w:eastAsia="宋体" w:cs="宋体"/>
          <w:b/>
          <w:bCs/>
          <w:color w:val="000000" w:themeColor="text1"/>
          <w:sz w:val="24"/>
          <w:szCs w:val="24"/>
          <w:highlight w:val="none"/>
          <w14:textFill>
            <w14:solidFill>
              <w14:schemeClr w14:val="tx1"/>
            </w14:solidFill>
          </w14:textFill>
        </w:rPr>
        <w:t>5.对设计质量的要求</w:t>
      </w:r>
      <w:bookmarkEnd w:id="249"/>
      <w:bookmarkEnd w:id="250"/>
      <w:bookmarkEnd w:id="251"/>
      <w:bookmarkEnd w:id="252"/>
      <w:bookmarkEnd w:id="253"/>
      <w:bookmarkEnd w:id="254"/>
    </w:p>
    <w:p w14:paraId="0099105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 设计应体现本项目的建设意图，满足本项目的功能需求，在控制投资的同时，做到美观、适用、安全、经济，并具备良好的环保特性，取得良好的社会效益。</w:t>
      </w:r>
    </w:p>
    <w:p w14:paraId="0B15B60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5.2 设计范围和内容必须符合本设计任务书的规定。</w:t>
      </w:r>
    </w:p>
    <w:p w14:paraId="5AF4CFC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5.3 承包人保证每次按合同规定的期限交付的设计文件是完整的、正确的、清晰的。</w:t>
      </w:r>
    </w:p>
    <w:p w14:paraId="7CD41B8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5.3.1“完整”是指每次交付的设计文件是合同及附件中规定的全部设计文件。</w:t>
      </w:r>
    </w:p>
    <w:p w14:paraId="703234A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5.3.2 “正确”是指每次交付的设计文件均符合本章1.1条关于法律、法规、规范、标准的规定；本章1.2条关于各阶段设计文件内容与设计深度的规定；同时保证设计输入的基础资料完整、正确，设计单位法、计算方法与结果、技术参数的选用正确，构造合理，图面表达清楚、文字叙述准确，各专业设计协调统一。</w:t>
      </w:r>
    </w:p>
    <w:p w14:paraId="511C019A">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5.3.3“清晰”是指每次交付的设计文件中的图样、线条、术语、符号、尺寸标准、文字说明等清楚准确。</w:t>
      </w:r>
    </w:p>
    <w:p w14:paraId="3A765DA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5.4 承包人应根据上级主管部门及建设管理单位对设计文件的审核意见，在原定设计范围内对设计进行必要的修改。</w:t>
      </w:r>
    </w:p>
    <w:p w14:paraId="69F4321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5.5 当承包人提交的设计文件，不符合本章3.3条要求时，承包人应在收到建设管理单位通知5天内，将符合规定的设计文件交付建设管理单位。</w:t>
      </w:r>
    </w:p>
    <w:p w14:paraId="5832E62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5.6 设计文件的计量单位均应采用国际标准计量单位。长度单位：总平面图标注尺寸以米（m）为单位；施工图设计图标注尺寸以毫米（mm）为单位，标高以米（m）为单位；面积均以平方米（㎡）为单位；体积均以立方米（m3）为单位。</w:t>
      </w:r>
    </w:p>
    <w:p w14:paraId="33B3ACA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5.7 设计文件中的坐标系统和高程系统：采用广州2000平面坐标系统和高程系统。</w:t>
      </w:r>
    </w:p>
    <w:p w14:paraId="0EF23CC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5.8 设计图纸必须依照中华人民共和国有关工程图纸规格的规定以及建设管理单位组织编制的设计文件制图标准绘制，保持同类图纸规格统一。</w:t>
      </w:r>
    </w:p>
    <w:p w14:paraId="7E12A98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5.9 承包人应当优先采用标准设计，提高设计质量。同时设计还必须考虑工程的实施条件，采用较为合理的方案，确保工程能够按设计实施。超越目前国内施工单位平均技术水平的设计方案、施工方法，承包人应提出合理理由和可行的实施方案。</w:t>
      </w:r>
    </w:p>
    <w:p w14:paraId="2CFDCCC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5.10承包人应当建立健全质量保证制度和责任追究制度。</w:t>
      </w:r>
    </w:p>
    <w:p w14:paraId="1FA68F9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承包人的下列人员按照国家有关规定承担相应的质量责任：</w:t>
      </w:r>
    </w:p>
    <w:p w14:paraId="53DF79C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5.10.1承包人的法定代表人对本单位编制的设计文件全面负责；</w:t>
      </w:r>
    </w:p>
    <w:p w14:paraId="3F4EE28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5.10.2 承包人的项目负责人对其负责项目的设计文件负责；</w:t>
      </w:r>
    </w:p>
    <w:p w14:paraId="5054B00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5.10.3 承包人的技术负责人、项目审核人、项目审定人对其负责审核、审定的设计文件负责；</w:t>
      </w:r>
    </w:p>
    <w:p w14:paraId="5BF1E0B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5.11 为防止承包人对项目基本情况掌握不全面，导致设计闭门造车，分析不完善，设计成果与现场情况不符的情况发生，要求承包人在方案设计阶段对现场情况进行详细摸查和评估，并向建设单位提交书面评估报告。报告应就可能影响下一步设计工作的各方面情况进行说明和分析，并提出建议解决办法。</w:t>
      </w:r>
    </w:p>
    <w:p w14:paraId="6946ED6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5.12 承包人应加强设计人员的内部管理，特别是确保各专业间进行充分提资、反复校对，避免由于提资和校核不充分导致各专业图纸间存在矛盾的情况发生。</w:t>
      </w:r>
    </w:p>
    <w:p w14:paraId="610F4EB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5.13 在项目开展施工图设计前，本阶段承包人应在建设部门的组织下向施工图设计单位和监理单位进行技术交底，详细说明建设工程设计中的技术关键点，说明和解释初步设计文件，配合完成后续装配式构建的深化设计。</w:t>
      </w:r>
    </w:p>
    <w:p w14:paraId="234C377F">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255" w:name="_Toc50537211"/>
      <w:bookmarkStart w:id="256" w:name="_Toc18687"/>
      <w:bookmarkStart w:id="257" w:name="_Toc24347"/>
      <w:bookmarkStart w:id="258" w:name="_Toc444182771"/>
      <w:bookmarkStart w:id="259" w:name="_Toc1356"/>
      <w:bookmarkStart w:id="260" w:name="_Toc104581724"/>
      <w:r>
        <w:rPr>
          <w:rFonts w:hint="eastAsia" w:ascii="宋体" w:hAnsi="宋体" w:eastAsia="宋体" w:cs="宋体"/>
          <w:b/>
          <w:bCs/>
          <w:color w:val="000000" w:themeColor="text1"/>
          <w:sz w:val="24"/>
          <w:szCs w:val="24"/>
          <w:highlight w:val="none"/>
          <w14:textFill>
            <w14:solidFill>
              <w14:schemeClr w14:val="tx1"/>
            </w14:solidFill>
          </w14:textFill>
        </w:rPr>
        <w:t>6.对设计与设备、材料选型，装配式构件深化配合方面的要求</w:t>
      </w:r>
      <w:bookmarkEnd w:id="255"/>
      <w:bookmarkEnd w:id="256"/>
      <w:bookmarkEnd w:id="257"/>
      <w:bookmarkEnd w:id="258"/>
      <w:bookmarkEnd w:id="259"/>
      <w:bookmarkEnd w:id="260"/>
    </w:p>
    <w:p w14:paraId="3DF9DBA1">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6.1 承包人应负责编制设备、材料采购的技术文件，内容包括设备、材料采购清单、技术要求、必要的附图、技术参数表、采购说明和采购时间表等，并包含施工要求、安装说明，并对国内规范以外设计文件所涉及的内容提出验收标准。除有特殊要求的建筑材料、专用设备和工艺生产线可推荐三家以上品牌或按照建设管理单位具体要求外，承包人不得指定材料、构配件、设备的品牌、生产厂、供应商；严禁选用国家明令禁止或者不符合质量标准的材料、构配件、设备。</w:t>
      </w:r>
    </w:p>
    <w:p w14:paraId="356B76D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6.2 设计文件对于工艺、技术、材料、设备的选用应该满足施工工期的要求，充分考虑设计的可实施性，重视和吸收施工单位对施工安装提出的意见，并充分考虑中国承建商的施工能力。</w:t>
      </w:r>
    </w:p>
    <w:p w14:paraId="76BA2D21">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6.3 设计质量应符合国际通用的ISO—9000质量保证体系所规定的标准及质量要求。</w:t>
      </w:r>
    </w:p>
    <w:p w14:paraId="5F6238D5">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6.4 设计所选用的建筑材料及设备（包括各专业采用的材料、设备），在进行性能价格的分析比较后，原则上采用建设单位品牌库中中档以上国内产品。国内没有的建筑材料和设备或国内材料和设备性能无法达到设计要求以及价格高于进口价格时，才采用进口材料和设备。设计中采用的材料和设备均须按中华人民共和国、广东省、广州市有关法律、行政法规和规章的要求，提供明确的技术资料（包括性能指标、规格、型号等方面的资料）。</w:t>
      </w:r>
    </w:p>
    <w:p w14:paraId="562B284E">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261" w:name="_Toc104581725"/>
      <w:bookmarkStart w:id="262" w:name="_Toc2768"/>
      <w:bookmarkStart w:id="263" w:name="_Toc23585"/>
      <w:bookmarkStart w:id="264" w:name="_Toc444182772"/>
      <w:bookmarkStart w:id="265" w:name="_Toc11409"/>
      <w:bookmarkStart w:id="266" w:name="_Toc50537212"/>
      <w:r>
        <w:rPr>
          <w:rFonts w:hint="eastAsia" w:ascii="宋体" w:hAnsi="宋体" w:eastAsia="宋体" w:cs="宋体"/>
          <w:b/>
          <w:bCs/>
          <w:color w:val="000000" w:themeColor="text1"/>
          <w:sz w:val="24"/>
          <w:szCs w:val="24"/>
          <w:highlight w:val="none"/>
          <w14:textFill>
            <w14:solidFill>
              <w14:schemeClr w14:val="tx1"/>
            </w14:solidFill>
          </w14:textFill>
        </w:rPr>
        <w:t>7.投资控制</w:t>
      </w:r>
      <w:bookmarkEnd w:id="261"/>
      <w:bookmarkEnd w:id="262"/>
      <w:bookmarkEnd w:id="263"/>
      <w:bookmarkEnd w:id="264"/>
      <w:bookmarkEnd w:id="265"/>
      <w:bookmarkEnd w:id="266"/>
    </w:p>
    <w:p w14:paraId="50B62BE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7.1 限额设计：承包人在保证设计质量的前提下，应遵循功能适用、标准合理、经济合理的原则开展设计工作，实行限额设计，确保工程概预算不突破批复可研立项总投资的限额目标：</w:t>
      </w:r>
    </w:p>
    <w:p w14:paraId="77BE0DA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7.1.1 在投资限额目标的基础上结合项目设计内容进一步分解投资，明确投资控制主要指标，在编制设计概、预算时逐步细化落实。</w:t>
      </w:r>
    </w:p>
    <w:p w14:paraId="511EEBB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7.1.2 承包人在限额设计范围内，应充分运用性价比分析、多方案（不少于2个）技术经济比较等手段，对设计方案进行优化。在所有方案比较的过程中，必须进行相应深度的投资估算比较，确保方案的可比性，并提供相应的工程数量表、主要材料表、主要设备清单等。</w:t>
      </w:r>
    </w:p>
    <w:p w14:paraId="2A45340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7.1.3 承包人有关设计的任何修改、变动或由于修改设计所引起的工艺、技术、材料、设备的变更，须经过设计审查单位、建设管理单位和投资方的审批同意。</w:t>
      </w:r>
    </w:p>
    <w:p w14:paraId="3BE9D001">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 设计优化和技术经济分析论证：</w:t>
      </w:r>
    </w:p>
    <w:p w14:paraId="13DD799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7.2.1 设计方案必须进行技术经济分析。通过对设计方案、工艺、设备等进行全面的评价，在满足功能要求的前提下，采用技术经济优化、可以有效控制工程投资的方案。</w:t>
      </w:r>
    </w:p>
    <w:p w14:paraId="328DD39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7.2.2 在保证方案的可实施和可操作性前提下，设计中凡能进行定量分析的设计内容，应通过计算，用数据说明其技术经济的合理性。同时向项目建设管理单位提供各阶段技术经济分析资料，以力求各阶段设计成果能充分体现设计优化的原则。</w:t>
      </w:r>
    </w:p>
    <w:p w14:paraId="05FC3EBA">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7.2.3 承包人必须对技术方案进行多方案比较和优化，比较方案应具有可比性。各个阶段的技术方案比较必须通过技术经济分析，完成单体或单项工程的造价分析文件编制，确保设计深度能够满足对应阶段编制工程造价文件的需要。</w:t>
      </w:r>
    </w:p>
    <w:p w14:paraId="38FF0F6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7.2.4 为确保设计优化和投资控制，承包人必须对主要基础形式、主体结构选型、建筑装修方案、景观园林方案、大宗建材（单项总投资额100万元以上）使用、主要设备（单项投资额10万元以上或总投资额50万元以上）选型等对建成使用和建设投资有重大影响的因素进行经济技术多方案比选和性价比分析，并提交正式的书面报告。</w:t>
      </w:r>
    </w:p>
    <w:p w14:paraId="2BFDE3B7">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7.2.5 承包人进行经济指标分析时，应提出所采用经济分析的单项指标、综合指标及相应的依据、理由，对主要设备、材料的选用，应经过充分的询价、分析，积累技术经济资料，推荐选用的设备、材料，应注明规格、型号、性能、技术指标等，并提出质量、功能方面的要求，确保投资概算的合理与稳定。</w:t>
      </w:r>
    </w:p>
    <w:p w14:paraId="4615B766">
      <w:pPr>
        <w:numPr>
          <w:ilvl w:val="255"/>
          <w:numId w:val="0"/>
        </w:numPr>
        <w:ind w:left="440" w:left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7.3 预算：按合同约定执行。</w:t>
      </w:r>
    </w:p>
    <w:p w14:paraId="4A29AEA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7.4 在项目实施阶段，若出现大幅增加工程造价重大设计变更或新增工程实施内容，导致工程造价超出批复概算，承包人须配合项目建设管理单位及时申报概算调整。</w:t>
      </w:r>
    </w:p>
    <w:p w14:paraId="3C1F0EE5">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7.5 承包人应当严格执行工程立项及可行性研究批准的估算，不得擅自增加工程量和工程造价提高设计费。</w:t>
      </w:r>
    </w:p>
    <w:p w14:paraId="0E8B3E3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7.6 承包人应当按照合同约定进行设计。未按合同约定设计而项目建设管理单位要求纠正的，承包人应当及时修改，不得另行收取费用。</w:t>
      </w:r>
    </w:p>
    <w:p w14:paraId="0EDD667F">
      <w:pPr>
        <w:spacing w:line="360" w:lineRule="auto"/>
        <w:ind w:firstLine="482" w:firstLineChars="200"/>
        <w:rPr>
          <w:rFonts w:hint="eastAsia" w:ascii="宋体" w:hAnsi="宋体" w:eastAsia="宋体" w:cs="宋体"/>
          <w:b/>
          <w:bCs/>
          <w:color w:val="000000" w:themeColor="text1"/>
          <w:sz w:val="24"/>
          <w:szCs w:val="24"/>
          <w:highlight w:val="none"/>
          <w14:textFill>
            <w14:solidFill>
              <w14:schemeClr w14:val="tx1"/>
            </w14:solidFill>
          </w14:textFill>
        </w:rPr>
      </w:pPr>
      <w:bookmarkStart w:id="267" w:name="_Toc6873"/>
      <w:bookmarkStart w:id="268" w:name="_Toc30766"/>
      <w:bookmarkStart w:id="269" w:name="_Toc50537213"/>
      <w:bookmarkStart w:id="270" w:name="_Toc104581726"/>
      <w:bookmarkStart w:id="271" w:name="_Toc444182773"/>
      <w:bookmarkStart w:id="272" w:name="_Toc12908"/>
      <w:r>
        <w:rPr>
          <w:rFonts w:hint="eastAsia" w:ascii="宋体" w:hAnsi="宋体" w:eastAsia="宋体" w:cs="宋体"/>
          <w:b/>
          <w:bCs/>
          <w:color w:val="000000" w:themeColor="text1"/>
          <w:sz w:val="24"/>
          <w:szCs w:val="24"/>
          <w:highlight w:val="none"/>
          <w14:textFill>
            <w14:solidFill>
              <w14:schemeClr w14:val="tx1"/>
            </w14:solidFill>
          </w14:textFill>
        </w:rPr>
        <w:t>8.关于设计变更</w:t>
      </w:r>
      <w:bookmarkEnd w:id="267"/>
      <w:bookmarkEnd w:id="268"/>
      <w:bookmarkEnd w:id="269"/>
      <w:bookmarkEnd w:id="270"/>
      <w:bookmarkEnd w:id="271"/>
      <w:bookmarkEnd w:id="272"/>
    </w:p>
    <w:p w14:paraId="5EB1CC4F">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8.1 由于承包人设计错误、对设计基础资料选用不当、专业间接口出现矛盾等情况造成的设计更改，承包人应根据建设单位规定的时间提交设计变更，发包人不对此增加设计费用。</w:t>
      </w:r>
    </w:p>
    <w:p w14:paraId="65F7D90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8.2 遇到国家设计规范发生修订时，承包人依照修订后的规范进行修改，发包人不对此增加设计费用。</w:t>
      </w:r>
    </w:p>
    <w:p w14:paraId="704EA63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8.3 承包人应充分考虑我国国内的施工安装条件和水平、材料供应的条件（即充分考虑设计与施工的衔接），若由于设计自身过错导致无法施工或采购材料，承包人应无条件修改或重新设计。</w:t>
      </w:r>
    </w:p>
    <w:p w14:paraId="144B1AF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8.4 对新材料及特殊结构应提供国际权威机构或国内有关部门的试验报告。</w:t>
      </w:r>
    </w:p>
    <w:p w14:paraId="1D5758EF">
      <w:pPr>
        <w:rPr>
          <w:rFonts w:hint="eastAsia" w:ascii="宋体" w:hAnsi="宋体" w:eastAsia="宋体" w:cs="宋体"/>
          <w:color w:val="000000" w:themeColor="text1"/>
          <w:highlight w:val="none"/>
          <w14:textFill>
            <w14:solidFill>
              <w14:schemeClr w14:val="tx1"/>
            </w14:solidFill>
          </w14:textFill>
        </w:rPr>
        <w:sectPr>
          <w:footerReference r:id="rId11" w:type="default"/>
          <w:pgSz w:w="11906" w:h="16838"/>
          <w:pgMar w:top="1440" w:right="1440" w:bottom="1440" w:left="1440" w:header="851" w:footer="992" w:gutter="0"/>
          <w:pgBorders>
            <w:top w:val="none" w:sz="0" w:space="0"/>
            <w:left w:val="none" w:sz="0" w:space="0"/>
            <w:bottom w:val="none" w:sz="0" w:space="0"/>
            <w:right w:val="none" w:sz="0" w:space="0"/>
          </w:pgBorders>
          <w:cols w:space="425" w:num="1"/>
          <w:docGrid w:type="lines" w:linePitch="312" w:charSpace="0"/>
        </w:sectPr>
      </w:pPr>
    </w:p>
    <w:p w14:paraId="2C1A4FFC">
      <w:pPr>
        <w:pStyle w:val="2"/>
        <w:keepNext w:val="0"/>
        <w:keepLines w:val="0"/>
        <w:snapToGrid/>
        <w:spacing w:line="360" w:lineRule="auto"/>
        <w:rPr>
          <w:rFonts w:hint="eastAsia" w:ascii="宋体" w:hAnsi="宋体" w:eastAsia="宋体" w:cs="宋体"/>
          <w:color w:val="000000" w:themeColor="text1"/>
          <w:highlight w:val="none"/>
          <w14:textFill>
            <w14:solidFill>
              <w14:schemeClr w14:val="tx1"/>
            </w14:solidFill>
          </w14:textFill>
        </w:rPr>
      </w:pPr>
      <w:bookmarkStart w:id="273" w:name="_Toc104581727"/>
      <w:bookmarkStart w:id="274" w:name="_Toc16811"/>
      <w:bookmarkStart w:id="275" w:name="_Toc14935"/>
      <w:bookmarkStart w:id="276" w:name="_Toc27988"/>
      <w:bookmarkStart w:id="277" w:name="_Toc970"/>
      <w:r>
        <w:rPr>
          <w:rFonts w:hint="eastAsia" w:ascii="宋体" w:hAnsi="宋体" w:eastAsia="宋体" w:cs="宋体"/>
          <w:color w:val="000000" w:themeColor="text1"/>
          <w:highlight w:val="none"/>
          <w14:textFill>
            <w14:solidFill>
              <w14:schemeClr w14:val="tx1"/>
            </w14:solidFill>
          </w14:textFill>
        </w:rPr>
        <w:t>四、关键技术指标</w:t>
      </w:r>
      <w:bookmarkEnd w:id="273"/>
      <w:bookmarkEnd w:id="274"/>
      <w:bookmarkEnd w:id="275"/>
      <w:bookmarkEnd w:id="276"/>
      <w:bookmarkEnd w:id="277"/>
    </w:p>
    <w:p w14:paraId="087B4E24">
      <w:pPr>
        <w:pStyle w:val="5"/>
        <w:keepNext w:val="0"/>
        <w:keepLines w:val="0"/>
        <w:snapToGrid/>
        <w:spacing w:before="156" w:beforeLines="50" w:after="0"/>
        <w:ind w:firstLine="482" w:firstLineChars="200"/>
        <w:rPr>
          <w:rFonts w:hint="eastAsia" w:ascii="宋体" w:hAnsi="宋体" w:eastAsia="宋体" w:cs="宋体"/>
          <w:color w:val="000000" w:themeColor="text1"/>
          <w:sz w:val="24"/>
          <w:szCs w:val="28"/>
          <w:highlight w:val="none"/>
          <w14:textFill>
            <w14:solidFill>
              <w14:schemeClr w14:val="tx1"/>
            </w14:solidFill>
          </w14:textFill>
        </w:rPr>
      </w:pPr>
      <w:bookmarkStart w:id="278" w:name="_Toc27115"/>
      <w:bookmarkStart w:id="279" w:name="_Toc5262"/>
      <w:bookmarkStart w:id="280" w:name="_Toc24160"/>
      <w:bookmarkStart w:id="281" w:name="_Toc104581728"/>
      <w:r>
        <w:rPr>
          <w:rFonts w:hint="eastAsia" w:ascii="宋体" w:hAnsi="宋体" w:eastAsia="宋体" w:cs="宋体"/>
          <w:color w:val="000000" w:themeColor="text1"/>
          <w:sz w:val="24"/>
          <w:szCs w:val="28"/>
          <w:highlight w:val="none"/>
          <w14:textFill>
            <w14:solidFill>
              <w14:schemeClr w14:val="tx1"/>
            </w14:solidFill>
          </w14:textFill>
        </w:rPr>
        <w:t>1.建筑设计</w:t>
      </w:r>
      <w:bookmarkEnd w:id="278"/>
      <w:bookmarkEnd w:id="279"/>
      <w:bookmarkEnd w:id="280"/>
      <w:bookmarkEnd w:id="281"/>
    </w:p>
    <w:p w14:paraId="7D717B83">
      <w:pPr>
        <w:pStyle w:val="6"/>
        <w:keepNext w:val="0"/>
        <w:keepLines w:val="0"/>
        <w:snapToGrid/>
        <w:spacing w:before="156" w:beforeLines="50"/>
        <w:ind w:firstLine="482" w:firstLineChars="200"/>
        <w:rPr>
          <w:rFonts w:hint="eastAsia" w:ascii="宋体" w:hAnsi="宋体" w:eastAsia="宋体" w:cs="宋体"/>
          <w:color w:val="000000" w:themeColor="text1"/>
          <w:sz w:val="24"/>
          <w:highlight w:val="none"/>
          <w14:textFill>
            <w14:solidFill>
              <w14:schemeClr w14:val="tx1"/>
            </w14:solidFill>
          </w14:textFill>
        </w:rPr>
      </w:pPr>
      <w:bookmarkStart w:id="282" w:name="_Toc21237"/>
      <w:bookmarkStart w:id="283" w:name="_Toc13485"/>
      <w:bookmarkStart w:id="284" w:name="_Toc104581729"/>
      <w:bookmarkStart w:id="285" w:name="_Toc30782"/>
      <w:r>
        <w:rPr>
          <w:rFonts w:hint="eastAsia" w:ascii="宋体" w:hAnsi="宋体" w:eastAsia="宋体" w:cs="宋体"/>
          <w:color w:val="000000" w:themeColor="text1"/>
          <w:sz w:val="24"/>
          <w:highlight w:val="none"/>
          <w14:textFill>
            <w14:solidFill>
              <w14:schemeClr w14:val="tx1"/>
            </w14:solidFill>
          </w14:textFill>
        </w:rPr>
        <w:t>1.1 设计依据</w:t>
      </w:r>
      <w:bookmarkEnd w:id="282"/>
      <w:bookmarkEnd w:id="283"/>
      <w:bookmarkEnd w:id="284"/>
      <w:bookmarkEnd w:id="285"/>
    </w:p>
    <w:p w14:paraId="059C58E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1.1.1 在限额设计的基础上保障安置区规划设计基本住房条件和功能质量，使设计满足安全、卫生、适用、经济等性能要求。</w:t>
      </w:r>
    </w:p>
    <w:p w14:paraId="5A0ABF86">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 制定各控制指标项，实现安置区设计的标准化。</w:t>
      </w:r>
    </w:p>
    <w:p w14:paraId="6962675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1.1.3 国家现行的主要设计规范及标准：</w:t>
      </w:r>
    </w:p>
    <w:p w14:paraId="7F22A75A">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《民用建筑设计统一标准》                        GB50352-2019</w:t>
      </w:r>
    </w:p>
    <w:p w14:paraId="6F7B1D7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《无障碍设计规范》                              GB50763-2012</w:t>
      </w:r>
    </w:p>
    <w:p w14:paraId="6126E63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《工程建设标准强制性条文（房屋建筑部分）》      （2013年版）</w:t>
      </w:r>
    </w:p>
    <w:p w14:paraId="2C5A2FBC">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《住宅项目规范》                                GB55038-2025</w:t>
      </w:r>
    </w:p>
    <w:p w14:paraId="1AE606C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《托儿所、幼儿园建筑设计规范》               JGJ39-2016（2019年版）</w:t>
      </w:r>
    </w:p>
    <w:p w14:paraId="059EE513">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《车库建筑设计规范》                            JGJ100-2015</w:t>
      </w:r>
    </w:p>
    <w:p w14:paraId="3BC6C92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《电动汽车充电基础设施建设技术规程》            DBJ/T 15-150-2018</w:t>
      </w:r>
    </w:p>
    <w:p w14:paraId="541F4F9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《建筑设计防火规范》                       GB50016-2014 (2018年版)</w:t>
      </w:r>
    </w:p>
    <w:p w14:paraId="503DCBDE">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《汽车库、修车库、停车场设计防火规范》          GB50067-2014</w:t>
      </w:r>
    </w:p>
    <w:p w14:paraId="6DC2E654">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《建筑内部装修设计防火规范》                    GB50222-2017</w:t>
      </w:r>
    </w:p>
    <w:p w14:paraId="690B06D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《人民防空地下室设计规范》                      GB50038-2005（2023版）</w:t>
      </w:r>
    </w:p>
    <w:p w14:paraId="67118C1D">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《人民防空工程设计防火规范》                    GB50098—2009</w:t>
      </w:r>
    </w:p>
    <w:p w14:paraId="27392EF8">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《建筑防火通用规范》                            GB 55037-2022</w:t>
      </w:r>
    </w:p>
    <w:p w14:paraId="57CBB24A">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《消防设施通用规范》                            GB 55036-2022</w:t>
      </w:r>
    </w:p>
    <w:p w14:paraId="3C83A4B0">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《建筑节能与可再生能源利用通用规范》 GB 55015-2021</w:t>
      </w:r>
    </w:p>
    <w:p w14:paraId="2151CBAE">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广州市城乡规划技术规定（168号令）</w:t>
      </w:r>
    </w:p>
    <w:p w14:paraId="59FFA096">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《广州市历史建筑消防性能提升策略与技术指引》</w:t>
      </w:r>
    </w:p>
    <w:p w14:paraId="3EC0742F">
      <w:pPr>
        <w:pStyle w:val="3"/>
        <w:ind w:firstLine="240"/>
        <w:rPr>
          <w:rFonts w:hint="eastAsia" w:ascii="宋体" w:hAnsi="宋体" w:cs="宋体"/>
          <w:color w:val="000000" w:themeColor="text1"/>
          <w:sz w:val="24"/>
          <w:szCs w:val="22"/>
          <w:highlight w:val="none"/>
          <w14:textFill>
            <w14:solidFill>
              <w14:schemeClr w14:val="tx1"/>
            </w14:solidFill>
          </w14:textFill>
        </w:rPr>
      </w:pPr>
      <w:r>
        <w:rPr>
          <w:rFonts w:hint="eastAsia" w:ascii="宋体" w:hAnsi="宋体" w:cs="宋体"/>
          <w:color w:val="000000" w:themeColor="text1"/>
          <w:sz w:val="24"/>
          <w:szCs w:val="22"/>
          <w:highlight w:val="none"/>
          <w14:textFill>
            <w14:solidFill>
              <w14:schemeClr w14:val="tx1"/>
            </w14:solidFill>
          </w14:textFill>
        </w:rPr>
        <w:t>《建筑与市政工程无障碍通用规范》                            GB 55019-2021</w:t>
      </w:r>
    </w:p>
    <w:p w14:paraId="7835F2CE">
      <w:pPr>
        <w:pStyle w:val="3"/>
        <w:ind w:firstLine="240"/>
        <w:rPr>
          <w:rFonts w:hint="eastAsia" w:ascii="宋体" w:hAnsi="宋体" w:cs="宋体"/>
          <w:color w:val="000000" w:themeColor="text1"/>
          <w:sz w:val="24"/>
          <w:szCs w:val="22"/>
          <w:highlight w:val="none"/>
          <w14:textFill>
            <w14:solidFill>
              <w14:schemeClr w14:val="tx1"/>
            </w14:solidFill>
          </w14:textFill>
        </w:rPr>
      </w:pPr>
      <w:r>
        <w:rPr>
          <w:rFonts w:hint="eastAsia" w:ascii="宋体" w:hAnsi="宋体" w:cs="宋体"/>
          <w:color w:val="000000" w:themeColor="text1"/>
          <w:sz w:val="24"/>
          <w:szCs w:val="22"/>
          <w:highlight w:val="none"/>
          <w14:textFill>
            <w14:solidFill>
              <w14:schemeClr w14:val="tx1"/>
            </w14:solidFill>
          </w14:textFill>
        </w:rPr>
        <w:t>《建筑与市政工程防水通用规范》                               GB 55030-2022</w:t>
      </w:r>
    </w:p>
    <w:p w14:paraId="48B0D0D5">
      <w:pPr>
        <w:pStyle w:val="3"/>
        <w:ind w:firstLine="240"/>
        <w:rPr>
          <w:rFonts w:hint="eastAsia" w:ascii="宋体" w:hAnsi="宋体" w:cs="宋体"/>
          <w:color w:val="000000" w:themeColor="text1"/>
          <w:sz w:val="24"/>
          <w:szCs w:val="22"/>
          <w:highlight w:val="none"/>
          <w14:textFill>
            <w14:solidFill>
              <w14:schemeClr w14:val="tx1"/>
            </w14:solidFill>
          </w14:textFill>
        </w:rPr>
      </w:pPr>
      <w:r>
        <w:rPr>
          <w:rFonts w:hint="eastAsia" w:ascii="宋体" w:hAnsi="宋体" w:cs="宋体"/>
          <w:color w:val="000000" w:themeColor="text1"/>
          <w:sz w:val="24"/>
          <w:szCs w:val="22"/>
          <w:highlight w:val="none"/>
          <w14:textFill>
            <w14:solidFill>
              <w14:schemeClr w14:val="tx1"/>
            </w14:solidFill>
          </w14:textFill>
        </w:rPr>
        <w:t>《建筑防火通用规范》                                         GB 55037-2022</w:t>
      </w:r>
    </w:p>
    <w:p w14:paraId="424848EE">
      <w:pPr>
        <w:pStyle w:val="3"/>
        <w:ind w:firstLine="240"/>
        <w:rPr>
          <w:rFonts w:hint="eastAsia" w:ascii="宋体" w:hAnsi="宋体" w:cs="宋体"/>
          <w:color w:val="000000" w:themeColor="text1"/>
          <w:sz w:val="24"/>
          <w:szCs w:val="22"/>
          <w:highlight w:val="none"/>
          <w14:textFill>
            <w14:solidFill>
              <w14:schemeClr w14:val="tx1"/>
            </w14:solidFill>
          </w14:textFill>
        </w:rPr>
      </w:pPr>
      <w:r>
        <w:rPr>
          <w:rFonts w:hint="eastAsia" w:ascii="宋体" w:hAnsi="宋体" w:cs="宋体"/>
          <w:color w:val="000000" w:themeColor="text1"/>
          <w:sz w:val="24"/>
          <w:szCs w:val="22"/>
          <w:highlight w:val="none"/>
          <w14:textFill>
            <w14:solidFill>
              <w14:schemeClr w14:val="tx1"/>
            </w14:solidFill>
          </w14:textFill>
        </w:rPr>
        <w:t>《建筑内部装修设计防火规范》                                 GB 50222-2017</w:t>
      </w:r>
    </w:p>
    <w:p w14:paraId="6A22AC3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1.1.4 包括国家、广东省以及广州市颁发的现行有关规范、规定其他与本工程相关规范、规定、技术措施及相关图集</w:t>
      </w:r>
    </w:p>
    <w:p w14:paraId="4F35F7C6">
      <w:pPr>
        <w:pStyle w:val="6"/>
        <w:keepNext w:val="0"/>
        <w:keepLines w:val="0"/>
        <w:snapToGrid/>
        <w:spacing w:before="156" w:beforeLines="5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86" w:name="_Toc104581730"/>
      <w:bookmarkStart w:id="287" w:name="_Toc14446"/>
      <w:bookmarkStart w:id="288" w:name="_Toc23181"/>
      <w:bookmarkStart w:id="289" w:name="_Toc31222"/>
      <w:r>
        <w:rPr>
          <w:rFonts w:hint="eastAsia" w:ascii="宋体" w:hAnsi="宋体" w:eastAsia="宋体" w:cs="宋体"/>
          <w:color w:val="000000" w:themeColor="text1"/>
          <w:sz w:val="24"/>
          <w:szCs w:val="24"/>
          <w:highlight w:val="none"/>
          <w14:textFill>
            <w14:solidFill>
              <w14:schemeClr w14:val="tx1"/>
            </w14:solidFill>
          </w14:textFill>
        </w:rPr>
        <w:t>1.2 关键指标</w:t>
      </w:r>
      <w:bookmarkEnd w:id="286"/>
      <w:bookmarkEnd w:id="287"/>
      <w:bookmarkEnd w:id="288"/>
      <w:bookmarkEnd w:id="289"/>
    </w:p>
    <w:p w14:paraId="646F4470">
      <w:pPr>
        <w:spacing w:before="156" w:beforeLines="50" w:line="360" w:lineRule="auto"/>
        <w:ind w:firstLineChars="200"/>
        <w:rPr>
          <w:rFonts w:hint="eastAsia" w:ascii="宋体" w:hAnsi="宋体" w:eastAsia="宋体" w:cs="宋体"/>
          <w:b w:val="0"/>
          <w:color w:val="000000" w:themeColor="text1"/>
          <w:sz w:val="24"/>
          <w:szCs w:val="22"/>
          <w:highlight w:val="none"/>
          <w14:textFill>
            <w14:solidFill>
              <w14:schemeClr w14:val="tx1"/>
            </w14:solidFill>
          </w14:textFill>
        </w:rPr>
      </w:pPr>
      <w:bookmarkStart w:id="290" w:name="_Toc15050"/>
      <w:bookmarkStart w:id="291" w:name="_Toc29582"/>
      <w:bookmarkStart w:id="292" w:name="_Toc104581732"/>
      <w:bookmarkStart w:id="293" w:name="_Toc530497337"/>
      <w:bookmarkStart w:id="294" w:name="_Toc69826384"/>
      <w:bookmarkStart w:id="295" w:name="_Toc72337762"/>
      <w:bookmarkStart w:id="296" w:name="_Toc12436"/>
      <w:r>
        <w:rPr>
          <w:rFonts w:hint="eastAsia" w:ascii="宋体" w:hAnsi="宋体" w:eastAsia="宋体" w:cs="宋体"/>
          <w:b w:val="0"/>
          <w:color w:val="000000" w:themeColor="text1"/>
          <w:sz w:val="24"/>
          <w:szCs w:val="22"/>
          <w:highlight w:val="none"/>
          <w:lang w:eastAsia="zh"/>
          <w14:textFill>
            <w14:solidFill>
              <w14:schemeClr w14:val="tx1"/>
            </w14:solidFill>
          </w14:textFill>
          <w:woUserID w:val="1"/>
        </w:rPr>
        <w:t xml:space="preserve">    </w:t>
      </w:r>
      <w:r>
        <w:rPr>
          <w:rFonts w:hint="eastAsia" w:ascii="宋体" w:hAnsi="宋体" w:eastAsia="宋体" w:cs="宋体"/>
          <w:b w:val="0"/>
          <w:color w:val="000000" w:themeColor="text1"/>
          <w:sz w:val="24"/>
          <w:szCs w:val="22"/>
          <w:highlight w:val="none"/>
          <w14:textFill>
            <w14:solidFill>
              <w14:schemeClr w14:val="tx1"/>
            </w14:solidFill>
          </w14:textFill>
        </w:rPr>
        <w:t>1.2.1 地下室建设规模：</w:t>
      </w:r>
    </w:p>
    <w:p w14:paraId="1BA170E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严格控制层数，节约成本，满铺完成负一层后才设置负二层，严禁出现地下三层的设计情况。</w:t>
      </w:r>
    </w:p>
    <w:p w14:paraId="1B751D32">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1.2.2 地下室层高</w:t>
      </w:r>
    </w:p>
    <w:tbl>
      <w:tblPr>
        <w:tblStyle w:val="42"/>
        <w:tblW w:w="8296" w:type="dxa"/>
        <w:jc w:val="center"/>
        <w:tblLayout w:type="fixed"/>
        <w:tblCellMar>
          <w:top w:w="0" w:type="dxa"/>
          <w:left w:w="108" w:type="dxa"/>
          <w:bottom w:w="0" w:type="dxa"/>
          <w:right w:w="108" w:type="dxa"/>
        </w:tblCellMar>
      </w:tblPr>
      <w:tblGrid>
        <w:gridCol w:w="1887"/>
        <w:gridCol w:w="1923"/>
        <w:gridCol w:w="1762"/>
        <w:gridCol w:w="2724"/>
      </w:tblGrid>
      <w:tr w14:paraId="398D61F3">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76EDC161">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923" w:type="dxa"/>
            <w:tcBorders>
              <w:top w:val="single" w:color="auto" w:sz="4" w:space="0"/>
              <w:left w:val="single" w:color="auto" w:sz="4" w:space="0"/>
              <w:bottom w:val="single" w:color="auto" w:sz="4" w:space="0"/>
              <w:right w:val="single" w:color="auto" w:sz="4" w:space="0"/>
            </w:tcBorders>
          </w:tcPr>
          <w:p w14:paraId="1A20AB9D">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地下室非人防区</w:t>
            </w:r>
          </w:p>
        </w:tc>
        <w:tc>
          <w:tcPr>
            <w:tcW w:w="1762" w:type="dxa"/>
            <w:tcBorders>
              <w:top w:val="single" w:color="auto" w:sz="4" w:space="0"/>
              <w:left w:val="single" w:color="auto" w:sz="4" w:space="0"/>
              <w:bottom w:val="single" w:color="auto" w:sz="4" w:space="0"/>
              <w:right w:val="single" w:color="auto" w:sz="4" w:space="0"/>
            </w:tcBorders>
          </w:tcPr>
          <w:p w14:paraId="726465CC">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地下室人防区</w:t>
            </w:r>
          </w:p>
        </w:tc>
        <w:tc>
          <w:tcPr>
            <w:tcW w:w="2724" w:type="dxa"/>
            <w:tcBorders>
              <w:top w:val="single" w:color="auto" w:sz="4" w:space="0"/>
              <w:left w:val="single" w:color="auto" w:sz="4" w:space="0"/>
              <w:bottom w:val="single" w:color="auto" w:sz="4" w:space="0"/>
              <w:right w:val="single" w:color="auto" w:sz="4" w:space="0"/>
            </w:tcBorders>
          </w:tcPr>
          <w:p w14:paraId="10A2330E">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备注</w:t>
            </w:r>
          </w:p>
        </w:tc>
      </w:tr>
      <w:tr w14:paraId="0568A940">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7FF37426">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负一层（m）</w:t>
            </w:r>
          </w:p>
        </w:tc>
        <w:tc>
          <w:tcPr>
            <w:tcW w:w="1923" w:type="dxa"/>
            <w:tcBorders>
              <w:top w:val="single" w:color="auto" w:sz="4" w:space="0"/>
              <w:left w:val="single" w:color="auto" w:sz="4" w:space="0"/>
              <w:bottom w:val="single" w:color="auto" w:sz="4" w:space="0"/>
              <w:right w:val="single" w:color="auto" w:sz="4" w:space="0"/>
            </w:tcBorders>
          </w:tcPr>
          <w:p w14:paraId="39BBE3F2">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3.5</w:t>
            </w:r>
          </w:p>
        </w:tc>
        <w:tc>
          <w:tcPr>
            <w:tcW w:w="1762" w:type="dxa"/>
            <w:tcBorders>
              <w:top w:val="single" w:color="auto" w:sz="4" w:space="0"/>
              <w:left w:val="single" w:color="auto" w:sz="4" w:space="0"/>
              <w:bottom w:val="single" w:color="auto" w:sz="4" w:space="0"/>
              <w:right w:val="single" w:color="auto" w:sz="4" w:space="0"/>
            </w:tcBorders>
          </w:tcPr>
          <w:p w14:paraId="7824846A">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3.7</w:t>
            </w:r>
          </w:p>
        </w:tc>
        <w:tc>
          <w:tcPr>
            <w:tcW w:w="2724" w:type="dxa"/>
            <w:tcBorders>
              <w:top w:val="single" w:color="auto" w:sz="4" w:space="0"/>
              <w:left w:val="single" w:color="auto" w:sz="4" w:space="0"/>
              <w:bottom w:val="single" w:color="auto" w:sz="4" w:space="0"/>
              <w:right w:val="single" w:color="auto" w:sz="4" w:space="0"/>
            </w:tcBorders>
          </w:tcPr>
          <w:p w14:paraId="2BF8DDFB">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建筑面层到顶板标高</w:t>
            </w:r>
          </w:p>
        </w:tc>
      </w:tr>
      <w:tr w14:paraId="5CFEAF00">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1B319F2B">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负二层（m）</w:t>
            </w:r>
          </w:p>
        </w:tc>
        <w:tc>
          <w:tcPr>
            <w:tcW w:w="1923" w:type="dxa"/>
            <w:tcBorders>
              <w:top w:val="single" w:color="auto" w:sz="4" w:space="0"/>
              <w:left w:val="single" w:color="auto" w:sz="4" w:space="0"/>
              <w:bottom w:val="single" w:color="auto" w:sz="4" w:space="0"/>
              <w:right w:val="single" w:color="auto" w:sz="4" w:space="0"/>
            </w:tcBorders>
          </w:tcPr>
          <w:p w14:paraId="59B400D2">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3.5</w:t>
            </w:r>
          </w:p>
        </w:tc>
        <w:tc>
          <w:tcPr>
            <w:tcW w:w="1762" w:type="dxa"/>
            <w:tcBorders>
              <w:top w:val="single" w:color="auto" w:sz="4" w:space="0"/>
              <w:left w:val="single" w:color="auto" w:sz="4" w:space="0"/>
              <w:bottom w:val="single" w:color="auto" w:sz="4" w:space="0"/>
              <w:right w:val="single" w:color="auto" w:sz="4" w:space="0"/>
            </w:tcBorders>
          </w:tcPr>
          <w:p w14:paraId="69906E13">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3.7</w:t>
            </w:r>
          </w:p>
        </w:tc>
        <w:tc>
          <w:tcPr>
            <w:tcW w:w="2724" w:type="dxa"/>
            <w:tcBorders>
              <w:top w:val="single" w:color="auto" w:sz="4" w:space="0"/>
              <w:left w:val="single" w:color="auto" w:sz="4" w:space="0"/>
              <w:bottom w:val="single" w:color="auto" w:sz="4" w:space="0"/>
              <w:right w:val="single" w:color="auto" w:sz="4" w:space="0"/>
            </w:tcBorders>
          </w:tcPr>
          <w:p w14:paraId="64DBBD6B">
            <w:pPr>
              <w:widowControl/>
              <w:spacing w:line="360" w:lineRule="auto"/>
              <w:jc w:val="center"/>
              <w:textAlignment w:val="center"/>
              <w:rPr>
                <w:rFonts w:hint="eastAsia" w:ascii="宋体" w:hAnsi="宋体" w:eastAsia="宋体"/>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建筑面层到建筑面层</w:t>
            </w:r>
          </w:p>
        </w:tc>
      </w:tr>
    </w:tbl>
    <w:p w14:paraId="318C79E1">
      <w:pPr>
        <w:pStyle w:val="80"/>
        <w:spacing w:line="360" w:lineRule="auto"/>
        <w:ind w:firstLineChars="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注：</w:t>
      </w:r>
    </w:p>
    <w:p w14:paraId="752C6F46">
      <w:pPr>
        <w:pStyle w:val="80"/>
        <w:spacing w:line="360" w:lineRule="auto"/>
        <w:ind w:firstLineChars="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1.不计容前提下尽量抬高地下室顶板标高，人防防护等级需要局部增加层高另做要求。</w:t>
      </w:r>
    </w:p>
    <w:p w14:paraId="44B5B5A8">
      <w:pPr>
        <w:pStyle w:val="80"/>
        <w:spacing w:line="360" w:lineRule="auto"/>
        <w:ind w:firstLineChars="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2.边界不规则或边界条件复杂等特殊地块可以适当增加层高，但因控制总体造价最优。</w:t>
      </w:r>
    </w:p>
    <w:p w14:paraId="0A06D72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1.2.3 地下室停车单车指标</w:t>
      </w:r>
    </w:p>
    <w:tbl>
      <w:tblPr>
        <w:tblStyle w:val="42"/>
        <w:tblW w:w="8296" w:type="dxa"/>
        <w:jc w:val="center"/>
        <w:tblLayout w:type="fixed"/>
        <w:tblCellMar>
          <w:top w:w="0" w:type="dxa"/>
          <w:left w:w="108" w:type="dxa"/>
          <w:bottom w:w="0" w:type="dxa"/>
          <w:right w:w="108" w:type="dxa"/>
        </w:tblCellMar>
      </w:tblPr>
      <w:tblGrid>
        <w:gridCol w:w="2291"/>
        <w:gridCol w:w="1763"/>
        <w:gridCol w:w="1518"/>
        <w:gridCol w:w="2724"/>
      </w:tblGrid>
      <w:tr w14:paraId="4A7A135E">
        <w:tblPrEx>
          <w:tblCellMar>
            <w:top w:w="0" w:type="dxa"/>
            <w:left w:w="108" w:type="dxa"/>
            <w:bottom w:w="0" w:type="dxa"/>
            <w:right w:w="108" w:type="dxa"/>
          </w:tblCellMar>
        </w:tblPrEx>
        <w:trPr>
          <w:trHeight w:val="90" w:hRule="atLeast"/>
          <w:jc w:val="center"/>
        </w:trPr>
        <w:tc>
          <w:tcPr>
            <w:tcW w:w="2291" w:type="dxa"/>
            <w:tcBorders>
              <w:top w:val="single" w:color="auto" w:sz="4" w:space="0"/>
              <w:left w:val="single" w:color="auto" w:sz="4" w:space="0"/>
              <w:bottom w:val="single" w:color="auto" w:sz="4" w:space="0"/>
              <w:right w:val="single" w:color="auto" w:sz="4" w:space="0"/>
            </w:tcBorders>
          </w:tcPr>
          <w:p w14:paraId="4378ED4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763" w:type="dxa"/>
            <w:tcBorders>
              <w:top w:val="single" w:color="auto" w:sz="4" w:space="0"/>
              <w:left w:val="single" w:color="auto" w:sz="4" w:space="0"/>
              <w:bottom w:val="single" w:color="auto" w:sz="4" w:space="0"/>
              <w:right w:val="single" w:color="auto" w:sz="4" w:space="0"/>
            </w:tcBorders>
            <w:shd w:val="clear" w:color="auto" w:fill="auto"/>
          </w:tcPr>
          <w:p w14:paraId="11347FAA">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地下室非人防区</w:t>
            </w:r>
          </w:p>
        </w:tc>
        <w:tc>
          <w:tcPr>
            <w:tcW w:w="1518" w:type="dxa"/>
            <w:tcBorders>
              <w:top w:val="single" w:color="auto" w:sz="4" w:space="0"/>
              <w:left w:val="single" w:color="auto" w:sz="4" w:space="0"/>
              <w:bottom w:val="single" w:color="auto" w:sz="4" w:space="0"/>
              <w:right w:val="single" w:color="auto" w:sz="4" w:space="0"/>
            </w:tcBorders>
            <w:shd w:val="clear" w:color="auto" w:fill="auto"/>
          </w:tcPr>
          <w:p w14:paraId="2612445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地下室人防区</w:t>
            </w:r>
          </w:p>
        </w:tc>
        <w:tc>
          <w:tcPr>
            <w:tcW w:w="2724" w:type="dxa"/>
            <w:tcBorders>
              <w:top w:val="single" w:color="auto" w:sz="4" w:space="0"/>
              <w:left w:val="single" w:color="auto" w:sz="4" w:space="0"/>
              <w:bottom w:val="single" w:color="auto" w:sz="4" w:space="0"/>
              <w:right w:val="single" w:color="auto" w:sz="4" w:space="0"/>
            </w:tcBorders>
          </w:tcPr>
          <w:p w14:paraId="25D3D40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备注</w:t>
            </w:r>
          </w:p>
        </w:tc>
      </w:tr>
      <w:tr w14:paraId="3B76DF8E">
        <w:trPr>
          <w:jc w:val="center"/>
        </w:trPr>
        <w:tc>
          <w:tcPr>
            <w:tcW w:w="2291" w:type="dxa"/>
            <w:tcBorders>
              <w:top w:val="single" w:color="auto" w:sz="4" w:space="0"/>
              <w:left w:val="single" w:color="auto" w:sz="4" w:space="0"/>
              <w:bottom w:val="single" w:color="auto" w:sz="4" w:space="0"/>
              <w:right w:val="single" w:color="auto" w:sz="4" w:space="0"/>
            </w:tcBorders>
          </w:tcPr>
          <w:p w14:paraId="4845DC88">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住宅塔楼高度＞54m的地下室（㎡/辆）</w:t>
            </w:r>
          </w:p>
        </w:tc>
        <w:tc>
          <w:tcPr>
            <w:tcW w:w="1763" w:type="dxa"/>
            <w:tcBorders>
              <w:top w:val="single" w:color="auto" w:sz="4" w:space="0"/>
              <w:left w:val="single" w:color="auto" w:sz="4" w:space="0"/>
              <w:bottom w:val="single" w:color="auto" w:sz="4" w:space="0"/>
              <w:right w:val="single" w:color="auto" w:sz="4" w:space="0"/>
            </w:tcBorders>
            <w:shd w:val="clear" w:color="auto" w:fill="auto"/>
          </w:tcPr>
          <w:p w14:paraId="3B2A3003">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≤36</w:t>
            </w:r>
          </w:p>
        </w:tc>
        <w:tc>
          <w:tcPr>
            <w:tcW w:w="1518" w:type="dxa"/>
            <w:tcBorders>
              <w:top w:val="single" w:color="auto" w:sz="4" w:space="0"/>
              <w:left w:val="single" w:color="auto" w:sz="4" w:space="0"/>
              <w:bottom w:val="single" w:color="auto" w:sz="4" w:space="0"/>
              <w:right w:val="single" w:color="auto" w:sz="4" w:space="0"/>
            </w:tcBorders>
            <w:shd w:val="clear" w:color="auto" w:fill="auto"/>
          </w:tcPr>
          <w:p w14:paraId="5C80BE6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≤37</w:t>
            </w:r>
          </w:p>
        </w:tc>
        <w:tc>
          <w:tcPr>
            <w:tcW w:w="2724" w:type="dxa"/>
            <w:tcBorders>
              <w:top w:val="single" w:color="auto" w:sz="4" w:space="0"/>
              <w:left w:val="single" w:color="auto" w:sz="4" w:space="0"/>
              <w:bottom w:val="single" w:color="auto" w:sz="4" w:space="0"/>
              <w:right w:val="single" w:color="auto" w:sz="4" w:space="0"/>
            </w:tcBorders>
          </w:tcPr>
          <w:p w14:paraId="5216458C">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计算面积为整体轮廓地下室范围面积</w:t>
            </w:r>
          </w:p>
        </w:tc>
      </w:tr>
      <w:tr w14:paraId="1D06A165">
        <w:tblPrEx>
          <w:tblCellMar>
            <w:top w:w="0" w:type="dxa"/>
            <w:left w:w="108" w:type="dxa"/>
            <w:bottom w:w="0" w:type="dxa"/>
            <w:right w:w="108" w:type="dxa"/>
          </w:tblCellMar>
        </w:tblPrEx>
        <w:trPr>
          <w:jc w:val="center"/>
        </w:trPr>
        <w:tc>
          <w:tcPr>
            <w:tcW w:w="2291" w:type="dxa"/>
            <w:tcBorders>
              <w:top w:val="single" w:color="auto" w:sz="4" w:space="0"/>
              <w:left w:val="single" w:color="auto" w:sz="4" w:space="0"/>
              <w:bottom w:val="single" w:color="auto" w:sz="4" w:space="0"/>
              <w:right w:val="single" w:color="auto" w:sz="4" w:space="0"/>
            </w:tcBorders>
          </w:tcPr>
          <w:p w14:paraId="5A6B204D">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住宅塔楼高度≤54m的地下室（㎡/辆）</w:t>
            </w:r>
          </w:p>
        </w:tc>
        <w:tc>
          <w:tcPr>
            <w:tcW w:w="1763" w:type="dxa"/>
            <w:tcBorders>
              <w:top w:val="single" w:color="auto" w:sz="4" w:space="0"/>
              <w:left w:val="single" w:color="auto" w:sz="4" w:space="0"/>
              <w:bottom w:val="single" w:color="auto" w:sz="4" w:space="0"/>
              <w:right w:val="single" w:color="auto" w:sz="4" w:space="0"/>
            </w:tcBorders>
            <w:shd w:val="clear" w:color="auto" w:fill="auto"/>
          </w:tcPr>
          <w:p w14:paraId="5AC32262">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≤37</w:t>
            </w:r>
          </w:p>
        </w:tc>
        <w:tc>
          <w:tcPr>
            <w:tcW w:w="1518" w:type="dxa"/>
            <w:tcBorders>
              <w:top w:val="single" w:color="auto" w:sz="4" w:space="0"/>
              <w:left w:val="single" w:color="auto" w:sz="4" w:space="0"/>
              <w:bottom w:val="single" w:color="auto" w:sz="4" w:space="0"/>
              <w:right w:val="single" w:color="auto" w:sz="4" w:space="0"/>
            </w:tcBorders>
            <w:shd w:val="clear" w:color="auto" w:fill="auto"/>
          </w:tcPr>
          <w:p w14:paraId="0B0ADF79">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≤38</w:t>
            </w:r>
          </w:p>
        </w:tc>
        <w:tc>
          <w:tcPr>
            <w:tcW w:w="2724" w:type="dxa"/>
            <w:tcBorders>
              <w:top w:val="single" w:color="auto" w:sz="4" w:space="0"/>
              <w:left w:val="single" w:color="auto" w:sz="4" w:space="0"/>
              <w:bottom w:val="single" w:color="auto" w:sz="4" w:space="0"/>
              <w:right w:val="single" w:color="auto" w:sz="4" w:space="0"/>
            </w:tcBorders>
          </w:tcPr>
          <w:p w14:paraId="3B2BDE94">
            <w:pPr>
              <w:widowControl/>
              <w:spacing w:line="36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计算面积为整体轮廓地下室范围面积</w:t>
            </w:r>
          </w:p>
        </w:tc>
      </w:tr>
    </w:tbl>
    <w:p w14:paraId="226A5A10">
      <w:pPr>
        <w:pStyle w:val="7"/>
        <w:spacing w:before="156" w:beforeLines="50"/>
        <w:ind w:firstLine="480" w:firstLineChars="200"/>
        <w:rPr>
          <w:rFonts w:hint="eastAsia" w:ascii="宋体" w:hAnsi="宋体" w:cs="宋体"/>
          <w:b w:val="0"/>
          <w:color w:val="000000" w:themeColor="text1"/>
          <w:szCs w:val="24"/>
          <w:highlight w:val="none"/>
          <w14:textFill>
            <w14:solidFill>
              <w14:schemeClr w14:val="tx1"/>
            </w14:solidFill>
          </w14:textFill>
        </w:rPr>
      </w:pPr>
      <w:r>
        <w:rPr>
          <w:rFonts w:hint="eastAsia" w:ascii="宋体" w:hAnsi="宋体" w:cs="宋体"/>
          <w:b w:val="0"/>
          <w:color w:val="000000" w:themeColor="text1"/>
          <w:szCs w:val="24"/>
          <w:highlight w:val="none"/>
          <w14:textFill>
            <w14:solidFill>
              <w14:schemeClr w14:val="tx1"/>
            </w14:solidFill>
          </w14:textFill>
        </w:rPr>
        <w:t>1.2.4 顶板标高设计</w:t>
      </w:r>
    </w:p>
    <w:p w14:paraId="650DDE6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地下室顶板标高结合海绵城市验收要求具体设计。</w:t>
      </w:r>
    </w:p>
    <w:p w14:paraId="6019A693">
      <w:pPr>
        <w:pStyle w:val="7"/>
        <w:spacing w:before="156" w:beforeLines="50"/>
        <w:ind w:firstLine="480" w:firstLineChars="200"/>
        <w:rPr>
          <w:rFonts w:hint="eastAsia" w:ascii="宋体" w:hAnsi="宋体" w:cs="宋体"/>
          <w:b w:val="0"/>
          <w:color w:val="000000" w:themeColor="text1"/>
          <w:szCs w:val="24"/>
          <w:highlight w:val="none"/>
          <w14:textFill>
            <w14:solidFill>
              <w14:schemeClr w14:val="tx1"/>
            </w14:solidFill>
          </w14:textFill>
        </w:rPr>
      </w:pPr>
      <w:r>
        <w:rPr>
          <w:rFonts w:hint="eastAsia" w:ascii="宋体" w:hAnsi="宋体" w:cs="宋体"/>
          <w:b w:val="0"/>
          <w:color w:val="000000" w:themeColor="text1"/>
          <w:szCs w:val="24"/>
          <w:highlight w:val="none"/>
          <w14:textFill>
            <w14:solidFill>
              <w14:schemeClr w14:val="tx1"/>
            </w14:solidFill>
          </w14:textFill>
        </w:rPr>
        <w:t>1.2.5 地下室停车区域柱网</w:t>
      </w:r>
    </w:p>
    <w:p w14:paraId="5318461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地下室停车区域柱网跨度不宜超8.0m。</w:t>
      </w:r>
    </w:p>
    <w:p w14:paraId="6545E7C0">
      <w:pPr>
        <w:pStyle w:val="7"/>
        <w:spacing w:before="156" w:beforeLines="50"/>
        <w:ind w:firstLine="480" w:firstLineChars="200"/>
        <w:rPr>
          <w:rFonts w:hint="eastAsia" w:ascii="宋体" w:hAnsi="宋体" w:cs="宋体"/>
          <w:b w:val="0"/>
          <w:color w:val="000000" w:themeColor="text1"/>
          <w:szCs w:val="24"/>
          <w:highlight w:val="none"/>
          <w14:textFill>
            <w14:solidFill>
              <w14:schemeClr w14:val="tx1"/>
            </w14:solidFill>
          </w14:textFill>
        </w:rPr>
      </w:pPr>
      <w:r>
        <w:rPr>
          <w:rFonts w:hint="eastAsia" w:ascii="宋体" w:hAnsi="宋体" w:cs="宋体"/>
          <w:b w:val="0"/>
          <w:color w:val="000000" w:themeColor="text1"/>
          <w:szCs w:val="24"/>
          <w:highlight w:val="none"/>
          <w14:textFill>
            <w14:solidFill>
              <w14:schemeClr w14:val="tx1"/>
            </w14:solidFill>
          </w14:textFill>
        </w:rPr>
        <w:t>1.2.6 充电车位</w:t>
      </w:r>
    </w:p>
    <w:p w14:paraId="45D89335">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1.2.6.1 按要求设置地下室充电车位防火分隔；</w:t>
      </w:r>
    </w:p>
    <w:p w14:paraId="209425A8">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1.2.6.2 对停车位充电桩安装区域不做预留设计。</w:t>
      </w:r>
    </w:p>
    <w:p w14:paraId="6E7569DB">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1.2.6.3 非机动车位设计室外充电桩位置。</w:t>
      </w:r>
    </w:p>
    <w:p w14:paraId="296AEFDF">
      <w:pPr>
        <w:pStyle w:val="6"/>
        <w:keepNext w:val="0"/>
        <w:keepLines w:val="0"/>
        <w:snapToGrid/>
        <w:spacing w:before="156" w:beforeLines="5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97" w:name="_Toc25437"/>
      <w:r>
        <w:rPr>
          <w:rFonts w:hint="eastAsia" w:ascii="宋体" w:hAnsi="宋体" w:eastAsia="宋体" w:cs="宋体"/>
          <w:color w:val="000000" w:themeColor="text1"/>
          <w:sz w:val="24"/>
          <w:szCs w:val="24"/>
          <w:highlight w:val="none"/>
          <w14:textFill>
            <w14:solidFill>
              <w14:schemeClr w14:val="tx1"/>
            </w14:solidFill>
          </w14:textFill>
        </w:rPr>
        <w:t>1.3通用指标</w:t>
      </w:r>
      <w:bookmarkEnd w:id="290"/>
      <w:bookmarkEnd w:id="291"/>
      <w:bookmarkEnd w:id="292"/>
      <w:bookmarkEnd w:id="297"/>
    </w:p>
    <w:p w14:paraId="0680F47D">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1.3.1材料选型</w:t>
      </w:r>
    </w:p>
    <w:p w14:paraId="1C3014E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1.3.1.1 外墙材料可采用通体砖、釉面砖或外墙涂料，面砖尺寸大小根据立面效果选择，涂料材质及颜色根据。</w:t>
      </w:r>
    </w:p>
    <w:p w14:paraId="7B9EFCA4">
      <w:pPr>
        <w:spacing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w:t>
      </w:r>
      <w:r>
        <w:rPr>
          <w:rFonts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color w:val="000000" w:themeColor="text1"/>
          <w:sz w:val="24"/>
          <w:szCs w:val="24"/>
          <w:highlight w:val="none"/>
          <w14:textFill>
            <w14:solidFill>
              <w14:schemeClr w14:val="tx1"/>
            </w14:solidFill>
          </w14:textFill>
        </w:rPr>
        <w:t>.2 内装饰材料参考表：</w:t>
      </w:r>
    </w:p>
    <w:tbl>
      <w:tblPr>
        <w:tblStyle w:val="42"/>
        <w:tblW w:w="8177" w:type="dxa"/>
        <w:tblInd w:w="250" w:type="dxa"/>
        <w:tblLayout w:type="fixed"/>
        <w:tblCellMar>
          <w:top w:w="0" w:type="dxa"/>
          <w:left w:w="108" w:type="dxa"/>
          <w:bottom w:w="0" w:type="dxa"/>
          <w:right w:w="108" w:type="dxa"/>
        </w:tblCellMar>
      </w:tblPr>
      <w:tblGrid>
        <w:gridCol w:w="375"/>
        <w:gridCol w:w="1610"/>
        <w:gridCol w:w="1559"/>
        <w:gridCol w:w="1417"/>
        <w:gridCol w:w="1911"/>
        <w:gridCol w:w="1305"/>
      </w:tblGrid>
      <w:tr w14:paraId="38F0CC07">
        <w:tblPrEx>
          <w:tblCellMar>
            <w:top w:w="0" w:type="dxa"/>
            <w:left w:w="108" w:type="dxa"/>
            <w:bottom w:w="0" w:type="dxa"/>
            <w:right w:w="108" w:type="dxa"/>
          </w:tblCellMar>
        </w:tblPrEx>
        <w:trPr>
          <w:trHeight w:val="321" w:hRule="atLeast"/>
        </w:trPr>
        <w:tc>
          <w:tcPr>
            <w:tcW w:w="1985" w:type="dxa"/>
            <w:gridSpan w:val="2"/>
            <w:tcBorders>
              <w:top w:val="single" w:color="000000" w:sz="4" w:space="0"/>
              <w:left w:val="single" w:color="000000" w:sz="4" w:space="0"/>
              <w:bottom w:val="single" w:color="000000" w:sz="4" w:space="0"/>
              <w:right w:val="single" w:color="000000" w:sz="4" w:space="0"/>
            </w:tcBorders>
            <w:noWrap/>
            <w:vAlign w:val="center"/>
          </w:tcPr>
          <w:p w14:paraId="1D4F2328">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ign w:val="center"/>
          </w:tcPr>
          <w:p w14:paraId="0004678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顶 棚</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4403C5FC">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内 墙 面</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5FCF33A1">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地（楼）面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2AFCA272">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踢脚（墙裙）</w:t>
            </w:r>
          </w:p>
        </w:tc>
      </w:tr>
      <w:tr w14:paraId="368FBCE5">
        <w:tblPrEx>
          <w:tblCellMar>
            <w:top w:w="0" w:type="dxa"/>
            <w:left w:w="108" w:type="dxa"/>
            <w:bottom w:w="0" w:type="dxa"/>
            <w:right w:w="108" w:type="dxa"/>
          </w:tblCellMar>
        </w:tblPrEx>
        <w:trPr>
          <w:trHeight w:val="632" w:hRule="atLeast"/>
        </w:trPr>
        <w:tc>
          <w:tcPr>
            <w:tcW w:w="375" w:type="dxa"/>
            <w:vMerge w:val="restart"/>
            <w:tcBorders>
              <w:top w:val="single" w:color="000000" w:sz="4" w:space="0"/>
              <w:left w:val="single" w:color="000000" w:sz="4" w:space="0"/>
              <w:bottom w:val="single" w:color="000000" w:sz="4" w:space="0"/>
              <w:right w:val="single" w:color="000000" w:sz="4" w:space="0"/>
            </w:tcBorders>
            <w:vAlign w:val="center"/>
          </w:tcPr>
          <w:p w14:paraId="08CFEF81">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w:t>
            </w:r>
          </w:p>
        </w:tc>
        <w:tc>
          <w:tcPr>
            <w:tcW w:w="1610" w:type="dxa"/>
            <w:tcBorders>
              <w:top w:val="single" w:color="000000" w:sz="4" w:space="0"/>
              <w:left w:val="single" w:color="000000" w:sz="4" w:space="0"/>
              <w:bottom w:val="single" w:color="000000" w:sz="4" w:space="0"/>
              <w:right w:val="single" w:color="000000" w:sz="4" w:space="0"/>
            </w:tcBorders>
            <w:vAlign w:val="center"/>
          </w:tcPr>
          <w:p w14:paraId="2C23DBDD">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首层大堂、门厅、标准层电梯厅及合用前室</w:t>
            </w:r>
          </w:p>
        </w:tc>
        <w:tc>
          <w:tcPr>
            <w:tcW w:w="1559" w:type="dxa"/>
            <w:tcBorders>
              <w:top w:val="single" w:color="000000" w:sz="4" w:space="0"/>
              <w:left w:val="single" w:color="000000" w:sz="4" w:space="0"/>
              <w:bottom w:val="single" w:color="000000" w:sz="4" w:space="0"/>
              <w:right w:val="single" w:color="000000" w:sz="4" w:space="0"/>
            </w:tcBorders>
            <w:vAlign w:val="center"/>
          </w:tcPr>
          <w:p w14:paraId="76B6895E">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石膏板吊顶</w:t>
            </w:r>
          </w:p>
        </w:tc>
        <w:tc>
          <w:tcPr>
            <w:tcW w:w="1417" w:type="dxa"/>
            <w:tcBorders>
              <w:top w:val="single" w:color="000000" w:sz="4" w:space="0"/>
              <w:left w:val="single" w:color="000000" w:sz="4" w:space="0"/>
              <w:bottom w:val="single" w:color="000000" w:sz="4" w:space="0"/>
              <w:right w:val="single" w:color="000000" w:sz="4" w:space="0"/>
            </w:tcBorders>
            <w:vAlign w:val="center"/>
          </w:tcPr>
          <w:p w14:paraId="53C0E46B">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ascii="宋体" w:hAnsi="宋体" w:eastAsia="宋体" w:cs="宋体"/>
                <w:color w:val="000000" w:themeColor="text1"/>
                <w:kern w:val="0"/>
                <w:sz w:val="21"/>
                <w:szCs w:val="21"/>
                <w:highlight w:val="none"/>
                <w14:textFill>
                  <w14:solidFill>
                    <w14:schemeClr w14:val="tx1"/>
                  </w14:solidFill>
                </w14:textFill>
              </w:rPr>
              <w:t>40</w:t>
            </w:r>
            <w:r>
              <w:rPr>
                <w:rFonts w:hint="eastAsia" w:ascii="宋体" w:hAnsi="宋体" w:eastAsia="宋体" w:cs="宋体"/>
                <w:color w:val="000000" w:themeColor="text1"/>
                <w:kern w:val="0"/>
                <w:sz w:val="21"/>
                <w:szCs w:val="21"/>
                <w:highlight w:val="none"/>
                <w14:textFill>
                  <w14:solidFill>
                    <w14:schemeClr w14:val="tx1"/>
                  </w14:solidFill>
                </w14:textFill>
              </w:rPr>
              <w:t>0*</w:t>
            </w:r>
            <w:r>
              <w:rPr>
                <w:rFonts w:ascii="宋体" w:hAnsi="宋体" w:eastAsia="宋体" w:cs="宋体"/>
                <w:color w:val="000000" w:themeColor="text1"/>
                <w:kern w:val="0"/>
                <w:sz w:val="21"/>
                <w:szCs w:val="21"/>
                <w:highlight w:val="none"/>
                <w14:textFill>
                  <w14:solidFill>
                    <w14:schemeClr w14:val="tx1"/>
                  </w14:solidFill>
                </w14:textFill>
              </w:rPr>
              <w:t>80</w:t>
            </w:r>
            <w:r>
              <w:rPr>
                <w:rFonts w:hint="eastAsia" w:ascii="宋体" w:hAnsi="宋体" w:eastAsia="宋体" w:cs="宋体"/>
                <w:color w:val="000000" w:themeColor="text1"/>
                <w:kern w:val="0"/>
                <w:sz w:val="21"/>
                <w:szCs w:val="21"/>
                <w:highlight w:val="none"/>
                <w14:textFill>
                  <w14:solidFill>
                    <w14:schemeClr w14:val="tx1"/>
                  </w14:solidFill>
                </w14:textFill>
              </w:rPr>
              <w:t>0抛釉砖至吊顶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2A07ADB8">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800*800防滑、抛釉砖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3A04550">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不锈钢脚线</w:t>
            </w:r>
          </w:p>
        </w:tc>
      </w:tr>
      <w:tr w14:paraId="61A8C291">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434E64D3">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17EBF0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标准层走道</w:t>
            </w:r>
          </w:p>
        </w:tc>
        <w:tc>
          <w:tcPr>
            <w:tcW w:w="1559" w:type="dxa"/>
            <w:tcBorders>
              <w:top w:val="single" w:color="000000" w:sz="4" w:space="0"/>
              <w:left w:val="single" w:color="000000" w:sz="4" w:space="0"/>
              <w:bottom w:val="single" w:color="000000" w:sz="4" w:space="0"/>
              <w:right w:val="single" w:color="000000" w:sz="4" w:space="0"/>
            </w:tcBorders>
            <w:vAlign w:val="center"/>
          </w:tcPr>
          <w:p w14:paraId="667266B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4DDBAD7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300*600抛釉砖至吊顶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7F9B458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600*600防滑、抛釉砖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02C8852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不锈钢脚线</w:t>
            </w:r>
          </w:p>
        </w:tc>
      </w:tr>
      <w:tr w14:paraId="01B45CFC">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223D24A0">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EB2C07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客厅、饭厅（与其连通的走道）</w:t>
            </w:r>
          </w:p>
        </w:tc>
        <w:tc>
          <w:tcPr>
            <w:tcW w:w="1559" w:type="dxa"/>
            <w:tcBorders>
              <w:top w:val="single" w:color="000000" w:sz="4" w:space="0"/>
              <w:left w:val="single" w:color="000000" w:sz="4" w:space="0"/>
              <w:bottom w:val="single" w:color="000000" w:sz="4" w:space="0"/>
              <w:right w:val="single" w:color="000000" w:sz="4" w:space="0"/>
            </w:tcBorders>
            <w:vAlign w:val="center"/>
          </w:tcPr>
          <w:p w14:paraId="4A8EE48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6E30C6D">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2F60A09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800*800抛釉砖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28FCB4E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800*100抛釉砖（明贴）</w:t>
            </w:r>
          </w:p>
        </w:tc>
      </w:tr>
      <w:tr w14:paraId="17DE6EB7">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F5FCDF7">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96D733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卧室、书房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16E91650">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0709CA0A">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1D98A65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600*600抛釉砖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0432471A">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600*100抛釉砖（明贴）</w:t>
            </w:r>
          </w:p>
        </w:tc>
      </w:tr>
      <w:tr w14:paraId="6AD578B1">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4B4A13C8">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73E5CD6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厨房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5206AC6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300*300铝扣板</w:t>
            </w:r>
          </w:p>
        </w:tc>
        <w:tc>
          <w:tcPr>
            <w:tcW w:w="1417" w:type="dxa"/>
            <w:tcBorders>
              <w:top w:val="single" w:color="000000" w:sz="4" w:space="0"/>
              <w:left w:val="single" w:color="000000" w:sz="4" w:space="0"/>
              <w:bottom w:val="single" w:color="000000" w:sz="4" w:space="0"/>
              <w:right w:val="single" w:color="000000" w:sz="4" w:space="0"/>
            </w:tcBorders>
            <w:vAlign w:val="center"/>
          </w:tcPr>
          <w:p w14:paraId="6510FB8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300*600釉面砖至吊顶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578D690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6702A08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2E8FD443">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1A83FEBC">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54D0437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卫生间</w:t>
            </w:r>
          </w:p>
        </w:tc>
        <w:tc>
          <w:tcPr>
            <w:tcW w:w="1559" w:type="dxa"/>
            <w:tcBorders>
              <w:top w:val="single" w:color="000000" w:sz="4" w:space="0"/>
              <w:left w:val="single" w:color="000000" w:sz="4" w:space="0"/>
              <w:bottom w:val="single" w:color="000000" w:sz="4" w:space="0"/>
              <w:right w:val="single" w:color="000000" w:sz="4" w:space="0"/>
            </w:tcBorders>
            <w:vAlign w:val="center"/>
          </w:tcPr>
          <w:p w14:paraId="54B83B6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300*300铝扣板</w:t>
            </w:r>
          </w:p>
        </w:tc>
        <w:tc>
          <w:tcPr>
            <w:tcW w:w="1417" w:type="dxa"/>
            <w:tcBorders>
              <w:top w:val="single" w:color="000000" w:sz="4" w:space="0"/>
              <w:left w:val="single" w:color="000000" w:sz="4" w:space="0"/>
              <w:bottom w:val="single" w:color="000000" w:sz="4" w:space="0"/>
              <w:right w:val="single" w:color="000000" w:sz="4" w:space="0"/>
            </w:tcBorders>
            <w:vAlign w:val="center"/>
          </w:tcPr>
          <w:p w14:paraId="3ACB300A">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300*600釉面砖至吊顶上100</w:t>
            </w:r>
          </w:p>
        </w:tc>
        <w:tc>
          <w:tcPr>
            <w:tcW w:w="1911" w:type="dxa"/>
            <w:tcBorders>
              <w:top w:val="single" w:color="000000" w:sz="4" w:space="0"/>
              <w:left w:val="single" w:color="000000" w:sz="4" w:space="0"/>
              <w:bottom w:val="single" w:color="000000" w:sz="4" w:space="0"/>
              <w:right w:val="single" w:color="000000" w:sz="4" w:space="0"/>
            </w:tcBorders>
            <w:vAlign w:val="center"/>
          </w:tcPr>
          <w:p w14:paraId="1FFEB8C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A02F57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0CA26EBF">
        <w:tblPrEx>
          <w:tblCellMar>
            <w:top w:w="0" w:type="dxa"/>
            <w:left w:w="108" w:type="dxa"/>
            <w:bottom w:w="0" w:type="dxa"/>
            <w:right w:w="108" w:type="dxa"/>
          </w:tblCellMar>
        </w:tblPrEx>
        <w:trPr>
          <w:trHeight w:val="489"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5ECED5BF">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FEADE3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阳台</w:t>
            </w:r>
          </w:p>
        </w:tc>
        <w:tc>
          <w:tcPr>
            <w:tcW w:w="1559" w:type="dxa"/>
            <w:tcBorders>
              <w:top w:val="single" w:color="000000" w:sz="4" w:space="0"/>
              <w:left w:val="single" w:color="000000" w:sz="4" w:space="0"/>
              <w:bottom w:val="single" w:color="000000" w:sz="4" w:space="0"/>
              <w:right w:val="single" w:color="000000" w:sz="4" w:space="0"/>
            </w:tcBorders>
            <w:vAlign w:val="center"/>
          </w:tcPr>
          <w:p w14:paraId="305B0DE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3030A29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外墙面砖</w:t>
            </w:r>
          </w:p>
        </w:tc>
        <w:tc>
          <w:tcPr>
            <w:tcW w:w="1911" w:type="dxa"/>
            <w:tcBorders>
              <w:top w:val="single" w:color="000000" w:sz="4" w:space="0"/>
              <w:left w:val="single" w:color="000000" w:sz="4" w:space="0"/>
              <w:bottom w:val="single" w:color="000000" w:sz="4" w:space="0"/>
              <w:right w:val="single" w:color="000000" w:sz="4" w:space="0"/>
            </w:tcBorders>
            <w:vAlign w:val="center"/>
          </w:tcPr>
          <w:p w14:paraId="54DB697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06A649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22DC6A04">
        <w:tblPrEx>
          <w:tblCellMar>
            <w:top w:w="0" w:type="dxa"/>
            <w:left w:w="108" w:type="dxa"/>
            <w:bottom w:w="0" w:type="dxa"/>
            <w:right w:w="108" w:type="dxa"/>
          </w:tblCellMar>
        </w:tblPrEx>
        <w:trPr>
          <w:trHeight w:val="489"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4E7F4019">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02CAD29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飘窗台</w:t>
            </w:r>
          </w:p>
        </w:tc>
        <w:tc>
          <w:tcPr>
            <w:tcW w:w="1559" w:type="dxa"/>
            <w:tcBorders>
              <w:top w:val="single" w:color="000000" w:sz="4" w:space="0"/>
              <w:left w:val="single" w:color="000000" w:sz="4" w:space="0"/>
              <w:bottom w:val="single" w:color="000000" w:sz="4" w:space="0"/>
              <w:right w:val="single" w:color="000000" w:sz="4" w:space="0"/>
            </w:tcBorders>
            <w:vAlign w:val="center"/>
          </w:tcPr>
          <w:p w14:paraId="39FDC25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5716965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1892AB07">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人造石材</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4DB7E51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560F43DC">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CDBD9F1">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944DF20">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楼梯间(预制件）</w:t>
            </w:r>
          </w:p>
        </w:tc>
        <w:tc>
          <w:tcPr>
            <w:tcW w:w="1559" w:type="dxa"/>
            <w:tcBorders>
              <w:top w:val="single" w:color="000000" w:sz="4" w:space="0"/>
              <w:left w:val="single" w:color="000000" w:sz="4" w:space="0"/>
              <w:bottom w:val="single" w:color="000000" w:sz="4" w:space="0"/>
              <w:right w:val="single" w:color="000000" w:sz="4" w:space="0"/>
            </w:tcBorders>
            <w:vAlign w:val="center"/>
          </w:tcPr>
          <w:p w14:paraId="023089B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1B2123EE">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16C162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A9A21C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灰色油漆</w:t>
            </w:r>
          </w:p>
        </w:tc>
      </w:tr>
      <w:tr w14:paraId="6BC76967">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22AB23F8">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A8F9AC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楼梯间（现浇）</w:t>
            </w:r>
          </w:p>
        </w:tc>
        <w:tc>
          <w:tcPr>
            <w:tcW w:w="1559" w:type="dxa"/>
            <w:tcBorders>
              <w:top w:val="single" w:color="000000" w:sz="4" w:space="0"/>
              <w:left w:val="single" w:color="000000" w:sz="4" w:space="0"/>
              <w:bottom w:val="single" w:color="000000" w:sz="4" w:space="0"/>
              <w:right w:val="single" w:color="000000" w:sz="4" w:space="0"/>
            </w:tcBorders>
            <w:vAlign w:val="center"/>
          </w:tcPr>
          <w:p w14:paraId="12320BF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2502526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521334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水泥砂浆面压光，踏步边缘设置两条凹槽</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45B92B85">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灰色油漆</w:t>
            </w:r>
          </w:p>
        </w:tc>
      </w:tr>
      <w:tr w14:paraId="0569B7AE">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5C237752">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57A57C00">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管道井</w:t>
            </w:r>
          </w:p>
        </w:tc>
        <w:tc>
          <w:tcPr>
            <w:tcW w:w="1559" w:type="dxa"/>
            <w:tcBorders>
              <w:top w:val="single" w:color="000000" w:sz="4" w:space="0"/>
              <w:left w:val="single" w:color="000000" w:sz="4" w:space="0"/>
              <w:bottom w:val="single" w:color="000000" w:sz="4" w:space="0"/>
              <w:right w:val="single" w:color="000000" w:sz="4" w:space="0"/>
            </w:tcBorders>
            <w:vAlign w:val="center"/>
          </w:tcPr>
          <w:p w14:paraId="0292E57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1417" w:type="dxa"/>
            <w:tcBorders>
              <w:top w:val="single" w:color="000000" w:sz="4" w:space="0"/>
              <w:left w:val="single" w:color="000000" w:sz="4" w:space="0"/>
              <w:bottom w:val="single" w:color="000000" w:sz="4" w:space="0"/>
              <w:right w:val="single" w:color="000000" w:sz="4" w:space="0"/>
            </w:tcBorders>
            <w:vAlign w:val="center"/>
          </w:tcPr>
          <w:p w14:paraId="5879DB6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水泥砂浆抹面</w:t>
            </w:r>
          </w:p>
        </w:tc>
        <w:tc>
          <w:tcPr>
            <w:tcW w:w="1911" w:type="dxa"/>
            <w:tcBorders>
              <w:top w:val="single" w:color="000000" w:sz="4" w:space="0"/>
              <w:left w:val="single" w:color="000000" w:sz="4" w:space="0"/>
              <w:bottom w:val="single" w:color="000000" w:sz="4" w:space="0"/>
              <w:right w:val="single" w:color="000000" w:sz="4" w:space="0"/>
            </w:tcBorders>
            <w:vAlign w:val="center"/>
          </w:tcPr>
          <w:p w14:paraId="55E3AC3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水泥砂浆抹面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A5336C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77F94DC5">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43B84EF3">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0B997B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架空层</w:t>
            </w:r>
          </w:p>
        </w:tc>
        <w:tc>
          <w:tcPr>
            <w:tcW w:w="1559" w:type="dxa"/>
            <w:tcBorders>
              <w:top w:val="single" w:color="000000" w:sz="4" w:space="0"/>
              <w:left w:val="single" w:color="000000" w:sz="4" w:space="0"/>
              <w:bottom w:val="single" w:color="000000" w:sz="4" w:space="0"/>
              <w:right w:val="single" w:color="000000" w:sz="4" w:space="0"/>
            </w:tcBorders>
            <w:vAlign w:val="center"/>
          </w:tcPr>
          <w:p w14:paraId="3AFE46B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无机外墙涂料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47EB77ED">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外墙面砖</w:t>
            </w:r>
          </w:p>
        </w:tc>
        <w:tc>
          <w:tcPr>
            <w:tcW w:w="1911" w:type="dxa"/>
            <w:tcBorders>
              <w:top w:val="single" w:color="000000" w:sz="4" w:space="0"/>
              <w:left w:val="single" w:color="000000" w:sz="4" w:space="0"/>
              <w:bottom w:val="single" w:color="000000" w:sz="4" w:space="0"/>
              <w:right w:val="single" w:color="000000" w:sz="4" w:space="0"/>
            </w:tcBorders>
            <w:vAlign w:val="center"/>
          </w:tcPr>
          <w:p w14:paraId="2F64A7B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600*600防滑砖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4382476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23E61E81">
        <w:tblPrEx>
          <w:tblCellMar>
            <w:top w:w="0" w:type="dxa"/>
            <w:left w:w="108" w:type="dxa"/>
            <w:bottom w:w="0" w:type="dxa"/>
            <w:right w:w="108" w:type="dxa"/>
          </w:tblCellMar>
        </w:tblPrEx>
        <w:trPr>
          <w:trHeight w:val="632" w:hRule="atLeast"/>
        </w:trPr>
        <w:tc>
          <w:tcPr>
            <w:tcW w:w="375" w:type="dxa"/>
            <w:vMerge w:val="restart"/>
            <w:tcBorders>
              <w:top w:val="single" w:color="000000" w:sz="4" w:space="0"/>
              <w:left w:val="single" w:color="000000" w:sz="4" w:space="0"/>
              <w:right w:val="single" w:color="000000" w:sz="4" w:space="0"/>
            </w:tcBorders>
            <w:vAlign w:val="center"/>
          </w:tcPr>
          <w:p w14:paraId="3229703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商业住宅公配</w:t>
            </w:r>
          </w:p>
        </w:tc>
        <w:tc>
          <w:tcPr>
            <w:tcW w:w="1610" w:type="dxa"/>
            <w:tcBorders>
              <w:top w:val="single" w:color="000000" w:sz="4" w:space="0"/>
              <w:left w:val="single" w:color="000000" w:sz="4" w:space="0"/>
              <w:bottom w:val="single" w:color="000000" w:sz="4" w:space="0"/>
              <w:right w:val="single" w:color="000000" w:sz="4" w:space="0"/>
            </w:tcBorders>
            <w:vAlign w:val="center"/>
          </w:tcPr>
          <w:p w14:paraId="7AC3766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住宅商铺</w:t>
            </w:r>
          </w:p>
        </w:tc>
        <w:tc>
          <w:tcPr>
            <w:tcW w:w="1559" w:type="dxa"/>
            <w:tcBorders>
              <w:top w:val="single" w:color="000000" w:sz="4" w:space="0"/>
              <w:left w:val="single" w:color="000000" w:sz="4" w:space="0"/>
              <w:bottom w:val="single" w:color="000000" w:sz="4" w:space="0"/>
              <w:right w:val="single" w:color="000000" w:sz="4" w:space="0"/>
            </w:tcBorders>
            <w:vAlign w:val="center"/>
          </w:tcPr>
          <w:p w14:paraId="37A227A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2D74000">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水泥砂浆抹面</w:t>
            </w:r>
          </w:p>
        </w:tc>
        <w:tc>
          <w:tcPr>
            <w:tcW w:w="1911" w:type="dxa"/>
            <w:tcBorders>
              <w:top w:val="single" w:color="000000" w:sz="4" w:space="0"/>
              <w:left w:val="single" w:color="000000" w:sz="4" w:space="0"/>
              <w:bottom w:val="single" w:color="000000" w:sz="4" w:space="0"/>
              <w:right w:val="single" w:color="000000" w:sz="4" w:space="0"/>
            </w:tcBorders>
            <w:vAlign w:val="center"/>
          </w:tcPr>
          <w:p w14:paraId="76BF2B25">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水泥砂浆抹面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EE720E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w:t>
            </w:r>
          </w:p>
        </w:tc>
      </w:tr>
      <w:tr w14:paraId="23A7C97A">
        <w:tblPrEx>
          <w:tblCellMar>
            <w:top w:w="0" w:type="dxa"/>
            <w:left w:w="108" w:type="dxa"/>
            <w:bottom w:w="0" w:type="dxa"/>
            <w:right w:w="108" w:type="dxa"/>
          </w:tblCellMar>
        </w:tblPrEx>
        <w:trPr>
          <w:trHeight w:val="727" w:hRule="atLeast"/>
        </w:trPr>
        <w:tc>
          <w:tcPr>
            <w:tcW w:w="375" w:type="dxa"/>
            <w:vMerge w:val="continue"/>
            <w:tcBorders>
              <w:left w:val="single" w:color="000000" w:sz="4" w:space="0"/>
              <w:right w:val="single" w:color="000000" w:sz="4" w:space="0"/>
            </w:tcBorders>
            <w:vAlign w:val="center"/>
          </w:tcPr>
          <w:p w14:paraId="4E2CF38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2D86A85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住宅公配</w:t>
            </w:r>
          </w:p>
        </w:tc>
        <w:tc>
          <w:tcPr>
            <w:tcW w:w="1559" w:type="dxa"/>
            <w:tcBorders>
              <w:top w:val="single" w:color="000000" w:sz="4" w:space="0"/>
              <w:left w:val="single" w:color="000000" w:sz="4" w:space="0"/>
              <w:bottom w:val="single" w:color="000000" w:sz="4" w:space="0"/>
              <w:right w:val="single" w:color="000000" w:sz="4" w:space="0"/>
            </w:tcBorders>
            <w:vAlign w:val="center"/>
          </w:tcPr>
          <w:p w14:paraId="21F574A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088794A">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EA1F12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600*600抛釉砖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55AE8817">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600*100抛釉砖（明贴）</w:t>
            </w:r>
          </w:p>
        </w:tc>
      </w:tr>
      <w:tr w14:paraId="6E52112F">
        <w:tblPrEx>
          <w:tblCellMar>
            <w:top w:w="0" w:type="dxa"/>
            <w:left w:w="108" w:type="dxa"/>
            <w:bottom w:w="0" w:type="dxa"/>
            <w:right w:w="108" w:type="dxa"/>
          </w:tblCellMar>
        </w:tblPrEx>
        <w:trPr>
          <w:trHeight w:val="727" w:hRule="atLeast"/>
        </w:trPr>
        <w:tc>
          <w:tcPr>
            <w:tcW w:w="375" w:type="dxa"/>
            <w:vMerge w:val="continue"/>
            <w:tcBorders>
              <w:left w:val="single" w:color="000000" w:sz="4" w:space="0"/>
              <w:bottom w:val="single" w:color="000000" w:sz="4" w:space="0"/>
              <w:right w:val="single" w:color="000000" w:sz="4" w:space="0"/>
            </w:tcBorders>
            <w:vAlign w:val="center"/>
          </w:tcPr>
          <w:p w14:paraId="76E90F1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65F56B1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楼梯间（现浇、公配部分）</w:t>
            </w:r>
          </w:p>
        </w:tc>
        <w:tc>
          <w:tcPr>
            <w:tcW w:w="1559" w:type="dxa"/>
            <w:tcBorders>
              <w:top w:val="single" w:color="000000" w:sz="4" w:space="0"/>
              <w:left w:val="single" w:color="000000" w:sz="4" w:space="0"/>
              <w:bottom w:val="single" w:color="000000" w:sz="4" w:space="0"/>
              <w:right w:val="single" w:color="000000" w:sz="4" w:space="0"/>
            </w:tcBorders>
            <w:vAlign w:val="center"/>
          </w:tcPr>
          <w:p w14:paraId="1319CA3E">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5F70562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73A7229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600*300防滑砖（开防滑槽）</w:t>
            </w:r>
          </w:p>
        </w:tc>
        <w:tc>
          <w:tcPr>
            <w:tcW w:w="1305" w:type="dxa"/>
            <w:tcBorders>
              <w:top w:val="single" w:color="000000" w:sz="4" w:space="0"/>
              <w:left w:val="single" w:color="000000" w:sz="4" w:space="0"/>
              <w:bottom w:val="single" w:color="000000" w:sz="4" w:space="0"/>
              <w:right w:val="single" w:color="000000" w:sz="4" w:space="0"/>
            </w:tcBorders>
            <w:vAlign w:val="center"/>
          </w:tcPr>
          <w:p w14:paraId="6DE7BD3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600*100抛釉砖（明贴）</w:t>
            </w:r>
          </w:p>
        </w:tc>
      </w:tr>
      <w:tr w14:paraId="772E7BF0">
        <w:tblPrEx>
          <w:tblCellMar>
            <w:top w:w="0" w:type="dxa"/>
            <w:left w:w="108" w:type="dxa"/>
            <w:bottom w:w="0" w:type="dxa"/>
            <w:right w:w="108" w:type="dxa"/>
          </w:tblCellMar>
        </w:tblPrEx>
        <w:trPr>
          <w:trHeight w:val="321" w:hRule="atLeast"/>
        </w:trPr>
        <w:tc>
          <w:tcPr>
            <w:tcW w:w="375" w:type="dxa"/>
            <w:vMerge w:val="restart"/>
            <w:tcBorders>
              <w:top w:val="single" w:color="000000" w:sz="4" w:space="0"/>
              <w:left w:val="single" w:color="000000" w:sz="4" w:space="0"/>
              <w:right w:val="single" w:color="000000" w:sz="4" w:space="0"/>
            </w:tcBorders>
            <w:vAlign w:val="center"/>
          </w:tcPr>
          <w:p w14:paraId="5D6A392D">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w:t>
            </w:r>
          </w:p>
        </w:tc>
        <w:tc>
          <w:tcPr>
            <w:tcW w:w="1610" w:type="dxa"/>
            <w:tcBorders>
              <w:top w:val="single" w:color="000000" w:sz="4" w:space="0"/>
              <w:left w:val="single" w:color="000000" w:sz="4" w:space="0"/>
              <w:bottom w:val="single" w:color="000000" w:sz="4" w:space="0"/>
              <w:right w:val="single" w:color="000000" w:sz="4" w:space="0"/>
            </w:tcBorders>
            <w:vAlign w:val="center"/>
          </w:tcPr>
          <w:p w14:paraId="4F204BFD">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地下车库</w:t>
            </w:r>
          </w:p>
        </w:tc>
        <w:tc>
          <w:tcPr>
            <w:tcW w:w="1559" w:type="dxa"/>
            <w:tcBorders>
              <w:top w:val="single" w:color="000000" w:sz="4" w:space="0"/>
              <w:left w:val="single" w:color="000000" w:sz="4" w:space="0"/>
              <w:bottom w:val="single" w:color="000000" w:sz="4" w:space="0"/>
              <w:right w:val="single" w:color="000000" w:sz="4" w:space="0"/>
            </w:tcBorders>
            <w:vAlign w:val="center"/>
          </w:tcPr>
          <w:p w14:paraId="250FFE2E">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灰色防潮防霉无机涂料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7196F94F">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防潮防霉无机涂</w:t>
            </w:r>
          </w:p>
        </w:tc>
        <w:tc>
          <w:tcPr>
            <w:tcW w:w="1911" w:type="dxa"/>
            <w:tcBorders>
              <w:top w:val="single" w:color="000000" w:sz="4" w:space="0"/>
              <w:left w:val="single" w:color="000000" w:sz="4" w:space="0"/>
              <w:bottom w:val="single" w:color="000000" w:sz="4" w:space="0"/>
              <w:right w:val="single" w:color="000000" w:sz="4" w:space="0"/>
            </w:tcBorders>
            <w:vAlign w:val="center"/>
          </w:tcPr>
          <w:p w14:paraId="47E73A4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环氧树脂地坪漆</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CB42CF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灰色无机涂料</w:t>
            </w:r>
          </w:p>
        </w:tc>
      </w:tr>
      <w:tr w14:paraId="1BEE1BA8">
        <w:tblPrEx>
          <w:tblCellMar>
            <w:top w:w="0" w:type="dxa"/>
            <w:left w:w="108" w:type="dxa"/>
            <w:bottom w:w="0" w:type="dxa"/>
            <w:right w:w="108" w:type="dxa"/>
          </w:tblCellMar>
        </w:tblPrEx>
        <w:trPr>
          <w:trHeight w:val="632" w:hRule="atLeast"/>
        </w:trPr>
        <w:tc>
          <w:tcPr>
            <w:tcW w:w="375" w:type="dxa"/>
            <w:vMerge w:val="continue"/>
            <w:tcBorders>
              <w:left w:val="single" w:color="000000" w:sz="4" w:space="0"/>
              <w:right w:val="single" w:color="000000" w:sz="4" w:space="0"/>
            </w:tcBorders>
            <w:vAlign w:val="center"/>
          </w:tcPr>
          <w:p w14:paraId="4D558F7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666D83A6">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地下室设备用房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126052B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防潮防霉无机涂料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14522767">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防潮防霉无机涂料</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2EBE43A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水泥砂浆面压光</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54354D9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水泥砂浆面压光</w:t>
            </w:r>
          </w:p>
        </w:tc>
      </w:tr>
      <w:tr w14:paraId="138D3891">
        <w:tblPrEx>
          <w:tblCellMar>
            <w:top w:w="0" w:type="dxa"/>
            <w:left w:w="108" w:type="dxa"/>
            <w:bottom w:w="0" w:type="dxa"/>
            <w:right w:w="108" w:type="dxa"/>
          </w:tblCellMar>
        </w:tblPrEx>
        <w:trPr>
          <w:trHeight w:val="90" w:hRule="atLeast"/>
        </w:trPr>
        <w:tc>
          <w:tcPr>
            <w:tcW w:w="375" w:type="dxa"/>
            <w:vMerge w:val="continue"/>
            <w:tcBorders>
              <w:left w:val="single" w:color="000000" w:sz="4" w:space="0"/>
              <w:right w:val="single" w:color="000000" w:sz="4" w:space="0"/>
            </w:tcBorders>
            <w:vAlign w:val="center"/>
          </w:tcPr>
          <w:p w14:paraId="18A7BD4C">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7615C819">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电梯厅及合用前室</w:t>
            </w:r>
          </w:p>
        </w:tc>
        <w:tc>
          <w:tcPr>
            <w:tcW w:w="1559" w:type="dxa"/>
            <w:tcBorders>
              <w:top w:val="single" w:color="000000" w:sz="4" w:space="0"/>
              <w:left w:val="single" w:color="000000" w:sz="4" w:space="0"/>
              <w:bottom w:val="single" w:color="000000" w:sz="4" w:space="0"/>
              <w:right w:val="single" w:color="000000" w:sz="4" w:space="0"/>
            </w:tcBorders>
            <w:vAlign w:val="center"/>
          </w:tcPr>
          <w:p w14:paraId="3CAA6FD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铝合金格栅</w:t>
            </w:r>
          </w:p>
        </w:tc>
        <w:tc>
          <w:tcPr>
            <w:tcW w:w="1417" w:type="dxa"/>
            <w:tcBorders>
              <w:top w:val="single" w:color="000000" w:sz="4" w:space="0"/>
              <w:left w:val="single" w:color="000000" w:sz="4" w:space="0"/>
              <w:bottom w:val="single" w:color="000000" w:sz="4" w:space="0"/>
              <w:right w:val="single" w:color="000000" w:sz="4" w:space="0"/>
            </w:tcBorders>
            <w:vAlign w:val="center"/>
          </w:tcPr>
          <w:p w14:paraId="7190DE85">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300*600釉面砖至吊顶</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5DB59198">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600*600防滑抛釉砖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99F6909">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600*100抛釉砖（明贴）</w:t>
            </w:r>
          </w:p>
        </w:tc>
      </w:tr>
      <w:tr w14:paraId="2F3DFB48">
        <w:tblPrEx>
          <w:tblCellMar>
            <w:top w:w="0" w:type="dxa"/>
            <w:left w:w="108" w:type="dxa"/>
            <w:bottom w:w="0" w:type="dxa"/>
            <w:right w:w="108" w:type="dxa"/>
          </w:tblCellMar>
        </w:tblPrEx>
        <w:trPr>
          <w:trHeight w:val="632" w:hRule="atLeast"/>
        </w:trPr>
        <w:tc>
          <w:tcPr>
            <w:tcW w:w="375" w:type="dxa"/>
            <w:vMerge w:val="continue"/>
            <w:tcBorders>
              <w:left w:val="single" w:color="000000" w:sz="4" w:space="0"/>
              <w:bottom w:val="single" w:color="000000" w:sz="4" w:space="0"/>
              <w:right w:val="single" w:color="000000" w:sz="4" w:space="0"/>
            </w:tcBorders>
            <w:vAlign w:val="center"/>
          </w:tcPr>
          <w:p w14:paraId="2BBFD24B">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78F342E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楼梯间（现浇）</w:t>
            </w:r>
          </w:p>
        </w:tc>
        <w:tc>
          <w:tcPr>
            <w:tcW w:w="1559" w:type="dxa"/>
            <w:tcBorders>
              <w:top w:val="single" w:color="000000" w:sz="4" w:space="0"/>
              <w:left w:val="single" w:color="000000" w:sz="4" w:space="0"/>
              <w:bottom w:val="single" w:color="000000" w:sz="4" w:space="0"/>
              <w:right w:val="single" w:color="000000" w:sz="4" w:space="0"/>
            </w:tcBorders>
            <w:vAlign w:val="center"/>
          </w:tcPr>
          <w:p w14:paraId="2759EEC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402A534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无机涂料</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32C9EF30">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水泥砂浆面压光，踏步边缘设置两条凹槽</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7E9CBD9">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灰色无机涂料</w:t>
            </w:r>
          </w:p>
        </w:tc>
      </w:tr>
    </w:tbl>
    <w:p w14:paraId="77DDBC84">
      <w:pPr>
        <w:spacing w:line="440" w:lineRule="exact"/>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备注：</w:t>
      </w:r>
    </w:p>
    <w:p w14:paraId="1095F91C">
      <w:pPr>
        <w:spacing w:line="440" w:lineRule="exact"/>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1、标准层电梯厅及合用前室吊顶装修区域以防火门位置作为分隔控制线；</w:t>
      </w:r>
    </w:p>
    <w:p w14:paraId="6482630A">
      <w:pPr>
        <w:spacing w:line="440" w:lineRule="exact"/>
        <w:ind w:firstLine="420" w:firstLineChars="200"/>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2、首层电梯门套按装修确定，地下室与标准层电梯门套采用产家拉丝不锈钢成品门套。</w:t>
      </w:r>
    </w:p>
    <w:p w14:paraId="791E557D">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1.3.2 构造做法</w:t>
      </w:r>
    </w:p>
    <w:p w14:paraId="1BC29AF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详见附件1：</w:t>
      </w:r>
      <w:r>
        <w:rPr>
          <w:rFonts w:hint="eastAsia" w:ascii="宋体" w:hAnsi="宋体" w:eastAsia="宋体" w:cs="宋体"/>
          <w:color w:val="000000" w:themeColor="text1"/>
          <w:sz w:val="24"/>
          <w:szCs w:val="24"/>
          <w:highlight w:val="none"/>
          <w14:textFill>
            <w14:solidFill>
              <w14:schemeClr w14:val="tx1"/>
            </w14:solidFill>
          </w14:textFill>
        </w:rPr>
        <w:t>建筑统一构造做法表。</w:t>
      </w:r>
      <w:r>
        <w:rPr>
          <w:rFonts w:hint="eastAsia" w:ascii="宋体" w:hAnsi="宋体" w:eastAsia="宋体" w:cs="宋体"/>
          <w:color w:val="000000" w:themeColor="text1"/>
          <w:sz w:val="24"/>
          <w:highlight w:val="none"/>
          <w14:textFill>
            <w14:solidFill>
              <w14:schemeClr w14:val="tx1"/>
            </w14:solidFill>
          </w14:textFill>
        </w:rPr>
        <w:t>此构造做法为主要部位的通用构造做法</w:t>
      </w:r>
      <w:r>
        <w:rPr>
          <w:rFonts w:hint="eastAsia" w:ascii="宋体" w:hAnsi="宋体" w:eastAsia="宋体" w:cs="宋体"/>
          <w:color w:val="000000" w:themeColor="text1"/>
          <w:sz w:val="24"/>
          <w:szCs w:val="24"/>
          <w:highlight w:val="none"/>
          <w14:textFill>
            <w14:solidFill>
              <w14:schemeClr w14:val="tx1"/>
            </w14:solidFill>
          </w14:textFill>
        </w:rPr>
        <w:t>，未涉及部分由设计单位按照经济合理的原则，根据项目实际情况进行调整。如有更新，按最新标准执行。</w:t>
      </w:r>
    </w:p>
    <w:p w14:paraId="13BFC7A1">
      <w:pPr>
        <w:pStyle w:val="6"/>
        <w:keepNext w:val="0"/>
        <w:keepLines w:val="0"/>
        <w:snapToGrid/>
        <w:spacing w:before="156" w:beforeLines="50"/>
        <w:ind w:firstLine="480" w:firstLineChars="200"/>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sz w:val="24"/>
          <w:szCs w:val="24"/>
          <w:highlight w:val="none"/>
          <w14:textFill>
            <w14:solidFill>
              <w14:schemeClr w14:val="tx1"/>
            </w14:solidFill>
          </w14:textFill>
        </w:rPr>
        <w:t>1.3.3 防水材料选用</w:t>
      </w:r>
    </w:p>
    <w:p w14:paraId="3F5A336B">
      <w:pPr>
        <w:pStyle w:val="8"/>
        <w:numPr>
          <w:ilvl w:val="3"/>
          <w:numId w:val="0"/>
        </w:numPr>
        <w:tabs>
          <w:tab w:val="left" w:pos="0"/>
        </w:tabs>
        <w:ind w:firstLine="562" w:firstLineChars="200"/>
        <w:rPr>
          <w:rStyle w:val="81"/>
          <w:rFonts w:hint="eastAsia" w:ascii="宋体"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Cs w:val="24"/>
          <w:highlight w:val="none"/>
          <w14:textFill>
            <w14:solidFill>
              <w14:schemeClr w14:val="tx1"/>
            </w14:solidFill>
          </w14:textFill>
        </w:rPr>
        <w:t>防水材料选用表</w:t>
      </w:r>
    </w:p>
    <w:tbl>
      <w:tblPr>
        <w:tblStyle w:val="42"/>
        <w:tblW w:w="8659" w:type="dxa"/>
        <w:tblInd w:w="96" w:type="dxa"/>
        <w:tblLayout w:type="fixed"/>
        <w:tblCellMar>
          <w:top w:w="0" w:type="dxa"/>
          <w:left w:w="108" w:type="dxa"/>
          <w:bottom w:w="0" w:type="dxa"/>
          <w:right w:w="108" w:type="dxa"/>
        </w:tblCellMar>
      </w:tblPr>
      <w:tblGrid>
        <w:gridCol w:w="1212"/>
        <w:gridCol w:w="1346"/>
        <w:gridCol w:w="4860"/>
        <w:gridCol w:w="1241"/>
      </w:tblGrid>
      <w:tr w14:paraId="3061C491">
        <w:tblPrEx>
          <w:tblCellMar>
            <w:top w:w="0" w:type="dxa"/>
            <w:left w:w="108" w:type="dxa"/>
            <w:bottom w:w="0" w:type="dxa"/>
            <w:right w:w="108" w:type="dxa"/>
          </w:tblCellMar>
        </w:tblPrEx>
        <w:trPr>
          <w:trHeight w:val="312" w:hRule="atLeast"/>
        </w:trPr>
        <w:tc>
          <w:tcPr>
            <w:tcW w:w="1212" w:type="dxa"/>
            <w:tcBorders>
              <w:top w:val="single" w:color="000000" w:sz="4" w:space="0"/>
              <w:left w:val="single" w:color="000000" w:sz="4" w:space="0"/>
              <w:bottom w:val="single" w:color="000000" w:sz="4" w:space="0"/>
              <w:right w:val="single" w:color="000000" w:sz="4" w:space="0"/>
            </w:tcBorders>
            <w:noWrap/>
            <w:vAlign w:val="center"/>
          </w:tcPr>
          <w:p w14:paraId="50A62077">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功能区</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753952C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部位</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37E4266F">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防水材料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414C50BD">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备注</w:t>
            </w:r>
          </w:p>
        </w:tc>
      </w:tr>
      <w:tr w14:paraId="7A3625D8">
        <w:tblPrEx>
          <w:tblCellMar>
            <w:top w:w="0" w:type="dxa"/>
            <w:left w:w="108" w:type="dxa"/>
            <w:bottom w:w="0" w:type="dxa"/>
            <w:right w:w="108" w:type="dxa"/>
          </w:tblCellMar>
        </w:tblPrEx>
        <w:trPr>
          <w:trHeight w:val="754" w:hRule="atLeast"/>
        </w:trPr>
        <w:tc>
          <w:tcPr>
            <w:tcW w:w="1212" w:type="dxa"/>
            <w:vMerge w:val="restart"/>
            <w:tcBorders>
              <w:top w:val="single" w:color="000000" w:sz="4" w:space="0"/>
              <w:left w:val="single" w:color="000000" w:sz="4" w:space="0"/>
              <w:bottom w:val="single" w:color="000000" w:sz="4" w:space="0"/>
              <w:right w:val="single" w:color="000000" w:sz="4" w:space="0"/>
            </w:tcBorders>
            <w:noWrap/>
            <w:vAlign w:val="center"/>
          </w:tcPr>
          <w:p w14:paraId="0F65AB66">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地下室</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0CD18747">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顶板（有种植覆土）</w:t>
            </w:r>
          </w:p>
        </w:tc>
        <w:tc>
          <w:tcPr>
            <w:tcW w:w="4860" w:type="dxa"/>
            <w:tcBorders>
              <w:top w:val="single" w:color="000000" w:sz="4" w:space="0"/>
              <w:left w:val="single" w:color="000000" w:sz="4" w:space="0"/>
              <w:bottom w:val="single" w:color="000000" w:sz="4" w:space="0"/>
              <w:right w:val="single" w:color="000000" w:sz="4" w:space="0"/>
            </w:tcBorders>
            <w:vAlign w:val="center"/>
          </w:tcPr>
          <w:p w14:paraId="206A5DB2">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4厚SBS改性沥青耐根穿刺防水卷材（上表面材料为聚乙烯膜0.4厚，保留作为隔离层）+2厚非固化橡胶沥青防水涂料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796A5DAE">
            <w:pPr>
              <w:jc w:val="center"/>
              <w:rPr>
                <w:rFonts w:hint="eastAsia" w:ascii="宋体" w:hAnsi="宋体" w:eastAsia="宋体" w:cs="宋体"/>
                <w:color w:val="auto"/>
                <w:highlight w:val="none"/>
              </w:rPr>
            </w:pPr>
          </w:p>
        </w:tc>
      </w:tr>
      <w:tr w14:paraId="4CBD3E4B">
        <w:tblPrEx>
          <w:tblCellMar>
            <w:top w:w="0" w:type="dxa"/>
            <w:left w:w="108" w:type="dxa"/>
            <w:bottom w:w="0" w:type="dxa"/>
            <w:right w:w="108" w:type="dxa"/>
          </w:tblCellMar>
        </w:tblPrEx>
        <w:trPr>
          <w:trHeight w:val="754" w:hRule="atLeast"/>
        </w:trPr>
        <w:tc>
          <w:tcPr>
            <w:tcW w:w="1212" w:type="dxa"/>
            <w:vMerge w:val="continue"/>
            <w:tcBorders>
              <w:left w:val="single" w:color="000000" w:sz="4" w:space="0"/>
              <w:right w:val="single" w:color="000000" w:sz="4" w:space="0"/>
            </w:tcBorders>
            <w:noWrap/>
            <w:vAlign w:val="center"/>
          </w:tcPr>
          <w:p w14:paraId="204D85DB">
            <w:pPr>
              <w:widowControl/>
              <w:jc w:val="center"/>
              <w:textAlignment w:val="center"/>
              <w:rPr>
                <w:rFonts w:hint="eastAsia" w:ascii="宋体" w:hAnsi="宋体" w:eastAsia="宋体" w:cs="宋体"/>
                <w:color w:val="auto"/>
                <w:kern w:val="0"/>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5BECBA5E">
            <w:pPr>
              <w:widowControl/>
              <w:tabs>
                <w:tab w:val="left" w:pos="492"/>
              </w:tabs>
              <w:jc w:val="left"/>
              <w:textAlignment w:val="center"/>
              <w:rPr>
                <w:rFonts w:hint="default" w:ascii="宋体" w:hAnsi="宋体" w:eastAsia="宋体" w:cs="宋体"/>
                <w:color w:val="auto"/>
                <w:kern w:val="0"/>
                <w:highlight w:val="none"/>
                <w:lang w:val="en-US" w:eastAsia="zh-CN"/>
              </w:rPr>
            </w:pPr>
            <w:r>
              <w:rPr>
                <w:rFonts w:hint="eastAsia" w:ascii="宋体" w:hAnsi="宋体" w:eastAsia="宋体" w:cs="宋体"/>
                <w:color w:val="auto"/>
                <w:kern w:val="0"/>
                <w:highlight w:val="none"/>
                <w:lang w:eastAsia="zh-CN"/>
              </w:rPr>
              <w:tab/>
            </w:r>
            <w:r>
              <w:rPr>
                <w:rFonts w:hint="eastAsia" w:ascii="宋体" w:hAnsi="宋体" w:eastAsia="宋体" w:cs="宋体"/>
                <w:color w:val="auto"/>
                <w:kern w:val="0"/>
                <w:highlight w:val="none"/>
                <w:lang w:val="en-US" w:eastAsia="zh-CN"/>
              </w:rPr>
              <w:t>顶板二（无覆土无保温层）</w:t>
            </w:r>
          </w:p>
        </w:tc>
        <w:tc>
          <w:tcPr>
            <w:tcW w:w="4860" w:type="dxa"/>
            <w:tcBorders>
              <w:top w:val="single" w:color="000000" w:sz="4" w:space="0"/>
              <w:left w:val="single" w:color="000000" w:sz="4" w:space="0"/>
              <w:bottom w:val="single" w:color="000000" w:sz="4" w:space="0"/>
              <w:right w:val="single" w:color="000000" w:sz="4" w:space="0"/>
            </w:tcBorders>
            <w:vAlign w:val="center"/>
          </w:tcPr>
          <w:p w14:paraId="64288BB7">
            <w:pPr>
              <w:widowControl/>
              <w:jc w:val="left"/>
              <w:textAlignment w:val="center"/>
              <w:rPr>
                <w:rFonts w:hint="eastAsia" w:ascii="宋体" w:hAnsi="宋体" w:eastAsia="宋体" w:cs="宋体"/>
                <w:color w:val="auto"/>
                <w:kern w:val="0"/>
                <w:highlight w:val="none"/>
                <w:lang w:val="en-US" w:eastAsia="zh-CN"/>
              </w:rPr>
            </w:pPr>
            <w:r>
              <w:rPr>
                <w:rFonts w:hint="eastAsia" w:ascii="宋体" w:hAnsi="宋体" w:eastAsia="宋体" w:cs="宋体"/>
                <w:color w:val="auto"/>
                <w:kern w:val="0"/>
                <w:highlight w:val="none"/>
              </w:rPr>
              <w:t>1.5厚自粘聚合物改性沥青防水卷材（上表面材料为聚乙烯膜0.4厚，保留作为隔离层）</w:t>
            </w:r>
            <w:r>
              <w:rPr>
                <w:rFonts w:hint="eastAsia" w:ascii="宋体" w:hAnsi="宋体" w:eastAsia="宋体" w:cs="宋体"/>
                <w:color w:val="auto"/>
                <w:kern w:val="0"/>
                <w:highlight w:val="none"/>
                <w:lang w:val="en-US" w:eastAsia="zh-CN"/>
              </w:rPr>
              <w:t>+2.0厚非固化橡胶沥青防水涂料</w:t>
            </w:r>
          </w:p>
          <w:p w14:paraId="3F41C222">
            <w:pPr>
              <w:jc w:val="left"/>
              <w:rPr>
                <w:color w:val="auto"/>
                <w:highlight w:val="none"/>
              </w:rPr>
            </w:pP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5BB32042">
            <w:pPr>
              <w:jc w:val="center"/>
              <w:rPr>
                <w:rFonts w:hint="eastAsia" w:ascii="宋体" w:hAnsi="宋体" w:eastAsia="宋体" w:cs="宋体"/>
                <w:color w:val="auto"/>
                <w:highlight w:val="none"/>
              </w:rPr>
            </w:pPr>
          </w:p>
        </w:tc>
      </w:tr>
      <w:tr w14:paraId="6F988ADD">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25EEE904">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67B4665D">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侧壁</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62FDA6AE">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1.5厚自粘聚合物改性沥青防水卷材</w:t>
            </w:r>
          </w:p>
          <w:p w14:paraId="773B5A89">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+2.0厚(高粘抗滑)水性橡胶沥青防水涂料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78858E1C">
            <w:pPr>
              <w:widowControl/>
              <w:jc w:val="center"/>
              <w:textAlignment w:val="center"/>
              <w:rPr>
                <w:rFonts w:hint="eastAsia" w:ascii="宋体" w:hAnsi="宋体" w:eastAsia="宋体" w:cs="宋体"/>
                <w:color w:val="auto"/>
                <w:kern w:val="0"/>
                <w:highlight w:val="none"/>
              </w:rPr>
            </w:pPr>
          </w:p>
        </w:tc>
      </w:tr>
      <w:tr w14:paraId="0DB89ED9">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2E96208B">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406EFBA8">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底板</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3FA71E92">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1.2厚高分子自粘胶膜预铺防水卷材（P类）（预铺反粘法）+1.5厚自粘聚合物改性沥青防水卷材</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524232AA">
            <w:pPr>
              <w:widowControl/>
              <w:jc w:val="center"/>
              <w:textAlignment w:val="center"/>
              <w:rPr>
                <w:rFonts w:hint="eastAsia" w:ascii="宋体" w:hAnsi="宋体" w:eastAsia="宋体" w:cs="宋体"/>
                <w:color w:val="auto"/>
                <w:kern w:val="0"/>
                <w:highlight w:val="none"/>
              </w:rPr>
            </w:pPr>
          </w:p>
        </w:tc>
      </w:tr>
      <w:tr w14:paraId="3274FEFE">
        <w:tblPrEx>
          <w:tblCellMar>
            <w:top w:w="0" w:type="dxa"/>
            <w:left w:w="108" w:type="dxa"/>
            <w:bottom w:w="0" w:type="dxa"/>
            <w:right w:w="108" w:type="dxa"/>
          </w:tblCellMar>
        </w:tblPrEx>
        <w:trPr>
          <w:trHeight w:val="624" w:hRule="atLeast"/>
        </w:trPr>
        <w:tc>
          <w:tcPr>
            <w:tcW w:w="1212" w:type="dxa"/>
            <w:vMerge w:val="restart"/>
            <w:tcBorders>
              <w:top w:val="single" w:color="000000" w:sz="4" w:space="0"/>
              <w:left w:val="single" w:color="000000" w:sz="4" w:space="0"/>
              <w:right w:val="single" w:color="000000" w:sz="4" w:space="0"/>
            </w:tcBorders>
            <w:noWrap/>
            <w:vAlign w:val="center"/>
          </w:tcPr>
          <w:p w14:paraId="712ED8F8">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卫生间</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20D7EA7C">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vAlign w:val="center"/>
          </w:tcPr>
          <w:p w14:paraId="26F128D6">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方案一：2厚聚合物水泥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防水涂料(II型）+2厚聚合物水泥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w:t>
            </w:r>
          </w:p>
          <w:p w14:paraId="1E6515E3">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方案二：1.5厚聚氨酯防水涂料+1.5厚聚氨酯防水涂料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021D32AA">
            <w:pPr>
              <w:widowControl/>
              <w:jc w:val="center"/>
              <w:textAlignment w:val="center"/>
              <w:rPr>
                <w:rFonts w:hint="eastAsia" w:ascii="宋体" w:hAnsi="宋体" w:eastAsia="宋体" w:cs="宋体"/>
                <w:color w:val="auto"/>
                <w:kern w:val="0"/>
                <w:highlight w:val="none"/>
              </w:rPr>
            </w:pPr>
          </w:p>
        </w:tc>
      </w:tr>
      <w:tr w14:paraId="0D423815">
        <w:tblPrEx>
          <w:tblCellMar>
            <w:top w:w="0" w:type="dxa"/>
            <w:left w:w="108" w:type="dxa"/>
            <w:bottom w:w="0" w:type="dxa"/>
            <w:right w:w="108" w:type="dxa"/>
          </w:tblCellMar>
        </w:tblPrEx>
        <w:trPr>
          <w:trHeight w:val="312" w:hRule="atLeast"/>
        </w:trPr>
        <w:tc>
          <w:tcPr>
            <w:tcW w:w="1212" w:type="dxa"/>
            <w:vMerge w:val="continue"/>
            <w:tcBorders>
              <w:left w:val="single" w:color="000000" w:sz="4" w:space="0"/>
              <w:right w:val="single" w:color="000000" w:sz="4" w:space="0"/>
            </w:tcBorders>
            <w:noWrap/>
            <w:vAlign w:val="center"/>
          </w:tcPr>
          <w:p w14:paraId="53F8D26E">
            <w:pPr>
              <w:jc w:val="center"/>
              <w:rPr>
                <w:rFonts w:hint="eastAsia" w:ascii="宋体" w:hAnsi="宋体" w:eastAsia="宋体" w:cs="宋体"/>
                <w:color w:val="auto"/>
                <w:highlight w:val="none"/>
              </w:rPr>
            </w:pPr>
          </w:p>
        </w:tc>
        <w:tc>
          <w:tcPr>
            <w:tcW w:w="1346" w:type="dxa"/>
            <w:vMerge w:val="restart"/>
            <w:tcBorders>
              <w:top w:val="single" w:color="000000" w:sz="4" w:space="0"/>
              <w:left w:val="single" w:color="000000" w:sz="4" w:space="0"/>
              <w:right w:val="single" w:color="000000" w:sz="4" w:space="0"/>
            </w:tcBorders>
            <w:noWrap/>
            <w:vAlign w:val="center"/>
          </w:tcPr>
          <w:p w14:paraId="7DA065B2">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墙面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647F0E2B">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1F4F941F">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1.8米以下</w:t>
            </w:r>
          </w:p>
        </w:tc>
      </w:tr>
      <w:tr w14:paraId="79AF7A9C">
        <w:tblPrEx>
          <w:tblCellMar>
            <w:top w:w="0" w:type="dxa"/>
            <w:left w:w="108" w:type="dxa"/>
            <w:bottom w:w="0" w:type="dxa"/>
            <w:right w:w="108" w:type="dxa"/>
          </w:tblCellMar>
        </w:tblPrEx>
        <w:trPr>
          <w:trHeight w:val="312" w:hRule="atLeast"/>
        </w:trPr>
        <w:tc>
          <w:tcPr>
            <w:tcW w:w="1212" w:type="dxa"/>
            <w:vMerge w:val="continue"/>
            <w:tcBorders>
              <w:left w:val="single" w:color="000000" w:sz="4" w:space="0"/>
              <w:bottom w:val="single" w:color="000000" w:sz="4" w:space="0"/>
              <w:right w:val="single" w:color="000000" w:sz="4" w:space="0"/>
            </w:tcBorders>
            <w:noWrap/>
            <w:vAlign w:val="center"/>
          </w:tcPr>
          <w:p w14:paraId="725E1C72">
            <w:pPr>
              <w:jc w:val="center"/>
              <w:rPr>
                <w:rFonts w:hint="eastAsia" w:ascii="宋体" w:hAnsi="宋体" w:eastAsia="宋体" w:cs="宋体"/>
                <w:color w:val="auto"/>
                <w:highlight w:val="none"/>
              </w:rPr>
            </w:pPr>
          </w:p>
        </w:tc>
        <w:tc>
          <w:tcPr>
            <w:tcW w:w="1346" w:type="dxa"/>
            <w:vMerge w:val="continue"/>
            <w:tcBorders>
              <w:left w:val="single" w:color="000000" w:sz="4" w:space="0"/>
              <w:bottom w:val="single" w:color="000000" w:sz="4" w:space="0"/>
              <w:right w:val="single" w:color="000000" w:sz="4" w:space="0"/>
            </w:tcBorders>
            <w:noWrap/>
            <w:vAlign w:val="center"/>
          </w:tcPr>
          <w:p w14:paraId="29CECA2B">
            <w:pPr>
              <w:widowControl/>
              <w:jc w:val="center"/>
              <w:textAlignment w:val="center"/>
              <w:rPr>
                <w:rFonts w:hint="eastAsia" w:ascii="宋体" w:hAnsi="宋体" w:eastAsia="宋体" w:cs="宋体"/>
                <w:color w:val="auto"/>
                <w:kern w:val="0"/>
                <w:highlight w:val="none"/>
              </w:rPr>
            </w:pP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033C28D9">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4A717260">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1.8米以上</w:t>
            </w:r>
          </w:p>
        </w:tc>
      </w:tr>
      <w:tr w14:paraId="05E1D111">
        <w:tblPrEx>
          <w:tblCellMar>
            <w:top w:w="0" w:type="dxa"/>
            <w:left w:w="108" w:type="dxa"/>
            <w:bottom w:w="0" w:type="dxa"/>
            <w:right w:w="108" w:type="dxa"/>
          </w:tblCellMar>
        </w:tblPrEx>
        <w:trPr>
          <w:trHeight w:val="312" w:hRule="atLeast"/>
        </w:trPr>
        <w:tc>
          <w:tcPr>
            <w:tcW w:w="1212" w:type="dxa"/>
            <w:vMerge w:val="restart"/>
            <w:tcBorders>
              <w:top w:val="single" w:color="000000" w:sz="4" w:space="0"/>
              <w:left w:val="single" w:color="000000" w:sz="4" w:space="0"/>
              <w:bottom w:val="single" w:color="000000" w:sz="4" w:space="0"/>
              <w:right w:val="single" w:color="000000" w:sz="4" w:space="0"/>
            </w:tcBorders>
            <w:noWrap/>
            <w:vAlign w:val="center"/>
          </w:tcPr>
          <w:p w14:paraId="265BD0D1">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厨房</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1AA52989">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6A106732">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方案一：2厚聚合物水泥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防水涂料(II型）+2厚聚合物水泥防水涂料(II型）</w:t>
            </w:r>
          </w:p>
          <w:p w14:paraId="184A1EB7">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方案二：1.5厚聚氨酯防水涂料+1.5厚聚氨酯防水涂料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421DD832">
            <w:pPr>
              <w:widowControl/>
              <w:jc w:val="center"/>
              <w:textAlignment w:val="center"/>
              <w:rPr>
                <w:rFonts w:hint="eastAsia" w:ascii="宋体" w:hAnsi="宋体" w:eastAsia="宋体" w:cs="宋体"/>
                <w:color w:val="auto"/>
                <w:kern w:val="0"/>
                <w:highlight w:val="none"/>
              </w:rPr>
            </w:pPr>
          </w:p>
        </w:tc>
      </w:tr>
      <w:tr w14:paraId="4C2C156C">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0104D959">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0FB08AC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墙面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12D04214">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lang w:val="en-US" w:eastAsia="zh-CN"/>
              </w:rPr>
              <w:t>2</w:t>
            </w:r>
            <w:r>
              <w:rPr>
                <w:rFonts w:hint="eastAsia" w:ascii="宋体" w:hAnsi="宋体" w:eastAsia="宋体" w:cs="宋体"/>
                <w:color w:val="auto"/>
                <w:kern w:val="0"/>
                <w:highlight w:val="none"/>
              </w:rPr>
              <w:t>厚聚合物水泥</w:t>
            </w:r>
            <w:r>
              <w:rPr>
                <w:rFonts w:hint="eastAsia" w:ascii="宋体" w:hAnsi="宋体" w:eastAsia="宋体" w:cs="宋体"/>
                <w:color w:val="auto"/>
                <w:kern w:val="0"/>
                <w:highlight w:val="none"/>
                <w:lang w:val="en-US" w:eastAsia="zh-CN"/>
              </w:rPr>
              <w:t>基</w:t>
            </w:r>
            <w:r>
              <w:rPr>
                <w:rFonts w:hint="eastAsia" w:ascii="宋体" w:hAnsi="宋体" w:eastAsia="宋体" w:cs="宋体"/>
                <w:color w:val="auto"/>
                <w:kern w:val="0"/>
                <w:highlight w:val="none"/>
              </w:rPr>
              <w:t>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24060294">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1.2米以下</w:t>
            </w:r>
          </w:p>
        </w:tc>
      </w:tr>
      <w:tr w14:paraId="241A464A">
        <w:tblPrEx>
          <w:tblCellMar>
            <w:top w:w="0" w:type="dxa"/>
            <w:left w:w="108" w:type="dxa"/>
            <w:bottom w:w="0" w:type="dxa"/>
            <w:right w:w="108" w:type="dxa"/>
          </w:tblCellMar>
        </w:tblPrEx>
        <w:trPr>
          <w:trHeight w:val="624" w:hRule="atLeast"/>
        </w:trPr>
        <w:tc>
          <w:tcPr>
            <w:tcW w:w="1212" w:type="dxa"/>
            <w:tcBorders>
              <w:top w:val="single" w:color="000000" w:sz="4" w:space="0"/>
              <w:left w:val="single" w:color="000000" w:sz="4" w:space="0"/>
              <w:bottom w:val="single" w:color="000000" w:sz="4" w:space="0"/>
              <w:right w:val="single" w:color="000000" w:sz="4" w:space="0"/>
            </w:tcBorders>
            <w:noWrap/>
            <w:vAlign w:val="center"/>
          </w:tcPr>
          <w:p w14:paraId="61C2C6E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屋顶</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251465D2">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vAlign w:val="center"/>
          </w:tcPr>
          <w:p w14:paraId="6C881B9C">
            <w:pPr>
              <w:widowControl/>
              <w:jc w:val="left"/>
              <w:textAlignment w:val="center"/>
              <w:rPr>
                <w:rFonts w:hint="default" w:ascii="宋体" w:hAnsi="宋体" w:eastAsia="宋体" w:cs="宋体"/>
                <w:color w:val="auto"/>
                <w:kern w:val="0"/>
                <w:highlight w:val="none"/>
                <w:lang w:val="en-US" w:eastAsia="zh-CN"/>
              </w:rPr>
            </w:pPr>
            <w:r>
              <w:rPr>
                <w:rFonts w:hint="eastAsia" w:ascii="宋体" w:hAnsi="宋体" w:eastAsia="宋体" w:cs="宋体"/>
                <w:color w:val="auto"/>
                <w:kern w:val="0"/>
                <w:highlight w:val="none"/>
              </w:rPr>
              <w:t>1.5厚自粘聚合物改性沥青防水卷材</w:t>
            </w:r>
            <w:r>
              <w:rPr>
                <w:rFonts w:hint="eastAsia" w:ascii="宋体" w:hAnsi="宋体" w:eastAsia="宋体" w:cs="宋体"/>
                <w:color w:val="auto"/>
                <w:kern w:val="0"/>
                <w:highlight w:val="none"/>
                <w:lang w:val="en-US" w:eastAsia="zh-CN"/>
              </w:rPr>
              <w:t>各1道共2道</w:t>
            </w:r>
          </w:p>
          <w:p w14:paraId="5CC92FE7">
            <w:pPr>
              <w:widowControl/>
              <w:jc w:val="left"/>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+2厚非固化橡胶沥青防水涂料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5F043C92">
            <w:pPr>
              <w:widowControl/>
              <w:jc w:val="center"/>
              <w:textAlignment w:val="center"/>
              <w:rPr>
                <w:rFonts w:hint="eastAsia" w:ascii="宋体" w:hAnsi="宋体" w:eastAsia="宋体" w:cs="宋体"/>
                <w:color w:val="auto"/>
                <w:kern w:val="0"/>
                <w:highlight w:val="none"/>
              </w:rPr>
            </w:pPr>
          </w:p>
        </w:tc>
      </w:tr>
    </w:tbl>
    <w:p w14:paraId="7C030E8C">
      <w:pPr>
        <w:rPr>
          <w:rFonts w:hint="eastAsia"/>
          <w:color w:val="000000" w:themeColor="text1"/>
          <w:highlight w:val="none"/>
          <w14:textFill>
            <w14:solidFill>
              <w14:schemeClr w14:val="tx1"/>
            </w14:solidFill>
          </w14:textFill>
        </w:rPr>
      </w:pPr>
    </w:p>
    <w:p w14:paraId="291F8C12">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1.3.4 电梯选型</w:t>
      </w:r>
    </w:p>
    <w:tbl>
      <w:tblPr>
        <w:tblStyle w:val="42"/>
        <w:tblW w:w="894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511"/>
        <w:gridCol w:w="1559"/>
        <w:gridCol w:w="1275"/>
        <w:gridCol w:w="851"/>
        <w:gridCol w:w="851"/>
        <w:gridCol w:w="850"/>
        <w:gridCol w:w="1008"/>
      </w:tblGrid>
      <w:tr w14:paraId="5F48C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552" w:type="dxa"/>
            <w:gridSpan w:val="2"/>
            <w:shd w:val="clear" w:color="auto" w:fill="auto"/>
            <w:vAlign w:val="center"/>
          </w:tcPr>
          <w:p w14:paraId="3A4D58B8">
            <w:pPr>
              <w:pStyle w:val="80"/>
              <w:adjustRightInd w:val="0"/>
              <w:snapToGrid w:val="0"/>
              <w:ind w:firstLine="0" w:firstLineChars="0"/>
              <w:jc w:val="center"/>
              <w:rPr>
                <w:color w:val="000000" w:themeColor="text1"/>
                <w:kern w:val="0"/>
                <w:sz w:val="22"/>
                <w:szCs w:val="22"/>
                <w:highlight w:val="none"/>
                <w14:textFill>
                  <w14:solidFill>
                    <w14:schemeClr w14:val="tx1"/>
                  </w14:solidFill>
                </w14:textFill>
              </w:rPr>
            </w:pPr>
          </w:p>
        </w:tc>
        <w:tc>
          <w:tcPr>
            <w:tcW w:w="1559" w:type="dxa"/>
            <w:shd w:val="clear" w:color="auto" w:fill="auto"/>
            <w:vAlign w:val="center"/>
          </w:tcPr>
          <w:p w14:paraId="44515DF0">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井道尺寸（mm）</w:t>
            </w:r>
          </w:p>
        </w:tc>
        <w:tc>
          <w:tcPr>
            <w:tcW w:w="1275" w:type="dxa"/>
            <w:shd w:val="clear" w:color="auto" w:fill="auto"/>
            <w:vAlign w:val="center"/>
          </w:tcPr>
          <w:p w14:paraId="008DAAE4">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轿厢尺寸（mm）</w:t>
            </w:r>
          </w:p>
        </w:tc>
        <w:tc>
          <w:tcPr>
            <w:tcW w:w="851" w:type="dxa"/>
            <w:shd w:val="clear" w:color="auto" w:fill="auto"/>
            <w:vAlign w:val="center"/>
          </w:tcPr>
          <w:p w14:paraId="55E1931E">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顶层高度（mm）</w:t>
            </w:r>
          </w:p>
        </w:tc>
        <w:tc>
          <w:tcPr>
            <w:tcW w:w="851" w:type="dxa"/>
            <w:shd w:val="clear" w:color="auto" w:fill="auto"/>
            <w:vAlign w:val="center"/>
          </w:tcPr>
          <w:p w14:paraId="49D5B8C5">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底坑深度（mm）</w:t>
            </w:r>
          </w:p>
        </w:tc>
        <w:tc>
          <w:tcPr>
            <w:tcW w:w="850" w:type="dxa"/>
            <w:shd w:val="clear" w:color="auto" w:fill="auto"/>
            <w:vAlign w:val="center"/>
          </w:tcPr>
          <w:p w14:paraId="271E3ED3">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载重（kg）</w:t>
            </w:r>
          </w:p>
        </w:tc>
        <w:tc>
          <w:tcPr>
            <w:tcW w:w="1008" w:type="dxa"/>
            <w:shd w:val="clear" w:color="auto" w:fill="auto"/>
            <w:vAlign w:val="center"/>
          </w:tcPr>
          <w:p w14:paraId="4E5CF5A6">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速度（m/s）</w:t>
            </w:r>
          </w:p>
        </w:tc>
      </w:tr>
      <w:tr w14:paraId="7D3B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552" w:type="dxa"/>
            <w:gridSpan w:val="2"/>
            <w:shd w:val="clear" w:color="auto" w:fill="auto"/>
            <w:vAlign w:val="center"/>
          </w:tcPr>
          <w:p w14:paraId="064894B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高层住宅塔楼（＞54m）</w:t>
            </w:r>
          </w:p>
        </w:tc>
        <w:tc>
          <w:tcPr>
            <w:tcW w:w="1559" w:type="dxa"/>
            <w:shd w:val="clear" w:color="auto" w:fill="auto"/>
            <w:vAlign w:val="center"/>
          </w:tcPr>
          <w:p w14:paraId="297DAC23">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2200x2200</w:t>
            </w:r>
          </w:p>
        </w:tc>
        <w:tc>
          <w:tcPr>
            <w:tcW w:w="1275" w:type="dxa"/>
            <w:shd w:val="clear" w:color="auto" w:fill="auto"/>
            <w:vAlign w:val="center"/>
          </w:tcPr>
          <w:p w14:paraId="5541800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1600*1500</w:t>
            </w:r>
          </w:p>
        </w:tc>
        <w:tc>
          <w:tcPr>
            <w:tcW w:w="851" w:type="dxa"/>
            <w:shd w:val="clear" w:color="auto" w:fill="auto"/>
            <w:vAlign w:val="center"/>
          </w:tcPr>
          <w:p w14:paraId="4CD940B1">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5700</w:t>
            </w:r>
          </w:p>
        </w:tc>
        <w:tc>
          <w:tcPr>
            <w:tcW w:w="851" w:type="dxa"/>
            <w:shd w:val="clear" w:color="auto" w:fill="auto"/>
            <w:vAlign w:val="center"/>
          </w:tcPr>
          <w:p w14:paraId="4593B053">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2000</w:t>
            </w:r>
          </w:p>
        </w:tc>
        <w:tc>
          <w:tcPr>
            <w:tcW w:w="850" w:type="dxa"/>
            <w:shd w:val="clear" w:color="auto" w:fill="auto"/>
            <w:vAlign w:val="center"/>
          </w:tcPr>
          <w:p w14:paraId="4DE03AD1">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1050</w:t>
            </w:r>
          </w:p>
        </w:tc>
        <w:tc>
          <w:tcPr>
            <w:tcW w:w="1008" w:type="dxa"/>
            <w:shd w:val="clear" w:color="auto" w:fill="auto"/>
            <w:vAlign w:val="center"/>
          </w:tcPr>
          <w:p w14:paraId="2E3D358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2.0</w:t>
            </w:r>
          </w:p>
        </w:tc>
      </w:tr>
      <w:tr w14:paraId="30C21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restart"/>
            <w:shd w:val="clear" w:color="auto" w:fill="auto"/>
            <w:vAlign w:val="center"/>
          </w:tcPr>
          <w:p w14:paraId="617E3FCA">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小高层住宅塔楼（≤54m）</w:t>
            </w:r>
          </w:p>
        </w:tc>
        <w:tc>
          <w:tcPr>
            <w:tcW w:w="1511" w:type="dxa"/>
            <w:shd w:val="clear" w:color="auto" w:fill="auto"/>
          </w:tcPr>
          <w:p w14:paraId="43621A33">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有机房电梯</w:t>
            </w:r>
          </w:p>
        </w:tc>
        <w:tc>
          <w:tcPr>
            <w:tcW w:w="1559" w:type="dxa"/>
            <w:shd w:val="clear" w:color="auto" w:fill="auto"/>
            <w:vAlign w:val="center"/>
          </w:tcPr>
          <w:p w14:paraId="2593ECFF">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2200x2200</w:t>
            </w:r>
          </w:p>
        </w:tc>
        <w:tc>
          <w:tcPr>
            <w:tcW w:w="1275" w:type="dxa"/>
            <w:shd w:val="clear" w:color="auto" w:fill="auto"/>
            <w:vAlign w:val="center"/>
          </w:tcPr>
          <w:p w14:paraId="36F7BDA4">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1600*1500</w:t>
            </w:r>
          </w:p>
        </w:tc>
        <w:tc>
          <w:tcPr>
            <w:tcW w:w="851" w:type="dxa"/>
            <w:shd w:val="clear" w:color="auto" w:fill="auto"/>
            <w:vAlign w:val="center"/>
          </w:tcPr>
          <w:p w14:paraId="59330F99">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5700</w:t>
            </w:r>
          </w:p>
        </w:tc>
        <w:tc>
          <w:tcPr>
            <w:tcW w:w="851" w:type="dxa"/>
            <w:shd w:val="clear" w:color="auto" w:fill="auto"/>
            <w:vAlign w:val="center"/>
          </w:tcPr>
          <w:p w14:paraId="16EA4450">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2000</w:t>
            </w:r>
          </w:p>
        </w:tc>
        <w:tc>
          <w:tcPr>
            <w:tcW w:w="850" w:type="dxa"/>
            <w:shd w:val="clear" w:color="auto" w:fill="auto"/>
            <w:vAlign w:val="center"/>
          </w:tcPr>
          <w:p w14:paraId="344B81D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1000</w:t>
            </w:r>
          </w:p>
        </w:tc>
        <w:tc>
          <w:tcPr>
            <w:tcW w:w="1008" w:type="dxa"/>
            <w:shd w:val="clear" w:color="auto" w:fill="auto"/>
            <w:vAlign w:val="center"/>
          </w:tcPr>
          <w:p w14:paraId="4FC0C13D">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1.5</w:t>
            </w:r>
          </w:p>
        </w:tc>
      </w:tr>
      <w:tr w14:paraId="0777C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217E8194">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1511" w:type="dxa"/>
            <w:shd w:val="clear" w:color="auto" w:fill="auto"/>
            <w:vAlign w:val="center"/>
          </w:tcPr>
          <w:p w14:paraId="0D3DDAA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无机房电梯</w:t>
            </w:r>
          </w:p>
        </w:tc>
        <w:tc>
          <w:tcPr>
            <w:tcW w:w="1559" w:type="dxa"/>
            <w:shd w:val="clear" w:color="auto" w:fill="auto"/>
            <w:vAlign w:val="center"/>
          </w:tcPr>
          <w:p w14:paraId="18F9912F">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2200x2200</w:t>
            </w:r>
          </w:p>
        </w:tc>
        <w:tc>
          <w:tcPr>
            <w:tcW w:w="1275" w:type="dxa"/>
            <w:shd w:val="clear" w:color="auto" w:fill="auto"/>
            <w:vAlign w:val="center"/>
          </w:tcPr>
          <w:p w14:paraId="3943761E">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1600*1500</w:t>
            </w:r>
          </w:p>
        </w:tc>
        <w:tc>
          <w:tcPr>
            <w:tcW w:w="851" w:type="dxa"/>
            <w:shd w:val="clear" w:color="auto" w:fill="auto"/>
            <w:vAlign w:val="center"/>
          </w:tcPr>
          <w:p w14:paraId="6C171FA8">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w:t>
            </w:r>
          </w:p>
        </w:tc>
        <w:tc>
          <w:tcPr>
            <w:tcW w:w="851" w:type="dxa"/>
            <w:shd w:val="clear" w:color="auto" w:fill="auto"/>
            <w:vAlign w:val="center"/>
          </w:tcPr>
          <w:p w14:paraId="4E266A2A">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2000</w:t>
            </w:r>
          </w:p>
        </w:tc>
        <w:tc>
          <w:tcPr>
            <w:tcW w:w="850" w:type="dxa"/>
            <w:shd w:val="clear" w:color="auto" w:fill="auto"/>
            <w:vAlign w:val="center"/>
          </w:tcPr>
          <w:p w14:paraId="32C3AA18">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1000</w:t>
            </w:r>
          </w:p>
        </w:tc>
        <w:tc>
          <w:tcPr>
            <w:tcW w:w="1008" w:type="dxa"/>
            <w:shd w:val="clear" w:color="auto" w:fill="auto"/>
            <w:vAlign w:val="center"/>
          </w:tcPr>
          <w:p w14:paraId="1761369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1.5</w:t>
            </w:r>
          </w:p>
        </w:tc>
      </w:tr>
      <w:tr w14:paraId="48B7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restart"/>
            <w:shd w:val="clear" w:color="auto" w:fill="auto"/>
            <w:vAlign w:val="center"/>
          </w:tcPr>
          <w:p w14:paraId="18128F34">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裙楼、独立多层公建</w:t>
            </w:r>
          </w:p>
        </w:tc>
        <w:tc>
          <w:tcPr>
            <w:tcW w:w="1511" w:type="dxa"/>
            <w:shd w:val="clear" w:color="auto" w:fill="auto"/>
          </w:tcPr>
          <w:p w14:paraId="1B0C6FDF">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有机房电梯</w:t>
            </w:r>
          </w:p>
        </w:tc>
        <w:tc>
          <w:tcPr>
            <w:tcW w:w="1559" w:type="dxa"/>
            <w:shd w:val="clear" w:color="auto" w:fill="auto"/>
            <w:vAlign w:val="center"/>
          </w:tcPr>
          <w:p w14:paraId="472C7768">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2200x2200</w:t>
            </w:r>
          </w:p>
        </w:tc>
        <w:tc>
          <w:tcPr>
            <w:tcW w:w="1275" w:type="dxa"/>
            <w:shd w:val="clear" w:color="auto" w:fill="auto"/>
            <w:vAlign w:val="center"/>
          </w:tcPr>
          <w:p w14:paraId="0FEDAFDE">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1600*1500</w:t>
            </w:r>
          </w:p>
        </w:tc>
        <w:tc>
          <w:tcPr>
            <w:tcW w:w="851" w:type="dxa"/>
            <w:shd w:val="clear" w:color="auto" w:fill="auto"/>
            <w:vAlign w:val="center"/>
          </w:tcPr>
          <w:p w14:paraId="2C809E62">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5500</w:t>
            </w:r>
          </w:p>
        </w:tc>
        <w:tc>
          <w:tcPr>
            <w:tcW w:w="851" w:type="dxa"/>
            <w:shd w:val="clear" w:color="auto" w:fill="auto"/>
            <w:vAlign w:val="center"/>
          </w:tcPr>
          <w:p w14:paraId="5D48DB0F">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1800</w:t>
            </w:r>
          </w:p>
        </w:tc>
        <w:tc>
          <w:tcPr>
            <w:tcW w:w="850" w:type="dxa"/>
            <w:shd w:val="clear" w:color="auto" w:fill="auto"/>
            <w:vAlign w:val="center"/>
          </w:tcPr>
          <w:p w14:paraId="4F08B6E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1000</w:t>
            </w:r>
          </w:p>
        </w:tc>
        <w:tc>
          <w:tcPr>
            <w:tcW w:w="1008" w:type="dxa"/>
            <w:shd w:val="clear" w:color="auto" w:fill="auto"/>
            <w:vAlign w:val="center"/>
          </w:tcPr>
          <w:p w14:paraId="1C5D7757">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1.5</w:t>
            </w:r>
          </w:p>
        </w:tc>
      </w:tr>
      <w:tr w14:paraId="41F09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54F16C9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1511" w:type="dxa"/>
            <w:shd w:val="clear" w:color="auto" w:fill="auto"/>
          </w:tcPr>
          <w:p w14:paraId="4CDF8611">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无机房电梯</w:t>
            </w:r>
          </w:p>
        </w:tc>
        <w:tc>
          <w:tcPr>
            <w:tcW w:w="1559" w:type="dxa"/>
            <w:shd w:val="clear" w:color="auto" w:fill="auto"/>
            <w:vAlign w:val="center"/>
          </w:tcPr>
          <w:p w14:paraId="3627104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2200x2200</w:t>
            </w:r>
          </w:p>
        </w:tc>
        <w:tc>
          <w:tcPr>
            <w:tcW w:w="1275" w:type="dxa"/>
            <w:shd w:val="clear" w:color="auto" w:fill="auto"/>
            <w:vAlign w:val="center"/>
          </w:tcPr>
          <w:p w14:paraId="13A7F598">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1600*1500</w:t>
            </w:r>
          </w:p>
        </w:tc>
        <w:tc>
          <w:tcPr>
            <w:tcW w:w="851" w:type="dxa"/>
            <w:shd w:val="clear" w:color="auto" w:fill="auto"/>
            <w:vAlign w:val="center"/>
          </w:tcPr>
          <w:p w14:paraId="2D85897C">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w:t>
            </w:r>
          </w:p>
        </w:tc>
        <w:tc>
          <w:tcPr>
            <w:tcW w:w="851" w:type="dxa"/>
            <w:shd w:val="clear" w:color="auto" w:fill="auto"/>
            <w:vAlign w:val="center"/>
          </w:tcPr>
          <w:p w14:paraId="76F81589">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1800</w:t>
            </w:r>
          </w:p>
        </w:tc>
        <w:tc>
          <w:tcPr>
            <w:tcW w:w="850" w:type="dxa"/>
            <w:shd w:val="clear" w:color="auto" w:fill="auto"/>
            <w:vAlign w:val="center"/>
          </w:tcPr>
          <w:p w14:paraId="265F3184">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1000</w:t>
            </w:r>
          </w:p>
        </w:tc>
        <w:tc>
          <w:tcPr>
            <w:tcW w:w="1008" w:type="dxa"/>
            <w:shd w:val="clear" w:color="auto" w:fill="auto"/>
            <w:vAlign w:val="center"/>
          </w:tcPr>
          <w:p w14:paraId="2CFB5B76">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1.5</w:t>
            </w:r>
          </w:p>
        </w:tc>
      </w:tr>
      <w:tr w14:paraId="5DB6B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4588B178">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1511" w:type="dxa"/>
            <w:shd w:val="clear" w:color="auto" w:fill="auto"/>
          </w:tcPr>
          <w:p w14:paraId="280D2941">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货梯</w:t>
            </w:r>
          </w:p>
        </w:tc>
        <w:tc>
          <w:tcPr>
            <w:tcW w:w="1559" w:type="dxa"/>
            <w:shd w:val="clear" w:color="auto" w:fill="auto"/>
            <w:vAlign w:val="center"/>
          </w:tcPr>
          <w:p w14:paraId="1BF4623B">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按实际需要</w:t>
            </w:r>
          </w:p>
        </w:tc>
        <w:tc>
          <w:tcPr>
            <w:tcW w:w="1275" w:type="dxa"/>
            <w:shd w:val="clear" w:color="auto" w:fill="auto"/>
            <w:vAlign w:val="center"/>
          </w:tcPr>
          <w:p w14:paraId="09692D1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851" w:type="dxa"/>
            <w:shd w:val="clear" w:color="auto" w:fill="auto"/>
            <w:vAlign w:val="center"/>
          </w:tcPr>
          <w:p w14:paraId="22F32239">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851" w:type="dxa"/>
            <w:shd w:val="clear" w:color="auto" w:fill="auto"/>
            <w:vAlign w:val="center"/>
          </w:tcPr>
          <w:p w14:paraId="6474A2E5">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p>
        </w:tc>
        <w:tc>
          <w:tcPr>
            <w:tcW w:w="850" w:type="dxa"/>
            <w:shd w:val="clear" w:color="auto" w:fill="auto"/>
            <w:vAlign w:val="center"/>
          </w:tcPr>
          <w:p w14:paraId="699A2240">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2000</w:t>
            </w:r>
          </w:p>
        </w:tc>
        <w:tc>
          <w:tcPr>
            <w:tcW w:w="1008" w:type="dxa"/>
            <w:shd w:val="clear" w:color="auto" w:fill="auto"/>
            <w:vAlign w:val="center"/>
          </w:tcPr>
          <w:p w14:paraId="5920E324">
            <w:pPr>
              <w:widowControl/>
              <w:adjustRightInd w:val="0"/>
              <w:jc w:val="center"/>
              <w:textAlignment w:val="center"/>
              <w:rPr>
                <w:rFonts w:hint="eastAsia" w:ascii="宋体" w:hAnsi="宋体" w:eastAsia="宋体" w:cs="宋体"/>
                <w:color w:val="000000" w:themeColor="text1"/>
                <w:kern w:val="0"/>
                <w:highlight w:val="none"/>
                <w14:textFill>
                  <w14:solidFill>
                    <w14:schemeClr w14:val="tx1"/>
                  </w14:solidFill>
                </w14:textFill>
              </w:rPr>
            </w:pPr>
            <w:r>
              <w:rPr>
                <w:rFonts w:hint="eastAsia" w:ascii="宋体" w:hAnsi="宋体" w:eastAsia="宋体" w:cs="宋体"/>
                <w:color w:val="000000" w:themeColor="text1"/>
                <w:kern w:val="0"/>
                <w:highlight w:val="none"/>
                <w14:textFill>
                  <w14:solidFill>
                    <w14:schemeClr w14:val="tx1"/>
                  </w14:solidFill>
                </w14:textFill>
              </w:rPr>
              <w:t>1.5</w:t>
            </w:r>
          </w:p>
        </w:tc>
      </w:tr>
    </w:tbl>
    <w:p w14:paraId="45F7C3D6">
      <w:pPr>
        <w:pStyle w:val="24"/>
        <w:ind w:firstLine="480"/>
        <w:rPr>
          <w:rFonts w:hint="eastAsia" w:hAnsi="宋体" w:cs="宋体"/>
          <w:color w:val="000000" w:themeColor="text1"/>
          <w:szCs w:val="24"/>
          <w:highlight w:val="none"/>
          <w14:textFill>
            <w14:solidFill>
              <w14:schemeClr w14:val="tx1"/>
            </w14:solidFill>
          </w14:textFill>
        </w:rPr>
      </w:pPr>
    </w:p>
    <w:p w14:paraId="4D20BC23">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1.3.5 保温形式</w:t>
      </w:r>
    </w:p>
    <w:p w14:paraId="7BDE6AE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1.3.5.1 屋面保温</w:t>
      </w:r>
    </w:p>
    <w:p w14:paraId="1EB8C24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倒置式上人及不上人屋面，采用挤塑聚苯板，厚度按节能计算确定。</w:t>
      </w:r>
    </w:p>
    <w:p w14:paraId="31017F2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1.3.5.2 外墙及梁保温做法</w:t>
      </w:r>
    </w:p>
    <w:p w14:paraId="2177A37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1.3.5.2 外墙及梁保温做法</w:t>
      </w:r>
    </w:p>
    <w:p w14:paraId="05C774E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客厅、卧室、卫生间的外墙优先采用水性保温凝胶，厚度按节能计算确定。</w:t>
      </w:r>
    </w:p>
    <w:p w14:paraId="4FDBDBB7">
      <w:pPr>
        <w:pStyle w:val="4"/>
        <w:ind w:firstLine="480" w:firstLineChars="200"/>
        <w:rPr>
          <w:color w:val="000000" w:themeColor="text1"/>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公共区域、厨房的外墙优先采用水性保温凝胶，厚度按节能计算确定。</w:t>
      </w:r>
    </w:p>
    <w:p w14:paraId="4088DE9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1.3.6 门窗选用</w:t>
      </w:r>
    </w:p>
    <w:tbl>
      <w:tblPr>
        <w:tblStyle w:val="42"/>
        <w:tblW w:w="9006" w:type="dxa"/>
        <w:tblInd w:w="91" w:type="dxa"/>
        <w:tblLayout w:type="fixed"/>
        <w:tblCellMar>
          <w:top w:w="0" w:type="dxa"/>
          <w:left w:w="108" w:type="dxa"/>
          <w:bottom w:w="0" w:type="dxa"/>
          <w:right w:w="108" w:type="dxa"/>
        </w:tblCellMar>
      </w:tblPr>
      <w:tblGrid>
        <w:gridCol w:w="3140"/>
        <w:gridCol w:w="5866"/>
      </w:tblGrid>
      <w:tr w14:paraId="430E4F58">
        <w:trPr>
          <w:trHeight w:val="567" w:hRule="atLeast"/>
        </w:trPr>
        <w:tc>
          <w:tcPr>
            <w:tcW w:w="3140" w:type="dxa"/>
            <w:tcBorders>
              <w:top w:val="single" w:color="auto" w:sz="8" w:space="0"/>
              <w:left w:val="single" w:color="000000" w:sz="4" w:space="0"/>
              <w:bottom w:val="single" w:color="000000" w:sz="4" w:space="0"/>
              <w:right w:val="single" w:color="000000" w:sz="4" w:space="0"/>
            </w:tcBorders>
            <w:noWrap/>
          </w:tcPr>
          <w:p w14:paraId="5DD0EC6C">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位置</w:t>
            </w:r>
          </w:p>
        </w:tc>
        <w:tc>
          <w:tcPr>
            <w:tcW w:w="5866" w:type="dxa"/>
            <w:tcBorders>
              <w:top w:val="single" w:color="auto" w:sz="8" w:space="0"/>
              <w:left w:val="nil"/>
              <w:bottom w:val="single" w:color="000000" w:sz="4" w:space="0"/>
              <w:right w:val="single" w:color="auto" w:sz="8" w:space="0"/>
            </w:tcBorders>
            <w:noWrap/>
          </w:tcPr>
          <w:p w14:paraId="330ADEB3">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材质</w:t>
            </w:r>
          </w:p>
        </w:tc>
      </w:tr>
      <w:tr w14:paraId="70299067">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1706C667">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入户门（非防火门）</w:t>
            </w:r>
          </w:p>
        </w:tc>
        <w:tc>
          <w:tcPr>
            <w:tcW w:w="5866" w:type="dxa"/>
            <w:tcBorders>
              <w:top w:val="nil"/>
              <w:left w:val="nil"/>
              <w:bottom w:val="single" w:color="000000" w:sz="4" w:space="0"/>
              <w:right w:val="single" w:color="auto" w:sz="8" w:space="0"/>
            </w:tcBorders>
          </w:tcPr>
          <w:p w14:paraId="79F61250">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成品木色钢木复合门（带门套，有防盗功能）</w:t>
            </w:r>
          </w:p>
        </w:tc>
      </w:tr>
      <w:tr w14:paraId="265D826E">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0595BDAD">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入户门（防火门）</w:t>
            </w:r>
          </w:p>
        </w:tc>
        <w:tc>
          <w:tcPr>
            <w:tcW w:w="5866" w:type="dxa"/>
            <w:tcBorders>
              <w:top w:val="nil"/>
              <w:left w:val="nil"/>
              <w:bottom w:val="single" w:color="000000" w:sz="4" w:space="0"/>
              <w:right w:val="single" w:color="auto" w:sz="8" w:space="0"/>
            </w:tcBorders>
          </w:tcPr>
          <w:p w14:paraId="5C9A4BDF">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成品木色乙级钢木复合防火门（带门套，有防盗功能）</w:t>
            </w:r>
          </w:p>
        </w:tc>
      </w:tr>
      <w:tr w14:paraId="4B072B28">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6C617652">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入户花园门（如有）</w:t>
            </w:r>
          </w:p>
        </w:tc>
        <w:tc>
          <w:tcPr>
            <w:tcW w:w="5866" w:type="dxa"/>
            <w:tcBorders>
              <w:top w:val="nil"/>
              <w:left w:val="nil"/>
              <w:bottom w:val="single" w:color="000000" w:sz="4" w:space="0"/>
              <w:right w:val="single" w:color="auto" w:sz="8" w:space="0"/>
            </w:tcBorders>
          </w:tcPr>
          <w:p w14:paraId="7205291D">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成品木色钢制门（带门套）</w:t>
            </w:r>
          </w:p>
        </w:tc>
      </w:tr>
      <w:tr w14:paraId="70ACD00B">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6D0F6D7A">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户内房间门</w:t>
            </w:r>
          </w:p>
        </w:tc>
        <w:tc>
          <w:tcPr>
            <w:tcW w:w="5866" w:type="dxa"/>
            <w:tcBorders>
              <w:top w:val="nil"/>
              <w:left w:val="nil"/>
              <w:bottom w:val="single" w:color="000000" w:sz="4" w:space="0"/>
              <w:right w:val="single" w:color="auto" w:sz="8" w:space="0"/>
            </w:tcBorders>
          </w:tcPr>
          <w:p w14:paraId="03E7DA42">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成品木门（带门套），其中避难间的门采用成品木制乙级防火门(带门套）</w:t>
            </w:r>
          </w:p>
        </w:tc>
      </w:tr>
      <w:tr w14:paraId="0EC94EA8">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30B62D6F">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厅出阳台</w:t>
            </w:r>
          </w:p>
        </w:tc>
        <w:tc>
          <w:tcPr>
            <w:tcW w:w="5866" w:type="dxa"/>
            <w:tcBorders>
              <w:top w:val="nil"/>
              <w:left w:val="nil"/>
              <w:bottom w:val="single" w:color="000000" w:sz="4" w:space="0"/>
              <w:right w:val="single" w:color="auto" w:sz="8" w:space="0"/>
            </w:tcBorders>
          </w:tcPr>
          <w:p w14:paraId="57F9C37B">
            <w:pPr>
              <w:pStyle w:val="17"/>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成品铝合金+（6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w:t>
            </w:r>
            <w:r>
              <w:rPr>
                <w:rFonts w:hint="eastAsia"/>
                <w:color w:val="000000" w:themeColor="text1"/>
                <w:highlight w:val="none"/>
                <w14:textFill>
                  <w14:solidFill>
                    <w14:schemeClr w14:val="tx1"/>
                  </w14:solidFill>
                </w14:textFill>
              </w:rPr>
              <w:t>r</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）中空钢化玻璃（非临街）</w:t>
            </w:r>
          </w:p>
          <w:p w14:paraId="23CD1C74">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成品铝合金+（6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+12A+6</w:t>
            </w:r>
            <w:r>
              <w:rPr>
                <w:rFonts w:hint="eastAsia"/>
                <w:color w:val="000000" w:themeColor="text1"/>
                <w:highlight w:val="none"/>
                <w14:textFill>
                  <w14:solidFill>
                    <w14:schemeClr w14:val="tx1"/>
                  </w14:solidFill>
                </w14:textFill>
              </w:rPr>
              <w:t>）中空钢化夹胶玻璃（临街）</w:t>
            </w:r>
          </w:p>
        </w:tc>
      </w:tr>
      <w:tr w14:paraId="167776F8">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5BDB4591">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厨房门</w:t>
            </w:r>
          </w:p>
        </w:tc>
        <w:tc>
          <w:tcPr>
            <w:tcW w:w="5866" w:type="dxa"/>
            <w:tcBorders>
              <w:top w:val="nil"/>
              <w:left w:val="nil"/>
              <w:bottom w:val="single" w:color="000000" w:sz="4" w:space="0"/>
              <w:right w:val="single" w:color="auto" w:sz="8" w:space="0"/>
            </w:tcBorders>
          </w:tcPr>
          <w:p w14:paraId="0608B0E8">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仿木纹成品铝合金+6厚单层钢化玻璃门（带门套）</w:t>
            </w:r>
          </w:p>
        </w:tc>
      </w:tr>
      <w:tr w14:paraId="49FB6B8D">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001BD4E6">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卫生间门</w:t>
            </w:r>
          </w:p>
        </w:tc>
        <w:tc>
          <w:tcPr>
            <w:tcW w:w="5866" w:type="dxa"/>
            <w:tcBorders>
              <w:top w:val="nil"/>
              <w:left w:val="nil"/>
              <w:bottom w:val="single" w:color="000000" w:sz="4" w:space="0"/>
              <w:right w:val="single" w:color="auto" w:sz="8" w:space="0"/>
            </w:tcBorders>
          </w:tcPr>
          <w:p w14:paraId="46C33600">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仿木纹成品铝合金+6厚单层磨砂钢化玻璃门（带门套）</w:t>
            </w:r>
          </w:p>
        </w:tc>
      </w:tr>
      <w:tr w14:paraId="7C6AD4A3">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4D59E85F">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卧室窗</w:t>
            </w:r>
          </w:p>
        </w:tc>
        <w:tc>
          <w:tcPr>
            <w:tcW w:w="5866" w:type="dxa"/>
            <w:tcBorders>
              <w:top w:val="nil"/>
              <w:left w:val="nil"/>
              <w:bottom w:val="single" w:color="000000" w:sz="4" w:space="0"/>
              <w:right w:val="single" w:color="auto" w:sz="8" w:space="0"/>
            </w:tcBorders>
          </w:tcPr>
          <w:p w14:paraId="0D3470C9">
            <w:pPr>
              <w:pStyle w:val="17"/>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w:t>
            </w:r>
            <w:r>
              <w:rPr>
                <w:rFonts w:hint="eastAsia"/>
                <w:color w:val="000000" w:themeColor="text1"/>
                <w:highlight w:val="none"/>
                <w14:textFill>
                  <w14:solidFill>
                    <w14:schemeClr w14:val="tx1"/>
                  </w14:solidFill>
                </w14:textFill>
              </w:rPr>
              <w:t>r</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）中空钢化玻璃（非临街）</w:t>
            </w:r>
          </w:p>
          <w:p w14:paraId="2FD7948E">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+12A+6</w:t>
            </w:r>
            <w:r>
              <w:rPr>
                <w:rFonts w:hint="eastAsia"/>
                <w:color w:val="000000" w:themeColor="text1"/>
                <w:highlight w:val="none"/>
                <w14:textFill>
                  <w14:solidFill>
                    <w14:schemeClr w14:val="tx1"/>
                  </w14:solidFill>
                </w14:textFill>
              </w:rPr>
              <w:t>）中空钢化夹胶玻璃（临街）</w:t>
            </w:r>
          </w:p>
        </w:tc>
      </w:tr>
      <w:tr w14:paraId="61D8D8D0">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96C753D">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卧室兼避难间窗</w:t>
            </w:r>
          </w:p>
        </w:tc>
        <w:tc>
          <w:tcPr>
            <w:tcW w:w="5866" w:type="dxa"/>
            <w:tcBorders>
              <w:top w:val="nil"/>
              <w:left w:val="nil"/>
              <w:bottom w:val="single" w:color="000000" w:sz="4" w:space="0"/>
              <w:right w:val="single" w:color="auto" w:sz="8" w:space="0"/>
            </w:tcBorders>
          </w:tcPr>
          <w:p w14:paraId="45CA33B7">
            <w:pPr>
              <w:pStyle w:val="17"/>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铝合金+钢材+（6LOW-e+12Ar+6）中空钢化玻璃（耐火极限1小时）（非临街）</w:t>
            </w:r>
          </w:p>
          <w:p w14:paraId="2C68ECA0">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铝合金+钢材+（6+6LOW-e+12A+6）中空钢化夹胶玻璃（耐火极限1小时）（临街）</w:t>
            </w:r>
          </w:p>
        </w:tc>
      </w:tr>
      <w:tr w14:paraId="799E7391">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57027C47">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起居厅/餐厅</w:t>
            </w:r>
          </w:p>
        </w:tc>
        <w:tc>
          <w:tcPr>
            <w:tcW w:w="5866" w:type="dxa"/>
            <w:tcBorders>
              <w:top w:val="nil"/>
              <w:left w:val="nil"/>
              <w:bottom w:val="single" w:color="000000" w:sz="4" w:space="0"/>
              <w:right w:val="single" w:color="auto" w:sz="8" w:space="0"/>
            </w:tcBorders>
          </w:tcPr>
          <w:p w14:paraId="15668C08">
            <w:pPr>
              <w:pStyle w:val="17"/>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w:t>
            </w:r>
            <w:r>
              <w:rPr>
                <w:rFonts w:hint="eastAsia"/>
                <w:color w:val="000000" w:themeColor="text1"/>
                <w:highlight w:val="none"/>
                <w14:textFill>
                  <w14:solidFill>
                    <w14:schemeClr w14:val="tx1"/>
                  </w14:solidFill>
                </w14:textFill>
              </w:rPr>
              <w:t>r</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）中空钢化玻璃（非临街）</w:t>
            </w:r>
          </w:p>
          <w:p w14:paraId="1A16D963">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+12A+6</w:t>
            </w:r>
            <w:r>
              <w:rPr>
                <w:rFonts w:hint="eastAsia"/>
                <w:color w:val="000000" w:themeColor="text1"/>
                <w:highlight w:val="none"/>
                <w14:textFill>
                  <w14:solidFill>
                    <w14:schemeClr w14:val="tx1"/>
                  </w14:solidFill>
                </w14:textFill>
              </w:rPr>
              <w:t>）中空钢化夹胶玻璃（临街）</w:t>
            </w:r>
          </w:p>
        </w:tc>
      </w:tr>
      <w:tr w14:paraId="3540B4FD">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4EC48241">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厨房外门窗</w:t>
            </w:r>
          </w:p>
        </w:tc>
        <w:tc>
          <w:tcPr>
            <w:tcW w:w="5866" w:type="dxa"/>
            <w:tcBorders>
              <w:top w:val="nil"/>
              <w:left w:val="nil"/>
              <w:bottom w:val="single" w:color="000000" w:sz="4" w:space="0"/>
              <w:right w:val="single" w:color="auto" w:sz="8" w:space="0"/>
            </w:tcBorders>
          </w:tcPr>
          <w:p w14:paraId="63C5C5C3">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+12A+6</w:t>
            </w:r>
            <w:r>
              <w:rPr>
                <w:rFonts w:hint="eastAsia"/>
                <w:color w:val="000000" w:themeColor="text1"/>
                <w:highlight w:val="none"/>
                <w14:textFill>
                  <w14:solidFill>
                    <w14:schemeClr w14:val="tx1"/>
                  </w14:solidFill>
                </w14:textFill>
              </w:rPr>
              <w:t>）中空钢化玻璃</w:t>
            </w:r>
          </w:p>
        </w:tc>
      </w:tr>
      <w:tr w14:paraId="6A96BCD6">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0E6C1E03">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卫生间窗</w:t>
            </w:r>
          </w:p>
        </w:tc>
        <w:tc>
          <w:tcPr>
            <w:tcW w:w="5866" w:type="dxa"/>
            <w:tcBorders>
              <w:top w:val="nil"/>
              <w:left w:val="nil"/>
              <w:bottom w:val="single" w:color="000000" w:sz="4" w:space="0"/>
              <w:right w:val="single" w:color="auto" w:sz="8" w:space="0"/>
            </w:tcBorders>
          </w:tcPr>
          <w:p w14:paraId="64C8133B">
            <w:pPr>
              <w:pStyle w:val="17"/>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+12A+6</w:t>
            </w:r>
            <w:r>
              <w:rPr>
                <w:rFonts w:hint="eastAsia"/>
                <w:color w:val="000000" w:themeColor="text1"/>
                <w:highlight w:val="none"/>
                <w14:textFill>
                  <w14:solidFill>
                    <w14:schemeClr w14:val="tx1"/>
                  </w14:solidFill>
                </w14:textFill>
              </w:rPr>
              <w:t>）中空钢化玻璃</w:t>
            </w:r>
          </w:p>
        </w:tc>
      </w:tr>
      <w:tr w14:paraId="253FC7EB">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33D747FE">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设备井门</w:t>
            </w:r>
          </w:p>
        </w:tc>
        <w:tc>
          <w:tcPr>
            <w:tcW w:w="5866" w:type="dxa"/>
            <w:tcBorders>
              <w:top w:val="nil"/>
              <w:left w:val="nil"/>
              <w:bottom w:val="single" w:color="000000" w:sz="4" w:space="0"/>
              <w:right w:val="single" w:color="auto" w:sz="8" w:space="0"/>
            </w:tcBorders>
          </w:tcPr>
          <w:p w14:paraId="64F1A47A">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丙级钢制防火门</w:t>
            </w:r>
          </w:p>
        </w:tc>
      </w:tr>
      <w:tr w14:paraId="742D1274">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1AE555EB">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走道防火门</w:t>
            </w:r>
          </w:p>
        </w:tc>
        <w:tc>
          <w:tcPr>
            <w:tcW w:w="5866" w:type="dxa"/>
            <w:tcBorders>
              <w:top w:val="nil"/>
              <w:left w:val="nil"/>
              <w:bottom w:val="single" w:color="000000" w:sz="4" w:space="0"/>
              <w:right w:val="single" w:color="auto" w:sz="8" w:space="0"/>
            </w:tcBorders>
          </w:tcPr>
          <w:p w14:paraId="6B1DE026">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乙级钢制防火门</w:t>
            </w:r>
          </w:p>
        </w:tc>
      </w:tr>
      <w:tr w14:paraId="42D9509E">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0029E7B4">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楼梯门</w:t>
            </w:r>
          </w:p>
        </w:tc>
        <w:tc>
          <w:tcPr>
            <w:tcW w:w="5866" w:type="dxa"/>
            <w:tcBorders>
              <w:top w:val="nil"/>
              <w:left w:val="nil"/>
              <w:bottom w:val="single" w:color="000000" w:sz="4" w:space="0"/>
              <w:right w:val="single" w:color="auto" w:sz="8" w:space="0"/>
            </w:tcBorders>
          </w:tcPr>
          <w:p w14:paraId="62AA85BB">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乙级钢制防火门</w:t>
            </w:r>
          </w:p>
        </w:tc>
      </w:tr>
      <w:tr w14:paraId="6F22336D">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5F6A507">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前室、走道、楼梯间窗</w:t>
            </w:r>
          </w:p>
        </w:tc>
        <w:tc>
          <w:tcPr>
            <w:tcW w:w="5866" w:type="dxa"/>
            <w:tcBorders>
              <w:top w:val="nil"/>
              <w:left w:val="nil"/>
              <w:bottom w:val="single" w:color="000000" w:sz="4" w:space="0"/>
              <w:right w:val="single" w:color="auto" w:sz="8" w:space="0"/>
            </w:tcBorders>
          </w:tcPr>
          <w:tbl>
            <w:tblPr>
              <w:tblStyle w:val="42"/>
              <w:tblW w:w="9006" w:type="dxa"/>
              <w:tblInd w:w="91" w:type="dxa"/>
              <w:tblLayout w:type="fixed"/>
              <w:tblCellMar>
                <w:top w:w="0" w:type="dxa"/>
                <w:left w:w="108" w:type="dxa"/>
                <w:bottom w:w="0" w:type="dxa"/>
                <w:right w:w="108" w:type="dxa"/>
              </w:tblCellMar>
            </w:tblPr>
            <w:tblGrid>
              <w:gridCol w:w="9006"/>
            </w:tblGrid>
            <w:tr w14:paraId="1C467D1B">
              <w:tblPrEx>
                <w:tblCellMar>
                  <w:top w:w="0" w:type="dxa"/>
                  <w:left w:w="108" w:type="dxa"/>
                  <w:bottom w:w="0" w:type="dxa"/>
                  <w:right w:w="108" w:type="dxa"/>
                </w:tblCellMar>
              </w:tblPrEx>
              <w:trPr>
                <w:trHeight w:val="567" w:hRule="atLeast"/>
              </w:trPr>
              <w:tc>
                <w:tcPr>
                  <w:tcW w:w="5866" w:type="dxa"/>
                  <w:tcBorders>
                    <w:top w:val="nil"/>
                    <w:left w:val="nil"/>
                    <w:bottom w:val="single" w:color="000000" w:sz="4" w:space="0"/>
                    <w:right w:val="single" w:color="auto" w:sz="8" w:space="0"/>
                  </w:tcBorders>
                </w:tcPr>
                <w:p w14:paraId="0225B90A">
                  <w:pPr>
                    <w:pStyle w:val="17"/>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铝合金+（6</w:t>
                  </w:r>
                  <w:r>
                    <w:rPr>
                      <w:color w:val="000000" w:themeColor="text1"/>
                      <w:highlight w:val="none"/>
                      <w14:textFill>
                        <w14:solidFill>
                          <w14:schemeClr w14:val="tx1"/>
                        </w14:solidFill>
                      </w14:textFill>
                    </w:rPr>
                    <w:t>LOW-</w:t>
                  </w:r>
                  <w:r>
                    <w:rPr>
                      <w:rFonts w:hint="eastAsia"/>
                      <w:color w:val="000000" w:themeColor="text1"/>
                      <w:highlight w:val="none"/>
                      <w14:textFill>
                        <w14:solidFill>
                          <w14:schemeClr w14:val="tx1"/>
                        </w14:solidFill>
                      </w14:textFill>
                    </w:rPr>
                    <w:t>e</w:t>
                  </w:r>
                  <w:r>
                    <w:rPr>
                      <w:color w:val="000000" w:themeColor="text1"/>
                      <w:highlight w:val="none"/>
                      <w14:textFill>
                        <w14:solidFill>
                          <w14:schemeClr w14:val="tx1"/>
                        </w14:solidFill>
                      </w14:textFill>
                    </w:rPr>
                    <w:t>+12A/Ar+6</w:t>
                  </w:r>
                  <w:r>
                    <w:rPr>
                      <w:rFonts w:hint="eastAsia"/>
                      <w:color w:val="000000" w:themeColor="text1"/>
                      <w:highlight w:val="none"/>
                      <w14:textFill>
                        <w14:solidFill>
                          <w14:schemeClr w14:val="tx1"/>
                        </w14:solidFill>
                      </w14:textFill>
                    </w:rPr>
                    <w:t>）中空钢化玻璃</w:t>
                  </w:r>
                </w:p>
                <w:p w14:paraId="7C3870A6">
                  <w:pPr>
                    <w:widowControl/>
                    <w:jc w:val="both"/>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（联动如有）</w:t>
                  </w:r>
                </w:p>
              </w:tc>
            </w:tr>
          </w:tbl>
          <w:p w14:paraId="573A3578">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r>
    </w:tbl>
    <w:p w14:paraId="0E1BDFF3">
      <w:pPr>
        <w:widowControl/>
        <w:ind w:firstLine="420" w:firstLineChars="200"/>
        <w:textAlignment w:val="center"/>
        <w:rPr>
          <w:rStyle w:val="81"/>
          <w:rFonts w:hint="eastAsia" w:ascii="宋体" w:hAnsi="宋体" w:cs="宋体"/>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注：</w:t>
      </w:r>
      <w:r>
        <w:rPr>
          <w:rStyle w:val="81"/>
          <w:rFonts w:hint="eastAsia" w:ascii="宋体" w:hAnsi="宋体"/>
          <w:color w:val="000000" w:themeColor="text1"/>
          <w:sz w:val="21"/>
          <w:szCs w:val="21"/>
          <w:highlight w:val="none"/>
          <w14:textFill>
            <w14:solidFill>
              <w14:schemeClr w14:val="tx1"/>
            </w14:solidFill>
          </w14:textFill>
        </w:rPr>
        <w:t>上述为住宅部分的要求，仅做参考，玻璃外门窗的形式最终以送审时节能计算结果为准；公建部分根据节能计算和室内外装修效果进行选择。</w:t>
      </w:r>
    </w:p>
    <w:p w14:paraId="5E6B30C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1.3.7 栏杆</w:t>
      </w:r>
    </w:p>
    <w:p w14:paraId="513B821C">
      <w:pPr>
        <w:widowControl/>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部分阳台采用粉末喷涂的镀锌钢管栏杆，栏杆高度距离地面不小于1.2m，并满足规范的相关要求。住宅楼梯间采用粉末喷涂的镀锌钢管栏杆，剪刀梯楼梯间，在条件允许的前提下，应优先选用靠墙扶手，并满足规范相关要求。公建部分的栏杆根据立面及装修效果选用，优先考虑粉末喷涂的镀锌钢管栏杆。</w:t>
      </w:r>
    </w:p>
    <w:p w14:paraId="72FB4602">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1.3.8 独立地块公建配套</w:t>
      </w:r>
    </w:p>
    <w:p w14:paraId="2CB9B2C3">
      <w:pPr>
        <w:widowControl/>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独立地块公建配套外立面装修根据设计效果确定；其内部装修按照广州市相关标准指引，并结合使用单位的相关需求进行设计。遵循经济、适用、安全、美观的设计原则，满足最基本的使用需求。</w:t>
      </w:r>
    </w:p>
    <w:p w14:paraId="6B0BBC60">
      <w:pPr>
        <w:pStyle w:val="6"/>
        <w:keepNext w:val="0"/>
        <w:keepLines w:val="0"/>
        <w:snapToGrid/>
        <w:spacing w:before="156" w:beforeLines="5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298" w:name="_Toc15571"/>
      <w:r>
        <w:rPr>
          <w:rFonts w:hint="eastAsia" w:ascii="宋体" w:hAnsi="宋体" w:eastAsia="宋体" w:cs="宋体"/>
          <w:color w:val="000000" w:themeColor="text1"/>
          <w:sz w:val="24"/>
          <w:szCs w:val="24"/>
          <w:highlight w:val="none"/>
          <w14:textFill>
            <w14:solidFill>
              <w14:schemeClr w14:val="tx1"/>
            </w14:solidFill>
          </w14:textFill>
        </w:rPr>
        <w:t>1.4 选用指标</w:t>
      </w:r>
      <w:bookmarkEnd w:id="298"/>
    </w:p>
    <w:p w14:paraId="3C46B16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1.4.1 地下室底板防水构造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06AD7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64347079">
            <w:pPr>
              <w:widowControl/>
              <w:jc w:val="center"/>
              <w:textAlignment w:val="center"/>
              <w:rPr>
                <w:rFonts w:hint="eastAsia" w:ascii="宋体" w:hAnsi="宋体" w:eastAsia="宋体" w:cs="宋体"/>
                <w:color w:val="auto"/>
                <w:kern w:val="0"/>
                <w:sz w:val="21"/>
                <w:szCs w:val="21"/>
                <w:highlight w:val="none"/>
              </w:rPr>
            </w:pPr>
          </w:p>
        </w:tc>
        <w:tc>
          <w:tcPr>
            <w:tcW w:w="4394" w:type="dxa"/>
            <w:shd w:val="clear" w:color="auto" w:fill="auto"/>
          </w:tcPr>
          <w:p w14:paraId="288E85F7">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构造材料</w:t>
            </w:r>
          </w:p>
        </w:tc>
        <w:tc>
          <w:tcPr>
            <w:tcW w:w="2177" w:type="dxa"/>
            <w:shd w:val="clear" w:color="auto" w:fill="auto"/>
          </w:tcPr>
          <w:p w14:paraId="62CF77B4">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备注</w:t>
            </w:r>
          </w:p>
        </w:tc>
      </w:tr>
      <w:tr w14:paraId="7AB9D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0118ACB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方案一</w:t>
            </w:r>
          </w:p>
        </w:tc>
        <w:tc>
          <w:tcPr>
            <w:tcW w:w="4394" w:type="dxa"/>
            <w:shd w:val="clear" w:color="auto" w:fill="auto"/>
          </w:tcPr>
          <w:p w14:paraId="3ED3E40C">
            <w:pPr>
              <w:widowControl/>
              <w:jc w:val="center"/>
              <w:textAlignment w:val="center"/>
              <w:rPr>
                <w:rFonts w:hint="eastAsia" w:ascii="宋体" w:hAnsi="宋体" w:eastAsia="宋体" w:cs="宋体"/>
                <w:color w:val="auto"/>
                <w:kern w:val="0"/>
                <w:sz w:val="21"/>
                <w:szCs w:val="21"/>
                <w:highlight w:val="none"/>
              </w:rPr>
            </w:pPr>
            <w:r>
              <w:rPr>
                <w:rFonts w:ascii="宋体" w:hAnsi="宋体" w:eastAsia="宋体" w:cs="宋体"/>
                <w:color w:val="auto"/>
                <w:kern w:val="0"/>
                <w:highlight w:val="none"/>
              </w:rPr>
              <w:t>1.2</w:t>
            </w:r>
            <w:r>
              <w:rPr>
                <w:rFonts w:hint="eastAsia" w:ascii="宋体" w:hAnsi="宋体" w:eastAsia="宋体" w:cs="宋体"/>
                <w:color w:val="auto"/>
                <w:kern w:val="0"/>
                <w:highlight w:val="none"/>
              </w:rPr>
              <w:t>厚高分子自粘胶膜预铺防水卷材（P类）（预铺反粘法）+1.5厚自粘聚合物改性沥青防水卷材</w:t>
            </w:r>
          </w:p>
        </w:tc>
        <w:tc>
          <w:tcPr>
            <w:tcW w:w="2177" w:type="dxa"/>
            <w:shd w:val="clear" w:color="auto" w:fill="auto"/>
          </w:tcPr>
          <w:p w14:paraId="1479CF59">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常规材料</w:t>
            </w:r>
          </w:p>
        </w:tc>
      </w:tr>
    </w:tbl>
    <w:p w14:paraId="7756BE1F">
      <w:pPr>
        <w:widowControl/>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p>
    <w:p w14:paraId="418F5A0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1.4.2 地下室顶板防水构造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117EA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6862A2D6">
            <w:pPr>
              <w:widowControl/>
              <w:jc w:val="center"/>
              <w:textAlignment w:val="center"/>
              <w:rPr>
                <w:rFonts w:hint="eastAsia" w:ascii="宋体" w:hAnsi="宋体" w:eastAsia="宋体" w:cs="宋体"/>
                <w:b/>
                <w:bCs/>
                <w:color w:val="auto"/>
                <w:kern w:val="0"/>
                <w:sz w:val="21"/>
                <w:szCs w:val="21"/>
                <w:highlight w:val="none"/>
              </w:rPr>
            </w:pPr>
          </w:p>
        </w:tc>
        <w:tc>
          <w:tcPr>
            <w:tcW w:w="4394" w:type="dxa"/>
            <w:shd w:val="clear" w:color="auto" w:fill="auto"/>
          </w:tcPr>
          <w:p w14:paraId="2B0DD6F7">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构造材料</w:t>
            </w:r>
          </w:p>
        </w:tc>
        <w:tc>
          <w:tcPr>
            <w:tcW w:w="2177" w:type="dxa"/>
            <w:shd w:val="clear" w:color="auto" w:fill="auto"/>
          </w:tcPr>
          <w:p w14:paraId="4CFC98CC">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备注</w:t>
            </w:r>
          </w:p>
        </w:tc>
      </w:tr>
      <w:tr w14:paraId="7DEB8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42C62E8D">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方案一</w:t>
            </w:r>
          </w:p>
        </w:tc>
        <w:tc>
          <w:tcPr>
            <w:tcW w:w="4394" w:type="dxa"/>
            <w:shd w:val="clear" w:color="auto" w:fill="auto"/>
          </w:tcPr>
          <w:p w14:paraId="47F4BDF3">
            <w:pPr>
              <w:widowControl/>
              <w:jc w:val="center"/>
              <w:textAlignment w:val="center"/>
              <w:rPr>
                <w:rFonts w:hint="eastAsia" w:ascii="宋体" w:hAnsi="宋体" w:eastAsia="宋体" w:cs="宋体"/>
                <w:color w:val="auto"/>
                <w:kern w:val="0"/>
                <w:sz w:val="21"/>
                <w:szCs w:val="21"/>
                <w:highlight w:val="none"/>
              </w:rPr>
            </w:pPr>
            <w:r>
              <w:rPr>
                <w:rFonts w:ascii="宋体" w:hAnsi="宋体" w:eastAsia="宋体" w:cs="宋体"/>
                <w:color w:val="auto"/>
                <w:highlight w:val="none"/>
              </w:rPr>
              <w:t>4厚SBS改性沥青耐根穿刺防水卷材+2厚非固化橡胶沥青防水涂料（抗渗防水混凝土楼板结构面）</w:t>
            </w:r>
          </w:p>
        </w:tc>
        <w:tc>
          <w:tcPr>
            <w:tcW w:w="2177" w:type="dxa"/>
            <w:shd w:val="clear" w:color="auto" w:fill="auto"/>
          </w:tcPr>
          <w:p w14:paraId="1327EE3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常规材料</w:t>
            </w:r>
          </w:p>
        </w:tc>
      </w:tr>
    </w:tbl>
    <w:p w14:paraId="045A13FE">
      <w:pPr>
        <w:widowControl/>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p>
    <w:p w14:paraId="277DB723">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1.4.3 外墙保温形式</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7693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1CE78159">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p>
        </w:tc>
        <w:tc>
          <w:tcPr>
            <w:tcW w:w="4394" w:type="dxa"/>
            <w:shd w:val="clear" w:color="auto" w:fill="auto"/>
            <w:vAlign w:val="center"/>
          </w:tcPr>
          <w:p w14:paraId="7859FFAE">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构造材料</w:t>
            </w:r>
          </w:p>
        </w:tc>
        <w:tc>
          <w:tcPr>
            <w:tcW w:w="2177" w:type="dxa"/>
            <w:shd w:val="clear" w:color="auto" w:fill="auto"/>
            <w:vAlign w:val="center"/>
          </w:tcPr>
          <w:p w14:paraId="2FB2B9F0">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备注</w:t>
            </w:r>
          </w:p>
        </w:tc>
      </w:tr>
      <w:tr w14:paraId="5E657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23DB38B4">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方案一</w:t>
            </w:r>
          </w:p>
        </w:tc>
        <w:tc>
          <w:tcPr>
            <w:tcW w:w="4394" w:type="dxa"/>
            <w:shd w:val="clear" w:color="auto" w:fill="auto"/>
            <w:vAlign w:val="center"/>
          </w:tcPr>
          <w:p w14:paraId="2C1B2922">
            <w:pPr>
              <w:pStyle w:val="17"/>
              <w:ind w:firstLine="1100" w:firstLineChars="50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水性保温凝胶（A级）</w:t>
            </w:r>
          </w:p>
        </w:tc>
        <w:tc>
          <w:tcPr>
            <w:tcW w:w="2177" w:type="dxa"/>
            <w:shd w:val="clear" w:color="auto" w:fill="auto"/>
            <w:vAlign w:val="center"/>
          </w:tcPr>
          <w:p w14:paraId="2905CBBA">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厚度按节能计算确定</w:t>
            </w:r>
          </w:p>
        </w:tc>
      </w:tr>
      <w:tr w14:paraId="10FF0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75C36612">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方案二</w:t>
            </w:r>
          </w:p>
        </w:tc>
        <w:tc>
          <w:tcPr>
            <w:tcW w:w="4394" w:type="dxa"/>
            <w:shd w:val="clear" w:color="auto" w:fill="auto"/>
            <w:vAlign w:val="center"/>
          </w:tcPr>
          <w:p w14:paraId="642FC888">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岩棉板（A级）+12厚高强水泥板（A级）</w:t>
            </w:r>
          </w:p>
        </w:tc>
        <w:tc>
          <w:tcPr>
            <w:tcW w:w="2177" w:type="dxa"/>
            <w:shd w:val="clear" w:color="auto" w:fill="auto"/>
            <w:vAlign w:val="center"/>
          </w:tcPr>
          <w:p w14:paraId="182CFD53">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厚度按节能计算确定</w:t>
            </w:r>
          </w:p>
        </w:tc>
      </w:tr>
      <w:tr w14:paraId="14A18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23916E4B">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方案三</w:t>
            </w:r>
          </w:p>
        </w:tc>
        <w:tc>
          <w:tcPr>
            <w:tcW w:w="4394" w:type="dxa"/>
            <w:shd w:val="clear" w:color="auto" w:fill="auto"/>
            <w:vAlign w:val="center"/>
          </w:tcPr>
          <w:p w14:paraId="1D40EA65">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挤塑聚苯板（B1级）+12厚高强水泥板（A级）</w:t>
            </w:r>
          </w:p>
        </w:tc>
        <w:tc>
          <w:tcPr>
            <w:tcW w:w="2177" w:type="dxa"/>
            <w:shd w:val="clear" w:color="auto" w:fill="auto"/>
            <w:vAlign w:val="center"/>
          </w:tcPr>
          <w:p w14:paraId="5E6CF28A">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厚度按节能计算确定</w:t>
            </w:r>
          </w:p>
        </w:tc>
      </w:tr>
    </w:tbl>
    <w:p w14:paraId="14C89F27">
      <w:pPr>
        <w:rPr>
          <w:rFonts w:hint="eastAsia" w:ascii="宋体" w:hAnsi="宋体" w:eastAsia="宋体" w:cs="宋体"/>
          <w:color w:val="000000" w:themeColor="text1"/>
          <w:highlight w:val="none"/>
          <w14:textFill>
            <w14:solidFill>
              <w14:schemeClr w14:val="tx1"/>
            </w14:solidFill>
          </w14:textFill>
        </w:rPr>
      </w:pPr>
    </w:p>
    <w:p w14:paraId="6F8E53D0">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1.4.4 屋顶防水构造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0B72C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2449EAE4">
            <w:pPr>
              <w:widowControl/>
              <w:jc w:val="center"/>
              <w:textAlignment w:val="center"/>
              <w:rPr>
                <w:rFonts w:hint="eastAsia" w:ascii="宋体" w:hAnsi="宋体" w:eastAsia="宋体" w:cs="宋体"/>
                <w:b/>
                <w:bCs/>
                <w:color w:val="auto"/>
                <w:kern w:val="0"/>
                <w:highlight w:val="none"/>
              </w:rPr>
            </w:pPr>
          </w:p>
        </w:tc>
        <w:tc>
          <w:tcPr>
            <w:tcW w:w="4394" w:type="dxa"/>
            <w:shd w:val="clear" w:color="auto" w:fill="auto"/>
          </w:tcPr>
          <w:p w14:paraId="52373B2E">
            <w:pPr>
              <w:widowControl/>
              <w:jc w:val="center"/>
              <w:textAlignment w:val="center"/>
              <w:rPr>
                <w:rFonts w:hint="eastAsia" w:ascii="宋体" w:hAnsi="宋体" w:eastAsia="宋体" w:cs="宋体"/>
                <w:b/>
                <w:bCs/>
                <w:color w:val="auto"/>
                <w:kern w:val="0"/>
                <w:highlight w:val="none"/>
              </w:rPr>
            </w:pPr>
            <w:r>
              <w:rPr>
                <w:rFonts w:hint="eastAsia" w:ascii="宋体" w:hAnsi="宋体" w:eastAsia="宋体" w:cs="宋体"/>
                <w:color w:val="auto"/>
                <w:highlight w:val="none"/>
              </w:rPr>
              <w:t>构造材料</w:t>
            </w:r>
          </w:p>
        </w:tc>
        <w:tc>
          <w:tcPr>
            <w:tcW w:w="2177" w:type="dxa"/>
            <w:shd w:val="clear" w:color="auto" w:fill="auto"/>
          </w:tcPr>
          <w:p w14:paraId="5EAAD94A">
            <w:pPr>
              <w:widowControl/>
              <w:jc w:val="center"/>
              <w:textAlignment w:val="center"/>
              <w:rPr>
                <w:rFonts w:hint="eastAsia" w:ascii="宋体" w:hAnsi="宋体" w:eastAsia="宋体" w:cs="宋体"/>
                <w:b/>
                <w:bCs/>
                <w:color w:val="auto"/>
                <w:kern w:val="0"/>
                <w:highlight w:val="none"/>
              </w:rPr>
            </w:pPr>
            <w:r>
              <w:rPr>
                <w:rFonts w:hint="eastAsia" w:ascii="宋体" w:hAnsi="宋体" w:eastAsia="宋体" w:cs="宋体"/>
                <w:color w:val="auto"/>
                <w:highlight w:val="none"/>
              </w:rPr>
              <w:t>备注</w:t>
            </w:r>
          </w:p>
        </w:tc>
      </w:tr>
      <w:tr w14:paraId="1B209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632F3305">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方案一</w:t>
            </w:r>
          </w:p>
        </w:tc>
        <w:tc>
          <w:tcPr>
            <w:tcW w:w="4394" w:type="dxa"/>
            <w:shd w:val="clear" w:color="auto" w:fill="auto"/>
          </w:tcPr>
          <w:p w14:paraId="4660EE16">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1.5厚自粘聚合物改性沥青防水卷材</w:t>
            </w:r>
            <w:r>
              <w:rPr>
                <w:rFonts w:hint="eastAsia" w:ascii="宋体" w:hAnsi="宋体" w:eastAsia="宋体" w:cs="宋体"/>
                <w:color w:val="auto"/>
                <w:highlight w:val="none"/>
                <w:lang w:val="en-US" w:eastAsia="zh-CN"/>
              </w:rPr>
              <w:t>各1道共2道</w:t>
            </w:r>
            <w:r>
              <w:rPr>
                <w:rFonts w:ascii="宋体" w:hAnsi="宋体" w:eastAsia="宋体" w:cs="宋体"/>
                <w:color w:val="auto"/>
                <w:highlight w:val="none"/>
              </w:rPr>
              <w:t>+2厚非固化橡胶沥青防水涂料</w:t>
            </w:r>
          </w:p>
        </w:tc>
        <w:tc>
          <w:tcPr>
            <w:tcW w:w="2177" w:type="dxa"/>
            <w:shd w:val="clear" w:color="auto" w:fill="auto"/>
          </w:tcPr>
          <w:p w14:paraId="74CAC0A5">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常规材料</w:t>
            </w:r>
          </w:p>
        </w:tc>
      </w:tr>
    </w:tbl>
    <w:p w14:paraId="6BA62D70">
      <w:pPr>
        <w:pStyle w:val="24"/>
        <w:ind w:firstLine="0" w:firstLineChars="0"/>
        <w:rPr>
          <w:rFonts w:hint="eastAsia" w:hAnsi="宋体" w:cs="宋体"/>
          <w:color w:val="000000" w:themeColor="text1"/>
          <w:szCs w:val="24"/>
          <w:highlight w:val="none"/>
          <w14:textFill>
            <w14:solidFill>
              <w14:schemeClr w14:val="tx1"/>
            </w14:solidFill>
          </w14:textFill>
        </w:rPr>
      </w:pPr>
    </w:p>
    <w:p w14:paraId="14E8D022">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1.4.5遮阳方式</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9"/>
        <w:gridCol w:w="4575"/>
        <w:gridCol w:w="2348"/>
      </w:tblGrid>
      <w:tr w14:paraId="1B411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tcPr>
          <w:p w14:paraId="42855409">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p>
        </w:tc>
        <w:tc>
          <w:tcPr>
            <w:tcW w:w="4575" w:type="dxa"/>
            <w:shd w:val="clear" w:color="auto" w:fill="auto"/>
          </w:tcPr>
          <w:p w14:paraId="0FF5B324">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构造材料</w:t>
            </w:r>
          </w:p>
        </w:tc>
        <w:tc>
          <w:tcPr>
            <w:tcW w:w="2348" w:type="dxa"/>
            <w:shd w:val="clear" w:color="auto" w:fill="auto"/>
          </w:tcPr>
          <w:p w14:paraId="5FE625B2">
            <w:pPr>
              <w:widowControl/>
              <w:jc w:val="center"/>
              <w:textAlignment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备注</w:t>
            </w:r>
          </w:p>
        </w:tc>
      </w:tr>
      <w:tr w14:paraId="55D8E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2A4F1467">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方案一</w:t>
            </w:r>
          </w:p>
        </w:tc>
        <w:tc>
          <w:tcPr>
            <w:tcW w:w="4575" w:type="dxa"/>
            <w:shd w:val="clear" w:color="auto" w:fill="auto"/>
            <w:vAlign w:val="center"/>
          </w:tcPr>
          <w:p w14:paraId="36CE7A00">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外窗土建遮阳（窗户为现浇）</w:t>
            </w:r>
          </w:p>
        </w:tc>
        <w:tc>
          <w:tcPr>
            <w:tcW w:w="2348" w:type="dxa"/>
            <w:shd w:val="clear" w:color="auto" w:fill="auto"/>
            <w:vAlign w:val="center"/>
          </w:tcPr>
          <w:p w14:paraId="2A2B2FE3">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根据外立面需求选择</w:t>
            </w:r>
          </w:p>
        </w:tc>
      </w:tr>
      <w:tr w14:paraId="443F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7C5B09C6">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方案二</w:t>
            </w:r>
          </w:p>
        </w:tc>
        <w:tc>
          <w:tcPr>
            <w:tcW w:w="4575" w:type="dxa"/>
            <w:shd w:val="clear" w:color="auto" w:fill="auto"/>
            <w:vAlign w:val="center"/>
          </w:tcPr>
          <w:p w14:paraId="4B92F9C0">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铝合金窗+内置百叶形式（飘窗为预制）</w:t>
            </w:r>
          </w:p>
        </w:tc>
        <w:tc>
          <w:tcPr>
            <w:tcW w:w="2348" w:type="dxa"/>
            <w:shd w:val="clear" w:color="auto" w:fill="auto"/>
            <w:vAlign w:val="center"/>
          </w:tcPr>
          <w:p w14:paraId="6084084D">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根据外立面需求选择</w:t>
            </w:r>
          </w:p>
        </w:tc>
      </w:tr>
      <w:tr w14:paraId="2AE10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4B495C5D">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方案三</w:t>
            </w:r>
          </w:p>
        </w:tc>
        <w:tc>
          <w:tcPr>
            <w:tcW w:w="4575" w:type="dxa"/>
            <w:shd w:val="clear" w:color="auto" w:fill="auto"/>
            <w:vAlign w:val="center"/>
          </w:tcPr>
          <w:p w14:paraId="5869394B">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铝合金窗+600高外遮阳穿孔铝板或遮阳百叶</w:t>
            </w:r>
          </w:p>
        </w:tc>
        <w:tc>
          <w:tcPr>
            <w:tcW w:w="2348" w:type="dxa"/>
            <w:shd w:val="clear" w:color="auto" w:fill="auto"/>
            <w:vAlign w:val="center"/>
          </w:tcPr>
          <w:p w14:paraId="57C7E675">
            <w:pPr>
              <w:widowControl/>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根据外立面需求选择</w:t>
            </w:r>
          </w:p>
        </w:tc>
      </w:tr>
      <w:bookmarkEnd w:id="293"/>
      <w:bookmarkEnd w:id="294"/>
    </w:tbl>
    <w:p w14:paraId="169BA1AA">
      <w:pPr>
        <w:rPr>
          <w:rFonts w:hint="eastAsia" w:ascii="宋体" w:hAnsi="宋体" w:eastAsia="宋体" w:cs="宋体"/>
          <w:color w:val="000000" w:themeColor="text1"/>
          <w:highlight w:val="none"/>
          <w14:textFill>
            <w14:solidFill>
              <w14:schemeClr w14:val="tx1"/>
            </w14:solidFill>
          </w14:textFill>
        </w:rPr>
      </w:pPr>
      <w:bookmarkStart w:id="299" w:name="_Toc104581734"/>
      <w:bookmarkStart w:id="300" w:name="_Toc27425"/>
      <w:bookmarkStart w:id="301" w:name="_Toc2733"/>
      <w:bookmarkStart w:id="302" w:name="_Toc19235"/>
    </w:p>
    <w:p w14:paraId="6B95AF67">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2.结构设计</w:t>
      </w:r>
      <w:bookmarkEnd w:id="295"/>
      <w:bookmarkEnd w:id="296"/>
      <w:bookmarkEnd w:id="299"/>
      <w:bookmarkEnd w:id="300"/>
      <w:bookmarkEnd w:id="301"/>
      <w:bookmarkEnd w:id="302"/>
    </w:p>
    <w:p w14:paraId="6876E88B">
      <w:pPr>
        <w:pStyle w:val="7"/>
        <w:spacing w:before="156" w:beforeLines="50"/>
        <w:ind w:firstLine="482" w:firstLineChars="200"/>
        <w:rPr>
          <w:rFonts w:hint="eastAsia" w:ascii="宋体" w:hAnsi="宋体" w:cs="宋体"/>
          <w:color w:val="000000" w:themeColor="text1"/>
          <w:szCs w:val="24"/>
          <w:highlight w:val="none"/>
          <w14:textFill>
            <w14:solidFill>
              <w14:schemeClr w14:val="tx1"/>
            </w14:solidFill>
          </w14:textFill>
        </w:rPr>
      </w:pPr>
      <w:bookmarkStart w:id="303" w:name="_Toc104581735"/>
      <w:bookmarkStart w:id="304" w:name="_Toc32027"/>
      <w:bookmarkStart w:id="305" w:name="_Toc10226"/>
      <w:bookmarkStart w:id="306" w:name="_Toc11340"/>
      <w:r>
        <w:rPr>
          <w:rFonts w:hint="eastAsia" w:ascii="宋体" w:hAnsi="宋体" w:cs="宋体"/>
          <w:color w:val="000000" w:themeColor="text1"/>
          <w:szCs w:val="24"/>
          <w:highlight w:val="none"/>
          <w14:textFill>
            <w14:solidFill>
              <w14:schemeClr w14:val="tx1"/>
            </w14:solidFill>
          </w14:textFill>
        </w:rPr>
        <w:t>2.1 总则</w:t>
      </w:r>
      <w:bookmarkEnd w:id="303"/>
      <w:bookmarkEnd w:id="304"/>
      <w:bookmarkEnd w:id="305"/>
      <w:bookmarkEnd w:id="306"/>
    </w:p>
    <w:p w14:paraId="34C40C84">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2.1.1 结构设计应安全可靠，经济合理；应采用经过实践检验或可靠性验证的新工艺、新材料，以节约资金；应满足国家及地方的相应规范、规程及要求，采用可靠的结构体系，先进的工艺和技术。</w:t>
      </w:r>
    </w:p>
    <w:p w14:paraId="6020ECA2">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2.2.2 抗震设计应遵循现行的国家规范、规程与广州市地方标准，满足结构预定使用和耐久性要求，实现建筑的安全适用、经济美观的目标。</w:t>
      </w:r>
    </w:p>
    <w:p w14:paraId="6A22E408">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2.2.3 高层住宅结构设计应与建筑、设备等专业密切配合，在满足建筑使用要求、结构安全及耐久性要求前提下，按照经济性最优的原则进行结构设计。</w:t>
      </w:r>
    </w:p>
    <w:p w14:paraId="5792F74C">
      <w:pPr>
        <w:pStyle w:val="7"/>
        <w:spacing w:before="156" w:beforeLines="50"/>
        <w:ind w:firstLine="482" w:firstLineChars="200"/>
        <w:rPr>
          <w:rFonts w:hint="eastAsia" w:ascii="宋体" w:hAnsi="宋体" w:cs="宋体"/>
          <w:color w:val="000000" w:themeColor="text1"/>
          <w:szCs w:val="24"/>
          <w:highlight w:val="none"/>
          <w14:textFill>
            <w14:solidFill>
              <w14:schemeClr w14:val="tx1"/>
            </w14:solidFill>
          </w14:textFill>
        </w:rPr>
      </w:pPr>
      <w:bookmarkStart w:id="307" w:name="_Toc18862"/>
      <w:bookmarkStart w:id="308" w:name="_Toc104581736"/>
      <w:bookmarkStart w:id="309" w:name="_Toc18566"/>
      <w:bookmarkStart w:id="310" w:name="_Toc28742"/>
      <w:r>
        <w:rPr>
          <w:rFonts w:hint="eastAsia" w:ascii="宋体" w:hAnsi="宋体" w:cs="宋体"/>
          <w:color w:val="000000" w:themeColor="text1"/>
          <w:szCs w:val="24"/>
          <w:highlight w:val="none"/>
          <w14:textFill>
            <w14:solidFill>
              <w14:schemeClr w14:val="tx1"/>
            </w14:solidFill>
          </w14:textFill>
        </w:rPr>
        <w:t>2.2 设计依据及关键指标</w:t>
      </w:r>
      <w:bookmarkEnd w:id="307"/>
      <w:bookmarkEnd w:id="308"/>
      <w:bookmarkEnd w:id="309"/>
      <w:bookmarkEnd w:id="310"/>
    </w:p>
    <w:p w14:paraId="3C260A22">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 设计遵循的现行规范、规程主要有:</w:t>
      </w:r>
    </w:p>
    <w:p w14:paraId="1A5F86E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2.2.1.1工程结构可靠性设计统一标准(GB50153-2018)</w:t>
      </w:r>
    </w:p>
    <w:p w14:paraId="5DC8245D">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2.2.1.2建筑结构荷载规范（GB50009－2012）</w:t>
      </w:r>
    </w:p>
    <w:p w14:paraId="6227DDB3">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2.2.1.3混凝土结构设计标准(GB/T50010-2010)</w:t>
      </w:r>
    </w:p>
    <w:p w14:paraId="2E70F4AB">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2.2.1.4建筑抗震设计标准(GB/T50011-2010)</w:t>
      </w:r>
    </w:p>
    <w:p w14:paraId="3E671964">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2.2.1.5建筑抗震设计规范(GB 50011-2010)(2016年版)</w:t>
      </w:r>
    </w:p>
    <w:p w14:paraId="1445DFE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2.2.1.6高层建筑混凝土结构技术规程（JGJ3－2010）</w:t>
      </w:r>
    </w:p>
    <w:p w14:paraId="57AC75B1">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2.2.1.7广东省建筑地基基础设计规范（DBJ15-31-2016）</w:t>
      </w:r>
    </w:p>
    <w:p w14:paraId="0E2BE50A">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2.2.1.8建筑地基基础设计规范（GB50007－2011）</w:t>
      </w:r>
    </w:p>
    <w:p w14:paraId="44FE6D06">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2.2.1.9地下工程防水技术规范（GB50108-2008）</w:t>
      </w:r>
    </w:p>
    <w:p w14:paraId="6FA96874">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2.2.1.10混凝土结构耐久性设计标准(GB/ T50476-2019)</w:t>
      </w:r>
    </w:p>
    <w:p w14:paraId="51190BD9">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2.2.1.11工业建筑防腐设计规范（GB50046-2018）</w:t>
      </w:r>
    </w:p>
    <w:p w14:paraId="48E85847">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2.2.1.12建筑桩基技术规范（JGJ94-2008）</w:t>
      </w:r>
    </w:p>
    <w:p w14:paraId="148F6A78">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2.2.1.13工程结构通用规范 (GB 55001-2021)</w:t>
      </w:r>
    </w:p>
    <w:p w14:paraId="5CF44CCB">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2.2.1.14混凝土结构通用规范 (GB 55008-2021)</w:t>
      </w:r>
    </w:p>
    <w:p w14:paraId="2332E15D">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2.2.1.15建筑与市政地基基础通用规范 (GB55003-2021)</w:t>
      </w:r>
    </w:p>
    <w:p w14:paraId="71FC698D">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2.2.1.16建筑与市政工程抗震通用规范 (GB55002-2021)</w:t>
      </w:r>
    </w:p>
    <w:p w14:paraId="7B6A2BF9">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2.2.1.17广东省建筑地基基础设计规范 (DBJ 15-31-2016)</w:t>
      </w:r>
    </w:p>
    <w:p w14:paraId="3325E313">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2.2.1.18广东省建筑结构荷载规范DBJ15-101-2022</w:t>
      </w:r>
    </w:p>
    <w:p w14:paraId="4F850DD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2.2.1.19装配式混凝土建筑技术标准 （GB-T51231-2016）</w:t>
      </w:r>
    </w:p>
    <w:p w14:paraId="3E71DFC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2.2.1.20装配整体式叠合剪力墙结构技术规程（DBJ/T 15-210-2021）</w:t>
      </w:r>
    </w:p>
    <w:p w14:paraId="31A3B9BA">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2.2.1.21装配式混凝土建筑结构技术规程（DBJ15-107-2016）</w:t>
      </w:r>
    </w:p>
    <w:p w14:paraId="7118F0E1">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2.2.1.22 广州市装配式建筑评价标准 DB4401T 151-2022</w:t>
      </w:r>
    </w:p>
    <w:p w14:paraId="64DDDF8C">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2.2.2 结构设计应与建筑方案充分配合，实现建筑平面、立面功能，兼顾合理性与结构规则性，住宅塔楼不应采用超限的建筑结构。</w:t>
      </w:r>
    </w:p>
    <w:p w14:paraId="2ED5E8C9">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2.2.3 建筑设防烈度按现行的《</w:t>
      </w:r>
      <w:r>
        <w:rPr>
          <w:rFonts w:hint="eastAsia"/>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"http://www.jianbiaoku.com/webarbs/book/98340/3168312.shtml" \t "_self" </w:instrText>
      </w:r>
      <w:r>
        <w:rPr>
          <w:rFonts w:hint="eastAsia"/>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中国地震动参数区划图》（GB18306</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t>）区划图附录C确定，地震作用按现行《建筑抗震设计规范》GB 50011执行。</w:t>
      </w:r>
    </w:p>
    <w:p w14:paraId="5F502236">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2.2.4 基础抗浮设计按现行广东省标准《地下工程结构抗浮设计规范》（DBJ T15-125）执行；抗浮稳定性应满足现行《建筑工程抗浮技术标准》JGJ476的第3.0.3条的规定。</w:t>
      </w:r>
    </w:p>
    <w:p w14:paraId="203D5E7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2.2.5 高层住宅结构的经济性需控制单位面积用钢量以及单位面积混凝土折算厚度，分别以地下室、裙房及塔楼分开进行控制。</w:t>
      </w:r>
    </w:p>
    <w:p w14:paraId="6D5EB853">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2.2.6 结构设计进行钢筋含量及混凝土含量的控制。应遵循安全、适用、经济的原则，根据使用要求进行优化。</w:t>
      </w:r>
    </w:p>
    <w:p w14:paraId="65D23CF7">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2.2.7 地基基础设计应遵循安全、适用、经济的原则。项目可根据分区的地质条件、施工工艺、经济因素等条件采用多个基础类型的组合。</w:t>
      </w:r>
    </w:p>
    <w:p w14:paraId="4D79B076">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2.2.8 根据地质情况和受力需求，合理布置抗浮措施。浅基础需要采用锚杆抗浮时，宜采用普通钢筋锚杆。</w:t>
      </w:r>
    </w:p>
    <w:p w14:paraId="50738BD0">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2.2.9 一般情况下基础选型应遵循以下原则，并提供经济性比选报告。</w:t>
      </w:r>
    </w:p>
    <w:tbl>
      <w:tblPr>
        <w:tblStyle w:val="42"/>
        <w:tblW w:w="8725"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748"/>
        <w:gridCol w:w="6977"/>
      </w:tblGrid>
      <w:tr w14:paraId="60EEE2D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4" w:hRule="atLeast"/>
          <w:jc w:val="center"/>
        </w:trPr>
        <w:tc>
          <w:tcPr>
            <w:tcW w:w="1748" w:type="dxa"/>
            <w:shd w:val="clear" w:color="auto" w:fill="auto"/>
            <w:tcMar>
              <w:top w:w="72" w:type="dxa"/>
              <w:left w:w="144" w:type="dxa"/>
              <w:bottom w:w="72" w:type="dxa"/>
              <w:right w:w="144" w:type="dxa"/>
            </w:tcMar>
            <w:vAlign w:val="center"/>
          </w:tcPr>
          <w:p w14:paraId="7BC78872">
            <w:pPr>
              <w:adjustRightInd w:val="0"/>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基础型式</w:t>
            </w:r>
          </w:p>
        </w:tc>
        <w:tc>
          <w:tcPr>
            <w:tcW w:w="6977" w:type="dxa"/>
            <w:shd w:val="clear" w:color="auto" w:fill="auto"/>
            <w:tcMar>
              <w:top w:w="72" w:type="dxa"/>
              <w:left w:w="144" w:type="dxa"/>
              <w:bottom w:w="72" w:type="dxa"/>
              <w:right w:w="144" w:type="dxa"/>
            </w:tcMar>
            <w:vAlign w:val="center"/>
          </w:tcPr>
          <w:p w14:paraId="30CA6E1C">
            <w:pPr>
              <w:adjustRightInd w:val="0"/>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适用地基条件</w:t>
            </w:r>
          </w:p>
        </w:tc>
      </w:tr>
      <w:tr w14:paraId="1AF84CB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8" w:hRule="atLeast"/>
          <w:jc w:val="center"/>
        </w:trPr>
        <w:tc>
          <w:tcPr>
            <w:tcW w:w="1748" w:type="dxa"/>
            <w:shd w:val="clear" w:color="auto" w:fill="auto"/>
            <w:tcMar>
              <w:top w:w="72" w:type="dxa"/>
              <w:left w:w="144" w:type="dxa"/>
              <w:bottom w:w="72" w:type="dxa"/>
              <w:right w:w="144" w:type="dxa"/>
            </w:tcMar>
            <w:vAlign w:val="center"/>
          </w:tcPr>
          <w:p w14:paraId="47813490">
            <w:pPr>
              <w:adjustRightInd w:val="0"/>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浅基础</w:t>
            </w:r>
          </w:p>
          <w:p w14:paraId="42CA45B7">
            <w:pPr>
              <w:adjustRightInd w:val="0"/>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锚杆抗浮</w:t>
            </w:r>
          </w:p>
        </w:tc>
        <w:tc>
          <w:tcPr>
            <w:tcW w:w="6977" w:type="dxa"/>
            <w:shd w:val="clear" w:color="auto" w:fill="auto"/>
            <w:tcMar>
              <w:top w:w="72" w:type="dxa"/>
              <w:left w:w="144" w:type="dxa"/>
              <w:bottom w:w="72" w:type="dxa"/>
              <w:right w:w="144" w:type="dxa"/>
            </w:tcMar>
            <w:vAlign w:val="center"/>
          </w:tcPr>
          <w:p w14:paraId="64E1494E">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1、地基承载力特征值满足结构需求，无软弱下卧层或下卧层验算、沉降验算通过。</w:t>
            </w:r>
          </w:p>
          <w:p w14:paraId="31C62EA5">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2、地基不满足承载力需求、但有条件采用复合地基可达到承载力需求时。</w:t>
            </w:r>
          </w:p>
        </w:tc>
      </w:tr>
      <w:tr w14:paraId="20EB548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01" w:hRule="atLeast"/>
          <w:jc w:val="center"/>
        </w:trPr>
        <w:tc>
          <w:tcPr>
            <w:tcW w:w="1748" w:type="dxa"/>
            <w:shd w:val="clear" w:color="auto" w:fill="auto"/>
            <w:tcMar>
              <w:top w:w="72" w:type="dxa"/>
              <w:left w:w="144" w:type="dxa"/>
              <w:bottom w:w="72" w:type="dxa"/>
              <w:right w:w="144" w:type="dxa"/>
            </w:tcMar>
            <w:vAlign w:val="center"/>
          </w:tcPr>
          <w:p w14:paraId="42A36A49">
            <w:pPr>
              <w:adjustRightInd w:val="0"/>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PHC管桩</w:t>
            </w:r>
          </w:p>
        </w:tc>
        <w:tc>
          <w:tcPr>
            <w:tcW w:w="6977" w:type="dxa"/>
            <w:shd w:val="clear" w:color="auto" w:fill="auto"/>
            <w:tcMar>
              <w:top w:w="72" w:type="dxa"/>
              <w:left w:w="144" w:type="dxa"/>
              <w:bottom w:w="72" w:type="dxa"/>
              <w:right w:w="144" w:type="dxa"/>
            </w:tcMar>
            <w:vAlign w:val="center"/>
          </w:tcPr>
          <w:p w14:paraId="123144A5">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1、岩溶地区，溶洞顶板上覆盖土层条件较好时。</w:t>
            </w:r>
          </w:p>
          <w:p w14:paraId="0723246B">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2、淤泥地区，淤泥底有较好嵌固土层。</w:t>
            </w:r>
          </w:p>
          <w:p w14:paraId="6A38D25E">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3、无溶洞、无淤泥场地、无孤石等，土层条件较好。</w:t>
            </w:r>
          </w:p>
        </w:tc>
      </w:tr>
      <w:tr w14:paraId="485B5F2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0" w:hRule="atLeast"/>
          <w:jc w:val="center"/>
        </w:trPr>
        <w:tc>
          <w:tcPr>
            <w:tcW w:w="1748" w:type="dxa"/>
            <w:shd w:val="clear" w:color="auto" w:fill="auto"/>
            <w:tcMar>
              <w:top w:w="72" w:type="dxa"/>
              <w:left w:w="144" w:type="dxa"/>
              <w:bottom w:w="72" w:type="dxa"/>
              <w:right w:w="144" w:type="dxa"/>
            </w:tcMar>
            <w:vAlign w:val="center"/>
          </w:tcPr>
          <w:p w14:paraId="7F1602CC">
            <w:pPr>
              <w:adjustRightInd w:val="0"/>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灌注桩</w:t>
            </w:r>
          </w:p>
        </w:tc>
        <w:tc>
          <w:tcPr>
            <w:tcW w:w="6977" w:type="dxa"/>
            <w:shd w:val="clear" w:color="auto" w:fill="auto"/>
            <w:tcMar>
              <w:top w:w="72" w:type="dxa"/>
              <w:left w:w="144" w:type="dxa"/>
              <w:bottom w:w="72" w:type="dxa"/>
              <w:right w:w="144" w:type="dxa"/>
            </w:tcMar>
            <w:vAlign w:val="center"/>
          </w:tcPr>
          <w:p w14:paraId="0A764AD1">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1、岩溶地区，覆盖层较薄，或有土洞见洞较多时。</w:t>
            </w:r>
          </w:p>
          <w:p w14:paraId="7720ED65">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2、淤泥场地，底部直接触岩时。</w:t>
            </w:r>
          </w:p>
          <w:p w14:paraId="454021BE">
            <w:pPr>
              <w:adjustRightInd w:val="0"/>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3、土层条件较好，但有孤石影响管桩施工。</w:t>
            </w:r>
          </w:p>
        </w:tc>
      </w:tr>
    </w:tbl>
    <w:p w14:paraId="745E0892">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备注：</w:t>
      </w:r>
    </w:p>
    <w:p w14:paraId="567BCC16">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1)、复合地基指长螺旋素混凝土灌注桩复合地基、管桩复合地基等。</w:t>
      </w:r>
    </w:p>
    <w:p w14:paraId="66515C5B">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2)、采用浅基础时，少量不满足承载力要求的地基采用低标号素混凝土换填。</w:t>
      </w:r>
    </w:p>
    <w:p w14:paraId="5A50EC45">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2.2.10地质勘察报告显示有溶（土）洞时，应根据溶（土）洞大小、充填情况、上建筑物的基础形式采用不同的处理方案。</w:t>
      </w:r>
    </w:p>
    <w:p w14:paraId="6D84EB68">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2.2.11场地内存在土洞时，可现行依据《岩溶地区建筑地基基础技术规范》(DBJ/T 15-136)采用如下处理原则：</w:t>
      </w:r>
    </w:p>
    <w:p w14:paraId="1F47D48B">
      <w:pPr>
        <w:pStyle w:val="63"/>
        <w:spacing w:line="360" w:lineRule="auto"/>
        <w:ind w:firstLine="480"/>
        <w:textAlignment w:val="baseline"/>
        <w:rPr>
          <w:rFonts w:hint="eastAsia" w:ascii="宋体" w:hAnsi="宋体" w:eastAsia="宋体" w:cs="宋体"/>
          <w:color w:val="000000" w:themeColor="text1"/>
          <w:sz w:val="24"/>
          <w:szCs w:val="20"/>
          <w:highlight w:val="none"/>
          <w14:textFill>
            <w14:solidFill>
              <w14:schemeClr w14:val="tx1"/>
            </w14:solidFill>
          </w14:textFill>
        </w:rPr>
      </w:pPr>
      <w:r>
        <w:rPr>
          <w:rFonts w:hint="eastAsia" w:ascii="宋体" w:hAnsi="宋体" w:eastAsia="宋体" w:cs="宋体"/>
          <w:color w:val="000000" w:themeColor="text1"/>
          <w:sz w:val="24"/>
          <w:szCs w:val="20"/>
          <w:highlight w:val="none"/>
          <w14:textFill>
            <w14:solidFill>
              <w14:schemeClr w14:val="tx1"/>
            </w14:solidFill>
          </w14:textFill>
        </w:rPr>
        <w:t>常规处理方案：</w:t>
      </w:r>
    </w:p>
    <w:p w14:paraId="21B1915E">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2.2.11.1 袖阀管低压注浆。</w:t>
      </w:r>
    </w:p>
    <w:p w14:paraId="342297D2">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2.2.11.2 吹砂或填碎石+静压水泥灌浆法。</w:t>
      </w:r>
    </w:p>
    <w:p w14:paraId="2E271082">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2.2.11.3 双液浆封边+水泥浆处理中央孔。</w:t>
      </w:r>
    </w:p>
    <w:p w14:paraId="2BB10E10">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2.2.11.4 低标号素混凝土灌注。</w:t>
      </w:r>
    </w:p>
    <w:p w14:paraId="4275568D">
      <w:pPr>
        <w:pStyle w:val="63"/>
        <w:spacing w:line="360" w:lineRule="auto"/>
        <w:ind w:left="440" w:leftChars="200" w:firstLine="0" w:firstLineChars="0"/>
        <w:textAlignment w:val="baseline"/>
        <w:rPr>
          <w:rStyle w:val="81"/>
          <w:rFonts w:hint="eastAsia" w:ascii="宋体" w:hAnsi="宋体" w:cs="宋体"/>
          <w:color w:val="000000" w:themeColor="text1"/>
          <w:szCs w:val="24"/>
          <w:highlight w:val="none"/>
          <w14:textFill>
            <w14:solidFill>
              <w14:schemeClr w14:val="tx1"/>
            </w14:solidFill>
          </w14:textFill>
        </w:rPr>
      </w:pPr>
    </w:p>
    <w:tbl>
      <w:tblPr>
        <w:tblStyle w:val="42"/>
        <w:tblW w:w="8363"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94"/>
        <w:gridCol w:w="992"/>
        <w:gridCol w:w="993"/>
        <w:gridCol w:w="992"/>
        <w:gridCol w:w="992"/>
      </w:tblGrid>
      <w:tr w14:paraId="619B2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vMerge w:val="restart"/>
            <w:shd w:val="clear" w:color="auto" w:fill="auto"/>
            <w:vAlign w:val="center"/>
          </w:tcPr>
          <w:p w14:paraId="2A8637CA">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土洞尺寸</w:t>
            </w:r>
          </w:p>
        </w:tc>
        <w:tc>
          <w:tcPr>
            <w:tcW w:w="3969" w:type="dxa"/>
            <w:gridSpan w:val="4"/>
            <w:shd w:val="clear" w:color="auto" w:fill="auto"/>
            <w:vAlign w:val="center"/>
          </w:tcPr>
          <w:p w14:paraId="7A170EAE">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处理方案选用</w:t>
            </w:r>
          </w:p>
        </w:tc>
      </w:tr>
      <w:tr w14:paraId="14FEE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vMerge w:val="continue"/>
            <w:shd w:val="clear" w:color="auto" w:fill="auto"/>
            <w:vAlign w:val="center"/>
          </w:tcPr>
          <w:p w14:paraId="177F8578">
            <w:pPr>
              <w:jc w:val="center"/>
              <w:rPr>
                <w:rFonts w:hint="eastAsia" w:ascii="宋体" w:hAnsi="宋体" w:eastAsia="宋体" w:cs="宋体"/>
                <w:b/>
                <w:bCs/>
                <w:color w:val="000000" w:themeColor="text1"/>
                <w:sz w:val="21"/>
                <w:szCs w:val="21"/>
                <w:highlight w:val="none"/>
                <w14:textFill>
                  <w14:solidFill>
                    <w14:schemeClr w14:val="tx1"/>
                  </w14:solidFill>
                </w14:textFill>
              </w:rPr>
            </w:pPr>
          </w:p>
        </w:tc>
        <w:tc>
          <w:tcPr>
            <w:tcW w:w="992" w:type="dxa"/>
            <w:shd w:val="clear" w:color="auto" w:fill="auto"/>
            <w:vAlign w:val="center"/>
          </w:tcPr>
          <w:p w14:paraId="1230077E">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a</w:t>
            </w:r>
          </w:p>
        </w:tc>
        <w:tc>
          <w:tcPr>
            <w:tcW w:w="993" w:type="dxa"/>
            <w:shd w:val="clear" w:color="auto" w:fill="auto"/>
            <w:vAlign w:val="center"/>
          </w:tcPr>
          <w:p w14:paraId="579C1768">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b</w:t>
            </w:r>
          </w:p>
        </w:tc>
        <w:tc>
          <w:tcPr>
            <w:tcW w:w="992" w:type="dxa"/>
            <w:shd w:val="clear" w:color="auto" w:fill="auto"/>
            <w:vAlign w:val="center"/>
          </w:tcPr>
          <w:p w14:paraId="1A3AD82F">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c</w:t>
            </w:r>
          </w:p>
        </w:tc>
        <w:tc>
          <w:tcPr>
            <w:tcW w:w="992" w:type="dxa"/>
          </w:tcPr>
          <w:p w14:paraId="5E845006">
            <w:pPr>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d</w:t>
            </w:r>
          </w:p>
        </w:tc>
      </w:tr>
      <w:tr w14:paraId="62363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11A11D69">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高度小于5m或预估连通体积30m³以下的非连通中小型土洞</w:t>
            </w:r>
          </w:p>
        </w:tc>
        <w:tc>
          <w:tcPr>
            <w:tcW w:w="992" w:type="dxa"/>
            <w:shd w:val="clear" w:color="auto" w:fill="auto"/>
            <w:vAlign w:val="center"/>
          </w:tcPr>
          <w:p w14:paraId="6CF1F94B">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c>
          <w:tcPr>
            <w:tcW w:w="993" w:type="dxa"/>
            <w:shd w:val="clear" w:color="auto" w:fill="auto"/>
            <w:vAlign w:val="center"/>
          </w:tcPr>
          <w:p w14:paraId="19F59C46">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992" w:type="dxa"/>
            <w:shd w:val="clear" w:color="auto" w:fill="auto"/>
            <w:vAlign w:val="center"/>
          </w:tcPr>
          <w:p w14:paraId="7E78DDCD">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992" w:type="dxa"/>
          </w:tcPr>
          <w:p w14:paraId="7DE20066">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r>
      <w:tr w14:paraId="284A65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55F04E61">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高度大于5m或预估连通体积大于30m³的无填充或半填充的大型土洞</w:t>
            </w:r>
          </w:p>
        </w:tc>
        <w:tc>
          <w:tcPr>
            <w:tcW w:w="992" w:type="dxa"/>
            <w:shd w:val="clear" w:color="auto" w:fill="auto"/>
            <w:vAlign w:val="center"/>
          </w:tcPr>
          <w:p w14:paraId="7EFBCC2E">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c>
          <w:tcPr>
            <w:tcW w:w="993" w:type="dxa"/>
            <w:shd w:val="clear" w:color="auto" w:fill="auto"/>
            <w:vAlign w:val="center"/>
          </w:tcPr>
          <w:p w14:paraId="1CD504F6">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c>
          <w:tcPr>
            <w:tcW w:w="992" w:type="dxa"/>
            <w:shd w:val="clear" w:color="auto" w:fill="auto"/>
            <w:vAlign w:val="center"/>
          </w:tcPr>
          <w:p w14:paraId="332C1BC6">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992" w:type="dxa"/>
          </w:tcPr>
          <w:p w14:paraId="3E323C91">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r>
      <w:tr w14:paraId="36F2BE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4911F1DD">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连通性土洞</w:t>
            </w:r>
          </w:p>
        </w:tc>
        <w:tc>
          <w:tcPr>
            <w:tcW w:w="992" w:type="dxa"/>
            <w:shd w:val="clear" w:color="auto" w:fill="auto"/>
            <w:vAlign w:val="center"/>
          </w:tcPr>
          <w:p w14:paraId="507899F4">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993" w:type="dxa"/>
            <w:shd w:val="clear" w:color="auto" w:fill="auto"/>
            <w:vAlign w:val="center"/>
          </w:tcPr>
          <w:p w14:paraId="3DB70A58">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c>
          <w:tcPr>
            <w:tcW w:w="992" w:type="dxa"/>
            <w:shd w:val="clear" w:color="auto" w:fill="auto"/>
            <w:vAlign w:val="center"/>
          </w:tcPr>
          <w:p w14:paraId="3214B09B">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c>
          <w:tcPr>
            <w:tcW w:w="992" w:type="dxa"/>
          </w:tcPr>
          <w:p w14:paraId="5EC7ED98">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可选</w:t>
            </w:r>
          </w:p>
        </w:tc>
      </w:tr>
    </w:tbl>
    <w:p w14:paraId="197F5B9F">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2.2.12地铁保护范围内的溶洞需要按地铁交通设施保护办公室的要求进行溶洞预处理。</w:t>
      </w:r>
    </w:p>
    <w:p w14:paraId="45EAB34F">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2.2.13 溶洞处理方案按以下原则：（如有）</w:t>
      </w:r>
    </w:p>
    <w:p w14:paraId="57EDC1A7">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2.2.13.1 对中小型溶洞且非密集分布的可不处理。</w:t>
      </w:r>
    </w:p>
    <w:p w14:paraId="572B0958">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2.2.13.2 对大型溶洞（高度大于10m或预估连通体积大于200m3）宜采用填砂、填黄泥加片石、或填碎石+静压水泥灌浆法处理。</w:t>
      </w:r>
    </w:p>
    <w:p w14:paraId="29126177">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2.2.14 不影响施工安全的条件下，采用灌注桩基础时亦可边施工边处理溶洞。施工时可采用片石回填、低标号素混凝土回填、采用钢护筒施工等实施方案。</w:t>
      </w:r>
    </w:p>
    <w:p w14:paraId="4131ECAB">
      <w:pPr>
        <w:pStyle w:val="24"/>
        <w:widowControl/>
        <w:ind w:firstLine="480"/>
        <w:jc w:val="left"/>
        <w:textAlignment w:val="center"/>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2.2.15 岩溶地区桩基础施工时应根据地质条件及桩基形式的需要进行超前钻勘察。</w:t>
      </w:r>
    </w:p>
    <w:p w14:paraId="33513F2D">
      <w:pPr>
        <w:pStyle w:val="7"/>
        <w:spacing w:before="156" w:beforeLines="50"/>
        <w:ind w:firstLine="482" w:firstLineChars="200"/>
        <w:rPr>
          <w:rFonts w:hint="eastAsia" w:ascii="宋体" w:hAnsi="宋体" w:cs="宋体"/>
          <w:color w:val="000000" w:themeColor="text1"/>
          <w:szCs w:val="24"/>
          <w:highlight w:val="none"/>
          <w14:textFill>
            <w14:solidFill>
              <w14:schemeClr w14:val="tx1"/>
            </w14:solidFill>
          </w14:textFill>
        </w:rPr>
      </w:pPr>
      <w:bookmarkStart w:id="311" w:name="_Toc16615"/>
      <w:bookmarkStart w:id="312" w:name="_Toc104581737"/>
      <w:bookmarkStart w:id="313" w:name="_Toc4319"/>
      <w:bookmarkStart w:id="314" w:name="_Toc7439"/>
      <w:r>
        <w:rPr>
          <w:rFonts w:hint="eastAsia" w:ascii="宋体" w:hAnsi="宋体" w:cs="宋体"/>
          <w:color w:val="000000" w:themeColor="text1"/>
          <w:szCs w:val="24"/>
          <w:highlight w:val="none"/>
          <w14:textFill>
            <w14:solidFill>
              <w14:schemeClr w14:val="tx1"/>
            </w14:solidFill>
          </w14:textFill>
        </w:rPr>
        <w:t>2.3 通用指标</w:t>
      </w:r>
      <w:bookmarkEnd w:id="311"/>
      <w:bookmarkEnd w:id="312"/>
      <w:bookmarkEnd w:id="313"/>
      <w:bookmarkEnd w:id="314"/>
    </w:p>
    <w:p w14:paraId="4EF18022">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2.3.1 主要荷载取值</w:t>
      </w:r>
    </w:p>
    <w:p w14:paraId="21CD6993">
      <w:pPr>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表2.3.1.1 楼面荷载取值表</w:t>
      </w:r>
    </w:p>
    <w:tbl>
      <w:tblPr>
        <w:tblStyle w:val="42"/>
        <w:tblW w:w="9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129"/>
        <w:gridCol w:w="1277"/>
        <w:gridCol w:w="1277"/>
        <w:gridCol w:w="3383"/>
      </w:tblGrid>
      <w:tr w14:paraId="3F7CF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22" w:type="dxa"/>
            <w:gridSpan w:val="2"/>
            <w:shd w:val="clear" w:color="auto" w:fill="auto"/>
            <w:vAlign w:val="center"/>
          </w:tcPr>
          <w:p w14:paraId="60580258">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结构部位</w:t>
            </w:r>
          </w:p>
        </w:tc>
        <w:tc>
          <w:tcPr>
            <w:tcW w:w="1277" w:type="dxa"/>
            <w:shd w:val="clear" w:color="auto" w:fill="auto"/>
            <w:vAlign w:val="center"/>
          </w:tcPr>
          <w:p w14:paraId="2B5ED0EC">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附加恒载</w:t>
            </w:r>
          </w:p>
          <w:p w14:paraId="6F81B73D">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（kPa）</w:t>
            </w:r>
          </w:p>
        </w:tc>
        <w:tc>
          <w:tcPr>
            <w:tcW w:w="1277" w:type="dxa"/>
            <w:shd w:val="clear" w:color="auto" w:fill="auto"/>
            <w:vAlign w:val="center"/>
          </w:tcPr>
          <w:p w14:paraId="5E5F8044">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活载</w:t>
            </w:r>
          </w:p>
          <w:p w14:paraId="10C89A21">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（kPa）</w:t>
            </w:r>
          </w:p>
        </w:tc>
        <w:tc>
          <w:tcPr>
            <w:tcW w:w="3383" w:type="dxa"/>
            <w:shd w:val="clear" w:color="auto" w:fill="auto"/>
            <w:vAlign w:val="center"/>
          </w:tcPr>
          <w:p w14:paraId="7ACDAD44">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备注</w:t>
            </w:r>
          </w:p>
        </w:tc>
      </w:tr>
      <w:tr w14:paraId="44432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38E6B291">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住宅</w:t>
            </w:r>
          </w:p>
        </w:tc>
        <w:tc>
          <w:tcPr>
            <w:tcW w:w="2129" w:type="dxa"/>
            <w:shd w:val="clear" w:color="auto" w:fill="auto"/>
            <w:vAlign w:val="center"/>
          </w:tcPr>
          <w:p w14:paraId="055D33CE">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房间</w:t>
            </w:r>
          </w:p>
        </w:tc>
        <w:tc>
          <w:tcPr>
            <w:tcW w:w="1277" w:type="dxa"/>
            <w:vAlign w:val="center"/>
          </w:tcPr>
          <w:p w14:paraId="6399121E">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0258F02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3383" w:type="dxa"/>
            <w:vAlign w:val="center"/>
          </w:tcPr>
          <w:p w14:paraId="2901C72F">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798CB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F307C97">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129" w:type="dxa"/>
            <w:shd w:val="clear" w:color="auto" w:fill="auto"/>
            <w:vAlign w:val="center"/>
          </w:tcPr>
          <w:p w14:paraId="62288558">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厨房、客厅、餐厅</w:t>
            </w:r>
          </w:p>
        </w:tc>
        <w:tc>
          <w:tcPr>
            <w:tcW w:w="1277" w:type="dxa"/>
            <w:vAlign w:val="center"/>
          </w:tcPr>
          <w:p w14:paraId="47906EAA">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0AF2469A">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3383" w:type="dxa"/>
            <w:vAlign w:val="center"/>
          </w:tcPr>
          <w:p w14:paraId="0B8B496E">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23609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796AB7B">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129" w:type="dxa"/>
            <w:shd w:val="clear" w:color="auto" w:fill="auto"/>
            <w:vAlign w:val="center"/>
          </w:tcPr>
          <w:p w14:paraId="5A3D4CD9">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卫生间</w:t>
            </w:r>
          </w:p>
        </w:tc>
        <w:tc>
          <w:tcPr>
            <w:tcW w:w="1277" w:type="dxa"/>
            <w:vAlign w:val="center"/>
          </w:tcPr>
          <w:p w14:paraId="7CB9FF63">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5.0\按实际</w:t>
            </w:r>
          </w:p>
        </w:tc>
        <w:tc>
          <w:tcPr>
            <w:tcW w:w="1277" w:type="dxa"/>
            <w:vAlign w:val="center"/>
          </w:tcPr>
          <w:p w14:paraId="06878203">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2.5</w:t>
            </w:r>
          </w:p>
          <w:p w14:paraId="1793691C">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4.0（浴缸）</w:t>
            </w:r>
          </w:p>
        </w:tc>
        <w:tc>
          <w:tcPr>
            <w:tcW w:w="3383" w:type="dxa"/>
            <w:vAlign w:val="center"/>
          </w:tcPr>
          <w:p w14:paraId="0D341D9C">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沉箱350回填（陶粒砼回填，考虑满水湿容重不大于14KN/m</w:t>
            </w:r>
            <w:r>
              <w:rPr>
                <w:rFonts w:hint="eastAsia" w:ascii="宋体" w:hAnsi="宋体" w:eastAsia="宋体" w:cs="宋体"/>
                <w:bCs/>
                <w:color w:val="000000" w:themeColor="text1"/>
                <w:sz w:val="21"/>
                <w:szCs w:val="21"/>
                <w:highlight w:val="none"/>
                <w:vertAlign w:val="superscript"/>
                <w14:textFill>
                  <w14:solidFill>
                    <w14:schemeClr w14:val="tx1"/>
                  </w14:solidFill>
                </w14:textFill>
              </w:rPr>
              <w:t>3</w:t>
            </w:r>
            <w:r>
              <w:rPr>
                <w:rFonts w:hint="eastAsia" w:ascii="宋体" w:hAnsi="宋体" w:eastAsia="宋体" w:cs="宋体"/>
                <w:bCs/>
                <w:color w:val="000000" w:themeColor="text1"/>
                <w:sz w:val="21"/>
                <w:szCs w:val="21"/>
                <w:highlight w:val="none"/>
                <w14:textFill>
                  <w14:solidFill>
                    <w14:schemeClr w14:val="tx1"/>
                  </w14:solidFill>
                </w14:textFill>
              </w:rPr>
              <w:t>），</w:t>
            </w:r>
          </w:p>
        </w:tc>
      </w:tr>
      <w:tr w14:paraId="15FC2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4AFE1D8C">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129" w:type="dxa"/>
            <w:shd w:val="clear" w:color="auto" w:fill="auto"/>
            <w:vAlign w:val="center"/>
          </w:tcPr>
          <w:p w14:paraId="11C06425">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阳台、入户花园</w:t>
            </w:r>
          </w:p>
        </w:tc>
        <w:tc>
          <w:tcPr>
            <w:tcW w:w="1277" w:type="dxa"/>
            <w:vAlign w:val="center"/>
          </w:tcPr>
          <w:p w14:paraId="1CCEA29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3E3FD80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2.5</w:t>
            </w:r>
          </w:p>
        </w:tc>
        <w:tc>
          <w:tcPr>
            <w:tcW w:w="3383" w:type="dxa"/>
            <w:vAlign w:val="center"/>
          </w:tcPr>
          <w:p w14:paraId="324ED989">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覆土恒载另计</w:t>
            </w:r>
          </w:p>
        </w:tc>
      </w:tr>
      <w:tr w14:paraId="00028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0646A1AD">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129" w:type="dxa"/>
            <w:shd w:val="clear" w:color="auto" w:fill="auto"/>
            <w:vAlign w:val="center"/>
          </w:tcPr>
          <w:p w14:paraId="5EB52C02">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户内楼梯</w:t>
            </w:r>
          </w:p>
        </w:tc>
        <w:tc>
          <w:tcPr>
            <w:tcW w:w="1277" w:type="dxa"/>
            <w:vAlign w:val="center"/>
          </w:tcPr>
          <w:p w14:paraId="67663179">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5684EC9C">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3383" w:type="dxa"/>
            <w:vAlign w:val="center"/>
          </w:tcPr>
          <w:p w14:paraId="44760DF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4380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7C464881">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公共区域</w:t>
            </w:r>
          </w:p>
        </w:tc>
        <w:tc>
          <w:tcPr>
            <w:tcW w:w="2129" w:type="dxa"/>
            <w:shd w:val="clear" w:color="auto" w:fill="auto"/>
            <w:vAlign w:val="center"/>
          </w:tcPr>
          <w:p w14:paraId="2F5873A1">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公共楼梯间</w:t>
            </w:r>
          </w:p>
        </w:tc>
        <w:tc>
          <w:tcPr>
            <w:tcW w:w="1277" w:type="dxa"/>
            <w:vAlign w:val="center"/>
          </w:tcPr>
          <w:p w14:paraId="6F58A50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8.0\按实际</w:t>
            </w:r>
          </w:p>
        </w:tc>
        <w:tc>
          <w:tcPr>
            <w:tcW w:w="1277" w:type="dxa"/>
            <w:vAlign w:val="center"/>
          </w:tcPr>
          <w:p w14:paraId="36BEF613">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3.5</w:t>
            </w:r>
          </w:p>
        </w:tc>
        <w:tc>
          <w:tcPr>
            <w:tcW w:w="3383" w:type="dxa"/>
            <w:vAlign w:val="center"/>
          </w:tcPr>
          <w:p w14:paraId="56F30128">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按消防楼梯考虑</w:t>
            </w:r>
          </w:p>
        </w:tc>
      </w:tr>
      <w:tr w14:paraId="3C95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894EECC">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7499D522">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商铺</w:t>
            </w:r>
          </w:p>
        </w:tc>
        <w:tc>
          <w:tcPr>
            <w:tcW w:w="1277" w:type="dxa"/>
            <w:vAlign w:val="center"/>
          </w:tcPr>
          <w:p w14:paraId="4C926F1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28BBA071">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4.0</w:t>
            </w:r>
          </w:p>
        </w:tc>
        <w:tc>
          <w:tcPr>
            <w:tcW w:w="3383" w:type="dxa"/>
            <w:vAlign w:val="center"/>
          </w:tcPr>
          <w:p w14:paraId="4106CA8B">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6422C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3EE8362C">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6D7305EE">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走廊、门厅</w:t>
            </w:r>
          </w:p>
        </w:tc>
        <w:tc>
          <w:tcPr>
            <w:tcW w:w="1277" w:type="dxa"/>
            <w:vAlign w:val="center"/>
          </w:tcPr>
          <w:p w14:paraId="70B7746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1277" w:type="dxa"/>
            <w:vAlign w:val="center"/>
          </w:tcPr>
          <w:p w14:paraId="48F9272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3.5</w:t>
            </w:r>
          </w:p>
        </w:tc>
        <w:tc>
          <w:tcPr>
            <w:tcW w:w="3383" w:type="dxa"/>
            <w:vAlign w:val="center"/>
          </w:tcPr>
          <w:p w14:paraId="195EC7C6">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78776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50F19FE">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4F64EE67">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上人屋面</w:t>
            </w:r>
          </w:p>
        </w:tc>
        <w:tc>
          <w:tcPr>
            <w:tcW w:w="1277" w:type="dxa"/>
            <w:vAlign w:val="center"/>
          </w:tcPr>
          <w:p w14:paraId="6E1ACA0B">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4.0\按实际</w:t>
            </w:r>
          </w:p>
        </w:tc>
        <w:tc>
          <w:tcPr>
            <w:tcW w:w="1277" w:type="dxa"/>
            <w:vAlign w:val="center"/>
          </w:tcPr>
          <w:p w14:paraId="14C6060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3383" w:type="dxa"/>
            <w:vAlign w:val="center"/>
          </w:tcPr>
          <w:p w14:paraId="0BE2021A">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76761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1763FA80">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718DC01D">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不上人屋面</w:t>
            </w:r>
          </w:p>
        </w:tc>
        <w:tc>
          <w:tcPr>
            <w:tcW w:w="1277" w:type="dxa"/>
            <w:vAlign w:val="center"/>
          </w:tcPr>
          <w:p w14:paraId="660FFA8A">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3.5\按实际</w:t>
            </w:r>
          </w:p>
        </w:tc>
        <w:tc>
          <w:tcPr>
            <w:tcW w:w="1277" w:type="dxa"/>
            <w:vAlign w:val="center"/>
          </w:tcPr>
          <w:p w14:paraId="0E0B707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0.5</w:t>
            </w:r>
          </w:p>
        </w:tc>
        <w:tc>
          <w:tcPr>
            <w:tcW w:w="3383" w:type="dxa"/>
            <w:vAlign w:val="center"/>
          </w:tcPr>
          <w:p w14:paraId="67E5D05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54444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C59824B">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00E854B0">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地下室顶板（室外）</w:t>
            </w:r>
          </w:p>
        </w:tc>
        <w:tc>
          <w:tcPr>
            <w:tcW w:w="1277" w:type="dxa"/>
            <w:vAlign w:val="center"/>
          </w:tcPr>
          <w:p w14:paraId="6C05847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覆土重+1.0</w:t>
            </w:r>
          </w:p>
        </w:tc>
        <w:tc>
          <w:tcPr>
            <w:tcW w:w="1277" w:type="dxa"/>
            <w:vAlign w:val="center"/>
          </w:tcPr>
          <w:p w14:paraId="2AB74FE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5.0</w:t>
            </w:r>
          </w:p>
        </w:tc>
        <w:tc>
          <w:tcPr>
            <w:tcW w:w="3383" w:type="dxa"/>
            <w:vAlign w:val="center"/>
          </w:tcPr>
          <w:p w14:paraId="5581166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覆土按18kN/m</w:t>
            </w:r>
            <w:r>
              <w:rPr>
                <w:rFonts w:hint="eastAsia" w:ascii="宋体" w:hAnsi="宋体" w:eastAsia="宋体" w:cs="宋体"/>
                <w:bCs/>
                <w:color w:val="000000" w:themeColor="text1"/>
                <w:sz w:val="21"/>
                <w:szCs w:val="21"/>
                <w:highlight w:val="none"/>
                <w:vertAlign w:val="superscript"/>
                <w14:textFill>
                  <w14:solidFill>
                    <w14:schemeClr w14:val="tx1"/>
                  </w14:solidFill>
                </w14:textFill>
              </w:rPr>
              <w:t>3</w:t>
            </w:r>
            <w:r>
              <w:rPr>
                <w:rFonts w:hint="eastAsia" w:ascii="宋体" w:hAnsi="宋体" w:eastAsia="宋体" w:cs="宋体"/>
                <w:bCs/>
                <w:color w:val="000000" w:themeColor="text1"/>
                <w:sz w:val="21"/>
                <w:szCs w:val="21"/>
                <w:highlight w:val="none"/>
                <w14:textFill>
                  <w14:solidFill>
                    <w14:schemeClr w14:val="tx1"/>
                  </w14:solidFill>
                </w14:textFill>
              </w:rPr>
              <w:t>，覆土荷载与附加恒载不同时考虑，活荷载考虑施工荷载5kN/m</w:t>
            </w:r>
            <w:r>
              <w:rPr>
                <w:rFonts w:hint="eastAsia" w:ascii="宋体" w:hAnsi="宋体" w:eastAsia="宋体" w:cs="宋体"/>
                <w:bCs/>
                <w:color w:val="000000" w:themeColor="text1"/>
                <w:sz w:val="21"/>
                <w:szCs w:val="21"/>
                <w:highlight w:val="none"/>
                <w:vertAlign w:val="superscript"/>
                <w14:textFill>
                  <w14:solidFill>
                    <w14:schemeClr w14:val="tx1"/>
                  </w14:solidFill>
                </w14:textFill>
              </w:rPr>
              <w:t>2</w:t>
            </w:r>
            <w:r>
              <w:rPr>
                <w:rFonts w:hint="eastAsia" w:ascii="宋体" w:hAnsi="宋体" w:eastAsia="宋体" w:cs="宋体"/>
                <w:bCs/>
                <w:color w:val="000000" w:themeColor="text1"/>
                <w:sz w:val="21"/>
                <w:szCs w:val="21"/>
                <w:highlight w:val="none"/>
                <w14:textFill>
                  <w14:solidFill>
                    <w14:schemeClr w14:val="tx1"/>
                  </w14:solidFill>
                </w14:textFill>
              </w:rPr>
              <w:t>。</w:t>
            </w:r>
          </w:p>
        </w:tc>
      </w:tr>
      <w:tr w14:paraId="6C12D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ABDD6EF">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3FEB6A3D">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地下室顶板（室内）</w:t>
            </w:r>
          </w:p>
        </w:tc>
        <w:tc>
          <w:tcPr>
            <w:tcW w:w="1277" w:type="dxa"/>
            <w:vAlign w:val="center"/>
          </w:tcPr>
          <w:p w14:paraId="455770B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1277" w:type="dxa"/>
            <w:vAlign w:val="center"/>
          </w:tcPr>
          <w:p w14:paraId="468BEC0E">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5.0</w:t>
            </w:r>
          </w:p>
        </w:tc>
        <w:tc>
          <w:tcPr>
            <w:tcW w:w="3383" w:type="dxa"/>
            <w:vAlign w:val="center"/>
          </w:tcPr>
          <w:p w14:paraId="00EBAB2F">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覆土另算。活荷载考虑施工荷载5kN/m</w:t>
            </w:r>
            <w:r>
              <w:rPr>
                <w:rFonts w:hint="eastAsia" w:ascii="宋体" w:hAnsi="宋体" w:eastAsia="宋体" w:cs="宋体"/>
                <w:bCs/>
                <w:color w:val="000000" w:themeColor="text1"/>
                <w:sz w:val="21"/>
                <w:szCs w:val="21"/>
                <w:highlight w:val="none"/>
                <w:vertAlign w:val="superscript"/>
                <w14:textFill>
                  <w14:solidFill>
                    <w14:schemeClr w14:val="tx1"/>
                  </w14:solidFill>
                </w14:textFill>
              </w:rPr>
              <w:t>2</w:t>
            </w:r>
            <w:r>
              <w:rPr>
                <w:rFonts w:hint="eastAsia" w:ascii="宋体" w:hAnsi="宋体" w:eastAsia="宋体" w:cs="宋体"/>
                <w:bCs/>
                <w:color w:val="000000" w:themeColor="text1"/>
                <w:sz w:val="21"/>
                <w:szCs w:val="21"/>
                <w:highlight w:val="none"/>
                <w14:textFill>
                  <w14:solidFill>
                    <w14:schemeClr w14:val="tx1"/>
                  </w14:solidFill>
                </w14:textFill>
              </w:rPr>
              <w:t>。</w:t>
            </w:r>
          </w:p>
        </w:tc>
      </w:tr>
      <w:tr w14:paraId="42846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9182F6D">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1FE02FB5">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消防车道</w:t>
            </w:r>
          </w:p>
        </w:tc>
        <w:tc>
          <w:tcPr>
            <w:tcW w:w="1277" w:type="dxa"/>
            <w:vAlign w:val="center"/>
          </w:tcPr>
          <w:p w14:paraId="7692F4B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覆土重+1.0</w:t>
            </w:r>
          </w:p>
        </w:tc>
        <w:tc>
          <w:tcPr>
            <w:tcW w:w="1277" w:type="dxa"/>
            <w:vAlign w:val="center"/>
          </w:tcPr>
          <w:p w14:paraId="7EC1FE2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单向板:35</w:t>
            </w:r>
          </w:p>
          <w:p w14:paraId="733FB52B">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p w14:paraId="6E1629D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双向板：50-5.0L</w:t>
            </w:r>
          </w:p>
          <w:p w14:paraId="634FA9EB">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(6m以内，L短跨跨度)</w:t>
            </w:r>
          </w:p>
          <w:p w14:paraId="0236789D">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20(6m以上)</w:t>
            </w:r>
          </w:p>
        </w:tc>
        <w:tc>
          <w:tcPr>
            <w:tcW w:w="3383" w:type="dxa"/>
            <w:vAlign w:val="center"/>
          </w:tcPr>
          <w:p w14:paraId="7EBDC326">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1、按室外裙房顶板荷载取值进行正常使用极限状态设计（强度和裂缝、控制）；</w:t>
            </w:r>
          </w:p>
          <w:p w14:paraId="50F477C6">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2、考虑消防车荷载进行构件强度设计（不控制裂缝）。</w:t>
            </w:r>
          </w:p>
          <w:p w14:paraId="4DA3D825">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3、基础设计不考虑消防车荷载。</w:t>
            </w:r>
          </w:p>
          <w:p w14:paraId="21A7EEE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4、消防车道活荷载尚应按《工程结构通用规范》4.2.4条折减，框架梁折减系数取0.8，板配筋不折减。</w:t>
            </w:r>
          </w:p>
        </w:tc>
      </w:tr>
      <w:tr w14:paraId="6EF50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6C5AA6B5">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6CBA6DA7">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小型车道、车库</w:t>
            </w:r>
          </w:p>
        </w:tc>
        <w:tc>
          <w:tcPr>
            <w:tcW w:w="1277" w:type="dxa"/>
            <w:vAlign w:val="center"/>
          </w:tcPr>
          <w:p w14:paraId="470DA245">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1277" w:type="dxa"/>
            <w:vAlign w:val="center"/>
          </w:tcPr>
          <w:p w14:paraId="7116FB9E">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4.0</w:t>
            </w:r>
          </w:p>
        </w:tc>
        <w:tc>
          <w:tcPr>
            <w:tcW w:w="3383" w:type="dxa"/>
            <w:vAlign w:val="center"/>
          </w:tcPr>
          <w:p w14:paraId="19BFD25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双向板楼板，板跨不小于6mX6m时活载按2.5kN/m</w:t>
            </w:r>
            <w:r>
              <w:rPr>
                <w:rFonts w:hint="eastAsia" w:ascii="宋体" w:hAnsi="宋体" w:eastAsia="宋体" w:cs="宋体"/>
                <w:bCs/>
                <w:color w:val="000000" w:themeColor="text1"/>
                <w:sz w:val="21"/>
                <w:szCs w:val="21"/>
                <w:highlight w:val="none"/>
                <w:vertAlign w:val="superscript"/>
                <w14:textFill>
                  <w14:solidFill>
                    <w14:schemeClr w14:val="tx1"/>
                  </w14:solidFill>
                </w14:textFill>
              </w:rPr>
              <w:t>2</w:t>
            </w:r>
            <w:r>
              <w:rPr>
                <w:rFonts w:hint="eastAsia" w:ascii="宋体" w:hAnsi="宋体" w:eastAsia="宋体" w:cs="宋体"/>
                <w:bCs/>
                <w:color w:val="000000" w:themeColor="text1"/>
                <w:sz w:val="21"/>
                <w:szCs w:val="21"/>
                <w:highlight w:val="none"/>
                <w14:textFill>
                  <w14:solidFill>
                    <w14:schemeClr w14:val="tx1"/>
                  </w14:solidFill>
                </w14:textFill>
              </w:rPr>
              <w:t>。</w:t>
            </w:r>
          </w:p>
        </w:tc>
      </w:tr>
      <w:tr w14:paraId="7AC87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48938882">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5EE8C2C2">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重型车道、车库</w:t>
            </w:r>
          </w:p>
        </w:tc>
        <w:tc>
          <w:tcPr>
            <w:tcW w:w="1277" w:type="dxa"/>
            <w:vAlign w:val="center"/>
          </w:tcPr>
          <w:p w14:paraId="22847D05">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2.0</w:t>
            </w:r>
          </w:p>
        </w:tc>
        <w:tc>
          <w:tcPr>
            <w:tcW w:w="1277" w:type="dxa"/>
            <w:vAlign w:val="center"/>
          </w:tcPr>
          <w:p w14:paraId="4FBCFBE9">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w:t>
            </w:r>
          </w:p>
        </w:tc>
        <w:tc>
          <w:tcPr>
            <w:tcW w:w="3383" w:type="dxa"/>
            <w:vAlign w:val="center"/>
          </w:tcPr>
          <w:p w14:paraId="20190458">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p>
        </w:tc>
      </w:tr>
      <w:tr w14:paraId="527A2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769556A1">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设备区</w:t>
            </w:r>
          </w:p>
        </w:tc>
        <w:tc>
          <w:tcPr>
            <w:tcW w:w="2129" w:type="dxa"/>
            <w:shd w:val="clear" w:color="auto" w:fill="auto"/>
            <w:vAlign w:val="center"/>
          </w:tcPr>
          <w:p w14:paraId="5A295ACB">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重型机房</w:t>
            </w:r>
          </w:p>
        </w:tc>
        <w:tc>
          <w:tcPr>
            <w:tcW w:w="1277" w:type="dxa"/>
            <w:vAlign w:val="center"/>
          </w:tcPr>
          <w:p w14:paraId="7F8D04C5">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1.5\按实际</w:t>
            </w:r>
          </w:p>
        </w:tc>
        <w:tc>
          <w:tcPr>
            <w:tcW w:w="1277" w:type="dxa"/>
            <w:vAlign w:val="center"/>
          </w:tcPr>
          <w:p w14:paraId="5FFCF067">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15（与设备商定）</w:t>
            </w:r>
          </w:p>
        </w:tc>
        <w:tc>
          <w:tcPr>
            <w:tcW w:w="3383" w:type="dxa"/>
            <w:vAlign w:val="center"/>
          </w:tcPr>
          <w:p w14:paraId="059F7C8F">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变电站、冷冻机房、配电房等、水泵房</w:t>
            </w:r>
          </w:p>
        </w:tc>
      </w:tr>
      <w:tr w14:paraId="2027F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D9D9D9"/>
            <w:vAlign w:val="center"/>
          </w:tcPr>
          <w:p w14:paraId="32E8AEE2">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129" w:type="dxa"/>
            <w:shd w:val="clear" w:color="auto" w:fill="auto"/>
            <w:vAlign w:val="center"/>
          </w:tcPr>
          <w:p w14:paraId="2389F2D0">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轻型机房</w:t>
            </w:r>
          </w:p>
        </w:tc>
        <w:tc>
          <w:tcPr>
            <w:tcW w:w="1277" w:type="dxa"/>
            <w:vAlign w:val="center"/>
          </w:tcPr>
          <w:p w14:paraId="7E34DFD0">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1.5\按实际</w:t>
            </w:r>
          </w:p>
        </w:tc>
        <w:tc>
          <w:tcPr>
            <w:tcW w:w="1277" w:type="dxa"/>
            <w:vAlign w:val="center"/>
          </w:tcPr>
          <w:p w14:paraId="4D7B2EFD">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8.0</w:t>
            </w:r>
          </w:p>
        </w:tc>
        <w:tc>
          <w:tcPr>
            <w:tcW w:w="3383" w:type="dxa"/>
            <w:vAlign w:val="center"/>
          </w:tcPr>
          <w:p w14:paraId="09C686A4">
            <w:pPr>
              <w:adjustRightInd w:val="0"/>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风机房、电梯机房、空调机房、消防控制中心</w:t>
            </w:r>
          </w:p>
        </w:tc>
      </w:tr>
    </w:tbl>
    <w:p w14:paraId="381C09D2">
      <w:pPr>
        <w:pStyle w:val="80"/>
        <w:spacing w:line="360" w:lineRule="auto"/>
        <w:ind w:left="720" w:firstLine="0" w:firstLineChars="0"/>
        <w:jc w:val="center"/>
        <w:rPr>
          <w:rFonts w:hint="eastAsia" w:ascii="宋体" w:hAnsi="宋体" w:cs="宋体"/>
          <w:color w:val="000000" w:themeColor="text1"/>
          <w:highlight w:val="none"/>
          <w14:textFill>
            <w14:solidFill>
              <w14:schemeClr w14:val="tx1"/>
            </w14:solidFill>
          </w14:textFill>
        </w:rPr>
      </w:pPr>
    </w:p>
    <w:p w14:paraId="26B17F3A">
      <w:pPr>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表2.3.1.2梁上隔墙荷载取值表</w:t>
      </w:r>
    </w:p>
    <w:tbl>
      <w:tblPr>
        <w:tblStyle w:val="42"/>
        <w:tblW w:w="81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2465"/>
        <w:gridCol w:w="1525"/>
        <w:gridCol w:w="3434"/>
      </w:tblGrid>
      <w:tr w14:paraId="7552A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restart"/>
            <w:tcBorders>
              <w:top w:val="single" w:color="auto" w:sz="4" w:space="0"/>
            </w:tcBorders>
            <w:shd w:val="clear" w:color="auto" w:fill="auto"/>
            <w:vAlign w:val="center"/>
          </w:tcPr>
          <w:p w14:paraId="026AA7EB">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层高</w:t>
            </w:r>
          </w:p>
        </w:tc>
        <w:tc>
          <w:tcPr>
            <w:tcW w:w="2465" w:type="dxa"/>
            <w:vMerge w:val="restart"/>
            <w:tcBorders>
              <w:top w:val="single" w:color="auto" w:sz="4" w:space="0"/>
            </w:tcBorders>
            <w:shd w:val="clear" w:color="auto" w:fill="auto"/>
            <w:vAlign w:val="center"/>
          </w:tcPr>
          <w:p w14:paraId="50B89FA9">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墙体类型</w:t>
            </w:r>
          </w:p>
        </w:tc>
        <w:tc>
          <w:tcPr>
            <w:tcW w:w="4959" w:type="dxa"/>
            <w:gridSpan w:val="2"/>
            <w:tcBorders>
              <w:top w:val="single" w:color="auto" w:sz="4" w:space="0"/>
            </w:tcBorders>
            <w:shd w:val="clear" w:color="auto" w:fill="auto"/>
            <w:vAlign w:val="center"/>
          </w:tcPr>
          <w:p w14:paraId="55D20690">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隔墙线荷载（kN/m）</w:t>
            </w:r>
          </w:p>
        </w:tc>
      </w:tr>
      <w:tr w14:paraId="613AA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003433B4">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2465" w:type="dxa"/>
            <w:vMerge w:val="continue"/>
            <w:shd w:val="clear" w:color="auto" w:fill="auto"/>
            <w:vAlign w:val="center"/>
          </w:tcPr>
          <w:p w14:paraId="6DB025C7">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p>
        </w:tc>
        <w:tc>
          <w:tcPr>
            <w:tcW w:w="1525" w:type="dxa"/>
            <w:tcBorders>
              <w:top w:val="single" w:color="auto" w:sz="4" w:space="0"/>
            </w:tcBorders>
            <w:shd w:val="clear" w:color="auto" w:fill="auto"/>
            <w:vAlign w:val="center"/>
          </w:tcPr>
          <w:p w14:paraId="19A635A3">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无门窗洞口</w:t>
            </w:r>
          </w:p>
        </w:tc>
        <w:tc>
          <w:tcPr>
            <w:tcW w:w="3434" w:type="dxa"/>
            <w:tcBorders>
              <w:top w:val="single" w:color="auto" w:sz="4" w:space="0"/>
            </w:tcBorders>
            <w:shd w:val="clear" w:color="auto" w:fill="auto"/>
            <w:vAlign w:val="center"/>
          </w:tcPr>
          <w:p w14:paraId="1864771F">
            <w:pPr>
              <w:pStyle w:val="20"/>
              <w:adjustRightInd w:val="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有门窗洞口</w:t>
            </w:r>
          </w:p>
        </w:tc>
      </w:tr>
      <w:tr w14:paraId="6B240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restart"/>
            <w:shd w:val="clear" w:color="auto" w:fill="auto"/>
            <w:vAlign w:val="center"/>
          </w:tcPr>
          <w:p w14:paraId="237E3A94">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3.0m</w:t>
            </w:r>
          </w:p>
        </w:tc>
        <w:tc>
          <w:tcPr>
            <w:tcW w:w="2465" w:type="dxa"/>
            <w:shd w:val="clear" w:color="auto" w:fill="auto"/>
            <w:vAlign w:val="center"/>
          </w:tcPr>
          <w:p w14:paraId="3C9A060D">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200厚外墙（3.4kN/m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w:t>
            </w:r>
          </w:p>
        </w:tc>
        <w:tc>
          <w:tcPr>
            <w:tcW w:w="1525" w:type="dxa"/>
            <w:shd w:val="clear" w:color="auto" w:fill="auto"/>
            <w:vAlign w:val="center"/>
          </w:tcPr>
          <w:p w14:paraId="7BE6E2BB">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8.5</w:t>
            </w:r>
          </w:p>
        </w:tc>
        <w:tc>
          <w:tcPr>
            <w:tcW w:w="3434" w:type="dxa"/>
            <w:shd w:val="clear" w:color="auto" w:fill="auto"/>
            <w:vAlign w:val="center"/>
          </w:tcPr>
          <w:p w14:paraId="6395211C">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6.0（0.7倍）或按长度折算</w:t>
            </w:r>
          </w:p>
        </w:tc>
      </w:tr>
      <w:tr w14:paraId="6C54F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6154FFEE">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465" w:type="dxa"/>
            <w:shd w:val="clear" w:color="auto" w:fill="auto"/>
            <w:vAlign w:val="center"/>
          </w:tcPr>
          <w:p w14:paraId="14EB4713">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200厚内墙（2.8kN/m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w:t>
            </w:r>
          </w:p>
        </w:tc>
        <w:tc>
          <w:tcPr>
            <w:tcW w:w="1525" w:type="dxa"/>
            <w:shd w:val="clear" w:color="auto" w:fill="auto"/>
            <w:vAlign w:val="center"/>
          </w:tcPr>
          <w:p w14:paraId="21124FD0">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7</w:t>
            </w:r>
          </w:p>
        </w:tc>
        <w:tc>
          <w:tcPr>
            <w:tcW w:w="3434" w:type="dxa"/>
            <w:shd w:val="clear" w:color="auto" w:fill="auto"/>
            <w:vAlign w:val="center"/>
          </w:tcPr>
          <w:p w14:paraId="568CA2F9">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4.9（0.7倍）或按长度折算</w:t>
            </w:r>
          </w:p>
        </w:tc>
      </w:tr>
      <w:tr w14:paraId="59055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13A41405">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c>
          <w:tcPr>
            <w:tcW w:w="2465" w:type="dxa"/>
            <w:shd w:val="clear" w:color="auto" w:fill="auto"/>
            <w:vAlign w:val="center"/>
          </w:tcPr>
          <w:p w14:paraId="18A0B3B3">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100厚墙体（1.8kN/m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w:t>
            </w:r>
          </w:p>
        </w:tc>
        <w:tc>
          <w:tcPr>
            <w:tcW w:w="1525" w:type="dxa"/>
            <w:shd w:val="clear" w:color="auto" w:fill="auto"/>
            <w:vAlign w:val="center"/>
          </w:tcPr>
          <w:p w14:paraId="681A9020">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4.5</w:t>
            </w:r>
          </w:p>
        </w:tc>
        <w:tc>
          <w:tcPr>
            <w:tcW w:w="3434" w:type="dxa"/>
            <w:shd w:val="clear" w:color="auto" w:fill="auto"/>
            <w:vAlign w:val="center"/>
          </w:tcPr>
          <w:p w14:paraId="5E17FB02">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3.2（0.7倍）或按长度折算</w:t>
            </w:r>
          </w:p>
        </w:tc>
      </w:tr>
      <w:tr w14:paraId="426D3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216" w:type="dxa"/>
            <w:gridSpan w:val="2"/>
            <w:shd w:val="clear" w:color="auto" w:fill="auto"/>
            <w:vAlign w:val="center"/>
          </w:tcPr>
          <w:p w14:paraId="3E00BE38">
            <w:pPr>
              <w:pStyle w:val="20"/>
              <w:adjustRightInd w:val="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备注</w:t>
            </w:r>
          </w:p>
        </w:tc>
        <w:tc>
          <w:tcPr>
            <w:tcW w:w="4959" w:type="dxa"/>
            <w:gridSpan w:val="2"/>
            <w:shd w:val="clear" w:color="auto" w:fill="auto"/>
            <w:vAlign w:val="center"/>
          </w:tcPr>
          <w:p w14:paraId="3D8E2DEE">
            <w:pPr>
              <w:pStyle w:val="20"/>
              <w:adjustRightInd w:val="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1.其它层高隔墙荷载可按面荷载×（层高-梁高）自行计算；</w:t>
            </w:r>
          </w:p>
          <w:p w14:paraId="1284D729">
            <w:pPr>
              <w:pStyle w:val="20"/>
              <w:adjustRightInd w:val="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2.层高3.0m梁高按500高</w:t>
            </w:r>
          </w:p>
          <w:p w14:paraId="0D3EEF41">
            <w:pPr>
              <w:pStyle w:val="20"/>
              <w:adjustRightInd w:val="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3.现浇混凝土外墙平均容重取26kN/m</w:t>
            </w:r>
            <w:r>
              <w:rPr>
                <w:rFonts w:hint="eastAsia" w:ascii="宋体" w:hAnsi="宋体" w:cs="宋体"/>
                <w:bCs/>
                <w:color w:val="000000" w:themeColor="text1"/>
                <w:szCs w:val="21"/>
                <w:highlight w:val="none"/>
                <w:vertAlign w:val="superscript"/>
                <w14:textFill>
                  <w14:solidFill>
                    <w14:schemeClr w14:val="tx1"/>
                  </w14:solidFill>
                </w14:textFill>
              </w:rPr>
              <w:t>3</w:t>
            </w:r>
          </w:p>
        </w:tc>
      </w:tr>
    </w:tbl>
    <w:p w14:paraId="73AF0579">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备注：</w:t>
      </w:r>
    </w:p>
    <w:p w14:paraId="1C71F94E">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1）结构采用高精度模板的现浇混凝土时，涂料饰面时混凝土容重取25kN/m3，瓷砖饰面时混凝土容重取26kN/m3</w:t>
      </w:r>
    </w:p>
    <w:p w14:paraId="5B75F309">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2）外、内墙可选用A5.0的ALC砌块或条板（干容重：7.25KN/m3根据《蒸压加气混凝土制品应用技术标准》JGJ/T17-2008第4.0.8条设计容重：1.4x7.25≈10.0kN/m3）。</w:t>
      </w:r>
    </w:p>
    <w:p w14:paraId="56F987F8">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3）内隔墙两侧按20mm抹灰考虑时，200厚内隔墙面荷载为2.8kN/m2；</w:t>
      </w:r>
    </w:p>
    <w:p w14:paraId="3DE21DEB">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4）外隔墙按内侧20mm抹灰、外侧50mm厚石材（平均容重20kN/m3）考虑，200厚外墙面荷载3.4kN/m2；</w:t>
      </w:r>
    </w:p>
    <w:p w14:paraId="26A29EA2">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5）100墙两侧按20mm抹灰考虑时,面荷载1.8kN/m2。面荷载乘以高度（层高-梁高）后按线荷载输入。</w:t>
      </w:r>
    </w:p>
    <w:p w14:paraId="47AC73A9">
      <w:pPr>
        <w:pStyle w:val="24"/>
        <w:widowControl/>
        <w:ind w:firstLine="420"/>
        <w:jc w:val="left"/>
        <w:textAlignment w:val="center"/>
        <w:rPr>
          <w:rFonts w:hint="eastAsia" w:hAnsi="宋体" w:cs="宋体"/>
          <w:color w:val="000000" w:themeColor="text1"/>
          <w:sz w:val="21"/>
          <w:szCs w:val="16"/>
          <w:highlight w:val="none"/>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6）外墙有门窗洞口（飘窗除外）的，可按0.7倍折算。</w:t>
      </w:r>
    </w:p>
    <w:p w14:paraId="3DDDE6D2">
      <w:pPr>
        <w:pStyle w:val="80"/>
        <w:adjustRightInd w:val="0"/>
        <w:snapToGrid w:val="0"/>
        <w:ind w:firstLine="0" w:firstLineChars="0"/>
        <w:rPr>
          <w:rFonts w:hint="eastAsia" w:ascii="宋体" w:hAnsi="宋体" w:cs="宋体"/>
          <w:color w:val="000000" w:themeColor="text1"/>
          <w:highlight w:val="none"/>
          <w14:textFill>
            <w14:solidFill>
              <w14:schemeClr w14:val="tx1"/>
            </w14:solidFill>
          </w14:textFill>
        </w:rPr>
      </w:pPr>
    </w:p>
    <w:p w14:paraId="04ECEA9F">
      <w:pPr>
        <w:pStyle w:val="80"/>
        <w:adjustRightInd w:val="0"/>
        <w:snapToGrid w:val="0"/>
        <w:ind w:firstLine="0" w:firstLineChars="0"/>
        <w:rPr>
          <w:rFonts w:hint="eastAsia" w:ascii="宋体" w:hAnsi="宋体" w:cs="宋体"/>
          <w:color w:val="000000" w:themeColor="text1"/>
          <w:highlight w:val="none"/>
          <w14:textFill>
            <w14:solidFill>
              <w14:schemeClr w14:val="tx1"/>
            </w14:solidFill>
          </w14:textFill>
        </w:rPr>
      </w:pPr>
    </w:p>
    <w:p w14:paraId="0FF1918F">
      <w:pPr>
        <w:pStyle w:val="80"/>
        <w:adjustRightInd w:val="0"/>
        <w:snapToGrid w:val="0"/>
        <w:ind w:firstLine="0" w:firstLineChars="0"/>
        <w:rPr>
          <w:rFonts w:hint="eastAsia" w:ascii="宋体" w:hAnsi="宋体" w:cs="宋体"/>
          <w:color w:val="000000" w:themeColor="text1"/>
          <w:highlight w:val="none"/>
          <w14:textFill>
            <w14:solidFill>
              <w14:schemeClr w14:val="tx1"/>
            </w14:solidFill>
          </w14:textFill>
        </w:rPr>
      </w:pPr>
    </w:p>
    <w:p w14:paraId="4169CC7A">
      <w:pPr>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表2.3.3梁上线荷载取值表</w:t>
      </w:r>
    </w:p>
    <w:tbl>
      <w:tblPr>
        <w:tblStyle w:val="42"/>
        <w:tblW w:w="8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3"/>
        <w:gridCol w:w="1155"/>
        <w:gridCol w:w="5219"/>
      </w:tblGrid>
      <w:tr w14:paraId="409B5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1793" w:type="dxa"/>
            <w:tcBorders>
              <w:top w:val="single" w:color="auto" w:sz="4" w:space="0"/>
            </w:tcBorders>
            <w:shd w:val="clear" w:color="auto" w:fill="auto"/>
            <w:vAlign w:val="center"/>
          </w:tcPr>
          <w:p w14:paraId="12D640A3">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荷载类别</w:t>
            </w:r>
          </w:p>
        </w:tc>
        <w:tc>
          <w:tcPr>
            <w:tcW w:w="1155" w:type="dxa"/>
            <w:tcBorders>
              <w:top w:val="single" w:color="auto" w:sz="4" w:space="0"/>
            </w:tcBorders>
            <w:shd w:val="clear" w:color="auto" w:fill="auto"/>
            <w:vAlign w:val="center"/>
          </w:tcPr>
          <w:p w14:paraId="407A584D">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线荷载</w:t>
            </w:r>
          </w:p>
          <w:p w14:paraId="309A4675">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（kN/m）</w:t>
            </w:r>
          </w:p>
        </w:tc>
        <w:tc>
          <w:tcPr>
            <w:tcW w:w="5219" w:type="dxa"/>
            <w:tcBorders>
              <w:top w:val="single" w:color="auto" w:sz="4" w:space="0"/>
            </w:tcBorders>
            <w:shd w:val="clear" w:color="auto" w:fill="auto"/>
            <w:vAlign w:val="center"/>
          </w:tcPr>
          <w:p w14:paraId="298DD118">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备注</w:t>
            </w:r>
          </w:p>
        </w:tc>
      </w:tr>
      <w:tr w14:paraId="42751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21663CE0">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悬挑800mm凸窗</w:t>
            </w:r>
          </w:p>
        </w:tc>
        <w:tc>
          <w:tcPr>
            <w:tcW w:w="1155" w:type="dxa"/>
            <w:shd w:val="clear" w:color="auto" w:fill="auto"/>
            <w:vAlign w:val="center"/>
          </w:tcPr>
          <w:p w14:paraId="6A3A2F58">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15</w:t>
            </w:r>
          </w:p>
        </w:tc>
        <w:tc>
          <w:tcPr>
            <w:tcW w:w="5219" w:type="dxa"/>
            <w:shd w:val="clear" w:color="auto" w:fill="auto"/>
            <w:vAlign w:val="center"/>
          </w:tcPr>
          <w:p w14:paraId="5537383B">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可视窗体情况适当折算。</w:t>
            </w:r>
          </w:p>
        </w:tc>
      </w:tr>
      <w:tr w14:paraId="606F4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207B6263">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玻璃阳台栏杆</w:t>
            </w:r>
          </w:p>
        </w:tc>
        <w:tc>
          <w:tcPr>
            <w:tcW w:w="1155" w:type="dxa"/>
            <w:shd w:val="clear" w:color="auto" w:fill="auto"/>
            <w:vAlign w:val="center"/>
          </w:tcPr>
          <w:p w14:paraId="387A2DDB">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5219" w:type="dxa"/>
            <w:shd w:val="clear" w:color="auto" w:fill="auto"/>
            <w:vAlign w:val="center"/>
          </w:tcPr>
          <w:p w14:paraId="423E05BF">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混凝土栏杆按实计算</w:t>
            </w:r>
          </w:p>
        </w:tc>
      </w:tr>
      <w:tr w14:paraId="3685A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28D2C0FE">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推拉门</w:t>
            </w:r>
          </w:p>
        </w:tc>
        <w:tc>
          <w:tcPr>
            <w:tcW w:w="1155" w:type="dxa"/>
            <w:shd w:val="clear" w:color="auto" w:fill="auto"/>
            <w:vAlign w:val="center"/>
          </w:tcPr>
          <w:p w14:paraId="3842A53E">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5219" w:type="dxa"/>
            <w:shd w:val="clear" w:color="auto" w:fill="auto"/>
            <w:vAlign w:val="center"/>
          </w:tcPr>
          <w:p w14:paraId="6FCA149C">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适用于标准层（3.0m以下层高）。其它楼层按1kN/m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×层高计算。</w:t>
            </w:r>
          </w:p>
        </w:tc>
      </w:tr>
      <w:tr w14:paraId="11596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3FE7D8FD">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玻璃窗</w:t>
            </w:r>
          </w:p>
        </w:tc>
        <w:tc>
          <w:tcPr>
            <w:tcW w:w="1155" w:type="dxa"/>
            <w:shd w:val="clear" w:color="auto" w:fill="auto"/>
            <w:vAlign w:val="center"/>
          </w:tcPr>
          <w:p w14:paraId="3C7C2C64">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5219" w:type="dxa"/>
            <w:shd w:val="clear" w:color="auto" w:fill="auto"/>
            <w:vAlign w:val="center"/>
          </w:tcPr>
          <w:p w14:paraId="02BFC0F0">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通高窗，适用于标准层（3.0m以下层高）。其它楼层按1kN/m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×层高计算。</w:t>
            </w:r>
          </w:p>
        </w:tc>
      </w:tr>
      <w:tr w14:paraId="3E13F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2E6C2CC9">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玻璃幕外墙</w:t>
            </w:r>
          </w:p>
        </w:tc>
        <w:tc>
          <w:tcPr>
            <w:tcW w:w="1155" w:type="dxa"/>
            <w:shd w:val="clear" w:color="auto" w:fill="auto"/>
            <w:vAlign w:val="center"/>
          </w:tcPr>
          <w:p w14:paraId="06FEF6CF">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4.5</w:t>
            </w:r>
          </w:p>
        </w:tc>
        <w:tc>
          <w:tcPr>
            <w:tcW w:w="5219" w:type="dxa"/>
            <w:shd w:val="clear" w:color="auto" w:fill="auto"/>
            <w:vAlign w:val="center"/>
          </w:tcPr>
          <w:p w14:paraId="7E4F2A3A">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适用于标准层（3.0m以下层高）。其它楼层按1.5kN/m</w:t>
            </w:r>
            <w:r>
              <w:rPr>
                <w:rFonts w:hint="eastAsia" w:ascii="宋体" w:hAnsi="宋体" w:cs="宋体"/>
                <w:bCs/>
                <w:color w:val="000000" w:themeColor="text1"/>
                <w:szCs w:val="21"/>
                <w:highlight w:val="none"/>
                <w:vertAlign w:val="superscript"/>
                <w14:textFill>
                  <w14:solidFill>
                    <w14:schemeClr w14:val="tx1"/>
                  </w14:solidFill>
                </w14:textFill>
              </w:rPr>
              <w:t>2</w:t>
            </w:r>
            <w:r>
              <w:rPr>
                <w:rFonts w:hint="eastAsia" w:ascii="宋体" w:hAnsi="宋体" w:cs="宋体"/>
                <w:bCs/>
                <w:color w:val="000000" w:themeColor="text1"/>
                <w:szCs w:val="21"/>
                <w:highlight w:val="none"/>
                <w14:textFill>
                  <w14:solidFill>
                    <w14:schemeClr w14:val="tx1"/>
                  </w14:solidFill>
                </w14:textFill>
              </w:rPr>
              <w:t>×层高计算。</w:t>
            </w:r>
          </w:p>
        </w:tc>
      </w:tr>
      <w:tr w14:paraId="0B5F8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1F88093F">
            <w:pPr>
              <w:jc w:val="center"/>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女儿墙</w:t>
            </w:r>
          </w:p>
        </w:tc>
        <w:tc>
          <w:tcPr>
            <w:tcW w:w="1155" w:type="dxa"/>
            <w:shd w:val="clear" w:color="auto" w:fill="auto"/>
            <w:vAlign w:val="center"/>
          </w:tcPr>
          <w:p w14:paraId="40D779C6">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7.0</w:t>
            </w:r>
          </w:p>
        </w:tc>
        <w:tc>
          <w:tcPr>
            <w:tcW w:w="5219" w:type="dxa"/>
            <w:shd w:val="clear" w:color="auto" w:fill="auto"/>
            <w:vAlign w:val="center"/>
          </w:tcPr>
          <w:p w14:paraId="25676A23">
            <w:pPr>
              <w:pStyle w:val="20"/>
              <w:snapToGrid w:val="0"/>
              <w:ind w:left="0" w:leftChars="0" w:firstLine="0" w:firstLineChars="0"/>
              <w:jc w:val="left"/>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适用于高度1.5m以内的150mm混凝土女儿墙。</w:t>
            </w:r>
          </w:p>
        </w:tc>
      </w:tr>
    </w:tbl>
    <w:p w14:paraId="6AA28ED2">
      <w:pPr>
        <w:pStyle w:val="80"/>
        <w:spacing w:line="360" w:lineRule="auto"/>
        <w:ind w:left="720" w:firstLine="0" w:firstLineChars="0"/>
        <w:jc w:val="center"/>
        <w:rPr>
          <w:rFonts w:hint="eastAsia" w:ascii="宋体" w:hAnsi="宋体" w:cs="宋体"/>
          <w:color w:val="000000" w:themeColor="text1"/>
          <w:highlight w:val="none"/>
          <w14:textFill>
            <w14:solidFill>
              <w14:schemeClr w14:val="tx1"/>
            </w14:solidFill>
          </w14:textFill>
        </w:rPr>
      </w:pPr>
    </w:p>
    <w:p w14:paraId="794DFC6E">
      <w:pPr>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表2.3.4节点荷载取值表</w:t>
      </w:r>
    </w:p>
    <w:tbl>
      <w:tblPr>
        <w:tblStyle w:val="42"/>
        <w:tblW w:w="81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8"/>
        <w:gridCol w:w="2729"/>
        <w:gridCol w:w="2973"/>
      </w:tblGrid>
      <w:tr w14:paraId="207E7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tcBorders>
              <w:top w:val="single" w:color="auto" w:sz="4" w:space="0"/>
            </w:tcBorders>
            <w:shd w:val="clear" w:color="auto" w:fill="auto"/>
            <w:vAlign w:val="center"/>
          </w:tcPr>
          <w:p w14:paraId="3FDA089D">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荷载类别</w:t>
            </w:r>
          </w:p>
        </w:tc>
        <w:tc>
          <w:tcPr>
            <w:tcW w:w="2729" w:type="dxa"/>
            <w:tcBorders>
              <w:top w:val="single" w:color="auto" w:sz="4" w:space="0"/>
            </w:tcBorders>
            <w:shd w:val="clear" w:color="auto" w:fill="auto"/>
            <w:vAlign w:val="center"/>
          </w:tcPr>
          <w:p w14:paraId="2A89443B">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荷载（kN）</w:t>
            </w:r>
          </w:p>
        </w:tc>
        <w:tc>
          <w:tcPr>
            <w:tcW w:w="2973" w:type="dxa"/>
            <w:tcBorders>
              <w:top w:val="single" w:color="auto" w:sz="4" w:space="0"/>
            </w:tcBorders>
            <w:shd w:val="clear" w:color="auto" w:fill="auto"/>
            <w:vAlign w:val="center"/>
          </w:tcPr>
          <w:p w14:paraId="6F0B5310">
            <w:pPr>
              <w:pStyle w:val="20"/>
              <w:snapToGrid w:val="0"/>
              <w:ind w:left="0" w:leftChars="0" w:firstLine="0" w:firstLineChars="0"/>
              <w:jc w:val="center"/>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备注</w:t>
            </w:r>
          </w:p>
        </w:tc>
      </w:tr>
      <w:tr w14:paraId="6F16E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shd w:val="clear" w:color="auto" w:fill="auto"/>
            <w:vAlign w:val="center"/>
          </w:tcPr>
          <w:p w14:paraId="2FEF3B7B">
            <w:pPr>
              <w:jc w:val="center"/>
              <w:rPr>
                <w:rFonts w:hint="eastAsia" w:ascii="宋体" w:hAnsi="宋体" w:eastAsia="宋体" w:cs="宋体"/>
                <w:bCs/>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电梯挂钩荷载</w:t>
            </w:r>
          </w:p>
        </w:tc>
        <w:tc>
          <w:tcPr>
            <w:tcW w:w="2729" w:type="dxa"/>
            <w:shd w:val="clear" w:color="auto" w:fill="auto"/>
            <w:vAlign w:val="center"/>
          </w:tcPr>
          <w:p w14:paraId="07C9A492">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2973" w:type="dxa"/>
            <w:shd w:val="clear" w:color="auto" w:fill="auto"/>
            <w:vAlign w:val="center"/>
          </w:tcPr>
          <w:p w14:paraId="5DBB2212">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r>
      <w:tr w14:paraId="3F055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shd w:val="clear" w:color="auto" w:fill="auto"/>
            <w:vAlign w:val="center"/>
          </w:tcPr>
          <w:p w14:paraId="5D853DEA">
            <w:pPr>
              <w:jc w:val="center"/>
              <w:rPr>
                <w:rFonts w:hint="eastAsia" w:ascii="宋体" w:hAnsi="宋体" w:eastAsia="宋体" w:cs="宋体"/>
                <w:bCs/>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扶梯荷载</w:t>
            </w:r>
          </w:p>
        </w:tc>
        <w:tc>
          <w:tcPr>
            <w:tcW w:w="2729" w:type="dxa"/>
            <w:shd w:val="clear" w:color="auto" w:fill="auto"/>
            <w:vAlign w:val="center"/>
          </w:tcPr>
          <w:p w14:paraId="5BA534D0">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按扶梯长度查表</w:t>
            </w:r>
          </w:p>
        </w:tc>
        <w:tc>
          <w:tcPr>
            <w:tcW w:w="2973" w:type="dxa"/>
            <w:shd w:val="clear" w:color="auto" w:fill="auto"/>
            <w:vAlign w:val="center"/>
          </w:tcPr>
          <w:p w14:paraId="6BE80499">
            <w:pPr>
              <w:pStyle w:val="20"/>
              <w:snapToGrid w:val="0"/>
              <w:ind w:left="0" w:leftChars="0" w:firstLine="0" w:firstLineChars="0"/>
              <w:jc w:val="center"/>
              <w:rPr>
                <w:rFonts w:hint="eastAsia" w:ascii="宋体" w:hAnsi="宋体" w:cs="宋体"/>
                <w:bCs/>
                <w:color w:val="000000" w:themeColor="text1"/>
                <w:szCs w:val="21"/>
                <w:highlight w:val="none"/>
                <w14:textFill>
                  <w14:solidFill>
                    <w14:schemeClr w14:val="tx1"/>
                  </w14:solidFill>
                </w14:textFill>
              </w:rPr>
            </w:pPr>
          </w:p>
        </w:tc>
      </w:tr>
    </w:tbl>
    <w:p w14:paraId="4AED0021">
      <w:pPr>
        <w:pStyle w:val="80"/>
        <w:spacing w:line="360" w:lineRule="auto"/>
        <w:ind w:left="720" w:firstLine="0" w:firstLineChars="0"/>
        <w:rPr>
          <w:rFonts w:hint="eastAsia" w:ascii="宋体" w:hAnsi="宋体" w:cs="宋体"/>
          <w:b/>
          <w:color w:val="000000" w:themeColor="text1"/>
          <w:sz w:val="24"/>
          <w:szCs w:val="24"/>
          <w:highlight w:val="none"/>
          <w14:textFill>
            <w14:solidFill>
              <w14:schemeClr w14:val="tx1"/>
            </w14:solidFill>
          </w14:textFill>
        </w:rPr>
      </w:pPr>
    </w:p>
    <w:p w14:paraId="012ADC17">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2.3.2 混凝土强度</w:t>
      </w:r>
    </w:p>
    <w:p w14:paraId="644A199F">
      <w:pPr>
        <w:pStyle w:val="24"/>
        <w:ind w:left="440" w:leftChars="200" w:firstLine="0" w:firstLineChars="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2.3.2.1 塔楼剪力墙宜取C30～C55；塔楼的梁、板采宜用C30；转换构件可取C40。</w:t>
      </w:r>
    </w:p>
    <w:p w14:paraId="09C5DC9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2.3.2.2 地下室基础、承台、底板、地梁取C35~C40，抗渗等级取P6~P8。地下室顶板位置的梁、板及侧墙取C35，抗渗等级取P6~P8。地下室中间层梁、板可取C30。</w:t>
      </w:r>
    </w:p>
    <w:p w14:paraId="06ACDE3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2.3.2.3 纯地下柱子、人防墙取C30~C50。</w:t>
      </w:r>
    </w:p>
    <w:p w14:paraId="30D55E1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2.3.2.4 灌注桩的承载力由桩身强度控制时取C40；上部荷载较小时取C30~C35。</w:t>
      </w:r>
    </w:p>
    <w:p w14:paraId="0486583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2.3.2.5防水混凝土构件的垫层混凝土强度等级为C15，有防腐蚀性要求时采用C20。</w:t>
      </w:r>
    </w:p>
    <w:p w14:paraId="30F4007E">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2.3.3 钢筋强度</w:t>
      </w:r>
    </w:p>
    <w:p w14:paraId="1BC39D9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2.3.3.1 结构受力钢筋可采用HRB400、HRB500级钢筋。地下室顶板大于12的梁纵筋优先采用HRB500级钢筋，</w:t>
      </w:r>
    </w:p>
    <w:p w14:paraId="3A809B91">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2.3.3.2 抗震等级为一、二、三、四级的框架梁、柱构件和斜撑（含梯段），其纵向受力钢筋采用带E编号的钢筋。</w:t>
      </w:r>
    </w:p>
    <w:p w14:paraId="72DCE5F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2.3.3.3 装配式吊装吊钩、电梯挂钩采用HRB300级钢筋。</w:t>
      </w:r>
    </w:p>
    <w:p w14:paraId="1F6FEC5C">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2.3.4 钢材</w:t>
      </w:r>
    </w:p>
    <w:p w14:paraId="23CB49FC">
      <w:pPr>
        <w:pStyle w:val="24"/>
        <w:numPr>
          <w:ilvl w:val="255"/>
          <w:numId w:val="0"/>
        </w:numPr>
        <w:ind w:firstLine="480" w:firstLineChars="200"/>
        <w:textAlignment w:val="baseline"/>
        <w:rPr>
          <w:rFonts w:hint="eastAsia" w:hAnsi="宋体" w:cs="宋体"/>
          <w:bCs/>
          <w:color w:val="000000" w:themeColor="text1"/>
          <w:szCs w:val="24"/>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钢材强度取Q</w:t>
      </w:r>
      <w:r>
        <w:rPr>
          <w:rFonts w:hint="eastAsia" w:hAnsi="宋体" w:cs="宋体"/>
          <w:bCs/>
          <w:color w:val="000000" w:themeColor="text1"/>
          <w:szCs w:val="24"/>
          <w:highlight w:val="none"/>
          <w14:textFill>
            <w14:solidFill>
              <w14:schemeClr w14:val="tx1"/>
            </w14:solidFill>
          </w14:textFill>
        </w:rPr>
        <w:t>255B级、Q355B级、Q390B级。</w:t>
      </w:r>
    </w:p>
    <w:p w14:paraId="48E203BD">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2.3.5 地基与基础</w:t>
      </w:r>
    </w:p>
    <w:p w14:paraId="21B6568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2.3.5.1 管桩基础一般宜采用直径500~600的PHC管桩。小型附属建筑可采用直径400的PHC管桩。</w:t>
      </w:r>
    </w:p>
    <w:p w14:paraId="6B22765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2.3.5.2 岩溶地区采用PHC管桩时，若溶洞顶板上部土层嵌固条件不佳，宜采用AB型管桩，且适当降低桩的承载力。500直径的PHC管桩承载力可取800~1200kN，其它正常情况承载力特征值可取1800~2200kN。</w:t>
      </w:r>
    </w:p>
    <w:p w14:paraId="24221C9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2.3.5.3 同一项目的灌注桩的桩径不宜超过3种。</w:t>
      </w:r>
    </w:p>
    <w:p w14:paraId="4BB020A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2.3.5.4 地下室灌注桩的抗拔桩设计宜采用单柱单桩。</w:t>
      </w:r>
    </w:p>
    <w:p w14:paraId="3EE279C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2.3.5.5 复合地基时，宜采用长螺旋杆钻孔成桩，孔径为500~600mm，桩身混凝土强度等级C25，桩顶和筏板基础之间设置200厚的中粗砂褥垫层。</w:t>
      </w:r>
    </w:p>
    <w:p w14:paraId="11673EA2">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2.3.6 地下室结构</w:t>
      </w:r>
    </w:p>
    <w:p w14:paraId="40DA972E">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2.3.6.1 塔楼范围外的地下室顶板采用主梁和加腋大板结构，底板采用无梁楼盖；两层地下室时负一层非人防区采用单向双次梁的梁板结构，人防区顶板采用无梁楼盖。2.3.6.2 一般情况下地下室的结构构件截面图下表所示，非常规位置依据计算确定。</w:t>
      </w:r>
    </w:p>
    <w:tbl>
      <w:tblPr>
        <w:tblStyle w:val="42"/>
        <w:tblW w:w="697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17"/>
        <w:gridCol w:w="2430"/>
        <w:gridCol w:w="3031"/>
      </w:tblGrid>
      <w:tr w14:paraId="767976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1CE6A0BF">
            <w:pPr>
              <w:pStyle w:val="63"/>
              <w:ind w:firstLine="0" w:firstLineChars="0"/>
              <w:jc w:val="center"/>
              <w:textAlignment w:val="baseline"/>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位置</w:t>
            </w:r>
          </w:p>
        </w:tc>
        <w:tc>
          <w:tcPr>
            <w:tcW w:w="2430" w:type="dxa"/>
            <w:shd w:val="clear" w:color="auto" w:fill="auto"/>
          </w:tcPr>
          <w:p w14:paraId="56B17B7A">
            <w:pPr>
              <w:pStyle w:val="63"/>
              <w:ind w:firstLine="0" w:firstLineChars="0"/>
              <w:jc w:val="center"/>
              <w:textAlignment w:val="baseline"/>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一层地下室</w:t>
            </w:r>
          </w:p>
        </w:tc>
        <w:tc>
          <w:tcPr>
            <w:tcW w:w="3031" w:type="dxa"/>
            <w:shd w:val="clear" w:color="auto" w:fill="auto"/>
          </w:tcPr>
          <w:p w14:paraId="71DAEB15">
            <w:pPr>
              <w:pStyle w:val="63"/>
              <w:ind w:firstLine="0" w:firstLineChars="0"/>
              <w:jc w:val="center"/>
              <w:textAlignment w:val="baseline"/>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sz w:val="21"/>
                <w:szCs w:val="21"/>
                <w:highlight w:val="none"/>
                <w14:textFill>
                  <w14:solidFill>
                    <w14:schemeClr w14:val="tx1"/>
                  </w14:solidFill>
                </w14:textFill>
              </w:rPr>
              <w:t>二层地下室</w:t>
            </w:r>
          </w:p>
        </w:tc>
      </w:tr>
      <w:tr w14:paraId="51E48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2CD0293C">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底板厚度</w:t>
            </w:r>
          </w:p>
        </w:tc>
        <w:tc>
          <w:tcPr>
            <w:tcW w:w="2430" w:type="dxa"/>
            <w:shd w:val="clear" w:color="auto" w:fill="auto"/>
          </w:tcPr>
          <w:p w14:paraId="48CABFA2">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350~400</w:t>
            </w:r>
          </w:p>
        </w:tc>
        <w:tc>
          <w:tcPr>
            <w:tcW w:w="3031" w:type="dxa"/>
            <w:shd w:val="clear" w:color="auto" w:fill="auto"/>
          </w:tcPr>
          <w:p w14:paraId="252685B7">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450~500</w:t>
            </w:r>
          </w:p>
        </w:tc>
      </w:tr>
      <w:tr w14:paraId="0D58C0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47C7CAE5">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顶板梁截面</w:t>
            </w:r>
          </w:p>
        </w:tc>
        <w:tc>
          <w:tcPr>
            <w:tcW w:w="5461" w:type="dxa"/>
            <w:gridSpan w:val="2"/>
            <w:shd w:val="clear" w:color="auto" w:fill="auto"/>
          </w:tcPr>
          <w:p w14:paraId="56BF8B88">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非人防区400~500x800；人防区：600x800、600x900</w:t>
            </w:r>
          </w:p>
        </w:tc>
      </w:tr>
      <w:tr w14:paraId="64E3D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20D0EA58">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顶板板厚</w:t>
            </w:r>
          </w:p>
        </w:tc>
        <w:tc>
          <w:tcPr>
            <w:tcW w:w="5461" w:type="dxa"/>
            <w:gridSpan w:val="2"/>
            <w:shd w:val="clear" w:color="auto" w:fill="auto"/>
          </w:tcPr>
          <w:p w14:paraId="09BAF8B4">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人防区：350；非人防区：250</w:t>
            </w:r>
          </w:p>
        </w:tc>
      </w:tr>
      <w:tr w14:paraId="02F2B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13B62B49">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塔楼区域板厚</w:t>
            </w:r>
          </w:p>
        </w:tc>
        <w:tc>
          <w:tcPr>
            <w:tcW w:w="5461" w:type="dxa"/>
            <w:gridSpan w:val="2"/>
            <w:shd w:val="clear" w:color="auto" w:fill="auto"/>
          </w:tcPr>
          <w:p w14:paraId="4EA74AF0">
            <w:pPr>
              <w:pStyle w:val="63"/>
              <w:ind w:firstLine="0" w:firstLineChars="0"/>
              <w:jc w:val="center"/>
              <w:textAlignment w:val="baseline"/>
              <w:rPr>
                <w:rStyle w:val="81"/>
                <w:rFonts w:hint="eastAsia" w:ascii="宋体" w:hAnsi="宋体" w:cs="宋体"/>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顶板180（160）；中间层120；人防在负二层时人防区负一层板厚按人防计算需要。</w:t>
            </w:r>
          </w:p>
        </w:tc>
      </w:tr>
      <w:tr w14:paraId="49846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34074280">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侧壁厚度</w:t>
            </w:r>
          </w:p>
        </w:tc>
        <w:tc>
          <w:tcPr>
            <w:tcW w:w="2430" w:type="dxa"/>
            <w:shd w:val="clear" w:color="auto" w:fill="auto"/>
          </w:tcPr>
          <w:p w14:paraId="158EF814">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300</w:t>
            </w:r>
          </w:p>
        </w:tc>
        <w:tc>
          <w:tcPr>
            <w:tcW w:w="3031" w:type="dxa"/>
            <w:shd w:val="clear" w:color="auto" w:fill="auto"/>
          </w:tcPr>
          <w:p w14:paraId="28CFDE00">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负一层300；负二层350</w:t>
            </w:r>
          </w:p>
        </w:tc>
      </w:tr>
      <w:tr w14:paraId="786E3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781B4FF3">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柱截面</w:t>
            </w:r>
          </w:p>
        </w:tc>
        <w:tc>
          <w:tcPr>
            <w:tcW w:w="2430" w:type="dxa"/>
            <w:shd w:val="clear" w:color="auto" w:fill="auto"/>
          </w:tcPr>
          <w:p w14:paraId="4AD7256C">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500X600、600X600</w:t>
            </w:r>
          </w:p>
        </w:tc>
        <w:tc>
          <w:tcPr>
            <w:tcW w:w="3031" w:type="dxa"/>
            <w:shd w:val="clear" w:color="auto" w:fill="auto"/>
          </w:tcPr>
          <w:p w14:paraId="3AC37BB9">
            <w:pPr>
              <w:pStyle w:val="63"/>
              <w:ind w:firstLine="0" w:firstLineChars="0"/>
              <w:jc w:val="center"/>
              <w:textAlignment w:val="baseline"/>
              <w:rPr>
                <w:rFonts w:hint="eastAsia" w:ascii="宋体" w:hAnsi="宋体" w:eastAsia="宋体" w:cs="宋体"/>
                <w:bCs/>
                <w:color w:val="000000" w:themeColor="text1"/>
                <w:sz w:val="21"/>
                <w:szCs w:val="21"/>
                <w:highlight w:val="none"/>
                <w14:textFill>
                  <w14:solidFill>
                    <w14:schemeClr w14:val="tx1"/>
                  </w14:solidFill>
                </w14:textFill>
              </w:rPr>
            </w:pPr>
            <w:r>
              <w:rPr>
                <w:rStyle w:val="81"/>
                <w:rFonts w:hint="eastAsia" w:ascii="宋体" w:hAnsi="宋体" w:cs="宋体"/>
                <w:color w:val="000000" w:themeColor="text1"/>
                <w:sz w:val="21"/>
                <w:szCs w:val="21"/>
                <w:highlight w:val="none"/>
                <w14:textFill>
                  <w14:solidFill>
                    <w14:schemeClr w14:val="tx1"/>
                  </w14:solidFill>
                </w14:textFill>
              </w:rPr>
              <w:t>500X600~700、600X600</w:t>
            </w:r>
          </w:p>
        </w:tc>
      </w:tr>
    </w:tbl>
    <w:p w14:paraId="37A98663">
      <w:pPr>
        <w:pStyle w:val="63"/>
        <w:spacing w:before="78" w:beforeLines="25"/>
        <w:textAlignment w:val="baseline"/>
        <w:rPr>
          <w:rStyle w:val="81"/>
          <w:rFonts w:hint="eastAsia" w:ascii="宋体" w:hAnsi="宋体" w:cs="宋体"/>
          <w:bCs/>
          <w:color w:val="000000" w:themeColor="text1"/>
          <w:sz w:val="21"/>
          <w:szCs w:val="21"/>
          <w:highlight w:val="none"/>
          <w14:textFill>
            <w14:solidFill>
              <w14:schemeClr w14:val="tx1"/>
            </w14:solidFill>
          </w14:textFill>
        </w:rPr>
      </w:pPr>
      <w:r>
        <w:rPr>
          <w:rStyle w:val="81"/>
          <w:rFonts w:hint="eastAsia" w:ascii="宋体" w:hAnsi="宋体" w:cs="宋体"/>
          <w:bCs/>
          <w:color w:val="000000" w:themeColor="text1"/>
          <w:sz w:val="21"/>
          <w:szCs w:val="21"/>
          <w:highlight w:val="none"/>
          <w14:textFill>
            <w14:solidFill>
              <w14:schemeClr w14:val="tx1"/>
            </w14:solidFill>
          </w14:textFill>
        </w:rPr>
        <w:t>注：</w:t>
      </w:r>
    </w:p>
    <w:p w14:paraId="7D955A81">
      <w:pPr>
        <w:pStyle w:val="63"/>
        <w:spacing w:before="78" w:beforeLines="25"/>
        <w:textAlignment w:val="baseline"/>
        <w:rPr>
          <w:rStyle w:val="81"/>
          <w:rFonts w:hint="eastAsia" w:ascii="宋体" w:hAnsi="宋体" w:cs="宋体"/>
          <w:bCs/>
          <w:color w:val="000000" w:themeColor="text1"/>
          <w:sz w:val="21"/>
          <w:szCs w:val="21"/>
          <w:highlight w:val="none"/>
          <w14:textFill>
            <w14:solidFill>
              <w14:schemeClr w14:val="tx1"/>
            </w14:solidFill>
          </w14:textFill>
        </w:rPr>
      </w:pPr>
      <w:r>
        <w:rPr>
          <w:rStyle w:val="81"/>
          <w:rFonts w:hint="eastAsia" w:ascii="宋体" w:hAnsi="宋体" w:cs="宋体"/>
          <w:bCs/>
          <w:color w:val="000000" w:themeColor="text1"/>
          <w:sz w:val="21"/>
          <w:szCs w:val="21"/>
          <w:highlight w:val="none"/>
          <w14:textFill>
            <w14:solidFill>
              <w14:schemeClr w14:val="tx1"/>
            </w14:solidFill>
          </w14:textFill>
        </w:rPr>
        <w:t>1）采用7800~8100柱网计算。</w:t>
      </w:r>
    </w:p>
    <w:p w14:paraId="65BDFF32">
      <w:pPr>
        <w:pStyle w:val="63"/>
        <w:spacing w:before="78" w:beforeLines="25"/>
        <w:textAlignment w:val="baseline"/>
        <w:rPr>
          <w:rStyle w:val="81"/>
          <w:rFonts w:hint="eastAsia" w:ascii="宋体" w:hAnsi="宋体" w:cs="宋体"/>
          <w:bCs/>
          <w:color w:val="000000" w:themeColor="text1"/>
          <w:sz w:val="21"/>
          <w:szCs w:val="21"/>
          <w:highlight w:val="none"/>
          <w14:textFill>
            <w14:solidFill>
              <w14:schemeClr w14:val="tx1"/>
            </w14:solidFill>
          </w14:textFill>
        </w:rPr>
      </w:pPr>
      <w:r>
        <w:rPr>
          <w:rStyle w:val="81"/>
          <w:rFonts w:hint="eastAsia" w:ascii="宋体" w:hAnsi="宋体" w:cs="宋体"/>
          <w:bCs/>
          <w:color w:val="000000" w:themeColor="text1"/>
          <w:sz w:val="21"/>
          <w:szCs w:val="21"/>
          <w:highlight w:val="none"/>
          <w14:textFill>
            <w14:solidFill>
              <w14:schemeClr w14:val="tx1"/>
            </w14:solidFill>
          </w14:textFill>
        </w:rPr>
        <w:t>2）括号内为基础嵌固时的尺寸。</w:t>
      </w:r>
    </w:p>
    <w:p w14:paraId="44F41694">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2.3.6.3 地下室不设伸缩缝。地下室抗裂设计采用加强楼板、侧壁的配筋及设置后浇带（或加强带）做法，长度过大时，可采用温度沟释放温度应力。</w:t>
      </w:r>
    </w:p>
    <w:p w14:paraId="6312F771">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2.3.6.4 采用温度沟通释放温度应力时，应统一采用外凸设置（顶板朝上、底板朝下、侧壁朝外），地下室中间层楼板应分缝。外凸位置不得影响市政管线的安装。</w:t>
      </w:r>
    </w:p>
    <w:p w14:paraId="69AB956C">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2.3.6.5 地下室构件除后浇带外外原则上不采用混凝土膨胀剂。</w:t>
      </w:r>
    </w:p>
    <w:p w14:paraId="7690353C">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2.3.6.6 地下室顶板室内外高差较大时，应对主梁进行加腋。</w:t>
      </w:r>
    </w:p>
    <w:p w14:paraId="1557394F">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2.3.6.7 地下室构件的裂缝计算采用常年水位、保护层厚度取30mm。</w:t>
      </w:r>
    </w:p>
    <w:p w14:paraId="4E3E3E93">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2.3.6.8 地下室顶板梁底筋不应全部伸入支座；梁面筋采用拉通+架立筋的配筋方式。</w:t>
      </w:r>
    </w:p>
    <w:p w14:paraId="44F3740E">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2.3.6.9 地下室外墙应采用分离式配筋，非人防区双侧拉通筋的配筋率取0.3%。</w:t>
      </w:r>
    </w:p>
    <w:p w14:paraId="4AB81115">
      <w:pPr>
        <w:pStyle w:val="63"/>
        <w:snapToGrid/>
        <w:spacing w:before="0" w:after="0" w:line="360" w:lineRule="auto"/>
        <w:ind w:firstLine="480"/>
        <w:jc w:val="both"/>
        <w:textAlignment w:val="baseline"/>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 xml:space="preserve">2.3.6.10 </w:t>
      </w:r>
      <w:r>
        <w:rPr>
          <w:rFonts w:ascii="宋体" w:hAnsi="宋体" w:eastAsia="宋体" w:cs="宋体"/>
          <w:bCs/>
          <w:color w:val="000000" w:themeColor="text1"/>
          <w:sz w:val="24"/>
          <w:szCs w:val="24"/>
          <w:highlight w:val="none"/>
          <w14:textFill>
            <w14:solidFill>
              <w14:schemeClr w14:val="tx1"/>
            </w14:solidFill>
          </w14:textFill>
        </w:rPr>
        <w:t>(10)</w:t>
      </w:r>
      <w:r>
        <w:rPr>
          <w:rFonts w:ascii="宋体" w:hAnsi="宋体" w:eastAsia="宋体" w:cs="宋体"/>
          <w:bCs/>
          <w:color w:val="000000" w:themeColor="text1"/>
          <w:sz w:val="24"/>
          <w:szCs w:val="24"/>
          <w:highlight w:val="none"/>
          <w14:textFill>
            <w14:solidFill>
              <w14:schemeClr w14:val="tx1"/>
            </w14:solidFill>
          </w14:textFill>
        </w:rPr>
        <w:tab/>
      </w:r>
      <w:r>
        <w:rPr>
          <w:rFonts w:ascii="宋体" w:hAnsi="宋体" w:eastAsia="宋体" w:cs="宋体"/>
          <w:bCs/>
          <w:color w:val="000000" w:themeColor="text1"/>
          <w:sz w:val="24"/>
          <w:szCs w:val="24"/>
          <w:highlight w:val="none"/>
          <w14:textFill>
            <w14:solidFill>
              <w14:schemeClr w14:val="tx1"/>
            </w14:solidFill>
          </w14:textFill>
        </w:rPr>
        <w:t>地下室非人防区顶板拉通筋配筋率为0.25%，中间层拉通筋配筋率为0.20%，底板拉通筋配筋率为0.20%；不足处另加钢筋；钢筋间距以10mm取整。人防区按人防规范要求。</w:t>
      </w:r>
    </w:p>
    <w:p w14:paraId="12741DDC">
      <w:pPr>
        <w:pStyle w:val="63"/>
        <w:snapToGrid/>
        <w:spacing w:before="0" w:after="0" w:line="360" w:lineRule="auto"/>
        <w:ind w:firstLine="442"/>
        <w:jc w:val="both"/>
        <w:textAlignment w:val="baseline"/>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cs="宋体"/>
          <w:b/>
          <w:bCs/>
          <w:color w:val="000000" w:themeColor="text1"/>
          <w:highlight w:val="none"/>
          <w14:textFill>
            <w14:solidFill>
              <w14:schemeClr w14:val="tx1"/>
            </w14:solidFill>
          </w14:textFill>
        </w:rPr>
        <w:t>2.3.7 塔楼竖向结构</w:t>
      </w:r>
    </w:p>
    <w:p w14:paraId="0BAA427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2.3.7.1 装配式建筑的外墙应优先采用全剪力墙外墙，可采用双面叠合剪力墙。</w:t>
      </w:r>
    </w:p>
    <w:p w14:paraId="1DC5666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2.3.7.2 剪力墙尽量布置于卫生间、厨房等无改造需求的位置。</w:t>
      </w:r>
    </w:p>
    <w:p w14:paraId="38F6C26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2.3.7.3 墙柱双向均应有拉结梁（或适当加厚板，设置暗梁），避免仅单向有梁拉结的单向墙柱出现；如无法避免，应对单向墙柱进行平面外的承载力、稳定性复核。</w:t>
      </w:r>
    </w:p>
    <w:p w14:paraId="6D8CD7B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2.3.7.4 剪力墙布置优先采用L型、T型、Z型等形状，尽量避免一字墙。</w:t>
      </w:r>
    </w:p>
    <w:p w14:paraId="4F3C495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2.3.7.5 应严格控制短肢剪力墙的数量，其倾覆力矩占比不得大于总倾覆力矩的30%。</w:t>
      </w:r>
    </w:p>
    <w:p w14:paraId="56D681EB">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2.3.8 塔楼水平结构</w:t>
      </w:r>
    </w:p>
    <w:p w14:paraId="7E43031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2.3.8.1 水平楼盖结构可采用大跨度楼盖。</w:t>
      </w:r>
    </w:p>
    <w:p w14:paraId="6BDB5B3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2.3.8.2 户内梁不露梁的优先顺序：客厅—餐厅—主卧室—次卧室—内走道—其它空间。</w:t>
      </w:r>
    </w:p>
    <w:p w14:paraId="5946DAD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2.3.8.3 梁不应穿越客餐一体厅，客厅、餐厅、卧室、书房、大堂顶部等完整空间。</w:t>
      </w:r>
    </w:p>
    <w:p w14:paraId="0E465B2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2.3.8.4 独立客厅与独立餐厅间的梁，应优先采用暗梁，设置梁时，梁高不得超过400mm。</w:t>
      </w:r>
    </w:p>
    <w:p w14:paraId="3C24847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2.3.8.5 梁不宜穿越门洞正上方。不宜穿越厨房、厕所，如有穿越梁高不得超过450mm。</w:t>
      </w:r>
    </w:p>
    <w:p w14:paraId="5FFBC9F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2.3.8.6 标准层室内梁高尽量控制在450~500mm；飘窗位置梁高取到窗台顶标高；其它外露的非主受力构件的小梁采用150~200mmx350mm。</w:t>
      </w:r>
    </w:p>
    <w:p w14:paraId="5980BE2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2.3.8.7户内有墙位置的梁高宜统一。</w:t>
      </w:r>
    </w:p>
    <w:p w14:paraId="3B0CF1A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2.3.8.8 叠合板跨度小于2.8m，不设置小次梁。</w:t>
      </w:r>
    </w:p>
    <w:p w14:paraId="7A9F9909">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2.3.8.9 住宅建筑不宜设置转角窗。转角窗不能拉斜梁时，楼板厚度不应小于140mm，采用暗梁拉结相应剪力墙。</w:t>
      </w:r>
    </w:p>
    <w:p w14:paraId="57BEFAC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2.3.8.10 核心筒、细腰结构等薄弱位置宜采用现浇楼盖，板厚取150mm；采用叠合板时，应适当加强。一般部位的楼板厚度可参照L/30（单向板）或L/35（双向板）取值。</w:t>
      </w:r>
    </w:p>
    <w:p w14:paraId="54A6D47E">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2.3.9 其它构造</w:t>
      </w:r>
    </w:p>
    <w:p w14:paraId="1F32D4D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2.3.9.1 飘板厚度不大于100mm时按单层配筋，受力筋用8@150，构造筋用6@200。120mm厚及以上按双层配筋，构造筋用8@200，受力筋按计算配置；抗裂钢筋按总说明。</w:t>
      </w:r>
    </w:p>
    <w:p w14:paraId="7C1B371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2.3.9.2 混凝土竖向线条构造柱，竖向纵筋采用8，水平筋采用6@200。若有受力需要时，按计算设置。</w:t>
      </w:r>
    </w:p>
    <w:p w14:paraId="3B1DF73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2.3.9.3 地下室底板下为淤泥且施工换填厚度不足时，底板的垫层厚度可取150mm。</w:t>
      </w:r>
    </w:p>
    <w:p w14:paraId="07A14B0E">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2.3.10 叠合板</w:t>
      </w:r>
    </w:p>
    <w:p w14:paraId="51C8FE4C">
      <w:pPr>
        <w:pStyle w:val="24"/>
        <w:ind w:firstLine="480"/>
        <w:rPr>
          <w:rFonts w:hint="eastAsia" w:hAnsi="宋体" w:cs="宋体"/>
          <w:color w:val="000000" w:themeColor="text1"/>
          <w:highlight w:val="none"/>
          <w14:textFill>
            <w14:solidFill>
              <w14:schemeClr w14:val="tx1"/>
            </w14:solidFill>
          </w14:textFill>
        </w:rPr>
      </w:pPr>
      <w:bookmarkStart w:id="315" w:name="_Toc87291635"/>
      <w:r>
        <w:rPr>
          <w:rFonts w:hint="eastAsia" w:hAnsi="宋体" w:cs="宋体"/>
          <w:color w:val="000000" w:themeColor="text1"/>
          <w:highlight w:val="none"/>
          <w14:textFill>
            <w14:solidFill>
              <w14:schemeClr w14:val="tx1"/>
            </w14:solidFill>
          </w14:textFill>
        </w:rPr>
        <w:t>2.3.10.1</w:t>
      </w:r>
      <w:r>
        <w:rPr>
          <w:rFonts w:hAnsi="宋体" w:cs="宋体"/>
          <w:color w:val="000000" w:themeColor="text1"/>
          <w:highlight w:val="none"/>
          <w14:textFill>
            <w14:solidFill>
              <w14:schemeClr w14:val="tx1"/>
            </w14:solidFill>
          </w14:textFill>
        </w:rPr>
        <w:tab/>
      </w:r>
      <w:r>
        <w:rPr>
          <w:rFonts w:hAnsi="宋体" w:cs="宋体"/>
          <w:color w:val="000000" w:themeColor="text1"/>
          <w:highlight w:val="none"/>
          <w14:textFill>
            <w14:solidFill>
              <w14:schemeClr w14:val="tx1"/>
            </w14:solidFill>
          </w14:textFill>
        </w:rPr>
        <w:t>卧室、书房等叠合板可采用60mm（预制）+70mm（现浇）做法；客厅位置采用60mm（预制）+80mm（现浇）做法，计算厚度大于140时，按实际取值。屋面层采用60mm（预制）+100mm（现浇）做法。</w:t>
      </w:r>
    </w:p>
    <w:p w14:paraId="26D09BE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2.3.10.2</w:t>
      </w:r>
      <w:r>
        <w:rPr>
          <w:rFonts w:hAnsi="宋体" w:cs="宋体"/>
          <w:color w:val="000000" w:themeColor="text1"/>
          <w:highlight w:val="none"/>
          <w14:textFill>
            <w14:solidFill>
              <w14:schemeClr w14:val="tx1"/>
            </w14:solidFill>
          </w14:textFill>
        </w:rPr>
        <w:t>拆分后的叠合板宽宜取相同宽度，预制板宽度（含钢筋）不宜超过2.8m，不应超过3m，长度不宜超过6m。</w:t>
      </w:r>
    </w:p>
    <w:p w14:paraId="2BF8BA4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2.3.10.3</w:t>
      </w:r>
      <w:r>
        <w:rPr>
          <w:rFonts w:hAnsi="宋体" w:cs="宋体"/>
          <w:color w:val="000000" w:themeColor="text1"/>
          <w:highlight w:val="none"/>
          <w14:textFill>
            <w14:solidFill>
              <w14:schemeClr w14:val="tx1"/>
            </w14:solidFill>
          </w14:textFill>
        </w:rPr>
        <w:t>采用不出筋叠合板时，现浇层厚度不应小于80mm。</w:t>
      </w:r>
      <w:bookmarkEnd w:id="315"/>
    </w:p>
    <w:p w14:paraId="000F8187">
      <w:pPr>
        <w:pStyle w:val="63"/>
        <w:snapToGrid/>
        <w:spacing w:before="0" w:after="0" w:line="360" w:lineRule="auto"/>
        <w:ind w:firstLine="440"/>
        <w:jc w:val="both"/>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2.3.11 预制楼梯</w:t>
      </w:r>
    </w:p>
    <w:p w14:paraId="6DE8C6F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2.3.11.1 预制楼梯应采用一端固定一端滑动简支或者两端简支的方式与主体结构连接，且应采取有效的构造措施防止梯段滑落。结构计算时可不考虑楼梯构件的影响。</w:t>
      </w:r>
    </w:p>
    <w:p w14:paraId="162526E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2.3.11.2 预制楼梯旁边如为无侧向支撑的剪力墙，应补充该剪力墙的稳定性分析；梯段中间宜设置与墙体的侧向连接，宜结合外立面设置竖向加劲肋墙。</w:t>
      </w:r>
    </w:p>
    <w:p w14:paraId="2A515BAF">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2.3.12 预制飘窗</w:t>
      </w:r>
    </w:p>
    <w:p w14:paraId="0E37092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2.3.12.1 标准化的飘窗宜采用预制构件，非标飘窗可采用高精度模板现浇。</w:t>
      </w:r>
    </w:p>
    <w:p w14:paraId="706759C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2.3.12.2 预制飘窗可采用内嵌式或外挂式。采用外挂式时两侧肋板锚固于窗边剪力墙或构造柱内，飘窗顶板与底板锚固于现浇梁或反坎内。</w:t>
      </w:r>
    </w:p>
    <w:p w14:paraId="47EB6EF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2.3.12.3 预制飘窗宜预埋窗框。</w:t>
      </w:r>
    </w:p>
    <w:p w14:paraId="2E0C2357">
      <w:pPr>
        <w:pStyle w:val="24"/>
        <w:ind w:firstLine="482"/>
        <w:rPr>
          <w:rFonts w:hint="eastAsia" w:hAnsi="宋体" w:cs="宋体"/>
          <w:b/>
          <w:bCs/>
          <w:color w:val="000000" w:themeColor="text1"/>
          <w:highlight w:val="none"/>
          <w14:textFill>
            <w14:solidFill>
              <w14:schemeClr w14:val="tx1"/>
            </w14:solidFill>
          </w14:textFill>
        </w:rPr>
      </w:pPr>
      <w:r>
        <w:rPr>
          <w:rFonts w:hint="eastAsia" w:hAnsi="宋体" w:cs="宋体"/>
          <w:b/>
          <w:bCs/>
          <w:color w:val="000000" w:themeColor="text1"/>
          <w:highlight w:val="none"/>
          <w14:textFill>
            <w14:solidFill>
              <w14:schemeClr w14:val="tx1"/>
            </w14:solidFill>
          </w14:textFill>
        </w:rPr>
        <w:t>2.3.13 高精度铝模现浇</w:t>
      </w:r>
    </w:p>
    <w:p w14:paraId="22B489E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2.3.13.1 装配式的住宅应采用高精度铝模施工。</w:t>
      </w:r>
    </w:p>
    <w:p w14:paraId="031A95A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2.3.13.2 模板设计应与预制构件深化密切配合。模板设计应充分考虑构件可能的正公差，避免模板安装困难。</w:t>
      </w:r>
    </w:p>
    <w:p w14:paraId="2DEC908C">
      <w:pPr>
        <w:pStyle w:val="7"/>
        <w:spacing w:before="156" w:beforeLines="50"/>
        <w:ind w:firstLine="482" w:firstLineChars="200"/>
        <w:rPr>
          <w:rFonts w:hint="eastAsia" w:ascii="宋体" w:hAnsi="宋体" w:cs="宋体"/>
          <w:color w:val="000000" w:themeColor="text1"/>
          <w:szCs w:val="24"/>
          <w:highlight w:val="none"/>
          <w14:textFill>
            <w14:solidFill>
              <w14:schemeClr w14:val="tx1"/>
            </w14:solidFill>
          </w14:textFill>
        </w:rPr>
      </w:pPr>
      <w:bookmarkStart w:id="316" w:name="_Toc22336"/>
      <w:bookmarkStart w:id="317" w:name="_Toc3076"/>
      <w:bookmarkStart w:id="318" w:name="_Toc4824"/>
      <w:bookmarkStart w:id="319" w:name="_Toc104581738"/>
      <w:r>
        <w:rPr>
          <w:rFonts w:hint="eastAsia" w:ascii="宋体" w:hAnsi="宋体" w:cs="宋体"/>
          <w:color w:val="000000" w:themeColor="text1"/>
          <w:szCs w:val="24"/>
          <w:highlight w:val="none"/>
          <w14:textFill>
            <w14:solidFill>
              <w14:schemeClr w14:val="tx1"/>
            </w14:solidFill>
          </w14:textFill>
        </w:rPr>
        <w:t>2.4 其他指标</w:t>
      </w:r>
      <w:bookmarkEnd w:id="316"/>
      <w:bookmarkEnd w:id="317"/>
      <w:bookmarkEnd w:id="318"/>
      <w:bookmarkEnd w:id="319"/>
    </w:p>
    <w:p w14:paraId="6772130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2.4.1 为满足示范项目、或装配式评级（A、AA、AAA级）需要，装配式设计可采用竖向预制构件，如双皮墙、预制剪力墙、预制钢筋焊接网叠合墙、预制柱、预制空心柱等。</w:t>
      </w:r>
    </w:p>
    <w:p w14:paraId="1E506E3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2.4.2 装配式大跨度楼板可采用预应力叠合板。</w:t>
      </w:r>
    </w:p>
    <w:p w14:paraId="0EA15E8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2.4.3 新技术在经论证充分、安全可靠的前提条件下，有益于技术进步与造价控制时，可选取典型住宅或公共建筑做尝试性应用。</w:t>
      </w:r>
    </w:p>
    <w:p w14:paraId="5FB3D7AD">
      <w:pPr>
        <w:spacing w:line="440" w:lineRule="exact"/>
        <w:rPr>
          <w:rFonts w:hint="eastAsia" w:ascii="宋体" w:hAnsi="宋体" w:eastAsia="宋体" w:cs="宋体"/>
          <w:color w:val="000000" w:themeColor="text1"/>
          <w:highlight w:val="none"/>
          <w14:textFill>
            <w14:solidFill>
              <w14:schemeClr w14:val="tx1"/>
            </w14:solidFill>
          </w14:textFill>
        </w:rPr>
      </w:pPr>
    </w:p>
    <w:p w14:paraId="1165ED01">
      <w:pPr>
        <w:spacing w:line="440" w:lineRule="exact"/>
        <w:ind w:left="425"/>
        <w:rPr>
          <w:rFonts w:hint="eastAsia" w:ascii="宋体" w:hAnsi="宋体" w:eastAsia="宋体" w:cs="宋体"/>
          <w:color w:val="000000" w:themeColor="text1"/>
          <w:highlight w:val="none"/>
          <w14:textFill>
            <w14:solidFill>
              <w14:schemeClr w14:val="tx1"/>
            </w14:solidFill>
          </w14:textFill>
        </w:rPr>
      </w:pPr>
    </w:p>
    <w:p w14:paraId="0E41FB16">
      <w:pPr>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br w:type="page"/>
      </w:r>
    </w:p>
    <w:p w14:paraId="144A258E">
      <w:pPr>
        <w:pStyle w:val="5"/>
        <w:keepNext w:val="0"/>
        <w:keepLines w:val="0"/>
        <w:snapToGrid/>
        <w:spacing w:before="156" w:beforeLines="50" w:after="0"/>
        <w:rPr>
          <w:rFonts w:hint="eastAsia" w:ascii="宋体" w:hAnsi="宋体" w:eastAsia="宋体" w:cs="宋体"/>
          <w:color w:val="000000" w:themeColor="text1"/>
          <w:sz w:val="24"/>
          <w:szCs w:val="28"/>
          <w:highlight w:val="none"/>
          <w14:textFill>
            <w14:solidFill>
              <w14:schemeClr w14:val="tx1"/>
            </w14:solidFill>
          </w14:textFill>
        </w:rPr>
      </w:pPr>
      <w:bookmarkStart w:id="320" w:name="_Toc21702"/>
      <w:bookmarkStart w:id="321" w:name="_Toc104581739"/>
      <w:bookmarkStart w:id="322" w:name="_Toc31646"/>
      <w:bookmarkStart w:id="323" w:name="_Toc9573"/>
      <w:bookmarkStart w:id="324" w:name="_Toc2095"/>
      <w:bookmarkStart w:id="325" w:name="_Toc30256"/>
      <w:r>
        <w:rPr>
          <w:rFonts w:hint="eastAsia" w:ascii="宋体" w:hAnsi="宋体" w:eastAsia="宋体" w:cs="宋体"/>
          <w:color w:val="000000" w:themeColor="text1"/>
          <w:sz w:val="24"/>
          <w:szCs w:val="28"/>
          <w:highlight w:val="none"/>
          <w14:textFill>
            <w14:solidFill>
              <w14:schemeClr w14:val="tx1"/>
            </w14:solidFill>
          </w14:textFill>
        </w:rPr>
        <w:t>3.给水排水设计</w:t>
      </w:r>
      <w:bookmarkEnd w:id="320"/>
      <w:bookmarkEnd w:id="321"/>
      <w:bookmarkEnd w:id="322"/>
      <w:bookmarkEnd w:id="323"/>
      <w:bookmarkEnd w:id="324"/>
      <w:bookmarkEnd w:id="325"/>
      <w:bookmarkStart w:id="326" w:name="_Toc7094"/>
    </w:p>
    <w:bookmarkEnd w:id="326"/>
    <w:p w14:paraId="7B8F72A7">
      <w:pPr>
        <w:pStyle w:val="6"/>
        <w:keepNext w:val="0"/>
        <w:keepLines w:val="0"/>
        <w:snapToGrid/>
        <w:spacing w:before="156" w:beforeLines="50"/>
        <w:ind w:firstLine="482" w:firstLineChars="200"/>
        <w:rPr>
          <w:rFonts w:hint="eastAsia" w:ascii="宋体" w:hAnsi="宋体" w:eastAsia="宋体" w:cs="宋体"/>
          <w:color w:val="000000" w:themeColor="text1"/>
          <w:sz w:val="24"/>
          <w:highlight w:val="none"/>
          <w14:textFill>
            <w14:solidFill>
              <w14:schemeClr w14:val="tx1"/>
            </w14:solidFill>
          </w14:textFill>
        </w:rPr>
      </w:pPr>
      <w:bookmarkStart w:id="327" w:name="_Toc8544"/>
      <w:r>
        <w:rPr>
          <w:rFonts w:hint="eastAsia" w:ascii="宋体" w:hAnsi="宋体" w:eastAsia="宋体" w:cs="宋体"/>
          <w:color w:val="000000" w:themeColor="text1"/>
          <w:sz w:val="24"/>
          <w:highlight w:val="none"/>
          <w14:textFill>
            <w14:solidFill>
              <w14:schemeClr w14:val="tx1"/>
            </w14:solidFill>
          </w14:textFill>
        </w:rPr>
        <w:t>3.1设计依据</w:t>
      </w:r>
      <w:bookmarkEnd w:id="327"/>
    </w:p>
    <w:p w14:paraId="492E681A">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3.1.1 在限额设计的基础上保障安置区规划设计基本住房条件和功能质量，使设计满足安全、卫生、适用、经济等性能要求。</w:t>
      </w:r>
    </w:p>
    <w:p w14:paraId="145C9BF8">
      <w:pPr>
        <w:pStyle w:val="90"/>
        <w:ind w:firstLine="480" w:firstLineChars="200"/>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3.1.2 主要设计规范</w:t>
      </w:r>
    </w:p>
    <w:p w14:paraId="3FD8297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bookmarkStart w:id="328" w:name="_Toc24533"/>
      <w:bookmarkStart w:id="329" w:name="_Toc104581741"/>
      <w:bookmarkStart w:id="330" w:name="_Toc27181"/>
      <w:bookmarkStart w:id="331" w:name="_Toc26944"/>
      <w:r>
        <w:rPr>
          <w:rFonts w:hint="eastAsia" w:ascii="宋体" w:hAnsi="宋体" w:eastAsia="宋体" w:cs="宋体"/>
          <w:color w:val="000000" w:themeColor="text1"/>
          <w:sz w:val="24"/>
          <w:szCs w:val="24"/>
          <w:highlight w:val="none"/>
          <w14:textFill>
            <w14:solidFill>
              <w14:schemeClr w14:val="tx1"/>
            </w14:solidFill>
          </w14:textFill>
        </w:rPr>
        <w:t>《城市给水工程项目规范》G</w:t>
      </w:r>
      <w:r>
        <w:rPr>
          <w:rFonts w:ascii="宋体" w:hAnsi="宋体" w:eastAsia="宋体" w:cs="宋体"/>
          <w:color w:val="000000" w:themeColor="text1"/>
          <w:sz w:val="24"/>
          <w:szCs w:val="24"/>
          <w:highlight w:val="none"/>
          <w14:textFill>
            <w14:solidFill>
              <w14:schemeClr w14:val="tx1"/>
            </w14:solidFill>
          </w14:textFill>
        </w:rPr>
        <w:t>B55026-2022</w:t>
      </w:r>
    </w:p>
    <w:p w14:paraId="62BCD40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《室外给水设计标准》GB50013-2018</w:t>
      </w:r>
    </w:p>
    <w:p w14:paraId="011E5FF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《室外排水设计标准》GB50014-2021</w:t>
      </w:r>
    </w:p>
    <w:p w14:paraId="0555522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《建筑给水排水设计标准》GB50015-2019</w:t>
      </w:r>
    </w:p>
    <w:p w14:paraId="353CF1C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《民用建筑节水设计标准》GB50555-2010</w:t>
      </w:r>
    </w:p>
    <w:p w14:paraId="7E13C47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《住宅项目规范》GB55038-2025</w:t>
      </w:r>
    </w:p>
    <w:p w14:paraId="57664A5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《建筑机电工程抗震设计规范》GB50981-2014</w:t>
      </w:r>
    </w:p>
    <w:p w14:paraId="0A3DBF3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《二次供水工程技术规程》CJJ140-2010</w:t>
      </w:r>
    </w:p>
    <w:p w14:paraId="7DDCBCB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《建筑给水排水及采暖工程施工质量验收规范》GB50242-2002</w:t>
      </w:r>
    </w:p>
    <w:p w14:paraId="1841041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《给水排水管道工程施工及验收规范》GB50268-2008</w:t>
      </w:r>
    </w:p>
    <w:p w14:paraId="1145A13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《绿色建筑评价标准》（GB/T 50378-2019）（2024版）</w:t>
      </w:r>
    </w:p>
    <w:p w14:paraId="3746BF28">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《建筑给水排水及采暖工程施工质量验收规范》GB50242-2002；</w:t>
      </w:r>
    </w:p>
    <w:p w14:paraId="302024E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《给水排水管道工程施工及验收规范》GB50268-2008；</w:t>
      </w:r>
    </w:p>
    <w:p w14:paraId="5C3423FB">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《民用建筑设计统一标准》GB50352-2019</w:t>
      </w:r>
    </w:p>
    <w:p w14:paraId="71EAC6E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《民用建筑通用规范》GB55031-2022</w:t>
      </w:r>
    </w:p>
    <w:p w14:paraId="56DD2A90">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《建筑通用防火规范》GB55037-2022</w:t>
      </w:r>
    </w:p>
    <w:p w14:paraId="3BC5B1F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auto"/>
          <w:sz w:val="24"/>
          <w:szCs w:val="24"/>
          <w:highlight w:val="none"/>
        </w:rPr>
        <w:t>《消防设施通用规范》GB55036-2022</w:t>
      </w:r>
    </w:p>
    <w:p w14:paraId="5755364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《建筑设计防火规范》GB50016-2014（2018年版）</w:t>
      </w:r>
    </w:p>
    <w:p w14:paraId="7B0F9F9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《消防给水及消火栓系统技术规范》GB50974-2014</w:t>
      </w:r>
    </w:p>
    <w:p w14:paraId="216B9D8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《自动喷水灭火系统设计规范》GB50084-2017</w:t>
      </w:r>
    </w:p>
    <w:p w14:paraId="3888481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《汽车库、修车库、停车场设计防火规范》GB50067-2014</w:t>
      </w:r>
    </w:p>
    <w:p w14:paraId="5F42B60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《气体灭火系统设计规范》GB50370-2005</w:t>
      </w:r>
    </w:p>
    <w:p w14:paraId="1D4F222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《人民防空工程设计防火规范》GB50098-2009</w:t>
      </w:r>
    </w:p>
    <w:p w14:paraId="7FDE480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《泡沫灭火系统技术标准》GB50151-2021</w:t>
      </w:r>
    </w:p>
    <w:p w14:paraId="0D7DF2D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《自动跟踪定位射流灭火系统技术标准》GB51427-2021</w:t>
      </w:r>
    </w:p>
    <w:p w14:paraId="33D8C6F1">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《建筑与市政工程抗震通用规范》GB55002-2021</w:t>
      </w:r>
    </w:p>
    <w:p w14:paraId="1E54D9E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《建筑灭火器配置设计规范》GB50140-2005</w:t>
      </w:r>
    </w:p>
    <w:p w14:paraId="383932CA">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《电动汽车充电基础设施建设技术规程》DBJ/T15-150-2018</w:t>
      </w:r>
    </w:p>
    <w:p w14:paraId="055E331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《电动汽车分散充电设施工程技术标准》GBT 51313-2018</w:t>
      </w:r>
    </w:p>
    <w:p w14:paraId="09DBE78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《广东省绿色建筑设计规范》DBJ/T15-201-2020</w:t>
      </w:r>
    </w:p>
    <w:p w14:paraId="544E19E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《广东省公共建筑节能设计标准》DBJ15-51-2020</w:t>
      </w:r>
    </w:p>
    <w:p w14:paraId="5343C5E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《广东省绿色建筑条例》（广东省第十三届人民代表大会常务委员会公告（第74号））</w:t>
      </w:r>
    </w:p>
    <w:p w14:paraId="6A0BD761">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《人民防空地下室设计规范》GB50038-2005（2023版）</w:t>
      </w:r>
    </w:p>
    <w:p w14:paraId="6352815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《广州市用户生活给水系统设计、施工及验收规范》DBJ440100/T175-2013</w:t>
      </w:r>
    </w:p>
    <w:p w14:paraId="6F3A113F">
      <w:pPr>
        <w:pStyle w:val="63"/>
        <w:spacing w:line="360" w:lineRule="auto"/>
        <w:ind w:firstLine="480" w:firstLineChars="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《广州市暴雨强度公式编制与设计暴雨雨型研究技术报告简本》</w:t>
      </w:r>
    </w:p>
    <w:p w14:paraId="21B481C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《广州市水务局关于进一步明确排水工程建设要求的通知》（穗水规划【2017】79号）</w:t>
      </w:r>
    </w:p>
    <w:p w14:paraId="24E31AFD">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《广州市水务局关于推广使用预制装配式排水检查井及限制使用砖砌筑排水检查井的通知》（穗水排水〔2018〕16号）</w:t>
      </w:r>
    </w:p>
    <w:p w14:paraId="378F2D2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《广州市水务局关于印发广州市生活饮用水品质提升技术指引要点（试行）的通知》（穗水【2021】20号）</w:t>
      </w:r>
    </w:p>
    <w:p w14:paraId="0AC3474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《广州市水务局关于推广使用预制装配式排水检查井及限制使用砖砌筑排水检查井的通知》（穗水排水〔2018〕16号）</w:t>
      </w:r>
    </w:p>
    <w:p w14:paraId="0092EF3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《广州市河长制办公室关于提高新建污水管网管材标准，打好水污染防治攻坚战的通知》（穗河长办【2020】36号）</w:t>
      </w:r>
    </w:p>
    <w:p w14:paraId="1FEF4109">
      <w:pPr>
        <w:pStyle w:val="17"/>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《建筑节能与可再生能源利用通用规范》GB 55015-2021</w:t>
      </w:r>
    </w:p>
    <w:p w14:paraId="389EB104">
      <w:pPr>
        <w:pStyle w:val="17"/>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《建筑给水排水与节水通用规范》GB55020-2021</w:t>
      </w:r>
    </w:p>
    <w:p w14:paraId="3AF9B504">
      <w:pPr>
        <w:pStyle w:val="17"/>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广东省地标《保障性住房建筑规程》DBJT 15-80-2021</w:t>
      </w:r>
    </w:p>
    <w:p w14:paraId="18A2326C">
      <w:pPr>
        <w:pStyle w:val="6"/>
        <w:keepNext w:val="0"/>
        <w:keepLines w:val="0"/>
        <w:snapToGrid/>
        <w:spacing w:before="156" w:beforeLines="50"/>
        <w:ind w:firstLine="482"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3.2关键指标</w:t>
      </w:r>
      <w:bookmarkEnd w:id="328"/>
      <w:bookmarkEnd w:id="329"/>
      <w:bookmarkEnd w:id="330"/>
      <w:bookmarkEnd w:id="331"/>
    </w:p>
    <w:p w14:paraId="2175162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3.2.1地下室顶板覆土厚度</w:t>
      </w:r>
    </w:p>
    <w:p w14:paraId="23DFA37F">
      <w:pPr>
        <w:pStyle w:val="24"/>
        <w:ind w:firstLine="480"/>
        <w:rPr>
          <w:rFonts w:hint="eastAsia"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地下室顶板覆土厚度1.2~1.5m。地块内地上塔楼位置位于地下室外边线区域时取下限值，地上塔楼位置位于地下室中心区域时取上限值。</w:t>
      </w:r>
    </w:p>
    <w:p w14:paraId="559003F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3.2.2 生活给水设计</w:t>
      </w:r>
    </w:p>
    <w:p w14:paraId="10F624B5">
      <w:pPr>
        <w:pStyle w:val="24"/>
        <w:ind w:firstLine="480"/>
        <w:rPr>
          <w:rFonts w:hint="eastAsia"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3.2.2.1 居民用水定额采用200L/人.d，时变化系数为Kh=2.5~2.0。</w:t>
      </w:r>
    </w:p>
    <w:p w14:paraId="4DEAE9C7">
      <w:pPr>
        <w:pStyle w:val="24"/>
        <w:ind w:firstLine="480"/>
        <w:rPr>
          <w:rFonts w:hint="eastAsia"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3.2.2.2 生活泵房应靠近供水服务对象中心区域，利于系统供水压力平衡，减少配水管道工程量，节约造价。</w:t>
      </w:r>
    </w:p>
    <w:p w14:paraId="48174FB5">
      <w:pPr>
        <w:pStyle w:val="24"/>
        <w:ind w:firstLine="480"/>
        <w:rPr>
          <w:rFonts w:hint="eastAsia"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3.2.2.3 生活泵房宜采用模块化产品设备，水箱、全变频泵组成套布置。相似地块供水泵组参数宜统一，方便设备集中采购。</w:t>
      </w:r>
    </w:p>
    <w:p w14:paraId="4159B97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3.2.3 污水、废水和雨水设计</w:t>
      </w:r>
    </w:p>
    <w:p w14:paraId="2A2D7EA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3.2.3.1 小区生活排水系统定额采用其相应的生活给水系统用水定额的90%。</w:t>
      </w:r>
    </w:p>
    <w:p w14:paraId="2E606D6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3.2.3.2 雨水排水设计重现期：建筑屋面10年（屋面雨水排水工程与溢流设施的总排水能力不应小于100年重现期的雨水量），设计降雨历时5min。小区室外场地5年，地下车库露天坡道出入口50年。</w:t>
      </w:r>
    </w:p>
    <w:p w14:paraId="44523D7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3.2.3.3 化粪池清掏周期不少于6个月，停留时间不小于12小时。</w:t>
      </w:r>
    </w:p>
    <w:p w14:paraId="220C1243">
      <w:pPr>
        <w:pStyle w:val="24"/>
        <w:ind w:firstLine="480"/>
        <w:rPr>
          <w:rFonts w:hint="eastAsia"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3.2.3.</w:t>
      </w:r>
      <w:r>
        <w:rPr>
          <w:rFonts w:hAnsi="宋体" w:cs="宋体"/>
          <w:color w:val="000000" w:themeColor="text1"/>
          <w:szCs w:val="21"/>
          <w:highlight w:val="none"/>
          <w14:textFill>
            <w14:solidFill>
              <w14:schemeClr w14:val="tx1"/>
            </w14:solidFill>
          </w14:textFill>
        </w:rPr>
        <w:t>4</w:t>
      </w:r>
      <w:r>
        <w:rPr>
          <w:rFonts w:hint="eastAsia" w:hAnsi="宋体" w:cs="宋体"/>
          <w:color w:val="000000" w:themeColor="text1"/>
          <w:szCs w:val="21"/>
          <w:highlight w:val="none"/>
          <w14:textFill>
            <w14:solidFill>
              <w14:schemeClr w14:val="tx1"/>
            </w14:solidFill>
          </w14:textFill>
        </w:rPr>
        <w:t xml:space="preserve"> 生活热水用水定额</w:t>
      </w:r>
      <w:r>
        <w:rPr>
          <w:rFonts w:hAnsi="宋体" w:cs="宋体"/>
          <w:color w:val="000000" w:themeColor="text1"/>
          <w:szCs w:val="21"/>
          <w:highlight w:val="none"/>
          <w14:textFill>
            <w14:solidFill>
              <w14:schemeClr w14:val="tx1"/>
            </w14:solidFill>
          </w14:textFill>
        </w:rPr>
        <w:t>60</w:t>
      </w:r>
      <w:r>
        <w:rPr>
          <w:rFonts w:hint="eastAsia" w:hAnsi="宋体" w:cs="宋体"/>
          <w:color w:val="000000" w:themeColor="text1"/>
          <w:szCs w:val="21"/>
          <w:highlight w:val="none"/>
          <w14:textFill>
            <w14:solidFill>
              <w14:schemeClr w14:val="tx1"/>
            </w14:solidFill>
          </w14:textFill>
        </w:rPr>
        <w:t>L/人.d，使用时间2</w:t>
      </w:r>
      <w:r>
        <w:rPr>
          <w:rFonts w:hAnsi="宋体" w:cs="宋体"/>
          <w:color w:val="000000" w:themeColor="text1"/>
          <w:szCs w:val="21"/>
          <w:highlight w:val="none"/>
          <w14:textFill>
            <w14:solidFill>
              <w14:schemeClr w14:val="tx1"/>
            </w14:solidFill>
          </w14:textFill>
        </w:rPr>
        <w:t>4</w:t>
      </w:r>
      <w:r>
        <w:rPr>
          <w:rFonts w:hint="eastAsia" w:hAnsi="宋体" w:cs="宋体"/>
          <w:color w:val="000000" w:themeColor="text1"/>
          <w:szCs w:val="21"/>
          <w:highlight w:val="none"/>
          <w14:textFill>
            <w14:solidFill>
              <w14:schemeClr w14:val="tx1"/>
            </w14:solidFill>
          </w14:textFill>
        </w:rPr>
        <w:t>h。</w:t>
      </w:r>
    </w:p>
    <w:p w14:paraId="442551A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3.2.4 消防水设计</w:t>
      </w:r>
    </w:p>
    <w:p w14:paraId="66B97DA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3.2.4.1 地下室连通的小区应合用消防水池及消防水泵房。</w:t>
      </w:r>
    </w:p>
    <w:p w14:paraId="75166CA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3.2.4.2 合用室内消防系统应征得相应权属单位的认可。幼儿园的室外消火栓系统可考虑用住宅区的室外消火栓系或市政消火栓。</w:t>
      </w:r>
    </w:p>
    <w:p w14:paraId="7852F53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3.2.4.3 地下室充电桩车库采用泡沫-水喷淋系统，设计流量应经水力计算求得，参考取值为80L/s，比例式混合器前供水干管管径宜取DN150，泡沫液管宜取DN50。喷淋平面布置时，喷头应按照中危险Ⅱ级执行，喷头长边间距尽量控制在3.4~3.6m范围，并保证每台车位上至少有一个喷头。</w:t>
      </w:r>
    </w:p>
    <w:p w14:paraId="21973CB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3.2.5 住宅卫生间沉箱高度设计</w:t>
      </w:r>
    </w:p>
    <w:p w14:paraId="42020A2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建议卫生间沉箱结构板标高为</w:t>
      </w:r>
      <w:r>
        <w:rPr>
          <w:rFonts w:hAnsi="宋体" w:cs="宋体"/>
          <w:color w:val="000000" w:themeColor="text1"/>
          <w:highlight w:val="none"/>
          <w14:textFill>
            <w14:solidFill>
              <w14:schemeClr w14:val="tx1"/>
            </w14:solidFill>
          </w14:textFill>
        </w:rPr>
        <w:t>H-0.40m（H为建筑完成面标高）。</w:t>
      </w:r>
    </w:p>
    <w:p w14:paraId="634D79A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3.2.6 供水单元</w:t>
      </w:r>
    </w:p>
    <w:p w14:paraId="2E40C79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生活给水系统按照一个供水单元不宜超过500户设置，每单元安装市政进水水表。</w:t>
      </w:r>
    </w:p>
    <w:p w14:paraId="063505F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3.2.7 给水管材及水质</w:t>
      </w:r>
    </w:p>
    <w:p w14:paraId="3B323A48">
      <w:pPr>
        <w:pStyle w:val="24"/>
        <w:ind w:firstLine="480"/>
        <w:jc w:val="left"/>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3.2.7.1 根据《广州市生活饮用水品质提升技术指引要求》，生活给水管管径大于等于100mm，应选择球墨铸铁管；管径小于100mm，应选用不锈钢管，并宜优先采用食品—级覆塑S31603不锈钢管。阀门应选用硬密封闸阀、球阀。阀板应采用耐腐蚀性能不低于S30408不锈钢材料或不低于QT450-10球墨铸铁材料制作，阀杆应采用强度及耐腐蚀性能不低于S42020或S30408不锈钢材料制作。</w:t>
      </w:r>
    </w:p>
    <w:p w14:paraId="10F2B16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3.2.7.2 市政自来水水质未达到优质饮用水要求的区域，二次供水系统应增设深度处理设备。在地下室预留生活饮用水深度处理设备房。</w:t>
      </w:r>
    </w:p>
    <w:p w14:paraId="498D7132">
      <w:pPr>
        <w:pStyle w:val="24"/>
        <w:ind w:firstLine="480"/>
        <w:rPr>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3.2.7.3 按当地自来水公司要求，满足住宅生活水泵泵房智慧泵房的要求。</w:t>
      </w:r>
    </w:p>
    <w:p w14:paraId="523C79C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3.2.8 智能水表及入户管</w:t>
      </w:r>
    </w:p>
    <w:p w14:paraId="7517E535">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3.2.8.1 住宅用水计量采用一户一水表，高层住宅每层住宅单元的水表集中安装于该楼层的水表间（兼水管井）内，并采用智能远程集中抄表系统。</w:t>
      </w:r>
    </w:p>
    <w:p w14:paraId="30C12B6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3.2.8.2 入户水表至户内给水总阀的管线，敷设在建筑找平层内。户内给水总阀后的管线，敷设在建筑找平层内。</w:t>
      </w:r>
    </w:p>
    <w:p w14:paraId="7DA9C4E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3.2.8.3 住宅塔楼水管井内每三层设置一个楼层清洁用水。</w:t>
      </w:r>
    </w:p>
    <w:p w14:paraId="74F4F47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3.2.9 消防水系统</w:t>
      </w:r>
    </w:p>
    <w:p w14:paraId="74536BF1">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3.2.9.1 喷淋系统地下室负一层设置主供水环管，泡沫罐间均匀分布地下室负一层充电车库区域。地下室负二层（如有）泡沫-水喷淋系统的泡沫罐、湿式报警阀就近设置在负一层泡沫罐间内。</w:t>
      </w:r>
    </w:p>
    <w:p w14:paraId="3F61005A">
      <w:pPr>
        <w:pStyle w:val="24"/>
        <w:ind w:firstLine="480"/>
        <w:rPr>
          <w:rFonts w:hint="eastAsia" w:hAnsi="宋体" w:cs="宋体"/>
          <w:color w:val="000000" w:themeColor="text1"/>
          <w:highlight w:val="none"/>
          <w14:textFill>
            <w14:solidFill>
              <w14:schemeClr w14:val="tx1"/>
            </w14:solidFill>
          </w14:textFill>
        </w:rPr>
      </w:pPr>
      <w:bookmarkStart w:id="332" w:name="_Toc25713"/>
      <w:bookmarkStart w:id="333" w:name="_Toc18120"/>
      <w:bookmarkStart w:id="334" w:name="_Toc20729"/>
      <w:bookmarkStart w:id="335" w:name="_Toc104581742"/>
      <w:r>
        <w:rPr>
          <w:rFonts w:hint="eastAsia" w:hAnsi="宋体" w:cs="宋体"/>
          <w:color w:val="000000" w:themeColor="text1"/>
          <w:highlight w:val="none"/>
          <w14:textFill>
            <w14:solidFill>
              <w14:schemeClr w14:val="tx1"/>
            </w14:solidFill>
          </w14:textFill>
        </w:rPr>
        <w:t>3.2.9.2 发电机房储油间、电房、变电所等部位采用柜式预制式七氟丙烷气体灭火系统。</w:t>
      </w:r>
    </w:p>
    <w:p w14:paraId="075743A8">
      <w:pPr>
        <w:pStyle w:val="6"/>
        <w:keepNext w:val="0"/>
        <w:keepLines w:val="0"/>
        <w:snapToGrid/>
        <w:spacing w:before="156" w:beforeLines="50"/>
        <w:ind w:firstLine="482"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3.3通用指标</w:t>
      </w:r>
      <w:bookmarkEnd w:id="332"/>
      <w:bookmarkEnd w:id="333"/>
      <w:bookmarkEnd w:id="334"/>
      <w:bookmarkEnd w:id="335"/>
    </w:p>
    <w:p w14:paraId="39CB380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3.3.1 设备材料选型</w:t>
      </w:r>
    </w:p>
    <w:p w14:paraId="443166F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3.3.1.1 室外排水检查井选用预制装配式检查井，地下室顶板及绿化范围内采用塑料预制检查井，车行道、消防扑救场地采用钢筋混凝土检查井。化粪池采用钢筋混凝土</w:t>
      </w:r>
      <w:r>
        <w:rPr>
          <w:rFonts w:hint="eastAsia" w:hAnsi="宋体" w:cs="宋体"/>
          <w:color w:val="000000" w:themeColor="text1"/>
          <w:highlight w:val="none"/>
          <w:lang w:val="zh-CN"/>
          <w14:textFill>
            <w14:solidFill>
              <w14:schemeClr w14:val="tx1"/>
            </w14:solidFill>
          </w14:textFill>
        </w:rPr>
        <w:t>材质</w:t>
      </w:r>
      <w:r>
        <w:rPr>
          <w:rFonts w:hint="eastAsia" w:hAnsi="宋体" w:cs="宋体"/>
          <w:color w:val="000000" w:themeColor="text1"/>
          <w:highlight w:val="none"/>
          <w14:textFill>
            <w14:solidFill>
              <w14:schemeClr w14:val="tx1"/>
            </w14:solidFill>
          </w14:textFill>
        </w:rPr>
        <w:t>，隔油池采用玻璃钢或不锈钢成品。</w:t>
      </w:r>
    </w:p>
    <w:p w14:paraId="3649012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3.3.1.2 车行道、消防扑救场地采用D400球墨铸铁井盖，其余区域除绿地上检查井盖可采用B125型成品井盖外均采用C250球墨铸铁或成品井盖。室外排水检查井及化粪池、隔油池检修人孔、消防水池取水口，井（孔）口处设置防坠网。</w:t>
      </w:r>
    </w:p>
    <w:p w14:paraId="29BF128F">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3.3.1.3 管材选用清单表</w:t>
      </w:r>
    </w:p>
    <w:tbl>
      <w:tblPr>
        <w:tblStyle w:val="42"/>
        <w:tblW w:w="89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237"/>
        <w:gridCol w:w="1854"/>
        <w:gridCol w:w="1653"/>
        <w:gridCol w:w="1703"/>
        <w:gridCol w:w="1888"/>
      </w:tblGrid>
      <w:tr w14:paraId="6C4AA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21" w:type="dxa"/>
            <w:vAlign w:val="center"/>
          </w:tcPr>
          <w:p w14:paraId="2237D16A">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编号</w:t>
            </w:r>
          </w:p>
        </w:tc>
        <w:tc>
          <w:tcPr>
            <w:tcW w:w="1237" w:type="dxa"/>
            <w:vAlign w:val="center"/>
          </w:tcPr>
          <w:p w14:paraId="5269A4B3">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项目</w:t>
            </w:r>
          </w:p>
        </w:tc>
        <w:tc>
          <w:tcPr>
            <w:tcW w:w="1854" w:type="dxa"/>
            <w:vAlign w:val="center"/>
          </w:tcPr>
          <w:p w14:paraId="39E05506">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适用条件</w:t>
            </w:r>
          </w:p>
        </w:tc>
        <w:tc>
          <w:tcPr>
            <w:tcW w:w="1653" w:type="dxa"/>
            <w:vAlign w:val="center"/>
          </w:tcPr>
          <w:p w14:paraId="6E2A9387">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管材选择</w:t>
            </w:r>
          </w:p>
        </w:tc>
        <w:tc>
          <w:tcPr>
            <w:tcW w:w="1703" w:type="dxa"/>
            <w:vAlign w:val="center"/>
          </w:tcPr>
          <w:p w14:paraId="726AA5C4">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连接形式</w:t>
            </w:r>
          </w:p>
        </w:tc>
        <w:tc>
          <w:tcPr>
            <w:tcW w:w="1888" w:type="dxa"/>
            <w:vAlign w:val="center"/>
          </w:tcPr>
          <w:p w14:paraId="006636A2">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69502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Align w:val="center"/>
          </w:tcPr>
          <w:p w14:paraId="06830C0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237" w:type="dxa"/>
            <w:vAlign w:val="center"/>
          </w:tcPr>
          <w:p w14:paraId="6C70C02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污水管道</w:t>
            </w:r>
          </w:p>
        </w:tc>
        <w:tc>
          <w:tcPr>
            <w:tcW w:w="1854" w:type="dxa"/>
            <w:vAlign w:val="center"/>
          </w:tcPr>
          <w:p w14:paraId="3C889C0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管径DN500以下</w:t>
            </w:r>
          </w:p>
        </w:tc>
        <w:tc>
          <w:tcPr>
            <w:tcW w:w="1653" w:type="dxa"/>
            <w:vAlign w:val="center"/>
          </w:tcPr>
          <w:p w14:paraId="5FD71FD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HDPE双壁波纹管</w:t>
            </w:r>
          </w:p>
        </w:tc>
        <w:tc>
          <w:tcPr>
            <w:tcW w:w="1703" w:type="dxa"/>
            <w:vAlign w:val="center"/>
          </w:tcPr>
          <w:p w14:paraId="5AED971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弹性橡胶密封圈承插连接</w:t>
            </w:r>
          </w:p>
        </w:tc>
        <w:tc>
          <w:tcPr>
            <w:tcW w:w="1888" w:type="dxa"/>
            <w:vMerge w:val="restart"/>
            <w:vAlign w:val="center"/>
          </w:tcPr>
          <w:p w14:paraId="67CAC764">
            <w:pPr>
              <w:pStyle w:val="80"/>
              <w:adjustRightInd w:val="0"/>
              <w:snapToGrid w:val="0"/>
              <w:ind w:firstLine="0" w:firstLineChars="0"/>
              <w:jc w:val="center"/>
              <w:rPr>
                <w:rFonts w:hint="eastAsia" w:ascii="宋体" w:hAnsi="宋体" w:cs="宋体"/>
                <w:color w:val="000000" w:themeColor="text1"/>
                <w:highlight w:val="none"/>
                <w:lang w:val="zh-CN"/>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环刚度车行道下不应小于8KN/m</w:t>
            </w:r>
            <w:r>
              <w:rPr>
                <w:rFonts w:hint="eastAsia" w:ascii="宋体" w:hAnsi="宋体" w:cs="宋体"/>
                <w:color w:val="000000" w:themeColor="text1"/>
                <w:highlight w:val="none"/>
                <w:vertAlign w:val="superscript"/>
                <w:lang w:val="zh-CN"/>
                <w14:textFill>
                  <w14:solidFill>
                    <w14:schemeClr w14:val="tx1"/>
                  </w14:solidFill>
                </w14:textFill>
              </w:rPr>
              <w:t>2</w:t>
            </w:r>
            <w:r>
              <w:rPr>
                <w:rFonts w:hint="eastAsia" w:ascii="宋体" w:hAnsi="宋体" w:cs="宋体"/>
                <w:color w:val="000000" w:themeColor="text1"/>
                <w:highlight w:val="none"/>
                <w:lang w:val="zh-CN"/>
                <w14:textFill>
                  <w14:solidFill>
                    <w14:schemeClr w14:val="tx1"/>
                  </w14:solidFill>
                </w14:textFill>
              </w:rPr>
              <w:t>，绿化及人行道不应小于4KN/m</w:t>
            </w:r>
            <w:r>
              <w:rPr>
                <w:rFonts w:hint="eastAsia" w:ascii="宋体" w:hAnsi="宋体" w:cs="宋体"/>
                <w:color w:val="000000" w:themeColor="text1"/>
                <w:highlight w:val="none"/>
                <w:vertAlign w:val="superscript"/>
                <w:lang w:val="zh-CN"/>
                <w14:textFill>
                  <w14:solidFill>
                    <w14:schemeClr w14:val="tx1"/>
                  </w14:solidFill>
                </w14:textFill>
              </w:rPr>
              <w:t>2</w:t>
            </w:r>
          </w:p>
        </w:tc>
      </w:tr>
      <w:tr w14:paraId="6EC51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restart"/>
            <w:vAlign w:val="center"/>
          </w:tcPr>
          <w:p w14:paraId="42DB975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1237" w:type="dxa"/>
            <w:vMerge w:val="restart"/>
            <w:vAlign w:val="center"/>
          </w:tcPr>
          <w:p w14:paraId="7D4AE11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雨水管道</w:t>
            </w:r>
          </w:p>
        </w:tc>
        <w:tc>
          <w:tcPr>
            <w:tcW w:w="1854" w:type="dxa"/>
            <w:vAlign w:val="center"/>
          </w:tcPr>
          <w:p w14:paraId="3CAA176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径DN500以下</w:t>
            </w:r>
          </w:p>
        </w:tc>
        <w:tc>
          <w:tcPr>
            <w:tcW w:w="1653" w:type="dxa"/>
            <w:vAlign w:val="center"/>
          </w:tcPr>
          <w:p w14:paraId="6451BC5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HDPE双壁波纹管</w:t>
            </w:r>
          </w:p>
        </w:tc>
        <w:tc>
          <w:tcPr>
            <w:tcW w:w="1703" w:type="dxa"/>
            <w:vAlign w:val="center"/>
          </w:tcPr>
          <w:p w14:paraId="2EB3263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弹性橡胶密封圈承插连接，</w:t>
            </w:r>
          </w:p>
        </w:tc>
        <w:tc>
          <w:tcPr>
            <w:tcW w:w="1888" w:type="dxa"/>
            <w:vMerge w:val="continue"/>
            <w:vAlign w:val="center"/>
          </w:tcPr>
          <w:p w14:paraId="29CE69F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0E31B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continue"/>
            <w:vAlign w:val="center"/>
          </w:tcPr>
          <w:p w14:paraId="1A09AFE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237" w:type="dxa"/>
            <w:vMerge w:val="continue"/>
            <w:vAlign w:val="center"/>
          </w:tcPr>
          <w:p w14:paraId="00AD6E7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854" w:type="dxa"/>
            <w:vAlign w:val="center"/>
          </w:tcPr>
          <w:p w14:paraId="187353E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管径≥DN500</w:t>
            </w:r>
          </w:p>
        </w:tc>
        <w:tc>
          <w:tcPr>
            <w:tcW w:w="1653" w:type="dxa"/>
            <w:vAlign w:val="center"/>
          </w:tcPr>
          <w:p w14:paraId="1B67614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II级钢筋混凝土管</w:t>
            </w:r>
          </w:p>
        </w:tc>
        <w:tc>
          <w:tcPr>
            <w:tcW w:w="1703" w:type="dxa"/>
            <w:vAlign w:val="center"/>
          </w:tcPr>
          <w:p w14:paraId="680B85E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弹性橡胶密封圈承插连接，</w:t>
            </w:r>
          </w:p>
        </w:tc>
        <w:tc>
          <w:tcPr>
            <w:tcW w:w="1888" w:type="dxa"/>
            <w:vMerge w:val="continue"/>
            <w:vAlign w:val="center"/>
          </w:tcPr>
          <w:p w14:paraId="1D1D758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1E221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restart"/>
            <w:vAlign w:val="center"/>
          </w:tcPr>
          <w:p w14:paraId="23877A0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w:t>
            </w:r>
          </w:p>
        </w:tc>
        <w:tc>
          <w:tcPr>
            <w:tcW w:w="1237" w:type="dxa"/>
            <w:vMerge w:val="restart"/>
            <w:vAlign w:val="center"/>
          </w:tcPr>
          <w:p w14:paraId="1F6237D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生活给水管</w:t>
            </w:r>
          </w:p>
        </w:tc>
        <w:tc>
          <w:tcPr>
            <w:tcW w:w="1854" w:type="dxa"/>
            <w:vAlign w:val="center"/>
          </w:tcPr>
          <w:p w14:paraId="1604006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DN≥100</w:t>
            </w:r>
          </w:p>
        </w:tc>
        <w:tc>
          <w:tcPr>
            <w:tcW w:w="1653" w:type="dxa"/>
            <w:vAlign w:val="center"/>
          </w:tcPr>
          <w:p w14:paraId="3290411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球墨铸铁管</w:t>
            </w:r>
          </w:p>
        </w:tc>
        <w:tc>
          <w:tcPr>
            <w:tcW w:w="1703" w:type="dxa"/>
            <w:vAlign w:val="center"/>
          </w:tcPr>
          <w:p w14:paraId="631DE8B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弹性橡胶密封圈承插连接</w:t>
            </w:r>
          </w:p>
        </w:tc>
        <w:tc>
          <w:tcPr>
            <w:tcW w:w="1888" w:type="dxa"/>
            <w:vMerge w:val="restart"/>
            <w:vAlign w:val="center"/>
          </w:tcPr>
          <w:p w14:paraId="0D76B59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0BAE1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continue"/>
            <w:vAlign w:val="center"/>
          </w:tcPr>
          <w:p w14:paraId="1C5DF85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237" w:type="dxa"/>
            <w:vMerge w:val="continue"/>
            <w:vAlign w:val="center"/>
          </w:tcPr>
          <w:p w14:paraId="5C0DC24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854" w:type="dxa"/>
            <w:vAlign w:val="center"/>
          </w:tcPr>
          <w:p w14:paraId="16E3FED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DN＜100</w:t>
            </w:r>
          </w:p>
        </w:tc>
        <w:tc>
          <w:tcPr>
            <w:tcW w:w="1653" w:type="dxa"/>
            <w:vAlign w:val="center"/>
          </w:tcPr>
          <w:p w14:paraId="43B4ED3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食品级覆塑S31603不锈钢管</w:t>
            </w:r>
          </w:p>
        </w:tc>
        <w:tc>
          <w:tcPr>
            <w:tcW w:w="1703" w:type="dxa"/>
            <w:vAlign w:val="center"/>
          </w:tcPr>
          <w:p w14:paraId="0EFCAEF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卡压或环压连接</w:t>
            </w:r>
          </w:p>
        </w:tc>
        <w:tc>
          <w:tcPr>
            <w:tcW w:w="1888" w:type="dxa"/>
            <w:vMerge w:val="continue"/>
            <w:vAlign w:val="center"/>
          </w:tcPr>
          <w:p w14:paraId="0ED13A1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0E52A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Align w:val="center"/>
          </w:tcPr>
          <w:p w14:paraId="30BE504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w:t>
            </w:r>
          </w:p>
        </w:tc>
        <w:tc>
          <w:tcPr>
            <w:tcW w:w="1237" w:type="dxa"/>
            <w:vAlign w:val="center"/>
          </w:tcPr>
          <w:p w14:paraId="101BB5A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室外绿化给水管</w:t>
            </w:r>
          </w:p>
        </w:tc>
        <w:tc>
          <w:tcPr>
            <w:tcW w:w="1854" w:type="dxa"/>
            <w:vAlign w:val="center"/>
          </w:tcPr>
          <w:p w14:paraId="1215728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w:t>
            </w:r>
          </w:p>
        </w:tc>
        <w:tc>
          <w:tcPr>
            <w:tcW w:w="1653" w:type="dxa"/>
            <w:vAlign w:val="center"/>
          </w:tcPr>
          <w:p w14:paraId="5BD8A11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PE管</w:t>
            </w:r>
          </w:p>
        </w:tc>
        <w:tc>
          <w:tcPr>
            <w:tcW w:w="1703" w:type="dxa"/>
            <w:vAlign w:val="center"/>
          </w:tcPr>
          <w:p w14:paraId="20A860E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电热熔连接</w:t>
            </w:r>
          </w:p>
        </w:tc>
        <w:tc>
          <w:tcPr>
            <w:tcW w:w="1888" w:type="dxa"/>
            <w:vAlign w:val="center"/>
          </w:tcPr>
          <w:p w14:paraId="769A08D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市政压力供水</w:t>
            </w:r>
          </w:p>
        </w:tc>
      </w:tr>
    </w:tbl>
    <w:p w14:paraId="13EA1F67">
      <w:pPr>
        <w:pStyle w:val="80"/>
        <w:spacing w:line="360" w:lineRule="auto"/>
        <w:ind w:left="420" w:firstLine="0" w:firstLineChars="0"/>
        <w:rPr>
          <w:rFonts w:hint="eastAsia" w:ascii="宋体" w:hAnsi="宋体" w:cs="宋体"/>
          <w:b/>
          <w:color w:val="000000" w:themeColor="text1"/>
          <w:sz w:val="24"/>
          <w:szCs w:val="24"/>
          <w:highlight w:val="none"/>
          <w14:textFill>
            <w14:solidFill>
              <w14:schemeClr w14:val="tx1"/>
            </w14:solidFill>
          </w14:textFill>
        </w:rPr>
      </w:pPr>
    </w:p>
    <w:p w14:paraId="17C37CC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3.3.2给水设备、材料选型</w:t>
      </w:r>
    </w:p>
    <w:p w14:paraId="41958C6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3.3.2.1 器具要求</w:t>
      </w:r>
    </w:p>
    <w:p w14:paraId="2138C75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①卫生器具和配件应满足现行标准《节水型生活用水器具》CJ/T164和《节水型产品通用技术条件》GB/T18870的相关要求，节水器具用水效率等级不低于2级。</w:t>
      </w:r>
    </w:p>
    <w:p w14:paraId="1A43AEEB">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②采用陶瓷芯等密闭性能好并带加气的节水型水龙头。</w:t>
      </w:r>
    </w:p>
    <w:p w14:paraId="319A393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3.3.2.2 生活水箱采用S31603不锈钢材质；</w:t>
      </w:r>
    </w:p>
    <w:p w14:paraId="04912C7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3.3.2.3 水泵设置要求：生活水泵组采用数字集成全变频智能供水泵组，水泵宜采取一对一全变频控制。水泵泵体和叶轮均采用S30408不锈钢，带成套控制柜。</w:t>
      </w:r>
    </w:p>
    <w:p w14:paraId="5063FAB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3.3.2.4 管材选用清单表</w:t>
      </w:r>
    </w:p>
    <w:tbl>
      <w:tblPr>
        <w:tblStyle w:val="42"/>
        <w:tblW w:w="86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954"/>
        <w:gridCol w:w="2027"/>
        <w:gridCol w:w="2334"/>
        <w:gridCol w:w="1821"/>
        <w:gridCol w:w="712"/>
      </w:tblGrid>
      <w:tr w14:paraId="5050D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25" w:type="dxa"/>
            <w:vAlign w:val="center"/>
          </w:tcPr>
          <w:p w14:paraId="269639BD">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bookmarkStart w:id="336" w:name="_Hlk196574986"/>
            <w:r>
              <w:rPr>
                <w:rFonts w:hint="eastAsia" w:ascii="宋体" w:hAnsi="宋体" w:cs="宋体"/>
                <w:b/>
                <w:bCs/>
                <w:color w:val="000000" w:themeColor="text1"/>
                <w:highlight w:val="none"/>
                <w14:textFill>
                  <w14:solidFill>
                    <w14:schemeClr w14:val="tx1"/>
                  </w14:solidFill>
                </w14:textFill>
              </w:rPr>
              <w:t>编号</w:t>
            </w:r>
          </w:p>
        </w:tc>
        <w:tc>
          <w:tcPr>
            <w:tcW w:w="954" w:type="dxa"/>
            <w:vAlign w:val="center"/>
          </w:tcPr>
          <w:p w14:paraId="6C31D9C7">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项目</w:t>
            </w:r>
          </w:p>
        </w:tc>
        <w:tc>
          <w:tcPr>
            <w:tcW w:w="2027" w:type="dxa"/>
            <w:vAlign w:val="center"/>
          </w:tcPr>
          <w:p w14:paraId="4F7CAA7E">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使用位置</w:t>
            </w:r>
          </w:p>
        </w:tc>
        <w:tc>
          <w:tcPr>
            <w:tcW w:w="2334" w:type="dxa"/>
            <w:vAlign w:val="center"/>
          </w:tcPr>
          <w:p w14:paraId="7CA57FB5">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适用条件</w:t>
            </w:r>
          </w:p>
        </w:tc>
        <w:tc>
          <w:tcPr>
            <w:tcW w:w="1821" w:type="dxa"/>
            <w:vAlign w:val="center"/>
          </w:tcPr>
          <w:p w14:paraId="74213E15">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连接形式</w:t>
            </w:r>
          </w:p>
        </w:tc>
        <w:tc>
          <w:tcPr>
            <w:tcW w:w="712" w:type="dxa"/>
            <w:vAlign w:val="center"/>
          </w:tcPr>
          <w:p w14:paraId="3A57AB3C">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285F0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restart"/>
            <w:vAlign w:val="center"/>
          </w:tcPr>
          <w:p w14:paraId="494148D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954" w:type="dxa"/>
            <w:vMerge w:val="restart"/>
            <w:vAlign w:val="center"/>
          </w:tcPr>
          <w:p w14:paraId="6894E70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室内用户生活给水管道</w:t>
            </w:r>
          </w:p>
        </w:tc>
        <w:tc>
          <w:tcPr>
            <w:tcW w:w="2027" w:type="dxa"/>
            <w:vAlign w:val="center"/>
          </w:tcPr>
          <w:p w14:paraId="336FDFD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系统供水泵组至用户水表段</w:t>
            </w:r>
          </w:p>
        </w:tc>
        <w:tc>
          <w:tcPr>
            <w:tcW w:w="2334" w:type="dxa"/>
            <w:vAlign w:val="center"/>
          </w:tcPr>
          <w:p w14:paraId="65EB355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S30408不锈钢管</w:t>
            </w:r>
          </w:p>
        </w:tc>
        <w:tc>
          <w:tcPr>
            <w:tcW w:w="1821" w:type="dxa"/>
            <w:vAlign w:val="center"/>
          </w:tcPr>
          <w:p w14:paraId="0B6921B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卡压、环压</w:t>
            </w:r>
          </w:p>
        </w:tc>
        <w:tc>
          <w:tcPr>
            <w:tcW w:w="712" w:type="dxa"/>
            <w:vAlign w:val="center"/>
          </w:tcPr>
          <w:p w14:paraId="5B3F59A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6346C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continue"/>
            <w:vAlign w:val="center"/>
          </w:tcPr>
          <w:p w14:paraId="615935A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954" w:type="dxa"/>
            <w:vMerge w:val="continue"/>
            <w:vAlign w:val="center"/>
          </w:tcPr>
          <w:p w14:paraId="366CF8A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027" w:type="dxa"/>
            <w:vMerge w:val="restart"/>
            <w:vAlign w:val="center"/>
          </w:tcPr>
          <w:p w14:paraId="0D8AF69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用户水表后段，户内暗敷支管</w:t>
            </w:r>
          </w:p>
        </w:tc>
        <w:tc>
          <w:tcPr>
            <w:tcW w:w="2334" w:type="dxa"/>
            <w:vAlign w:val="center"/>
          </w:tcPr>
          <w:p w14:paraId="2723620A">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（冷水）采用S5系列PP-R给水管</w:t>
            </w:r>
          </w:p>
        </w:tc>
        <w:tc>
          <w:tcPr>
            <w:tcW w:w="1821" w:type="dxa"/>
            <w:vMerge w:val="restart"/>
            <w:vAlign w:val="center"/>
          </w:tcPr>
          <w:p w14:paraId="1374E94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热熔连接，当与金属管或用水器具连接时，采用金属丝扣连接</w:t>
            </w:r>
          </w:p>
        </w:tc>
        <w:tc>
          <w:tcPr>
            <w:tcW w:w="712" w:type="dxa"/>
            <w:vMerge w:val="restart"/>
            <w:vAlign w:val="center"/>
          </w:tcPr>
          <w:p w14:paraId="07264C3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1769E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continue"/>
            <w:vAlign w:val="center"/>
          </w:tcPr>
          <w:p w14:paraId="2DDCE96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954" w:type="dxa"/>
            <w:vMerge w:val="continue"/>
            <w:vAlign w:val="center"/>
          </w:tcPr>
          <w:p w14:paraId="0EF2594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027" w:type="dxa"/>
            <w:vMerge w:val="continue"/>
            <w:vAlign w:val="center"/>
          </w:tcPr>
          <w:p w14:paraId="0258ACC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334" w:type="dxa"/>
            <w:vAlign w:val="center"/>
          </w:tcPr>
          <w:p w14:paraId="1EE80A0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热水）采用S3.2系列PP-R（耐温型）给水管</w:t>
            </w:r>
          </w:p>
        </w:tc>
        <w:tc>
          <w:tcPr>
            <w:tcW w:w="1821" w:type="dxa"/>
            <w:vMerge w:val="continue"/>
            <w:vAlign w:val="center"/>
          </w:tcPr>
          <w:p w14:paraId="46D69FC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712" w:type="dxa"/>
            <w:vMerge w:val="continue"/>
            <w:vAlign w:val="center"/>
          </w:tcPr>
          <w:p w14:paraId="32BCFE0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11272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Align w:val="center"/>
          </w:tcPr>
          <w:p w14:paraId="54B8B61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954" w:type="dxa"/>
            <w:vAlign w:val="center"/>
          </w:tcPr>
          <w:p w14:paraId="4D2D69F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生活泵房内部管道</w:t>
            </w:r>
          </w:p>
        </w:tc>
        <w:tc>
          <w:tcPr>
            <w:tcW w:w="2027" w:type="dxa"/>
            <w:vAlign w:val="center"/>
          </w:tcPr>
          <w:p w14:paraId="62460C2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水泵过流管道、水池补水管（伸入水池部分）、水池溢流排水管及放空排污管</w:t>
            </w:r>
          </w:p>
        </w:tc>
        <w:tc>
          <w:tcPr>
            <w:tcW w:w="2334" w:type="dxa"/>
            <w:vAlign w:val="center"/>
          </w:tcPr>
          <w:p w14:paraId="344C361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S30408薄壁不锈钢管</w:t>
            </w:r>
          </w:p>
        </w:tc>
        <w:tc>
          <w:tcPr>
            <w:tcW w:w="1821" w:type="dxa"/>
            <w:vAlign w:val="center"/>
          </w:tcPr>
          <w:p w14:paraId="6AC2E91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DN≤100采用环压式连接，DN&gt;100采用沟槽式连接</w:t>
            </w:r>
          </w:p>
        </w:tc>
        <w:tc>
          <w:tcPr>
            <w:tcW w:w="712" w:type="dxa"/>
            <w:vAlign w:val="center"/>
          </w:tcPr>
          <w:p w14:paraId="5275ED8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63A9E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restart"/>
            <w:vAlign w:val="center"/>
          </w:tcPr>
          <w:p w14:paraId="2666F6E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w:t>
            </w:r>
          </w:p>
        </w:tc>
        <w:tc>
          <w:tcPr>
            <w:tcW w:w="954" w:type="dxa"/>
            <w:vMerge w:val="restart"/>
            <w:vAlign w:val="center"/>
          </w:tcPr>
          <w:p w14:paraId="571A2C7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地下室给水管道</w:t>
            </w:r>
          </w:p>
        </w:tc>
        <w:tc>
          <w:tcPr>
            <w:tcW w:w="2027" w:type="dxa"/>
            <w:vAlign w:val="center"/>
          </w:tcPr>
          <w:p w14:paraId="2229C94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人防工程管道</w:t>
            </w:r>
          </w:p>
        </w:tc>
        <w:tc>
          <w:tcPr>
            <w:tcW w:w="2334" w:type="dxa"/>
            <w:vAlign w:val="center"/>
          </w:tcPr>
          <w:p w14:paraId="381C353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内衬PE热镀锌钢塑复合给水管，穿人防墙处用内衬PE钢管</w:t>
            </w:r>
          </w:p>
        </w:tc>
        <w:tc>
          <w:tcPr>
            <w:tcW w:w="1821" w:type="dxa"/>
            <w:vAlign w:val="center"/>
          </w:tcPr>
          <w:p w14:paraId="2D313E5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管径DN80以下采用丝扣连接，管径DN80及以上采用沟槽式连接</w:t>
            </w:r>
          </w:p>
        </w:tc>
        <w:tc>
          <w:tcPr>
            <w:tcW w:w="712" w:type="dxa"/>
            <w:vAlign w:val="center"/>
          </w:tcPr>
          <w:p w14:paraId="5531698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421AE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825" w:type="dxa"/>
            <w:vMerge w:val="continue"/>
            <w:vAlign w:val="center"/>
          </w:tcPr>
          <w:p w14:paraId="08CDEB4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954" w:type="dxa"/>
            <w:vMerge w:val="continue"/>
            <w:vAlign w:val="center"/>
          </w:tcPr>
          <w:p w14:paraId="5EC7AB0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027" w:type="dxa"/>
            <w:vAlign w:val="center"/>
          </w:tcPr>
          <w:p w14:paraId="2CF91A2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地下室市政压力供水管</w:t>
            </w:r>
          </w:p>
        </w:tc>
        <w:tc>
          <w:tcPr>
            <w:tcW w:w="2334" w:type="dxa"/>
            <w:vAlign w:val="center"/>
          </w:tcPr>
          <w:p w14:paraId="6B6C8E7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S30408不锈钢管</w:t>
            </w:r>
          </w:p>
        </w:tc>
        <w:tc>
          <w:tcPr>
            <w:tcW w:w="1821" w:type="dxa"/>
            <w:vAlign w:val="center"/>
          </w:tcPr>
          <w:p w14:paraId="3EA1B48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卡压或环压连接</w:t>
            </w:r>
          </w:p>
        </w:tc>
        <w:tc>
          <w:tcPr>
            <w:tcW w:w="712" w:type="dxa"/>
            <w:vAlign w:val="center"/>
          </w:tcPr>
          <w:p w14:paraId="5C97AED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6476D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Align w:val="center"/>
          </w:tcPr>
          <w:p w14:paraId="1DA9219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w:t>
            </w:r>
          </w:p>
        </w:tc>
        <w:tc>
          <w:tcPr>
            <w:tcW w:w="954" w:type="dxa"/>
            <w:vAlign w:val="center"/>
          </w:tcPr>
          <w:p w14:paraId="7C7ABA0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埋地给水管道</w:t>
            </w:r>
          </w:p>
        </w:tc>
        <w:tc>
          <w:tcPr>
            <w:tcW w:w="2027" w:type="dxa"/>
            <w:vAlign w:val="center"/>
          </w:tcPr>
          <w:p w14:paraId="0B3EA6E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接驳市政管</w:t>
            </w:r>
          </w:p>
        </w:tc>
        <w:tc>
          <w:tcPr>
            <w:tcW w:w="2334" w:type="dxa"/>
            <w:vAlign w:val="center"/>
          </w:tcPr>
          <w:p w14:paraId="7D9502F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管线大于等于DN100时采用球墨铸铁给水管，公称压力1.0MPa，弹性橡胶密封圈承插连接。管线小于DN100时采用食品级覆塑S31603不锈钢管，口径DN≥100采用沟槽连接，口径DN＜100采用双卡压连接。</w:t>
            </w:r>
          </w:p>
        </w:tc>
        <w:tc>
          <w:tcPr>
            <w:tcW w:w="1821" w:type="dxa"/>
            <w:vAlign w:val="center"/>
          </w:tcPr>
          <w:p w14:paraId="589EC56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卡压或环压连接</w:t>
            </w:r>
          </w:p>
        </w:tc>
        <w:tc>
          <w:tcPr>
            <w:tcW w:w="712" w:type="dxa"/>
            <w:vAlign w:val="center"/>
          </w:tcPr>
          <w:p w14:paraId="5E07989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bookmarkEnd w:id="336"/>
    </w:tbl>
    <w:p w14:paraId="3E6D4C79">
      <w:pPr>
        <w:pStyle w:val="80"/>
        <w:spacing w:line="360" w:lineRule="auto"/>
        <w:ind w:firstLine="480"/>
        <w:rPr>
          <w:rFonts w:hint="eastAsia" w:ascii="宋体" w:hAnsi="宋体" w:cs="宋体"/>
          <w:color w:val="000000" w:themeColor="text1"/>
          <w:sz w:val="24"/>
          <w:szCs w:val="20"/>
          <w:highlight w:val="none"/>
          <w14:textFill>
            <w14:solidFill>
              <w14:schemeClr w14:val="tx1"/>
            </w14:solidFill>
          </w14:textFill>
        </w:rPr>
      </w:pPr>
    </w:p>
    <w:p w14:paraId="021B9D45">
      <w:pPr>
        <w:pStyle w:val="80"/>
        <w:spacing w:line="360" w:lineRule="auto"/>
        <w:ind w:firstLine="480"/>
        <w:rPr>
          <w:color w:val="000000" w:themeColor="text1"/>
          <w:sz w:val="24"/>
          <w:szCs w:val="20"/>
          <w:highlight w:val="none"/>
          <w14:textFill>
            <w14:solidFill>
              <w14:schemeClr w14:val="tx1"/>
            </w14:solidFill>
          </w14:textFill>
        </w:rPr>
      </w:pPr>
      <w:r>
        <w:rPr>
          <w:rFonts w:hint="eastAsia" w:ascii="宋体" w:hAnsi="宋体" w:cs="宋体"/>
          <w:color w:val="000000" w:themeColor="text1"/>
          <w:sz w:val="24"/>
          <w:szCs w:val="20"/>
          <w:highlight w:val="none"/>
          <w14:textFill>
            <w14:solidFill>
              <w14:schemeClr w14:val="tx1"/>
            </w14:solidFill>
          </w14:textFill>
        </w:rPr>
        <w:t>备</w:t>
      </w:r>
      <w:r>
        <w:rPr>
          <w:rFonts w:hint="eastAsia"/>
          <w:color w:val="000000" w:themeColor="text1"/>
          <w:sz w:val="24"/>
          <w:szCs w:val="20"/>
          <w:highlight w:val="none"/>
          <w14:textFill>
            <w14:solidFill>
              <w14:schemeClr w14:val="tx1"/>
            </w14:solidFill>
          </w14:textFill>
        </w:rPr>
        <w:t>注：管件应与管材材质相同。</w:t>
      </w:r>
    </w:p>
    <w:p w14:paraId="786D1556">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3.3.2.5 阀门选用清单表</w:t>
      </w:r>
    </w:p>
    <w:tbl>
      <w:tblPr>
        <w:tblStyle w:val="42"/>
        <w:tblW w:w="8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134"/>
        <w:gridCol w:w="1650"/>
        <w:gridCol w:w="1883"/>
        <w:gridCol w:w="1525"/>
        <w:gridCol w:w="1478"/>
      </w:tblGrid>
      <w:tr w14:paraId="10EB6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0BD88A12">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编号</w:t>
            </w:r>
          </w:p>
        </w:tc>
        <w:tc>
          <w:tcPr>
            <w:tcW w:w="1134" w:type="dxa"/>
            <w:vAlign w:val="center"/>
          </w:tcPr>
          <w:p w14:paraId="0D358878">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项目</w:t>
            </w:r>
          </w:p>
        </w:tc>
        <w:tc>
          <w:tcPr>
            <w:tcW w:w="1650" w:type="dxa"/>
            <w:vAlign w:val="center"/>
          </w:tcPr>
          <w:p w14:paraId="59C11259">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适用条件</w:t>
            </w:r>
          </w:p>
        </w:tc>
        <w:tc>
          <w:tcPr>
            <w:tcW w:w="1883" w:type="dxa"/>
            <w:vAlign w:val="center"/>
          </w:tcPr>
          <w:p w14:paraId="5EE9C75B">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阀门形式选择</w:t>
            </w:r>
          </w:p>
        </w:tc>
        <w:tc>
          <w:tcPr>
            <w:tcW w:w="1525" w:type="dxa"/>
            <w:vAlign w:val="center"/>
          </w:tcPr>
          <w:p w14:paraId="4991E4E5">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连接形式</w:t>
            </w:r>
          </w:p>
        </w:tc>
        <w:tc>
          <w:tcPr>
            <w:tcW w:w="1478" w:type="dxa"/>
            <w:vAlign w:val="center"/>
          </w:tcPr>
          <w:p w14:paraId="7D07022D">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17A5A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Merge w:val="restart"/>
            <w:vAlign w:val="center"/>
          </w:tcPr>
          <w:p w14:paraId="3121119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134" w:type="dxa"/>
            <w:vMerge w:val="restart"/>
            <w:vAlign w:val="center"/>
          </w:tcPr>
          <w:p w14:paraId="5CAB9F4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生活给水系统</w:t>
            </w:r>
          </w:p>
        </w:tc>
        <w:tc>
          <w:tcPr>
            <w:tcW w:w="1650" w:type="dxa"/>
            <w:vAlign w:val="center"/>
          </w:tcPr>
          <w:p w14:paraId="3F0A11BA">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DN&gt;50mm</w:t>
            </w:r>
          </w:p>
        </w:tc>
        <w:tc>
          <w:tcPr>
            <w:tcW w:w="1883" w:type="dxa"/>
            <w:vAlign w:val="center"/>
          </w:tcPr>
          <w:p w14:paraId="0056E97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硬密封闸阀，球墨铸铁阀体，S30408材质阀板及阀杆</w:t>
            </w:r>
          </w:p>
        </w:tc>
        <w:tc>
          <w:tcPr>
            <w:tcW w:w="1525" w:type="dxa"/>
            <w:vAlign w:val="center"/>
          </w:tcPr>
          <w:p w14:paraId="2147F68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法兰连接</w:t>
            </w:r>
          </w:p>
        </w:tc>
        <w:tc>
          <w:tcPr>
            <w:tcW w:w="1478" w:type="dxa"/>
            <w:vMerge w:val="restart"/>
            <w:vAlign w:val="center"/>
          </w:tcPr>
          <w:p w14:paraId="60C8EFD5">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阀门工作压力不低于系统的工作压力，且不低于1.6MPa</w:t>
            </w:r>
          </w:p>
        </w:tc>
      </w:tr>
      <w:tr w14:paraId="6D506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Merge w:val="continue"/>
            <w:vAlign w:val="center"/>
          </w:tcPr>
          <w:p w14:paraId="49850EB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134" w:type="dxa"/>
            <w:vMerge w:val="continue"/>
            <w:vAlign w:val="center"/>
          </w:tcPr>
          <w:p w14:paraId="1092826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650" w:type="dxa"/>
            <w:vAlign w:val="center"/>
          </w:tcPr>
          <w:p w14:paraId="5FA0C5C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DN≤50mm</w:t>
            </w:r>
          </w:p>
        </w:tc>
        <w:tc>
          <w:tcPr>
            <w:tcW w:w="1883" w:type="dxa"/>
            <w:vAlign w:val="center"/>
          </w:tcPr>
          <w:p w14:paraId="35CFB3B7">
            <w:pPr>
              <w:adjustRightInd w:val="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内螺纹连接</w:t>
            </w:r>
          </w:p>
        </w:tc>
        <w:tc>
          <w:tcPr>
            <w:tcW w:w="1525" w:type="dxa"/>
            <w:vAlign w:val="center"/>
          </w:tcPr>
          <w:p w14:paraId="7C2E4034">
            <w:pPr>
              <w:adjustRightInd w:val="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内螺纹连接</w:t>
            </w:r>
          </w:p>
        </w:tc>
        <w:tc>
          <w:tcPr>
            <w:tcW w:w="1478" w:type="dxa"/>
            <w:vMerge w:val="continue"/>
            <w:vAlign w:val="center"/>
          </w:tcPr>
          <w:p w14:paraId="15620B1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39443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40EADA9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1134" w:type="dxa"/>
            <w:vAlign w:val="center"/>
          </w:tcPr>
          <w:p w14:paraId="0CD09D1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人防工程</w:t>
            </w:r>
          </w:p>
        </w:tc>
        <w:tc>
          <w:tcPr>
            <w:tcW w:w="1650" w:type="dxa"/>
            <w:vAlign w:val="center"/>
          </w:tcPr>
          <w:p w14:paraId="3A28153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883" w:type="dxa"/>
            <w:vAlign w:val="center"/>
          </w:tcPr>
          <w:p w14:paraId="2EC3856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硬密封闸阀，球墨铸铁阀体，S30408材质阀板及阀杆</w:t>
            </w:r>
          </w:p>
        </w:tc>
        <w:tc>
          <w:tcPr>
            <w:tcW w:w="1525" w:type="dxa"/>
            <w:vAlign w:val="center"/>
          </w:tcPr>
          <w:p w14:paraId="1DE080E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内螺纹连接</w:t>
            </w:r>
          </w:p>
        </w:tc>
        <w:tc>
          <w:tcPr>
            <w:tcW w:w="1478" w:type="dxa"/>
            <w:vMerge w:val="continue"/>
            <w:vAlign w:val="center"/>
          </w:tcPr>
          <w:p w14:paraId="48BDED4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bl>
    <w:p w14:paraId="08226581">
      <w:pPr>
        <w:pStyle w:val="24"/>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空调冷凝水管设防结露措施，采用橡塑保温材料，保温层厚10mm。</w:t>
      </w:r>
    </w:p>
    <w:p w14:paraId="2A9CC601">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3.3.3排水设备、材料选型</w:t>
      </w:r>
    </w:p>
    <w:p w14:paraId="5B64DA6B">
      <w:pPr>
        <w:pStyle w:val="24"/>
        <w:ind w:firstLine="480"/>
        <w:rPr>
          <w:rFonts w:hint="eastAsia" w:hAnsi="宋体" w:cs="宋体"/>
          <w:color w:val="000000" w:themeColor="text1"/>
          <w:highlight w:val="none"/>
          <w14:textFill>
            <w14:solidFill>
              <w14:schemeClr w14:val="tx1"/>
            </w14:solidFill>
          </w14:textFill>
        </w:rPr>
      </w:pPr>
      <w:bookmarkStart w:id="337" w:name="_Hlk196575040"/>
      <w:r>
        <w:rPr>
          <w:rFonts w:hint="eastAsia" w:hAnsi="宋体" w:cs="宋体"/>
          <w:color w:val="000000" w:themeColor="text1"/>
          <w:highlight w:val="none"/>
          <w14:textFill>
            <w14:solidFill>
              <w14:schemeClr w14:val="tx1"/>
            </w14:solidFill>
          </w14:textFill>
        </w:rPr>
        <w:t>3.3.3.1 器具要求坐便器水箱容积不大于6L，并选用两档冲洗阀，满足2级节水器具要求。</w:t>
      </w:r>
    </w:p>
    <w:bookmarkEnd w:id="337"/>
    <w:p w14:paraId="471C34B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3.3.3.2 潜污泵采用球墨铸铁泵体和S30408不锈钢叶轮，并配套自带浮球液位控制和PLC自动控制箱。消防电梯基坑集水坑和污水集水坑采用自耦安装，其他潜水泵可采用硬管连接固定式安装。</w:t>
      </w:r>
    </w:p>
    <w:p w14:paraId="201EC492">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3.3.3.3 排水管选用清单表</w:t>
      </w:r>
    </w:p>
    <w:tbl>
      <w:tblPr>
        <w:tblStyle w:val="42"/>
        <w:tblW w:w="86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560"/>
        <w:gridCol w:w="2693"/>
        <w:gridCol w:w="1843"/>
        <w:gridCol w:w="1134"/>
        <w:gridCol w:w="685"/>
      </w:tblGrid>
      <w:tr w14:paraId="3866A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5767CD16">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编号</w:t>
            </w:r>
          </w:p>
        </w:tc>
        <w:tc>
          <w:tcPr>
            <w:tcW w:w="1560" w:type="dxa"/>
            <w:vAlign w:val="center"/>
          </w:tcPr>
          <w:p w14:paraId="443399BC">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项目</w:t>
            </w:r>
          </w:p>
        </w:tc>
        <w:tc>
          <w:tcPr>
            <w:tcW w:w="2693" w:type="dxa"/>
            <w:vAlign w:val="center"/>
          </w:tcPr>
          <w:p w14:paraId="0A9DABD9">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适用条件</w:t>
            </w:r>
          </w:p>
        </w:tc>
        <w:tc>
          <w:tcPr>
            <w:tcW w:w="1843" w:type="dxa"/>
            <w:vAlign w:val="center"/>
          </w:tcPr>
          <w:p w14:paraId="5DD6628C">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管材选择</w:t>
            </w:r>
          </w:p>
        </w:tc>
        <w:tc>
          <w:tcPr>
            <w:tcW w:w="1134" w:type="dxa"/>
            <w:vAlign w:val="center"/>
          </w:tcPr>
          <w:p w14:paraId="048F6FFA">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连接形式</w:t>
            </w:r>
          </w:p>
        </w:tc>
        <w:tc>
          <w:tcPr>
            <w:tcW w:w="685" w:type="dxa"/>
            <w:vAlign w:val="center"/>
          </w:tcPr>
          <w:p w14:paraId="0DC77881">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0800D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5510908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560" w:type="dxa"/>
            <w:vAlign w:val="center"/>
          </w:tcPr>
          <w:p w14:paraId="7786011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生活排水系统</w:t>
            </w:r>
          </w:p>
        </w:tc>
        <w:tc>
          <w:tcPr>
            <w:tcW w:w="2693" w:type="dxa"/>
            <w:vAlign w:val="center"/>
          </w:tcPr>
          <w:p w14:paraId="6AE5562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室内污水、废水管、通气管</w:t>
            </w:r>
          </w:p>
        </w:tc>
        <w:tc>
          <w:tcPr>
            <w:tcW w:w="1843" w:type="dxa"/>
            <w:vAlign w:val="center"/>
          </w:tcPr>
          <w:p w14:paraId="7B260A6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UPVC排水管</w:t>
            </w:r>
          </w:p>
        </w:tc>
        <w:tc>
          <w:tcPr>
            <w:tcW w:w="1134" w:type="dxa"/>
            <w:vAlign w:val="center"/>
          </w:tcPr>
          <w:p w14:paraId="7D6ADAB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溶剂粘接</w:t>
            </w:r>
          </w:p>
        </w:tc>
        <w:tc>
          <w:tcPr>
            <w:tcW w:w="685" w:type="dxa"/>
            <w:vAlign w:val="center"/>
          </w:tcPr>
          <w:p w14:paraId="0755F767">
            <w:pPr>
              <w:pStyle w:val="80"/>
              <w:adjustRightInd w:val="0"/>
              <w:snapToGrid w:val="0"/>
              <w:ind w:firstLine="0" w:firstLineChars="0"/>
              <w:jc w:val="center"/>
              <w:rPr>
                <w:rFonts w:hint="eastAsia" w:ascii="宋体" w:hAnsi="宋体" w:cs="宋体"/>
                <w:color w:val="000000" w:themeColor="text1"/>
                <w:highlight w:val="none"/>
                <w:lang w:val="zh-CN"/>
                <w14:textFill>
                  <w14:solidFill>
                    <w14:schemeClr w14:val="tx1"/>
                  </w14:solidFill>
                </w14:textFill>
              </w:rPr>
            </w:pPr>
          </w:p>
        </w:tc>
      </w:tr>
      <w:tr w14:paraId="1D54B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2372F5B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1560" w:type="dxa"/>
            <w:vMerge w:val="restart"/>
            <w:vAlign w:val="center"/>
          </w:tcPr>
          <w:p w14:paraId="0C4866F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雨水排水系统</w:t>
            </w:r>
          </w:p>
        </w:tc>
        <w:tc>
          <w:tcPr>
            <w:tcW w:w="2693" w:type="dxa"/>
            <w:vAlign w:val="center"/>
          </w:tcPr>
          <w:p w14:paraId="50A3A9A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阳台雨水</w:t>
            </w:r>
          </w:p>
        </w:tc>
        <w:tc>
          <w:tcPr>
            <w:tcW w:w="1843" w:type="dxa"/>
            <w:vAlign w:val="center"/>
          </w:tcPr>
          <w:p w14:paraId="31B0A99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UPVC排水管</w:t>
            </w:r>
          </w:p>
        </w:tc>
        <w:tc>
          <w:tcPr>
            <w:tcW w:w="1134" w:type="dxa"/>
            <w:vAlign w:val="center"/>
          </w:tcPr>
          <w:p w14:paraId="6167B11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溶剂粘接</w:t>
            </w:r>
          </w:p>
        </w:tc>
        <w:tc>
          <w:tcPr>
            <w:tcW w:w="685" w:type="dxa"/>
            <w:vAlign w:val="center"/>
          </w:tcPr>
          <w:p w14:paraId="6202B7D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5712B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55D850C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560" w:type="dxa"/>
            <w:vMerge w:val="continue"/>
            <w:vAlign w:val="center"/>
          </w:tcPr>
          <w:p w14:paraId="66A0F15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693" w:type="dxa"/>
            <w:vAlign w:val="center"/>
          </w:tcPr>
          <w:p w14:paraId="4758404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屋面雨水</w:t>
            </w:r>
          </w:p>
        </w:tc>
        <w:tc>
          <w:tcPr>
            <w:tcW w:w="1843" w:type="dxa"/>
            <w:vAlign w:val="center"/>
          </w:tcPr>
          <w:p w14:paraId="1FA7705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S11.2系列实壁加厚PVC-U排水管</w:t>
            </w:r>
          </w:p>
        </w:tc>
        <w:tc>
          <w:tcPr>
            <w:tcW w:w="1134" w:type="dxa"/>
            <w:vAlign w:val="center"/>
          </w:tcPr>
          <w:p w14:paraId="758D6D1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溶剂粘接</w:t>
            </w:r>
          </w:p>
        </w:tc>
        <w:tc>
          <w:tcPr>
            <w:tcW w:w="685" w:type="dxa"/>
            <w:vAlign w:val="center"/>
          </w:tcPr>
          <w:p w14:paraId="4D9E904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6EEFE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037D84C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w:t>
            </w:r>
          </w:p>
        </w:tc>
        <w:tc>
          <w:tcPr>
            <w:tcW w:w="1560" w:type="dxa"/>
            <w:vMerge w:val="restart"/>
            <w:vAlign w:val="center"/>
          </w:tcPr>
          <w:p w14:paraId="015AA3A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室内压力流排水管</w:t>
            </w:r>
          </w:p>
        </w:tc>
        <w:tc>
          <w:tcPr>
            <w:tcW w:w="2693" w:type="dxa"/>
            <w:vAlign w:val="center"/>
          </w:tcPr>
          <w:p w14:paraId="0D43FDD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DN≤100mm</w:t>
            </w:r>
          </w:p>
        </w:tc>
        <w:tc>
          <w:tcPr>
            <w:tcW w:w="1843" w:type="dxa"/>
            <w:vAlign w:val="center"/>
          </w:tcPr>
          <w:p w14:paraId="046E6E0A">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热镀锌钢管</w:t>
            </w:r>
          </w:p>
        </w:tc>
        <w:tc>
          <w:tcPr>
            <w:tcW w:w="1134" w:type="dxa"/>
            <w:vAlign w:val="center"/>
          </w:tcPr>
          <w:p w14:paraId="1B802C7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丝扣连接</w:t>
            </w:r>
          </w:p>
        </w:tc>
        <w:tc>
          <w:tcPr>
            <w:tcW w:w="685" w:type="dxa"/>
            <w:vMerge w:val="restart"/>
            <w:vAlign w:val="center"/>
          </w:tcPr>
          <w:p w14:paraId="1F35D31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719D7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04A3DA2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560" w:type="dxa"/>
            <w:vMerge w:val="continue"/>
            <w:vAlign w:val="center"/>
          </w:tcPr>
          <w:p w14:paraId="1CF5929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693" w:type="dxa"/>
            <w:vAlign w:val="center"/>
          </w:tcPr>
          <w:p w14:paraId="1405851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DN&gt;100mm</w:t>
            </w:r>
          </w:p>
        </w:tc>
        <w:tc>
          <w:tcPr>
            <w:tcW w:w="1843" w:type="dxa"/>
            <w:vAlign w:val="center"/>
          </w:tcPr>
          <w:p w14:paraId="32CED1B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热镀锌钢管</w:t>
            </w:r>
          </w:p>
        </w:tc>
        <w:tc>
          <w:tcPr>
            <w:tcW w:w="1134" w:type="dxa"/>
            <w:vAlign w:val="center"/>
          </w:tcPr>
          <w:p w14:paraId="434F381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法兰连接</w:t>
            </w:r>
          </w:p>
        </w:tc>
        <w:tc>
          <w:tcPr>
            <w:tcW w:w="685" w:type="dxa"/>
            <w:vMerge w:val="continue"/>
            <w:vAlign w:val="center"/>
          </w:tcPr>
          <w:p w14:paraId="5127741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3D533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40E5D45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w:t>
            </w:r>
          </w:p>
        </w:tc>
        <w:tc>
          <w:tcPr>
            <w:tcW w:w="1560" w:type="dxa"/>
            <w:vAlign w:val="center"/>
          </w:tcPr>
          <w:p w14:paraId="4C0F5E7A">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空调冷凝水排水管</w:t>
            </w:r>
          </w:p>
        </w:tc>
        <w:tc>
          <w:tcPr>
            <w:tcW w:w="2693" w:type="dxa"/>
            <w:vAlign w:val="center"/>
          </w:tcPr>
          <w:p w14:paraId="04A83E7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843" w:type="dxa"/>
            <w:vAlign w:val="center"/>
          </w:tcPr>
          <w:p w14:paraId="45724F4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DN40 PVC-U排水管</w:t>
            </w:r>
          </w:p>
        </w:tc>
        <w:tc>
          <w:tcPr>
            <w:tcW w:w="1134" w:type="dxa"/>
            <w:vAlign w:val="center"/>
          </w:tcPr>
          <w:p w14:paraId="4D571E2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溶剂粘接</w:t>
            </w:r>
          </w:p>
        </w:tc>
        <w:tc>
          <w:tcPr>
            <w:tcW w:w="685" w:type="dxa"/>
            <w:vAlign w:val="center"/>
          </w:tcPr>
          <w:p w14:paraId="222D423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4D143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3B7B280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5</w:t>
            </w:r>
          </w:p>
        </w:tc>
        <w:tc>
          <w:tcPr>
            <w:tcW w:w="1560" w:type="dxa"/>
            <w:vMerge w:val="restart"/>
            <w:vAlign w:val="center"/>
          </w:tcPr>
          <w:p w14:paraId="7EBB905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人防区排水管材</w:t>
            </w:r>
          </w:p>
        </w:tc>
        <w:tc>
          <w:tcPr>
            <w:tcW w:w="2693" w:type="dxa"/>
            <w:vAlign w:val="center"/>
          </w:tcPr>
          <w:p w14:paraId="7C9C9CA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穿过人防围护结构和设于人防围护结构内</w:t>
            </w:r>
          </w:p>
        </w:tc>
        <w:tc>
          <w:tcPr>
            <w:tcW w:w="1843" w:type="dxa"/>
            <w:vAlign w:val="center"/>
          </w:tcPr>
          <w:p w14:paraId="1F33F25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热镀锌钢管</w:t>
            </w:r>
          </w:p>
        </w:tc>
        <w:tc>
          <w:tcPr>
            <w:tcW w:w="1134" w:type="dxa"/>
            <w:vAlign w:val="center"/>
          </w:tcPr>
          <w:p w14:paraId="26E5BF5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685" w:type="dxa"/>
            <w:vAlign w:val="center"/>
          </w:tcPr>
          <w:p w14:paraId="56E93E9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78BEA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1C5F9D5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560" w:type="dxa"/>
            <w:vMerge w:val="continue"/>
            <w:vAlign w:val="center"/>
          </w:tcPr>
          <w:p w14:paraId="1B2491E4">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693" w:type="dxa"/>
            <w:vAlign w:val="center"/>
          </w:tcPr>
          <w:p w14:paraId="64FD858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结构底板内及以下敷设</w:t>
            </w:r>
          </w:p>
        </w:tc>
        <w:tc>
          <w:tcPr>
            <w:tcW w:w="1843" w:type="dxa"/>
            <w:vAlign w:val="center"/>
          </w:tcPr>
          <w:p w14:paraId="6CF8AAF7">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机制排水铸铁管或热镀锌钢管</w:t>
            </w:r>
          </w:p>
        </w:tc>
        <w:tc>
          <w:tcPr>
            <w:tcW w:w="1134" w:type="dxa"/>
            <w:vAlign w:val="center"/>
          </w:tcPr>
          <w:p w14:paraId="1AC3A98A">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685" w:type="dxa"/>
            <w:vAlign w:val="center"/>
          </w:tcPr>
          <w:p w14:paraId="5F4BC482">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4905D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shd w:val="clear" w:color="auto" w:fill="auto"/>
            <w:vAlign w:val="center"/>
          </w:tcPr>
          <w:p w14:paraId="44A5146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6</w:t>
            </w:r>
          </w:p>
        </w:tc>
        <w:tc>
          <w:tcPr>
            <w:tcW w:w="1560" w:type="dxa"/>
            <w:shd w:val="clear" w:color="auto" w:fill="auto"/>
            <w:vAlign w:val="center"/>
          </w:tcPr>
          <w:p w14:paraId="0C0D370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商业</w:t>
            </w:r>
          </w:p>
        </w:tc>
        <w:tc>
          <w:tcPr>
            <w:tcW w:w="2693" w:type="dxa"/>
            <w:shd w:val="clear" w:color="auto" w:fill="auto"/>
            <w:vAlign w:val="center"/>
          </w:tcPr>
          <w:p w14:paraId="7205899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餐饮废水管</w:t>
            </w:r>
          </w:p>
        </w:tc>
        <w:tc>
          <w:tcPr>
            <w:tcW w:w="1843" w:type="dxa"/>
            <w:shd w:val="clear" w:color="auto" w:fill="auto"/>
            <w:vAlign w:val="center"/>
          </w:tcPr>
          <w:p w14:paraId="597C7BF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机制柔性铸铁管</w:t>
            </w:r>
          </w:p>
        </w:tc>
        <w:tc>
          <w:tcPr>
            <w:tcW w:w="1134" w:type="dxa"/>
            <w:shd w:val="clear" w:color="auto" w:fill="auto"/>
            <w:vAlign w:val="center"/>
          </w:tcPr>
          <w:p w14:paraId="17AB797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埋地出户管采用法兰连接或不锈钢卡箍连接，其余采用不锈钢卡箍连接</w:t>
            </w:r>
          </w:p>
        </w:tc>
        <w:tc>
          <w:tcPr>
            <w:tcW w:w="685" w:type="dxa"/>
            <w:shd w:val="clear" w:color="auto" w:fill="auto"/>
            <w:vAlign w:val="center"/>
          </w:tcPr>
          <w:p w14:paraId="285E699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bl>
    <w:p w14:paraId="0015A1E6">
      <w:pPr>
        <w:pStyle w:val="80"/>
        <w:spacing w:line="360" w:lineRule="auto"/>
        <w:ind w:left="420" w:firstLine="0" w:firstLineChars="0"/>
        <w:rPr>
          <w:rFonts w:hint="eastAsia" w:ascii="宋体" w:hAnsi="宋体" w:cs="宋体"/>
          <w:b/>
          <w:color w:val="000000" w:themeColor="text1"/>
          <w:sz w:val="24"/>
          <w:szCs w:val="24"/>
          <w:highlight w:val="none"/>
          <w14:textFill>
            <w14:solidFill>
              <w14:schemeClr w14:val="tx1"/>
            </w14:solidFill>
          </w14:textFill>
        </w:rPr>
      </w:pPr>
    </w:p>
    <w:p w14:paraId="58F09CF1">
      <w:pPr>
        <w:pStyle w:val="24"/>
        <w:widowControl/>
        <w:ind w:firstLine="480"/>
        <w:jc w:val="left"/>
        <w:textAlignment w:val="center"/>
        <w:rPr>
          <w:rFonts w:hint="eastAsia" w:hAnsi="宋体" w:cs="宋体"/>
          <w:b/>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3.3.4 消防设备、材料选型</w:t>
      </w:r>
    </w:p>
    <w:p w14:paraId="21C19FB9">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 xml:space="preserve">3.3.4.1 </w:t>
      </w:r>
    </w:p>
    <w:p w14:paraId="1C1938F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住宅标准层及地下室前室的消火栓箱选用带灭火器和消火栓的组合式消防箱，尺寸统一按700宽X 1800高X 240厚（受户型影响时，可选用薄型），参照国标图集15S202《室内消火栓安装》第21页。</w:t>
      </w:r>
    </w:p>
    <w:p w14:paraId="0EAB8E3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地下车库区域选用消火栓与灭火器分别独立设置的方式。消火栓箱尺寸统一按</w:t>
      </w:r>
      <w:r>
        <w:rPr>
          <w:rFonts w:hAnsi="宋体" w:cs="宋体"/>
          <w:color w:val="000000" w:themeColor="text1"/>
          <w:highlight w:val="none"/>
          <w14:textFill>
            <w14:solidFill>
              <w14:schemeClr w14:val="tx1"/>
            </w14:solidFill>
          </w14:textFill>
        </w:rPr>
        <w:t>650宽X800高X240厚，参照国标图集15S202《室内消火栓安装》第8页。</w:t>
      </w:r>
    </w:p>
    <w:p w14:paraId="667B7AB7">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3.3.4.2 地上住宅部分按轻危险级配置手提式磷酸铵盐干粉灭火器MF/ABC1，地上裙房部分按中危险级配置手提式磷酸铵盐干粉灭火器MF/ABC3，地下充电桩车库区域按严重危险级配置手提式磷酸铵盐干粉灭火器MF/ABC5。充电桩基础设施附近，配置灭火剂充装量不小于60L的推车式水基型灭火器。地下普通机动和非机动车库，高低压配电房等设备用房按中危险级配置手提式或推车式磷酸铵盐干粉灭火器。</w:t>
      </w:r>
    </w:p>
    <w:p w14:paraId="2A1FBB2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3.3.4.3 消防水泵采用球墨铸铁泵体和S30408不锈钢叶轮。</w:t>
      </w:r>
    </w:p>
    <w:p w14:paraId="1E5BF75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3.3.4.4 消防给水管管材选用清单表</w:t>
      </w:r>
    </w:p>
    <w:tbl>
      <w:tblPr>
        <w:tblStyle w:val="42"/>
        <w:tblpPr w:leftFromText="180" w:rightFromText="180" w:vertAnchor="text" w:horzAnchor="page" w:tblpXSpec="center" w:tblpY="143"/>
        <w:tblOverlap w:val="never"/>
        <w:tblW w:w="8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
        <w:gridCol w:w="950"/>
        <w:gridCol w:w="2416"/>
        <w:gridCol w:w="1684"/>
        <w:gridCol w:w="1683"/>
        <w:gridCol w:w="1195"/>
      </w:tblGrid>
      <w:tr w14:paraId="37B3E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Align w:val="center"/>
          </w:tcPr>
          <w:p w14:paraId="492C066A">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编号</w:t>
            </w:r>
          </w:p>
        </w:tc>
        <w:tc>
          <w:tcPr>
            <w:tcW w:w="950" w:type="dxa"/>
            <w:vAlign w:val="center"/>
          </w:tcPr>
          <w:p w14:paraId="38FEF37D">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项目</w:t>
            </w:r>
          </w:p>
        </w:tc>
        <w:tc>
          <w:tcPr>
            <w:tcW w:w="2416" w:type="dxa"/>
            <w:vAlign w:val="center"/>
          </w:tcPr>
          <w:p w14:paraId="27CFDA3A">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适用条件</w:t>
            </w:r>
          </w:p>
        </w:tc>
        <w:tc>
          <w:tcPr>
            <w:tcW w:w="1684" w:type="dxa"/>
            <w:vAlign w:val="center"/>
          </w:tcPr>
          <w:p w14:paraId="6BF3B869">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管材选择</w:t>
            </w:r>
          </w:p>
        </w:tc>
        <w:tc>
          <w:tcPr>
            <w:tcW w:w="1683" w:type="dxa"/>
            <w:vAlign w:val="center"/>
          </w:tcPr>
          <w:p w14:paraId="7FF69013">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连接形式</w:t>
            </w:r>
          </w:p>
        </w:tc>
        <w:tc>
          <w:tcPr>
            <w:tcW w:w="1195" w:type="dxa"/>
            <w:vAlign w:val="center"/>
          </w:tcPr>
          <w:p w14:paraId="31021387">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05058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Align w:val="center"/>
          </w:tcPr>
          <w:p w14:paraId="0BD0817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950" w:type="dxa"/>
            <w:vAlign w:val="center"/>
          </w:tcPr>
          <w:p w14:paraId="5902509F">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室外埋地管道</w:t>
            </w:r>
          </w:p>
        </w:tc>
        <w:tc>
          <w:tcPr>
            <w:tcW w:w="2416" w:type="dxa"/>
            <w:vAlign w:val="center"/>
          </w:tcPr>
          <w:p w14:paraId="48DBC0A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系统工作压力≤1.6MP</w:t>
            </w:r>
          </w:p>
        </w:tc>
        <w:tc>
          <w:tcPr>
            <w:tcW w:w="1684" w:type="dxa"/>
            <w:vAlign w:val="center"/>
          </w:tcPr>
          <w:p w14:paraId="317B695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钢丝网骨架PE给水管</w:t>
            </w:r>
          </w:p>
        </w:tc>
        <w:tc>
          <w:tcPr>
            <w:tcW w:w="1683" w:type="dxa"/>
            <w:vAlign w:val="center"/>
          </w:tcPr>
          <w:p w14:paraId="6684124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电热熔接口</w:t>
            </w:r>
          </w:p>
        </w:tc>
        <w:tc>
          <w:tcPr>
            <w:tcW w:w="1195" w:type="dxa"/>
            <w:vAlign w:val="center"/>
          </w:tcPr>
          <w:p w14:paraId="73BF17E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在消防车道下时应设置保护套管</w:t>
            </w:r>
          </w:p>
        </w:tc>
      </w:tr>
      <w:tr w14:paraId="2B064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restart"/>
            <w:vAlign w:val="center"/>
          </w:tcPr>
          <w:p w14:paraId="41144BB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950" w:type="dxa"/>
            <w:vMerge w:val="restart"/>
            <w:vAlign w:val="center"/>
          </w:tcPr>
          <w:p w14:paraId="42AA729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架空管道</w:t>
            </w:r>
          </w:p>
        </w:tc>
        <w:tc>
          <w:tcPr>
            <w:tcW w:w="2416" w:type="dxa"/>
            <w:vAlign w:val="center"/>
          </w:tcPr>
          <w:p w14:paraId="1FFBF2E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系统工作压力≤1.2MPa</w:t>
            </w:r>
          </w:p>
        </w:tc>
        <w:tc>
          <w:tcPr>
            <w:tcW w:w="1684" w:type="dxa"/>
            <w:vAlign w:val="center"/>
          </w:tcPr>
          <w:p w14:paraId="1FA1BFF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热浸镀锌钢管</w:t>
            </w:r>
          </w:p>
        </w:tc>
        <w:tc>
          <w:tcPr>
            <w:tcW w:w="1683" w:type="dxa"/>
            <w:vMerge w:val="restart"/>
            <w:vAlign w:val="center"/>
          </w:tcPr>
          <w:p w14:paraId="1B4F185E">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DN≤50采用螺纹连接；DN&gt;50时采用卡箍连接</w:t>
            </w:r>
          </w:p>
        </w:tc>
        <w:tc>
          <w:tcPr>
            <w:tcW w:w="1195" w:type="dxa"/>
            <w:vAlign w:val="center"/>
          </w:tcPr>
          <w:p w14:paraId="44667E41">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182CE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continue"/>
            <w:vAlign w:val="center"/>
          </w:tcPr>
          <w:p w14:paraId="2C02D66C">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950" w:type="dxa"/>
            <w:vMerge w:val="continue"/>
            <w:vAlign w:val="center"/>
          </w:tcPr>
          <w:p w14:paraId="03E8AA9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416" w:type="dxa"/>
            <w:vAlign w:val="center"/>
          </w:tcPr>
          <w:p w14:paraId="0FE5A6B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系统工作压力＞1.2MPa且≤1.6MPa</w:t>
            </w:r>
          </w:p>
        </w:tc>
        <w:tc>
          <w:tcPr>
            <w:tcW w:w="1684" w:type="dxa"/>
            <w:vAlign w:val="center"/>
          </w:tcPr>
          <w:p w14:paraId="7839B356">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热浸镀锌加厚钢管</w:t>
            </w:r>
          </w:p>
        </w:tc>
        <w:tc>
          <w:tcPr>
            <w:tcW w:w="1683" w:type="dxa"/>
            <w:vMerge w:val="continue"/>
            <w:vAlign w:val="center"/>
          </w:tcPr>
          <w:p w14:paraId="58A1E9EB">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195" w:type="dxa"/>
            <w:vAlign w:val="center"/>
          </w:tcPr>
          <w:p w14:paraId="5697C9F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r w14:paraId="67C4E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continue"/>
            <w:vAlign w:val="center"/>
          </w:tcPr>
          <w:p w14:paraId="0D5FAE69">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950" w:type="dxa"/>
            <w:vMerge w:val="continue"/>
            <w:vAlign w:val="center"/>
          </w:tcPr>
          <w:p w14:paraId="2AB2B030">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2416" w:type="dxa"/>
            <w:vAlign w:val="center"/>
          </w:tcPr>
          <w:p w14:paraId="241DE433">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系统工作压力＞1.6MPa</w:t>
            </w:r>
          </w:p>
        </w:tc>
        <w:tc>
          <w:tcPr>
            <w:tcW w:w="1684" w:type="dxa"/>
            <w:vAlign w:val="center"/>
          </w:tcPr>
          <w:p w14:paraId="29C84C4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内外壁热浸镀锌无缝钢管</w:t>
            </w:r>
          </w:p>
        </w:tc>
        <w:tc>
          <w:tcPr>
            <w:tcW w:w="1683" w:type="dxa"/>
            <w:vMerge w:val="continue"/>
            <w:vAlign w:val="center"/>
          </w:tcPr>
          <w:p w14:paraId="0423DC4D">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c>
          <w:tcPr>
            <w:tcW w:w="1195" w:type="dxa"/>
            <w:vAlign w:val="center"/>
          </w:tcPr>
          <w:p w14:paraId="6EC71D88">
            <w:pPr>
              <w:pStyle w:val="80"/>
              <w:adjustRightInd w:val="0"/>
              <w:snapToGrid w:val="0"/>
              <w:ind w:firstLine="0" w:firstLineChars="0"/>
              <w:jc w:val="center"/>
              <w:rPr>
                <w:rFonts w:hint="eastAsia" w:ascii="宋体" w:hAnsi="宋体" w:cs="宋体"/>
                <w:color w:val="000000" w:themeColor="text1"/>
                <w:highlight w:val="none"/>
                <w14:textFill>
                  <w14:solidFill>
                    <w14:schemeClr w14:val="tx1"/>
                  </w14:solidFill>
                </w14:textFill>
              </w:rPr>
            </w:pPr>
          </w:p>
        </w:tc>
      </w:tr>
    </w:tbl>
    <w:p w14:paraId="07DF3AA1">
      <w:pPr>
        <w:pStyle w:val="24"/>
        <w:ind w:firstLine="480"/>
        <w:rPr>
          <w:rFonts w:hint="eastAsia" w:hAnsi="宋体" w:cs="宋体"/>
          <w:color w:val="000000" w:themeColor="text1"/>
          <w:highlight w:val="none"/>
          <w14:textFill>
            <w14:solidFill>
              <w14:schemeClr w14:val="tx1"/>
            </w14:solidFill>
          </w14:textFill>
        </w:rPr>
      </w:pPr>
    </w:p>
    <w:p w14:paraId="19D8F27B">
      <w:pPr>
        <w:pStyle w:val="24"/>
        <w:ind w:firstLine="0" w:firstLineChars="0"/>
        <w:rPr>
          <w:rFonts w:hint="eastAsia" w:hAnsi="宋体" w:cs="宋体"/>
          <w:color w:val="000000" w:themeColor="text1"/>
          <w:highlight w:val="none"/>
          <w14:textFill>
            <w14:solidFill>
              <w14:schemeClr w14:val="tx1"/>
            </w14:solidFill>
          </w14:textFill>
        </w:rPr>
      </w:pPr>
    </w:p>
    <w:p w14:paraId="32DB10CE">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3.3.4.5 阀门：消防水泵的吸水管和出水管上应设置明杆闸阀或带自锁装置的蝶阀。设置在室外阀门井内的阀门采用耐腐蚀的明杆闸阀或带启闭刻度的暗杆闸阀，其余架空管道全部采用带启闭刻度的暗杆闸阀，有信号源要求的场所采用信号闸阀。以上阀门均采用弹性座封。室内外均采用球墨铸铁阀体，S30408不锈钢阀芯、阀板、阀杆。阀门工作压力不低于系统的工作压力，且不低于1.6MPa。</w:t>
      </w:r>
    </w:p>
    <w:p w14:paraId="19208A8D">
      <w:pPr>
        <w:pStyle w:val="24"/>
        <w:widowControl/>
        <w:ind w:firstLine="480"/>
        <w:jc w:val="left"/>
        <w:textAlignment w:val="center"/>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 平面布置</w:t>
      </w:r>
    </w:p>
    <w:p w14:paraId="1070034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3.3.5.1 应在户内设置1个给水总阀，优先放置在厨房洗菜盆下方橱柜内，其次放置在生活阳台、入户花园，应布置在可以操作的隐蔽位置。</w:t>
      </w:r>
    </w:p>
    <w:p w14:paraId="343AECF9">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3.3.5.2 户内给水管全部暗装。入户管管径应经水力计算选取，一卫一厨户型，建议取DN20；二卫一厨及以上户型，建议取DN25。</w:t>
      </w:r>
    </w:p>
    <w:p w14:paraId="53A1E40C">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3.3.5.3 住宅卫生间应采用同层排水，排水支管应结合室内装修进行隐蔽。</w:t>
      </w:r>
    </w:p>
    <w:p w14:paraId="04B6872A">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3.3.5.4 住宅卫生间设置沉箱时，沉箱应设置二次排水地漏。沉箱二次排水地漏（不设水封）接至DN50专用排水立管，在首层设置水封深度不小于50mm的存水弯并排至室外废水检查井。</w:t>
      </w:r>
    </w:p>
    <w:p w14:paraId="696C11D3">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3.3.5.5 住宅厨房洗菜盆排水支管采用DN50。</w:t>
      </w:r>
    </w:p>
    <w:p w14:paraId="71F4B50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3.3.5.6 生活阳台、入户花园、主阳台应设置洗衣机专用给水龙头或取水龙头，并在阳台设一个DN20阀门和轻便消防水龙快速接口，参照国标图集15S202《室内消火栓安装》第50页。</w:t>
      </w:r>
    </w:p>
    <w:p w14:paraId="53D0A9AD">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3.3.5.7 生活阳台洗衣机排水及地面排水应接入废水立管，设置洗衣机的部位应设置能防止溢流和防干涸的洗衣机专用地漏。公共区水管井内设DN50无水封直通式地漏。</w:t>
      </w:r>
    </w:p>
    <w:p w14:paraId="070A2240">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3.3.5.8 生活排水集水池中排水泵应设一台备用泵。用于收集地下车库冲洗地面排水的每个集水井内设2台排水泵，分水位投入，不设备用泵。地下室设备机房集水井除工作泵外，还应设备用泵。</w:t>
      </w:r>
      <w:r>
        <w:rPr>
          <w:rFonts w:hint="eastAsia"/>
          <w:color w:val="000000" w:themeColor="text1"/>
          <w:highlight w:val="none"/>
          <w14:textFill>
            <w14:solidFill>
              <w14:schemeClr w14:val="tx1"/>
            </w14:solidFill>
          </w14:textFill>
        </w:rPr>
        <w:t>每个防火分区不超过</w:t>
      </w:r>
      <w:r>
        <w:rPr>
          <w:color w:val="000000" w:themeColor="text1"/>
          <w:highlight w:val="none"/>
          <w14:textFill>
            <w14:solidFill>
              <w14:schemeClr w14:val="tx1"/>
            </w14:solidFill>
          </w14:textFill>
        </w:rPr>
        <w:t>3~4</w:t>
      </w:r>
      <w:r>
        <w:rPr>
          <w:rFonts w:hint="eastAsia"/>
          <w:color w:val="000000" w:themeColor="text1"/>
          <w:highlight w:val="none"/>
          <w14:textFill>
            <w14:solidFill>
              <w14:schemeClr w14:val="tx1"/>
            </w14:solidFill>
          </w14:textFill>
        </w:rPr>
        <w:t>个集水井为宜。车库出入口集水井、电梯集水井、水泵房集水井按双水泵考虑。</w:t>
      </w:r>
    </w:p>
    <w:p w14:paraId="2AD0A0E8">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3.3.5.9 集水井尺寸及排水泵选型应经计算确定，下表仅供设计参考。</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6"/>
        <w:gridCol w:w="1553"/>
        <w:gridCol w:w="1061"/>
        <w:gridCol w:w="1436"/>
        <w:gridCol w:w="2466"/>
      </w:tblGrid>
      <w:tr w14:paraId="020BC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56" w:type="dxa"/>
            <w:gridSpan w:val="4"/>
            <w:vAlign w:val="center"/>
          </w:tcPr>
          <w:p w14:paraId="20B9ABD7">
            <w:pPr>
              <w:pStyle w:val="80"/>
              <w:adjustRightInd w:val="0"/>
              <w:snapToGrid w:val="0"/>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集水井明细表</w:t>
            </w:r>
          </w:p>
        </w:tc>
        <w:tc>
          <w:tcPr>
            <w:tcW w:w="2466" w:type="dxa"/>
            <w:vMerge w:val="restart"/>
            <w:vAlign w:val="center"/>
          </w:tcPr>
          <w:p w14:paraId="0E021C7E">
            <w:pPr>
              <w:pStyle w:val="80"/>
              <w:adjustRightInd w:val="0"/>
              <w:snapToGrid w:val="0"/>
              <w:ind w:firstLine="0" w:firstLineChars="0"/>
              <w:jc w:val="center"/>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排水泵选型</w:t>
            </w:r>
          </w:p>
        </w:tc>
      </w:tr>
      <w:tr w14:paraId="3F4C0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1926B8BC">
            <w:pPr>
              <w:pStyle w:val="80"/>
              <w:adjustRightInd w:val="0"/>
              <w:snapToGrid w:val="0"/>
              <w:ind w:firstLine="0" w:firstLineChars="0"/>
              <w:jc w:val="center"/>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集水井类型</w:t>
            </w:r>
          </w:p>
        </w:tc>
        <w:tc>
          <w:tcPr>
            <w:tcW w:w="1553" w:type="dxa"/>
            <w:vAlign w:val="center"/>
          </w:tcPr>
          <w:p w14:paraId="7D89B8F8">
            <w:pPr>
              <w:pStyle w:val="80"/>
              <w:adjustRightInd w:val="0"/>
              <w:snapToGrid w:val="0"/>
              <w:ind w:firstLine="0" w:firstLineChars="0"/>
              <w:jc w:val="center"/>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平面尺寸（mm）</w:t>
            </w:r>
          </w:p>
        </w:tc>
        <w:tc>
          <w:tcPr>
            <w:tcW w:w="1061" w:type="dxa"/>
            <w:vAlign w:val="center"/>
          </w:tcPr>
          <w:p w14:paraId="278A0D8A">
            <w:pPr>
              <w:pStyle w:val="80"/>
              <w:adjustRightInd w:val="0"/>
              <w:snapToGrid w:val="0"/>
              <w:ind w:firstLine="0" w:firstLineChars="0"/>
              <w:jc w:val="center"/>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井底标高</w:t>
            </w:r>
          </w:p>
        </w:tc>
        <w:tc>
          <w:tcPr>
            <w:tcW w:w="1436" w:type="dxa"/>
            <w:vAlign w:val="center"/>
          </w:tcPr>
          <w:p w14:paraId="76361BF4">
            <w:pPr>
              <w:pStyle w:val="80"/>
              <w:adjustRightInd w:val="0"/>
              <w:snapToGrid w:val="0"/>
              <w:ind w:firstLine="0" w:firstLineChars="0"/>
              <w:jc w:val="center"/>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备注</w:t>
            </w:r>
          </w:p>
        </w:tc>
        <w:tc>
          <w:tcPr>
            <w:tcW w:w="2466" w:type="dxa"/>
            <w:vMerge w:val="continue"/>
            <w:vAlign w:val="center"/>
          </w:tcPr>
          <w:p w14:paraId="14DB6205">
            <w:pPr>
              <w:pStyle w:val="80"/>
              <w:adjustRightInd w:val="0"/>
              <w:snapToGrid w:val="0"/>
              <w:ind w:firstLine="0" w:firstLineChars="0"/>
              <w:jc w:val="center"/>
              <w:rPr>
                <w:rStyle w:val="81"/>
                <w:rFonts w:hint="eastAsia" w:ascii="宋体" w:hAnsi="宋体" w:cs="宋体"/>
                <w:b/>
                <w:bCs/>
                <w:color w:val="000000" w:themeColor="text1"/>
                <w:highlight w:val="none"/>
                <w14:textFill>
                  <w14:solidFill>
                    <w14:schemeClr w14:val="tx1"/>
                  </w14:solidFill>
                </w14:textFill>
              </w:rPr>
            </w:pPr>
          </w:p>
        </w:tc>
      </w:tr>
      <w:tr w14:paraId="47494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63F7444C">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地下车库普通集水井、发电机房集水井</w:t>
            </w:r>
          </w:p>
        </w:tc>
        <w:tc>
          <w:tcPr>
            <w:tcW w:w="1553" w:type="dxa"/>
            <w:vAlign w:val="center"/>
          </w:tcPr>
          <w:p w14:paraId="2003F0B4">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1200×1200</w:t>
            </w:r>
          </w:p>
        </w:tc>
        <w:tc>
          <w:tcPr>
            <w:tcW w:w="1061" w:type="dxa"/>
            <w:vAlign w:val="center"/>
          </w:tcPr>
          <w:p w14:paraId="5235DBBE">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H-1.20m</w:t>
            </w:r>
          </w:p>
        </w:tc>
        <w:tc>
          <w:tcPr>
            <w:tcW w:w="1436" w:type="dxa"/>
            <w:vMerge w:val="restart"/>
            <w:vAlign w:val="center"/>
          </w:tcPr>
          <w:p w14:paraId="773BE442">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H为建筑完成面标高</w:t>
            </w:r>
          </w:p>
        </w:tc>
        <w:tc>
          <w:tcPr>
            <w:tcW w:w="2466" w:type="dxa"/>
            <w:vAlign w:val="center"/>
          </w:tcPr>
          <w:p w14:paraId="4FB0A8D1">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Q=15m3/h，H=15m（地下一层）,H=20m（地下二层）</w:t>
            </w:r>
          </w:p>
        </w:tc>
      </w:tr>
      <w:tr w14:paraId="3BE46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61841325">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生活、消防泵房、车道入口集水井</w:t>
            </w:r>
          </w:p>
        </w:tc>
        <w:tc>
          <w:tcPr>
            <w:tcW w:w="1553" w:type="dxa"/>
            <w:vAlign w:val="center"/>
          </w:tcPr>
          <w:p w14:paraId="22DF5EB7">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1500×1500</w:t>
            </w:r>
          </w:p>
        </w:tc>
        <w:tc>
          <w:tcPr>
            <w:tcW w:w="1061" w:type="dxa"/>
            <w:vAlign w:val="center"/>
          </w:tcPr>
          <w:p w14:paraId="6E415803">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H-1.50m</w:t>
            </w:r>
          </w:p>
        </w:tc>
        <w:tc>
          <w:tcPr>
            <w:tcW w:w="1436" w:type="dxa"/>
            <w:vMerge w:val="continue"/>
            <w:vAlign w:val="center"/>
          </w:tcPr>
          <w:p w14:paraId="5BDA5A82">
            <w:pPr>
              <w:pStyle w:val="80"/>
              <w:adjustRightInd w:val="0"/>
              <w:snapToGrid w:val="0"/>
              <w:ind w:firstLine="0" w:firstLineChars="0"/>
              <w:jc w:val="center"/>
              <w:rPr>
                <w:color w:val="000000" w:themeColor="text1"/>
                <w:highlight w:val="none"/>
                <w14:textFill>
                  <w14:solidFill>
                    <w14:schemeClr w14:val="tx1"/>
                  </w14:solidFill>
                </w14:textFill>
              </w:rPr>
            </w:pPr>
          </w:p>
        </w:tc>
        <w:tc>
          <w:tcPr>
            <w:tcW w:w="2466" w:type="dxa"/>
            <w:vAlign w:val="center"/>
          </w:tcPr>
          <w:p w14:paraId="62CF0AF6">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Q=40m3/h，H=15m（地下一层）,H=20m（地下二层）</w:t>
            </w:r>
          </w:p>
        </w:tc>
      </w:tr>
      <w:tr w14:paraId="58CEE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43952889">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消防电梯集水井</w:t>
            </w:r>
          </w:p>
        </w:tc>
        <w:tc>
          <w:tcPr>
            <w:tcW w:w="1553" w:type="dxa"/>
            <w:vAlign w:val="center"/>
          </w:tcPr>
          <w:p w14:paraId="4C40F17A">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1500×1500</w:t>
            </w:r>
          </w:p>
        </w:tc>
        <w:tc>
          <w:tcPr>
            <w:tcW w:w="1061" w:type="dxa"/>
            <w:vAlign w:val="center"/>
          </w:tcPr>
          <w:p w14:paraId="727CA9C3">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H-1.20m</w:t>
            </w:r>
          </w:p>
        </w:tc>
        <w:tc>
          <w:tcPr>
            <w:tcW w:w="1436" w:type="dxa"/>
            <w:vAlign w:val="center"/>
          </w:tcPr>
          <w:p w14:paraId="338992E1">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H为消防电梯基坑底标高</w:t>
            </w:r>
          </w:p>
        </w:tc>
        <w:tc>
          <w:tcPr>
            <w:tcW w:w="2466" w:type="dxa"/>
            <w:vAlign w:val="center"/>
          </w:tcPr>
          <w:p w14:paraId="3FD49116">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Q=40m3/h，H=15m（地下一层）,H=20m（地下二层）</w:t>
            </w:r>
          </w:p>
        </w:tc>
      </w:tr>
      <w:tr w14:paraId="23D10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13890F63">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人防车库内集水井</w:t>
            </w:r>
          </w:p>
        </w:tc>
        <w:tc>
          <w:tcPr>
            <w:tcW w:w="1553" w:type="dxa"/>
            <w:vAlign w:val="center"/>
          </w:tcPr>
          <w:p w14:paraId="0C20091B">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1500×1500</w:t>
            </w:r>
          </w:p>
        </w:tc>
        <w:tc>
          <w:tcPr>
            <w:tcW w:w="1061" w:type="dxa"/>
            <w:vAlign w:val="center"/>
          </w:tcPr>
          <w:p w14:paraId="440A16DE">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H-1.50m</w:t>
            </w:r>
          </w:p>
        </w:tc>
        <w:tc>
          <w:tcPr>
            <w:tcW w:w="1436" w:type="dxa"/>
            <w:vAlign w:val="center"/>
          </w:tcPr>
          <w:p w14:paraId="521C161E">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H为建筑完成面标高</w:t>
            </w:r>
          </w:p>
        </w:tc>
        <w:tc>
          <w:tcPr>
            <w:tcW w:w="2466" w:type="dxa"/>
            <w:vAlign w:val="center"/>
          </w:tcPr>
          <w:p w14:paraId="1A896414">
            <w:pPr>
              <w:pStyle w:val="80"/>
              <w:adjustRightInd w:val="0"/>
              <w:snapToGrid w:val="0"/>
              <w:ind w:firstLine="0" w:firstLineChars="0"/>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Q=15m3/h，H=15m（地下一层）,H=20m（地下二层）</w:t>
            </w:r>
          </w:p>
        </w:tc>
      </w:tr>
    </w:tbl>
    <w:p w14:paraId="25ABD0CF">
      <w:pPr>
        <w:pStyle w:val="24"/>
        <w:ind w:firstLine="480"/>
        <w:rPr>
          <w:rFonts w:hint="eastAsia" w:hAnsi="宋体" w:cs="宋体"/>
          <w:color w:val="000000" w:themeColor="text1"/>
          <w:highlight w:val="none"/>
          <w14:textFill>
            <w14:solidFill>
              <w14:schemeClr w14:val="tx1"/>
            </w14:solidFill>
          </w14:textFill>
        </w:rPr>
      </w:pPr>
    </w:p>
    <w:p w14:paraId="4B765962">
      <w:pPr>
        <w:pStyle w:val="24"/>
        <w:ind w:firstLine="480"/>
        <w:rPr>
          <w:rFonts w:hint="eastAsia" w:hAnsi="宋体" w:cs="宋体"/>
          <w:color w:val="000000" w:themeColor="text1"/>
          <w:highlight w:val="none"/>
          <w14:textFill>
            <w14:solidFill>
              <w14:schemeClr w14:val="tx1"/>
            </w14:solidFill>
          </w14:textFill>
        </w:rPr>
      </w:pPr>
    </w:p>
    <w:p w14:paraId="164FE9AF">
      <w:pPr>
        <w:pStyle w:val="24"/>
        <w:ind w:firstLine="480"/>
        <w:rPr>
          <w:rFonts w:hint="eastAsia" w:hAnsi="宋体" w:cs="宋体"/>
          <w:color w:val="000000" w:themeColor="text1"/>
          <w:highlight w:val="none"/>
          <w14:textFill>
            <w14:solidFill>
              <w14:schemeClr w14:val="tx1"/>
            </w14:solidFill>
          </w14:textFill>
        </w:rPr>
      </w:pPr>
    </w:p>
    <w:p w14:paraId="12C49354">
      <w:pPr>
        <w:pStyle w:val="24"/>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highlight w:val="none"/>
          <w14:textFill>
            <w14:solidFill>
              <w14:schemeClr w14:val="tx1"/>
            </w14:solidFill>
          </w14:textFill>
        </w:rPr>
        <w:t>3.3.5.10给排水管道穿梁、墙及楼板时预埋套管的选用：</w:t>
      </w:r>
    </w:p>
    <w:tbl>
      <w:tblPr>
        <w:tblStyle w:val="42"/>
        <w:tblW w:w="862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108" w:type="dxa"/>
          <w:bottom w:w="0" w:type="dxa"/>
          <w:right w:w="108" w:type="dxa"/>
        </w:tblCellMar>
      </w:tblPr>
      <w:tblGrid>
        <w:gridCol w:w="1158"/>
        <w:gridCol w:w="2015"/>
        <w:gridCol w:w="2571"/>
        <w:gridCol w:w="2884"/>
      </w:tblGrid>
      <w:tr w14:paraId="793928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1A54AC33">
            <w:pPr>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cs="宋体"/>
                <w:b/>
                <w:bCs/>
                <w:color w:val="000000" w:themeColor="text1"/>
                <w:highlight w:val="none"/>
                <w14:textFill>
                  <w14:solidFill>
                    <w14:schemeClr w14:val="tx1"/>
                  </w14:solidFill>
                </w14:textFill>
              </w:rPr>
              <w:t>管道类别</w:t>
            </w:r>
          </w:p>
        </w:tc>
        <w:tc>
          <w:tcPr>
            <w:tcW w:w="2015" w:type="dxa"/>
            <w:shd w:val="clear" w:color="auto" w:fill="FFFFFF"/>
            <w:vAlign w:val="center"/>
          </w:tcPr>
          <w:p w14:paraId="3D5EDA39">
            <w:pPr>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cs="宋体"/>
                <w:b/>
                <w:bCs/>
                <w:color w:val="000000" w:themeColor="text1"/>
                <w:highlight w:val="none"/>
                <w14:textFill>
                  <w14:solidFill>
                    <w14:schemeClr w14:val="tx1"/>
                  </w14:solidFill>
                </w14:textFill>
              </w:rPr>
              <w:t>穿越部位</w:t>
            </w:r>
          </w:p>
        </w:tc>
        <w:tc>
          <w:tcPr>
            <w:tcW w:w="2571" w:type="dxa"/>
            <w:shd w:val="clear" w:color="auto" w:fill="FFFFFF"/>
            <w:vAlign w:val="center"/>
          </w:tcPr>
          <w:p w14:paraId="7AE6914C">
            <w:pPr>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cs="宋体"/>
                <w:b/>
                <w:bCs/>
                <w:color w:val="000000" w:themeColor="text1"/>
                <w:highlight w:val="none"/>
                <w14:textFill>
                  <w14:solidFill>
                    <w14:schemeClr w14:val="tx1"/>
                  </w14:solidFill>
                </w14:textFill>
              </w:rPr>
              <w:t>套管形式</w:t>
            </w:r>
          </w:p>
        </w:tc>
        <w:tc>
          <w:tcPr>
            <w:tcW w:w="2884" w:type="dxa"/>
            <w:shd w:val="clear" w:color="auto" w:fill="FFFFFF"/>
            <w:vAlign w:val="center"/>
          </w:tcPr>
          <w:p w14:paraId="7A611395">
            <w:pPr>
              <w:jc w:val="center"/>
              <w:rPr>
                <w:rFonts w:hint="eastAsia" w:ascii="宋体" w:hAnsi="宋体" w:eastAsia="宋体" w:cs="宋体"/>
                <w:b/>
                <w:bCs/>
                <w:color w:val="000000" w:themeColor="text1"/>
                <w:highlight w:val="none"/>
                <w14:textFill>
                  <w14:solidFill>
                    <w14:schemeClr w14:val="tx1"/>
                  </w14:solidFill>
                </w14:textFill>
              </w:rPr>
            </w:pPr>
            <w:r>
              <w:rPr>
                <w:rFonts w:hint="eastAsia" w:ascii="宋体" w:hAnsi="宋体" w:eastAsia="宋体" w:cs="宋体"/>
                <w:b/>
                <w:bCs/>
                <w:color w:val="000000" w:themeColor="text1"/>
                <w:highlight w:val="none"/>
                <w14:textFill>
                  <w14:solidFill>
                    <w14:schemeClr w14:val="tx1"/>
                  </w14:solidFill>
                </w14:textFill>
              </w:rPr>
              <w:t>采用标准图号或具体做法</w:t>
            </w:r>
          </w:p>
        </w:tc>
      </w:tr>
      <w:tr w14:paraId="4CF399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restart"/>
            <w:shd w:val="clear" w:color="auto" w:fill="FFFFFF"/>
            <w:vAlign w:val="center"/>
          </w:tcPr>
          <w:p w14:paraId="20D19E38">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给排水管道</w:t>
            </w:r>
          </w:p>
        </w:tc>
        <w:tc>
          <w:tcPr>
            <w:tcW w:w="2015" w:type="dxa"/>
            <w:shd w:val="clear" w:color="auto" w:fill="FFFFFF"/>
            <w:vAlign w:val="center"/>
          </w:tcPr>
          <w:p w14:paraId="24AF871D">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楼板（仅给水管）、梁和剪力墙</w:t>
            </w:r>
          </w:p>
        </w:tc>
        <w:tc>
          <w:tcPr>
            <w:tcW w:w="2571" w:type="dxa"/>
            <w:shd w:val="clear" w:color="auto" w:fill="FFFFFF"/>
            <w:vAlign w:val="center"/>
          </w:tcPr>
          <w:p w14:paraId="7CDF22EC">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钢套管</w:t>
            </w:r>
          </w:p>
        </w:tc>
        <w:tc>
          <w:tcPr>
            <w:tcW w:w="2884" w:type="dxa"/>
            <w:shd w:val="clear" w:color="auto" w:fill="FFFFFF"/>
            <w:vAlign w:val="center"/>
          </w:tcPr>
          <w:p w14:paraId="174BAB34">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做法参考国标02S404和10S407-2及相关图集</w:t>
            </w:r>
          </w:p>
        </w:tc>
      </w:tr>
      <w:tr w14:paraId="53F9A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3864B6C5">
            <w:pPr>
              <w:jc w:val="center"/>
              <w:rPr>
                <w:rFonts w:hint="eastAsia" w:ascii="宋体" w:hAnsi="宋体" w:eastAsia="宋体" w:cs="宋体"/>
                <w:color w:val="000000" w:themeColor="text1"/>
                <w:highlight w:val="none"/>
                <w14:textFill>
                  <w14:solidFill>
                    <w14:schemeClr w14:val="tx1"/>
                  </w14:solidFill>
                </w14:textFill>
              </w:rPr>
            </w:pPr>
          </w:p>
        </w:tc>
        <w:tc>
          <w:tcPr>
            <w:tcW w:w="2015" w:type="dxa"/>
            <w:shd w:val="clear" w:color="auto" w:fill="FFFFFF"/>
            <w:vAlign w:val="center"/>
          </w:tcPr>
          <w:p w14:paraId="0AC47AB6">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穿地下室外墙、穿卫生间侧壁、首层及以上管道穿室外墙体、穿屋面</w:t>
            </w:r>
          </w:p>
        </w:tc>
        <w:tc>
          <w:tcPr>
            <w:tcW w:w="2571" w:type="dxa"/>
            <w:shd w:val="clear" w:color="auto" w:fill="FFFFFF"/>
            <w:vAlign w:val="center"/>
          </w:tcPr>
          <w:p w14:paraId="2EA4551C">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防水钢套管A型</w:t>
            </w:r>
          </w:p>
        </w:tc>
        <w:tc>
          <w:tcPr>
            <w:tcW w:w="2884" w:type="dxa"/>
            <w:shd w:val="clear" w:color="auto" w:fill="FFFFFF"/>
            <w:vAlign w:val="center"/>
          </w:tcPr>
          <w:p w14:paraId="7161E777">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做法参考国标02S404和10S407-2及相关图集</w:t>
            </w:r>
          </w:p>
        </w:tc>
      </w:tr>
      <w:tr w14:paraId="418512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2B953F52">
            <w:pPr>
              <w:jc w:val="center"/>
              <w:rPr>
                <w:rFonts w:hint="eastAsia" w:ascii="宋体" w:hAnsi="宋体" w:eastAsia="宋体" w:cs="宋体"/>
                <w:color w:val="000000" w:themeColor="text1"/>
                <w:highlight w:val="none"/>
                <w14:textFill>
                  <w14:solidFill>
                    <w14:schemeClr w14:val="tx1"/>
                  </w14:solidFill>
                </w14:textFill>
              </w:rPr>
            </w:pPr>
          </w:p>
        </w:tc>
        <w:tc>
          <w:tcPr>
            <w:tcW w:w="2015" w:type="dxa"/>
            <w:shd w:val="clear" w:color="auto" w:fill="FFFFFF"/>
            <w:vAlign w:val="center"/>
          </w:tcPr>
          <w:p w14:paraId="17AB05A8">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穿卫生间侧壁、楼板</w:t>
            </w:r>
          </w:p>
        </w:tc>
        <w:tc>
          <w:tcPr>
            <w:tcW w:w="2571" w:type="dxa"/>
            <w:shd w:val="clear" w:color="auto" w:fill="FFFFFF"/>
            <w:vAlign w:val="center"/>
          </w:tcPr>
          <w:p w14:paraId="1704C1D8">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防水钢套管A型</w:t>
            </w:r>
          </w:p>
        </w:tc>
        <w:tc>
          <w:tcPr>
            <w:tcW w:w="2884" w:type="dxa"/>
            <w:shd w:val="clear" w:color="auto" w:fill="FFFFFF"/>
            <w:vAlign w:val="center"/>
          </w:tcPr>
          <w:p w14:paraId="2C8D3DB5">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做法参考国标02S404和14J914-2及相关图集</w:t>
            </w:r>
          </w:p>
        </w:tc>
      </w:tr>
      <w:tr w14:paraId="2E731C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29148F58">
            <w:pPr>
              <w:jc w:val="center"/>
              <w:rPr>
                <w:rFonts w:hint="eastAsia" w:ascii="宋体" w:hAnsi="宋体" w:eastAsia="宋体" w:cs="宋体"/>
                <w:color w:val="000000" w:themeColor="text1"/>
                <w:highlight w:val="none"/>
                <w14:textFill>
                  <w14:solidFill>
                    <w14:schemeClr w14:val="tx1"/>
                  </w14:solidFill>
                </w14:textFill>
              </w:rPr>
            </w:pPr>
          </w:p>
        </w:tc>
        <w:tc>
          <w:tcPr>
            <w:tcW w:w="2015" w:type="dxa"/>
            <w:shd w:val="clear" w:color="auto" w:fill="FFFFFF"/>
            <w:vAlign w:val="center"/>
          </w:tcPr>
          <w:p w14:paraId="14CBEE46">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穿越人防围护结构</w:t>
            </w:r>
          </w:p>
        </w:tc>
        <w:tc>
          <w:tcPr>
            <w:tcW w:w="2571" w:type="dxa"/>
            <w:shd w:val="clear" w:color="auto" w:fill="FFFFFF"/>
            <w:vAlign w:val="center"/>
          </w:tcPr>
          <w:p w14:paraId="6E80BBF5">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刚性防水套管或外侧加防护挡板的刚性防水套管</w:t>
            </w:r>
          </w:p>
        </w:tc>
        <w:tc>
          <w:tcPr>
            <w:tcW w:w="2884" w:type="dxa"/>
            <w:shd w:val="clear" w:color="auto" w:fill="FFFFFF"/>
            <w:vAlign w:val="center"/>
          </w:tcPr>
          <w:p w14:paraId="5BB79F9C">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做法按国标02S404和07FS02及相关图集</w:t>
            </w:r>
          </w:p>
        </w:tc>
      </w:tr>
      <w:tr w14:paraId="669A8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1114A6FC">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排水管（铸铁）</w:t>
            </w:r>
          </w:p>
        </w:tc>
        <w:tc>
          <w:tcPr>
            <w:tcW w:w="2015" w:type="dxa"/>
            <w:shd w:val="clear" w:color="auto" w:fill="FFFFFF"/>
            <w:vAlign w:val="center"/>
          </w:tcPr>
          <w:p w14:paraId="6056BAAE">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楼板</w:t>
            </w:r>
          </w:p>
        </w:tc>
        <w:tc>
          <w:tcPr>
            <w:tcW w:w="2571" w:type="dxa"/>
            <w:shd w:val="clear" w:color="auto" w:fill="FFFFFF"/>
            <w:vAlign w:val="center"/>
          </w:tcPr>
          <w:p w14:paraId="7A449AB2">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钢套管、止水节</w:t>
            </w:r>
          </w:p>
        </w:tc>
        <w:tc>
          <w:tcPr>
            <w:tcW w:w="2884" w:type="dxa"/>
            <w:vMerge w:val="restart"/>
            <w:shd w:val="clear" w:color="auto" w:fill="FFFFFF"/>
            <w:vAlign w:val="center"/>
          </w:tcPr>
          <w:p w14:paraId="34EF97AD">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管径大于DN100的排水管无止水节产品时，可用钢套管</w:t>
            </w:r>
          </w:p>
        </w:tc>
      </w:tr>
      <w:tr w14:paraId="1A4220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517F598B">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排水管（UPVC）</w:t>
            </w:r>
          </w:p>
        </w:tc>
        <w:tc>
          <w:tcPr>
            <w:tcW w:w="2015" w:type="dxa"/>
            <w:shd w:val="clear" w:color="auto" w:fill="FFFFFF"/>
            <w:vAlign w:val="center"/>
          </w:tcPr>
          <w:p w14:paraId="1D9B1C5D">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楼板</w:t>
            </w:r>
          </w:p>
        </w:tc>
        <w:tc>
          <w:tcPr>
            <w:tcW w:w="2571" w:type="dxa"/>
            <w:shd w:val="clear" w:color="auto" w:fill="FFFFFF"/>
            <w:vAlign w:val="center"/>
          </w:tcPr>
          <w:p w14:paraId="629BE0B8">
            <w:pPr>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止水节</w:t>
            </w:r>
          </w:p>
        </w:tc>
        <w:tc>
          <w:tcPr>
            <w:tcW w:w="2884" w:type="dxa"/>
            <w:vMerge w:val="continue"/>
            <w:shd w:val="clear" w:color="auto" w:fill="FFFFFF"/>
            <w:vAlign w:val="center"/>
          </w:tcPr>
          <w:p w14:paraId="1108D0E2">
            <w:pPr>
              <w:jc w:val="center"/>
              <w:rPr>
                <w:rFonts w:hint="eastAsia" w:ascii="宋体" w:hAnsi="宋体" w:eastAsia="宋体" w:cs="宋体"/>
                <w:color w:val="000000" w:themeColor="text1"/>
                <w:highlight w:val="none"/>
                <w14:textFill>
                  <w14:solidFill>
                    <w14:schemeClr w14:val="tx1"/>
                  </w14:solidFill>
                </w14:textFill>
              </w:rPr>
            </w:pPr>
          </w:p>
        </w:tc>
      </w:tr>
    </w:tbl>
    <w:p w14:paraId="75D29F26">
      <w:pPr>
        <w:ind w:firstLine="420" w:firstLineChars="200"/>
        <w:rPr>
          <w:rFonts w:hint="eastAsia" w:ascii="宋体" w:hAnsi="宋体" w:eastAsia="宋体" w:cs="宋体"/>
          <w:color w:val="000000" w:themeColor="text1"/>
          <w:sz w:val="21"/>
          <w:szCs w:val="21"/>
          <w:highlight w:val="none"/>
          <w:lang w:val="zh-CN"/>
          <w14:textFill>
            <w14:solidFill>
              <w14:schemeClr w14:val="tx1"/>
            </w14:solidFill>
          </w14:textFill>
        </w:rPr>
      </w:pPr>
      <w:r>
        <w:rPr>
          <w:rFonts w:hint="eastAsia" w:hAnsi="宋体" w:cs="宋体"/>
          <w:color w:val="000000" w:themeColor="text1"/>
          <w:sz w:val="21"/>
          <w:szCs w:val="16"/>
          <w:highlight w:val="none"/>
          <w14:textFill>
            <w14:solidFill>
              <w14:schemeClr w14:val="tx1"/>
            </w14:solidFill>
          </w14:textFill>
        </w:rPr>
        <w:t>备</w:t>
      </w:r>
      <w:r>
        <w:rPr>
          <w:rFonts w:hint="eastAsia" w:ascii="宋体" w:hAnsi="宋体" w:eastAsia="宋体" w:cs="宋体"/>
          <w:color w:val="000000" w:themeColor="text1"/>
          <w:sz w:val="21"/>
          <w:szCs w:val="21"/>
          <w:highlight w:val="none"/>
          <w:lang w:val="zh-CN"/>
          <w14:textFill>
            <w14:solidFill>
              <w14:schemeClr w14:val="tx1"/>
            </w14:solidFill>
          </w14:textFill>
        </w:rPr>
        <w:t>注：</w:t>
      </w:r>
    </w:p>
    <w:p w14:paraId="2C307E60">
      <w:pPr>
        <w:ind w:firstLine="420" w:firstLineChars="200"/>
        <w:rPr>
          <w:rFonts w:hint="eastAsia" w:ascii="宋体" w:hAnsi="宋体" w:eastAsia="宋体" w:cs="宋体"/>
          <w:color w:val="000000" w:themeColor="text1"/>
          <w:sz w:val="21"/>
          <w:szCs w:val="21"/>
          <w:highlight w:val="none"/>
          <w:lang w:val="zh-CN"/>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r>
        <w:rPr>
          <w:rFonts w:hint="eastAsia" w:ascii="宋体" w:hAnsi="宋体" w:eastAsia="宋体" w:cs="宋体"/>
          <w:color w:val="000000" w:themeColor="text1"/>
          <w:sz w:val="21"/>
          <w:szCs w:val="21"/>
          <w:highlight w:val="none"/>
          <w:lang w:val="zh-CN"/>
          <w14:textFill>
            <w14:solidFill>
              <w14:schemeClr w14:val="tx1"/>
            </w14:solidFill>
          </w14:textFill>
        </w:rPr>
        <w:t>立管穿空调板须预留套管。</w:t>
      </w:r>
    </w:p>
    <w:p w14:paraId="5B6CEF3B">
      <w:pPr>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2）有工业化装配式要求的项目，按装配式建筑要求执行。</w:t>
      </w:r>
    </w:p>
    <w:p w14:paraId="7D2299C6">
      <w:pPr>
        <w:rPr>
          <w:rStyle w:val="81"/>
          <w:rFonts w:hint="eastAsia" w:ascii="宋体" w:hAnsi="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br w:type="page"/>
      </w:r>
    </w:p>
    <w:p w14:paraId="33723DFC">
      <w:pPr>
        <w:pStyle w:val="5"/>
        <w:keepNext w:val="0"/>
        <w:keepLines w:val="0"/>
        <w:snapToGrid/>
        <w:spacing w:before="156" w:beforeLines="50" w:after="0"/>
        <w:rPr>
          <w:rFonts w:hint="eastAsia" w:ascii="宋体" w:hAnsi="宋体" w:eastAsia="宋体" w:cs="宋体"/>
          <w:color w:val="000000" w:themeColor="text1"/>
          <w:sz w:val="24"/>
          <w:szCs w:val="28"/>
          <w:highlight w:val="none"/>
          <w14:textFill>
            <w14:solidFill>
              <w14:schemeClr w14:val="tx1"/>
            </w14:solidFill>
          </w14:textFill>
        </w:rPr>
      </w:pPr>
      <w:bookmarkStart w:id="338" w:name="_Toc7029"/>
      <w:bookmarkStart w:id="339" w:name="_Toc19236"/>
      <w:bookmarkStart w:id="340" w:name="_Toc12925"/>
      <w:bookmarkStart w:id="341" w:name="_Toc11957"/>
      <w:bookmarkStart w:id="342" w:name="_Toc104581743"/>
      <w:r>
        <w:rPr>
          <w:rFonts w:hint="eastAsia" w:ascii="宋体" w:hAnsi="宋体" w:eastAsia="宋体" w:cs="宋体"/>
          <w:color w:val="000000" w:themeColor="text1"/>
          <w:sz w:val="24"/>
          <w:szCs w:val="28"/>
          <w:highlight w:val="none"/>
          <w14:textFill>
            <w14:solidFill>
              <w14:schemeClr w14:val="tx1"/>
            </w14:solidFill>
          </w14:textFill>
        </w:rPr>
        <w:t>4.电气设计</w:t>
      </w:r>
      <w:bookmarkEnd w:id="338"/>
      <w:bookmarkEnd w:id="339"/>
      <w:bookmarkEnd w:id="340"/>
      <w:bookmarkEnd w:id="341"/>
      <w:bookmarkEnd w:id="342"/>
    </w:p>
    <w:p w14:paraId="40C0CC88">
      <w:pPr>
        <w:pStyle w:val="6"/>
        <w:keepNext w:val="0"/>
        <w:keepLines w:val="0"/>
        <w:snapToGrid/>
        <w:spacing w:before="156" w:beforeLines="5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343" w:name="_Toc7671"/>
      <w:r>
        <w:rPr>
          <w:rFonts w:hint="eastAsia" w:ascii="宋体" w:hAnsi="宋体" w:eastAsia="宋体" w:cs="宋体"/>
          <w:color w:val="000000" w:themeColor="text1"/>
          <w:sz w:val="24"/>
          <w:szCs w:val="24"/>
          <w:highlight w:val="none"/>
          <w14:textFill>
            <w14:solidFill>
              <w14:schemeClr w14:val="tx1"/>
            </w14:solidFill>
          </w14:textFill>
        </w:rPr>
        <w:t>4.1 设计依据</w:t>
      </w:r>
      <w:bookmarkEnd w:id="343"/>
    </w:p>
    <w:p w14:paraId="3F734B08">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4.1.1 在限额设计的基础上保障安置区内用户的电气设备和人身和财产的安全需要，使所设计的系统满足安全、适用和经济基本需要等性能要求。</w:t>
      </w:r>
    </w:p>
    <w:p w14:paraId="451252A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4.1.2 制定各控制指标项，实现安置区设计的标准化。</w:t>
      </w:r>
    </w:p>
    <w:p w14:paraId="6AF9242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4.1.3 国家现行的主要设计规范及标准最新版本：</w:t>
      </w:r>
    </w:p>
    <w:p w14:paraId="72ED16C7">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                      GB50016-2014 （2018版）</w:t>
      </w:r>
    </w:p>
    <w:p w14:paraId="0C8FC11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《建筑照明设计标准》                      GB50034-2013</w:t>
      </w:r>
    </w:p>
    <w:p w14:paraId="01EE4487">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人民防空地下室设计规范</w:t>
      </w:r>
      <w:r>
        <w:rPr>
          <w:rFonts w:hint="eastAsia" w:ascii="宋体" w:hAnsi="宋体" w:eastAsia="宋体" w:cs="宋体"/>
          <w:color w:val="000000" w:themeColor="text1"/>
          <w:sz w:val="24"/>
          <w:szCs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 xml:space="preserve">                GB 50038-2005(2023年版)</w:t>
      </w:r>
    </w:p>
    <w:p w14:paraId="2CC7ADF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《人民防空地下室防火规范》                GB50098-2009</w:t>
      </w:r>
    </w:p>
    <w:p w14:paraId="036A663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《供配电系统设计规范》                    GB50052-2009</w:t>
      </w:r>
    </w:p>
    <w:p w14:paraId="23DFB89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《20kV及以下变电所设计规范》             GB50053-2013</w:t>
      </w:r>
    </w:p>
    <w:p w14:paraId="58B8B78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《低压配电设计规范》                      GB50054-2011</w:t>
      </w:r>
    </w:p>
    <w:p w14:paraId="4165342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《通用用电设备配电设计规范》              GB50055-2011</w:t>
      </w:r>
    </w:p>
    <w:p w14:paraId="628F4111">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《建筑物防雷设计规范》                    GB50057-2010</w:t>
      </w:r>
    </w:p>
    <w:p w14:paraId="2CC01526">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《汽车库、修车库、停车场设计防火规范》    GB50067-2014</w:t>
      </w:r>
    </w:p>
    <w:p w14:paraId="5FF822D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《民用建筑设计统一标准》                  GB50352-2019</w:t>
      </w:r>
    </w:p>
    <w:p w14:paraId="4D5CF88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《建筑物电子信息系统防雷技术规范》        GB50343-2012</w:t>
      </w:r>
    </w:p>
    <w:p w14:paraId="02B83BC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《住宅建筑规范》                          GB50368-2005</w:t>
      </w:r>
    </w:p>
    <w:p w14:paraId="122368B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《建筑通用防火规范》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GB55037-2022</w:t>
      </w:r>
    </w:p>
    <w:p w14:paraId="7375288B">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《民用建筑通用规范》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GB55031-2022</w:t>
      </w:r>
    </w:p>
    <w:p w14:paraId="70A1443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《消防设施通用规范》 </w:t>
      </w:r>
      <w:r>
        <w:rPr>
          <w:rFonts w:ascii="宋体" w:hAnsi="宋体" w:eastAsia="宋体" w:cs="宋体"/>
          <w:color w:val="auto"/>
          <w:sz w:val="24"/>
          <w:szCs w:val="24"/>
          <w:highlight w:val="none"/>
        </w:rPr>
        <w:t xml:space="preserve">                     GB55036-2022</w:t>
      </w:r>
    </w:p>
    <w:p w14:paraId="593FF3C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w:t>
      </w:r>
      <w:bookmarkStart w:id="344" w:name="OLE_LINK15"/>
      <w:r>
        <w:rPr>
          <w:rFonts w:hint="eastAsia" w:ascii="宋体" w:hAnsi="宋体" w:eastAsia="宋体" w:cs="宋体"/>
          <w:color w:val="000000" w:themeColor="text1"/>
          <w:sz w:val="24"/>
          <w:szCs w:val="24"/>
          <w:highlight w:val="none"/>
          <w14:textFill>
            <w14:solidFill>
              <w14:schemeClr w14:val="tx1"/>
            </w14:solidFill>
          </w14:textFill>
        </w:rPr>
        <w:t>住宅项目</w:t>
      </w:r>
      <w:bookmarkEnd w:id="344"/>
      <w:r>
        <w:rPr>
          <w:rFonts w:hint="eastAsia" w:ascii="宋体" w:hAnsi="宋体" w:eastAsia="宋体" w:cs="宋体"/>
          <w:color w:val="000000" w:themeColor="text1"/>
          <w:sz w:val="24"/>
          <w:szCs w:val="24"/>
          <w:highlight w:val="none"/>
          <w14:textFill>
            <w14:solidFill>
              <w14:schemeClr w14:val="tx1"/>
            </w14:solidFill>
          </w14:textFill>
        </w:rPr>
        <w:t xml:space="preserve">规范》                          </w:t>
      </w:r>
      <w:r>
        <w:rPr>
          <w:rFonts w:ascii="宋体" w:hAnsi="宋体" w:eastAsia="宋体" w:cs="宋体"/>
          <w:color w:val="000000" w:themeColor="text1"/>
          <w:sz w:val="24"/>
          <w:szCs w:val="24"/>
          <w:highlight w:val="none"/>
          <w14:textFill>
            <w14:solidFill>
              <w14:schemeClr w14:val="tx1"/>
            </w14:solidFill>
          </w14:textFill>
        </w:rPr>
        <w:t>GB 55038-2025</w:t>
      </w:r>
    </w:p>
    <w:p w14:paraId="70D8F84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《居民住宅小区电力配置规范》              GB/T36040-2018</w:t>
      </w:r>
    </w:p>
    <w:p w14:paraId="4EB8EF11">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《火灾自动报警系统设计规范》               GB50116-2013</w:t>
      </w:r>
    </w:p>
    <w:p w14:paraId="27B85018">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《消防应急照明和疏散指示系统技术标准》    GB51309-2018</w:t>
      </w:r>
    </w:p>
    <w:p w14:paraId="64E5784A">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《民用建筑电气设计标准》                  GB51348-2019</w:t>
      </w:r>
    </w:p>
    <w:p w14:paraId="5244AB57">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《托儿所、幼儿园建筑设计规范》            JGJ39-2016（2019版）</w:t>
      </w:r>
    </w:p>
    <w:p w14:paraId="2F6DF72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《住宅建筑电气设计规范》                  JGJ242-2011</w:t>
      </w:r>
    </w:p>
    <w:p w14:paraId="28AE949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《教育建筑电气设计规范》                  JGJ 310-2013</w:t>
      </w:r>
    </w:p>
    <w:p w14:paraId="4C882CE4">
      <w:pPr>
        <w:pStyle w:val="38"/>
        <w:widowControl/>
        <w:ind w:firstLine="480" w:firstLineChars="200"/>
        <w:jc w:val="both"/>
        <w:rPr>
          <w:rFonts w:hint="eastAsia"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w:t>
      </w:r>
      <w:r>
        <w:rPr>
          <w:rStyle w:val="161"/>
          <w:color w:val="000000" w:themeColor="text1"/>
          <w:highlight w:val="none"/>
          <w14:textFill>
            <w14:solidFill>
              <w14:schemeClr w14:val="tx1"/>
            </w14:solidFill>
          </w14:textFill>
        </w:rPr>
        <w:t>建筑电气与智能化通用规范</w:t>
      </w:r>
      <w:r>
        <w:rPr>
          <w:rFonts w:hint="eastAsia" w:ascii="宋体" w:hAnsi="宋体" w:cs="宋体"/>
          <w:color w:val="000000" w:themeColor="text1"/>
          <w:szCs w:val="24"/>
          <w:highlight w:val="none"/>
          <w14:textFill>
            <w14:solidFill>
              <w14:schemeClr w14:val="tx1"/>
            </w14:solidFill>
          </w14:textFill>
        </w:rPr>
        <w:t xml:space="preserve">》           </w:t>
      </w:r>
      <w:r>
        <w:rPr>
          <w:rStyle w:val="45"/>
          <w:color w:val="000000" w:themeColor="text1"/>
          <w:highlight w:val="none"/>
          <w14:textFill>
            <w14:solidFill>
              <w14:schemeClr w14:val="tx1"/>
            </w14:solidFill>
          </w14:textFill>
        </w:rPr>
        <w:t xml:space="preserve">GB 55024-2022 </w:t>
      </w:r>
    </w:p>
    <w:p w14:paraId="1F2F0936">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《建筑环境通用规范》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GB 55016-2021</w:t>
      </w:r>
    </w:p>
    <w:p w14:paraId="6A81230C">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《建筑节能与可再生能源利用通用规范》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GB 55015-2021</w:t>
      </w:r>
    </w:p>
    <w:p w14:paraId="772A79AB">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《绿色建筑评价标准》</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GB/T 50378-2019（2024年修订版）</w:t>
      </w:r>
    </w:p>
    <w:p w14:paraId="338A8E0E">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《广东省绿色建筑设计规范》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DBJ/T 15-201-2020</w:t>
      </w:r>
    </w:p>
    <w:p w14:paraId="65788F84">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《公共建筑节能设计标准》</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GB 50189-2015</w:t>
      </w:r>
    </w:p>
    <w:p w14:paraId="5D26B263">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《老年人照料设施建筑设计标准》</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JGJ 450-2018</w:t>
      </w:r>
    </w:p>
    <w:p w14:paraId="30966E56">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《中小学校设计规范》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GB 50099-2011</w:t>
      </w:r>
    </w:p>
    <w:p w14:paraId="1613A213">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《商店建筑设计规范》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 xml:space="preserve">JG J48-2014 </w:t>
      </w:r>
    </w:p>
    <w:p w14:paraId="0A3D7BA9">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《商店建筑电气设计规范》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JGJ 392-2016</w:t>
      </w:r>
    </w:p>
    <w:p w14:paraId="73BDC42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《饮食建筑设计规范》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JGJ 64-2017</w:t>
      </w:r>
    </w:p>
    <w:p w14:paraId="521C04FB">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《电动汽车充电基础设施建设技术规程》     DBJ／T 15-150-2018 广东省标准</w:t>
      </w:r>
    </w:p>
    <w:p w14:paraId="17F7FD28">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《民用建筑电线电缆防火技术规程》         DBJ/T 15-226-2021广东省标准</w:t>
      </w:r>
    </w:p>
    <w:p w14:paraId="1FB7B78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《车库建筑设计规范》                      JGJ 100-2015</w:t>
      </w:r>
    </w:p>
    <w:p w14:paraId="66099C2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《商店建筑电气设计规范》                  JGJ 392-2016</w:t>
      </w:r>
    </w:p>
    <w:p w14:paraId="19B753CA">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《广东省居住建筑节能设计标准》            DBJ/T145-133-2018</w:t>
      </w:r>
    </w:p>
    <w:p w14:paraId="29162FE5">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《广东省绿色建筑设计规范》                DBJ/T15-201-2020</w:t>
      </w:r>
    </w:p>
    <w:p w14:paraId="533830EB">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lang w:val="zh-CN"/>
          <w14:textFill>
            <w14:solidFill>
              <w14:schemeClr w14:val="tx1"/>
            </w14:solidFill>
          </w14:textFill>
        </w:rPr>
        <w:t>中小学校教室照明技术规范》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lang w:val="zh-CN"/>
          <w14:textFill>
            <w14:solidFill>
              <w14:schemeClr w14:val="tx1"/>
            </w14:solidFill>
          </w14:textFill>
        </w:rPr>
        <w:t>DB44/T 2335—2021</w:t>
      </w:r>
    </w:p>
    <w:p w14:paraId="2DB98136">
      <w:pPr>
        <w:pStyle w:val="63"/>
        <w:spacing w:line="360" w:lineRule="auto"/>
        <w:ind w:firstLine="480"/>
        <w:rPr>
          <w:rFonts w:hint="eastAsia" w:ascii="宋体" w:hAnsi="宋体" w:eastAsia="宋体" w:cs="宋体"/>
          <w:color w:val="000000" w:themeColor="text1"/>
          <w:sz w:val="24"/>
          <w:szCs w:val="24"/>
          <w:highlight w:val="none"/>
          <w:lang w:val="zh-CN"/>
          <w14:textFill>
            <w14:solidFill>
              <w14:schemeClr w14:val="tx1"/>
            </w14:solidFill>
          </w14:textFill>
        </w:rPr>
      </w:pPr>
      <w:r>
        <w:rPr>
          <w:rFonts w:hint="eastAsia" w:ascii="宋体" w:hAnsi="宋体" w:eastAsia="宋体" w:cs="宋体"/>
          <w:color w:val="000000" w:themeColor="text1"/>
          <w:sz w:val="24"/>
          <w:szCs w:val="24"/>
          <w:highlight w:val="none"/>
          <w:lang w:val="zh-CN"/>
          <w14:textFill>
            <w14:solidFill>
              <w14:schemeClr w14:val="tx1"/>
            </w14:solidFill>
          </w14:textFill>
        </w:rPr>
        <w:t>《广州市绿色建筑设计与审查指南(2020版)》</w:t>
      </w:r>
    </w:p>
    <w:p w14:paraId="409EC64A">
      <w:pPr>
        <w:pStyle w:val="24"/>
        <w:numPr>
          <w:ilvl w:val="255"/>
          <w:numId w:val="0"/>
        </w:numPr>
        <w:ind w:firstLine="199" w:firstLineChars="83"/>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《广州供电局业扩报装及配套项目管理细则》（Q-CSG-GPG2083001-2022）；</w:t>
      </w:r>
    </w:p>
    <w:p w14:paraId="2629DE46">
      <w:pPr>
        <w:pStyle w:val="24"/>
        <w:numPr>
          <w:ilvl w:val="255"/>
          <w:numId w:val="0"/>
        </w:numPr>
        <w:ind w:firstLine="240" w:firstLineChars="10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《广州供电局电动汽车充(换)电基础设施用电报装业务办理指南》(广供电市部〔2023〕38号）</w:t>
      </w:r>
    </w:p>
    <w:p w14:paraId="2F40F1A8">
      <w:pPr>
        <w:pStyle w:val="24"/>
        <w:numPr>
          <w:ilvl w:val="255"/>
          <w:numId w:val="0"/>
        </w:numPr>
        <w:ind w:firstLine="240" w:firstLineChars="10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《广州电网规划设计技术导则》（</w:t>
      </w:r>
      <w:r>
        <w:rPr>
          <w:rFonts w:hAnsi="宋体" w:cs="宋体"/>
          <w:color w:val="000000" w:themeColor="text1"/>
          <w:szCs w:val="24"/>
          <w:highlight w:val="none"/>
          <w14:textFill>
            <w14:solidFill>
              <w14:schemeClr w14:val="tx1"/>
            </w14:solidFill>
          </w14:textFill>
        </w:rPr>
        <w:t>广东电网有限责任公司广州供电局</w:t>
      </w:r>
      <w:r>
        <w:rPr>
          <w:rFonts w:hint="eastAsia" w:hAnsi="宋体" w:cs="宋体"/>
          <w:color w:val="000000" w:themeColor="text1"/>
          <w:szCs w:val="24"/>
          <w:highlight w:val="none"/>
          <w14:textFill>
            <w14:solidFill>
              <w14:schemeClr w14:val="tx1"/>
            </w14:solidFill>
          </w14:textFill>
        </w:rPr>
        <w:t>2023年10月17日印发）</w:t>
      </w:r>
    </w:p>
    <w:p w14:paraId="698385C8">
      <w:pPr>
        <w:pStyle w:val="24"/>
        <w:numPr>
          <w:ilvl w:val="255"/>
          <w:numId w:val="0"/>
        </w:numPr>
        <w:ind w:firstLine="480" w:firstLineChars="200"/>
        <w:rPr>
          <w:rFonts w:hint="eastAsia" w:hAnsi="宋体" w:cs="宋体"/>
          <w:color w:val="000000" w:themeColor="text1"/>
          <w:szCs w:val="24"/>
          <w:highlight w:val="none"/>
          <w14:textFill>
            <w14:solidFill>
              <w14:schemeClr w14:val="tx1"/>
            </w14:solidFill>
          </w14:textFill>
        </w:rPr>
      </w:pPr>
    </w:p>
    <w:p w14:paraId="75B03BFE">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345" w:name="_Toc104581745"/>
      <w:bookmarkStart w:id="346" w:name="_Toc20796"/>
      <w:bookmarkStart w:id="347" w:name="_Toc8506"/>
      <w:bookmarkStart w:id="348" w:name="_Toc7151"/>
      <w:r>
        <w:rPr>
          <w:rFonts w:hint="eastAsia" w:ascii="宋体" w:hAnsi="宋体" w:eastAsia="宋体" w:cs="宋体"/>
          <w:color w:val="000000" w:themeColor="text1"/>
          <w:sz w:val="24"/>
          <w:szCs w:val="24"/>
          <w:highlight w:val="none"/>
          <w14:textFill>
            <w14:solidFill>
              <w14:schemeClr w14:val="tx1"/>
            </w14:solidFill>
          </w14:textFill>
        </w:rPr>
        <w:t>4.2 关键指标</w:t>
      </w:r>
      <w:bookmarkEnd w:id="345"/>
      <w:bookmarkEnd w:id="346"/>
      <w:bookmarkEnd w:id="347"/>
      <w:bookmarkEnd w:id="348"/>
    </w:p>
    <w:p w14:paraId="04FA8686">
      <w:pPr>
        <w:pStyle w:val="24"/>
        <w:ind w:firstLine="480"/>
        <w:rPr>
          <w:rFonts w:hint="eastAsia" w:hAnsi="宋体" w:cs="宋体"/>
          <w:color w:val="000000" w:themeColor="text1"/>
          <w:szCs w:val="24"/>
          <w:highlight w:val="none"/>
          <w:lang w:val="zh-CN"/>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 xml:space="preserve">4.2.1 </w:t>
      </w:r>
      <w:r>
        <w:rPr>
          <w:rFonts w:hint="eastAsia" w:hAnsi="宋体" w:cs="宋体"/>
          <w:color w:val="000000" w:themeColor="text1"/>
          <w:szCs w:val="24"/>
          <w:highlight w:val="none"/>
          <w:lang w:val="zh-CN"/>
          <w14:textFill>
            <w14:solidFill>
              <w14:schemeClr w14:val="tx1"/>
            </w14:solidFill>
          </w14:textFill>
        </w:rPr>
        <w:t>严格控制所设计的系统种类，以保障安置区内用户的电气和人身和财产的安全需要为基准，在节约成本的前提下满足后期扩展需要。</w:t>
      </w:r>
    </w:p>
    <w:p w14:paraId="1A0770EA">
      <w:pPr>
        <w:pStyle w:val="24"/>
        <w:ind w:firstLine="480"/>
        <w:rPr>
          <w:rFonts w:hint="eastAsia" w:hAnsi="宋体" w:cs="宋体"/>
          <w:color w:val="000000" w:themeColor="text1"/>
          <w:szCs w:val="24"/>
          <w:highlight w:val="none"/>
          <w:lang w:val="zh-CN"/>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 xml:space="preserve">4.2.2 </w:t>
      </w:r>
      <w:r>
        <w:rPr>
          <w:rFonts w:hint="eastAsia" w:hAnsi="宋体" w:cs="宋体"/>
          <w:color w:val="000000" w:themeColor="text1"/>
          <w:szCs w:val="24"/>
          <w:highlight w:val="none"/>
          <w:lang w:val="zh-CN"/>
          <w14:textFill>
            <w14:solidFill>
              <w14:schemeClr w14:val="tx1"/>
            </w14:solidFill>
          </w14:textFill>
        </w:rPr>
        <w:t>电动车充电场所配电设置限流式电气防火保护器。</w:t>
      </w:r>
    </w:p>
    <w:p w14:paraId="2A837742">
      <w:pPr>
        <w:pStyle w:val="24"/>
        <w:ind w:firstLine="480"/>
        <w:rPr>
          <w:rFonts w:hint="eastAsia" w:hAnsi="宋体" w:cs="宋体"/>
          <w:color w:val="000000" w:themeColor="text1"/>
          <w:szCs w:val="24"/>
          <w:highlight w:val="none"/>
          <w:lang w:val="zh-CN"/>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 xml:space="preserve">4.2.3 </w:t>
      </w:r>
      <w:r>
        <w:rPr>
          <w:rFonts w:hint="eastAsia" w:hAnsi="宋体" w:cs="宋体"/>
          <w:color w:val="000000" w:themeColor="text1"/>
          <w:szCs w:val="24"/>
          <w:highlight w:val="none"/>
          <w:lang w:val="zh-CN"/>
          <w14:textFill>
            <w14:solidFill>
              <w14:schemeClr w14:val="tx1"/>
            </w14:solidFill>
          </w14:textFill>
        </w:rPr>
        <w:t>居住建筑、公建配套建筑</w:t>
      </w:r>
    </w:p>
    <w:p w14:paraId="1082E5F0">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4.2.3.1 负荷计算</w:t>
      </w:r>
    </w:p>
    <w:p w14:paraId="08BBDC31">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bookmarkStart w:id="349" w:name="_Toc12895"/>
      <w:r>
        <w:rPr>
          <w:rStyle w:val="81"/>
          <w:rFonts w:hint="eastAsia" w:ascii="宋体" w:hAnsi="宋体" w:cs="宋体"/>
          <w:color w:val="000000" w:themeColor="text1"/>
          <w:sz w:val="24"/>
          <w:szCs w:val="24"/>
          <w:highlight w:val="none"/>
          <w14:textFill>
            <w14:solidFill>
              <w14:schemeClr w14:val="tx1"/>
            </w14:solidFill>
          </w14:textFill>
        </w:rPr>
        <w:t>①负居住区供电的负荷计算单位指标或密度不宜小于表的数值</w:t>
      </w:r>
    </w:p>
    <w:p w14:paraId="29FAF987">
      <w:pPr>
        <w:pStyle w:val="7"/>
        <w:numPr>
          <w:ilvl w:val="3"/>
          <w:numId w:val="0"/>
        </w:numPr>
        <w:rPr>
          <w:rStyle w:val="81"/>
          <w:rFonts w:hint="eastAsia" w:ascii="宋体" w:hAnsi="宋体" w:cs="宋体"/>
          <w:b w:val="0"/>
          <w:bCs/>
          <w:color w:val="000000" w:themeColor="text1"/>
          <w:kern w:val="0"/>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户型用电负荷密度表</w:t>
      </w:r>
    </w:p>
    <w:tbl>
      <w:tblPr>
        <w:tblStyle w:val="42"/>
        <w:tblW w:w="83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5"/>
        <w:gridCol w:w="1651"/>
        <w:gridCol w:w="1609"/>
        <w:gridCol w:w="1701"/>
        <w:gridCol w:w="2041"/>
      </w:tblGrid>
      <w:tr w14:paraId="1D88D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6" w:type="dxa"/>
            <w:gridSpan w:val="2"/>
            <w:tcBorders>
              <w:top w:val="single" w:color="auto" w:sz="4" w:space="0"/>
              <w:left w:val="single" w:color="auto" w:sz="4" w:space="0"/>
              <w:bottom w:val="single" w:color="auto" w:sz="4" w:space="0"/>
              <w:right w:val="single" w:color="auto" w:sz="4" w:space="0"/>
            </w:tcBorders>
            <w:vAlign w:val="center"/>
          </w:tcPr>
          <w:p w14:paraId="1C436C96">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负荷类型</w:t>
            </w:r>
          </w:p>
        </w:tc>
        <w:tc>
          <w:tcPr>
            <w:tcW w:w="1609" w:type="dxa"/>
            <w:tcBorders>
              <w:top w:val="single" w:color="auto" w:sz="4" w:space="0"/>
              <w:left w:val="single" w:color="auto" w:sz="4" w:space="0"/>
              <w:bottom w:val="single" w:color="auto" w:sz="4" w:space="0"/>
              <w:right w:val="single" w:color="auto" w:sz="4" w:space="0"/>
            </w:tcBorders>
            <w:vAlign w:val="center"/>
          </w:tcPr>
          <w:p w14:paraId="61A98757">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用电功率或负荷密度</w:t>
            </w:r>
          </w:p>
        </w:tc>
        <w:tc>
          <w:tcPr>
            <w:tcW w:w="1701" w:type="dxa"/>
            <w:tcBorders>
              <w:top w:val="single" w:color="auto" w:sz="4" w:space="0"/>
              <w:left w:val="single" w:color="auto" w:sz="4" w:space="0"/>
              <w:bottom w:val="single" w:color="auto" w:sz="4" w:space="0"/>
              <w:right w:val="single" w:color="auto" w:sz="4" w:space="0"/>
            </w:tcBorders>
            <w:vAlign w:val="center"/>
          </w:tcPr>
          <w:p w14:paraId="3FB9EE12">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p>
        </w:tc>
        <w:tc>
          <w:tcPr>
            <w:tcW w:w="2041" w:type="dxa"/>
            <w:tcBorders>
              <w:top w:val="single" w:color="auto" w:sz="4" w:space="0"/>
              <w:left w:val="single" w:color="auto" w:sz="4" w:space="0"/>
              <w:right w:val="single" w:color="auto" w:sz="4" w:space="0"/>
            </w:tcBorders>
            <w:vAlign w:val="center"/>
          </w:tcPr>
          <w:p w14:paraId="5AEEFDBB">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p>
        </w:tc>
      </w:tr>
      <w:tr w14:paraId="764E4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269062D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51" w:type="dxa"/>
            <w:tcBorders>
              <w:top w:val="single" w:color="auto" w:sz="4" w:space="0"/>
              <w:left w:val="single" w:color="auto" w:sz="4" w:space="0"/>
              <w:bottom w:val="single" w:color="auto" w:sz="4" w:space="0"/>
              <w:right w:val="single" w:color="auto" w:sz="4" w:space="0"/>
            </w:tcBorders>
            <w:vAlign w:val="center"/>
          </w:tcPr>
          <w:p w14:paraId="0C2BA2E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建筑面积</w:t>
            </w:r>
          </w:p>
          <w:p w14:paraId="01161E0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S（m</w:t>
            </w:r>
            <w:r>
              <w:rPr>
                <w:rFonts w:hint="eastAsia" w:ascii="宋体" w:hAnsi="宋体" w:eastAsia="宋体" w:cs="宋体"/>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color w:val="000000" w:themeColor="text1"/>
                <w:kern w:val="0"/>
                <w:sz w:val="21"/>
                <w:szCs w:val="21"/>
                <w:highlight w:val="none"/>
                <w14:textFill>
                  <w14:solidFill>
                    <w14:schemeClr w14:val="tx1"/>
                  </w14:solidFill>
                </w14:textFill>
              </w:rPr>
              <w:t>）</w:t>
            </w:r>
          </w:p>
        </w:tc>
        <w:tc>
          <w:tcPr>
            <w:tcW w:w="1609" w:type="dxa"/>
            <w:tcBorders>
              <w:top w:val="single" w:color="auto" w:sz="4" w:space="0"/>
              <w:left w:val="single" w:color="auto" w:sz="4" w:space="0"/>
              <w:bottom w:val="single" w:color="auto" w:sz="4" w:space="0"/>
              <w:right w:val="single" w:color="auto" w:sz="4" w:space="0"/>
            </w:tcBorders>
            <w:vAlign w:val="center"/>
          </w:tcPr>
          <w:p w14:paraId="488A309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用电负荷（kW）</w:t>
            </w:r>
          </w:p>
        </w:tc>
        <w:tc>
          <w:tcPr>
            <w:tcW w:w="1701" w:type="dxa"/>
            <w:tcBorders>
              <w:top w:val="single" w:color="auto" w:sz="4" w:space="0"/>
              <w:left w:val="single" w:color="auto" w:sz="4" w:space="0"/>
              <w:bottom w:val="single" w:color="auto" w:sz="4" w:space="0"/>
              <w:right w:val="single" w:color="auto" w:sz="4" w:space="0"/>
            </w:tcBorders>
            <w:vAlign w:val="center"/>
          </w:tcPr>
          <w:p w14:paraId="78778A2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进线开关</w:t>
            </w:r>
          </w:p>
        </w:tc>
        <w:tc>
          <w:tcPr>
            <w:tcW w:w="2041" w:type="dxa"/>
            <w:tcBorders>
              <w:top w:val="single" w:color="auto" w:sz="4" w:space="0"/>
              <w:left w:val="single" w:color="auto" w:sz="4" w:space="0"/>
              <w:right w:val="single" w:color="auto" w:sz="4" w:space="0"/>
            </w:tcBorders>
            <w:vAlign w:val="center"/>
          </w:tcPr>
          <w:p w14:paraId="1CFB789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导线(WDZ</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BYJ)</w:t>
            </w:r>
          </w:p>
        </w:tc>
      </w:tr>
      <w:tr w14:paraId="15A78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restart"/>
            <w:tcBorders>
              <w:top w:val="single" w:color="auto" w:sz="4" w:space="0"/>
              <w:left w:val="single" w:color="auto" w:sz="4" w:space="0"/>
              <w:right w:val="single" w:color="auto" w:sz="4" w:space="0"/>
            </w:tcBorders>
            <w:vAlign w:val="center"/>
          </w:tcPr>
          <w:p w14:paraId="3303B9B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住宅</w:t>
            </w:r>
          </w:p>
        </w:tc>
        <w:tc>
          <w:tcPr>
            <w:tcW w:w="1651" w:type="dxa"/>
            <w:tcBorders>
              <w:top w:val="single" w:color="auto" w:sz="4" w:space="0"/>
              <w:left w:val="single" w:color="auto" w:sz="4" w:space="0"/>
              <w:right w:val="single" w:color="auto" w:sz="4" w:space="0"/>
            </w:tcBorders>
            <w:vAlign w:val="center"/>
          </w:tcPr>
          <w:p w14:paraId="30F8224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S≤60</w:t>
            </w:r>
          </w:p>
        </w:tc>
        <w:tc>
          <w:tcPr>
            <w:tcW w:w="1609" w:type="dxa"/>
            <w:tcBorders>
              <w:top w:val="single" w:color="auto" w:sz="4" w:space="0"/>
              <w:left w:val="single" w:color="auto" w:sz="4" w:space="0"/>
              <w:bottom w:val="single" w:color="auto" w:sz="4" w:space="0"/>
              <w:right w:val="single" w:color="auto" w:sz="4" w:space="0"/>
            </w:tcBorders>
            <w:vAlign w:val="center"/>
          </w:tcPr>
          <w:p w14:paraId="3A48E41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w:t>
            </w:r>
          </w:p>
        </w:tc>
        <w:tc>
          <w:tcPr>
            <w:tcW w:w="1701" w:type="dxa"/>
            <w:tcBorders>
              <w:top w:val="single" w:color="auto" w:sz="4" w:space="0"/>
              <w:left w:val="single" w:color="auto" w:sz="4" w:space="0"/>
              <w:bottom w:val="single" w:color="auto" w:sz="4" w:space="0"/>
              <w:right w:val="single" w:color="auto" w:sz="4" w:space="0"/>
            </w:tcBorders>
            <w:vAlign w:val="center"/>
          </w:tcPr>
          <w:p w14:paraId="1963842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50A</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2P</w:t>
            </w:r>
          </w:p>
        </w:tc>
        <w:tc>
          <w:tcPr>
            <w:tcW w:w="2041" w:type="dxa"/>
            <w:tcBorders>
              <w:top w:val="single" w:color="auto" w:sz="4" w:space="0"/>
              <w:left w:val="single" w:color="auto" w:sz="4" w:space="0"/>
              <w:bottom w:val="single" w:color="auto" w:sz="4" w:space="0"/>
              <w:right w:val="single" w:color="auto" w:sz="4" w:space="0"/>
            </w:tcBorders>
            <w:vAlign w:val="center"/>
          </w:tcPr>
          <w:p w14:paraId="19D1835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10/PC32</w:t>
            </w:r>
          </w:p>
        </w:tc>
      </w:tr>
      <w:tr w14:paraId="3C03C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right w:val="single" w:color="auto" w:sz="4" w:space="0"/>
            </w:tcBorders>
            <w:vAlign w:val="center"/>
          </w:tcPr>
          <w:p w14:paraId="5723DB1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51" w:type="dxa"/>
            <w:tcBorders>
              <w:top w:val="single" w:color="auto" w:sz="4" w:space="0"/>
              <w:left w:val="single" w:color="auto" w:sz="4" w:space="0"/>
              <w:bottom w:val="single" w:color="auto" w:sz="4" w:space="0"/>
              <w:right w:val="single" w:color="auto" w:sz="4" w:space="0"/>
            </w:tcBorders>
            <w:vAlign w:val="center"/>
          </w:tcPr>
          <w:p w14:paraId="1597FBC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60＜S≤90</w:t>
            </w:r>
          </w:p>
        </w:tc>
        <w:tc>
          <w:tcPr>
            <w:tcW w:w="1609" w:type="dxa"/>
            <w:tcBorders>
              <w:top w:val="single" w:color="auto" w:sz="4" w:space="0"/>
              <w:left w:val="single" w:color="auto" w:sz="4" w:space="0"/>
              <w:bottom w:val="single" w:color="auto" w:sz="4" w:space="0"/>
              <w:right w:val="single" w:color="auto" w:sz="4" w:space="0"/>
            </w:tcBorders>
            <w:vAlign w:val="center"/>
          </w:tcPr>
          <w:p w14:paraId="02A2207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w:t>
            </w:r>
          </w:p>
        </w:tc>
        <w:tc>
          <w:tcPr>
            <w:tcW w:w="1701" w:type="dxa"/>
            <w:tcBorders>
              <w:top w:val="single" w:color="auto" w:sz="4" w:space="0"/>
              <w:left w:val="single" w:color="auto" w:sz="4" w:space="0"/>
              <w:bottom w:val="single" w:color="auto" w:sz="4" w:space="0"/>
              <w:right w:val="single" w:color="auto" w:sz="4" w:space="0"/>
            </w:tcBorders>
            <w:vAlign w:val="center"/>
          </w:tcPr>
          <w:p w14:paraId="20C51B2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63A/2P</w:t>
            </w:r>
          </w:p>
        </w:tc>
        <w:tc>
          <w:tcPr>
            <w:tcW w:w="2041" w:type="dxa"/>
            <w:tcBorders>
              <w:top w:val="single" w:color="auto" w:sz="4" w:space="0"/>
              <w:left w:val="single" w:color="auto" w:sz="4" w:space="0"/>
              <w:bottom w:val="single" w:color="auto" w:sz="4" w:space="0"/>
              <w:right w:val="single" w:color="auto" w:sz="4" w:space="0"/>
            </w:tcBorders>
            <w:vAlign w:val="center"/>
          </w:tcPr>
          <w:p w14:paraId="44B056E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16/PC32</w:t>
            </w:r>
          </w:p>
        </w:tc>
      </w:tr>
      <w:tr w14:paraId="34720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right w:val="single" w:color="auto" w:sz="4" w:space="0"/>
            </w:tcBorders>
            <w:vAlign w:val="center"/>
          </w:tcPr>
          <w:p w14:paraId="7716B79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51" w:type="dxa"/>
            <w:tcBorders>
              <w:top w:val="single" w:color="auto" w:sz="4" w:space="0"/>
              <w:left w:val="single" w:color="auto" w:sz="4" w:space="0"/>
              <w:bottom w:val="single" w:color="auto" w:sz="4" w:space="0"/>
              <w:right w:val="single" w:color="auto" w:sz="4" w:space="0"/>
            </w:tcBorders>
            <w:vAlign w:val="center"/>
          </w:tcPr>
          <w:p w14:paraId="3D8DBFF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90＜S≤140</w:t>
            </w:r>
          </w:p>
        </w:tc>
        <w:tc>
          <w:tcPr>
            <w:tcW w:w="1609" w:type="dxa"/>
            <w:tcBorders>
              <w:top w:val="single" w:color="auto" w:sz="4" w:space="0"/>
              <w:left w:val="single" w:color="auto" w:sz="4" w:space="0"/>
              <w:bottom w:val="single" w:color="auto" w:sz="4" w:space="0"/>
              <w:right w:val="single" w:color="auto" w:sz="4" w:space="0"/>
            </w:tcBorders>
            <w:vAlign w:val="center"/>
          </w:tcPr>
          <w:p w14:paraId="020A7C3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10</w:t>
            </w:r>
          </w:p>
        </w:tc>
        <w:tc>
          <w:tcPr>
            <w:tcW w:w="1701" w:type="dxa"/>
            <w:tcBorders>
              <w:top w:val="single" w:color="auto" w:sz="4" w:space="0"/>
              <w:left w:val="single" w:color="auto" w:sz="4" w:space="0"/>
              <w:bottom w:val="single" w:color="auto" w:sz="4" w:space="0"/>
              <w:right w:val="single" w:color="auto" w:sz="4" w:space="0"/>
            </w:tcBorders>
            <w:vAlign w:val="center"/>
          </w:tcPr>
          <w:p w14:paraId="674C0BC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80A/2P</w:t>
            </w:r>
          </w:p>
        </w:tc>
        <w:tc>
          <w:tcPr>
            <w:tcW w:w="2041" w:type="dxa"/>
            <w:tcBorders>
              <w:top w:val="single" w:color="auto" w:sz="4" w:space="0"/>
              <w:left w:val="single" w:color="auto" w:sz="4" w:space="0"/>
              <w:bottom w:val="single" w:color="auto" w:sz="4" w:space="0"/>
              <w:right w:val="single" w:color="auto" w:sz="4" w:space="0"/>
            </w:tcBorders>
            <w:vAlign w:val="center"/>
          </w:tcPr>
          <w:p w14:paraId="6B6C4A7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16/PC32+PC25</w:t>
            </w:r>
          </w:p>
        </w:tc>
      </w:tr>
      <w:tr w14:paraId="5AF50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bottom w:val="single" w:color="auto" w:sz="4" w:space="0"/>
              <w:right w:val="single" w:color="auto" w:sz="4" w:space="0"/>
            </w:tcBorders>
            <w:vAlign w:val="center"/>
          </w:tcPr>
          <w:p w14:paraId="157DE5F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651" w:type="dxa"/>
            <w:tcBorders>
              <w:top w:val="single" w:color="auto" w:sz="4" w:space="0"/>
              <w:left w:val="single" w:color="auto" w:sz="4" w:space="0"/>
              <w:bottom w:val="single" w:color="auto" w:sz="4" w:space="0"/>
              <w:right w:val="single" w:color="auto" w:sz="4" w:space="0"/>
            </w:tcBorders>
            <w:vAlign w:val="center"/>
          </w:tcPr>
          <w:p w14:paraId="19ECDA0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140＜S≤180</w:t>
            </w:r>
          </w:p>
        </w:tc>
        <w:tc>
          <w:tcPr>
            <w:tcW w:w="1609" w:type="dxa"/>
            <w:tcBorders>
              <w:top w:val="single" w:color="auto" w:sz="4" w:space="0"/>
              <w:left w:val="single" w:color="auto" w:sz="4" w:space="0"/>
              <w:bottom w:val="single" w:color="auto" w:sz="4" w:space="0"/>
              <w:right w:val="single" w:color="auto" w:sz="4" w:space="0"/>
            </w:tcBorders>
            <w:vAlign w:val="center"/>
          </w:tcPr>
          <w:p w14:paraId="2E74099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11~12</w:t>
            </w:r>
          </w:p>
        </w:tc>
        <w:tc>
          <w:tcPr>
            <w:tcW w:w="1701" w:type="dxa"/>
            <w:tcBorders>
              <w:top w:val="single" w:color="auto" w:sz="4" w:space="0"/>
              <w:left w:val="single" w:color="auto" w:sz="4" w:space="0"/>
              <w:bottom w:val="single" w:color="auto" w:sz="4" w:space="0"/>
              <w:right w:val="single" w:color="auto" w:sz="4" w:space="0"/>
            </w:tcBorders>
            <w:vAlign w:val="center"/>
          </w:tcPr>
          <w:p w14:paraId="34A0CCA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80A/2P</w:t>
            </w:r>
          </w:p>
        </w:tc>
        <w:tc>
          <w:tcPr>
            <w:tcW w:w="2041" w:type="dxa"/>
            <w:tcBorders>
              <w:top w:val="single" w:color="auto" w:sz="4" w:space="0"/>
              <w:left w:val="single" w:color="auto" w:sz="4" w:space="0"/>
              <w:bottom w:val="single" w:color="auto" w:sz="4" w:space="0"/>
              <w:right w:val="single" w:color="auto" w:sz="4" w:space="0"/>
            </w:tcBorders>
            <w:vAlign w:val="center"/>
          </w:tcPr>
          <w:p w14:paraId="17D82AF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16/PC32+PC25</w:t>
            </w:r>
          </w:p>
        </w:tc>
      </w:tr>
      <w:tr w14:paraId="5ADFB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055C3D2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餐饮</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3EA2F7D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通燃气250W/m</w:t>
            </w:r>
            <w:r>
              <w:rPr>
                <w:rFonts w:hint="eastAsia" w:ascii="宋体" w:hAnsi="宋体" w:eastAsia="宋体" w:cs="宋体"/>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color w:val="000000" w:themeColor="text1"/>
                <w:kern w:val="0"/>
                <w:sz w:val="21"/>
                <w:szCs w:val="21"/>
                <w:highlight w:val="none"/>
                <w14:textFill>
                  <w14:solidFill>
                    <w14:schemeClr w14:val="tx1"/>
                  </w14:solidFill>
                </w14:textFill>
              </w:rPr>
              <w:t>，不通燃气500W/m</w:t>
            </w:r>
            <w:r>
              <w:rPr>
                <w:rFonts w:hint="eastAsia" w:ascii="宋体" w:hAnsi="宋体" w:eastAsia="宋体" w:cs="宋体"/>
                <w:color w:val="000000" w:themeColor="text1"/>
                <w:kern w:val="0"/>
                <w:sz w:val="21"/>
                <w:szCs w:val="21"/>
                <w:highlight w:val="none"/>
                <w:vertAlign w:val="superscript"/>
                <w14:textFill>
                  <w14:solidFill>
                    <w14:schemeClr w14:val="tx1"/>
                  </w14:solidFill>
                </w14:textFill>
              </w:rPr>
              <w:t>2</w:t>
            </w:r>
          </w:p>
        </w:tc>
        <w:tc>
          <w:tcPr>
            <w:tcW w:w="1701" w:type="dxa"/>
            <w:tcBorders>
              <w:top w:val="single" w:color="auto" w:sz="4" w:space="0"/>
              <w:left w:val="single" w:color="auto" w:sz="4" w:space="0"/>
              <w:bottom w:val="single" w:color="auto" w:sz="4" w:space="0"/>
              <w:right w:val="single" w:color="auto" w:sz="4" w:space="0"/>
            </w:tcBorders>
            <w:vAlign w:val="center"/>
          </w:tcPr>
          <w:p w14:paraId="0D0B5B9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不小于32A/3P</w:t>
            </w:r>
          </w:p>
        </w:tc>
        <w:tc>
          <w:tcPr>
            <w:tcW w:w="2041" w:type="dxa"/>
            <w:tcBorders>
              <w:top w:val="single" w:color="auto" w:sz="4" w:space="0"/>
              <w:left w:val="single" w:color="auto" w:sz="4" w:space="0"/>
              <w:bottom w:val="single" w:color="auto" w:sz="4" w:space="0"/>
              <w:right w:val="single" w:color="auto" w:sz="4" w:space="0"/>
            </w:tcBorders>
            <w:vAlign w:val="center"/>
          </w:tcPr>
          <w:p w14:paraId="07C63B5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r>
      <w:tr w14:paraId="40A7C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528ACE6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商业</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321CCCD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按120Wm</w:t>
            </w:r>
            <w:r>
              <w:rPr>
                <w:rFonts w:hint="eastAsia" w:ascii="宋体" w:hAnsi="宋体" w:eastAsia="宋体" w:cs="宋体"/>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color w:val="000000" w:themeColor="text1"/>
                <w:kern w:val="0"/>
                <w:sz w:val="21"/>
                <w:szCs w:val="21"/>
                <w:highlight w:val="none"/>
                <w14:textFill>
                  <w14:solidFill>
                    <w14:schemeClr w14:val="tx1"/>
                  </w14:solidFill>
                </w14:textFill>
              </w:rPr>
              <w:t>计算</w:t>
            </w:r>
          </w:p>
        </w:tc>
        <w:tc>
          <w:tcPr>
            <w:tcW w:w="1701" w:type="dxa"/>
            <w:tcBorders>
              <w:top w:val="single" w:color="auto" w:sz="4" w:space="0"/>
              <w:left w:val="single" w:color="auto" w:sz="4" w:space="0"/>
              <w:bottom w:val="single" w:color="auto" w:sz="4" w:space="0"/>
              <w:right w:val="single" w:color="auto" w:sz="4" w:space="0"/>
            </w:tcBorders>
            <w:vAlign w:val="center"/>
          </w:tcPr>
          <w:p w14:paraId="15EB06E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2041" w:type="dxa"/>
            <w:tcBorders>
              <w:top w:val="single" w:color="auto" w:sz="4" w:space="0"/>
              <w:left w:val="single" w:color="auto" w:sz="4" w:space="0"/>
              <w:bottom w:val="single" w:color="auto" w:sz="4" w:space="0"/>
              <w:right w:val="single" w:color="auto" w:sz="4" w:space="0"/>
            </w:tcBorders>
            <w:vAlign w:val="center"/>
          </w:tcPr>
          <w:p w14:paraId="7474D1F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r>
      <w:tr w14:paraId="0E0E8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7FD0F7A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办公</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0EBAE00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按100Wm</w:t>
            </w:r>
            <w:r>
              <w:rPr>
                <w:rFonts w:hint="eastAsia" w:ascii="宋体" w:hAnsi="宋体" w:eastAsia="宋体" w:cs="宋体"/>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color w:val="000000" w:themeColor="text1"/>
                <w:kern w:val="0"/>
                <w:sz w:val="21"/>
                <w:szCs w:val="21"/>
                <w:highlight w:val="none"/>
                <w14:textFill>
                  <w14:solidFill>
                    <w14:schemeClr w14:val="tx1"/>
                  </w14:solidFill>
                </w14:textFill>
              </w:rPr>
              <w:t>计算</w:t>
            </w:r>
          </w:p>
        </w:tc>
        <w:tc>
          <w:tcPr>
            <w:tcW w:w="1701" w:type="dxa"/>
            <w:tcBorders>
              <w:top w:val="single" w:color="auto" w:sz="4" w:space="0"/>
              <w:left w:val="single" w:color="auto" w:sz="4" w:space="0"/>
              <w:bottom w:val="single" w:color="auto" w:sz="4" w:space="0"/>
              <w:right w:val="single" w:color="auto" w:sz="4" w:space="0"/>
            </w:tcBorders>
            <w:vAlign w:val="center"/>
          </w:tcPr>
          <w:p w14:paraId="32310BF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2041" w:type="dxa"/>
            <w:tcBorders>
              <w:top w:val="single" w:color="auto" w:sz="4" w:space="0"/>
              <w:left w:val="single" w:color="auto" w:sz="4" w:space="0"/>
              <w:bottom w:val="single" w:color="auto" w:sz="4" w:space="0"/>
              <w:right w:val="single" w:color="auto" w:sz="4" w:space="0"/>
            </w:tcBorders>
            <w:vAlign w:val="center"/>
          </w:tcPr>
          <w:p w14:paraId="1EA3D42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r>
    </w:tbl>
    <w:p w14:paraId="5E61CD5B">
      <w:pPr>
        <w:spacing w:line="360" w:lineRule="auto"/>
        <w:ind w:firstLine="210" w:firstLineChars="100"/>
        <w:rPr>
          <w:rFonts w:hint="eastAsia" w:ascii="宋体" w:hAnsi="宋体" w:eastAsia="宋体" w:cs="宋体"/>
          <w:color w:val="000000" w:themeColor="text1"/>
          <w:sz w:val="21"/>
          <w:szCs w:val="21"/>
          <w:highlight w:val="none"/>
          <w14:textFill>
            <w14:solidFill>
              <w14:schemeClr w14:val="tx1"/>
            </w14:solidFill>
          </w14:textFill>
        </w:rPr>
      </w:pPr>
    </w:p>
    <w:p w14:paraId="690FFEE3">
      <w:pPr>
        <w:spacing w:line="360" w:lineRule="auto"/>
        <w:ind w:firstLine="210" w:firstLineChars="1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注：1）住宅超过140m2部分按30W/m2~40W/</w:t>
      </w:r>
      <w:bookmarkStart w:id="350" w:name="OLE_LINK10"/>
      <w:bookmarkStart w:id="351" w:name="OLE_LINK11"/>
      <w:bookmarkStart w:id="352" w:name="OLE_LINK8"/>
      <w:bookmarkStart w:id="353" w:name="OLE_LINK9"/>
      <w:r>
        <w:rPr>
          <w:rFonts w:hint="eastAsia" w:ascii="宋体" w:hAnsi="宋体" w:eastAsia="宋体" w:cs="宋体"/>
          <w:color w:val="000000" w:themeColor="text1"/>
          <w:sz w:val="21"/>
          <w:szCs w:val="21"/>
          <w:highlight w:val="none"/>
          <w14:textFill>
            <w14:solidFill>
              <w14:schemeClr w14:val="tx1"/>
            </w14:solidFill>
          </w14:textFill>
        </w:rPr>
        <w:t>m2</w:t>
      </w:r>
      <w:bookmarkEnd w:id="350"/>
      <w:bookmarkEnd w:id="351"/>
      <w:bookmarkEnd w:id="352"/>
      <w:bookmarkEnd w:id="353"/>
      <w:r>
        <w:rPr>
          <w:rFonts w:hint="eastAsia" w:ascii="宋体" w:hAnsi="宋体" w:eastAsia="宋体" w:cs="宋体"/>
          <w:color w:val="000000" w:themeColor="text1"/>
          <w:sz w:val="21"/>
          <w:szCs w:val="21"/>
          <w:highlight w:val="none"/>
          <w14:textFill>
            <w14:solidFill>
              <w14:schemeClr w14:val="tx1"/>
            </w14:solidFill>
          </w14:textFill>
        </w:rPr>
        <w:t>计算用电负荷；</w:t>
      </w:r>
    </w:p>
    <w:p w14:paraId="25B23AB6">
      <w:pPr>
        <w:pStyle w:val="63"/>
        <w:spacing w:line="360" w:lineRule="auto"/>
        <w:ind w:left="21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2）住宅大于等于15kW或有三相配电设备时按三相配电进行设计。</w:t>
      </w:r>
    </w:p>
    <w:p w14:paraId="41830F57">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4.2.3.2 变压器容量选择原则</w:t>
      </w:r>
    </w:p>
    <w:p w14:paraId="5BF0516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①公用变压器容量选择：居住区公用配电变压器，应采取“小容量，多布点”的原则，因地制宜。配电变压器应靠近负荷中心。</w:t>
      </w:r>
    </w:p>
    <w:p w14:paraId="2D708DC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②变压器的需要系数根据居住区居民住宅总户数确定，住宅用电负荷的需要系数可以参考表：</w:t>
      </w:r>
    </w:p>
    <w:p w14:paraId="51FADFB5">
      <w:pPr>
        <w:pStyle w:val="7"/>
        <w:numPr>
          <w:ilvl w:val="3"/>
          <w:numId w:val="0"/>
        </w:numPr>
        <w:ind w:firstLine="960" w:firstLineChars="4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住宅用电负荷的需要系数</w:t>
      </w:r>
    </w:p>
    <w:tbl>
      <w:tblPr>
        <w:tblStyle w:val="42"/>
        <w:tblW w:w="6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4"/>
        <w:gridCol w:w="2551"/>
        <w:gridCol w:w="2101"/>
      </w:tblGrid>
      <w:tr w14:paraId="7753C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2064FE3E">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按单相配电计算时连接的基本户数</w:t>
            </w:r>
          </w:p>
        </w:tc>
        <w:tc>
          <w:tcPr>
            <w:tcW w:w="2551" w:type="dxa"/>
            <w:vAlign w:val="center"/>
          </w:tcPr>
          <w:p w14:paraId="5D7A620B">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按三相配电计算时连接的基本户数</w:t>
            </w:r>
          </w:p>
        </w:tc>
        <w:tc>
          <w:tcPr>
            <w:tcW w:w="2101" w:type="dxa"/>
            <w:vAlign w:val="center"/>
          </w:tcPr>
          <w:p w14:paraId="3B1031D0">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需要系数</w:t>
            </w:r>
          </w:p>
        </w:tc>
      </w:tr>
      <w:tr w14:paraId="31CB1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653A30E8">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1~3</w:t>
            </w:r>
          </w:p>
        </w:tc>
        <w:tc>
          <w:tcPr>
            <w:tcW w:w="2551" w:type="dxa"/>
            <w:vAlign w:val="center"/>
          </w:tcPr>
          <w:p w14:paraId="04732DB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3~9</w:t>
            </w:r>
          </w:p>
        </w:tc>
        <w:tc>
          <w:tcPr>
            <w:tcW w:w="2101" w:type="dxa"/>
            <w:vAlign w:val="center"/>
          </w:tcPr>
          <w:p w14:paraId="51AE965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0.90~1.00</w:t>
            </w:r>
          </w:p>
        </w:tc>
      </w:tr>
      <w:tr w14:paraId="04D85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56CDEFC6">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4~8</w:t>
            </w:r>
          </w:p>
        </w:tc>
        <w:tc>
          <w:tcPr>
            <w:tcW w:w="2551" w:type="dxa"/>
            <w:vAlign w:val="center"/>
          </w:tcPr>
          <w:p w14:paraId="357454B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12~24</w:t>
            </w:r>
          </w:p>
        </w:tc>
        <w:tc>
          <w:tcPr>
            <w:tcW w:w="2101" w:type="dxa"/>
            <w:vAlign w:val="center"/>
          </w:tcPr>
          <w:p w14:paraId="4AE3163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0.65~0.90</w:t>
            </w:r>
          </w:p>
        </w:tc>
      </w:tr>
      <w:tr w14:paraId="104B1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7B12F47F">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9~12</w:t>
            </w:r>
          </w:p>
        </w:tc>
        <w:tc>
          <w:tcPr>
            <w:tcW w:w="2551" w:type="dxa"/>
            <w:vAlign w:val="center"/>
          </w:tcPr>
          <w:p w14:paraId="213A9C9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27~36</w:t>
            </w:r>
          </w:p>
        </w:tc>
        <w:tc>
          <w:tcPr>
            <w:tcW w:w="2101" w:type="dxa"/>
            <w:vAlign w:val="center"/>
          </w:tcPr>
          <w:p w14:paraId="6096B282">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0.50~0.65</w:t>
            </w:r>
          </w:p>
        </w:tc>
      </w:tr>
      <w:tr w14:paraId="45282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2C58309C">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13~24</w:t>
            </w:r>
          </w:p>
        </w:tc>
        <w:tc>
          <w:tcPr>
            <w:tcW w:w="2551" w:type="dxa"/>
            <w:vAlign w:val="center"/>
          </w:tcPr>
          <w:p w14:paraId="4E4DA770">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39~72</w:t>
            </w:r>
          </w:p>
        </w:tc>
        <w:tc>
          <w:tcPr>
            <w:tcW w:w="2101" w:type="dxa"/>
            <w:vAlign w:val="center"/>
          </w:tcPr>
          <w:p w14:paraId="141D5A9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0.45~0.50</w:t>
            </w:r>
          </w:p>
        </w:tc>
      </w:tr>
      <w:tr w14:paraId="2FAF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31A80FD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25~124</w:t>
            </w:r>
          </w:p>
        </w:tc>
        <w:tc>
          <w:tcPr>
            <w:tcW w:w="2551" w:type="dxa"/>
            <w:vAlign w:val="center"/>
          </w:tcPr>
          <w:p w14:paraId="1774BA85">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75~372</w:t>
            </w:r>
          </w:p>
        </w:tc>
        <w:tc>
          <w:tcPr>
            <w:tcW w:w="2101" w:type="dxa"/>
            <w:vAlign w:val="center"/>
          </w:tcPr>
          <w:p w14:paraId="74244D1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0.4~0.45</w:t>
            </w:r>
          </w:p>
        </w:tc>
      </w:tr>
      <w:tr w14:paraId="4EED1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74EAE54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125~259</w:t>
            </w:r>
          </w:p>
        </w:tc>
        <w:tc>
          <w:tcPr>
            <w:tcW w:w="2551" w:type="dxa"/>
            <w:vAlign w:val="center"/>
          </w:tcPr>
          <w:p w14:paraId="726BBB1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375~777</w:t>
            </w:r>
          </w:p>
        </w:tc>
        <w:tc>
          <w:tcPr>
            <w:tcW w:w="2101" w:type="dxa"/>
            <w:vAlign w:val="center"/>
          </w:tcPr>
          <w:p w14:paraId="29F59F4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0.30~0.40</w:t>
            </w:r>
          </w:p>
        </w:tc>
      </w:tr>
      <w:tr w14:paraId="17295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77DD6EE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260~300</w:t>
            </w:r>
          </w:p>
        </w:tc>
        <w:tc>
          <w:tcPr>
            <w:tcW w:w="2551" w:type="dxa"/>
            <w:vAlign w:val="center"/>
          </w:tcPr>
          <w:p w14:paraId="04F56C5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780~900</w:t>
            </w:r>
          </w:p>
        </w:tc>
        <w:tc>
          <w:tcPr>
            <w:tcW w:w="2101" w:type="dxa"/>
            <w:vAlign w:val="center"/>
          </w:tcPr>
          <w:p w14:paraId="564B05C6">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0.26~0.30</w:t>
            </w:r>
          </w:p>
        </w:tc>
      </w:tr>
    </w:tbl>
    <w:p w14:paraId="28CFEB48">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w:t>
      </w:r>
      <w:r>
        <w:rPr>
          <w:rStyle w:val="81"/>
          <w:rFonts w:ascii="宋体" w:hAnsi="宋体" w:cs="宋体"/>
          <w:color w:val="000000" w:themeColor="text1"/>
          <w:sz w:val="24"/>
          <w:szCs w:val="24"/>
          <w:highlight w:val="none"/>
          <w14:textFill>
            <w14:solidFill>
              <w14:schemeClr w14:val="tx1"/>
            </w14:solidFill>
          </w14:textFill>
        </w:rPr>
        <w:t>居住住宅小区的车位宜按慢充方式计算用电负荷，每个慢充充电设施充电功率按</w:t>
      </w:r>
      <w:r>
        <w:rPr>
          <w:rStyle w:val="81"/>
          <w:rFonts w:hint="eastAsia" w:ascii="宋体" w:hAnsi="宋体" w:cs="宋体"/>
          <w:color w:val="000000" w:themeColor="text1"/>
          <w:sz w:val="24"/>
          <w:szCs w:val="24"/>
          <w:highlight w:val="none"/>
          <w14:textFill>
            <w14:solidFill>
              <w14:schemeClr w14:val="tx1"/>
            </w14:solidFill>
          </w14:textFill>
        </w:rPr>
        <w:t>8</w:t>
      </w:r>
      <w:r>
        <w:rPr>
          <w:rStyle w:val="81"/>
          <w:rFonts w:ascii="宋体" w:hAnsi="宋体" w:cs="宋体"/>
          <w:color w:val="000000" w:themeColor="text1"/>
          <w:sz w:val="24"/>
          <w:szCs w:val="24"/>
          <w:highlight w:val="none"/>
          <w14:textFill>
            <w14:solidFill>
              <w14:schemeClr w14:val="tx1"/>
            </w14:solidFill>
          </w14:textFill>
        </w:rPr>
        <w:t>kW计算，需要系数取0.5。</w:t>
      </w:r>
    </w:p>
    <w:p w14:paraId="4B81F821">
      <w:pPr>
        <w:pStyle w:val="24"/>
        <w:numPr>
          <w:ilvl w:val="255"/>
          <w:numId w:val="0"/>
        </w:numPr>
        <w:ind w:firstLine="199" w:firstLineChars="83"/>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住宅充电设施按</w:t>
      </w:r>
      <w:r>
        <w:rPr>
          <w:rStyle w:val="81"/>
          <w:rFonts w:ascii="宋体" w:hAnsi="宋体" w:cs="宋体"/>
          <w:color w:val="000000" w:themeColor="text1"/>
          <w:sz w:val="24"/>
          <w:szCs w:val="24"/>
          <w:highlight w:val="none"/>
          <w14:textFill>
            <w14:solidFill>
              <w14:schemeClr w14:val="tx1"/>
            </w14:solidFill>
          </w14:textFill>
        </w:rPr>
        <w:t>100%车位预留安装条件，其中：</w:t>
      </w:r>
      <w:r>
        <w:rPr>
          <w:rStyle w:val="81"/>
          <w:rFonts w:hint="eastAsia" w:ascii="宋体" w:hAnsi="宋体" w:cs="宋体"/>
          <w:color w:val="000000" w:themeColor="text1"/>
          <w:sz w:val="24"/>
          <w:szCs w:val="24"/>
          <w:highlight w:val="none"/>
          <w14:textFill>
            <w14:solidFill>
              <w14:schemeClr w14:val="tx1"/>
            </w14:solidFill>
          </w14:textFill>
        </w:rPr>
        <w:t>按广州市最新政策要求（</w:t>
      </w:r>
      <w:r>
        <w:rPr>
          <w:rFonts w:hint="eastAsia" w:hAnsi="宋体" w:cs="宋体"/>
          <w:color w:val="000000" w:themeColor="text1"/>
          <w:szCs w:val="24"/>
          <w:highlight w:val="none"/>
          <w14:textFill>
            <w14:solidFill>
              <w14:schemeClr w14:val="tx1"/>
            </w14:solidFill>
          </w14:textFill>
        </w:rPr>
        <w:t>《广州供电局业扩报装及配套项目管理细则》（Q-CSG-GPG2083001-2022）；《广州供电局电动汽车充(换)电基础设施用电报装业务办理指南》(广供电市部〔2023〕38号）《广州电网规划设计技术导则》（</w:t>
      </w:r>
      <w:r>
        <w:rPr>
          <w:rFonts w:hAnsi="宋体" w:cs="宋体"/>
          <w:color w:val="000000" w:themeColor="text1"/>
          <w:szCs w:val="24"/>
          <w:highlight w:val="none"/>
          <w14:textFill>
            <w14:solidFill>
              <w14:schemeClr w14:val="tx1"/>
            </w14:solidFill>
          </w14:textFill>
        </w:rPr>
        <w:t>广东电网有限责任公司广州供电局</w:t>
      </w:r>
      <w:r>
        <w:rPr>
          <w:rFonts w:hint="eastAsia" w:hAnsi="宋体" w:cs="宋体"/>
          <w:color w:val="000000" w:themeColor="text1"/>
          <w:szCs w:val="24"/>
          <w:highlight w:val="none"/>
          <w14:textFill>
            <w14:solidFill>
              <w14:schemeClr w14:val="tx1"/>
            </w14:solidFill>
          </w14:textFill>
        </w:rPr>
        <w:t>2023年10月17日印发）等相关政策和规范)</w:t>
      </w:r>
      <w:r>
        <w:rPr>
          <w:rStyle w:val="81"/>
          <w:rFonts w:hint="eastAsia" w:ascii="宋体" w:hAnsi="宋体" w:cs="宋体"/>
          <w:color w:val="000000" w:themeColor="text1"/>
          <w:sz w:val="24"/>
          <w:szCs w:val="24"/>
          <w:highlight w:val="none"/>
          <w14:textFill>
            <w14:solidFill>
              <w14:schemeClr w14:val="tx1"/>
            </w14:solidFill>
          </w14:textFill>
        </w:rPr>
        <w:t>设计。</w:t>
      </w:r>
    </w:p>
    <w:p w14:paraId="5418F50F">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1）高、低压配电柜、变压器按</w:t>
      </w:r>
      <w:r>
        <w:rPr>
          <w:rStyle w:val="81"/>
          <w:rFonts w:hint="eastAsia" w:ascii="宋体" w:hAnsi="宋体" w:cs="宋体"/>
          <w:color w:val="000000" w:themeColor="text1"/>
          <w:sz w:val="24"/>
          <w:szCs w:val="24"/>
          <w:highlight w:val="none"/>
          <w14:textFill>
            <w14:solidFill>
              <w14:schemeClr w14:val="tx1"/>
            </w14:solidFill>
          </w14:textFill>
        </w:rPr>
        <w:t>100%</w:t>
      </w:r>
      <w:r>
        <w:rPr>
          <w:rStyle w:val="81"/>
          <w:rFonts w:ascii="宋体" w:hAnsi="宋体" w:cs="宋体"/>
          <w:color w:val="000000" w:themeColor="text1"/>
          <w:sz w:val="24"/>
          <w:szCs w:val="24"/>
          <w:highlight w:val="none"/>
          <w14:textFill>
            <w14:solidFill>
              <w14:schemeClr w14:val="tx1"/>
            </w14:solidFill>
          </w14:textFill>
        </w:rPr>
        <w:t>安装到位；</w:t>
      </w:r>
    </w:p>
    <w:p w14:paraId="5C7E2FF1">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2）低压配电房至充电桩电表间的电缆桥架、充电桩电表箱按100%安装到位，低压配电房至充电桩电表间的电缆按</w:t>
      </w:r>
      <w:r>
        <w:rPr>
          <w:rStyle w:val="81"/>
          <w:rFonts w:hint="eastAsia" w:ascii="宋体" w:hAnsi="宋体" w:cs="宋体"/>
          <w:color w:val="000000" w:themeColor="text1"/>
          <w:sz w:val="24"/>
          <w:szCs w:val="24"/>
          <w:highlight w:val="none"/>
          <w14:textFill>
            <w14:solidFill>
              <w14:schemeClr w14:val="tx1"/>
            </w14:solidFill>
          </w14:textFill>
        </w:rPr>
        <w:t>10</w:t>
      </w:r>
      <w:r>
        <w:rPr>
          <w:rStyle w:val="81"/>
          <w:rFonts w:ascii="宋体" w:hAnsi="宋体" w:cs="宋体"/>
          <w:color w:val="000000" w:themeColor="text1"/>
          <w:sz w:val="24"/>
          <w:szCs w:val="24"/>
          <w:highlight w:val="none"/>
          <w14:textFill>
            <w14:solidFill>
              <w14:schemeClr w14:val="tx1"/>
            </w14:solidFill>
          </w14:textFill>
        </w:rPr>
        <w:t>0%安装到位；</w:t>
      </w:r>
    </w:p>
    <w:p w14:paraId="7002152D">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3）充电桩电表箱至各车位的电缆桥架按100%安装到位，不含充电桩电表箱至车位配电电缆；</w:t>
      </w:r>
    </w:p>
    <w:p w14:paraId="1AF35D61">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（车位充电设施预留安装条件以咨询当地供电部门的意见为准。）</w:t>
      </w:r>
    </w:p>
    <w:p w14:paraId="055219CC">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④商业、办公等的公共停车位的机动车充电桩充电设施，在低压柜预留配电回路车位数按照30%配置；充电功率不少于30kW/车位。</w:t>
      </w:r>
    </w:p>
    <w:p w14:paraId="39B46C7E">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⑥在放置电动自行车区域设置配电箱（仅总断路器），并设专用计量，末端点位配电由物业管理公司完善。负荷估算宜按150W/台，规划总容量按照20%的需要系数计算。</w:t>
      </w:r>
    </w:p>
    <w:p w14:paraId="59B2FF41">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⑦公用配电变压器的长期工作负载率不宜大于80%。</w:t>
      </w:r>
    </w:p>
    <w:p w14:paraId="42F74684">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⑧专用变压器负荷计算：按照计算负荷容量选取，变压器长期工作负载率不宜大于85%。</w:t>
      </w:r>
    </w:p>
    <w:p w14:paraId="235910FE">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⑨应选用干式配电变压器。</w:t>
      </w:r>
    </w:p>
    <w:p w14:paraId="2AEDAE5A">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⑩住宅公用变压器容量宜选择为630kVA、800kVA，不建议超过800kVA。。</w:t>
      </w:r>
    </w:p>
    <w:p w14:paraId="7B467082">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ascii="Cambria Math" w:hAnsi="Cambria Math" w:cs="Cambria Math"/>
          <w:color w:val="000000" w:themeColor="text1"/>
          <w:sz w:val="24"/>
          <w:szCs w:val="24"/>
          <w:highlight w:val="none"/>
          <w14:textFill>
            <w14:solidFill>
              <w14:schemeClr w14:val="tx1"/>
            </w14:solidFill>
          </w14:textFill>
        </w:rPr>
        <w:t>⑪</w:t>
      </w:r>
      <w:r>
        <w:rPr>
          <w:rStyle w:val="81"/>
          <w:rFonts w:hint="eastAsia" w:ascii="宋体" w:hAnsi="宋体" w:cs="宋体"/>
          <w:color w:val="000000" w:themeColor="text1"/>
          <w:sz w:val="24"/>
          <w:szCs w:val="24"/>
          <w:highlight w:val="none"/>
          <w14:textFill>
            <w14:solidFill>
              <w14:schemeClr w14:val="tx1"/>
            </w14:solidFill>
          </w14:textFill>
        </w:rPr>
        <w:t>非住宅用电报装容量超过100kW时，原则上应由专用变压器供电；容量在100kW以下时，可由公用变压器供电，但应另设低压配电房。</w:t>
      </w:r>
    </w:p>
    <w:p w14:paraId="585725CF">
      <w:pPr>
        <w:pStyle w:val="85"/>
        <w:spacing w:before="0" w:after="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ascii="Cambria Math" w:hAnsi="Cambria Math" w:cs="Cambria Math"/>
          <w:color w:val="000000" w:themeColor="text1"/>
          <w:sz w:val="24"/>
          <w:szCs w:val="24"/>
          <w:highlight w:val="none"/>
          <w14:textFill>
            <w14:solidFill>
              <w14:schemeClr w14:val="tx1"/>
            </w14:solidFill>
          </w14:textFill>
        </w:rPr>
        <w:t>⑫</w:t>
      </w:r>
      <w:r>
        <w:rPr>
          <w:rStyle w:val="81"/>
          <w:rFonts w:hint="eastAsia" w:ascii="宋体" w:hAnsi="宋体" w:cs="宋体"/>
          <w:color w:val="000000" w:themeColor="text1"/>
          <w:sz w:val="24"/>
          <w:szCs w:val="24"/>
          <w:highlight w:val="none"/>
          <w14:textFill>
            <w14:solidFill>
              <w14:schemeClr w14:val="tx1"/>
            </w14:solidFill>
          </w14:textFill>
        </w:rPr>
        <w:t>专用变压器单台容量不宜大于1600kVA；当需要容量大于1600kVA时，宜选用两台及以上变压器。当用电负荷距离较远时，宜增设专用变压器房或适当加大导线截面，以满足压降要求。建议供电半径不超过250m。</w:t>
      </w:r>
    </w:p>
    <w:p w14:paraId="22525656">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4.2.3.3 电能计量</w:t>
      </w:r>
    </w:p>
    <w:p w14:paraId="4BC6D67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①住宅用电采用低压计量，实行一户一表，并安装集中抄表装置。</w:t>
      </w:r>
    </w:p>
    <w:p w14:paraId="261D858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②电梯、公共照明（含航空障碍灯）、应急照明、生活水泵应各自独立设置电能计量装置。</w:t>
      </w:r>
    </w:p>
    <w:p w14:paraId="5598ECD4">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专用变压器的用户，应按照不同使用功能和不同设备类别，如景观用电、物管用房、地下车库动力、车库照明等分别安装用电计量装置。商业用电低压出线回路宜设置带RS485联网接口和计量功能的多功能数显表，互感器0.2S级，若商业店铺由供电部门管理则可不设带联网接口和计量功能的多功能数显表。</w:t>
      </w:r>
      <w:bookmarkEnd w:id="349"/>
    </w:p>
    <w:p w14:paraId="66C257DB">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4.2.3.4电气设备房要求</w:t>
      </w:r>
    </w:p>
    <w:p w14:paraId="48B15A6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市政10kV开关房应设在建筑物首层，并尽量设在道路的东、南面。公用综合房、公用低压配电房应设在建筑物首层。供非居住性质用电的专用配电房应设置在建筑物首层及以上，当条件限制且地下有两层及以上时，可设置在地下负一层，业主单位应承诺配置充足强排设备并承担相应责任。同时，当设于地下室时应征得当地供电部门同意。</w:t>
      </w:r>
    </w:p>
    <w:p w14:paraId="56E6063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市政10kV开关房净空尺寸不小于6000mm*4000mm*4500mm（长*宽*高）。双公变综合房净空不小于7500mm*6500mm*4300mm；公用低压配电房、专用变压器房、专用低压配电房的长宽尺寸根据变配电系统需要确定，其房间净高不应小于4300mm。上述电房净高为电缆沟底至梁底的净高，开关房电缆沟1000mm，综合房电缆沟800mm，要求电缆沟完成后，室内地面高于室外地面300mm。</w:t>
      </w:r>
    </w:p>
    <w:p w14:paraId="518891C4">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③电房楼板应满足设备安装承重要求，开关房楼板结构承重不低于1.5吨/平方米，综合房、变压器房楼板结构承重不低于3吨/平方米。</w:t>
      </w:r>
    </w:p>
    <w:p w14:paraId="7F4CF1B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④电房内（中央位置）不应有柱、通风井等影响房间净空的设置。</w:t>
      </w:r>
    </w:p>
    <w:p w14:paraId="45E2717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⑤电气设备房上方不应有卫生间、浴室、厨房等积水场所，当与经常积水场所贴临时应加双层隔墙，中间考虑排水。电房不得跨建筑物变形缝设置。电房内不应有给水、排水、排污等无关管道。</w:t>
      </w:r>
    </w:p>
    <w:p w14:paraId="1B28D19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⑥电气设备房上方不宜有覆土绿化，不可避免时，顶板不宜设置反梁；当设置反梁时，反梁上应设置过水洞。</w:t>
      </w:r>
    </w:p>
    <w:p w14:paraId="07FDF13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⑦电房位置应尽量靠近车道出入口或设备区出入口以便于设备搬运。电房外应保留足够设备进出通道，通道净宽及净高不小于2500mm。</w:t>
      </w:r>
    </w:p>
    <w:p w14:paraId="341A9C0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⑧发电机房不应布置在人员密集场所的上一层、下一层或贴邻，不宜设置在住宅正下方。宜靠近一级负荷或专变配电室设置。</w:t>
      </w:r>
    </w:p>
    <w:p w14:paraId="7BE066FF">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4.2.3.5 电力电缆进出建筑物敷管及通道对土建专业的要求</w:t>
      </w:r>
    </w:p>
    <w:p w14:paraId="6ADC362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①当建筑物有地下室且电房位于建筑物中部的情况下，应考虑进入建筑物的电缆走廊设置，首层覆土应满足新建电缆沟的埋深要求。</w:t>
      </w:r>
    </w:p>
    <w:p w14:paraId="1D165734">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②开关房进出电缆按12线电缆沟考虑。</w:t>
      </w:r>
    </w:p>
    <w:p w14:paraId="7D1C220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③电力电缆走廊应避开化粪池、污水管等有埋深冲突的管线。</w:t>
      </w:r>
    </w:p>
    <w:p w14:paraId="3B536DD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④由开关房至各变电房的高压电缆应在室外埋设，不得采用电缆桥架在地下室敷设（专变房设于地下时，局部无法避免除外）。</w:t>
      </w:r>
    </w:p>
    <w:p w14:paraId="0AA8D926">
      <w:pPr>
        <w:pStyle w:val="24"/>
        <w:ind w:firstLine="482"/>
        <w:rPr>
          <w:rFonts w:hint="eastAsia" w:hAnsi="宋体" w:cs="宋体"/>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 xml:space="preserve">4.2.3.6 </w:t>
      </w:r>
      <w:r>
        <w:rPr>
          <w:rFonts w:hint="eastAsia" w:hAnsi="宋体" w:cs="宋体"/>
          <w:color w:val="000000" w:themeColor="text1"/>
          <w:szCs w:val="24"/>
          <w:highlight w:val="none"/>
          <w14:textFill>
            <w14:solidFill>
              <w14:schemeClr w14:val="tx1"/>
            </w14:solidFill>
          </w14:textFill>
        </w:rPr>
        <w:t>供电电源的选择、高、低压系统供电形式、变配电房的设置、负荷计算、计量要求、电力电缆敷设要求等，均应满足南方电网、广东电网及当地供电部门的相关要求。</w:t>
      </w:r>
    </w:p>
    <w:p w14:paraId="0A9F41B4">
      <w:pPr>
        <w:pStyle w:val="24"/>
        <w:ind w:firstLine="482"/>
        <w:rPr>
          <w:rFonts w:hint="eastAsia" w:hAnsi="宋体" w:cs="宋体"/>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 xml:space="preserve">4.2.3.7 </w:t>
      </w:r>
      <w:r>
        <w:rPr>
          <w:rFonts w:hint="eastAsia" w:hAnsi="宋体" w:cs="宋体"/>
          <w:color w:val="000000" w:themeColor="text1"/>
          <w:szCs w:val="24"/>
          <w:highlight w:val="none"/>
          <w14:textFill>
            <w14:solidFill>
              <w14:schemeClr w14:val="tx1"/>
            </w14:solidFill>
          </w14:textFill>
        </w:rPr>
        <w:t>高层住宅应按照当地空管局规定设置航空障碍标志灯。</w:t>
      </w:r>
    </w:p>
    <w:p w14:paraId="1AA84107">
      <w:pPr>
        <w:pStyle w:val="24"/>
        <w:ind w:firstLine="482"/>
        <w:rPr>
          <w:rFonts w:hint="eastAsia" w:hAnsi="宋体" w:cs="宋体"/>
          <w:color w:val="000000" w:themeColor="text1"/>
          <w:szCs w:val="24"/>
          <w:highlight w:val="none"/>
          <w:lang w:val="zh-CN"/>
          <w14:textFill>
            <w14:solidFill>
              <w14:schemeClr w14:val="tx1"/>
            </w14:solidFill>
          </w14:textFill>
        </w:rPr>
      </w:pPr>
      <w:bookmarkStart w:id="354" w:name="_Toc72337780"/>
      <w:r>
        <w:rPr>
          <w:rFonts w:hint="eastAsia" w:hAnsi="宋体" w:cs="宋体"/>
          <w:b/>
          <w:bCs/>
          <w:color w:val="000000" w:themeColor="text1"/>
          <w:szCs w:val="24"/>
          <w:highlight w:val="none"/>
          <w14:textFill>
            <w14:solidFill>
              <w14:schemeClr w14:val="tx1"/>
            </w14:solidFill>
          </w14:textFill>
        </w:rPr>
        <w:t xml:space="preserve">4.2.4 </w:t>
      </w:r>
      <w:r>
        <w:rPr>
          <w:rFonts w:hint="eastAsia" w:hAnsi="宋体" w:cs="宋体"/>
          <w:color w:val="000000" w:themeColor="text1"/>
          <w:szCs w:val="24"/>
          <w:highlight w:val="none"/>
          <w:lang w:val="zh-CN"/>
          <w14:textFill>
            <w14:solidFill>
              <w14:schemeClr w14:val="tx1"/>
            </w14:solidFill>
          </w14:textFill>
        </w:rPr>
        <w:t>学校、幼儿园（</w:t>
      </w:r>
      <w:r>
        <w:rPr>
          <w:rFonts w:hint="eastAsia" w:hAnsi="宋体" w:cs="宋体"/>
          <w:color w:val="000000" w:themeColor="text1"/>
          <w:szCs w:val="24"/>
          <w:highlight w:val="none"/>
          <w14:textFill>
            <w14:solidFill>
              <w14:schemeClr w14:val="tx1"/>
            </w14:solidFill>
          </w14:textFill>
        </w:rPr>
        <w:t>如有</w:t>
      </w:r>
      <w:r>
        <w:rPr>
          <w:rFonts w:hint="eastAsia" w:hAnsi="宋体" w:cs="宋体"/>
          <w:color w:val="000000" w:themeColor="text1"/>
          <w:szCs w:val="24"/>
          <w:highlight w:val="none"/>
          <w:lang w:val="zh-CN"/>
          <w14:textFill>
            <w14:solidFill>
              <w14:schemeClr w14:val="tx1"/>
            </w14:solidFill>
          </w14:textFill>
        </w:rPr>
        <w:t>）</w:t>
      </w:r>
    </w:p>
    <w:bookmarkEnd w:id="354"/>
    <w:p w14:paraId="43D36A95">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4.2.4.1 供电电源</w:t>
      </w:r>
    </w:p>
    <w:p w14:paraId="20ACA315">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①正常电源采用10kV电源供电。</w:t>
      </w:r>
    </w:p>
    <w:p w14:paraId="19F92503">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自备应急电源宜采用快速自启动应急发电机组。应急发电机组单台机组容量不宜大于1600kW；当单台容量大于1600kW时，宜选用两台及以上机组。发电机供电半径不宜超过250m，当用电负荷距离较远时，宜增设发电机房或适当加大导线截面，以满足压降要求。</w:t>
      </w:r>
    </w:p>
    <w:p w14:paraId="060DA967">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4.2.4.2 高、低压配电系统</w:t>
      </w:r>
    </w:p>
    <w:p w14:paraId="55288891">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①10KV高压配电系统采用单母线接线方式。高压柜采用中置柜。</w:t>
      </w:r>
    </w:p>
    <w:p w14:paraId="0F0C0CB4">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②低压配电系统接地形式：采用TN-S接地系统。</w:t>
      </w:r>
    </w:p>
    <w:p w14:paraId="5C5009B0">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校区内的建筑群在满足规范和配电合理的情况下应集中设置变配电房。低压线路的供电半径一般不宜超过250m。对于群体建筑，当计算容量较大，且供电半径超过250m时，宜增设变配电房。附设在建筑内的变配电房，不应与教室、宿舍相贴邻。</w:t>
      </w:r>
    </w:p>
    <w:p w14:paraId="05909CE7">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4.2.4.3 变配电所</w:t>
      </w:r>
    </w:p>
    <w:p w14:paraId="17DFF5FB">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①开关房应设在建筑物首层，净空尺寸不小于6m*4m*4.5m。在设计阶段应与当地供电部门协调永久电房设置要求。</w:t>
      </w:r>
    </w:p>
    <w:p w14:paraId="05EC4A2C">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②10/0.4kV变电所按广州供电部门要求设置，并应留有适当的备用位置，具体要求为：</w:t>
      </w:r>
    </w:p>
    <w:p w14:paraId="54E61EFF">
      <w:pPr>
        <w:pStyle w:val="85"/>
        <w:numPr>
          <w:ilvl w:val="0"/>
          <w:numId w:val="2"/>
        </w:numPr>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房间净高不应小于4.3m（梁底至电缆沟底）。</w:t>
      </w:r>
    </w:p>
    <w:p w14:paraId="1B401280">
      <w:pPr>
        <w:pStyle w:val="85"/>
        <w:numPr>
          <w:ilvl w:val="0"/>
          <w:numId w:val="2"/>
        </w:numPr>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电房楼板应满足设备安装承重要求，开关房、高压配电室、低压配电室结构楼板结构承重不低于1.5吨/平方米，变压器房结构楼板结构承重不低于3.0吨/平方米。</w:t>
      </w:r>
    </w:p>
    <w:p w14:paraId="041287A1">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③变压器容量应根据计算容量选择，负荷率取70%～85%。单台变压器容量不宜大于1600kVA，并应选用结线组别为D,ynll的三相干式变压器。</w:t>
      </w:r>
    </w:p>
    <w:p w14:paraId="55E9D7C5">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④变电所设备原则上高压、低压、变压器分室布置，变压器需带强迫通风和温控装置。</w:t>
      </w:r>
    </w:p>
    <w:p w14:paraId="070787D2">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⑤变压器低压侧应采用集中功率因数补偿及谐波治理，安装调谐滤波电容器组，以抑制、吸收部分三次及以上谐波，并要求补偿后高压侧功率因数不得低于0.9。</w:t>
      </w:r>
    </w:p>
    <w:p w14:paraId="46F2424E">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4.2.4.4 电力和照明系统</w:t>
      </w:r>
    </w:p>
    <w:p w14:paraId="56E67AF5">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①应根据建筑的功能、归属等情况，对照明、电梯、空调、给水排水等系统的用电能耗进行分项、分区、分户计量。</w:t>
      </w:r>
    </w:p>
    <w:p w14:paraId="6307F3ED">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②下列负荷必须采用双回路供电，并在末端自动切换：消防设备、网络中心、计算机主机房等。</w:t>
      </w:r>
    </w:p>
    <w:p w14:paraId="4325ACA8">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③二级及以下建筑中的中小学采用无卤低烟阻燃型电线电缆。大中型幼儿园选用无卤低烟低毒阻燃型电线电缆。</w:t>
      </w:r>
    </w:p>
    <w:p w14:paraId="175D6F8B">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④单体建筑每层宜分别设置强、弱电间。如受条件限制合用时，强、弱电线应分别在配电间两侧敷设或采取隔离措施。</w:t>
      </w:r>
    </w:p>
    <w:p w14:paraId="768CD80C">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⑤建筑物内的末端照明、插座配电线路应采用暗敷方式。动力配电线路可根据实际情况确定。</w:t>
      </w:r>
    </w:p>
    <w:p w14:paraId="1449392D">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⑥插座回路、电开水器回路、室外照明回路以及其它环境潮湿场所的电气设备回路应设置漏电保护装置。</w:t>
      </w:r>
    </w:p>
    <w:p w14:paraId="58232DB7">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⑦阅览室、书库、教室、会议室、办公室、活动室等宜采用细管径三基色直管形荧光灯。</w:t>
      </w:r>
    </w:p>
    <w:p w14:paraId="589DB26D">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⑧在每座建筑物的总配电开关处应设计SPD，各层配电箱及重要设备配电箱进线或跨越防雷区的线路装设电涌保护器并在防雷区分界处作等电位连接。</w:t>
      </w:r>
    </w:p>
    <w:p w14:paraId="34D2DD7C">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⑨校区内小市政照明及景观照明应设独立回路，接入相应的变配电房，以便学校管理。</w:t>
      </w:r>
    </w:p>
    <w:p w14:paraId="1887A861">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⑩小学照明系统的设计，应满足《广州市教育局关于印发广州市中小学校教室照明技术指引的通知》（穗教发（2018）54号）文件的相关要求。</w:t>
      </w:r>
    </w:p>
    <w:p w14:paraId="27534BE9">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4.2.4.5 建筑防雷与接地</w:t>
      </w:r>
    </w:p>
    <w:p w14:paraId="4193E5BD">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①接地型式采用TN-S系统。所有用电设备、变配电设备正常不带电的金属外壳、构件与插座接地孔等均需与PE线可靠连接。</w:t>
      </w:r>
    </w:p>
    <w:p w14:paraId="61E1510F">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②本工程应采取总等电位和局部等电位联结措施。盥洗室、淋浴室、游泳池及其他可能有人进入的景观水池应设置局部等电位联结装置。</w:t>
      </w:r>
    </w:p>
    <w:p w14:paraId="1BEF9EA4">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③校区网络中心、计算机房、安防监控中心及强、弱电间应设置接地干线。接地干线采用40x4镀锌扁钢，其下端应与接地装置相连，且在每层与结构钢筋相焊接。接地干线在每层预留等电位端子。</w:t>
      </w:r>
    </w:p>
    <w:p w14:paraId="52A5CC86">
      <w:pPr>
        <w:pStyle w:val="85"/>
        <w:spacing w:before="0" w:beforeAutospacing="0" w:after="0" w:afterAutospacing="0" w:line="360" w:lineRule="auto"/>
        <w:ind w:left="0" w:firstLine="480" w:firstLineChars="200"/>
        <w:jc w:val="left"/>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④建筑物中各类接地采用联合接地装置，在联合接地装置上应分别引出：变配电系统保护接地、弱电系统工作接地、总等电位联结、电梯井道、测量接地电阻等不同用途的接地端子。</w:t>
      </w:r>
    </w:p>
    <w:p w14:paraId="3DA40D71">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4.2.4.6 教学楼电气设计要求</w:t>
      </w:r>
    </w:p>
    <w:p w14:paraId="59A47CF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教室内应设置吸顶式摇头扇及（或）壁扇，其配电应采用单独回路，每回路数量不宜超过10台。</w:t>
      </w:r>
    </w:p>
    <w:p w14:paraId="165A220A">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4.2.4.7 宿舍电气设计要求</w:t>
      </w:r>
    </w:p>
    <w:p w14:paraId="1AD8901C">
      <w:pPr>
        <w:pStyle w:val="85"/>
        <w:numPr>
          <w:ilvl w:val="255"/>
          <w:numId w:val="0"/>
        </w:numPr>
        <w:spacing w:before="0" w:beforeAutospacing="0" w:after="0" w:afterAutospacing="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宿舍每居室用电负荷标准应按使用要求确定，并不宜小于1.5kW，宿舍公共部分和供中小学使用的宿舍居室用电应集中计量。</w:t>
      </w:r>
    </w:p>
    <w:p w14:paraId="011D37AD">
      <w:pPr>
        <w:pStyle w:val="85"/>
        <w:numPr>
          <w:ilvl w:val="255"/>
          <w:numId w:val="0"/>
        </w:numPr>
        <w:spacing w:before="0" w:beforeAutospacing="0" w:after="0" w:afterAutospacing="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每间宿舍应根据其管理模式与校方协商是否设置户内配电箱。如果设置，则其电源总开关建议采用可同时断开相线和中性线的开关电器。</w:t>
      </w:r>
    </w:p>
    <w:p w14:paraId="58ED8F7C">
      <w:pPr>
        <w:pStyle w:val="85"/>
        <w:numPr>
          <w:ilvl w:val="255"/>
          <w:numId w:val="0"/>
        </w:numPr>
        <w:spacing w:before="0" w:beforeAutospacing="0" w:after="0" w:afterAutospacing="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每间宿舍插座数量应根据其管理模式与校方协商确定。按照房间居住人数设置相应的强电、弱电插座。</w:t>
      </w:r>
    </w:p>
    <w:p w14:paraId="2CA66543">
      <w:pPr>
        <w:pStyle w:val="85"/>
        <w:numPr>
          <w:ilvl w:val="255"/>
          <w:numId w:val="0"/>
        </w:numPr>
        <w:spacing w:before="0" w:beforeAutospacing="0" w:after="0" w:afterAutospacing="0"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每间宿舍内均应设置吸顶式摇头扇。</w:t>
      </w:r>
    </w:p>
    <w:p w14:paraId="068778C9">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4.2.4.8 幼儿园电气设计要求</w:t>
      </w:r>
    </w:p>
    <w:p w14:paraId="1631686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托儿所、幼儿园的电气设计应符合《托儿所、幼儿园建筑设计规范》相关要求。</w:t>
      </w:r>
      <w:bookmarkStart w:id="355" w:name="_Toc104581746"/>
      <w:bookmarkStart w:id="356" w:name="_Toc6048"/>
      <w:bookmarkStart w:id="357" w:name="_Toc27912"/>
      <w:bookmarkStart w:id="358" w:name="_Toc9481"/>
    </w:p>
    <w:p w14:paraId="007EDF6F">
      <w:pPr>
        <w:pStyle w:val="85"/>
        <w:spacing w:before="0" w:beforeAutospacing="0" w:after="0" w:afterAutospacing="0" w:line="360" w:lineRule="auto"/>
        <w:ind w:left="0" w:firstLine="482" w:firstLineChars="200"/>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4.3通用指标</w:t>
      </w:r>
      <w:bookmarkEnd w:id="355"/>
      <w:bookmarkEnd w:id="356"/>
      <w:bookmarkEnd w:id="357"/>
      <w:bookmarkEnd w:id="358"/>
    </w:p>
    <w:p w14:paraId="1E4E58A7">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供电电源</w:t>
      </w:r>
    </w:p>
    <w:p w14:paraId="3EABC26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 正常电源采用10kV电源供电。</w:t>
      </w:r>
    </w:p>
    <w:p w14:paraId="5E4DD68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1.2 自备应急电源宜采用快速自启动应急发电机组。应急发电机组单台机组容量不宜大于1600kW；当单台容量大于1600kW时，宜选用两台及以上机组。发电机供电半径不宜超过250m，当用电负荷距离较远时，宜增设发电机房或适当加大导线截面，以满足压降要求。</w:t>
      </w:r>
    </w:p>
    <w:p w14:paraId="6B2CBB62">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高、低压配电系统</w:t>
      </w:r>
    </w:p>
    <w:p w14:paraId="2E1D887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2.1 10kV电源宜采用环网供电，每个环网点公用变压器的台数不能超过2台。</w:t>
      </w:r>
    </w:p>
    <w:p w14:paraId="3E097D1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2.2 高压配电系统采用单母线接线方式。</w:t>
      </w:r>
    </w:p>
    <w:p w14:paraId="0D11EF1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2.3 专变10KV系统采用中置柜供电。</w:t>
      </w:r>
    </w:p>
    <w:p w14:paraId="040D531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 低压及动力配电系统:</w:t>
      </w:r>
    </w:p>
    <w:p w14:paraId="0E39731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 低压配电系统接地形式：采用TN-S、TN-C-S接地系统或两种接地系统的组合。</w:t>
      </w:r>
    </w:p>
    <w:p w14:paraId="4D0236F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2.4.2 公用变压器低压配电系统采用单母线接线方式。</w:t>
      </w:r>
    </w:p>
    <w:p w14:paraId="69037F3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2.4.3 住户用电、电梯、生活水泵、公共照明（地下室照明除外）、充电桩应由公用变压器供电；</w:t>
      </w:r>
    </w:p>
    <w:p w14:paraId="46353B6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2.4.4 非住宅用电设备（本条第3款除外的用电负荷）及消防用电设备正常电源宜由专用变压器供电。</w:t>
      </w:r>
    </w:p>
    <w:p w14:paraId="0333A12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2.4.5 所有设备的备用电源均由应急发电机组供电。</w:t>
      </w:r>
    </w:p>
    <w:p w14:paraId="6EBA0F6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2.4.6 低压出线回路开关额定电流不大于630A时选用塑壳断路器，大于或等于800A时选用框架断路器。低压柜断路器运行分断能力Ics（kA）按Ics=100%Icu取值，满足下表的下限值选取产品：</w:t>
      </w:r>
    </w:p>
    <w:tbl>
      <w:tblPr>
        <w:tblStyle w:val="42"/>
        <w:tblW w:w="80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5"/>
        <w:gridCol w:w="1701"/>
        <w:gridCol w:w="1559"/>
        <w:gridCol w:w="1793"/>
      </w:tblGrid>
      <w:tr w14:paraId="1D1F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5" w:type="dxa"/>
          </w:tcPr>
          <w:p w14:paraId="72ED27F9">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变压器容量S（kVA）</w:t>
            </w:r>
          </w:p>
        </w:tc>
        <w:tc>
          <w:tcPr>
            <w:tcW w:w="1701" w:type="dxa"/>
          </w:tcPr>
          <w:p w14:paraId="0F2378AA">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≤400</w:t>
            </w:r>
          </w:p>
        </w:tc>
        <w:tc>
          <w:tcPr>
            <w:tcW w:w="1559" w:type="dxa"/>
          </w:tcPr>
          <w:p w14:paraId="5ED8D950">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500≤S≤800</w:t>
            </w:r>
          </w:p>
        </w:tc>
        <w:tc>
          <w:tcPr>
            <w:tcW w:w="1793" w:type="dxa"/>
          </w:tcPr>
          <w:p w14:paraId="4015BDCF">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1000≤S≤1600</w:t>
            </w:r>
          </w:p>
        </w:tc>
      </w:tr>
      <w:tr w14:paraId="51E8E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5" w:type="dxa"/>
          </w:tcPr>
          <w:p w14:paraId="5ED7EC1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低压侧主进线开关/联络开关</w:t>
            </w:r>
          </w:p>
          <w:p w14:paraId="1C89EF9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Ics（kA）</w:t>
            </w:r>
          </w:p>
        </w:tc>
        <w:tc>
          <w:tcPr>
            <w:tcW w:w="1701" w:type="dxa"/>
            <w:vAlign w:val="center"/>
          </w:tcPr>
          <w:p w14:paraId="72B8A87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25</w:t>
            </w:r>
          </w:p>
        </w:tc>
        <w:tc>
          <w:tcPr>
            <w:tcW w:w="1559" w:type="dxa"/>
            <w:vAlign w:val="center"/>
          </w:tcPr>
          <w:p w14:paraId="3124348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35</w:t>
            </w:r>
          </w:p>
        </w:tc>
        <w:tc>
          <w:tcPr>
            <w:tcW w:w="1793" w:type="dxa"/>
            <w:vAlign w:val="center"/>
          </w:tcPr>
          <w:p w14:paraId="54FEE6C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w:t>
            </w:r>
          </w:p>
        </w:tc>
      </w:tr>
      <w:tr w14:paraId="7E7F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5" w:type="dxa"/>
          </w:tcPr>
          <w:p w14:paraId="6E06BC4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低压馈出开关Ics（KA）</w:t>
            </w:r>
          </w:p>
        </w:tc>
        <w:tc>
          <w:tcPr>
            <w:tcW w:w="1701" w:type="dxa"/>
          </w:tcPr>
          <w:p w14:paraId="1371A24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18≤Ics≤35</w:t>
            </w:r>
          </w:p>
        </w:tc>
        <w:tc>
          <w:tcPr>
            <w:tcW w:w="1559" w:type="dxa"/>
          </w:tcPr>
          <w:p w14:paraId="096C019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25≤Ics≤50</w:t>
            </w:r>
          </w:p>
        </w:tc>
        <w:tc>
          <w:tcPr>
            <w:tcW w:w="1793" w:type="dxa"/>
          </w:tcPr>
          <w:p w14:paraId="0F850E3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35≤Ics≤65</w:t>
            </w:r>
          </w:p>
        </w:tc>
      </w:tr>
    </w:tbl>
    <w:p w14:paraId="6C590DA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2.4.7 变压器低压侧主开关采用3段保护。联络开关和馈线开关采用2段保护。低压出线开关额定电流630A及以下时采用塑壳断路器，630A以前采用框架断路器。</w:t>
      </w:r>
    </w:p>
    <w:p w14:paraId="2F6D10D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2.4.8 1000kVA及以下变压器最小出线开关宜不小于40A，出线电缆宜不小于10平方；1000KVA&lt;S≤1600kVA变压器低压柜最小出线开关不小于50A，出线电缆不小于16平方。</w:t>
      </w:r>
    </w:p>
    <w:p w14:paraId="062BCDD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2.4.9 对于消防动力等突然断电比过负荷造成损失更大的线路，不应设置过负荷保护。消防控制室、消防水泵房、防烟和排烟风机房的消防用电设备及消防电梯等的供电，应在其配电线路的最末一级配电箱处设置自动切换装置。</w:t>
      </w:r>
    </w:p>
    <w:p w14:paraId="5985753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2.4.10 各栋塔楼电梯、公共照明（含航空障碍灯）、应急照明主供电源均由公变低压电房专用回路供电，备用电源由发电机配电柜直接供电或设区域备用电源总箱供电；</w:t>
      </w:r>
    </w:p>
    <w:p w14:paraId="6FEFC32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2.4.11 通信设备间、消防及监控中心机房、电信间应采用双回路供电；电信间电源由住宅车库照明双电源切换箱或通信设备间双电源切换箱供给；各层弱电井电源插座就地取电。</w:t>
      </w:r>
    </w:p>
    <w:p w14:paraId="5C1FBEF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2.4.12 通信设备间、电信间配电根据智能化专业要求设计。</w:t>
      </w:r>
    </w:p>
    <w:p w14:paraId="48EEAC6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2.4.13 双电源切换开关采用带隔离功能的PC级双电源切换开关，当系统为放射式供电时，除消防水泵房、消防控制中心、消防电梯机房外，其前端不设保护开关；当系统为树干式供电时，其前端应设断路器保护。</w:t>
      </w:r>
    </w:p>
    <w:p w14:paraId="0757CF1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2.4.14 消防末端配电箱应设置在消防水泵房、消防电梯机房、消防控制室、防烟排烟风机房和各防火分区的配电小间内；各防火分区内的防排烟风机、消防排水泵、防火卷帘等可分别由配电小间内的双电源切换箱放射式、树干式供电。</w:t>
      </w:r>
    </w:p>
    <w:p w14:paraId="4EB18F7C">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配电箱、控制箱系统</w:t>
      </w:r>
    </w:p>
    <w:p w14:paraId="0CDA5CD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3.1 住户配电箱进线开关应能同时切断相线和中性线，不带剩余电流动作保护功能的出线开关均采用单极断路器。剩余电流脱扣器（RCD）类型选用1P+N电子式。</w:t>
      </w:r>
    </w:p>
    <w:p w14:paraId="30297BC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3.2 套内空调、普通插座和照明应分回路配电，厨房插座应设置独立回路，每个卫生间设一个独立回路，为卫生间内照明、插座等所有用电设备供电。</w:t>
      </w:r>
    </w:p>
    <w:p w14:paraId="427F486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3.3 照明回路1个16A；柜机空调回路1个20A；厨房插座回路1个20A；每个卫生间1个20A回路；普通插座回路1个16A(插座数量达到20个及以上时分两个回路）；单台挂机空调插座回路16A，两台挂机空调插座回路20A。</w:t>
      </w:r>
    </w:p>
    <w:p w14:paraId="280A7F7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3.4 家用电器回路或插座回路应设置额定剩余动作电流值不大于30mA的剩余电流保护器。</w:t>
      </w:r>
    </w:p>
    <w:p w14:paraId="35C8304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3.5 剩余电流动作保护器应选择A型。</w:t>
      </w:r>
    </w:p>
    <w:p w14:paraId="5BF1C56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3.6 VRV空调外机配电回路断路器采用D特性脱扣曲线，其它断路器采用C特性脱扣曲线。</w:t>
      </w:r>
    </w:p>
    <w:p w14:paraId="652FBD1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3.7 弱电箱电源由就近普通插座回路引来，弱电箱电源为配电末端，不再向外配出管线。</w:t>
      </w:r>
    </w:p>
    <w:p w14:paraId="7375002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3.8 当系统为放射式供电时，二级配电总箱的总开关采用隔离开关，除商铺配电箱进线开关外，以减少配电系统级数。</w:t>
      </w:r>
    </w:p>
    <w:p w14:paraId="6A94B7B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3.9 分</w:t>
      </w:r>
      <w:r>
        <w:rPr>
          <w:rStyle w:val="81"/>
          <w:rFonts w:hint="eastAsia" w:ascii="宋体" w:hAnsi="宋体" w:cs="宋体"/>
          <w:color w:val="000000" w:themeColor="text1"/>
          <w:sz w:val="24"/>
          <w:szCs w:val="24"/>
          <w:highlight w:val="none"/>
          <w:lang w:val="zh-CN"/>
          <w14:textFill>
            <w14:solidFill>
              <w14:schemeClr w14:val="tx1"/>
            </w14:solidFill>
          </w14:textFill>
        </w:rPr>
        <w:t>断能力满足要求时，额定功率5.5kW及以下的普通动力用电设备，其配电开关</w:t>
      </w:r>
      <w:r>
        <w:rPr>
          <w:rStyle w:val="81"/>
          <w:rFonts w:hint="eastAsia" w:ascii="宋体" w:hAnsi="宋体" w:cs="宋体"/>
          <w:color w:val="000000" w:themeColor="text1"/>
          <w:sz w:val="24"/>
          <w:szCs w:val="24"/>
          <w:highlight w:val="none"/>
          <w14:textFill>
            <w14:solidFill>
              <w14:schemeClr w14:val="tx1"/>
            </w14:solidFill>
          </w14:textFill>
        </w:rPr>
        <w:t>宜</w:t>
      </w:r>
      <w:r>
        <w:rPr>
          <w:rStyle w:val="81"/>
          <w:rFonts w:hint="eastAsia" w:ascii="宋体" w:hAnsi="宋体" w:cs="宋体"/>
          <w:color w:val="000000" w:themeColor="text1"/>
          <w:sz w:val="24"/>
          <w:szCs w:val="24"/>
          <w:highlight w:val="none"/>
          <w:lang w:val="zh-CN"/>
          <w14:textFill>
            <w14:solidFill>
              <w14:schemeClr w14:val="tx1"/>
            </w14:solidFill>
          </w14:textFill>
        </w:rPr>
        <w:t>采用D型脱扣曲线微型断路器</w:t>
      </w:r>
      <w:r>
        <w:rPr>
          <w:rStyle w:val="81"/>
          <w:rFonts w:hint="eastAsia" w:ascii="宋体" w:hAnsi="宋体" w:cs="宋体"/>
          <w:color w:val="000000" w:themeColor="text1"/>
          <w:sz w:val="24"/>
          <w:szCs w:val="24"/>
          <w:highlight w:val="none"/>
          <w14:textFill>
            <w14:solidFill>
              <w14:schemeClr w14:val="tx1"/>
            </w14:solidFill>
          </w14:textFill>
        </w:rPr>
        <w:t>。</w:t>
      </w:r>
    </w:p>
    <w:p w14:paraId="665964A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3.10 住宅电表箱内出线开关与住户配电箱总开关选型不考虑级差配合。</w:t>
      </w:r>
    </w:p>
    <w:p w14:paraId="0E779E8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3.11 有机房电梯配电箱系统设计包括：电梯控制箱配电、轿厢用电、井道照明（220V带剩余电流保护）、轿厢空调、机房空调插座（与机房检修插座共回路）、机房照明（与机房通风共回路）。无机房电梯配电箱系统设计包括：电梯控制箱配电、轿厢用电、井道照明（220V带剩余电流保护）、轿厢空调。消防电梯机房的空调及普通插座回路视情况由客梯配电箱供给、或由公共照明配电箱供给。</w:t>
      </w:r>
    </w:p>
    <w:p w14:paraId="1E0999E8">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配电箱、控制箱安装</w:t>
      </w:r>
    </w:p>
    <w:p w14:paraId="71620C3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4.1 高度为600mm及以下的配电箱（户内配电箱除外），电井或设备间内的配电箱底边安装高度为1.5m，用户使用空间的配电箱底边安装高度为1.8m。当在电井内安装位置紧张时，两个箱体可上下安装，下层箱体底边距地0.5米，上层箱体为平时非经常操作，并能保证箱体前有不小于0.8米的操作空间，配电箱门能正常打开。</w:t>
      </w:r>
    </w:p>
    <w:p w14:paraId="597C210D">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4.2 600mm＜高度≤1000mm的配电箱，，电井或设备间内的配电箱底边安装高度适当降低，但不宜低于1.2m。当在电井内安装位置紧张时，两个箱体可上下安装，下层箱体底边距地不小于0.3米，两层箱体之间间距不小于0.4米，上层箱顶距地不大于2.2米，并能保证箱体前有不小于0.8米的操作空间，配电箱门能正常打开。</w:t>
      </w:r>
    </w:p>
    <w:p w14:paraId="0A0CE60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4.3 高度大于1.0m的配电箱（电表箱除外），底部抬高150~200mm落地安装。</w:t>
      </w:r>
    </w:p>
    <w:p w14:paraId="2BE1B9D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4.4 住宅户内配电箱应设在入户门侧（优选门后），其尺寸与开关回路数有关，以最终机电图纸为准。前期参考如下尺寸设计：（应根据模数确定配电箱体尺寸）</w:t>
      </w:r>
    </w:p>
    <w:tbl>
      <w:tblPr>
        <w:tblStyle w:val="42"/>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5"/>
        <w:gridCol w:w="1985"/>
        <w:gridCol w:w="1984"/>
        <w:gridCol w:w="1984"/>
      </w:tblGrid>
      <w:tr w14:paraId="371C2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985" w:type="dxa"/>
            <w:vAlign w:val="center"/>
          </w:tcPr>
          <w:p w14:paraId="0DA34D64">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元器件位数</w:t>
            </w:r>
          </w:p>
        </w:tc>
        <w:tc>
          <w:tcPr>
            <w:tcW w:w="1985" w:type="dxa"/>
            <w:vAlign w:val="center"/>
          </w:tcPr>
          <w:p w14:paraId="4CDCB877">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电箱尺寸</w:t>
            </w:r>
          </w:p>
          <w:p w14:paraId="4A9D7D7A">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W×H×D（mm）</w:t>
            </w:r>
          </w:p>
        </w:tc>
        <w:tc>
          <w:tcPr>
            <w:tcW w:w="1984" w:type="dxa"/>
            <w:vAlign w:val="center"/>
          </w:tcPr>
          <w:p w14:paraId="16E39FC4">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电箱留洞尺寸</w:t>
            </w:r>
          </w:p>
          <w:p w14:paraId="3574F201">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W×H×D（mm）</w:t>
            </w:r>
          </w:p>
        </w:tc>
        <w:tc>
          <w:tcPr>
            <w:tcW w:w="1984" w:type="dxa"/>
            <w:vAlign w:val="center"/>
          </w:tcPr>
          <w:p w14:paraId="6274D4FF">
            <w:pPr>
              <w:adjustRightInd w:val="0"/>
              <w:spacing w:line="360" w:lineRule="auto"/>
              <w:jc w:val="center"/>
              <w:rPr>
                <w:rStyle w:val="92"/>
                <w:rFonts w:hint="eastAsia"/>
                <w:b/>
                <w:bCs/>
                <w:color w:val="000000" w:themeColor="text1"/>
                <w:sz w:val="21"/>
                <w:szCs w:val="21"/>
                <w:highlight w:val="none"/>
                <w14:textFill>
                  <w14:solidFill>
                    <w14:schemeClr w14:val="tx1"/>
                  </w14:solidFill>
                </w14:textFill>
              </w:rPr>
            </w:pPr>
            <w:r>
              <w:rPr>
                <w:rStyle w:val="92"/>
                <w:rFonts w:hint="eastAsia"/>
                <w:b/>
                <w:bCs/>
                <w:color w:val="000000" w:themeColor="text1"/>
                <w:sz w:val="21"/>
                <w:szCs w:val="21"/>
                <w:highlight w:val="none"/>
                <w14:textFill>
                  <w14:solidFill>
                    <w14:schemeClr w14:val="tx1"/>
                  </w14:solidFill>
                </w14:textFill>
              </w:rPr>
              <w:t>底边距地嵌墙安装高度（m）</w:t>
            </w:r>
          </w:p>
        </w:tc>
      </w:tr>
      <w:tr w14:paraId="549BB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4D7DC4A5">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12</w:t>
            </w:r>
          </w:p>
        </w:tc>
        <w:tc>
          <w:tcPr>
            <w:tcW w:w="1985" w:type="dxa"/>
            <w:vAlign w:val="center"/>
          </w:tcPr>
          <w:p w14:paraId="6CEDC53B">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274×200×120</w:t>
            </w:r>
          </w:p>
        </w:tc>
        <w:tc>
          <w:tcPr>
            <w:tcW w:w="1984" w:type="dxa"/>
            <w:vAlign w:val="center"/>
          </w:tcPr>
          <w:p w14:paraId="78B459B9">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350×250×120</w:t>
            </w:r>
          </w:p>
        </w:tc>
        <w:tc>
          <w:tcPr>
            <w:tcW w:w="1984" w:type="dxa"/>
            <w:vAlign w:val="center"/>
          </w:tcPr>
          <w:p w14:paraId="39E300A0">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1.80</w:t>
            </w:r>
          </w:p>
        </w:tc>
      </w:tr>
      <w:tr w14:paraId="37045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757C264D">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15</w:t>
            </w:r>
          </w:p>
        </w:tc>
        <w:tc>
          <w:tcPr>
            <w:tcW w:w="1985" w:type="dxa"/>
            <w:vAlign w:val="center"/>
          </w:tcPr>
          <w:p w14:paraId="36D6503C">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328×200×120</w:t>
            </w:r>
          </w:p>
        </w:tc>
        <w:tc>
          <w:tcPr>
            <w:tcW w:w="1984" w:type="dxa"/>
            <w:vAlign w:val="center"/>
          </w:tcPr>
          <w:p w14:paraId="56D0D5CD">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400×250×120</w:t>
            </w:r>
          </w:p>
        </w:tc>
        <w:tc>
          <w:tcPr>
            <w:tcW w:w="1984" w:type="dxa"/>
            <w:vAlign w:val="center"/>
          </w:tcPr>
          <w:p w14:paraId="24A708AB">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1.80</w:t>
            </w:r>
          </w:p>
        </w:tc>
      </w:tr>
      <w:tr w14:paraId="147BB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3B9F8987">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w:t>
            </w:r>
          </w:p>
        </w:tc>
        <w:tc>
          <w:tcPr>
            <w:tcW w:w="1985" w:type="dxa"/>
            <w:vAlign w:val="center"/>
          </w:tcPr>
          <w:p w14:paraId="726BC5F3">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383×220×120</w:t>
            </w:r>
          </w:p>
        </w:tc>
        <w:tc>
          <w:tcPr>
            <w:tcW w:w="1984" w:type="dxa"/>
            <w:vAlign w:val="center"/>
          </w:tcPr>
          <w:p w14:paraId="2B95E72D">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450×300×120</w:t>
            </w:r>
          </w:p>
        </w:tc>
        <w:tc>
          <w:tcPr>
            <w:tcW w:w="1984" w:type="dxa"/>
            <w:vAlign w:val="center"/>
          </w:tcPr>
          <w:p w14:paraId="30D27267">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1.80</w:t>
            </w:r>
          </w:p>
        </w:tc>
      </w:tr>
      <w:tr w14:paraId="30C0B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692B560D">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20</w:t>
            </w:r>
          </w:p>
        </w:tc>
        <w:tc>
          <w:tcPr>
            <w:tcW w:w="1985" w:type="dxa"/>
            <w:vAlign w:val="center"/>
          </w:tcPr>
          <w:p w14:paraId="3E911E1E">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419×220×120</w:t>
            </w:r>
          </w:p>
        </w:tc>
        <w:tc>
          <w:tcPr>
            <w:tcW w:w="1984" w:type="dxa"/>
            <w:vAlign w:val="center"/>
          </w:tcPr>
          <w:p w14:paraId="603D463B">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500×300×120</w:t>
            </w:r>
          </w:p>
        </w:tc>
        <w:tc>
          <w:tcPr>
            <w:tcW w:w="1984" w:type="dxa"/>
            <w:vAlign w:val="center"/>
          </w:tcPr>
          <w:p w14:paraId="29BC1D67">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1.80</w:t>
            </w:r>
          </w:p>
        </w:tc>
      </w:tr>
      <w:tr w14:paraId="09389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6BF97191">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24</w:t>
            </w:r>
          </w:p>
        </w:tc>
        <w:tc>
          <w:tcPr>
            <w:tcW w:w="1985" w:type="dxa"/>
            <w:vAlign w:val="center"/>
          </w:tcPr>
          <w:p w14:paraId="5B86B2E6">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274×310×120</w:t>
            </w:r>
          </w:p>
        </w:tc>
        <w:tc>
          <w:tcPr>
            <w:tcW w:w="1984" w:type="dxa"/>
            <w:vAlign w:val="center"/>
          </w:tcPr>
          <w:p w14:paraId="5989F8B2">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350×400×120</w:t>
            </w:r>
          </w:p>
        </w:tc>
        <w:tc>
          <w:tcPr>
            <w:tcW w:w="1984" w:type="dxa"/>
            <w:vAlign w:val="center"/>
          </w:tcPr>
          <w:p w14:paraId="1D16A805">
            <w:pPr>
              <w:adjustRightInd w:val="0"/>
              <w:spacing w:line="360" w:lineRule="auto"/>
              <w:jc w:val="center"/>
              <w:rPr>
                <w:rStyle w:val="92"/>
                <w:rFonts w:hint="eastAsia"/>
                <w:color w:val="000000" w:themeColor="text1"/>
                <w:sz w:val="21"/>
                <w:szCs w:val="21"/>
                <w:highlight w:val="none"/>
                <w14:textFill>
                  <w14:solidFill>
                    <w14:schemeClr w14:val="tx1"/>
                  </w14:solidFill>
                </w14:textFill>
              </w:rPr>
            </w:pPr>
            <w:r>
              <w:rPr>
                <w:rStyle w:val="92"/>
                <w:rFonts w:hint="eastAsia"/>
                <w:color w:val="000000" w:themeColor="text1"/>
                <w:sz w:val="21"/>
                <w:szCs w:val="21"/>
                <w:highlight w:val="none"/>
                <w14:textFill>
                  <w14:solidFill>
                    <w14:schemeClr w14:val="tx1"/>
                  </w14:solidFill>
                </w14:textFill>
              </w:rPr>
              <w:t>1.80</w:t>
            </w:r>
          </w:p>
        </w:tc>
      </w:tr>
    </w:tbl>
    <w:p w14:paraId="5BC9C54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4.5 相邻两户的配电箱背对背时应左右错位安装，水平净距≥100mm。</w:t>
      </w:r>
    </w:p>
    <w:p w14:paraId="66A1E5D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4.6 配电箱不应在空调正下方安装。</w:t>
      </w:r>
    </w:p>
    <w:p w14:paraId="6BFC74E0">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线路敷设要求</w:t>
      </w:r>
    </w:p>
    <w:p w14:paraId="4F1C9F8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5.1 住宅入户线路宜穿管暗敷，应结合暗敷管的综合排布与结构专业协调楼板厚度。</w:t>
      </w:r>
    </w:p>
    <w:p w14:paraId="1821A68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5.2 住宅套内、非人防区的非消防线路除特别要求外的配电线路暗敷埋管时采用PC管；有吊顶的吊顶内管材采用金属管。住宅标准层的进户线配管管径大于40mm时，可采用两根管（不大于PC32）暗敷。</w:t>
      </w:r>
    </w:p>
    <w:p w14:paraId="5DFEA61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5.3 配电线路的金属管材优先采用JDG管，特殊场所可采用SC管。</w:t>
      </w:r>
    </w:p>
    <w:p w14:paraId="0D36B5C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5.4 地下室桥架不宜从防火卷帘上方穿越。当现场条件难以满足，且安装卷帘箱后顶部具有不少于200mm空间时除外。</w:t>
      </w:r>
    </w:p>
    <w:p w14:paraId="06E8123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5.5 桥架宜避开大堂主入口及活动区域主入口正上方区域，当地下室无法避开时，桥架应尽量抬高。</w:t>
      </w:r>
    </w:p>
    <w:p w14:paraId="1010BFE6">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住宅套内电器设置要求及安装</w:t>
      </w:r>
    </w:p>
    <w:p w14:paraId="6D9E993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6.1 套内电器布置应遵循合理设置、方便使用、经济适用的原则。</w:t>
      </w:r>
    </w:p>
    <w:p w14:paraId="7867E74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6.2 每套住宅应设住户配电箱。</w:t>
      </w:r>
    </w:p>
    <w:p w14:paraId="45219AF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6.3 住户配电箱位置不应影响美观，并应注意避免靠近潮湿区域，定位由建筑专业或装修专业确定。</w:t>
      </w:r>
    </w:p>
    <w:p w14:paraId="3541CFE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6.4 住宅套内各房间、客厅、餐厅及厨房、卫生间、阳台各设置普通吸顶灯1盏，当装修有要求时，以装修要求为准。</w:t>
      </w:r>
    </w:p>
    <w:p w14:paraId="38D21EF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6.5 套内专用电器插座（如抽油烟机、冰箱、洗衣机、热水器、空调等）的位置应与日后电器的安装位置相适应。</w:t>
      </w:r>
    </w:p>
    <w:p w14:paraId="6FFAFD9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6.6 卫生间照明及排气扇的控制开关应设于卫生间门外。</w:t>
      </w:r>
    </w:p>
    <w:p w14:paraId="0ADE659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6.7 除装修有要求外，套内电源插座设置可参照：</w:t>
      </w:r>
    </w:p>
    <w:p w14:paraId="10ED0BE2">
      <w:pPr>
        <w:pStyle w:val="7"/>
        <w:numPr>
          <w:ilvl w:val="3"/>
          <w:numId w:val="0"/>
        </w:numPr>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住宅套内电源插座设置数量</w:t>
      </w:r>
    </w:p>
    <w:tbl>
      <w:tblPr>
        <w:tblStyle w:val="42"/>
        <w:tblW w:w="91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3610"/>
        <w:gridCol w:w="3225"/>
        <w:gridCol w:w="1529"/>
      </w:tblGrid>
      <w:tr w14:paraId="76878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91" w:type="dxa"/>
            <w:vAlign w:val="center"/>
          </w:tcPr>
          <w:p w14:paraId="70ED9A64">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序号</w:t>
            </w:r>
          </w:p>
        </w:tc>
        <w:tc>
          <w:tcPr>
            <w:tcW w:w="3610" w:type="dxa"/>
            <w:vAlign w:val="center"/>
          </w:tcPr>
          <w:p w14:paraId="6648DE7E">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部位</w:t>
            </w:r>
          </w:p>
        </w:tc>
        <w:tc>
          <w:tcPr>
            <w:tcW w:w="3225" w:type="dxa"/>
            <w:vAlign w:val="center"/>
          </w:tcPr>
          <w:p w14:paraId="148C84D5">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设置要求</w:t>
            </w:r>
          </w:p>
        </w:tc>
        <w:tc>
          <w:tcPr>
            <w:tcW w:w="1529" w:type="dxa"/>
            <w:vAlign w:val="center"/>
          </w:tcPr>
          <w:p w14:paraId="6DD098EC">
            <w:pPr>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插座数量（个）</w:t>
            </w:r>
          </w:p>
        </w:tc>
      </w:tr>
      <w:tr w14:paraId="27C84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47B00B0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c>
          <w:tcPr>
            <w:tcW w:w="3610" w:type="dxa"/>
            <w:vAlign w:val="center"/>
          </w:tcPr>
          <w:p w14:paraId="47A4723F">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起居室（厅）、兼起居室的卧室</w:t>
            </w:r>
          </w:p>
        </w:tc>
        <w:tc>
          <w:tcPr>
            <w:tcW w:w="3225" w:type="dxa"/>
            <w:vAlign w:val="center"/>
          </w:tcPr>
          <w:p w14:paraId="0ABFBF25">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单相两孔、三孔电源插座</w:t>
            </w:r>
          </w:p>
        </w:tc>
        <w:tc>
          <w:tcPr>
            <w:tcW w:w="1529" w:type="dxa"/>
            <w:vAlign w:val="center"/>
          </w:tcPr>
          <w:p w14:paraId="7914A343">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r>
      <w:tr w14:paraId="4CF24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48DA9F6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3610" w:type="dxa"/>
            <w:vAlign w:val="center"/>
          </w:tcPr>
          <w:p w14:paraId="0622A0D8">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卧室</w:t>
            </w:r>
          </w:p>
        </w:tc>
        <w:tc>
          <w:tcPr>
            <w:tcW w:w="3225" w:type="dxa"/>
            <w:vAlign w:val="center"/>
          </w:tcPr>
          <w:p w14:paraId="7981313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单相两孔、三孔电源插座</w:t>
            </w:r>
          </w:p>
        </w:tc>
        <w:tc>
          <w:tcPr>
            <w:tcW w:w="1529" w:type="dxa"/>
            <w:vAlign w:val="center"/>
          </w:tcPr>
          <w:p w14:paraId="6C4923E0">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r>
      <w:tr w14:paraId="489D1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0633236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c>
          <w:tcPr>
            <w:tcW w:w="3610" w:type="dxa"/>
            <w:vAlign w:val="center"/>
          </w:tcPr>
          <w:p w14:paraId="72E0E972">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厨房</w:t>
            </w:r>
          </w:p>
        </w:tc>
        <w:tc>
          <w:tcPr>
            <w:tcW w:w="3225" w:type="dxa"/>
            <w:vAlign w:val="center"/>
          </w:tcPr>
          <w:p w14:paraId="3968B6DF">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单相两孔、三孔电源插座</w:t>
            </w:r>
          </w:p>
        </w:tc>
        <w:tc>
          <w:tcPr>
            <w:tcW w:w="1529" w:type="dxa"/>
            <w:vAlign w:val="center"/>
          </w:tcPr>
          <w:p w14:paraId="013C579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p w14:paraId="02F9EA45">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（电热炊具）</w:t>
            </w:r>
          </w:p>
        </w:tc>
      </w:tr>
      <w:tr w14:paraId="38C95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4C8C86F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w:t>
            </w:r>
          </w:p>
        </w:tc>
        <w:tc>
          <w:tcPr>
            <w:tcW w:w="3610" w:type="dxa"/>
            <w:vAlign w:val="center"/>
          </w:tcPr>
          <w:p w14:paraId="4621AC82">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卫生间</w:t>
            </w:r>
          </w:p>
        </w:tc>
        <w:tc>
          <w:tcPr>
            <w:tcW w:w="3225" w:type="dxa"/>
            <w:vAlign w:val="center"/>
          </w:tcPr>
          <w:p w14:paraId="14E3D2B8">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单相两孔、三孔电源插座</w:t>
            </w:r>
          </w:p>
        </w:tc>
        <w:tc>
          <w:tcPr>
            <w:tcW w:w="1529" w:type="dxa"/>
            <w:vAlign w:val="center"/>
          </w:tcPr>
          <w:p w14:paraId="03178802">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07819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1F877D66">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w:t>
            </w:r>
          </w:p>
        </w:tc>
        <w:tc>
          <w:tcPr>
            <w:tcW w:w="3610" w:type="dxa"/>
            <w:vAlign w:val="center"/>
          </w:tcPr>
          <w:p w14:paraId="2BE26DB3">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阳台</w:t>
            </w:r>
          </w:p>
        </w:tc>
        <w:tc>
          <w:tcPr>
            <w:tcW w:w="3225" w:type="dxa"/>
            <w:vAlign w:val="center"/>
          </w:tcPr>
          <w:p w14:paraId="289735FC">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29" w:type="dxa"/>
            <w:vAlign w:val="center"/>
          </w:tcPr>
          <w:p w14:paraId="4BFEC2B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根据安装条件确定</w:t>
            </w:r>
          </w:p>
        </w:tc>
      </w:tr>
      <w:tr w14:paraId="30ED3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127E9DF4">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6</w:t>
            </w:r>
          </w:p>
        </w:tc>
        <w:tc>
          <w:tcPr>
            <w:tcW w:w="3610" w:type="dxa"/>
            <w:vAlign w:val="center"/>
          </w:tcPr>
          <w:p w14:paraId="1E7E50B7">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洗衣机、冰箱、排油烟机、排风机、排气扇、空调机、电热水器、消毒柜、马桶</w:t>
            </w:r>
          </w:p>
        </w:tc>
        <w:tc>
          <w:tcPr>
            <w:tcW w:w="3225" w:type="dxa"/>
            <w:vAlign w:val="center"/>
          </w:tcPr>
          <w:p w14:paraId="6EEB435C">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单相三孔电源插座</w:t>
            </w:r>
          </w:p>
        </w:tc>
        <w:tc>
          <w:tcPr>
            <w:tcW w:w="1529" w:type="dxa"/>
            <w:vAlign w:val="center"/>
          </w:tcPr>
          <w:p w14:paraId="52841A2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各1个</w:t>
            </w:r>
          </w:p>
        </w:tc>
      </w:tr>
    </w:tbl>
    <w:p w14:paraId="176397C6">
      <w:pPr>
        <w:pStyle w:val="85"/>
        <w:adjustRightInd w:val="0"/>
        <w:snapToGrid w:val="0"/>
        <w:spacing w:before="0" w:beforeAutospacing="0" w:after="0" w:afterAutospacing="0" w:line="360" w:lineRule="auto"/>
        <w:ind w:left="0"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注：</w:t>
      </w:r>
    </w:p>
    <w:p w14:paraId="62C2572D">
      <w:pPr>
        <w:pStyle w:val="85"/>
        <w:adjustRightInd w:val="0"/>
        <w:snapToGrid w:val="0"/>
        <w:spacing w:before="0" w:beforeAutospacing="0" w:after="0" w:afterAutospacing="0" w:line="360" w:lineRule="auto"/>
        <w:ind w:left="0" w:firstLine="420" w:firstLineChars="200"/>
        <w:rPr>
          <w:rFonts w:hint="eastAsia" w:ascii="宋体" w:hAnsi="宋体" w:cs="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ascii="宋体" w:hAnsi="宋体" w:cs="宋体"/>
          <w:color w:val="000000" w:themeColor="text1"/>
          <w:highlight w:val="none"/>
          <w14:textFill>
            <w14:solidFill>
              <w14:schemeClr w14:val="tx1"/>
            </w14:solidFill>
          </w14:textFill>
        </w:rPr>
        <w:t>上表序号1~5设置的电源插座数量不包括序号6专用设备所需设置的电源插座数量。</w:t>
      </w:r>
    </w:p>
    <w:p w14:paraId="549747CB">
      <w:pPr>
        <w:pStyle w:val="85"/>
        <w:adjustRightInd w:val="0"/>
        <w:snapToGrid w:val="0"/>
        <w:spacing w:before="0" w:beforeAutospacing="0" w:after="0" w:afterAutospacing="0" w:line="360" w:lineRule="auto"/>
        <w:ind w:left="0" w:firstLine="420" w:firstLineChars="20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2）当卧室设有书桌时，在书桌处增设一个单相两、三孔电源插座。</w:t>
      </w:r>
    </w:p>
    <w:p w14:paraId="4AAA068B">
      <w:pPr>
        <w:pStyle w:val="85"/>
        <w:adjustRightInd w:val="0"/>
        <w:snapToGrid w:val="0"/>
        <w:spacing w:before="0" w:beforeAutospacing="0" w:after="0" w:afterAutospacing="0" w:line="360" w:lineRule="auto"/>
        <w:ind w:left="0" w:firstLine="420" w:firstLineChars="20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3）洗衣机、分体式空调、电热水器及厨房的电源插座选用带开关控制的电源插座，未封闭阳台及洗衣机应选用防护等级为IP54型电源插座。</w:t>
      </w:r>
    </w:p>
    <w:p w14:paraId="77C9ED7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6.8 除装修有要求外，套内电器规格及安装要求可参照：</w:t>
      </w:r>
    </w:p>
    <w:p w14:paraId="18A8E34D">
      <w:pPr>
        <w:pStyle w:val="7"/>
        <w:numPr>
          <w:ilvl w:val="3"/>
          <w:numId w:val="0"/>
        </w:numPr>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住宅套内电器规格及安装要求</w:t>
      </w:r>
    </w:p>
    <w:tbl>
      <w:tblPr>
        <w:tblStyle w:val="42"/>
        <w:tblW w:w="80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9"/>
        <w:gridCol w:w="3617"/>
        <w:gridCol w:w="2144"/>
      </w:tblGrid>
      <w:tr w14:paraId="60464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2224C370">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种类</w:t>
            </w:r>
          </w:p>
        </w:tc>
        <w:tc>
          <w:tcPr>
            <w:tcW w:w="3617" w:type="dxa"/>
            <w:vAlign w:val="center"/>
          </w:tcPr>
          <w:p w14:paraId="776A5795">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规格</w:t>
            </w:r>
          </w:p>
        </w:tc>
        <w:tc>
          <w:tcPr>
            <w:tcW w:w="2144" w:type="dxa"/>
            <w:vAlign w:val="center"/>
          </w:tcPr>
          <w:p w14:paraId="45AEDC4D">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安装高度</w:t>
            </w:r>
          </w:p>
        </w:tc>
      </w:tr>
      <w:tr w14:paraId="4A027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0271074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住户配电箱</w:t>
            </w:r>
          </w:p>
        </w:tc>
        <w:tc>
          <w:tcPr>
            <w:tcW w:w="3617" w:type="dxa"/>
            <w:vAlign w:val="center"/>
          </w:tcPr>
          <w:p w14:paraId="453026A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2144" w:type="dxa"/>
            <w:vAlign w:val="center"/>
          </w:tcPr>
          <w:p w14:paraId="6347869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1800mm</w:t>
            </w:r>
          </w:p>
        </w:tc>
      </w:tr>
      <w:tr w14:paraId="3F34F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5CC88B8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开关</w:t>
            </w:r>
          </w:p>
        </w:tc>
        <w:tc>
          <w:tcPr>
            <w:tcW w:w="3617" w:type="dxa"/>
            <w:vAlign w:val="center"/>
          </w:tcPr>
          <w:p w14:paraId="149D348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2144" w:type="dxa"/>
            <w:vAlign w:val="center"/>
          </w:tcPr>
          <w:p w14:paraId="6DF3DB6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1400mm</w:t>
            </w:r>
          </w:p>
        </w:tc>
      </w:tr>
      <w:tr w14:paraId="6A1A1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6D94DCE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普通插座</w:t>
            </w:r>
          </w:p>
        </w:tc>
        <w:tc>
          <w:tcPr>
            <w:tcW w:w="3617" w:type="dxa"/>
            <w:vAlign w:val="center"/>
          </w:tcPr>
          <w:p w14:paraId="02EB037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10A，二三级双联</w:t>
            </w:r>
          </w:p>
        </w:tc>
        <w:tc>
          <w:tcPr>
            <w:tcW w:w="2144" w:type="dxa"/>
            <w:vAlign w:val="center"/>
          </w:tcPr>
          <w:p w14:paraId="0CF1217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300mm</w:t>
            </w:r>
          </w:p>
          <w:p w14:paraId="199E547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（有家具处按照家具高度定）</w:t>
            </w:r>
          </w:p>
        </w:tc>
      </w:tr>
      <w:tr w14:paraId="09D73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05957DA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厨房电热炊具插座</w:t>
            </w:r>
          </w:p>
        </w:tc>
        <w:tc>
          <w:tcPr>
            <w:tcW w:w="3617" w:type="dxa"/>
            <w:vAlign w:val="center"/>
          </w:tcPr>
          <w:p w14:paraId="53022AB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10A，二三级双联，带开关</w:t>
            </w:r>
          </w:p>
        </w:tc>
        <w:tc>
          <w:tcPr>
            <w:tcW w:w="2144" w:type="dxa"/>
            <w:vAlign w:val="center"/>
          </w:tcPr>
          <w:p w14:paraId="152D670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1400mm</w:t>
            </w:r>
          </w:p>
        </w:tc>
      </w:tr>
      <w:tr w14:paraId="50FF5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214777C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厨房抽油烟机插座</w:t>
            </w:r>
          </w:p>
        </w:tc>
        <w:tc>
          <w:tcPr>
            <w:tcW w:w="3617" w:type="dxa"/>
            <w:vAlign w:val="center"/>
          </w:tcPr>
          <w:p w14:paraId="4DCBDB2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10A，三级</w:t>
            </w:r>
          </w:p>
        </w:tc>
        <w:tc>
          <w:tcPr>
            <w:tcW w:w="2144" w:type="dxa"/>
            <w:vAlign w:val="center"/>
          </w:tcPr>
          <w:p w14:paraId="20A40FD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2200mm</w:t>
            </w:r>
          </w:p>
        </w:tc>
      </w:tr>
      <w:tr w14:paraId="3819F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6EA4B3A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电冰箱插座</w:t>
            </w:r>
          </w:p>
        </w:tc>
        <w:tc>
          <w:tcPr>
            <w:tcW w:w="3617" w:type="dxa"/>
            <w:vAlign w:val="center"/>
          </w:tcPr>
          <w:p w14:paraId="3F8DC04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10A，二三级双联，带开关</w:t>
            </w:r>
          </w:p>
        </w:tc>
        <w:tc>
          <w:tcPr>
            <w:tcW w:w="2144" w:type="dxa"/>
            <w:vAlign w:val="center"/>
          </w:tcPr>
          <w:p w14:paraId="3C1621C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1400mm</w:t>
            </w:r>
          </w:p>
        </w:tc>
      </w:tr>
      <w:tr w14:paraId="24B8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5657ABB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洗衣机插座</w:t>
            </w:r>
          </w:p>
        </w:tc>
        <w:tc>
          <w:tcPr>
            <w:tcW w:w="3617" w:type="dxa"/>
            <w:vAlign w:val="center"/>
          </w:tcPr>
          <w:p w14:paraId="7C64745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10A，三级双联，带开关，带防水盖板</w:t>
            </w:r>
          </w:p>
        </w:tc>
        <w:tc>
          <w:tcPr>
            <w:tcW w:w="2144" w:type="dxa"/>
            <w:vAlign w:val="center"/>
          </w:tcPr>
          <w:p w14:paraId="34CFD8B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1400mm</w:t>
            </w:r>
          </w:p>
        </w:tc>
      </w:tr>
      <w:tr w14:paraId="16445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5F18537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燃气热水器插座</w:t>
            </w:r>
          </w:p>
        </w:tc>
        <w:tc>
          <w:tcPr>
            <w:tcW w:w="3617" w:type="dxa"/>
            <w:vAlign w:val="center"/>
          </w:tcPr>
          <w:p w14:paraId="43475C3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10A，二三级双联，带开关</w:t>
            </w:r>
          </w:p>
        </w:tc>
        <w:tc>
          <w:tcPr>
            <w:tcW w:w="2144" w:type="dxa"/>
            <w:vAlign w:val="center"/>
          </w:tcPr>
          <w:p w14:paraId="23A89AB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2200mm（当设于洗衣机正上方时1600mm）</w:t>
            </w:r>
          </w:p>
        </w:tc>
      </w:tr>
      <w:tr w14:paraId="761E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563C44E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卫生间排气扇插座</w:t>
            </w:r>
          </w:p>
        </w:tc>
        <w:tc>
          <w:tcPr>
            <w:tcW w:w="3617" w:type="dxa"/>
            <w:vAlign w:val="center"/>
          </w:tcPr>
          <w:p w14:paraId="612C37E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10A，三级，带防水盖板</w:t>
            </w:r>
          </w:p>
        </w:tc>
        <w:tc>
          <w:tcPr>
            <w:tcW w:w="2144" w:type="dxa"/>
            <w:vAlign w:val="center"/>
          </w:tcPr>
          <w:p w14:paraId="78692E3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≥2300mm</w:t>
            </w:r>
          </w:p>
        </w:tc>
      </w:tr>
      <w:tr w14:paraId="35322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7D6A674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空调机插座</w:t>
            </w:r>
          </w:p>
        </w:tc>
        <w:tc>
          <w:tcPr>
            <w:tcW w:w="3617" w:type="dxa"/>
            <w:vAlign w:val="center"/>
          </w:tcPr>
          <w:p w14:paraId="760A3FC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16A，三级</w:t>
            </w:r>
          </w:p>
        </w:tc>
        <w:tc>
          <w:tcPr>
            <w:tcW w:w="2144" w:type="dxa"/>
            <w:vAlign w:val="center"/>
          </w:tcPr>
          <w:p w14:paraId="023E904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2200mm/300mm</w:t>
            </w:r>
          </w:p>
        </w:tc>
      </w:tr>
    </w:tbl>
    <w:p w14:paraId="5F328132">
      <w:pPr>
        <w:pStyle w:val="85"/>
        <w:adjustRightInd w:val="0"/>
        <w:snapToGrid w:val="0"/>
        <w:spacing w:before="0" w:beforeAutospacing="0" w:after="0" w:afterAutospacing="0" w:line="360" w:lineRule="auto"/>
        <w:ind w:left="0" w:firstLine="420" w:firstLineChars="20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注：</w:t>
      </w:r>
    </w:p>
    <w:p w14:paraId="2F93500E">
      <w:pPr>
        <w:pStyle w:val="85"/>
        <w:adjustRightInd w:val="0"/>
        <w:snapToGrid w:val="0"/>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1）所有插座均带安全保护门，设于卫生间、阳台及洗手盆下方的插座应带防溅盖板。</w:t>
      </w:r>
    </w:p>
    <w:p w14:paraId="4172EA59">
      <w:pPr>
        <w:pStyle w:val="85"/>
        <w:adjustRightInd w:val="0"/>
        <w:snapToGrid w:val="0"/>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2）电器安装高度是指电器底边距地面完成面的高度。</w:t>
      </w:r>
    </w:p>
    <w:p w14:paraId="70953A30">
      <w:pPr>
        <w:pStyle w:val="85"/>
        <w:adjustRightInd w:val="0"/>
        <w:snapToGrid w:val="0"/>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3）空调机插座形式（壁挂式或柜式）应根据房间具体需求选定，并应与建筑、给排水专业预留条件协调一致。</w:t>
      </w:r>
    </w:p>
    <w:p w14:paraId="27E625D2">
      <w:pPr>
        <w:pStyle w:val="85"/>
        <w:adjustRightInd w:val="0"/>
        <w:snapToGrid w:val="0"/>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4）面板开关及插座均为暗装。</w:t>
      </w:r>
    </w:p>
    <w:p w14:paraId="4345AFCC">
      <w:pPr>
        <w:pStyle w:val="85"/>
        <w:adjustRightInd w:val="0"/>
        <w:snapToGrid w:val="0"/>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5)若有装修设计时，安装高度和位置以装修为准。</w:t>
      </w:r>
    </w:p>
    <w:p w14:paraId="6375FC06">
      <w:pPr>
        <w:pStyle w:val="85"/>
        <w:spacing w:before="0" w:beforeAutospacing="0" w:after="0" w:afterAutospacing="0" w:line="360" w:lineRule="auto"/>
        <w:ind w:left="442" w:leftChars="201" w:firstLine="14" w:firstLineChars="6"/>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6.9 除装修有要求外，住宅套内灯具面板开关设置可按单控设置。</w:t>
      </w:r>
    </w:p>
    <w:p w14:paraId="405266FE">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电气照明</w:t>
      </w:r>
    </w:p>
    <w:p w14:paraId="3445FEEF">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7.1 住宅标准层走道及楼梯间照明应采用高效节能的照明灯具和光源，并采用节能自熄开关控制，不应采用白炽灯。</w:t>
      </w:r>
    </w:p>
    <w:p w14:paraId="7C51D66F">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7.2 设置消防应急照明和疏散指示系统的建筑，采用集中电源集中控制系统，在火灾状态下，由应急照明控制器应急点亮。</w:t>
      </w:r>
    </w:p>
    <w:p w14:paraId="6A9C68B1">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7.3 楼层设备间和强、弱电竖井应设照明和检修插座。</w:t>
      </w:r>
    </w:p>
    <w:p w14:paraId="0D693E9F">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7.4 消防应急照明系统在蓄电池电源供电时的持续工作时间应满足《建筑设计防火规范》GB 50016-2014(2018年版)及《消防应急照明和疏散指示系统技术标准》GB 51309的相关要求。非消防情况下供电时间不小于15min。</w:t>
      </w:r>
    </w:p>
    <w:p w14:paraId="199417F4">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7.5 应急照明采用吸顶或壁装，每个回路不宜超过60盏灯。</w:t>
      </w:r>
    </w:p>
    <w:p w14:paraId="6167BC56">
      <w:pPr>
        <w:pStyle w:val="85"/>
        <w:tabs>
          <w:tab w:val="left" w:pos="0"/>
        </w:tabs>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7.6 每个应急照明集中电源箱供电范围不宜超过8层。</w:t>
      </w:r>
    </w:p>
    <w:p w14:paraId="63B12122">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地下室设计</w:t>
      </w:r>
    </w:p>
    <w:p w14:paraId="1D50F2C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8.1 地库集水坑、坡道雨水坑、电梯集水坑、消防泵房、报警阀间等场所的潜污泵可按消防电源考虑，由就近消防设备配电箱（控制箱）配电；为某个非消防设备房（如生活泵房、雨水回用机房、中水处理机房等）专设的潜污泵，可由就近的消防电源配电。</w:t>
      </w:r>
    </w:p>
    <w:p w14:paraId="457EF644">
      <w:pPr>
        <w:pStyle w:val="85"/>
        <w:spacing w:before="0" w:beforeAutospacing="0" w:after="0" w:afterAutospacing="0" w:line="360" w:lineRule="auto"/>
        <w:ind w:left="442" w:leftChars="201" w:firstLine="14" w:firstLineChars="6"/>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8.2 消防水箱、水池液位显示信号应引入消防控制室。</w:t>
      </w:r>
    </w:p>
    <w:p w14:paraId="32BA6219">
      <w:pPr>
        <w:pStyle w:val="85"/>
        <w:spacing w:before="0" w:beforeAutospacing="0" w:after="0" w:afterAutospacing="0" w:line="360" w:lineRule="auto"/>
        <w:ind w:left="442" w:leftChars="201" w:firstLine="14" w:firstLineChars="6"/>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8.3 生活水箱液位显示信号应引入监控室，便于物业监管。</w:t>
      </w:r>
    </w:p>
    <w:p w14:paraId="3352394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8.4 消防、生活水泵房控制柜、配电柜底抬高300mm（距装修完成面）安装或设置控制室安装，控制室内地面与泵房地面同一高度时，控制室门口应设置不小于300mm的挡水门槛。</w:t>
      </w:r>
    </w:p>
    <w:p w14:paraId="746CAE69">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地上公共区域设计</w:t>
      </w:r>
    </w:p>
    <w:p w14:paraId="086BECE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9.1 高层住宅普通公共照明箱，应多层集中设置。公共照明为一级负荷时，电源在末端切换；公共照明为二级负荷时，在地下室或首层公共照明总箱切换后单回路为各层公共照明箱供电。</w:t>
      </w:r>
    </w:p>
    <w:p w14:paraId="2F6B3B9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9.2 标准层电梯厅及走道宜3~5层设1个照明回路；在无人时可接受灯光熄灭的无天然采光的住宅等场所的楼梯间及走廊选用一体化的红外人体感应节能自熄LED吸顶灯或筒灯；在无人时不能接受灯光完全熄灭的办公、旅馆、住宅等建筑物的公共走廊、电梯间、前室、楼梯间、公共厕所等场所选用一体化的红外人体感应全亮/微亮双亮度自动切换LED吸顶灯或筒灯；住宅电梯前室及大堂不能全部采用节能自熄LED灯，必须至少保留一盏一体化的红外人体感应全亮/微亮双亮度自动切换LED吸顶灯或筒灯。</w:t>
      </w:r>
    </w:p>
    <w:p w14:paraId="3FDA177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9.3 快递柜选址区域至少预留一个单相电源插座。</w:t>
      </w:r>
    </w:p>
    <w:p w14:paraId="2CC3745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9.4 首层电梯厅处预留一个广告电源插座，安装高度2.0m。</w:t>
      </w:r>
    </w:p>
    <w:p w14:paraId="61522ED3">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住宅底商设计标准</w:t>
      </w:r>
    </w:p>
    <w:p w14:paraId="28DB47F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10.1 多层独立商业设计要求：</w:t>
      </w:r>
    </w:p>
    <w:p w14:paraId="7F64BD7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10.1.1 通燃气时，功率负荷密度按250W/m2标准设计；不通燃气时，功率负荷密度500W/m2标准设计。</w:t>
      </w:r>
    </w:p>
    <w:p w14:paraId="56C5B6A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10.1.2 商业电源一根总进线，空调、动力、照明负荷不分开单独进线。</w:t>
      </w:r>
    </w:p>
    <w:p w14:paraId="79FC191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10.1.3 若多层独立商业分成多个商铺出售，则按底商铺标准进行设计。</w:t>
      </w:r>
    </w:p>
    <w:p w14:paraId="575ADEE5">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10.2 每个商铺配电箱仅预留总开关，不预留出线回路。</w:t>
      </w:r>
    </w:p>
    <w:p w14:paraId="5425CDB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10.3 商铺应设置集中电表箱分户计量，当由物业收取电费时，预留预付费电表。</w:t>
      </w:r>
    </w:p>
    <w:p w14:paraId="49527745">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物业用房及公建配套设施设计标准</w:t>
      </w:r>
    </w:p>
    <w:p w14:paraId="7BB660F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11.1 物业办公用房、社区服务中心等用房功率负荷密度100W/m2；配电箱底边距地1.6m明装，配电箱内设总进线断路器并预留出线回路。</w:t>
      </w:r>
    </w:p>
    <w:p w14:paraId="1EB2C7D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11.2 当装修有要求时，室内照明、插座等配电按装修要求设计到位。</w:t>
      </w:r>
    </w:p>
    <w:p w14:paraId="4BA929F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11.3 当公建配套有移交标准要求时，按移交标准要求。</w:t>
      </w:r>
    </w:p>
    <w:p w14:paraId="33BCD987">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防雷与接地</w:t>
      </w:r>
    </w:p>
    <w:p w14:paraId="6EF1EB3A">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防雷与接地的设计按《建筑物防雷设计规范》下限设计，如接闪带采用10mm。</w:t>
      </w:r>
    </w:p>
    <w:p w14:paraId="51DA1272">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火灾自动报警系统</w:t>
      </w:r>
    </w:p>
    <w:p w14:paraId="36027B5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13.1 建筑高度不大于54m的高层住宅建筑，其公共部位宜设置火灾自动报警系统，当设置需要联动控制的消防设施时，公共场所应设置火灾自动报警系统。</w:t>
      </w:r>
    </w:p>
    <w:p w14:paraId="184300A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13.2 住宅公共走廊或电梯厅、楼梯间应设消防应急广播。楼梯间每三层设置一个。</w:t>
      </w:r>
    </w:p>
    <w:p w14:paraId="5D7D52D9">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13.3 各住宅楼栋首层设区域显示器。</w:t>
      </w:r>
    </w:p>
    <w:p w14:paraId="2BE0278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13.4 消火栓按钮采用带状态指示灯的产品，消火栓按钮安装在消火栓箱内。</w:t>
      </w:r>
    </w:p>
    <w:p w14:paraId="515A021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13.5 高层住宅建筑应设电气火灾监控系统，在楼层配电箱内设电气火灾探测器。</w:t>
      </w:r>
    </w:p>
    <w:p w14:paraId="050F439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13.6 火灾自动报警系统的供电线路、消防联动总线及消防控制线路应采用耐火铜芯电线、电缆；纯报警总线、消防应急广播线、消防专用电话线、防火门监控线、电气火灾监控线、消防电源监控线等传输线路应采用阻燃耐火电缆电缆；</w:t>
      </w:r>
    </w:p>
    <w:p w14:paraId="359FB3E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13.7 在人员密集场所疏散通道采用的火灾自动报警系统的报警总线，应选择燃烧性能B1级的电线、电缆；其他场所的报警总线应选择燃烧性能不低于B2级的电线、电缆。消防联动总线及联动控制线应选择耐火铜芯电线、电缆。电线、电缆的燃烧性能应符合现行国家标准《电缆及光缆燃烧性能分级》GB 31247的规定。</w:t>
      </w:r>
    </w:p>
    <w:p w14:paraId="4AC6189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13.8 火灾自动报警系统线路均穿金属线槽或金属管敷设。</w:t>
      </w:r>
    </w:p>
    <w:p w14:paraId="2CAA00A5">
      <w:pPr>
        <w:pStyle w:val="24"/>
        <w:numPr>
          <w:ilvl w:val="0"/>
          <w:numId w:val="3"/>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设备材料选型</w:t>
      </w:r>
    </w:p>
    <w:p w14:paraId="10E77EB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14.1 暗敷于墙内或混凝土内的刚性塑料导管应采用燃烧性能等级B2级、壁厚1.8mm及以上的导管。明敷时应采用燃烧性能等级B1级、壁厚1.6mm及以上的导管。明敷于潮湿场所或埋于素土内的金属导管，应釆用管壁厚度不小于2.0mm的钢导管，并釆取防腐措施。明敷或暗敷于干燥场所的金属导管宜采用管壁厚度不小于1.5mm的镀锌钢导管。</w:t>
      </w:r>
    </w:p>
    <w:p w14:paraId="1BF575AC">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14.2 室外电力线路穿管管材采用高强度PVC管，过车行道处采取穿钢管等机械保护措施。</w:t>
      </w:r>
    </w:p>
    <w:p w14:paraId="32B001A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 导体及线缆选择：</w:t>
      </w:r>
    </w:p>
    <w:p w14:paraId="253B558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14.3.1 住宅套内的电源线穿管埋楼板暗敷时采用阻燃型电线。</w:t>
      </w:r>
    </w:p>
    <w:p w14:paraId="704D064A">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14.3.2 住宅供电干线采用母线槽供电时，母线槽防护等级不低于IP54。</w:t>
      </w:r>
    </w:p>
    <w:p w14:paraId="55F7347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14.3.3 二类高层住宅建筑中明敷的线缆应选用低烟、低毒的阻燃类线缆，电缆阻燃类别应根据同一通道内电缆的非金属含量确定，不低于C类。</w:t>
      </w:r>
    </w:p>
    <w:p w14:paraId="07A40B74">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14.3.4 住宅建筑公共疏散通道的照明及应急照明应采用低烟无卤阻燃线缆。</w:t>
      </w:r>
    </w:p>
    <w:p w14:paraId="3B58154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14.3.5 二级及以下建筑中的大中型商店建筑、公交车站的线缆采用无卤低烟阻燃型电线电缆。老年人照料设施选用无卤低烟低毒阻燃型电线电缆。</w:t>
      </w:r>
    </w:p>
    <w:p w14:paraId="3D35A1E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14.3.6 对于下列情况应采用矿物绝缘不燃性电缆。</w:t>
      </w:r>
    </w:p>
    <w:p w14:paraId="4D911BF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14.4 消防控制室、消防水泵房、消防电梯、消防风机等的供电主干线。</w:t>
      </w:r>
    </w:p>
    <w:p w14:paraId="52E9E48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14.5与非消防线路共沟共井的消防配电线路。</w:t>
      </w:r>
    </w:p>
    <w:p w14:paraId="71F0480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14.5.1 配电箱、用电设备及其配电线路均在室外的配电线缆可采用非阻燃电线电缆。</w:t>
      </w:r>
    </w:p>
    <w:p w14:paraId="2A076D7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14.5.2 非变频三相动力设备配电线路采用N线与PE线同截面线缆其它采用N线与相线同截面线缆。</w:t>
      </w:r>
    </w:p>
    <w:p w14:paraId="79FE2D2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 电线电缆与开关整定值匹配表（注：均为最小匹配表）：</w:t>
      </w:r>
    </w:p>
    <w:p w14:paraId="2716948C">
      <w:pPr>
        <w:pStyle w:val="85"/>
        <w:spacing w:before="0" w:beforeAutospacing="0" w:after="0" w:afterAutospacing="0" w:line="360" w:lineRule="auto"/>
        <w:ind w:left="440" w:leftChars="200"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14.6.1 绝缘电线与开关整定值匹配表（一）</w:t>
      </w:r>
    </w:p>
    <w:tbl>
      <w:tblPr>
        <w:tblStyle w:val="42"/>
        <w:tblW w:w="61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6"/>
        <w:gridCol w:w="3543"/>
      </w:tblGrid>
      <w:tr w14:paraId="43218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vAlign w:val="center"/>
          </w:tcPr>
          <w:p w14:paraId="284D8A04">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开关整定值（A）</w:t>
            </w:r>
          </w:p>
        </w:tc>
        <w:tc>
          <w:tcPr>
            <w:tcW w:w="3543" w:type="dxa"/>
            <w:vAlign w:val="center"/>
          </w:tcPr>
          <w:p w14:paraId="41B4760C">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BV聚氯乙烯绝缘电线截面（mm</w:t>
            </w:r>
            <w:r>
              <w:rPr>
                <w:rFonts w:hint="eastAsia" w:ascii="宋体" w:hAnsi="宋体" w:eastAsia="宋体" w:cs="宋体"/>
                <w:b/>
                <w:bCs/>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b/>
                <w:bCs/>
                <w:color w:val="000000" w:themeColor="text1"/>
                <w:kern w:val="0"/>
                <w:sz w:val="21"/>
                <w:szCs w:val="21"/>
                <w:highlight w:val="none"/>
                <w14:textFill>
                  <w14:solidFill>
                    <w14:schemeClr w14:val="tx1"/>
                  </w14:solidFill>
                </w14:textFill>
              </w:rPr>
              <w:t>）</w:t>
            </w:r>
          </w:p>
        </w:tc>
      </w:tr>
      <w:tr w14:paraId="77B48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7818A75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10、16</w:t>
            </w:r>
          </w:p>
        </w:tc>
        <w:tc>
          <w:tcPr>
            <w:tcW w:w="3543" w:type="dxa"/>
            <w:shd w:val="clear" w:color="000000" w:fill="FFFFFF"/>
            <w:vAlign w:val="center"/>
          </w:tcPr>
          <w:p w14:paraId="64D9198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5F1BF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6497235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w:t>
            </w:r>
          </w:p>
        </w:tc>
        <w:tc>
          <w:tcPr>
            <w:tcW w:w="3543" w:type="dxa"/>
            <w:shd w:val="clear" w:color="000000" w:fill="FFFFFF"/>
            <w:vAlign w:val="center"/>
          </w:tcPr>
          <w:p w14:paraId="1532F63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4</w:t>
            </w:r>
          </w:p>
        </w:tc>
      </w:tr>
      <w:tr w14:paraId="28A52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4E824A0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25</w:t>
            </w:r>
          </w:p>
        </w:tc>
        <w:tc>
          <w:tcPr>
            <w:tcW w:w="3543" w:type="dxa"/>
            <w:shd w:val="clear" w:color="000000" w:fill="FFFFFF"/>
            <w:vAlign w:val="center"/>
          </w:tcPr>
          <w:p w14:paraId="775F935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6</w:t>
            </w:r>
          </w:p>
        </w:tc>
      </w:tr>
      <w:tr w14:paraId="36E2C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636CC5B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32、40</w:t>
            </w:r>
          </w:p>
        </w:tc>
        <w:tc>
          <w:tcPr>
            <w:tcW w:w="3543" w:type="dxa"/>
            <w:shd w:val="clear" w:color="000000" w:fill="FFFFFF"/>
            <w:vAlign w:val="center"/>
          </w:tcPr>
          <w:p w14:paraId="5EE94AA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w:t>
            </w:r>
          </w:p>
        </w:tc>
      </w:tr>
      <w:tr w14:paraId="5CD3F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354DC17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w:t>
            </w:r>
          </w:p>
        </w:tc>
        <w:tc>
          <w:tcPr>
            <w:tcW w:w="3543" w:type="dxa"/>
            <w:shd w:val="clear" w:color="000000" w:fill="FFFFFF"/>
            <w:vAlign w:val="center"/>
          </w:tcPr>
          <w:p w14:paraId="0304739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r w14:paraId="4114B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4BEBF48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63</w:t>
            </w:r>
          </w:p>
        </w:tc>
        <w:tc>
          <w:tcPr>
            <w:tcW w:w="3543" w:type="dxa"/>
            <w:shd w:val="clear" w:color="000000" w:fill="FFFFFF"/>
            <w:vAlign w:val="center"/>
          </w:tcPr>
          <w:p w14:paraId="3610E45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bl>
    <w:p w14:paraId="539A78E7">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14.6.2 绝缘电线与开关整定值匹配表（二）</w:t>
      </w:r>
    </w:p>
    <w:tbl>
      <w:tblPr>
        <w:tblStyle w:val="42"/>
        <w:tblW w:w="61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0"/>
        <w:gridCol w:w="3487"/>
      </w:tblGrid>
      <w:tr w14:paraId="45E8A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vAlign w:val="center"/>
          </w:tcPr>
          <w:p w14:paraId="681D1D9E">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开关整定值（A）</w:t>
            </w:r>
          </w:p>
        </w:tc>
        <w:tc>
          <w:tcPr>
            <w:tcW w:w="3487" w:type="dxa"/>
            <w:vAlign w:val="center"/>
          </w:tcPr>
          <w:p w14:paraId="40061F39">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BV聚氯乙烯绝缘电线截面（mm</w:t>
            </w:r>
            <w:r>
              <w:rPr>
                <w:rFonts w:hint="eastAsia" w:ascii="宋体" w:hAnsi="宋体" w:eastAsia="宋体" w:cs="宋体"/>
                <w:b/>
                <w:bCs/>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b/>
                <w:bCs/>
                <w:color w:val="000000" w:themeColor="text1"/>
                <w:kern w:val="0"/>
                <w:sz w:val="21"/>
                <w:szCs w:val="21"/>
                <w:highlight w:val="none"/>
                <w14:textFill>
                  <w14:solidFill>
                    <w14:schemeClr w14:val="tx1"/>
                  </w14:solidFill>
                </w14:textFill>
              </w:rPr>
              <w:t>）</w:t>
            </w:r>
          </w:p>
        </w:tc>
      </w:tr>
      <w:tr w14:paraId="61985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0A1A0FE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16</w:t>
            </w:r>
          </w:p>
        </w:tc>
        <w:tc>
          <w:tcPr>
            <w:tcW w:w="3487" w:type="dxa"/>
            <w:shd w:val="clear" w:color="000000" w:fill="FFFFFF"/>
            <w:vAlign w:val="center"/>
          </w:tcPr>
          <w:p w14:paraId="24E0DD5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01316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2D400EC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w:t>
            </w:r>
          </w:p>
        </w:tc>
        <w:tc>
          <w:tcPr>
            <w:tcW w:w="3487" w:type="dxa"/>
            <w:shd w:val="clear" w:color="000000" w:fill="FFFFFF"/>
            <w:vAlign w:val="center"/>
          </w:tcPr>
          <w:p w14:paraId="0D834D19">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4</w:t>
            </w:r>
          </w:p>
        </w:tc>
      </w:tr>
      <w:tr w14:paraId="3FDF6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6056FA5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25</w:t>
            </w:r>
          </w:p>
        </w:tc>
        <w:tc>
          <w:tcPr>
            <w:tcW w:w="3487" w:type="dxa"/>
            <w:shd w:val="clear" w:color="000000" w:fill="FFFFFF"/>
            <w:vAlign w:val="center"/>
          </w:tcPr>
          <w:p w14:paraId="03CF398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6</w:t>
            </w:r>
          </w:p>
        </w:tc>
      </w:tr>
      <w:tr w14:paraId="1C9E6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79C736D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32</w:t>
            </w:r>
          </w:p>
        </w:tc>
        <w:tc>
          <w:tcPr>
            <w:tcW w:w="3487" w:type="dxa"/>
            <w:shd w:val="clear" w:color="000000" w:fill="FFFFFF"/>
            <w:vAlign w:val="center"/>
          </w:tcPr>
          <w:p w14:paraId="6A8F759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w:t>
            </w:r>
          </w:p>
        </w:tc>
      </w:tr>
      <w:tr w14:paraId="6B3DF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04D5230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40</w:t>
            </w:r>
          </w:p>
        </w:tc>
        <w:tc>
          <w:tcPr>
            <w:tcW w:w="3487" w:type="dxa"/>
            <w:shd w:val="clear" w:color="000000" w:fill="FFFFFF"/>
            <w:vAlign w:val="center"/>
          </w:tcPr>
          <w:p w14:paraId="7FAEAD5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5×16</w:t>
            </w:r>
          </w:p>
        </w:tc>
      </w:tr>
      <w:tr w14:paraId="4154F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42E5F7E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50，63</w:t>
            </w:r>
          </w:p>
        </w:tc>
        <w:tc>
          <w:tcPr>
            <w:tcW w:w="3487" w:type="dxa"/>
            <w:shd w:val="clear" w:color="000000" w:fill="FFFFFF"/>
            <w:vAlign w:val="center"/>
          </w:tcPr>
          <w:p w14:paraId="0B651EA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5×16</w:t>
            </w:r>
          </w:p>
        </w:tc>
      </w:tr>
    </w:tbl>
    <w:p w14:paraId="7395C100">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p>
    <w:p w14:paraId="531A07B2">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14.6.3 绝缘电线与开关整定值匹配表（三）</w:t>
      </w:r>
    </w:p>
    <w:tbl>
      <w:tblPr>
        <w:tblStyle w:val="42"/>
        <w:tblW w:w="69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6"/>
        <w:gridCol w:w="5055"/>
      </w:tblGrid>
      <w:tr w14:paraId="2BCE8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vAlign w:val="center"/>
          </w:tcPr>
          <w:p w14:paraId="28A62AAE">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开关整定值（A）</w:t>
            </w:r>
          </w:p>
        </w:tc>
        <w:tc>
          <w:tcPr>
            <w:tcW w:w="5055" w:type="dxa"/>
            <w:vAlign w:val="center"/>
          </w:tcPr>
          <w:p w14:paraId="09C02816">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WDZ</w:t>
            </w:r>
            <w:r>
              <w:rPr>
                <w:rFonts w:hint="eastAsia" w:ascii="宋体" w:hAnsi="宋体" w:eastAsia="宋体" w:cs="宋体"/>
                <w:b/>
                <w:bCs/>
                <w:color w:val="000000" w:themeColor="text1"/>
                <w:sz w:val="21"/>
                <w:szCs w:val="21"/>
                <w:highlight w:val="none"/>
                <w14:textFill>
                  <w14:solidFill>
                    <w14:schemeClr w14:val="tx1"/>
                  </w14:solidFill>
                </w14:textFill>
              </w:rPr>
              <w:t>-</w:t>
            </w:r>
            <w:r>
              <w:rPr>
                <w:rFonts w:hint="eastAsia" w:ascii="宋体" w:hAnsi="宋体" w:eastAsia="宋体" w:cs="宋体"/>
                <w:b/>
                <w:bCs/>
                <w:color w:val="000000" w:themeColor="text1"/>
                <w:kern w:val="0"/>
                <w:sz w:val="21"/>
                <w:szCs w:val="21"/>
                <w:highlight w:val="none"/>
                <w14:textFill>
                  <w14:solidFill>
                    <w14:schemeClr w14:val="tx1"/>
                  </w14:solidFill>
                </w14:textFill>
              </w:rPr>
              <w:t>BYJ交联聚乙烯及乙丙橡胶绝缘电线截面（mm</w:t>
            </w:r>
            <w:r>
              <w:rPr>
                <w:rFonts w:hint="eastAsia" w:ascii="宋体" w:hAnsi="宋体" w:eastAsia="宋体" w:cs="宋体"/>
                <w:b/>
                <w:bCs/>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b/>
                <w:bCs/>
                <w:color w:val="000000" w:themeColor="text1"/>
                <w:kern w:val="0"/>
                <w:sz w:val="21"/>
                <w:szCs w:val="21"/>
                <w:highlight w:val="none"/>
                <w14:textFill>
                  <w14:solidFill>
                    <w14:schemeClr w14:val="tx1"/>
                  </w14:solidFill>
                </w14:textFill>
              </w:rPr>
              <w:t>）</w:t>
            </w:r>
          </w:p>
        </w:tc>
      </w:tr>
      <w:tr w14:paraId="20DAB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2C949F4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16</w:t>
            </w:r>
          </w:p>
        </w:tc>
        <w:tc>
          <w:tcPr>
            <w:tcW w:w="5055" w:type="dxa"/>
            <w:shd w:val="clear" w:color="000000" w:fill="FFFFFF"/>
            <w:vAlign w:val="center"/>
          </w:tcPr>
          <w:p w14:paraId="5CAE2BF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4C073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0184C1B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w:t>
            </w:r>
          </w:p>
        </w:tc>
        <w:tc>
          <w:tcPr>
            <w:tcW w:w="5055" w:type="dxa"/>
            <w:shd w:val="clear" w:color="000000" w:fill="FFFFFF"/>
            <w:vAlign w:val="center"/>
          </w:tcPr>
          <w:p w14:paraId="5D09622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4</w:t>
            </w:r>
          </w:p>
        </w:tc>
      </w:tr>
      <w:tr w14:paraId="2E45E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4C60E3D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25,32</w:t>
            </w:r>
          </w:p>
        </w:tc>
        <w:tc>
          <w:tcPr>
            <w:tcW w:w="5055" w:type="dxa"/>
            <w:shd w:val="clear" w:color="000000" w:fill="FFFFFF"/>
            <w:vAlign w:val="center"/>
          </w:tcPr>
          <w:p w14:paraId="3C128A0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6</w:t>
            </w:r>
          </w:p>
        </w:tc>
      </w:tr>
      <w:tr w14:paraId="55A4E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49F6EBB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40</w:t>
            </w:r>
          </w:p>
        </w:tc>
        <w:tc>
          <w:tcPr>
            <w:tcW w:w="5055" w:type="dxa"/>
            <w:shd w:val="clear" w:color="000000" w:fill="FFFFFF"/>
            <w:vAlign w:val="center"/>
          </w:tcPr>
          <w:p w14:paraId="20BEE00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w:t>
            </w:r>
          </w:p>
        </w:tc>
      </w:tr>
      <w:tr w14:paraId="6AB9A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3330290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50,63</w:t>
            </w:r>
          </w:p>
        </w:tc>
        <w:tc>
          <w:tcPr>
            <w:tcW w:w="5055" w:type="dxa"/>
            <w:shd w:val="clear" w:color="000000" w:fill="FFFFFF"/>
            <w:vAlign w:val="center"/>
          </w:tcPr>
          <w:p w14:paraId="59A359D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bl>
    <w:p w14:paraId="6FCBE8F8">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14.6.4绝缘电线与开关整定值匹配表（四）</w:t>
      </w:r>
    </w:p>
    <w:tbl>
      <w:tblPr>
        <w:tblStyle w:val="42"/>
        <w:tblW w:w="69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5077"/>
      </w:tblGrid>
      <w:tr w14:paraId="246BE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1903" w:type="dxa"/>
            <w:vAlign w:val="center"/>
          </w:tcPr>
          <w:p w14:paraId="7CB555F8">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开关整定值（A）</w:t>
            </w:r>
          </w:p>
        </w:tc>
        <w:tc>
          <w:tcPr>
            <w:tcW w:w="5077" w:type="dxa"/>
            <w:vAlign w:val="center"/>
          </w:tcPr>
          <w:p w14:paraId="53B0103E">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WDZ</w:t>
            </w:r>
            <w:r>
              <w:rPr>
                <w:rFonts w:hint="eastAsia" w:ascii="宋体" w:hAnsi="宋体" w:eastAsia="宋体" w:cs="宋体"/>
                <w:b/>
                <w:bCs/>
                <w:color w:val="000000" w:themeColor="text1"/>
                <w:sz w:val="21"/>
                <w:szCs w:val="21"/>
                <w:highlight w:val="none"/>
                <w14:textFill>
                  <w14:solidFill>
                    <w14:schemeClr w14:val="tx1"/>
                  </w14:solidFill>
                </w14:textFill>
              </w:rPr>
              <w:t>-</w:t>
            </w:r>
            <w:r>
              <w:rPr>
                <w:rFonts w:hint="eastAsia" w:ascii="宋体" w:hAnsi="宋体" w:eastAsia="宋体" w:cs="宋体"/>
                <w:b/>
                <w:bCs/>
                <w:color w:val="000000" w:themeColor="text1"/>
                <w:kern w:val="0"/>
                <w:sz w:val="21"/>
                <w:szCs w:val="21"/>
                <w:highlight w:val="none"/>
                <w14:textFill>
                  <w14:solidFill>
                    <w14:schemeClr w14:val="tx1"/>
                  </w14:solidFill>
                </w14:textFill>
              </w:rPr>
              <w:t>BYJ交联聚乙烯及乙丙橡胶绝缘电线截面（mm</w:t>
            </w:r>
            <w:r>
              <w:rPr>
                <w:rFonts w:hint="eastAsia" w:ascii="宋体" w:hAnsi="宋体" w:eastAsia="宋体" w:cs="宋体"/>
                <w:b/>
                <w:bCs/>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b/>
                <w:bCs/>
                <w:color w:val="000000" w:themeColor="text1"/>
                <w:kern w:val="0"/>
                <w:sz w:val="21"/>
                <w:szCs w:val="21"/>
                <w:highlight w:val="none"/>
                <w14:textFill>
                  <w14:solidFill>
                    <w14:schemeClr w14:val="tx1"/>
                  </w14:solidFill>
                </w14:textFill>
              </w:rPr>
              <w:t>）</w:t>
            </w:r>
          </w:p>
        </w:tc>
      </w:tr>
      <w:tr w14:paraId="2FDCF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5B42B43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16</w:t>
            </w:r>
          </w:p>
        </w:tc>
        <w:tc>
          <w:tcPr>
            <w:tcW w:w="5077" w:type="dxa"/>
            <w:shd w:val="clear" w:color="000000" w:fill="FFFFFF"/>
            <w:vAlign w:val="center"/>
          </w:tcPr>
          <w:p w14:paraId="2907EB5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31FCE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4A48518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w:t>
            </w:r>
          </w:p>
        </w:tc>
        <w:tc>
          <w:tcPr>
            <w:tcW w:w="5077" w:type="dxa"/>
            <w:shd w:val="clear" w:color="000000" w:fill="FFFFFF"/>
            <w:vAlign w:val="center"/>
          </w:tcPr>
          <w:p w14:paraId="536DAFC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4</w:t>
            </w:r>
          </w:p>
        </w:tc>
      </w:tr>
      <w:tr w14:paraId="12C9C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4DB8EAC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25，32</w:t>
            </w:r>
          </w:p>
        </w:tc>
        <w:tc>
          <w:tcPr>
            <w:tcW w:w="5077" w:type="dxa"/>
            <w:shd w:val="clear" w:color="000000" w:fill="FFFFFF"/>
            <w:vAlign w:val="center"/>
          </w:tcPr>
          <w:p w14:paraId="4A1495F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6</w:t>
            </w:r>
          </w:p>
        </w:tc>
      </w:tr>
      <w:tr w14:paraId="26A01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6339294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40</w:t>
            </w:r>
          </w:p>
        </w:tc>
        <w:tc>
          <w:tcPr>
            <w:tcW w:w="5077" w:type="dxa"/>
            <w:shd w:val="clear" w:color="000000" w:fill="FFFFFF"/>
            <w:vAlign w:val="center"/>
          </w:tcPr>
          <w:p w14:paraId="22F185A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w:t>
            </w:r>
          </w:p>
        </w:tc>
      </w:tr>
      <w:tr w14:paraId="32BDE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667DC30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50，63</w:t>
            </w:r>
          </w:p>
        </w:tc>
        <w:tc>
          <w:tcPr>
            <w:tcW w:w="5077" w:type="dxa"/>
            <w:shd w:val="clear" w:color="000000" w:fill="FFFFFF"/>
            <w:vAlign w:val="center"/>
          </w:tcPr>
          <w:p w14:paraId="01AF077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bl>
    <w:p w14:paraId="39EB4A4B">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14.6.5 交联电缆与开关整定值匹配表</w:t>
      </w:r>
    </w:p>
    <w:tbl>
      <w:tblPr>
        <w:tblStyle w:val="42"/>
        <w:tblW w:w="68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6"/>
        <w:gridCol w:w="4957"/>
      </w:tblGrid>
      <w:tr w14:paraId="2B4CA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936" w:type="dxa"/>
            <w:vAlign w:val="center"/>
          </w:tcPr>
          <w:p w14:paraId="128DE934">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w:t>
            </w:r>
          </w:p>
        </w:tc>
        <w:tc>
          <w:tcPr>
            <w:tcW w:w="4957" w:type="dxa"/>
            <w:vAlign w:val="center"/>
          </w:tcPr>
          <w:p w14:paraId="69382E14">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eastAsia="宋体" w:cs="宋体"/>
                <w:b/>
                <w:bCs/>
                <w:color w:val="000000" w:themeColor="text1"/>
                <w:kern w:val="0"/>
                <w:sz w:val="21"/>
                <w:szCs w:val="21"/>
                <w:highlight w:val="none"/>
                <w14:textFill>
                  <w14:solidFill>
                    <w14:schemeClr w14:val="tx1"/>
                  </w14:solidFill>
                </w14:textFill>
              </w:rPr>
              <w:t>YJV（WDZ</w:t>
            </w:r>
            <w:r>
              <w:rPr>
                <w:rFonts w:hint="eastAsia" w:ascii="宋体" w:hAnsi="宋体" w:eastAsia="宋体" w:cs="宋体"/>
                <w:b/>
                <w:bCs/>
                <w:color w:val="000000" w:themeColor="text1"/>
                <w:sz w:val="21"/>
                <w:szCs w:val="21"/>
                <w:highlight w:val="none"/>
                <w14:textFill>
                  <w14:solidFill>
                    <w14:schemeClr w14:val="tx1"/>
                  </w14:solidFill>
                </w14:textFill>
              </w:rPr>
              <w:t>-</w:t>
            </w:r>
            <w:r>
              <w:rPr>
                <w:rFonts w:hint="eastAsia" w:ascii="宋体" w:hAnsi="宋体" w:eastAsia="宋体" w:cs="宋体"/>
                <w:b/>
                <w:bCs/>
                <w:color w:val="000000" w:themeColor="text1"/>
                <w:kern w:val="0"/>
                <w:sz w:val="21"/>
                <w:szCs w:val="21"/>
                <w:highlight w:val="none"/>
                <w14:textFill>
                  <w14:solidFill>
                    <w14:schemeClr w14:val="tx1"/>
                  </w14:solidFill>
                </w14:textFill>
              </w:rPr>
              <w:t>YJY）电缆截面（mm</w:t>
            </w:r>
            <w:r>
              <w:rPr>
                <w:rFonts w:hint="eastAsia" w:ascii="宋体" w:hAnsi="宋体" w:eastAsia="宋体" w:cs="宋体"/>
                <w:b/>
                <w:bCs/>
                <w:color w:val="000000" w:themeColor="text1"/>
                <w:kern w:val="0"/>
                <w:sz w:val="21"/>
                <w:szCs w:val="21"/>
                <w:highlight w:val="none"/>
                <w:vertAlign w:val="superscript"/>
                <w14:textFill>
                  <w14:solidFill>
                    <w14:schemeClr w14:val="tx1"/>
                  </w14:solidFill>
                </w14:textFill>
              </w:rPr>
              <w:t>2</w:t>
            </w:r>
            <w:r>
              <w:rPr>
                <w:rFonts w:hint="eastAsia" w:ascii="宋体" w:hAnsi="宋体" w:eastAsia="宋体" w:cs="宋体"/>
                <w:b/>
                <w:bCs/>
                <w:color w:val="000000" w:themeColor="text1"/>
                <w:kern w:val="0"/>
                <w:sz w:val="21"/>
                <w:szCs w:val="21"/>
                <w:highlight w:val="none"/>
                <w14:textFill>
                  <w14:solidFill>
                    <w14:schemeClr w14:val="tx1"/>
                  </w14:solidFill>
                </w14:textFill>
              </w:rPr>
              <w:t>）</w:t>
            </w:r>
          </w:p>
        </w:tc>
      </w:tr>
      <w:tr w14:paraId="3BFC4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377BDE0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16</w:t>
            </w:r>
          </w:p>
        </w:tc>
        <w:tc>
          <w:tcPr>
            <w:tcW w:w="4957" w:type="dxa"/>
            <w:shd w:val="clear" w:color="000000" w:fill="FFFFFF"/>
            <w:vAlign w:val="center"/>
          </w:tcPr>
          <w:p w14:paraId="2602296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7936A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59511AA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20，25</w:t>
            </w:r>
          </w:p>
        </w:tc>
        <w:tc>
          <w:tcPr>
            <w:tcW w:w="4957" w:type="dxa"/>
            <w:shd w:val="clear" w:color="000000" w:fill="FFFFFF"/>
            <w:vAlign w:val="center"/>
          </w:tcPr>
          <w:p w14:paraId="1778328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4</w:t>
            </w:r>
          </w:p>
        </w:tc>
      </w:tr>
      <w:tr w14:paraId="65C07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41C2AFA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32</w:t>
            </w:r>
          </w:p>
        </w:tc>
        <w:tc>
          <w:tcPr>
            <w:tcW w:w="4957" w:type="dxa"/>
            <w:shd w:val="clear" w:color="000000" w:fill="FFFFFF"/>
            <w:vAlign w:val="center"/>
          </w:tcPr>
          <w:p w14:paraId="64D8A1B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6</w:t>
            </w:r>
          </w:p>
        </w:tc>
      </w:tr>
      <w:tr w14:paraId="55615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24AF0A1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40</w:t>
            </w:r>
          </w:p>
        </w:tc>
        <w:tc>
          <w:tcPr>
            <w:tcW w:w="4957" w:type="dxa"/>
            <w:shd w:val="clear" w:color="000000" w:fill="FFFFFF"/>
            <w:vAlign w:val="center"/>
          </w:tcPr>
          <w:p w14:paraId="6A22D56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10</w:t>
            </w:r>
          </w:p>
        </w:tc>
      </w:tr>
      <w:tr w14:paraId="51F86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115F925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50，63</w:t>
            </w:r>
          </w:p>
        </w:tc>
        <w:tc>
          <w:tcPr>
            <w:tcW w:w="4957" w:type="dxa"/>
            <w:shd w:val="clear" w:color="000000" w:fill="FFFFFF"/>
            <w:vAlign w:val="center"/>
          </w:tcPr>
          <w:p w14:paraId="1A7D3F7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r w14:paraId="640A8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4262AF4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80</w:t>
            </w:r>
          </w:p>
        </w:tc>
        <w:tc>
          <w:tcPr>
            <w:tcW w:w="4957" w:type="dxa"/>
            <w:shd w:val="clear" w:color="000000" w:fill="FFFFFF"/>
            <w:vAlign w:val="center"/>
          </w:tcPr>
          <w:p w14:paraId="5EEA780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r w14:paraId="095C5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0441A2C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100</w:t>
            </w:r>
          </w:p>
        </w:tc>
        <w:tc>
          <w:tcPr>
            <w:tcW w:w="4957" w:type="dxa"/>
            <w:shd w:val="clear" w:color="000000" w:fill="FFFFFF"/>
            <w:vAlign w:val="center"/>
          </w:tcPr>
          <w:p w14:paraId="650EF1B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35+1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16</w:t>
            </w:r>
          </w:p>
        </w:tc>
      </w:tr>
      <w:tr w14:paraId="2C9F9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379AF29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125</w:t>
            </w:r>
          </w:p>
        </w:tc>
        <w:tc>
          <w:tcPr>
            <w:tcW w:w="4957" w:type="dxa"/>
            <w:shd w:val="clear" w:color="000000" w:fill="FFFFFF"/>
            <w:vAlign w:val="center"/>
          </w:tcPr>
          <w:p w14:paraId="4E584D7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50+1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25</w:t>
            </w:r>
          </w:p>
        </w:tc>
      </w:tr>
      <w:tr w14:paraId="2E73A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010A682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140，160</w:t>
            </w:r>
          </w:p>
        </w:tc>
        <w:tc>
          <w:tcPr>
            <w:tcW w:w="4957" w:type="dxa"/>
            <w:shd w:val="clear" w:color="000000" w:fill="FFFFFF"/>
            <w:vAlign w:val="center"/>
          </w:tcPr>
          <w:p w14:paraId="07499F5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70+1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35</w:t>
            </w:r>
          </w:p>
        </w:tc>
      </w:tr>
      <w:tr w14:paraId="0E5A5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2644E0F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180，200</w:t>
            </w:r>
          </w:p>
        </w:tc>
        <w:tc>
          <w:tcPr>
            <w:tcW w:w="4957" w:type="dxa"/>
            <w:shd w:val="clear" w:color="000000" w:fill="FFFFFF"/>
            <w:vAlign w:val="center"/>
          </w:tcPr>
          <w:p w14:paraId="3B783A1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95+1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50</w:t>
            </w:r>
          </w:p>
        </w:tc>
      </w:tr>
      <w:tr w14:paraId="4D7A1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3AE7D70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225</w:t>
            </w:r>
          </w:p>
        </w:tc>
        <w:tc>
          <w:tcPr>
            <w:tcW w:w="4957" w:type="dxa"/>
            <w:shd w:val="clear" w:color="000000" w:fill="FFFFFF"/>
            <w:vAlign w:val="center"/>
          </w:tcPr>
          <w:p w14:paraId="6B30E2C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120+1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70</w:t>
            </w:r>
          </w:p>
        </w:tc>
      </w:tr>
      <w:tr w14:paraId="345A7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5F39399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250</w:t>
            </w:r>
          </w:p>
        </w:tc>
        <w:tc>
          <w:tcPr>
            <w:tcW w:w="4957" w:type="dxa"/>
            <w:shd w:val="clear" w:color="000000" w:fill="FFFFFF"/>
            <w:vAlign w:val="center"/>
          </w:tcPr>
          <w:p w14:paraId="3162BF8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150+1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70</w:t>
            </w:r>
          </w:p>
        </w:tc>
      </w:tr>
      <w:tr w14:paraId="17337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0CF8335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315（320）</w:t>
            </w:r>
          </w:p>
        </w:tc>
        <w:tc>
          <w:tcPr>
            <w:tcW w:w="4957" w:type="dxa"/>
            <w:shd w:val="clear" w:color="000000" w:fill="FFFFFF"/>
            <w:vAlign w:val="center"/>
          </w:tcPr>
          <w:p w14:paraId="28D53A8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240+1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120</w:t>
            </w:r>
          </w:p>
        </w:tc>
      </w:tr>
      <w:tr w14:paraId="6F20D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2C3495D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350</w:t>
            </w:r>
          </w:p>
        </w:tc>
        <w:tc>
          <w:tcPr>
            <w:tcW w:w="4957" w:type="dxa"/>
            <w:shd w:val="clear" w:color="000000" w:fill="FFFFFF"/>
            <w:vAlign w:val="center"/>
          </w:tcPr>
          <w:p w14:paraId="7865A96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240+1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120</w:t>
            </w:r>
          </w:p>
        </w:tc>
      </w:tr>
      <w:tr w14:paraId="480FC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59502C1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400</w:t>
            </w:r>
          </w:p>
        </w:tc>
        <w:tc>
          <w:tcPr>
            <w:tcW w:w="4957" w:type="dxa"/>
            <w:shd w:val="clear" w:color="000000" w:fill="FFFFFF"/>
            <w:vAlign w:val="center"/>
          </w:tcPr>
          <w:p w14:paraId="73B87AD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300+1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150或</w:t>
            </w:r>
          </w:p>
          <w:p w14:paraId="074DA06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120+1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70）</w:t>
            </w:r>
          </w:p>
        </w:tc>
      </w:tr>
      <w:tr w14:paraId="4C98D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auto" w:fill="auto"/>
            <w:vAlign w:val="center"/>
          </w:tcPr>
          <w:p w14:paraId="1FED3D6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500</w:t>
            </w:r>
          </w:p>
        </w:tc>
        <w:tc>
          <w:tcPr>
            <w:tcW w:w="4957" w:type="dxa"/>
            <w:shd w:val="clear" w:color="000000" w:fill="FFFFFF"/>
            <w:vAlign w:val="center"/>
          </w:tcPr>
          <w:p w14:paraId="6B58E6B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150+1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70）</w:t>
            </w:r>
          </w:p>
        </w:tc>
      </w:tr>
      <w:tr w14:paraId="24B4A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auto" w:fill="auto"/>
            <w:vAlign w:val="center"/>
          </w:tcPr>
          <w:p w14:paraId="1D81CC4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630</w:t>
            </w:r>
          </w:p>
        </w:tc>
        <w:tc>
          <w:tcPr>
            <w:tcW w:w="4957" w:type="dxa"/>
            <w:shd w:val="clear" w:color="000000" w:fill="FFFFFF"/>
            <w:vAlign w:val="center"/>
          </w:tcPr>
          <w:p w14:paraId="1786AD5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185+1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95）</w:t>
            </w:r>
          </w:p>
        </w:tc>
      </w:tr>
      <w:tr w14:paraId="01852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vAlign w:val="center"/>
          </w:tcPr>
          <w:p w14:paraId="4224905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700</w:t>
            </w:r>
          </w:p>
        </w:tc>
        <w:tc>
          <w:tcPr>
            <w:tcW w:w="4957" w:type="dxa"/>
            <w:vAlign w:val="center"/>
          </w:tcPr>
          <w:p w14:paraId="0FC1311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2（4</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240+1</w:t>
            </w:r>
            <w:r>
              <w:rPr>
                <w:rStyle w:val="92"/>
                <w:rFonts w:hint="eastAsia"/>
                <w:color w:val="000000" w:themeColor="text1"/>
                <w:sz w:val="21"/>
                <w:szCs w:val="21"/>
                <w:highlight w:val="none"/>
                <w14:textFill>
                  <w14:solidFill>
                    <w14:schemeClr w14:val="tx1"/>
                  </w14:solidFill>
                </w14:textFill>
              </w:rPr>
              <w:t>×</w:t>
            </w:r>
            <w:r>
              <w:rPr>
                <w:rFonts w:hint="eastAsia" w:ascii="宋体" w:hAnsi="宋体" w:eastAsia="宋体" w:cs="宋体"/>
                <w:color w:val="000000" w:themeColor="text1"/>
                <w:kern w:val="0"/>
                <w:sz w:val="21"/>
                <w:szCs w:val="21"/>
                <w:highlight w:val="none"/>
                <w14:textFill>
                  <w14:solidFill>
                    <w14:schemeClr w14:val="tx1"/>
                  </w14:solidFill>
                </w14:textFill>
              </w:rPr>
              <w:t>120）</w:t>
            </w:r>
          </w:p>
        </w:tc>
      </w:tr>
    </w:tbl>
    <w:p w14:paraId="6CF5E45F">
      <w:pPr>
        <w:pStyle w:val="63"/>
        <w:spacing w:line="360" w:lineRule="auto"/>
        <w:ind w:left="420"/>
        <w:rPr>
          <w:rFonts w:hint="eastAsia" w:ascii="宋体" w:hAnsi="宋体" w:eastAsia="宋体" w:cs="宋体"/>
          <w:bCs/>
          <w:color w:val="000000" w:themeColor="text1"/>
          <w:sz w:val="21"/>
          <w:szCs w:val="21"/>
          <w:highlight w:val="none"/>
          <w14:textFill>
            <w14:solidFill>
              <w14:schemeClr w14:val="tx1"/>
            </w14:solidFill>
          </w14:textFill>
        </w:rPr>
      </w:pPr>
    </w:p>
    <w:p w14:paraId="304711B1">
      <w:pPr>
        <w:pStyle w:val="63"/>
        <w:spacing w:line="360" w:lineRule="auto"/>
        <w:ind w:left="420"/>
        <w:rPr>
          <w:rStyle w:val="81"/>
          <w:rFonts w:hint="eastAsia" w:ascii="宋体" w:hAnsi="宋体" w:cs="宋体"/>
          <w:bCs/>
          <w:color w:val="000000" w:themeColor="text1"/>
          <w:sz w:val="21"/>
          <w:szCs w:val="21"/>
          <w:highlight w:val="none"/>
          <w14:textFill>
            <w14:solidFill>
              <w14:schemeClr w14:val="tx1"/>
            </w14:solidFill>
          </w14:textFill>
        </w:rPr>
      </w:pPr>
      <w:r>
        <w:rPr>
          <w:rFonts w:hint="eastAsia" w:ascii="宋体" w:hAnsi="宋体" w:eastAsia="宋体" w:cs="宋体"/>
          <w:bCs/>
          <w:color w:val="000000" w:themeColor="text1"/>
          <w:sz w:val="21"/>
          <w:szCs w:val="21"/>
          <w:highlight w:val="none"/>
          <w14:textFill>
            <w14:solidFill>
              <w14:schemeClr w14:val="tx1"/>
            </w14:solidFill>
          </w14:textFill>
        </w:rPr>
        <w:t>注：柔性矿物绝缘电缆与开关整定值匹配同上表。</w:t>
      </w:r>
    </w:p>
    <w:p w14:paraId="317E7803">
      <w:pPr>
        <w:pStyle w:val="85"/>
        <w:spacing w:beforeAutospacing="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14.6.5各区域照明灯具选型及设计标准表</w:t>
      </w:r>
    </w:p>
    <w:tbl>
      <w:tblPr>
        <w:tblStyle w:val="42"/>
        <w:tblW w:w="8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6"/>
        <w:gridCol w:w="893"/>
        <w:gridCol w:w="1418"/>
        <w:gridCol w:w="1430"/>
        <w:gridCol w:w="1806"/>
        <w:gridCol w:w="1554"/>
      </w:tblGrid>
      <w:tr w14:paraId="1D9B6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96" w:type="dxa"/>
            <w:vMerge w:val="restart"/>
            <w:vAlign w:val="center"/>
          </w:tcPr>
          <w:p w14:paraId="5BCED438">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场所</w:t>
            </w:r>
          </w:p>
        </w:tc>
        <w:tc>
          <w:tcPr>
            <w:tcW w:w="893" w:type="dxa"/>
            <w:vMerge w:val="restart"/>
            <w:vAlign w:val="center"/>
          </w:tcPr>
          <w:p w14:paraId="28B04CF9">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照度值（Lx）</w:t>
            </w:r>
          </w:p>
        </w:tc>
        <w:tc>
          <w:tcPr>
            <w:tcW w:w="2848" w:type="dxa"/>
            <w:gridSpan w:val="2"/>
            <w:vAlign w:val="center"/>
          </w:tcPr>
          <w:p w14:paraId="0E85C420">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选用灯具</w:t>
            </w:r>
          </w:p>
        </w:tc>
        <w:tc>
          <w:tcPr>
            <w:tcW w:w="1806" w:type="dxa"/>
            <w:vMerge w:val="restart"/>
            <w:vAlign w:val="center"/>
          </w:tcPr>
          <w:p w14:paraId="3CC1C708">
            <w:pPr>
              <w:adjustRightInd w:val="0"/>
              <w:spacing w:line="360" w:lineRule="auto"/>
              <w:jc w:val="center"/>
              <w:rPr>
                <w:rFonts w:hint="eastAsia" w:ascii="宋体" w:hAnsi="宋体" w:eastAsia="宋体" w:cs="宋体"/>
                <w:b/>
                <w:color w:val="000000" w:themeColor="text1"/>
                <w:kern w:val="0"/>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光源类型及</w:t>
            </w:r>
          </w:p>
          <w:p w14:paraId="70FD5BB7">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安装位置</w:t>
            </w:r>
          </w:p>
        </w:tc>
        <w:tc>
          <w:tcPr>
            <w:tcW w:w="1554" w:type="dxa"/>
            <w:vMerge w:val="restart"/>
            <w:vAlign w:val="center"/>
          </w:tcPr>
          <w:p w14:paraId="42B46534">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控制方式</w:t>
            </w:r>
          </w:p>
        </w:tc>
      </w:tr>
      <w:tr w14:paraId="1F926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96" w:type="dxa"/>
            <w:vMerge w:val="continue"/>
            <w:vAlign w:val="center"/>
          </w:tcPr>
          <w:p w14:paraId="6CE9A4F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893" w:type="dxa"/>
            <w:vMerge w:val="continue"/>
            <w:vAlign w:val="center"/>
          </w:tcPr>
          <w:p w14:paraId="5A69CB1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418" w:type="dxa"/>
            <w:vAlign w:val="center"/>
          </w:tcPr>
          <w:p w14:paraId="27A09F26">
            <w:pPr>
              <w:adjustRightInd w:val="0"/>
              <w:spacing w:line="360" w:lineRule="auto"/>
              <w:jc w:val="center"/>
              <w:rPr>
                <w:rFonts w:hint="eastAsia" w:ascii="宋体" w:hAnsi="宋体" w:eastAsia="宋体" w:cs="宋体"/>
                <w:b/>
                <w:color w:val="000000" w:themeColor="text1"/>
                <w:kern w:val="0"/>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一般装修</w:t>
            </w:r>
          </w:p>
        </w:tc>
        <w:tc>
          <w:tcPr>
            <w:tcW w:w="1430" w:type="dxa"/>
            <w:vAlign w:val="center"/>
          </w:tcPr>
          <w:p w14:paraId="58064953">
            <w:pPr>
              <w:adjustRightInd w:val="0"/>
              <w:spacing w:line="360" w:lineRule="auto"/>
              <w:jc w:val="center"/>
              <w:rPr>
                <w:rFonts w:hint="eastAsia" w:ascii="宋体" w:hAnsi="宋体" w:eastAsia="宋体" w:cs="宋体"/>
                <w:b/>
                <w:color w:val="000000" w:themeColor="text1"/>
                <w:sz w:val="21"/>
                <w:szCs w:val="21"/>
                <w:highlight w:val="none"/>
                <w14:textFill>
                  <w14:solidFill>
                    <w14:schemeClr w14:val="tx1"/>
                  </w14:solidFill>
                </w14:textFill>
              </w:rPr>
            </w:pPr>
            <w:r>
              <w:rPr>
                <w:rFonts w:hint="eastAsia" w:ascii="宋体" w:hAnsi="宋体" w:eastAsia="宋体" w:cs="宋体"/>
                <w:b/>
                <w:color w:val="000000" w:themeColor="text1"/>
                <w:kern w:val="0"/>
                <w:sz w:val="21"/>
                <w:szCs w:val="21"/>
                <w:highlight w:val="none"/>
                <w14:textFill>
                  <w14:solidFill>
                    <w14:schemeClr w14:val="tx1"/>
                  </w14:solidFill>
                </w14:textFill>
              </w:rPr>
              <w:t>精装</w:t>
            </w:r>
          </w:p>
        </w:tc>
        <w:tc>
          <w:tcPr>
            <w:tcW w:w="1806" w:type="dxa"/>
            <w:vMerge w:val="continue"/>
            <w:vAlign w:val="center"/>
          </w:tcPr>
          <w:p w14:paraId="0437CAC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4" w:type="dxa"/>
            <w:vMerge w:val="continue"/>
            <w:vAlign w:val="center"/>
          </w:tcPr>
          <w:p w14:paraId="6B6BBF2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4B21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FA32B4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机动车行车道</w:t>
            </w:r>
          </w:p>
        </w:tc>
        <w:tc>
          <w:tcPr>
            <w:tcW w:w="893" w:type="dxa"/>
            <w:vAlign w:val="center"/>
          </w:tcPr>
          <w:p w14:paraId="41C0414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w:t>
            </w:r>
          </w:p>
        </w:tc>
        <w:tc>
          <w:tcPr>
            <w:tcW w:w="1418" w:type="dxa"/>
            <w:vAlign w:val="center"/>
          </w:tcPr>
          <w:p w14:paraId="0794E549">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线槽灯</w:t>
            </w:r>
          </w:p>
        </w:tc>
        <w:tc>
          <w:tcPr>
            <w:tcW w:w="1430" w:type="dxa"/>
            <w:vAlign w:val="center"/>
          </w:tcPr>
          <w:p w14:paraId="762CE69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33978DE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LED雷达双亮度感应灯</w:t>
            </w:r>
          </w:p>
        </w:tc>
        <w:tc>
          <w:tcPr>
            <w:tcW w:w="1554" w:type="dxa"/>
            <w:vAlign w:val="center"/>
          </w:tcPr>
          <w:p w14:paraId="582C407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F73C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FECE97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机动车库停车位</w:t>
            </w:r>
          </w:p>
        </w:tc>
        <w:tc>
          <w:tcPr>
            <w:tcW w:w="893" w:type="dxa"/>
            <w:vAlign w:val="center"/>
          </w:tcPr>
          <w:p w14:paraId="2EC6244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w:t>
            </w:r>
          </w:p>
        </w:tc>
        <w:tc>
          <w:tcPr>
            <w:tcW w:w="1418" w:type="dxa"/>
            <w:vAlign w:val="center"/>
          </w:tcPr>
          <w:p w14:paraId="026B40D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支架灯</w:t>
            </w:r>
          </w:p>
          <w:p w14:paraId="67A2572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（管吊）</w:t>
            </w:r>
          </w:p>
        </w:tc>
        <w:tc>
          <w:tcPr>
            <w:tcW w:w="1430" w:type="dxa"/>
            <w:vAlign w:val="center"/>
          </w:tcPr>
          <w:p w14:paraId="59F6937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638334D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LED雷达自熄灯，</w:t>
            </w:r>
          </w:p>
        </w:tc>
        <w:tc>
          <w:tcPr>
            <w:tcW w:w="1554" w:type="dxa"/>
            <w:vAlign w:val="center"/>
          </w:tcPr>
          <w:p w14:paraId="3B8EC6F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r>
      <w:tr w14:paraId="2525B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7BFF87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机动车坡道</w:t>
            </w:r>
          </w:p>
        </w:tc>
        <w:tc>
          <w:tcPr>
            <w:tcW w:w="893" w:type="dxa"/>
            <w:vAlign w:val="center"/>
          </w:tcPr>
          <w:p w14:paraId="2AAAAA5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w:t>
            </w:r>
          </w:p>
        </w:tc>
        <w:tc>
          <w:tcPr>
            <w:tcW w:w="1418" w:type="dxa"/>
            <w:vAlign w:val="center"/>
          </w:tcPr>
          <w:p w14:paraId="7055BAA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支架灯（吸顶或侧壁）</w:t>
            </w:r>
          </w:p>
        </w:tc>
        <w:tc>
          <w:tcPr>
            <w:tcW w:w="1430" w:type="dxa"/>
            <w:vAlign w:val="center"/>
          </w:tcPr>
          <w:p w14:paraId="23E6537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561DAC8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LED雷达双亮度感应灯</w:t>
            </w:r>
          </w:p>
        </w:tc>
        <w:tc>
          <w:tcPr>
            <w:tcW w:w="1554" w:type="dxa"/>
            <w:vAlign w:val="center"/>
          </w:tcPr>
          <w:p w14:paraId="4B70101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01BA9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33FA1E4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非机动</w:t>
            </w:r>
          </w:p>
          <w:p w14:paraId="1D68137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车库行车库（含坡道）</w:t>
            </w:r>
          </w:p>
        </w:tc>
        <w:tc>
          <w:tcPr>
            <w:tcW w:w="893" w:type="dxa"/>
            <w:vAlign w:val="center"/>
          </w:tcPr>
          <w:p w14:paraId="3CBF59E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75</w:t>
            </w:r>
          </w:p>
        </w:tc>
        <w:tc>
          <w:tcPr>
            <w:tcW w:w="1418" w:type="dxa"/>
            <w:vAlign w:val="center"/>
          </w:tcPr>
          <w:p w14:paraId="13E8CA1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支架灯</w:t>
            </w:r>
          </w:p>
          <w:p w14:paraId="649C84C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（管吊）</w:t>
            </w:r>
          </w:p>
        </w:tc>
        <w:tc>
          <w:tcPr>
            <w:tcW w:w="1430" w:type="dxa"/>
            <w:vAlign w:val="center"/>
          </w:tcPr>
          <w:p w14:paraId="639FA72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7EDB841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LED雷达双亮度感应灯</w:t>
            </w:r>
          </w:p>
        </w:tc>
        <w:tc>
          <w:tcPr>
            <w:tcW w:w="1554" w:type="dxa"/>
            <w:vAlign w:val="center"/>
          </w:tcPr>
          <w:p w14:paraId="46673DC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r>
      <w:tr w14:paraId="2F2BF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6DCE818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高、低压</w:t>
            </w:r>
          </w:p>
          <w:p w14:paraId="264AEFFC">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变配电房、</w:t>
            </w:r>
          </w:p>
          <w:p w14:paraId="23E550E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发电机房、</w:t>
            </w:r>
          </w:p>
          <w:p w14:paraId="2F5E0DF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配电间</w:t>
            </w:r>
          </w:p>
        </w:tc>
        <w:tc>
          <w:tcPr>
            <w:tcW w:w="893" w:type="dxa"/>
            <w:vAlign w:val="center"/>
          </w:tcPr>
          <w:p w14:paraId="464A278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200（变压器室100）</w:t>
            </w:r>
          </w:p>
        </w:tc>
        <w:tc>
          <w:tcPr>
            <w:tcW w:w="1418" w:type="dxa"/>
            <w:vAlign w:val="center"/>
          </w:tcPr>
          <w:p w14:paraId="25DB306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支架灯，柜前吊装，柜后支架灯壁装，高度不低于2.5m</w:t>
            </w:r>
          </w:p>
        </w:tc>
        <w:tc>
          <w:tcPr>
            <w:tcW w:w="1430" w:type="dxa"/>
            <w:vAlign w:val="center"/>
          </w:tcPr>
          <w:p w14:paraId="64DB8D8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55D1EFF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71EF310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灯具应避免安装于设备正上方</w:t>
            </w:r>
          </w:p>
        </w:tc>
        <w:tc>
          <w:tcPr>
            <w:tcW w:w="1554" w:type="dxa"/>
            <w:vAlign w:val="center"/>
          </w:tcPr>
          <w:p w14:paraId="00393ED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016BA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4C6855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风机房</w:t>
            </w:r>
          </w:p>
        </w:tc>
        <w:tc>
          <w:tcPr>
            <w:tcW w:w="893" w:type="dxa"/>
            <w:vAlign w:val="center"/>
          </w:tcPr>
          <w:p w14:paraId="0EF6644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100</w:t>
            </w:r>
          </w:p>
        </w:tc>
        <w:tc>
          <w:tcPr>
            <w:tcW w:w="1418" w:type="dxa"/>
            <w:vAlign w:val="center"/>
          </w:tcPr>
          <w:p w14:paraId="1D70B89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支架灯壁装</w:t>
            </w:r>
          </w:p>
        </w:tc>
        <w:tc>
          <w:tcPr>
            <w:tcW w:w="1430" w:type="dxa"/>
            <w:vAlign w:val="center"/>
          </w:tcPr>
          <w:p w14:paraId="0865CAA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806" w:type="dxa"/>
            <w:vAlign w:val="center"/>
          </w:tcPr>
          <w:p w14:paraId="441B333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6287BB3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554" w:type="dxa"/>
            <w:vAlign w:val="center"/>
          </w:tcPr>
          <w:p w14:paraId="0C24F8D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6EE75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1A629DB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消防</w:t>
            </w:r>
          </w:p>
          <w:p w14:paraId="5448A32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控制室、</w:t>
            </w:r>
          </w:p>
          <w:p w14:paraId="01A7432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弱电机房</w:t>
            </w:r>
          </w:p>
        </w:tc>
        <w:tc>
          <w:tcPr>
            <w:tcW w:w="893" w:type="dxa"/>
            <w:vAlign w:val="center"/>
          </w:tcPr>
          <w:p w14:paraId="08C811A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300/500</w:t>
            </w:r>
          </w:p>
        </w:tc>
        <w:tc>
          <w:tcPr>
            <w:tcW w:w="1418" w:type="dxa"/>
            <w:vAlign w:val="center"/>
          </w:tcPr>
          <w:p w14:paraId="7E58F486">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bookmarkStart w:id="359" w:name="OLE_LINK18"/>
            <w:bookmarkStart w:id="360" w:name="OLE_LINK19"/>
            <w:r>
              <w:rPr>
                <w:rFonts w:hint="eastAsia" w:ascii="宋体" w:hAnsi="宋体" w:eastAsia="宋体" w:cs="宋体"/>
                <w:color w:val="000000" w:themeColor="text1"/>
                <w:kern w:val="0"/>
                <w:sz w:val="21"/>
                <w:szCs w:val="21"/>
                <w:highlight w:val="none"/>
                <w14:textFill>
                  <w14:solidFill>
                    <w14:schemeClr w14:val="tx1"/>
                  </w14:solidFill>
                </w14:textFill>
              </w:rPr>
              <w:t>吊顶：</w:t>
            </w:r>
          </w:p>
          <w:p w14:paraId="35A9B65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嵌入式灯盘</w:t>
            </w:r>
          </w:p>
          <w:p w14:paraId="4AC63C2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不吊顶：</w:t>
            </w:r>
          </w:p>
          <w:p w14:paraId="31FE24E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支架灯</w:t>
            </w:r>
            <w:bookmarkEnd w:id="359"/>
            <w:bookmarkEnd w:id="360"/>
          </w:p>
        </w:tc>
        <w:tc>
          <w:tcPr>
            <w:tcW w:w="1430" w:type="dxa"/>
            <w:vAlign w:val="center"/>
          </w:tcPr>
          <w:p w14:paraId="7DDB1E2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806" w:type="dxa"/>
            <w:vAlign w:val="center"/>
          </w:tcPr>
          <w:p w14:paraId="5A21267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44CCC08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色温4000K</w:t>
            </w:r>
          </w:p>
        </w:tc>
        <w:tc>
          <w:tcPr>
            <w:tcW w:w="1554" w:type="dxa"/>
            <w:vAlign w:val="center"/>
          </w:tcPr>
          <w:p w14:paraId="7E03B297">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77217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3BB87ED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物业客户中心、</w:t>
            </w:r>
          </w:p>
          <w:p w14:paraId="2FE7DBF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办公室</w:t>
            </w:r>
          </w:p>
        </w:tc>
        <w:tc>
          <w:tcPr>
            <w:tcW w:w="893" w:type="dxa"/>
            <w:vAlign w:val="center"/>
          </w:tcPr>
          <w:p w14:paraId="6CEDAFD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300</w:t>
            </w:r>
          </w:p>
        </w:tc>
        <w:tc>
          <w:tcPr>
            <w:tcW w:w="1418" w:type="dxa"/>
            <w:vAlign w:val="center"/>
          </w:tcPr>
          <w:p w14:paraId="757F147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吊顶：</w:t>
            </w:r>
          </w:p>
          <w:p w14:paraId="2741A301">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嵌入式灯盘</w:t>
            </w:r>
          </w:p>
          <w:p w14:paraId="1C171BA2">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不吊顶：</w:t>
            </w:r>
          </w:p>
          <w:p w14:paraId="3D8BC72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430" w:type="dxa"/>
            <w:vAlign w:val="center"/>
          </w:tcPr>
          <w:p w14:paraId="366410F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806" w:type="dxa"/>
            <w:vAlign w:val="center"/>
          </w:tcPr>
          <w:p w14:paraId="37EAA50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3FC8B45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色温4000K</w:t>
            </w:r>
          </w:p>
        </w:tc>
        <w:tc>
          <w:tcPr>
            <w:tcW w:w="1554" w:type="dxa"/>
            <w:vAlign w:val="center"/>
          </w:tcPr>
          <w:p w14:paraId="11BC129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52509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59582CF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生活水泵房、消防水泵房</w:t>
            </w:r>
          </w:p>
        </w:tc>
        <w:tc>
          <w:tcPr>
            <w:tcW w:w="893" w:type="dxa"/>
            <w:vAlign w:val="center"/>
          </w:tcPr>
          <w:p w14:paraId="26C2068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100</w:t>
            </w:r>
          </w:p>
        </w:tc>
        <w:tc>
          <w:tcPr>
            <w:tcW w:w="1418" w:type="dxa"/>
            <w:vAlign w:val="center"/>
          </w:tcPr>
          <w:p w14:paraId="7C813A1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支架灯（防水防尘型）</w:t>
            </w:r>
          </w:p>
        </w:tc>
        <w:tc>
          <w:tcPr>
            <w:tcW w:w="1430" w:type="dxa"/>
            <w:vAlign w:val="center"/>
          </w:tcPr>
          <w:p w14:paraId="049F58E9">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7022852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775C5228">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灯具应避免安装于设备正上方</w:t>
            </w:r>
          </w:p>
        </w:tc>
        <w:tc>
          <w:tcPr>
            <w:tcW w:w="1554" w:type="dxa"/>
            <w:vAlign w:val="center"/>
          </w:tcPr>
          <w:p w14:paraId="2BC8D2ED">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60233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785C157B">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水井、</w:t>
            </w:r>
          </w:p>
          <w:p w14:paraId="7FB10CB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电井</w:t>
            </w:r>
          </w:p>
        </w:tc>
        <w:tc>
          <w:tcPr>
            <w:tcW w:w="893" w:type="dxa"/>
            <w:vAlign w:val="center"/>
          </w:tcPr>
          <w:p w14:paraId="46428EA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100</w:t>
            </w:r>
          </w:p>
        </w:tc>
        <w:tc>
          <w:tcPr>
            <w:tcW w:w="1418" w:type="dxa"/>
            <w:vAlign w:val="center"/>
          </w:tcPr>
          <w:p w14:paraId="02671DA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壁灯</w:t>
            </w:r>
          </w:p>
        </w:tc>
        <w:tc>
          <w:tcPr>
            <w:tcW w:w="1430" w:type="dxa"/>
            <w:vAlign w:val="center"/>
          </w:tcPr>
          <w:p w14:paraId="48E9044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2E56009F">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简易灯座配LED光源，</w:t>
            </w:r>
          </w:p>
          <w:p w14:paraId="3462A2A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井道内</w:t>
            </w:r>
          </w:p>
          <w:p w14:paraId="4707118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门框上方壁装</w:t>
            </w:r>
          </w:p>
        </w:tc>
        <w:tc>
          <w:tcPr>
            <w:tcW w:w="1554" w:type="dxa"/>
            <w:vAlign w:val="center"/>
          </w:tcPr>
          <w:p w14:paraId="753728C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普通翘板开关控制，底距地1.4m</w:t>
            </w:r>
          </w:p>
        </w:tc>
      </w:tr>
      <w:tr w14:paraId="6A9D3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1422BB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大堂、</w:t>
            </w:r>
          </w:p>
          <w:p w14:paraId="22935BF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电梯厅</w:t>
            </w:r>
          </w:p>
        </w:tc>
        <w:tc>
          <w:tcPr>
            <w:tcW w:w="893" w:type="dxa"/>
            <w:vAlign w:val="center"/>
          </w:tcPr>
          <w:p w14:paraId="0A3C598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100</w:t>
            </w:r>
          </w:p>
        </w:tc>
        <w:tc>
          <w:tcPr>
            <w:tcW w:w="1418" w:type="dxa"/>
            <w:vAlign w:val="center"/>
          </w:tcPr>
          <w:p w14:paraId="4842F2A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30" w:type="dxa"/>
            <w:vAlign w:val="center"/>
          </w:tcPr>
          <w:p w14:paraId="4B64828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按装修要求定</w:t>
            </w:r>
          </w:p>
        </w:tc>
        <w:tc>
          <w:tcPr>
            <w:tcW w:w="1806" w:type="dxa"/>
            <w:vAlign w:val="center"/>
          </w:tcPr>
          <w:p w14:paraId="69F0714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按装修要求定</w:t>
            </w:r>
          </w:p>
        </w:tc>
        <w:tc>
          <w:tcPr>
            <w:tcW w:w="1554" w:type="dxa"/>
            <w:vAlign w:val="center"/>
          </w:tcPr>
          <w:p w14:paraId="48366A6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定时控制（局部可常亮或声控）</w:t>
            </w:r>
          </w:p>
        </w:tc>
      </w:tr>
      <w:tr w14:paraId="4198A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B99231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公共走道、消防前室</w:t>
            </w:r>
          </w:p>
        </w:tc>
        <w:tc>
          <w:tcPr>
            <w:tcW w:w="893" w:type="dxa"/>
            <w:vAlign w:val="center"/>
          </w:tcPr>
          <w:p w14:paraId="2CE3C99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w:t>
            </w:r>
          </w:p>
        </w:tc>
        <w:tc>
          <w:tcPr>
            <w:tcW w:w="1418" w:type="dxa"/>
            <w:vAlign w:val="center"/>
          </w:tcPr>
          <w:p w14:paraId="39B8EA4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30" w:type="dxa"/>
            <w:vAlign w:val="center"/>
          </w:tcPr>
          <w:p w14:paraId="0600E33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按装修要求定</w:t>
            </w:r>
          </w:p>
        </w:tc>
        <w:tc>
          <w:tcPr>
            <w:tcW w:w="1806" w:type="dxa"/>
            <w:vAlign w:val="center"/>
          </w:tcPr>
          <w:p w14:paraId="6B196FA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按装修要求定</w:t>
            </w:r>
          </w:p>
        </w:tc>
        <w:tc>
          <w:tcPr>
            <w:tcW w:w="1554" w:type="dxa"/>
            <w:vAlign w:val="center"/>
          </w:tcPr>
          <w:p w14:paraId="49DD15C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定时控制（局部可常亮或声控）</w:t>
            </w:r>
          </w:p>
        </w:tc>
      </w:tr>
      <w:tr w14:paraId="79E49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Merge w:val="restart"/>
            <w:vAlign w:val="center"/>
          </w:tcPr>
          <w:p w14:paraId="185A811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bookmarkStart w:id="361" w:name="_Hlk10019044"/>
            <w:r>
              <w:rPr>
                <w:rFonts w:hint="eastAsia" w:ascii="宋体" w:hAnsi="宋体" w:eastAsia="宋体" w:cs="宋体"/>
                <w:color w:val="000000" w:themeColor="text1"/>
                <w:kern w:val="0"/>
                <w:sz w:val="21"/>
                <w:szCs w:val="21"/>
                <w:highlight w:val="none"/>
                <w14:textFill>
                  <w14:solidFill>
                    <w14:schemeClr w14:val="tx1"/>
                  </w14:solidFill>
                </w14:textFill>
              </w:rPr>
              <w:t>楼梯间</w:t>
            </w:r>
          </w:p>
        </w:tc>
        <w:tc>
          <w:tcPr>
            <w:tcW w:w="893" w:type="dxa"/>
            <w:vAlign w:val="center"/>
          </w:tcPr>
          <w:p w14:paraId="6317406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w:t>
            </w:r>
          </w:p>
        </w:tc>
        <w:tc>
          <w:tcPr>
            <w:tcW w:w="1418" w:type="dxa"/>
            <w:vAlign w:val="center"/>
          </w:tcPr>
          <w:p w14:paraId="0E0F4CC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bookmarkStart w:id="362" w:name="OLE_LINK92"/>
            <w:bookmarkStart w:id="363" w:name="OLE_LINK94"/>
            <w:bookmarkStart w:id="364" w:name="OLE_LINK93"/>
            <w:r>
              <w:rPr>
                <w:rFonts w:hint="eastAsia" w:ascii="宋体" w:hAnsi="宋体" w:eastAsia="宋体" w:cs="宋体"/>
                <w:color w:val="000000" w:themeColor="text1"/>
                <w:kern w:val="0"/>
                <w:sz w:val="21"/>
                <w:szCs w:val="21"/>
                <w:highlight w:val="none"/>
                <w14:textFill>
                  <w14:solidFill>
                    <w14:schemeClr w14:val="tx1"/>
                  </w14:solidFill>
                </w14:textFill>
              </w:rPr>
              <w:t>吸顶</w:t>
            </w:r>
            <w:bookmarkEnd w:id="362"/>
            <w:bookmarkEnd w:id="363"/>
            <w:bookmarkEnd w:id="364"/>
            <w:r>
              <w:rPr>
                <w:rFonts w:hint="eastAsia" w:ascii="宋体" w:hAnsi="宋体" w:eastAsia="宋体" w:cs="宋体"/>
                <w:color w:val="000000" w:themeColor="text1"/>
                <w:kern w:val="0"/>
                <w:sz w:val="21"/>
                <w:szCs w:val="21"/>
                <w:highlight w:val="none"/>
                <w14:textFill>
                  <w14:solidFill>
                    <w14:schemeClr w14:val="tx1"/>
                  </w14:solidFill>
                </w14:textFill>
              </w:rPr>
              <w:t>灯</w:t>
            </w:r>
          </w:p>
        </w:tc>
        <w:tc>
          <w:tcPr>
            <w:tcW w:w="1430" w:type="dxa"/>
            <w:vAlign w:val="center"/>
          </w:tcPr>
          <w:p w14:paraId="7C00093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286F387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bookmarkStart w:id="365" w:name="OLE_LINK95"/>
            <w:bookmarkStart w:id="366" w:name="OLE_LINK96"/>
            <w:r>
              <w:rPr>
                <w:rFonts w:hint="eastAsia" w:ascii="宋体" w:hAnsi="宋体" w:eastAsia="宋体" w:cs="宋体"/>
                <w:color w:val="000000" w:themeColor="text1"/>
                <w:kern w:val="0"/>
                <w:sz w:val="21"/>
                <w:szCs w:val="21"/>
                <w:highlight w:val="none"/>
                <w14:textFill>
                  <w14:solidFill>
                    <w14:schemeClr w14:val="tx1"/>
                  </w14:solidFill>
                </w14:textFill>
              </w:rPr>
              <w:t>LED灯，</w:t>
            </w:r>
            <w:bookmarkEnd w:id="365"/>
            <w:bookmarkEnd w:id="366"/>
          </w:p>
        </w:tc>
        <w:tc>
          <w:tcPr>
            <w:tcW w:w="1554" w:type="dxa"/>
            <w:vAlign w:val="center"/>
          </w:tcPr>
          <w:p w14:paraId="4DD4DB0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雷达自熄</w:t>
            </w:r>
          </w:p>
        </w:tc>
      </w:tr>
      <w:bookmarkEnd w:id="361"/>
      <w:tr w14:paraId="2EC5D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Merge w:val="continue"/>
            <w:vAlign w:val="center"/>
          </w:tcPr>
          <w:p w14:paraId="513631CA">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893" w:type="dxa"/>
            <w:vAlign w:val="center"/>
          </w:tcPr>
          <w:p w14:paraId="2721032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18" w:type="dxa"/>
            <w:vAlign w:val="center"/>
          </w:tcPr>
          <w:p w14:paraId="3882B0C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超薄LED支架灯</w:t>
            </w:r>
          </w:p>
        </w:tc>
        <w:tc>
          <w:tcPr>
            <w:tcW w:w="1430" w:type="dxa"/>
            <w:vAlign w:val="center"/>
          </w:tcPr>
          <w:p w14:paraId="08C5AD2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22913EC3">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LED灯，</w:t>
            </w:r>
          </w:p>
          <w:p w14:paraId="3921872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吸顶安装</w:t>
            </w:r>
          </w:p>
          <w:p w14:paraId="564A7B25">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1554" w:type="dxa"/>
            <w:vAlign w:val="center"/>
          </w:tcPr>
          <w:p w14:paraId="0263191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普通翘板开关控制</w:t>
            </w:r>
          </w:p>
        </w:tc>
      </w:tr>
      <w:tr w14:paraId="3CFBC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76EB1A6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架空层</w:t>
            </w:r>
          </w:p>
        </w:tc>
        <w:tc>
          <w:tcPr>
            <w:tcW w:w="893" w:type="dxa"/>
            <w:vAlign w:val="center"/>
          </w:tcPr>
          <w:p w14:paraId="346104F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18" w:type="dxa"/>
            <w:vAlign w:val="center"/>
          </w:tcPr>
          <w:p w14:paraId="0909257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支架灯（防水防尘型）</w:t>
            </w:r>
          </w:p>
        </w:tc>
        <w:tc>
          <w:tcPr>
            <w:tcW w:w="1430" w:type="dxa"/>
            <w:vAlign w:val="center"/>
          </w:tcPr>
          <w:p w14:paraId="3EEF31F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795D254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LED雷达双亮度感应灯</w:t>
            </w:r>
          </w:p>
        </w:tc>
        <w:tc>
          <w:tcPr>
            <w:tcW w:w="1554" w:type="dxa"/>
            <w:vAlign w:val="center"/>
          </w:tcPr>
          <w:p w14:paraId="056CE0E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10C95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2DDCC9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垃圾房</w:t>
            </w:r>
          </w:p>
        </w:tc>
        <w:tc>
          <w:tcPr>
            <w:tcW w:w="893" w:type="dxa"/>
            <w:vAlign w:val="center"/>
          </w:tcPr>
          <w:p w14:paraId="31FE544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18" w:type="dxa"/>
            <w:vAlign w:val="center"/>
          </w:tcPr>
          <w:p w14:paraId="04F52EE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吸顶灯（若有）</w:t>
            </w:r>
          </w:p>
        </w:tc>
        <w:tc>
          <w:tcPr>
            <w:tcW w:w="1430" w:type="dxa"/>
            <w:vAlign w:val="center"/>
          </w:tcPr>
          <w:p w14:paraId="4D15CD8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5879A96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防水防尘LED灯，</w:t>
            </w:r>
          </w:p>
          <w:p w14:paraId="4E65931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色温4000K，吸顶安装</w:t>
            </w:r>
          </w:p>
        </w:tc>
        <w:tc>
          <w:tcPr>
            <w:tcW w:w="1554" w:type="dxa"/>
            <w:vAlign w:val="center"/>
          </w:tcPr>
          <w:p w14:paraId="29C8A0B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雷达自熄</w:t>
            </w:r>
          </w:p>
        </w:tc>
      </w:tr>
      <w:tr w14:paraId="61175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1712FE24">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首层大堂单元主出入口外雨棚</w:t>
            </w:r>
          </w:p>
        </w:tc>
        <w:tc>
          <w:tcPr>
            <w:tcW w:w="893" w:type="dxa"/>
            <w:vAlign w:val="center"/>
          </w:tcPr>
          <w:p w14:paraId="4EAC697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418" w:type="dxa"/>
            <w:vAlign w:val="center"/>
          </w:tcPr>
          <w:p w14:paraId="4757EC6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吸顶灯（若有）</w:t>
            </w:r>
          </w:p>
        </w:tc>
        <w:tc>
          <w:tcPr>
            <w:tcW w:w="1430" w:type="dxa"/>
            <w:vAlign w:val="center"/>
          </w:tcPr>
          <w:p w14:paraId="1314046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w:t>
            </w:r>
          </w:p>
        </w:tc>
        <w:tc>
          <w:tcPr>
            <w:tcW w:w="1806" w:type="dxa"/>
            <w:vAlign w:val="center"/>
          </w:tcPr>
          <w:p w14:paraId="01F9C1F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防水防尘LED灯，</w:t>
            </w:r>
          </w:p>
          <w:p w14:paraId="65937680">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色温4000K，吸顶安装</w:t>
            </w:r>
          </w:p>
        </w:tc>
        <w:tc>
          <w:tcPr>
            <w:tcW w:w="1554" w:type="dxa"/>
            <w:vAlign w:val="center"/>
          </w:tcPr>
          <w:p w14:paraId="6535EECE">
            <w:pPr>
              <w:adjustRightInd w:val="0"/>
              <w:spacing w:line="360" w:lineRule="auto"/>
              <w:jc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雷达自熄</w:t>
            </w:r>
          </w:p>
        </w:tc>
      </w:tr>
    </w:tbl>
    <w:p w14:paraId="56A4D820">
      <w:pPr>
        <w:adjustRightInd w:val="0"/>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注：</w:t>
      </w:r>
    </w:p>
    <w:p w14:paraId="0D0416A6">
      <w:pPr>
        <w:adjustRightInd w:val="0"/>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1）当上表要求与精装要求不一致时，均与精装要求为准。</w:t>
      </w:r>
    </w:p>
    <w:p w14:paraId="70E59BAB">
      <w:pPr>
        <w:adjustRightInd w:val="0"/>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2）距地高度均为装修完成面高度。</w:t>
      </w:r>
    </w:p>
    <w:p w14:paraId="3391E642">
      <w:pPr>
        <w:adjustRightInd w:val="0"/>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3）当地有特殊要求时，各场所照度值需按当地标准执行。</w:t>
      </w:r>
    </w:p>
    <w:p w14:paraId="7F3B449E">
      <w:pPr>
        <w:adjustRightInd w:val="0"/>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4）表中支架灯除特别说明外，均为空壳支架配T8LED直管灯。</w:t>
      </w:r>
    </w:p>
    <w:p w14:paraId="1FC46F04">
      <w:pPr>
        <w:pStyle w:val="24"/>
        <w:numPr>
          <w:ilvl w:val="0"/>
          <w:numId w:val="3"/>
        </w:numPr>
        <w:ind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发电机容量选择</w:t>
      </w:r>
    </w:p>
    <w:p w14:paraId="4DE3AB9E">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5.1</w:t>
      </w:r>
      <w:r>
        <w:rPr>
          <w:rStyle w:val="81"/>
          <w:rFonts w:hint="eastAsia" w:ascii="宋体" w:hAnsi="宋体" w:cs="宋体"/>
          <w:color w:val="000000" w:themeColor="text1"/>
          <w:sz w:val="24"/>
          <w:szCs w:val="24"/>
          <w:highlight w:val="none"/>
          <w14:textFill>
            <w14:solidFill>
              <w14:schemeClr w14:val="tx1"/>
            </w14:solidFill>
          </w14:textFill>
        </w:rPr>
        <w:t>发电机容量应按非消防状态市电停电与消防状态市电停电分别计算，取其中较大的值作为选取发电机容量的依据，较大容量的动力设备，应校验其启动能力。</w:t>
      </w:r>
    </w:p>
    <w:p w14:paraId="323BAAF6">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5.2消防状态下的发电机容量计算如下表：</w:t>
      </w:r>
    </w:p>
    <w:tbl>
      <w:tblPr>
        <w:tblStyle w:val="42"/>
        <w:tblW w:w="88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
        <w:gridCol w:w="4702"/>
        <w:gridCol w:w="2126"/>
        <w:gridCol w:w="1580"/>
      </w:tblGrid>
      <w:tr w14:paraId="4E841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425" w:type="dxa"/>
            <w:vAlign w:val="center"/>
          </w:tcPr>
          <w:p w14:paraId="361A5BAF">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序号</w:t>
            </w:r>
          </w:p>
        </w:tc>
        <w:tc>
          <w:tcPr>
            <w:tcW w:w="4702" w:type="dxa"/>
            <w:vAlign w:val="center"/>
          </w:tcPr>
          <w:p w14:paraId="2C3C2AE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消防状态用电负荷</w:t>
            </w:r>
          </w:p>
        </w:tc>
        <w:tc>
          <w:tcPr>
            <w:tcW w:w="2126" w:type="dxa"/>
            <w:vAlign w:val="center"/>
          </w:tcPr>
          <w:p w14:paraId="1B45DF9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需要系数</w:t>
            </w:r>
          </w:p>
        </w:tc>
        <w:tc>
          <w:tcPr>
            <w:tcW w:w="1580" w:type="dxa"/>
            <w:vAlign w:val="center"/>
          </w:tcPr>
          <w:p w14:paraId="629E91BE">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消防状态下</w:t>
            </w:r>
          </w:p>
          <w:p w14:paraId="784A1E94">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发电机容量</w:t>
            </w:r>
          </w:p>
        </w:tc>
      </w:tr>
      <w:tr w14:paraId="33FD5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425" w:type="dxa"/>
            <w:vAlign w:val="center"/>
          </w:tcPr>
          <w:p w14:paraId="3D7D3191">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4702" w:type="dxa"/>
            <w:vAlign w:val="center"/>
          </w:tcPr>
          <w:p w14:paraId="06E3560E">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发电机供电范围内所有的消防电梯用电</w:t>
            </w:r>
          </w:p>
        </w:tc>
        <w:tc>
          <w:tcPr>
            <w:tcW w:w="2126" w:type="dxa"/>
            <w:vAlign w:val="center"/>
          </w:tcPr>
          <w:p w14:paraId="5A690A69">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0.5~0.2</w:t>
            </w:r>
          </w:p>
        </w:tc>
        <w:tc>
          <w:tcPr>
            <w:tcW w:w="1580" w:type="dxa"/>
            <w:vMerge w:val="restart"/>
            <w:vAlign w:val="center"/>
          </w:tcPr>
          <w:p w14:paraId="0AC1483F">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消防状态下发电机容量为</w:t>
            </w:r>
            <w:r>
              <w:rPr>
                <w:rFonts w:ascii="宋体" w:hAnsi="宋体"/>
                <w:color w:val="000000" w:themeColor="text1"/>
                <w:sz w:val="21"/>
                <w:szCs w:val="21"/>
                <w:highlight w:val="none"/>
                <w14:textFill>
                  <w14:solidFill>
                    <w14:schemeClr w14:val="tx1"/>
                  </w14:solidFill>
                </w14:textFill>
              </w:rPr>
              <w:t>1~8</w:t>
            </w:r>
            <w:r>
              <w:rPr>
                <w:rFonts w:hint="eastAsia" w:ascii="宋体" w:hAnsi="宋体"/>
                <w:color w:val="000000" w:themeColor="text1"/>
                <w:sz w:val="21"/>
                <w:szCs w:val="21"/>
                <w:highlight w:val="none"/>
                <w14:textFill>
                  <w14:solidFill>
                    <w14:schemeClr w14:val="tx1"/>
                  </w14:solidFill>
                </w14:textFill>
              </w:rPr>
              <w:t>项的总和。</w:t>
            </w:r>
          </w:p>
        </w:tc>
      </w:tr>
      <w:tr w14:paraId="70B12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425" w:type="dxa"/>
            <w:vAlign w:val="center"/>
          </w:tcPr>
          <w:p w14:paraId="18925003">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2</w:t>
            </w:r>
          </w:p>
        </w:tc>
        <w:tc>
          <w:tcPr>
            <w:tcW w:w="4702" w:type="dxa"/>
            <w:vAlign w:val="center"/>
          </w:tcPr>
          <w:p w14:paraId="40142F86">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单栋塔楼（双拼塔楼）除消防电梯外消防用电最大的塔楼消防用电</w:t>
            </w:r>
          </w:p>
        </w:tc>
        <w:tc>
          <w:tcPr>
            <w:tcW w:w="2126" w:type="dxa"/>
            <w:vAlign w:val="center"/>
          </w:tcPr>
          <w:p w14:paraId="616FF681">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1F509000">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61645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5" w:type="dxa"/>
            <w:vAlign w:val="center"/>
          </w:tcPr>
          <w:p w14:paraId="565A1D64">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3</w:t>
            </w:r>
          </w:p>
        </w:tc>
        <w:tc>
          <w:tcPr>
            <w:tcW w:w="4702" w:type="dxa"/>
            <w:vAlign w:val="center"/>
          </w:tcPr>
          <w:p w14:paraId="5A26641C">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地下室最大的单个防火分区消防用电</w:t>
            </w:r>
          </w:p>
        </w:tc>
        <w:tc>
          <w:tcPr>
            <w:tcW w:w="2126" w:type="dxa"/>
            <w:vAlign w:val="center"/>
          </w:tcPr>
          <w:p w14:paraId="0DDB7DC3">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3874516C">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135F2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425" w:type="dxa"/>
            <w:vAlign w:val="center"/>
          </w:tcPr>
          <w:p w14:paraId="6249D428">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4</w:t>
            </w:r>
          </w:p>
        </w:tc>
        <w:tc>
          <w:tcPr>
            <w:tcW w:w="4702" w:type="dxa"/>
            <w:vAlign w:val="center"/>
          </w:tcPr>
          <w:p w14:paraId="455CE3A3">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与第</w:t>
            </w:r>
            <w:r>
              <w:rPr>
                <w:rFonts w:ascii="宋体" w:hAnsi="宋体"/>
                <w:color w:val="000000" w:themeColor="text1"/>
                <w:sz w:val="21"/>
                <w:szCs w:val="21"/>
                <w:highlight w:val="none"/>
                <w14:textFill>
                  <w14:solidFill>
                    <w14:schemeClr w14:val="tx1"/>
                  </w14:solidFill>
                </w14:textFill>
              </w:rPr>
              <w:t>3项相邻的两个地下室防火分区的消防用电</w:t>
            </w:r>
          </w:p>
        </w:tc>
        <w:tc>
          <w:tcPr>
            <w:tcW w:w="2126" w:type="dxa"/>
            <w:vAlign w:val="center"/>
          </w:tcPr>
          <w:p w14:paraId="1795CDA4">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68FED5DB">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409B9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425" w:type="dxa"/>
            <w:vAlign w:val="center"/>
          </w:tcPr>
          <w:p w14:paraId="44200C0D">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5</w:t>
            </w:r>
          </w:p>
        </w:tc>
        <w:tc>
          <w:tcPr>
            <w:tcW w:w="4702" w:type="dxa"/>
            <w:vAlign w:val="center"/>
          </w:tcPr>
          <w:p w14:paraId="1C7B16E2">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消防泵房用电</w:t>
            </w:r>
          </w:p>
        </w:tc>
        <w:tc>
          <w:tcPr>
            <w:tcW w:w="2126" w:type="dxa"/>
            <w:vAlign w:val="center"/>
          </w:tcPr>
          <w:p w14:paraId="39298C8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0A0017BE">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5624E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425" w:type="dxa"/>
            <w:vAlign w:val="center"/>
          </w:tcPr>
          <w:p w14:paraId="2BEBD12E">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6</w:t>
            </w:r>
          </w:p>
        </w:tc>
        <w:tc>
          <w:tcPr>
            <w:tcW w:w="4702" w:type="dxa"/>
            <w:vAlign w:val="center"/>
          </w:tcPr>
          <w:p w14:paraId="10C49466">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低压配电柜中有消防负荷的变配电房用电</w:t>
            </w:r>
          </w:p>
        </w:tc>
        <w:tc>
          <w:tcPr>
            <w:tcW w:w="2126" w:type="dxa"/>
            <w:vAlign w:val="center"/>
          </w:tcPr>
          <w:p w14:paraId="607DD9DB">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571B875D">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395D4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5" w:type="dxa"/>
            <w:vAlign w:val="center"/>
          </w:tcPr>
          <w:p w14:paraId="61E622CA">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7</w:t>
            </w:r>
          </w:p>
        </w:tc>
        <w:tc>
          <w:tcPr>
            <w:tcW w:w="4702" w:type="dxa"/>
            <w:vAlign w:val="center"/>
          </w:tcPr>
          <w:p w14:paraId="54D19073">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消防控制室中消防及安防双电源箱用电</w:t>
            </w:r>
          </w:p>
        </w:tc>
        <w:tc>
          <w:tcPr>
            <w:tcW w:w="2126" w:type="dxa"/>
            <w:vAlign w:val="center"/>
          </w:tcPr>
          <w:p w14:paraId="069F694B">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1580" w:type="dxa"/>
            <w:vMerge w:val="continue"/>
          </w:tcPr>
          <w:p w14:paraId="2C9709BC">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105F5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2" w:hRule="atLeast"/>
          <w:jc w:val="center"/>
        </w:trPr>
        <w:tc>
          <w:tcPr>
            <w:tcW w:w="425" w:type="dxa"/>
            <w:vAlign w:val="center"/>
          </w:tcPr>
          <w:p w14:paraId="4983019F">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8</w:t>
            </w:r>
          </w:p>
        </w:tc>
        <w:tc>
          <w:tcPr>
            <w:tcW w:w="4702" w:type="dxa"/>
            <w:vAlign w:val="center"/>
          </w:tcPr>
          <w:p w14:paraId="41E20FC5">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生活泵房用电</w:t>
            </w:r>
          </w:p>
        </w:tc>
        <w:tc>
          <w:tcPr>
            <w:tcW w:w="2126" w:type="dxa"/>
            <w:vAlign w:val="center"/>
          </w:tcPr>
          <w:p w14:paraId="1883DEB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0.3~0.5</w:t>
            </w:r>
          </w:p>
        </w:tc>
        <w:tc>
          <w:tcPr>
            <w:tcW w:w="1580" w:type="dxa"/>
            <w:vMerge w:val="continue"/>
          </w:tcPr>
          <w:p w14:paraId="16031C3F">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bl>
    <w:p w14:paraId="35BCF8E3">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5.3</w:t>
      </w:r>
      <w:r>
        <w:rPr>
          <w:rStyle w:val="81"/>
          <w:rFonts w:hint="eastAsia" w:ascii="宋体" w:hAnsi="宋体" w:cs="宋体"/>
          <w:color w:val="000000" w:themeColor="text1"/>
          <w:sz w:val="24"/>
          <w:szCs w:val="24"/>
          <w:highlight w:val="none"/>
          <w14:textFill>
            <w14:solidFill>
              <w14:schemeClr w14:val="tx1"/>
            </w14:solidFill>
          </w14:textFill>
        </w:rPr>
        <w:t>非消防状态下的发电机容量计算如下表：</w:t>
      </w:r>
    </w:p>
    <w:tbl>
      <w:tblPr>
        <w:tblStyle w:val="42"/>
        <w:tblW w:w="87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
        <w:gridCol w:w="2552"/>
        <w:gridCol w:w="2835"/>
        <w:gridCol w:w="1417"/>
        <w:gridCol w:w="1559"/>
      </w:tblGrid>
      <w:tr w14:paraId="64B0C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428" w:type="dxa"/>
            <w:vAlign w:val="center"/>
          </w:tcPr>
          <w:p w14:paraId="2DA4E61F">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序号</w:t>
            </w:r>
          </w:p>
        </w:tc>
        <w:tc>
          <w:tcPr>
            <w:tcW w:w="2552" w:type="dxa"/>
            <w:vAlign w:val="center"/>
          </w:tcPr>
          <w:p w14:paraId="2A1CFBF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非消防状态用电负荷</w:t>
            </w:r>
          </w:p>
        </w:tc>
        <w:tc>
          <w:tcPr>
            <w:tcW w:w="2835" w:type="dxa"/>
            <w:vAlign w:val="center"/>
          </w:tcPr>
          <w:p w14:paraId="34FA2DBC">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负荷指标</w:t>
            </w:r>
          </w:p>
        </w:tc>
        <w:tc>
          <w:tcPr>
            <w:tcW w:w="1417" w:type="dxa"/>
            <w:vAlign w:val="center"/>
          </w:tcPr>
          <w:p w14:paraId="7CB94F53">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需要系数</w:t>
            </w:r>
          </w:p>
        </w:tc>
        <w:tc>
          <w:tcPr>
            <w:tcW w:w="1559" w:type="dxa"/>
            <w:vAlign w:val="center"/>
          </w:tcPr>
          <w:p w14:paraId="6C250EAC">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非消防状态下发电机容量</w:t>
            </w:r>
          </w:p>
        </w:tc>
      </w:tr>
      <w:tr w14:paraId="4C925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6E153471">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1</w:t>
            </w:r>
          </w:p>
        </w:tc>
        <w:tc>
          <w:tcPr>
            <w:tcW w:w="2552" w:type="dxa"/>
            <w:vAlign w:val="center"/>
          </w:tcPr>
          <w:p w14:paraId="3E89D62D">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发电机供电范围内所有住宅单元电梯</w:t>
            </w:r>
          </w:p>
        </w:tc>
        <w:tc>
          <w:tcPr>
            <w:tcW w:w="2835" w:type="dxa"/>
            <w:vAlign w:val="center"/>
          </w:tcPr>
          <w:p w14:paraId="48EA5164">
            <w:pPr>
              <w:spacing w:line="360" w:lineRule="auto"/>
              <w:jc w:val="center"/>
              <w:rPr>
                <w:rFonts w:hint="eastAsia" w:ascii="宋体" w:hAnsi="宋体"/>
                <w:color w:val="000000" w:themeColor="text1"/>
                <w:sz w:val="21"/>
                <w:szCs w:val="21"/>
                <w:highlight w:val="none"/>
                <w14:textFill>
                  <w14:solidFill>
                    <w14:schemeClr w14:val="tx1"/>
                  </w14:solidFill>
                </w14:textFill>
              </w:rPr>
            </w:pPr>
          </w:p>
        </w:tc>
        <w:tc>
          <w:tcPr>
            <w:tcW w:w="1417" w:type="dxa"/>
            <w:vAlign w:val="center"/>
          </w:tcPr>
          <w:p w14:paraId="6041496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0.5~0.2</w:t>
            </w:r>
          </w:p>
        </w:tc>
        <w:tc>
          <w:tcPr>
            <w:tcW w:w="1559" w:type="dxa"/>
            <w:vMerge w:val="restart"/>
            <w:vAlign w:val="center"/>
          </w:tcPr>
          <w:p w14:paraId="43A92F8F">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非消防状态下发电机容量为</w:t>
            </w:r>
            <w:r>
              <w:rPr>
                <w:rFonts w:ascii="宋体" w:hAnsi="宋体"/>
                <w:color w:val="000000" w:themeColor="text1"/>
                <w:sz w:val="21"/>
                <w:szCs w:val="21"/>
                <w:highlight w:val="none"/>
                <w14:textFill>
                  <w14:solidFill>
                    <w14:schemeClr w14:val="tx1"/>
                  </w14:solidFill>
                </w14:textFill>
              </w:rPr>
              <w:t>1~9</w:t>
            </w:r>
            <w:r>
              <w:rPr>
                <w:rFonts w:hint="eastAsia" w:ascii="宋体" w:hAnsi="宋体"/>
                <w:color w:val="000000" w:themeColor="text1"/>
                <w:sz w:val="21"/>
                <w:szCs w:val="21"/>
                <w:highlight w:val="none"/>
                <w14:textFill>
                  <w14:solidFill>
                    <w14:schemeClr w14:val="tx1"/>
                  </w14:solidFill>
                </w14:textFill>
              </w:rPr>
              <w:t>项的总和。</w:t>
            </w:r>
          </w:p>
        </w:tc>
      </w:tr>
      <w:tr w14:paraId="7CD3C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261C2446">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2</w:t>
            </w:r>
          </w:p>
        </w:tc>
        <w:tc>
          <w:tcPr>
            <w:tcW w:w="2552" w:type="dxa"/>
            <w:vAlign w:val="center"/>
          </w:tcPr>
          <w:p w14:paraId="20A8456F">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发电机供电范围内住宅单元公共照明</w:t>
            </w:r>
          </w:p>
        </w:tc>
        <w:tc>
          <w:tcPr>
            <w:tcW w:w="2835" w:type="dxa"/>
            <w:vAlign w:val="center"/>
          </w:tcPr>
          <w:p w14:paraId="727C690C">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仅考虑前室、走道、楼梯一般照明</w:t>
            </w:r>
          </w:p>
        </w:tc>
        <w:tc>
          <w:tcPr>
            <w:tcW w:w="1417" w:type="dxa"/>
            <w:vAlign w:val="center"/>
          </w:tcPr>
          <w:p w14:paraId="29D6D444">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0.4~0.6</w:t>
            </w:r>
          </w:p>
        </w:tc>
        <w:tc>
          <w:tcPr>
            <w:tcW w:w="1559" w:type="dxa"/>
            <w:vMerge w:val="continue"/>
          </w:tcPr>
          <w:p w14:paraId="319A058D">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55D80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 w:hRule="atLeast"/>
          <w:jc w:val="center"/>
        </w:trPr>
        <w:tc>
          <w:tcPr>
            <w:tcW w:w="428" w:type="dxa"/>
            <w:vAlign w:val="center"/>
          </w:tcPr>
          <w:p w14:paraId="6439F421">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3</w:t>
            </w:r>
          </w:p>
        </w:tc>
        <w:tc>
          <w:tcPr>
            <w:tcW w:w="2552" w:type="dxa"/>
            <w:vAlign w:val="center"/>
          </w:tcPr>
          <w:p w14:paraId="1E57840F">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地下车库照明</w:t>
            </w:r>
          </w:p>
        </w:tc>
        <w:tc>
          <w:tcPr>
            <w:tcW w:w="2835" w:type="dxa"/>
            <w:vAlign w:val="center"/>
          </w:tcPr>
          <w:p w14:paraId="1E7206C6">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0.8W</w:t>
            </w:r>
            <w:r>
              <w:rPr>
                <w:rFonts w:hint="eastAsia" w:ascii="宋体" w:hAnsi="宋体"/>
                <w:color w:val="000000" w:themeColor="text1"/>
                <w:sz w:val="21"/>
                <w:szCs w:val="21"/>
                <w:highlight w:val="none"/>
                <w14:textFill>
                  <w14:solidFill>
                    <w14:schemeClr w14:val="tx1"/>
                  </w14:solidFill>
                </w14:textFill>
              </w:rPr>
              <w:t>每平方米估算</w:t>
            </w:r>
          </w:p>
        </w:tc>
        <w:tc>
          <w:tcPr>
            <w:tcW w:w="1417" w:type="dxa"/>
            <w:vAlign w:val="center"/>
          </w:tcPr>
          <w:p w14:paraId="177A8CCF">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0.4~0.6</w:t>
            </w:r>
          </w:p>
        </w:tc>
        <w:tc>
          <w:tcPr>
            <w:tcW w:w="1559" w:type="dxa"/>
            <w:vMerge w:val="continue"/>
          </w:tcPr>
          <w:p w14:paraId="5378A17D">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17AE4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5C60BD02">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4</w:t>
            </w:r>
          </w:p>
        </w:tc>
        <w:tc>
          <w:tcPr>
            <w:tcW w:w="2552" w:type="dxa"/>
            <w:vAlign w:val="center"/>
          </w:tcPr>
          <w:p w14:paraId="063FDDA8">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电信机房</w:t>
            </w:r>
          </w:p>
        </w:tc>
        <w:tc>
          <w:tcPr>
            <w:tcW w:w="2835" w:type="dxa"/>
            <w:vAlign w:val="center"/>
          </w:tcPr>
          <w:p w14:paraId="5B272708">
            <w:pPr>
              <w:spacing w:line="360" w:lineRule="auto"/>
              <w:jc w:val="center"/>
              <w:rPr>
                <w:rFonts w:hint="eastAsia" w:ascii="宋体" w:hAnsi="宋体"/>
                <w:color w:val="000000" w:themeColor="text1"/>
                <w:sz w:val="21"/>
                <w:szCs w:val="21"/>
                <w:highlight w:val="none"/>
                <w14:textFill>
                  <w14:solidFill>
                    <w14:schemeClr w14:val="tx1"/>
                  </w14:solidFill>
                </w14:textFill>
              </w:rPr>
            </w:pPr>
          </w:p>
        </w:tc>
        <w:tc>
          <w:tcPr>
            <w:tcW w:w="1417" w:type="dxa"/>
            <w:vAlign w:val="center"/>
          </w:tcPr>
          <w:p w14:paraId="0811562B">
            <w:pPr>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0.8</w:t>
            </w:r>
          </w:p>
        </w:tc>
        <w:tc>
          <w:tcPr>
            <w:tcW w:w="1559" w:type="dxa"/>
            <w:vMerge w:val="continue"/>
          </w:tcPr>
          <w:p w14:paraId="1C23778E">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2DA36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1384BCA8">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5</w:t>
            </w:r>
          </w:p>
        </w:tc>
        <w:tc>
          <w:tcPr>
            <w:tcW w:w="2552" w:type="dxa"/>
            <w:vAlign w:val="center"/>
          </w:tcPr>
          <w:p w14:paraId="66463A71">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生活泵房用电</w:t>
            </w:r>
          </w:p>
        </w:tc>
        <w:tc>
          <w:tcPr>
            <w:tcW w:w="2835" w:type="dxa"/>
            <w:vMerge w:val="restart"/>
            <w:vAlign w:val="center"/>
          </w:tcPr>
          <w:p w14:paraId="2F3CF0D8">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按施工图用电量</w:t>
            </w:r>
          </w:p>
        </w:tc>
        <w:tc>
          <w:tcPr>
            <w:tcW w:w="1417" w:type="dxa"/>
            <w:vAlign w:val="center"/>
          </w:tcPr>
          <w:p w14:paraId="4FF0689B">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0.5~0.6</w:t>
            </w:r>
          </w:p>
        </w:tc>
        <w:tc>
          <w:tcPr>
            <w:tcW w:w="1559" w:type="dxa"/>
            <w:vMerge w:val="continue"/>
          </w:tcPr>
          <w:p w14:paraId="54E9EFDA">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45760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71AB3DF4">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6</w:t>
            </w:r>
          </w:p>
        </w:tc>
        <w:tc>
          <w:tcPr>
            <w:tcW w:w="2552" w:type="dxa"/>
            <w:vAlign w:val="center"/>
          </w:tcPr>
          <w:p w14:paraId="51749DAB">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弱电机房用电</w:t>
            </w:r>
          </w:p>
        </w:tc>
        <w:tc>
          <w:tcPr>
            <w:tcW w:w="2835" w:type="dxa"/>
            <w:vMerge w:val="continue"/>
            <w:vAlign w:val="center"/>
          </w:tcPr>
          <w:p w14:paraId="01D195D9">
            <w:pPr>
              <w:spacing w:line="360" w:lineRule="auto"/>
              <w:ind w:left="420"/>
              <w:rPr>
                <w:rFonts w:hint="eastAsia" w:ascii="宋体" w:hAnsi="宋体"/>
                <w:color w:val="000000" w:themeColor="text1"/>
                <w:sz w:val="21"/>
                <w:szCs w:val="21"/>
                <w:highlight w:val="none"/>
                <w14:textFill>
                  <w14:solidFill>
                    <w14:schemeClr w14:val="tx1"/>
                  </w14:solidFill>
                </w14:textFill>
              </w:rPr>
            </w:pPr>
          </w:p>
        </w:tc>
        <w:tc>
          <w:tcPr>
            <w:tcW w:w="1417" w:type="dxa"/>
            <w:vAlign w:val="center"/>
          </w:tcPr>
          <w:p w14:paraId="606E4872">
            <w:pPr>
              <w:spacing w:line="360" w:lineRule="auto"/>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0.8</w:t>
            </w:r>
          </w:p>
        </w:tc>
        <w:tc>
          <w:tcPr>
            <w:tcW w:w="1559" w:type="dxa"/>
            <w:vMerge w:val="continue"/>
          </w:tcPr>
          <w:p w14:paraId="01DE3A7A">
            <w:pPr>
              <w:spacing w:line="360" w:lineRule="auto"/>
              <w:jc w:val="center"/>
              <w:rPr>
                <w:rFonts w:hint="eastAsia" w:ascii="宋体" w:hAnsi="宋体"/>
                <w:color w:val="000000" w:themeColor="text1"/>
                <w:sz w:val="21"/>
                <w:szCs w:val="21"/>
                <w:highlight w:val="none"/>
                <w14:textFill>
                  <w14:solidFill>
                    <w14:schemeClr w14:val="tx1"/>
                  </w14:solidFill>
                </w14:textFill>
              </w:rPr>
            </w:pPr>
          </w:p>
        </w:tc>
      </w:tr>
      <w:tr w14:paraId="6F615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5B97ACD2">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7</w:t>
            </w:r>
          </w:p>
        </w:tc>
        <w:tc>
          <w:tcPr>
            <w:tcW w:w="2552" w:type="dxa"/>
            <w:vAlign w:val="center"/>
          </w:tcPr>
          <w:p w14:paraId="64CDCA9B">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消防控制室中消防及安防双电源箱用电</w:t>
            </w:r>
          </w:p>
        </w:tc>
        <w:tc>
          <w:tcPr>
            <w:tcW w:w="2835" w:type="dxa"/>
            <w:vAlign w:val="center"/>
          </w:tcPr>
          <w:p w14:paraId="45E27FBD">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按施工图用电量</w:t>
            </w:r>
          </w:p>
        </w:tc>
        <w:tc>
          <w:tcPr>
            <w:tcW w:w="1417" w:type="dxa"/>
            <w:vAlign w:val="center"/>
          </w:tcPr>
          <w:p w14:paraId="1D4B50ED">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0.8</w:t>
            </w:r>
          </w:p>
        </w:tc>
        <w:tc>
          <w:tcPr>
            <w:tcW w:w="1559" w:type="dxa"/>
            <w:vMerge w:val="continue"/>
          </w:tcPr>
          <w:p w14:paraId="6D6C50B6">
            <w:pPr>
              <w:spacing w:line="360" w:lineRule="auto"/>
              <w:ind w:left="640" w:leftChars="100" w:hanging="420" w:hangingChars="200"/>
              <w:rPr>
                <w:rFonts w:hint="eastAsia" w:ascii="宋体" w:hAnsi="宋体"/>
                <w:color w:val="000000" w:themeColor="text1"/>
                <w:sz w:val="21"/>
                <w:szCs w:val="21"/>
                <w:highlight w:val="none"/>
                <w14:textFill>
                  <w14:solidFill>
                    <w14:schemeClr w14:val="tx1"/>
                  </w14:solidFill>
                </w14:textFill>
              </w:rPr>
            </w:pPr>
          </w:p>
        </w:tc>
      </w:tr>
      <w:tr w14:paraId="5E81A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03EBBCF5">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8</w:t>
            </w:r>
          </w:p>
        </w:tc>
        <w:tc>
          <w:tcPr>
            <w:tcW w:w="2552" w:type="dxa"/>
            <w:vAlign w:val="center"/>
          </w:tcPr>
          <w:p w14:paraId="05BCB24A">
            <w:pPr>
              <w:spacing w:line="360" w:lineRule="auto"/>
              <w:rPr>
                <w:rFonts w:hint="eastAsia" w:ascii="宋体" w:hAnsi="宋体" w:cs="宋体"/>
                <w:color w:val="000000" w:themeColor="text1"/>
                <w:kern w:val="0"/>
                <w:sz w:val="21"/>
                <w:szCs w:val="21"/>
                <w:highlight w:val="none"/>
                <w14:textFill>
                  <w14:solidFill>
                    <w14:schemeClr w14:val="tx1"/>
                  </w14:solidFill>
                </w14:textFill>
              </w:rPr>
            </w:pPr>
            <w:r>
              <w:rPr>
                <w:rFonts w:hint="eastAsia" w:ascii="宋体" w:hAnsi="宋体" w:cs="宋体"/>
                <w:color w:val="000000" w:themeColor="text1"/>
                <w:kern w:val="0"/>
                <w:sz w:val="21"/>
                <w:szCs w:val="21"/>
                <w:highlight w:val="none"/>
                <w14:textFill>
                  <w14:solidFill>
                    <w14:schemeClr w14:val="tx1"/>
                  </w14:solidFill>
                </w14:textFill>
              </w:rPr>
              <w:t>门楼用电</w:t>
            </w:r>
          </w:p>
        </w:tc>
        <w:tc>
          <w:tcPr>
            <w:tcW w:w="2835" w:type="dxa"/>
            <w:vAlign w:val="center"/>
          </w:tcPr>
          <w:p w14:paraId="33106599">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s="宋体"/>
                <w:color w:val="000000" w:themeColor="text1"/>
                <w:kern w:val="0"/>
                <w:sz w:val="21"/>
                <w:szCs w:val="21"/>
                <w:highlight w:val="none"/>
                <w14:textFill>
                  <w14:solidFill>
                    <w14:schemeClr w14:val="tx1"/>
                  </w14:solidFill>
                </w14:textFill>
              </w:rPr>
              <w:t>从园林总箱供电时则按园林照明考虑</w:t>
            </w:r>
          </w:p>
        </w:tc>
        <w:tc>
          <w:tcPr>
            <w:tcW w:w="1417" w:type="dxa"/>
            <w:vAlign w:val="center"/>
          </w:tcPr>
          <w:p w14:paraId="17167893">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0.8</w:t>
            </w:r>
          </w:p>
        </w:tc>
        <w:tc>
          <w:tcPr>
            <w:tcW w:w="1559" w:type="dxa"/>
            <w:vMerge w:val="continue"/>
          </w:tcPr>
          <w:p w14:paraId="541C58A6">
            <w:pPr>
              <w:spacing w:line="360" w:lineRule="auto"/>
              <w:ind w:left="640" w:leftChars="100" w:hanging="420" w:hangingChars="200"/>
              <w:rPr>
                <w:rFonts w:hint="eastAsia" w:ascii="宋体" w:hAnsi="宋体"/>
                <w:color w:val="000000" w:themeColor="text1"/>
                <w:sz w:val="21"/>
                <w:szCs w:val="21"/>
                <w:highlight w:val="none"/>
                <w14:textFill>
                  <w14:solidFill>
                    <w14:schemeClr w14:val="tx1"/>
                  </w14:solidFill>
                </w14:textFill>
              </w:rPr>
            </w:pPr>
          </w:p>
        </w:tc>
      </w:tr>
      <w:tr w14:paraId="0B0D6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2F4E961E">
            <w:pPr>
              <w:spacing w:line="360" w:lineRule="auto"/>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9</w:t>
            </w:r>
          </w:p>
        </w:tc>
        <w:tc>
          <w:tcPr>
            <w:tcW w:w="2552" w:type="dxa"/>
            <w:vAlign w:val="center"/>
          </w:tcPr>
          <w:p w14:paraId="74E1C19B">
            <w:pPr>
              <w:spacing w:line="360" w:lineRule="auto"/>
              <w:rPr>
                <w:rFonts w:hint="eastAsia" w:ascii="宋体" w:hAnsi="宋体"/>
                <w:color w:val="000000" w:themeColor="text1"/>
                <w:sz w:val="21"/>
                <w:szCs w:val="21"/>
                <w:highlight w:val="none"/>
                <w14:textFill>
                  <w14:solidFill>
                    <w14:schemeClr w14:val="tx1"/>
                  </w14:solidFill>
                </w14:textFill>
              </w:rPr>
            </w:pPr>
            <w:r>
              <w:rPr>
                <w:rFonts w:hint="eastAsia" w:ascii="宋体" w:hAnsi="宋体" w:cs="宋体"/>
                <w:color w:val="000000" w:themeColor="text1"/>
                <w:kern w:val="0"/>
                <w:sz w:val="21"/>
                <w:szCs w:val="21"/>
                <w:highlight w:val="none"/>
                <w14:textFill>
                  <w14:solidFill>
                    <w14:schemeClr w14:val="tx1"/>
                  </w14:solidFill>
                </w14:textFill>
              </w:rPr>
              <w:t>小区集中排污提升泵</w:t>
            </w:r>
          </w:p>
        </w:tc>
        <w:tc>
          <w:tcPr>
            <w:tcW w:w="2835" w:type="dxa"/>
            <w:vAlign w:val="center"/>
          </w:tcPr>
          <w:p w14:paraId="13CD46CE">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按施工图用电量</w:t>
            </w:r>
          </w:p>
        </w:tc>
        <w:tc>
          <w:tcPr>
            <w:tcW w:w="1417" w:type="dxa"/>
            <w:vAlign w:val="center"/>
          </w:tcPr>
          <w:p w14:paraId="45220B1A">
            <w:pPr>
              <w:spacing w:line="360" w:lineRule="auto"/>
              <w:ind w:left="640" w:leftChars="100" w:hanging="420" w:hangingChars="200"/>
              <w:jc w:val="center"/>
              <w:rPr>
                <w:rFonts w:hint="eastAsia" w:ascii="宋体" w:hAnsi="宋体"/>
                <w:color w:val="000000" w:themeColor="text1"/>
                <w:sz w:val="21"/>
                <w:szCs w:val="21"/>
                <w:highlight w:val="none"/>
                <w14:textFill>
                  <w14:solidFill>
                    <w14:schemeClr w14:val="tx1"/>
                  </w14:solidFill>
                </w14:textFill>
              </w:rPr>
            </w:pPr>
            <w:r>
              <w:rPr>
                <w:rFonts w:ascii="宋体" w:hAnsi="宋体"/>
                <w:color w:val="000000" w:themeColor="text1"/>
                <w:sz w:val="21"/>
                <w:szCs w:val="21"/>
                <w:highlight w:val="none"/>
                <w14:textFill>
                  <w14:solidFill>
                    <w14:schemeClr w14:val="tx1"/>
                  </w14:solidFill>
                </w14:textFill>
              </w:rPr>
              <w:t>0.5</w:t>
            </w:r>
          </w:p>
        </w:tc>
        <w:tc>
          <w:tcPr>
            <w:tcW w:w="1559" w:type="dxa"/>
            <w:vMerge w:val="continue"/>
          </w:tcPr>
          <w:p w14:paraId="4610BC1D">
            <w:pPr>
              <w:spacing w:line="360" w:lineRule="auto"/>
              <w:ind w:left="640" w:leftChars="100" w:hanging="420" w:hangingChars="200"/>
              <w:rPr>
                <w:rFonts w:hint="eastAsia" w:ascii="宋体" w:hAnsi="宋体"/>
                <w:color w:val="000000" w:themeColor="text1"/>
                <w:sz w:val="21"/>
                <w:szCs w:val="21"/>
                <w:highlight w:val="none"/>
                <w14:textFill>
                  <w14:solidFill>
                    <w14:schemeClr w14:val="tx1"/>
                  </w14:solidFill>
                </w14:textFill>
              </w:rPr>
            </w:pPr>
          </w:p>
        </w:tc>
      </w:tr>
    </w:tbl>
    <w:p w14:paraId="1CF2DA5D">
      <w:pPr>
        <w:pStyle w:val="3"/>
        <w:ind w:firstLine="210"/>
        <w:rPr>
          <w:color w:val="000000" w:themeColor="text1"/>
          <w:highlight w:val="none"/>
          <w14:textFill>
            <w14:solidFill>
              <w14:schemeClr w14:val="tx1"/>
            </w14:solidFill>
          </w14:textFill>
        </w:rPr>
      </w:pPr>
    </w:p>
    <w:p w14:paraId="2BAFE526">
      <w:pPr>
        <w:spacing w:line="440" w:lineRule="exact"/>
        <w:ind w:firstLine="421"/>
        <w:rPr>
          <w:rFonts w:hint="eastAsia" w:ascii="宋体" w:hAnsi="宋体" w:eastAsia="宋体" w:cs="宋体"/>
          <w:b/>
          <w:color w:val="000000" w:themeColor="text1"/>
          <w:highlight w:val="none"/>
          <w14:textFill>
            <w14:solidFill>
              <w14:schemeClr w14:val="tx1"/>
            </w14:solidFill>
          </w14:textFill>
        </w:rPr>
      </w:pPr>
      <w:r>
        <w:rPr>
          <w:rFonts w:hint="eastAsia" w:ascii="宋体" w:hAnsi="宋体" w:eastAsia="宋体" w:cs="宋体"/>
          <w:b/>
          <w:color w:val="000000" w:themeColor="text1"/>
          <w:highlight w:val="none"/>
          <w14:textFill>
            <w14:solidFill>
              <w14:schemeClr w14:val="tx1"/>
            </w14:solidFill>
          </w14:textFill>
        </w:rPr>
        <w:br w:type="page"/>
      </w:r>
    </w:p>
    <w:p w14:paraId="15F6A199">
      <w:pPr>
        <w:pStyle w:val="5"/>
        <w:keepNext w:val="0"/>
        <w:keepLines w:val="0"/>
        <w:snapToGrid/>
        <w:spacing w:before="156" w:beforeLines="50" w:after="0"/>
        <w:rPr>
          <w:rFonts w:hint="eastAsia" w:ascii="宋体" w:hAnsi="宋体" w:eastAsia="宋体" w:cs="宋体"/>
          <w:color w:val="000000" w:themeColor="text1"/>
          <w:sz w:val="24"/>
          <w:szCs w:val="28"/>
          <w:highlight w:val="none"/>
          <w14:textFill>
            <w14:solidFill>
              <w14:schemeClr w14:val="tx1"/>
            </w14:solidFill>
          </w14:textFill>
        </w:rPr>
      </w:pPr>
      <w:bookmarkStart w:id="367" w:name="_Toc11976"/>
      <w:bookmarkStart w:id="368" w:name="_Toc19887"/>
      <w:bookmarkStart w:id="369" w:name="_Toc104581747"/>
      <w:bookmarkStart w:id="370" w:name="_Toc24044"/>
      <w:bookmarkStart w:id="371" w:name="_Toc8172"/>
      <w:r>
        <w:rPr>
          <w:rFonts w:hint="eastAsia" w:ascii="宋体" w:hAnsi="宋体" w:eastAsia="宋体" w:cs="宋体"/>
          <w:color w:val="000000" w:themeColor="text1"/>
          <w:sz w:val="24"/>
          <w:szCs w:val="28"/>
          <w:highlight w:val="none"/>
          <w14:textFill>
            <w14:solidFill>
              <w14:schemeClr w14:val="tx1"/>
            </w14:solidFill>
          </w14:textFill>
        </w:rPr>
        <w:t>5.智能化设计</w:t>
      </w:r>
      <w:bookmarkEnd w:id="367"/>
      <w:bookmarkEnd w:id="368"/>
      <w:bookmarkEnd w:id="369"/>
      <w:bookmarkEnd w:id="370"/>
      <w:bookmarkEnd w:id="371"/>
    </w:p>
    <w:p w14:paraId="31A2264D">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372" w:name="_Toc22583"/>
      <w:r>
        <w:rPr>
          <w:rFonts w:hint="eastAsia" w:ascii="宋体" w:hAnsi="宋体" w:eastAsia="宋体" w:cs="宋体"/>
          <w:color w:val="000000" w:themeColor="text1"/>
          <w:sz w:val="24"/>
          <w:szCs w:val="24"/>
          <w:highlight w:val="none"/>
          <w14:textFill>
            <w14:solidFill>
              <w14:schemeClr w14:val="tx1"/>
            </w14:solidFill>
          </w14:textFill>
        </w:rPr>
        <w:t>5.1设计依据</w:t>
      </w:r>
      <w:bookmarkEnd w:id="372"/>
    </w:p>
    <w:p w14:paraId="34A428E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5.1.1 在限额设计的基础上保障安置区内用户的通信和人身和财产的安全需要，使所设计的系统满足安全、适用和经济基本需要等性能要求。</w:t>
      </w:r>
    </w:p>
    <w:p w14:paraId="18C1B9A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5.1.2 制定依据使用的标准和规范</w:t>
      </w:r>
    </w:p>
    <w:p w14:paraId="5AFB003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                          GB50016-2014(2018版)</w:t>
      </w:r>
    </w:p>
    <w:p w14:paraId="6A436C88">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《建筑通用防火规范》 </w:t>
      </w:r>
      <w:r>
        <w:rPr>
          <w:rFonts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14:textFill>
            <w14:solidFill>
              <w14:schemeClr w14:val="tx1"/>
            </w14:solidFill>
          </w14:textFill>
        </w:rPr>
        <w:t>GB55037-2022</w:t>
      </w:r>
    </w:p>
    <w:p w14:paraId="37A78C9A">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《消防设施通用规范》 </w:t>
      </w:r>
      <w:r>
        <w:rPr>
          <w:rFonts w:ascii="宋体" w:hAnsi="宋体" w:eastAsia="宋体" w:cs="宋体"/>
          <w:color w:val="000000" w:themeColor="text1"/>
          <w:sz w:val="24"/>
          <w:szCs w:val="24"/>
          <w:highlight w:val="none"/>
          <w14:textFill>
            <w14:solidFill>
              <w14:schemeClr w14:val="tx1"/>
            </w14:solidFill>
          </w14:textFill>
        </w:rPr>
        <w:t xml:space="preserve">                         GB55036-2022</w:t>
      </w:r>
    </w:p>
    <w:p w14:paraId="31C9B8B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《建筑物防雷设计规范》                        GB50057-2010</w:t>
      </w:r>
    </w:p>
    <w:p w14:paraId="22BF932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《民用闭路监视电视系统工程技术规范》          GB50198-2011   </w:t>
      </w:r>
    </w:p>
    <w:p w14:paraId="2A7E119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《有线电视系统工程技术规范》                  GB/T50200-2018</w:t>
      </w:r>
    </w:p>
    <w:p w14:paraId="4176C64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《人民防空地下室设计规范》                    GB 50038-2005(2023年版)</w:t>
      </w:r>
    </w:p>
    <w:p w14:paraId="04A21AA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《民用建筑电气设计标准》                      GB51348-2019</w:t>
      </w:r>
    </w:p>
    <w:p w14:paraId="59E5C96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《建筑物电子信息系统防雷技术规范》            GB50343-2012</w:t>
      </w:r>
    </w:p>
    <w:p w14:paraId="5F6CE9A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《住宅建筑规范》                              GB50368-2005</w:t>
      </w:r>
    </w:p>
    <w:p w14:paraId="704CBF6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《托儿所、幼儿园建筑设计规范》                JGJ39-2016（2019版）</w:t>
      </w:r>
    </w:p>
    <w:p w14:paraId="4B5899E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《住宅建筑电气设计规范》                      JGJ242-2011</w:t>
      </w:r>
    </w:p>
    <w:p w14:paraId="2116178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《教育建筑电气设计规范》                      JGJ 310-2013</w:t>
      </w:r>
    </w:p>
    <w:p w14:paraId="679073B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《民用闭路监视电视系统程技术规范》            GB 50198-2011</w:t>
      </w:r>
    </w:p>
    <w:p w14:paraId="2BB555F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《中小学校和幼儿园安全防范工程技术规范》      DB44/T 834-2010  </w:t>
      </w:r>
    </w:p>
    <w:p w14:paraId="66AF5D3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《智能建筑设计标准》                          GB 50314-2015</w:t>
      </w:r>
    </w:p>
    <w:p w14:paraId="7098C0B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《安全防范工程技术规范》                      GB50348-2018</w:t>
      </w:r>
    </w:p>
    <w:p w14:paraId="2F25A78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《出入口控制系统工程设计规范》                GB 50396-2007</w:t>
      </w:r>
    </w:p>
    <w:p w14:paraId="52990D3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《全国民用建筑工程设计技术措施--电气》        2009；</w:t>
      </w:r>
    </w:p>
    <w:p w14:paraId="549C8D4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甲方提供的设计任务书及有关市政条件；</w:t>
      </w:r>
    </w:p>
    <w:p w14:paraId="14E5EE7D">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373" w:name="_Toc13652"/>
      <w:bookmarkStart w:id="374" w:name="_Toc29494"/>
      <w:bookmarkStart w:id="375" w:name="_Toc21554"/>
      <w:bookmarkStart w:id="376" w:name="_Toc104581749"/>
      <w:r>
        <w:rPr>
          <w:rFonts w:hint="eastAsia" w:ascii="宋体" w:hAnsi="宋体" w:eastAsia="宋体" w:cs="宋体"/>
          <w:color w:val="000000" w:themeColor="text1"/>
          <w:sz w:val="24"/>
          <w:szCs w:val="24"/>
          <w:highlight w:val="none"/>
          <w14:textFill>
            <w14:solidFill>
              <w14:schemeClr w14:val="tx1"/>
            </w14:solidFill>
          </w14:textFill>
        </w:rPr>
        <w:t>5.2 关键指标</w:t>
      </w:r>
      <w:bookmarkEnd w:id="373"/>
      <w:bookmarkEnd w:id="374"/>
      <w:bookmarkEnd w:id="375"/>
      <w:bookmarkEnd w:id="376"/>
    </w:p>
    <w:p w14:paraId="53FADC4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 系统设计种类</w:t>
      </w:r>
    </w:p>
    <w:p w14:paraId="59E1190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严格控制所设计的系统种类，以保障安置区内用户的通信和人身和财产的安全需要为基准，并适当预留各系统对外网络接口，在满足规范、验收和节约成本的前提下满足后期扩展需要。</w:t>
      </w:r>
    </w:p>
    <w:p w14:paraId="2B8948A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5.2.1 智能化设计系统种类</w:t>
      </w:r>
    </w:p>
    <w:p w14:paraId="4CB604B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377" w:name="_Toc18799"/>
      <w:bookmarkStart w:id="378" w:name="_Toc17257"/>
      <w:bookmarkStart w:id="379" w:name="_Toc13787"/>
      <w:bookmarkStart w:id="380" w:name="_Toc104581751"/>
      <w:r>
        <w:rPr>
          <w:rFonts w:hint="eastAsia" w:ascii="宋体" w:hAnsi="宋体" w:eastAsia="宋体" w:cs="宋体"/>
          <w:color w:val="000000" w:themeColor="text1"/>
          <w:sz w:val="24"/>
          <w:szCs w:val="24"/>
          <w:highlight w:val="none"/>
          <w14:textFill>
            <w14:solidFill>
              <w14:schemeClr w14:val="tx1"/>
            </w14:solidFill>
          </w14:textFill>
        </w:rPr>
        <w:t>居住建筑部分（含裙房部分的商业网点）：有线电视系统、信息网络系统、综合布线系统、视频安防监控系统、访客对讲系统、停车场管理系统、电子巡查管理系统、电梯五方对讲系统、机房工程</w:t>
      </w:r>
      <w:bookmarkStart w:id="381" w:name="OLE_LINK13"/>
      <w:r>
        <w:rPr>
          <w:rFonts w:hint="eastAsia" w:ascii="宋体" w:hAnsi="宋体" w:eastAsia="宋体" w:cs="宋体"/>
          <w:color w:val="000000" w:themeColor="text1"/>
          <w:sz w:val="24"/>
          <w:szCs w:val="24"/>
          <w:highlight w:val="none"/>
          <w14:textFill>
            <w14:solidFill>
              <w14:schemeClr w14:val="tx1"/>
            </w14:solidFill>
          </w14:textFill>
        </w:rPr>
        <w:t>，5G信号覆盖系统</w:t>
      </w:r>
      <w:bookmarkEnd w:id="381"/>
      <w:r>
        <w:rPr>
          <w:rFonts w:hint="eastAsia" w:ascii="宋体" w:hAnsi="宋体" w:eastAsia="宋体" w:cs="宋体"/>
          <w:color w:val="000000" w:themeColor="text1"/>
          <w:sz w:val="24"/>
          <w:szCs w:val="24"/>
          <w:highlight w:val="none"/>
          <w14:textFill>
            <w14:solidFill>
              <w14:schemeClr w14:val="tx1"/>
            </w14:solidFill>
          </w14:textFill>
        </w:rPr>
        <w:t>。</w:t>
      </w:r>
    </w:p>
    <w:p w14:paraId="7DDFC19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公建配套部分（指独立型建筑）：有线电视系统、信息网络系统、综合布线系统、视频安防监控系统、访客对讲系统、停车场管理系统、电梯五方对讲系统、机房工程，5G信号覆盖系统。</w:t>
      </w:r>
    </w:p>
    <w:p w14:paraId="0C1280EB">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5.3 通用指标</w:t>
      </w:r>
      <w:bookmarkEnd w:id="377"/>
      <w:bookmarkEnd w:id="378"/>
      <w:bookmarkEnd w:id="379"/>
      <w:bookmarkEnd w:id="380"/>
    </w:p>
    <w:p w14:paraId="3CE880BA">
      <w:pPr>
        <w:spacing w:line="360" w:lineRule="auto"/>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color w:val="000000" w:themeColor="text1"/>
          <w:sz w:val="24"/>
          <w:szCs w:val="24"/>
          <w:highlight w:val="none"/>
          <w14:textFill>
            <w14:solidFill>
              <w14:schemeClr w14:val="tx1"/>
            </w14:solidFill>
          </w14:textFill>
        </w:rPr>
        <w:t>Ⅰ居</w:t>
      </w:r>
      <w:r>
        <w:rPr>
          <w:rFonts w:hint="eastAsia" w:ascii="宋体" w:hAnsi="宋体" w:eastAsia="宋体" w:cs="宋体"/>
          <w:b/>
          <w:bCs/>
          <w:color w:val="000000" w:themeColor="text1"/>
          <w:sz w:val="24"/>
          <w:szCs w:val="24"/>
          <w:highlight w:val="none"/>
          <w14:textFill>
            <w14:solidFill>
              <w14:schemeClr w14:val="tx1"/>
            </w14:solidFill>
          </w14:textFill>
        </w:rPr>
        <w:t>住建筑智能化设计</w:t>
      </w:r>
    </w:p>
    <w:p w14:paraId="3E9F32BE">
      <w:pPr>
        <w:pStyle w:val="24"/>
        <w:numPr>
          <w:ilvl w:val="0"/>
          <w:numId w:val="4"/>
        </w:numPr>
        <w:snapToGrid w:val="0"/>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一般规定</w:t>
      </w:r>
    </w:p>
    <w:p w14:paraId="7C6A6E53">
      <w:pPr>
        <w:pStyle w:val="85"/>
        <w:snapToGrid w:val="0"/>
        <w:spacing w:before="0" w:beforeAutospacing="0" w:after="0" w:afterAutospacing="0" w:line="360" w:lineRule="auto"/>
        <w:ind w:left="440" w:leftChars="200" w:firstLine="48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1.1 应遵循安全可靠、经济合理、安装维护方便的原则。</w:t>
      </w:r>
    </w:p>
    <w:p w14:paraId="1A17550D">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1.2 设计内容包括：有线电视系统、信息网络系统、综合布线系统、视频安防监控系统、访客对讲系统、停车场管理系统、电子巡查管理系统、电梯五方对讲系统和机房工程。</w:t>
      </w:r>
    </w:p>
    <w:p w14:paraId="0C26809C">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1.3 智能化系统管理中心（有线电视系统除外）宜与小区消防控制中心合并或紧邻设置。</w:t>
      </w:r>
    </w:p>
    <w:p w14:paraId="3C208C95">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1.4 智能化系统的设计应充分考虑各专业的协调配合。</w:t>
      </w:r>
    </w:p>
    <w:p w14:paraId="47BDF48A">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1.5 各功能区域、各智能化系统应作为一个整体进行统筹优化设计，既满足各功能区域智能化系统的有机联系，又满足各系统独立管理的要求。</w:t>
      </w:r>
    </w:p>
    <w:p w14:paraId="5D5B25C0">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1.6 系统设计与设备选型应采用先进成熟、稳定可靠的主流技术和主流产品，并已在国内工程得到成熟应用的技术和设备。</w:t>
      </w:r>
    </w:p>
    <w:p w14:paraId="0CC42BDE">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1.7 所有系统设备应选用标准化产品，设备选型应与技术发展的趋势相适应。遵循开放性原则，软件、硬件、通信接口、网络操作系统和数据库管理系统等应符合国际标准，使系统具备良好的兼容性和扩展性。</w:t>
      </w:r>
    </w:p>
    <w:p w14:paraId="5CD39374">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1.8 系统软件应采用中文操作界面。</w:t>
      </w:r>
    </w:p>
    <w:p w14:paraId="3BCC9EA2">
      <w:pPr>
        <w:pStyle w:val="85"/>
        <w:snapToGrid w:val="0"/>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1.9 各建筑物应预埋一定数量的弱电进户管道与室外的管网相连。每个地下室侧壁预留2处4*SC100套管位置。</w:t>
      </w:r>
    </w:p>
    <w:p w14:paraId="33EE905B">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1.10住宅套内应设家居配线箱，并满足ONU、路由器、分支分配器等设备安装实际需要尺寸大小。家居配线箱应含有电源插座。户内家居配线箱宜设在入户门侧（优选门后）或沙发后，其尺寸最终以厂家深化后为准。前期宜按如下尺寸设计：</w:t>
      </w:r>
    </w:p>
    <w:tbl>
      <w:tblPr>
        <w:tblStyle w:val="42"/>
        <w:tblW w:w="859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32"/>
        <w:gridCol w:w="2732"/>
        <w:gridCol w:w="3133"/>
      </w:tblGrid>
      <w:tr w14:paraId="1BEE0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732" w:type="dxa"/>
          </w:tcPr>
          <w:p w14:paraId="6224D54A">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ascii="宋体" w:hAnsi="宋体" w:eastAsia="宋体" w:cs="宋体"/>
                <w:b/>
                <w:bCs/>
                <w:color w:val="000000" w:themeColor="text1"/>
                <w:kern w:val="0"/>
                <w:sz w:val="21"/>
                <w:szCs w:val="21"/>
                <w:highlight w:val="none"/>
                <w14:textFill>
                  <w14:solidFill>
                    <w14:schemeClr w14:val="tx1"/>
                  </w14:solidFill>
                </w14:textFill>
              </w:rPr>
              <w:t>配线箱留洞尺寸WxHxD(mm)</w:t>
            </w:r>
          </w:p>
        </w:tc>
        <w:tc>
          <w:tcPr>
            <w:tcW w:w="2732" w:type="dxa"/>
          </w:tcPr>
          <w:p w14:paraId="3A1756BE">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ascii="宋体" w:hAnsi="宋体" w:eastAsia="宋体" w:cs="宋体"/>
                <w:b/>
                <w:bCs/>
                <w:color w:val="000000" w:themeColor="text1"/>
                <w:kern w:val="0"/>
                <w:sz w:val="21"/>
                <w:szCs w:val="21"/>
                <w:highlight w:val="none"/>
                <w14:textFill>
                  <w14:solidFill>
                    <w14:schemeClr w14:val="tx1"/>
                  </w14:solidFill>
                </w14:textFill>
              </w:rPr>
              <w:t>配线箱尺寸WxHxD(mm)</w:t>
            </w:r>
          </w:p>
        </w:tc>
        <w:tc>
          <w:tcPr>
            <w:tcW w:w="3133" w:type="dxa"/>
          </w:tcPr>
          <w:p w14:paraId="2C678F37">
            <w:pPr>
              <w:adjustRightInd w:val="0"/>
              <w:spacing w:line="360" w:lineRule="auto"/>
              <w:jc w:val="center"/>
              <w:rPr>
                <w:rFonts w:hint="eastAsia" w:ascii="宋体" w:hAnsi="宋体" w:eastAsia="宋体" w:cs="宋体"/>
                <w:b/>
                <w:bCs/>
                <w:color w:val="000000" w:themeColor="text1"/>
                <w:kern w:val="0"/>
                <w:sz w:val="21"/>
                <w:szCs w:val="21"/>
                <w:highlight w:val="none"/>
                <w14:textFill>
                  <w14:solidFill>
                    <w14:schemeClr w14:val="tx1"/>
                  </w14:solidFill>
                </w14:textFill>
              </w:rPr>
            </w:pPr>
            <w:r>
              <w:rPr>
                <w:rFonts w:ascii="宋体" w:hAnsi="宋体" w:eastAsia="宋体" w:cs="宋体"/>
                <w:b/>
                <w:bCs/>
                <w:color w:val="000000" w:themeColor="text1"/>
                <w:kern w:val="0"/>
                <w:sz w:val="21"/>
                <w:szCs w:val="21"/>
                <w:highlight w:val="none"/>
                <w14:textFill>
                  <w14:solidFill>
                    <w14:schemeClr w14:val="tx1"/>
                  </w14:solidFill>
                </w14:textFill>
              </w:rPr>
              <w:t>底边距地嵌墙安装高高度(mm)</w:t>
            </w:r>
          </w:p>
        </w:tc>
      </w:tr>
      <w:tr w14:paraId="620B9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732" w:type="dxa"/>
          </w:tcPr>
          <w:p w14:paraId="14EE59CD">
            <w:pPr>
              <w:pStyle w:val="83"/>
              <w:snapToGrid w:val="0"/>
              <w:spacing w:line="360" w:lineRule="auto"/>
              <w:jc w:val="center"/>
              <w:rPr>
                <w:rFonts w:cs="宋体" w:eastAsiaTheme="minorEastAsia"/>
                <w:color w:val="000000" w:themeColor="text1"/>
                <w:kern w:val="44"/>
                <w:szCs w:val="24"/>
                <w:highlight w:val="none"/>
                <w14:textFill>
                  <w14:solidFill>
                    <w14:schemeClr w14:val="tx1"/>
                  </w14:solidFill>
                </w14:textFill>
              </w:rPr>
            </w:pPr>
            <w:r>
              <w:rPr>
                <w:rFonts w:cs="宋体" w:eastAsiaTheme="minorEastAsia"/>
                <w:color w:val="000000" w:themeColor="text1"/>
                <w:kern w:val="44"/>
                <w:szCs w:val="24"/>
                <w:highlight w:val="none"/>
                <w14:textFill>
                  <w14:solidFill>
                    <w14:schemeClr w14:val="tx1"/>
                  </w14:solidFill>
                </w14:textFill>
              </w:rPr>
              <w:t>450x350x120</w:t>
            </w:r>
          </w:p>
        </w:tc>
        <w:tc>
          <w:tcPr>
            <w:tcW w:w="2732" w:type="dxa"/>
          </w:tcPr>
          <w:p w14:paraId="16F7D375">
            <w:pPr>
              <w:pStyle w:val="83"/>
              <w:snapToGrid w:val="0"/>
              <w:spacing w:line="360" w:lineRule="auto"/>
              <w:jc w:val="center"/>
              <w:rPr>
                <w:rFonts w:cs="宋体" w:eastAsiaTheme="minorEastAsia"/>
                <w:color w:val="000000" w:themeColor="text1"/>
                <w:kern w:val="44"/>
                <w:szCs w:val="24"/>
                <w:highlight w:val="none"/>
                <w14:textFill>
                  <w14:solidFill>
                    <w14:schemeClr w14:val="tx1"/>
                  </w14:solidFill>
                </w14:textFill>
              </w:rPr>
            </w:pPr>
            <w:r>
              <w:rPr>
                <w:rFonts w:cs="宋体" w:eastAsiaTheme="minorEastAsia"/>
                <w:color w:val="000000" w:themeColor="text1"/>
                <w:kern w:val="44"/>
                <w:szCs w:val="24"/>
                <w:highlight w:val="none"/>
                <w14:textFill>
                  <w14:solidFill>
                    <w14:schemeClr w14:val="tx1"/>
                  </w14:solidFill>
                </w14:textFill>
              </w:rPr>
              <w:t>400x300x120</w:t>
            </w:r>
          </w:p>
        </w:tc>
        <w:tc>
          <w:tcPr>
            <w:tcW w:w="3133" w:type="dxa"/>
          </w:tcPr>
          <w:p w14:paraId="3C77FC02">
            <w:pPr>
              <w:pStyle w:val="83"/>
              <w:snapToGrid w:val="0"/>
              <w:spacing w:line="360" w:lineRule="auto"/>
              <w:jc w:val="center"/>
              <w:rPr>
                <w:rFonts w:cs="宋体" w:eastAsiaTheme="minorEastAsia"/>
                <w:color w:val="000000" w:themeColor="text1"/>
                <w:kern w:val="44"/>
                <w:szCs w:val="24"/>
                <w:highlight w:val="none"/>
                <w14:textFill>
                  <w14:solidFill>
                    <w14:schemeClr w14:val="tx1"/>
                  </w14:solidFill>
                </w14:textFill>
              </w:rPr>
            </w:pPr>
            <w:r>
              <w:rPr>
                <w:rFonts w:cs="宋体" w:eastAsiaTheme="minorEastAsia"/>
                <w:color w:val="000000" w:themeColor="text1"/>
                <w:kern w:val="44"/>
                <w:szCs w:val="24"/>
                <w:highlight w:val="none"/>
                <w14:textFill>
                  <w14:solidFill>
                    <w14:schemeClr w14:val="tx1"/>
                  </w14:solidFill>
                </w14:textFill>
              </w:rPr>
              <w:t>500</w:t>
            </w:r>
          </w:p>
        </w:tc>
      </w:tr>
    </w:tbl>
    <w:p w14:paraId="72AC3A6D">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户内多媒体箱箱底壳选用冷轧钢板或镀锌钢板材料，冷轧钢板表面做亚光喷塑，壳底厚度不小于1.2mm，面板采用ABS阻燃塑料，面板最薄处板厚不小于2.0mm。弱电箱内自带一个单相五孔插座。</w:t>
      </w:r>
    </w:p>
    <w:p w14:paraId="544A663A">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1.11楼层分纤箱内须预留不少于10%冗余。</w:t>
      </w:r>
    </w:p>
    <w:p w14:paraId="45409803">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1.12 户内数据线类型：采用非屏蔽超5类线。</w:t>
      </w:r>
    </w:p>
    <w:p w14:paraId="5A1475DE">
      <w:pPr>
        <w:pStyle w:val="85"/>
        <w:spacing w:before="0" w:beforeAutospacing="0" w:after="0" w:afterAutospacing="0" w:line="360" w:lineRule="auto"/>
        <w:ind w:left="442" w:leftChars="201" w:firstLine="14" w:firstLineChars="6"/>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1.13 通信、网络主机以及各弱电系统主控制机应采用UPS不间断电源供电。其连续供电时间不应小于60min。</w:t>
      </w:r>
    </w:p>
    <w:p w14:paraId="5DFAAA20">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有线电视系统</w:t>
      </w:r>
    </w:p>
    <w:p w14:paraId="745D7DB7">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2.1 有线电视系统的线路从弱电管井穿塑料管暗敷至住宅套内的家居配线箱，从家居配线箱引出穿塑料管暗敷至起居室、主卧室电视机预留位置。</w:t>
      </w:r>
    </w:p>
    <w:p w14:paraId="41ACCB7E">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2.2 每套住宅的有线电视进户线按不少于两芯光纤；起居室、主卧室内各设一个电视插座，插座安装高度按离地300㎜布置（有家具处按照家具高度定），且应与电源插座安装高度一致。</w:t>
      </w:r>
    </w:p>
    <w:p w14:paraId="1D077DE9">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信息网络系统</w:t>
      </w:r>
    </w:p>
    <w:p w14:paraId="43762504">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3.1 信息网络系统宜采用当地信息网络业务经营商提供的运营方式。传输方式应采用光纤到户（FTTH）的形式。</w:t>
      </w:r>
    </w:p>
    <w:p w14:paraId="2676EE56">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 通信设备间及电信间</w:t>
      </w:r>
    </w:p>
    <w:p w14:paraId="3BA21197">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3.2.1 每一个住宅区应设置一个通信设备间（满足3家运营商使用），通信设备间宜设置在地下一层或首层。</w:t>
      </w:r>
    </w:p>
    <w:p w14:paraId="5389981C">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3.2.2 每一个高层住宅楼或每300户宜设置一个电信间，电信间宜设置在地下一层或首层。</w:t>
      </w:r>
    </w:p>
    <w:p w14:paraId="609D443C">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3.2.3 通信设备间面积应根据项目规模考虑，不宜小于30㎡，电信间面积不应小于4000×2500㎜。</w:t>
      </w:r>
    </w:p>
    <w:p w14:paraId="0C4F986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3.2.4 设置设备专网满足停车场管理系统、视频安防监控系统、可视对讲系统等系统的网络需求，网络设备配置应满足末端设备信号传输或相关规范的要求。</w:t>
      </w:r>
    </w:p>
    <w:p w14:paraId="649567E6">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3.2.5 设备专网核心交换机、防火墙等由监控中心UPS配电箱供电，弱电间等区域接入层交换机设备电源取自该层的弱电井中相应的供电回路。</w:t>
      </w:r>
    </w:p>
    <w:p w14:paraId="52BFD844">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综合布线系统</w:t>
      </w:r>
    </w:p>
    <w:p w14:paraId="24D89042">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4.1 综合布线系统主要作为数据和语音（电话）通信系统的传输介质，满足支持语音、数据、图像、多媒体业务等信息传输的要求。</w:t>
      </w:r>
    </w:p>
    <w:p w14:paraId="2322E88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4.2 建筑物内数据及语音信息点的数量应根据用户使用需求确定，并应预留足够余量。</w:t>
      </w:r>
    </w:p>
    <w:p w14:paraId="0D3E5D0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4.3 综合布线系统宜采用分层星型的拓扑结构，并与应用系统的网络结构相适应。</w:t>
      </w:r>
    </w:p>
    <w:p w14:paraId="2C82B56C">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4.4 综合布线系统采用光纤入户设计。</w:t>
      </w:r>
    </w:p>
    <w:p w14:paraId="2D76C3B5">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4.5 光纤选择原则：用户接入点至楼层配线箱之间的用户光缆应采用G.652光纤；楼层配线箱至家居配线箱之间的用户光缆应采用G.657光纤。室内光缆宜采用干式+非延燃外护层等结构；室外光缆宜采用干式+防潮层+非延燃外护层等结构。</w:t>
      </w:r>
    </w:p>
    <w:p w14:paraId="403EB79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4.6 光纤到户（FTTH）系统的线路从弱电管井穿塑料管暗敷至住宅套内的家居配线箱，从家居配线箱引出穿塑料管暗敷至起居室、主卧室、书房信息插座预留位置。</w:t>
      </w:r>
    </w:p>
    <w:p w14:paraId="41151416">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4.7 每套住宅的系统进户线按不少两芯光纤；起居室、主卧室内设电话信息插座、电脑信息插座和有线电视信息插座，其且应与电源插座安装高度一致。信息插座安装高度、敷设方式和布置数详见装修专业为准。</w:t>
      </w:r>
    </w:p>
    <w:p w14:paraId="60B064BC">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视频安防监控系统</w:t>
      </w:r>
    </w:p>
    <w:p w14:paraId="6A156AD8">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 原则上一个地块设置一个监控中心。</w:t>
      </w:r>
    </w:p>
    <w:p w14:paraId="52B0C58C">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5.2 主要对小区内地下停车场（针对主干车道及车场出入口）、小区各出入口、管理处前台、公共活动场所、电梯桥箱、首层电梯前厅、地下室电梯厅、住宅电梯首层及顶层出入口等重要部位进行全天候24小时监视。</w:t>
      </w:r>
    </w:p>
    <w:p w14:paraId="629766F8">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5.3 系统要求采用全彩色的视频安防监控系统，系统数据传输采用以太网方式。</w:t>
      </w:r>
    </w:p>
    <w:p w14:paraId="65563380">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5.4 摄像机设置的原则是监视重点的部位，例如：住宅首层大堂、电梯桥箱、地下室电梯厅、首层及顶层楼梯间出入口、小区各主要出入口、公共活动场所、地下层主要设立在主干车道上方。小区园区内其他地方仅作系统预留接口。</w:t>
      </w:r>
    </w:p>
    <w:p w14:paraId="3702958F">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5.5 系统前端摄像机的设置应根据环境特点进行选择，一般情况下摄像机采用定焦距、定方向的固定安装方式，选用日夜型自动光圈镜头并配防护罩，采用红外或日夜转换型彩色摄像机，摄像机分辨率不低于1080P。地面层以上及核心筒内的根据情况选择，摄像机宜采用4㎜~6㎜的镜头，地下层停车场内的根据情况选择，摄像机暂宜用6㎜~12㎜的镜头。</w:t>
      </w:r>
    </w:p>
    <w:p w14:paraId="7930638A">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5.6 摄像机灵敏度应能适应防护目标光照度的变化，适应防护目标的最低照度条件，对于没有夜间照明的场所采用红外线摄像机。</w:t>
      </w:r>
    </w:p>
    <w:p w14:paraId="5067A81B">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5.7 所有楼栋带生活阳台正立面配置高空抛物摄像机。</w:t>
      </w:r>
    </w:p>
    <w:p w14:paraId="33A9012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5.8 小区各主要入口方向安装人脸抓拍摄像机，住宅首层楼栋单元门入口安装人脸抓怕摄像机。</w:t>
      </w:r>
    </w:p>
    <w:p w14:paraId="759D2959">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5.9 系统显示、记录、回放图像的质量应满足管理及取证的要求。</w:t>
      </w:r>
    </w:p>
    <w:p w14:paraId="29483DC9">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 系统应具有如下功能：</w:t>
      </w:r>
    </w:p>
    <w:p w14:paraId="537704A3">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5.10.1 画面定格和多路报警显示，对多路摄像信号具有实时传输、切换显示、后备存储等功能。</w:t>
      </w:r>
    </w:p>
    <w:p w14:paraId="17F9B909">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5.10.2 应能任意设定视频警戒区域。</w:t>
      </w:r>
    </w:p>
    <w:p w14:paraId="623C3D3F">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5.10.3 画面显示应能任意编程，具有自动、手动切换功能或多画面显示功能。</w:t>
      </w:r>
    </w:p>
    <w:p w14:paraId="3C0695D2">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5.10.4 在画面上应有摄像机的编号、部位、地址和时间、日期显示。</w:t>
      </w:r>
    </w:p>
    <w:p w14:paraId="63AE5D66">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5.10.5 对多画面显示系统应具有多画面、单画面转换、定格等功能。</w:t>
      </w:r>
    </w:p>
    <w:p w14:paraId="3341F02A">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5.11 室外安装的摄像机及设备应有相应可靠的防雷措施。</w:t>
      </w:r>
    </w:p>
    <w:p w14:paraId="03A75A7F">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5.12 系统图像要求通过嵌入式数字硬盘录像机记录存储，要求采用全D1嵌入数学硬盘录像机，图像存储质量不低于1080P，图像记录资料至少保留30天以上。</w:t>
      </w:r>
    </w:p>
    <w:p w14:paraId="4647687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5.13 中央处理部分布置应具方便操作及维护，监视器采用100Hz逐行扫描方式，防止产生屏幕闪烁，每个监视器按16或32分隔画面进行计算，并预留一台显示器作单画面轮询设计。</w:t>
      </w:r>
    </w:p>
    <w:p w14:paraId="3C7E9AA2">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5.14 系统供电方式：系统中央处理部分必须接不间断电源，以确保系统运行的稳定性；摄像机电源宜采用POE供电方式，或取自就近弱电井中相应的供电回路。</w:t>
      </w:r>
    </w:p>
    <w:p w14:paraId="5FFEFBB0">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访客对讲系统</w:t>
      </w:r>
    </w:p>
    <w:p w14:paraId="540A69AD">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6.1 访客对讲系统采用彩色可视对讲系统。</w:t>
      </w:r>
    </w:p>
    <w:p w14:paraId="2E84EA6A">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6.2 采用以太网通信方式的访客对讲系统。</w:t>
      </w:r>
    </w:p>
    <w:p w14:paraId="3C21B2CF">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6.3 系统应独立设计其工作状态及报警信号应送到小区管理（或监控）中心。</w:t>
      </w:r>
    </w:p>
    <w:p w14:paraId="73D581EB">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6.4 标准层从弱电井至各个套内分支线路采用穿塑料管沿墙及楼板暗敷。</w:t>
      </w:r>
    </w:p>
    <w:p w14:paraId="60E60297">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6.5 系统的对讲门口机设在地下层住户大堂主要出入口、首层住户大堂主要出入口；对讲室内机设置在每户套内靠近入门口处适当的位置，其安装高度为1400㎜。</w:t>
      </w:r>
    </w:p>
    <w:p w14:paraId="72FE3C2F">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6.6 对讲室内机带有外接门铃按钮及紧急报警按钮功能。户外门铃按钮安装高度为1400㎜。紧急报警按钮设置在户内对讲机位置，室内机报警信号传送至小区监控中心，对讲系统由中央处理系统主机集中管理各住户门禁卡(按每户4张卡及预留保安人员10张卡设计)及调取门禁卡使用信息。</w:t>
      </w:r>
    </w:p>
    <w:p w14:paraId="1E57D568">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6.7 系统供电方式：系统中央处理设备电源取自监控中心配电箱。各层的设备电源取自该层的弱电井中相应的供电回路。</w:t>
      </w:r>
    </w:p>
    <w:p w14:paraId="2AA2B3D9">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6.8 访客对讲系统由中央处理系统主机集中管理各住户门禁卡及调取门禁卡使用信息。</w:t>
      </w:r>
    </w:p>
    <w:p w14:paraId="3EDA6718">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停车场管理系统</w:t>
      </w:r>
    </w:p>
    <w:p w14:paraId="5BB1E6B3">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7.1 基于各地块独立管理需求的存在，停车场管理系统设置时既要确保各地块的独立管理，又要保证设备选型的一致性。</w:t>
      </w:r>
    </w:p>
    <w:p w14:paraId="52EC38D8">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7.2 系统对整个地下车库和室外停车场进行统一的管理和收费。注：室外停车场是指按规划建设的固定车位，非临时停车场地。</w:t>
      </w:r>
    </w:p>
    <w:p w14:paraId="4B4D8BD0">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7.3 本系统采用出口收费管理模式，月卡和临时卡同时使用，并具有图像对比功能。</w:t>
      </w:r>
    </w:p>
    <w:p w14:paraId="78F98021">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7.4 在停车场入口处设入口岗亭、安全岛、控制机及车牌自动识别摄像机，具有辨别车牌功能，并设有剩余车位显示，图像监控等设备。</w:t>
      </w:r>
    </w:p>
    <w:p w14:paraId="16B55C77">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7.5 在停车场出口处设出口控制机及车牌自动识别摄像机，具有自动记费，能进行图像对比、车辆确认等。</w:t>
      </w:r>
    </w:p>
    <w:p w14:paraId="46A8F90D">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7.6 系统宜支持微信公众号、支付宝等在线自助缴费方式；可实现出入口无人值守。</w:t>
      </w:r>
    </w:p>
    <w:p w14:paraId="5B674DEC">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7.7 停车场出入口控制机宜设置对讲设备，可实现用户在出入口处与控制中心的求助对讲功能。</w:t>
      </w:r>
    </w:p>
    <w:p w14:paraId="25254DA6">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电子巡查管理系统</w:t>
      </w:r>
    </w:p>
    <w:p w14:paraId="232096E6">
      <w:pPr>
        <w:pStyle w:val="85"/>
        <w:spacing w:before="0" w:beforeAutospacing="0" w:after="0" w:afterAutospacing="0" w:line="360" w:lineRule="auto"/>
        <w:ind w:left="442" w:leftChars="201" w:firstLine="14" w:firstLineChars="6"/>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8.1 系统由前端设备(手机含相关系统软件、信息等)、传输、管理/控制、显示/记录设备以及相应的系统软件组成。本次设计采用二维码式电子巡查系统。</w:t>
      </w:r>
    </w:p>
    <w:p w14:paraId="3449B4DF">
      <w:pPr>
        <w:pStyle w:val="85"/>
        <w:spacing w:before="0" w:beforeAutospacing="0" w:after="0" w:afterAutospacing="0" w:line="360" w:lineRule="auto"/>
        <w:ind w:left="442" w:leftChars="201" w:firstLine="14" w:firstLineChars="6"/>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8.2 电子巡查系统功能应满足以下要求：</w:t>
      </w:r>
    </w:p>
    <w:p w14:paraId="0AAC9526">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8.2.1 能编制保安人员巡查软件，在预先设定的巡查图中，用手机扫二维码采集信息或其他方式，对巡查保安人员的行动、状态进行监督和记录。在保安人员在巡查发生意外情况时,可以及时向安防监控中心报警。</w:t>
      </w:r>
    </w:p>
    <w:p w14:paraId="19E286E2">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8.2.2系统支持与视频安防监控系统联动。</w:t>
      </w:r>
    </w:p>
    <w:p w14:paraId="225D48CC">
      <w:pPr>
        <w:pStyle w:val="85"/>
        <w:spacing w:before="0" w:beforeAutospacing="0" w:after="0" w:afterAutospacing="0" w:line="360" w:lineRule="auto"/>
        <w:ind w:left="442" w:leftChars="201" w:firstLine="14" w:firstLineChars="6"/>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8.3 巡查点设置在地下室、首层、天面层核心筒楼梯间以及电梯前室等部位。</w:t>
      </w:r>
    </w:p>
    <w:p w14:paraId="6FBE7287">
      <w:pPr>
        <w:pStyle w:val="24"/>
        <w:numPr>
          <w:ilvl w:val="0"/>
          <w:numId w:val="4"/>
        </w:numPr>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电梯五方对讲系统</w:t>
      </w:r>
    </w:p>
    <w:p w14:paraId="783C9CA0">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9.1 电梯五方对讲系统通讯方式采用多线制形式。监控主机设置于各标段安防控制室。</w:t>
      </w:r>
    </w:p>
    <w:p w14:paraId="4851A26E">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9.2 设计时仅作电梯机房至监控中心的管线预留，五方对讲系统由电梯公司负责深化设计完成。</w:t>
      </w:r>
    </w:p>
    <w:p w14:paraId="7ED13CFC">
      <w:pPr>
        <w:pStyle w:val="85"/>
        <w:spacing w:before="0" w:beforeAutospacing="0" w:after="0" w:afterAutospacing="0" w:line="360" w:lineRule="auto"/>
        <w:ind w:left="0" w:firstLine="480" w:firstLineChars="200"/>
        <w:rPr>
          <w:rStyle w:val="50"/>
          <w:color w:val="000000" w:themeColor="text1"/>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10、5G信号覆盖系统</w:t>
      </w:r>
    </w:p>
    <w:p w14:paraId="3C1D8662">
      <w:pPr>
        <w:pStyle w:val="85"/>
        <w:spacing w:before="0" w:beforeAutospacing="0" w:after="0" w:afterAutospacing="0" w:line="360" w:lineRule="auto"/>
        <w:ind w:left="0" w:firstLine="480" w:firstLineChars="200"/>
        <w:rPr>
          <w:rStyle w:val="50"/>
          <w:color w:val="000000" w:themeColor="text1"/>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w:t>
      </w:r>
      <w:r>
        <w:rPr>
          <w:rFonts w:ascii="宋体" w:hAnsi="宋体" w:cs="宋体"/>
          <w:color w:val="000000" w:themeColor="text1"/>
          <w:sz w:val="24"/>
          <w:szCs w:val="24"/>
          <w:highlight w:val="none"/>
          <w14:textFill>
            <w14:solidFill>
              <w14:schemeClr w14:val="tx1"/>
            </w14:solidFill>
          </w14:textFill>
        </w:rPr>
        <w:t>1</w:t>
      </w:r>
      <w:r>
        <w:rPr>
          <w:rFonts w:hint="eastAsia" w:ascii="宋体" w:hAnsi="宋体" w:cs="宋体"/>
          <w:color w:val="000000" w:themeColor="text1"/>
          <w:sz w:val="24"/>
          <w:szCs w:val="24"/>
          <w:highlight w:val="none"/>
          <w14:textFill>
            <w14:solidFill>
              <w14:schemeClr w14:val="tx1"/>
            </w14:solidFill>
          </w14:textFill>
        </w:rPr>
        <w:t>、根据《广州市城中村改造项目改造主体工作评估实施细则（试行）》中的相关要求进行设计。</w:t>
      </w:r>
    </w:p>
    <w:p w14:paraId="53B93ABD">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按广州市通建办有关规定进行设计。</w:t>
      </w:r>
    </w:p>
    <w:p w14:paraId="040F3609">
      <w:pPr>
        <w:spacing w:line="360" w:lineRule="auto"/>
        <w:ind w:firstLine="482" w:firstLineChars="20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color w:val="000000" w:themeColor="text1"/>
          <w:sz w:val="24"/>
          <w:szCs w:val="24"/>
          <w:highlight w:val="none"/>
          <w14:textFill>
            <w14:solidFill>
              <w14:schemeClr w14:val="tx1"/>
            </w14:solidFill>
          </w14:textFill>
        </w:rPr>
        <w:t>Ⅱ</w:t>
      </w:r>
      <w:r>
        <w:rPr>
          <w:rFonts w:hint="eastAsia" w:ascii="宋体" w:hAnsi="宋体" w:eastAsia="宋体" w:cs="宋体"/>
          <w:b/>
          <w:bCs/>
          <w:color w:val="000000" w:themeColor="text1"/>
          <w:sz w:val="24"/>
          <w:szCs w:val="24"/>
          <w:highlight w:val="none"/>
          <w14:textFill>
            <w14:solidFill>
              <w14:schemeClr w14:val="tx1"/>
            </w14:solidFill>
          </w14:textFill>
        </w:rPr>
        <w:t>配套公共建筑智能化设计</w:t>
      </w:r>
    </w:p>
    <w:p w14:paraId="5698B4C9">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应遵循安全可靠、经济合理、安装维护方便的原则。</w:t>
      </w:r>
    </w:p>
    <w:p w14:paraId="3B5C61BB">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中、小学、幼儿园智能化系统配置应满足教育局的相关建设标准，设置广播系统（非消防应急广播系统）、有线电视系统、电话系统、计算机网络系统、视频监控系统。弱电系统管井、分线箱，线槽（管）明装，通信线路敷设到点，插座埋墙安装。预留电视系统、电话系统接入校舍的机房位置。（视频监控系统设计按地标城市学校等级标准设计配置）</w:t>
      </w:r>
    </w:p>
    <w:p w14:paraId="621E0D30">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配套商业等建筑智能化系统配置包括（按建筑实际配置进行取舍）：有线电视系统、信息网络系统、综合布线系统、视频安防监控系统、访客对讲系统、停车场管理系统、电子巡查管理系统、电梯五方对讲系统和机房工程，5G信号覆盖系统。。</w:t>
      </w:r>
    </w:p>
    <w:p w14:paraId="35ECC481">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配套医疗、社区服务中心等建筑智能化系统配置宜包括（按建筑实际配置需进行取舍）：有线电视系统、信息网络系统、综合布线系统、视频安防监控系统、访客对讲系统、停车场管理系统、电梯五方对讲系统、机房工程5G信号覆盖系统。</w:t>
      </w:r>
    </w:p>
    <w:p w14:paraId="573B4913">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其余公建参考相关规范实施。</w:t>
      </w:r>
    </w:p>
    <w:p w14:paraId="186F514B">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智能化系统管理中心设置应以方便维护管理为原则，并宜与消防控制中心合并或紧邻设置。</w:t>
      </w:r>
    </w:p>
    <w:p w14:paraId="018E7999">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智能化系统的设计应充分考虑各专业的协调配合。</w:t>
      </w:r>
    </w:p>
    <w:p w14:paraId="51DBA3C5">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统设计与设备选型应采用先进成熟、稳定可靠的主流技术和主流产品，并已在国内工程得到成熟应用的技术和设备。</w:t>
      </w:r>
    </w:p>
    <w:p w14:paraId="72269774">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所有系统设备应选用标准化产品，设备选型应与技术发展的趋势相适应。遵循开放性原则，软件、硬件、通信接口、网络操作系统和数据库管理系统等应符合国际标准，使系统具备良好的兼容性和扩展性。</w:t>
      </w:r>
    </w:p>
    <w:p w14:paraId="4D8D2F1B">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系统软件应采用中文操作界面。</w:t>
      </w:r>
    </w:p>
    <w:p w14:paraId="3C55034A">
      <w:pPr>
        <w:pStyle w:val="24"/>
        <w:numPr>
          <w:ilvl w:val="0"/>
          <w:numId w:val="5"/>
        </w:numPr>
        <w:ind w:firstLine="501" w:firstLineChars="209"/>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各建筑物应预埋一定数量的弱电进户管道与室外的管网相连。每个地块预留1处4*SC100套管位置。</w:t>
      </w:r>
      <w:bookmarkStart w:id="382" w:name="_Toc9146"/>
      <w:bookmarkStart w:id="383" w:name="_Toc7152"/>
      <w:bookmarkStart w:id="384" w:name="_Toc15464"/>
      <w:bookmarkStart w:id="385" w:name="_Toc104581752"/>
    </w:p>
    <w:p w14:paraId="246BF79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5.4 其他指标</w:t>
      </w:r>
      <w:bookmarkEnd w:id="382"/>
      <w:bookmarkEnd w:id="383"/>
      <w:bookmarkEnd w:id="384"/>
      <w:bookmarkEnd w:id="385"/>
    </w:p>
    <w:p w14:paraId="5D0711AF">
      <w:pPr>
        <w:pStyle w:val="24"/>
        <w:ind w:left="440" w:leftChars="200" w:firstLine="0" w:firstLineChars="0"/>
        <w:jc w:val="left"/>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5.4.1 智能水表远抄系统</w:t>
      </w:r>
    </w:p>
    <w:p w14:paraId="733E43A2">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智能水表远抄系统：是配合给排水专业对居住建筑中对住户计量而设置的远距离抄表系统，此系统是最新出台，本项目虽设有建筑能效系统（内含水表数据收集和传输但非针对性系统），均没有专门对应的设计的系统。需由设计人按照《广州市生活饮用水品质提升技术指引要点（试行）》（穗水【2021】20号）的要求完成智能水表远抄系统的设计工作。</w:t>
      </w:r>
    </w:p>
    <w:p w14:paraId="36B58E9F">
      <w:pPr>
        <w:pStyle w:val="24"/>
        <w:ind w:firstLine="480"/>
        <w:jc w:val="left"/>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5.4.2 生活饮用水品质提升中涉及智能化系统</w:t>
      </w:r>
    </w:p>
    <w:p w14:paraId="6E2D2B79">
      <w:pPr>
        <w:pStyle w:val="85"/>
        <w:spacing w:before="0" w:beforeAutospacing="0" w:after="0" w:afterAutospacing="0" w:line="360" w:lineRule="auto"/>
        <w:ind w:left="0" w:firstLine="480" w:firstLineChars="200"/>
        <w:rPr>
          <w:rFonts w:hint="eastAsia" w:ascii="宋体" w:hAnsi="宋体" w:cs="宋体"/>
          <w:color w:val="000000" w:themeColor="text1"/>
          <w:kern w:val="44"/>
          <w:sz w:val="24"/>
          <w:szCs w:val="24"/>
          <w:highlight w:val="none"/>
          <w14:textFill>
            <w14:solidFill>
              <w14:schemeClr w14:val="tx1"/>
            </w14:solidFill>
          </w14:textFill>
        </w:rPr>
      </w:pPr>
      <w:r>
        <w:rPr>
          <w:rFonts w:hint="eastAsia" w:ascii="宋体" w:hAnsi="宋体" w:cs="宋体"/>
          <w:color w:val="000000" w:themeColor="text1"/>
          <w:kern w:val="44"/>
          <w:sz w:val="24"/>
          <w:szCs w:val="24"/>
          <w:highlight w:val="none"/>
          <w14:textFill>
            <w14:solidFill>
              <w14:schemeClr w14:val="tx1"/>
            </w14:solidFill>
          </w14:textFill>
        </w:rPr>
        <w:t>需由设计人按照《广州市生活饮用水品质提升技术指引要点（试行）》（穗水【2021】20号）的要求进行居住建筑中生活水泵房中的视频监控系统、门禁系统和二次供水水质监测等设计工作。</w:t>
      </w:r>
    </w:p>
    <w:p w14:paraId="55E9A642">
      <w:pPr>
        <w:pStyle w:val="85"/>
        <w:spacing w:beforeAutospacing="0" w:afterAutospacing="0" w:line="360" w:lineRule="auto"/>
        <w:ind w:left="420" w:firstLine="480" w:firstLineChars="200"/>
        <w:rPr>
          <w:rFonts w:hint="eastAsia" w:ascii="宋体" w:hAnsi="宋体" w:cs="宋体"/>
          <w:color w:val="000000" w:themeColor="text1"/>
          <w:kern w:val="44"/>
          <w:sz w:val="24"/>
          <w:szCs w:val="24"/>
          <w:highlight w:val="none"/>
          <w14:textFill>
            <w14:solidFill>
              <w14:schemeClr w14:val="tx1"/>
            </w14:solidFill>
          </w14:textFill>
        </w:rPr>
      </w:pPr>
    </w:p>
    <w:p w14:paraId="7F9C21FE">
      <w:pPr>
        <w:spacing w:line="360" w:lineRule="auto"/>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br w:type="page"/>
      </w:r>
    </w:p>
    <w:p w14:paraId="23D0FC52">
      <w:pPr>
        <w:pStyle w:val="5"/>
        <w:keepNext w:val="0"/>
        <w:keepLines w:val="0"/>
        <w:snapToGrid/>
        <w:spacing w:before="156"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386" w:name="_Toc104581753"/>
      <w:bookmarkStart w:id="387" w:name="_Toc30802"/>
      <w:bookmarkStart w:id="388" w:name="_Toc514"/>
      <w:bookmarkStart w:id="389" w:name="_Toc17929"/>
      <w:bookmarkStart w:id="390" w:name="_Toc17975"/>
      <w:r>
        <w:rPr>
          <w:rFonts w:hint="eastAsia" w:ascii="宋体" w:hAnsi="宋体" w:eastAsia="宋体" w:cs="宋体"/>
          <w:color w:val="000000" w:themeColor="text1"/>
          <w:sz w:val="24"/>
          <w:szCs w:val="24"/>
          <w:highlight w:val="none"/>
          <w14:textFill>
            <w14:solidFill>
              <w14:schemeClr w14:val="tx1"/>
            </w14:solidFill>
          </w14:textFill>
        </w:rPr>
        <w:t>6.暖通设计</w:t>
      </w:r>
      <w:bookmarkEnd w:id="386"/>
      <w:bookmarkEnd w:id="387"/>
      <w:bookmarkEnd w:id="388"/>
      <w:bookmarkEnd w:id="389"/>
      <w:bookmarkEnd w:id="390"/>
    </w:p>
    <w:p w14:paraId="236C90C2">
      <w:pPr>
        <w:pStyle w:val="6"/>
        <w:tabs>
          <w:tab w:val="left" w:pos="284"/>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bookmarkStart w:id="391" w:name="_Toc11031"/>
      <w:r>
        <w:rPr>
          <w:rFonts w:hint="eastAsia" w:ascii="宋体" w:hAnsi="宋体" w:eastAsia="宋体" w:cs="宋体"/>
          <w:color w:val="000000" w:themeColor="text1"/>
          <w:sz w:val="24"/>
          <w:szCs w:val="24"/>
          <w:highlight w:val="none"/>
          <w14:textFill>
            <w14:solidFill>
              <w14:schemeClr w14:val="tx1"/>
            </w14:solidFill>
          </w14:textFill>
        </w:rPr>
        <w:t>6.1 设计依据</w:t>
      </w:r>
      <w:bookmarkEnd w:id="391"/>
    </w:p>
    <w:p w14:paraId="16FA3A72">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6.1.1 在限额设计的基础上保障安置区规划设计基本住房条件和功能质量，使设计满足安全、卫生、适用、经济等性能要求。</w:t>
      </w:r>
    </w:p>
    <w:p w14:paraId="18A0E455">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6.1.2 制定标准参考规范</w:t>
      </w:r>
    </w:p>
    <w:p w14:paraId="6F645E34">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《民用建筑供暖通风与空气调节设计规范》      GB 50736-2012</w:t>
      </w:r>
    </w:p>
    <w:p w14:paraId="787EDC1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《公共建筑节能设计标准》                    GB50189-2015</w:t>
      </w:r>
    </w:p>
    <w:p w14:paraId="35CF1BAD">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                  GB50016-2014（2018 年版）</w:t>
      </w:r>
    </w:p>
    <w:p w14:paraId="65659F47">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《建筑通用防火规范》 </w:t>
      </w:r>
      <w:r>
        <w:rPr>
          <w:rFonts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14:textFill>
            <w14:solidFill>
              <w14:schemeClr w14:val="tx1"/>
            </w14:solidFill>
          </w14:textFill>
        </w:rPr>
        <w:t>GB55037-2022</w:t>
      </w:r>
    </w:p>
    <w:p w14:paraId="069C420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《消防设施通用规范》 </w:t>
      </w:r>
      <w:r>
        <w:rPr>
          <w:rFonts w:ascii="宋体" w:hAnsi="宋体" w:eastAsia="宋体" w:cs="宋体"/>
          <w:color w:val="000000" w:themeColor="text1"/>
          <w:sz w:val="24"/>
          <w:szCs w:val="24"/>
          <w:highlight w:val="none"/>
          <w14:textFill>
            <w14:solidFill>
              <w14:schemeClr w14:val="tx1"/>
            </w14:solidFill>
          </w14:textFill>
        </w:rPr>
        <w:t xml:space="preserve">                     GB55036-2022</w:t>
      </w:r>
    </w:p>
    <w:p w14:paraId="339EF611">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《民用建筑通用规范》 </w:t>
      </w:r>
      <w:r>
        <w:rPr>
          <w:rFonts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14:textFill>
            <w14:solidFill>
              <w14:schemeClr w14:val="tx1"/>
            </w14:solidFill>
          </w14:textFill>
        </w:rPr>
        <w:t>GB55031-2022</w:t>
      </w:r>
    </w:p>
    <w:p w14:paraId="7452C1FD">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bookmarkStart w:id="392" w:name="_Toc18328"/>
      <w:bookmarkStart w:id="393" w:name="_Toc8337"/>
      <w:bookmarkStart w:id="394" w:name="_Toc104581755"/>
      <w:bookmarkStart w:id="395" w:name="_Toc13856"/>
      <w:r>
        <w:rPr>
          <w:rFonts w:hint="eastAsia" w:ascii="宋体" w:hAnsi="宋体" w:eastAsia="宋体" w:cs="宋体"/>
          <w:color w:val="000000" w:themeColor="text1"/>
          <w:sz w:val="24"/>
          <w:szCs w:val="24"/>
          <w:highlight w:val="none"/>
          <w14:textFill>
            <w14:solidFill>
              <w14:schemeClr w14:val="tx1"/>
            </w14:solidFill>
          </w14:textFill>
        </w:rPr>
        <w:t>《建筑防烟排烟系统技术标准》                GB51251-2017</w:t>
      </w:r>
    </w:p>
    <w:p w14:paraId="25E9029E">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《多联机空调系统工程技术规程》              JGJ174-2010</w:t>
      </w:r>
    </w:p>
    <w:p w14:paraId="77163D0A">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《绿色建筑评价标准》                GB/T 50378-2019（2024年版）</w:t>
      </w:r>
    </w:p>
    <w:p w14:paraId="2B309A1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《夏热冬暖地区居住建筑节能设计标准》        JGJ 75-2012</w:t>
      </w:r>
    </w:p>
    <w:p w14:paraId="0293A50C">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《房间空气调节器能效限定值及能效等级》      GB 21455-2019</w:t>
      </w:r>
    </w:p>
    <w:p w14:paraId="752F5E2D">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《中小学校设计规范》                        GB 50099-2011</w:t>
      </w:r>
    </w:p>
    <w:p w14:paraId="353CD39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《车库建筑设计规范》                        JGJ 100-2015</w:t>
      </w:r>
    </w:p>
    <w:p w14:paraId="798F3B1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《汽车库、修车库、停车场设计防火规范》      GB50067-2014</w:t>
      </w:r>
    </w:p>
    <w:p w14:paraId="06DC1597">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《民用建筑暖通空调设计统一技术措施（2022年版）》</w:t>
      </w:r>
    </w:p>
    <w:p w14:paraId="4435091D">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《电动汽车充电基础设施建设技术规程》       DBJ/T 15-150-2018</w:t>
      </w:r>
    </w:p>
    <w:p w14:paraId="41AB6D69">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《饮食业油烟排放标准》                     GB18483-2001</w:t>
      </w:r>
    </w:p>
    <w:p w14:paraId="689120BF">
      <w:pPr>
        <w:spacing w:before="100" w:after="100" w:line="360" w:lineRule="auto"/>
        <w:ind w:firstLine="420" w:firstLineChars="175"/>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《托儿所、幼儿园建筑设计规范》             JGJ39-2016</w:t>
      </w:r>
    </w:p>
    <w:p w14:paraId="22A223CB">
      <w:pPr>
        <w:pStyle w:val="63"/>
        <w:spacing w:line="360" w:lineRule="auto"/>
        <w:ind w:firstLine="480"/>
        <w:rPr>
          <w:rStyle w:val="50"/>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《建筑节能与可再生能源利用通用规范》       GB55015-2021</w:t>
      </w:r>
    </w:p>
    <w:p w14:paraId="4143E58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《建筑与市政工程抗震通用规范》  GB55002-2021</w:t>
      </w:r>
    </w:p>
    <w:p w14:paraId="64C87FFF">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《建筑环境通用规范》    GB55016-2021</w:t>
      </w:r>
    </w:p>
    <w:p w14:paraId="7AE3365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《民用建筑通用规范》       GB55031-2022</w:t>
      </w:r>
    </w:p>
    <w:p w14:paraId="79A7DC1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《消防设施通用规范》        GB55036-2022</w:t>
      </w:r>
    </w:p>
    <w:p w14:paraId="37B2C182">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《建筑防火通用规范》         GB55037-2022</w:t>
      </w:r>
    </w:p>
    <w:p w14:paraId="5FB674C3">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《住宅项目规范》   </w:t>
      </w:r>
      <w:r>
        <w:rPr>
          <w:rStyle w:val="50"/>
          <w:rFonts w:hint="eastAsia"/>
          <w:color w:val="000000" w:themeColor="text1"/>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14:textFill>
            <w14:solidFill>
              <w14:schemeClr w14:val="tx1"/>
            </w14:solidFill>
          </w14:textFill>
        </w:rPr>
        <w:t xml:space="preserve"> GB55038-2025</w:t>
      </w:r>
    </w:p>
    <w:p w14:paraId="75AA4330">
      <w:pPr>
        <w:pStyle w:val="63"/>
        <w:spacing w:line="360" w:lineRule="auto"/>
        <w:ind w:firstLine="480"/>
        <w:rPr>
          <w:rFonts w:hint="eastAsia" w:ascii="宋体" w:hAnsi="宋体" w:eastAsia="宋体" w:cs="宋体"/>
          <w:color w:val="000000" w:themeColor="text1"/>
          <w:sz w:val="24"/>
          <w:szCs w:val="24"/>
          <w:highlight w:val="none"/>
          <w14:textFill>
            <w14:solidFill>
              <w14:schemeClr w14:val="tx1"/>
            </w14:solidFill>
          </w14:textFill>
        </w:rPr>
      </w:pPr>
    </w:p>
    <w:p w14:paraId="1FE08D4A">
      <w:pPr>
        <w:pStyle w:val="6"/>
        <w:tabs>
          <w:tab w:val="left" w:pos="284"/>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6.2 关键指标</w:t>
      </w:r>
      <w:bookmarkEnd w:id="392"/>
      <w:bookmarkEnd w:id="393"/>
      <w:bookmarkEnd w:id="394"/>
      <w:bookmarkEnd w:id="395"/>
    </w:p>
    <w:p w14:paraId="04990550">
      <w:pPr>
        <w:pStyle w:val="24"/>
        <w:spacing w:before="100" w:after="100"/>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6.2.1空调系统设计</w:t>
      </w:r>
    </w:p>
    <w:p w14:paraId="7D6D6EBA">
      <w:pPr>
        <w:pStyle w:val="85"/>
        <w:spacing w:before="0" w:beforeAutospacing="0" w:after="0" w:afterAutospacing="0" w:line="360" w:lineRule="auto"/>
        <w:ind w:left="442" w:leftChars="201" w:firstLine="14" w:firstLineChars="6"/>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6.2.1.1住宅空调系统设计</w:t>
      </w:r>
    </w:p>
    <w:p w14:paraId="6A3DDD43">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①住宅空调按分体式空调预留，</w:t>
      </w:r>
      <w:r>
        <w:rPr>
          <w:rFonts w:hint="eastAsia" w:ascii="宋体" w:hAnsi="宋体" w:cs="宋体"/>
          <w:color w:val="000000" w:themeColor="text1"/>
          <w:sz w:val="24"/>
          <w:szCs w:val="24"/>
          <w:highlight w:val="none"/>
          <w14:textFill>
            <w14:solidFill>
              <w14:schemeClr w14:val="tx1"/>
            </w14:solidFill>
          </w14:textFill>
        </w:rPr>
        <w:t>宜按每单元户内每一室预留一套分体式空调机。</w:t>
      </w:r>
    </w:p>
    <w:p w14:paraId="625E51BE">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②客餐厅面积≥25㎡时，可按柜式空调或壁挂式空调预留安装条件，优先按柜式空调预留安装条件。客餐厅面积&lt;25㎡时，仅按壁挂式空调预留安装条件。当客餐厅面积≥35㎡、进深大于7m且餐厅位置有外窗时，餐厅可单独预留空调室内、外机条件。</w:t>
      </w:r>
    </w:p>
    <w:p w14:paraId="5772D045">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③选用的分体式空调系统机组能效比应满足《公共建筑节能设计标准》相关条文的要求，能效等级不得小于2级。</w:t>
      </w:r>
    </w:p>
    <w:p w14:paraId="6AACD6A2">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④空调室内外机位置及尺寸由建筑专业确定，同时提供室外机位置、预留孔、洞及预埋件大样图纸</w:t>
      </w:r>
      <w:r>
        <w:rPr>
          <w:rFonts w:hint="eastAsia" w:ascii="宋体" w:hAnsi="宋体" w:cs="宋体"/>
          <w:color w:val="000000" w:themeColor="text1"/>
          <w:sz w:val="24"/>
          <w:szCs w:val="24"/>
          <w:highlight w:val="none"/>
          <w:lang w:val="zh-CN"/>
          <w14:textFill>
            <w14:solidFill>
              <w14:schemeClr w14:val="tx1"/>
            </w14:solidFill>
          </w14:textFill>
        </w:rPr>
        <w:t>。</w:t>
      </w:r>
    </w:p>
    <w:p w14:paraId="03B2F074">
      <w:pPr>
        <w:pStyle w:val="85"/>
        <w:spacing w:before="0" w:beforeAutospacing="0" w:after="0" w:afterAutospacing="0" w:line="360" w:lineRule="auto"/>
        <w:ind w:left="442" w:leftChars="201" w:firstLine="14" w:firstLineChars="6"/>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⑤空调配电由电气专业应配合预留插座的用电负荷和位置。</w:t>
      </w:r>
    </w:p>
    <w:p w14:paraId="02BF3F54">
      <w:pPr>
        <w:pStyle w:val="85"/>
        <w:spacing w:before="0" w:beforeAutospacing="0" w:after="0" w:afterAutospacing="0" w:line="360" w:lineRule="auto"/>
        <w:ind w:left="442" w:leftChars="201" w:firstLine="14" w:firstLineChars="6"/>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⑥空调冷凝水排放详见给排水专业。</w:t>
      </w:r>
    </w:p>
    <w:p w14:paraId="7DED1AEE">
      <w:pPr>
        <w:pStyle w:val="63"/>
        <w:spacing w:line="360" w:lineRule="auto"/>
        <w:ind w:firstLine="482"/>
        <w:contextualSpacing/>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6.2.1.2商业配套空调系统</w:t>
      </w:r>
    </w:p>
    <w:p w14:paraId="0C2F1D1E">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w:t>
      </w:r>
      <w:r>
        <w:rPr>
          <w:rFonts w:hint="eastAsia" w:ascii="宋体" w:hAnsi="宋体" w:eastAsia="宋体" w:cs="宋体"/>
          <w:color w:val="000000" w:themeColor="text1"/>
          <w:sz w:val="24"/>
          <w:szCs w:val="24"/>
          <w:highlight w:val="none"/>
          <w14:textFill>
            <w14:solidFill>
              <w14:schemeClr w14:val="tx1"/>
            </w14:solidFill>
          </w14:textFill>
        </w:rPr>
        <w:t>配套的商业原则上采用分体空调，应预留空调室外机的安装位置和条件，预留足够的空调用电负荷。</w:t>
      </w:r>
    </w:p>
    <w:p w14:paraId="067CCDA9">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②配套商业均按40平方米/台预留分体空调，预留分体空调的室外机安装空间净高不得小于1100mm。</w:t>
      </w:r>
    </w:p>
    <w:p w14:paraId="7CEA83FD">
      <w:pPr>
        <w:pStyle w:val="85"/>
        <w:spacing w:before="0" w:beforeAutospacing="0" w:after="0" w:afterAutospacing="0" w:line="360" w:lineRule="auto"/>
        <w:ind w:left="442" w:leftChars="201" w:firstLine="14" w:firstLineChars="6"/>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6.2.1.3学校空调系统（如有）</w:t>
      </w:r>
    </w:p>
    <w:p w14:paraId="4BD67892">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①</w:t>
      </w:r>
      <w:r>
        <w:rPr>
          <w:rFonts w:hint="eastAsia" w:ascii="宋体" w:hAnsi="宋体" w:cs="宋体"/>
          <w:color w:val="000000" w:themeColor="text1"/>
          <w:sz w:val="24"/>
          <w:szCs w:val="24"/>
          <w:highlight w:val="none"/>
          <w14:textFill>
            <w14:solidFill>
              <w14:schemeClr w14:val="tx1"/>
            </w14:solidFill>
          </w14:textFill>
        </w:rPr>
        <w:t>学校的普通教室、办公室、宿舍原则上采用预留分体空调，普通教室分体空调的单台容量不得超过3P。</w:t>
      </w:r>
    </w:p>
    <w:p w14:paraId="7DDC5606">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②学校的餐厅、阶梯教室、大型会议室、报告厅等空调负荷量大或受建筑外立面和建筑体量影响无法设分体空调的区域采用多联机系统，预留安装条件及相关孔洞。</w:t>
      </w:r>
    </w:p>
    <w:p w14:paraId="08DD0DFB">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③设置多联机的空调场所，需设置独立新风系统，新风系统可以采用全热交换器、独立的新风机，优先采用全热交换器，预留安装条件及相关孔洞。</w:t>
      </w:r>
    </w:p>
    <w:p w14:paraId="236E1BF2">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④设置多联机的空调场所，需设置独立新风系统，预留安装条件及相关孔洞。</w:t>
      </w:r>
    </w:p>
    <w:p w14:paraId="5232CA83">
      <w:pPr>
        <w:pStyle w:val="85"/>
        <w:spacing w:before="0" w:beforeAutospacing="0" w:after="0" w:afterAutospacing="0" w:line="360" w:lineRule="auto"/>
        <w:ind w:left="442" w:leftChars="201" w:firstLine="14" w:firstLineChars="6"/>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6.2.1.4配套用房、电梯机房空调系统</w:t>
      </w:r>
    </w:p>
    <w:p w14:paraId="018FD4E4">
      <w:pPr>
        <w:pStyle w:val="85"/>
        <w:spacing w:before="0" w:beforeAutospacing="0" w:after="0" w:afterAutospacing="0" w:line="360" w:lineRule="auto"/>
        <w:ind w:left="442" w:leftChars="201" w:firstLine="14" w:firstLineChars="6"/>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①社区服务中心、物业用房等配套用房优先预留分体空调安装条件及电量。</w:t>
      </w:r>
    </w:p>
    <w:p w14:paraId="05E6E561">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②养老院、社区服务中心、物业用房等空调负荷量大或受建筑外立面和建筑体量影响无法设分体空调的区域采用多联机系统，预留安装条件及相关孔洞。</w:t>
      </w:r>
    </w:p>
    <w:p w14:paraId="05FA76B6">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③设置多联机的空调场所，需设置独立新风系统，预留安装条件及相关孔洞。</w:t>
      </w:r>
    </w:p>
    <w:p w14:paraId="74A8D321">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④多联机室外机设置地方必须考虑其噪声对室内外环境的影响，设置在屋顶上的室外机要考虑其减噪措施。</w:t>
      </w:r>
    </w:p>
    <w:p w14:paraId="0BB87D99">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⑤电梯机房、消防控制室等预留安装分体空调的安装的电气条件和室外机位置。</w:t>
      </w:r>
    </w:p>
    <w:p w14:paraId="3FB7081C">
      <w:pPr>
        <w:pStyle w:val="63"/>
        <w:spacing w:line="360" w:lineRule="auto"/>
        <w:ind w:firstLine="482"/>
        <w:contextualSpacing/>
        <w:rPr>
          <w:rStyle w:val="81"/>
          <w:rFonts w:hint="eastAsia" w:ascii="宋体" w:hAnsi="宋体" w:cs="宋体"/>
          <w:b/>
          <w:bCs/>
          <w:color w:val="000000" w:themeColor="text1"/>
          <w:sz w:val="24"/>
          <w:szCs w:val="24"/>
          <w:highlight w:val="none"/>
          <w14:textFill>
            <w14:solidFill>
              <w14:schemeClr w14:val="tx1"/>
            </w14:solidFill>
          </w14:textFill>
        </w:rPr>
      </w:pPr>
      <w:r>
        <w:rPr>
          <w:rStyle w:val="81"/>
          <w:rFonts w:hint="eastAsia" w:ascii="宋体" w:hAnsi="宋体" w:cs="宋体"/>
          <w:b/>
          <w:bCs/>
          <w:color w:val="000000" w:themeColor="text1"/>
          <w:sz w:val="24"/>
          <w:szCs w:val="24"/>
          <w:highlight w:val="none"/>
          <w14:textFill>
            <w14:solidFill>
              <w14:schemeClr w14:val="tx1"/>
            </w14:solidFill>
          </w14:textFill>
        </w:rPr>
        <w:t>6.2.1.5 酒店、办公空调系统（如有）</w:t>
      </w:r>
    </w:p>
    <w:p w14:paraId="6BBEF67B">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①酒店、办公优先预留分体空调，酒店的餐厅等空调负荷量大或受建筑外立面和建筑体量影响无法设分体空调的酒店、办公区域设计多联机系统。</w:t>
      </w:r>
    </w:p>
    <w:p w14:paraId="1802C47F">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②设置多联机的空调场所，需设置独立新风系统，预留安装条件及相关孔洞。</w:t>
      </w:r>
    </w:p>
    <w:p w14:paraId="3D3900B2">
      <w:pPr>
        <w:pStyle w:val="63"/>
        <w:spacing w:line="360" w:lineRule="auto"/>
        <w:ind w:firstLine="480"/>
        <w:contextualSpacing/>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③多联机室外机设置地方必须考虑其噪声对室内外环境的影响，设置在屋顶上的室外机要考虑其减噪措施。</w:t>
      </w:r>
    </w:p>
    <w:p w14:paraId="4EDC8E38">
      <w:pPr>
        <w:pStyle w:val="24"/>
        <w:spacing w:before="100" w:after="100"/>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6.2.2通风系统设计</w:t>
      </w:r>
    </w:p>
    <w:p w14:paraId="7E48E736">
      <w:pPr>
        <w:pStyle w:val="85"/>
        <w:spacing w:before="0" w:beforeAutospacing="0" w:after="0" w:afterAutospacing="0" w:line="360" w:lineRule="auto"/>
        <w:ind w:left="440" w:leftChars="200"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6.2.2.1 通风换气次数：</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5"/>
        <w:gridCol w:w="3157"/>
        <w:gridCol w:w="1367"/>
        <w:gridCol w:w="1933"/>
      </w:tblGrid>
      <w:tr w14:paraId="3F034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2065" w:type="dxa"/>
            <w:vAlign w:val="center"/>
          </w:tcPr>
          <w:p w14:paraId="4DDAFFE6">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区域/房间</w:t>
            </w:r>
          </w:p>
        </w:tc>
        <w:tc>
          <w:tcPr>
            <w:tcW w:w="3157" w:type="dxa"/>
            <w:vAlign w:val="center"/>
          </w:tcPr>
          <w:p w14:paraId="6597E901">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排风量</w:t>
            </w:r>
          </w:p>
        </w:tc>
        <w:tc>
          <w:tcPr>
            <w:tcW w:w="1367" w:type="dxa"/>
            <w:vAlign w:val="center"/>
          </w:tcPr>
          <w:p w14:paraId="0FD2AC06">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进（补）风</w:t>
            </w:r>
          </w:p>
        </w:tc>
        <w:tc>
          <w:tcPr>
            <w:tcW w:w="1933" w:type="dxa"/>
            <w:vAlign w:val="center"/>
          </w:tcPr>
          <w:p w14:paraId="201E21CC">
            <w:pPr>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备注</w:t>
            </w:r>
          </w:p>
        </w:tc>
      </w:tr>
      <w:tr w14:paraId="373C1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C57981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停车库</w:t>
            </w:r>
          </w:p>
        </w:tc>
        <w:tc>
          <w:tcPr>
            <w:tcW w:w="3157" w:type="dxa"/>
            <w:vAlign w:val="center"/>
          </w:tcPr>
          <w:p w14:paraId="4771A8B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4次/小时（住宅普通车库）</w:t>
            </w:r>
          </w:p>
          <w:p w14:paraId="6E62DEC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4.8次/小时（住宅充电车库）</w:t>
            </w:r>
          </w:p>
          <w:p w14:paraId="6209781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6次/小时（商业普通车库）</w:t>
            </w:r>
          </w:p>
        </w:tc>
        <w:tc>
          <w:tcPr>
            <w:tcW w:w="1367" w:type="dxa"/>
            <w:vAlign w:val="center"/>
          </w:tcPr>
          <w:p w14:paraId="2052129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机械补风/自然补风</w:t>
            </w:r>
          </w:p>
        </w:tc>
        <w:tc>
          <w:tcPr>
            <w:tcW w:w="1933" w:type="dxa"/>
            <w:vAlign w:val="center"/>
          </w:tcPr>
          <w:p w14:paraId="07A099E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有条件优先自然补风</w:t>
            </w:r>
          </w:p>
        </w:tc>
      </w:tr>
      <w:tr w14:paraId="75209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165F32F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非机动车库</w:t>
            </w:r>
          </w:p>
        </w:tc>
        <w:tc>
          <w:tcPr>
            <w:tcW w:w="3157" w:type="dxa"/>
            <w:vAlign w:val="center"/>
          </w:tcPr>
          <w:p w14:paraId="5D3226C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3次/小时</w:t>
            </w:r>
          </w:p>
        </w:tc>
        <w:tc>
          <w:tcPr>
            <w:tcW w:w="1367" w:type="dxa"/>
            <w:vAlign w:val="center"/>
          </w:tcPr>
          <w:p w14:paraId="6806C1B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机械补风/自然补风</w:t>
            </w:r>
          </w:p>
        </w:tc>
        <w:tc>
          <w:tcPr>
            <w:tcW w:w="1933" w:type="dxa"/>
            <w:vAlign w:val="center"/>
          </w:tcPr>
          <w:p w14:paraId="6641608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有条件优先自然补风</w:t>
            </w:r>
          </w:p>
        </w:tc>
      </w:tr>
      <w:tr w14:paraId="5A357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D6D5FE7">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高低压配电房</w:t>
            </w:r>
          </w:p>
        </w:tc>
        <w:tc>
          <w:tcPr>
            <w:tcW w:w="3157" w:type="dxa"/>
            <w:vAlign w:val="center"/>
          </w:tcPr>
          <w:p w14:paraId="68051FE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12次/小时（按散热量校核）</w:t>
            </w:r>
          </w:p>
        </w:tc>
        <w:tc>
          <w:tcPr>
            <w:tcW w:w="1367" w:type="dxa"/>
            <w:vAlign w:val="center"/>
          </w:tcPr>
          <w:p w14:paraId="27A6761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机械补风/自然补风</w:t>
            </w:r>
          </w:p>
        </w:tc>
        <w:tc>
          <w:tcPr>
            <w:tcW w:w="1933" w:type="dxa"/>
            <w:vAlign w:val="center"/>
          </w:tcPr>
          <w:p w14:paraId="380CB2D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室温不超40℃，有条件优先自然补风</w:t>
            </w:r>
          </w:p>
        </w:tc>
      </w:tr>
      <w:tr w14:paraId="373F1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5176AC4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变压器房</w:t>
            </w:r>
          </w:p>
        </w:tc>
        <w:tc>
          <w:tcPr>
            <w:tcW w:w="3157" w:type="dxa"/>
            <w:vAlign w:val="center"/>
          </w:tcPr>
          <w:p w14:paraId="50BD0B9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25次/小时（按散热量校核）</w:t>
            </w:r>
          </w:p>
        </w:tc>
        <w:tc>
          <w:tcPr>
            <w:tcW w:w="1367" w:type="dxa"/>
            <w:vAlign w:val="center"/>
          </w:tcPr>
          <w:p w14:paraId="7F71B4B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机械补风/自然补风</w:t>
            </w:r>
          </w:p>
        </w:tc>
        <w:tc>
          <w:tcPr>
            <w:tcW w:w="1933" w:type="dxa"/>
            <w:vAlign w:val="center"/>
          </w:tcPr>
          <w:p w14:paraId="482E6755">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室温不超40℃，有条件优先自然补风</w:t>
            </w:r>
          </w:p>
        </w:tc>
      </w:tr>
      <w:tr w14:paraId="6D4D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0981E6E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配电/电表/电信间</w:t>
            </w:r>
          </w:p>
        </w:tc>
        <w:tc>
          <w:tcPr>
            <w:tcW w:w="3157" w:type="dxa"/>
            <w:vAlign w:val="center"/>
          </w:tcPr>
          <w:p w14:paraId="5782F3D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3次/小时</w:t>
            </w:r>
          </w:p>
        </w:tc>
        <w:tc>
          <w:tcPr>
            <w:tcW w:w="1367" w:type="dxa"/>
            <w:vAlign w:val="center"/>
          </w:tcPr>
          <w:p w14:paraId="55D08DF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3CE30BE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FFA9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51AA530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电梯机房</w:t>
            </w:r>
          </w:p>
        </w:tc>
        <w:tc>
          <w:tcPr>
            <w:tcW w:w="3157" w:type="dxa"/>
            <w:vAlign w:val="center"/>
          </w:tcPr>
          <w:p w14:paraId="0E403FB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20次/小时（按散热量校核）</w:t>
            </w:r>
          </w:p>
        </w:tc>
        <w:tc>
          <w:tcPr>
            <w:tcW w:w="1367" w:type="dxa"/>
            <w:vAlign w:val="center"/>
          </w:tcPr>
          <w:p w14:paraId="51D9E35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2EF45F59">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预留分体空调</w:t>
            </w:r>
          </w:p>
        </w:tc>
      </w:tr>
      <w:tr w14:paraId="5A1DD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B7701A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生活水泵房</w:t>
            </w:r>
          </w:p>
        </w:tc>
        <w:tc>
          <w:tcPr>
            <w:tcW w:w="3157" w:type="dxa"/>
            <w:vAlign w:val="center"/>
          </w:tcPr>
          <w:p w14:paraId="1F87F1F0">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4次/小时</w:t>
            </w:r>
          </w:p>
        </w:tc>
        <w:tc>
          <w:tcPr>
            <w:tcW w:w="1367" w:type="dxa"/>
            <w:vAlign w:val="center"/>
          </w:tcPr>
          <w:p w14:paraId="3D593E8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w:t>
            </w:r>
          </w:p>
        </w:tc>
        <w:tc>
          <w:tcPr>
            <w:tcW w:w="1933" w:type="dxa"/>
            <w:vAlign w:val="center"/>
          </w:tcPr>
          <w:p w14:paraId="23C1BA89">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73115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44F2F49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污水泵房</w:t>
            </w:r>
          </w:p>
        </w:tc>
        <w:tc>
          <w:tcPr>
            <w:tcW w:w="3157" w:type="dxa"/>
            <w:vAlign w:val="center"/>
          </w:tcPr>
          <w:p w14:paraId="379D8C6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8次/小时</w:t>
            </w:r>
          </w:p>
        </w:tc>
        <w:tc>
          <w:tcPr>
            <w:tcW w:w="1367" w:type="dxa"/>
            <w:vAlign w:val="center"/>
          </w:tcPr>
          <w:p w14:paraId="322160C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机械补风</w:t>
            </w:r>
          </w:p>
        </w:tc>
        <w:tc>
          <w:tcPr>
            <w:tcW w:w="1933" w:type="dxa"/>
            <w:vAlign w:val="center"/>
          </w:tcPr>
          <w:p w14:paraId="458AA60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活性炭处理</w:t>
            </w:r>
          </w:p>
        </w:tc>
      </w:tr>
      <w:tr w14:paraId="3981A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B9ACBB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发电机房</w:t>
            </w:r>
          </w:p>
        </w:tc>
        <w:tc>
          <w:tcPr>
            <w:tcW w:w="3157" w:type="dxa"/>
            <w:vAlign w:val="center"/>
          </w:tcPr>
          <w:p w14:paraId="7C86EE7E">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6次/小时</w:t>
            </w:r>
          </w:p>
        </w:tc>
        <w:tc>
          <w:tcPr>
            <w:tcW w:w="1367" w:type="dxa"/>
            <w:vAlign w:val="center"/>
          </w:tcPr>
          <w:p w14:paraId="5F785A12">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27245FF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发电机工艺通风、排烟及降噪由发电机厂家深化设计</w:t>
            </w:r>
          </w:p>
        </w:tc>
      </w:tr>
      <w:tr w14:paraId="09C13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3DEF730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储油间</w:t>
            </w:r>
          </w:p>
        </w:tc>
        <w:tc>
          <w:tcPr>
            <w:tcW w:w="3157" w:type="dxa"/>
            <w:vAlign w:val="center"/>
          </w:tcPr>
          <w:p w14:paraId="261D965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12次/小时</w:t>
            </w:r>
          </w:p>
        </w:tc>
        <w:tc>
          <w:tcPr>
            <w:tcW w:w="1367" w:type="dxa"/>
            <w:vAlign w:val="center"/>
          </w:tcPr>
          <w:p w14:paraId="581D283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719C06E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储油间通向室外的通气管由发电机厂家深化设计</w:t>
            </w:r>
          </w:p>
        </w:tc>
      </w:tr>
      <w:tr w14:paraId="24441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5417D7FD">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垃圾间</w:t>
            </w:r>
          </w:p>
        </w:tc>
        <w:tc>
          <w:tcPr>
            <w:tcW w:w="3157" w:type="dxa"/>
            <w:vAlign w:val="center"/>
          </w:tcPr>
          <w:p w14:paraId="31C5DCB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20次/小时</w:t>
            </w:r>
          </w:p>
        </w:tc>
        <w:tc>
          <w:tcPr>
            <w:tcW w:w="1367" w:type="dxa"/>
            <w:vAlign w:val="center"/>
          </w:tcPr>
          <w:p w14:paraId="0EB1A0E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4F77069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活性炭处理</w:t>
            </w:r>
          </w:p>
        </w:tc>
      </w:tr>
      <w:tr w14:paraId="4E619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6487B27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一般设备房</w:t>
            </w:r>
          </w:p>
        </w:tc>
        <w:tc>
          <w:tcPr>
            <w:tcW w:w="3157" w:type="dxa"/>
            <w:vAlign w:val="center"/>
          </w:tcPr>
          <w:p w14:paraId="44D71E4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3次/小时</w:t>
            </w:r>
          </w:p>
        </w:tc>
        <w:tc>
          <w:tcPr>
            <w:tcW w:w="1367" w:type="dxa"/>
            <w:vAlign w:val="center"/>
          </w:tcPr>
          <w:p w14:paraId="0BB184D4">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3441763C">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45F7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120F8798">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公共卫生间</w:t>
            </w:r>
          </w:p>
        </w:tc>
        <w:tc>
          <w:tcPr>
            <w:tcW w:w="3157" w:type="dxa"/>
            <w:vAlign w:val="center"/>
          </w:tcPr>
          <w:p w14:paraId="78D1846B">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10次/小时</w:t>
            </w:r>
          </w:p>
        </w:tc>
        <w:tc>
          <w:tcPr>
            <w:tcW w:w="1367" w:type="dxa"/>
            <w:vAlign w:val="center"/>
          </w:tcPr>
          <w:p w14:paraId="18D1F18A">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492BE791">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18698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2065" w:type="dxa"/>
            <w:vAlign w:val="center"/>
          </w:tcPr>
          <w:p w14:paraId="4D052FA3">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厨房</w:t>
            </w:r>
          </w:p>
        </w:tc>
        <w:tc>
          <w:tcPr>
            <w:tcW w:w="3157" w:type="dxa"/>
            <w:vAlign w:val="center"/>
          </w:tcPr>
          <w:p w14:paraId="5B015196">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50次/小时</w:t>
            </w:r>
          </w:p>
        </w:tc>
        <w:tc>
          <w:tcPr>
            <w:tcW w:w="1367" w:type="dxa"/>
            <w:vAlign w:val="center"/>
          </w:tcPr>
          <w:p w14:paraId="5CA3CB5F">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自然补风</w:t>
            </w:r>
          </w:p>
        </w:tc>
        <w:tc>
          <w:tcPr>
            <w:tcW w:w="1933" w:type="dxa"/>
            <w:vAlign w:val="center"/>
          </w:tcPr>
          <w:p w14:paraId="12BDDA39">
            <w:pPr>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bl>
    <w:p w14:paraId="236B656F">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6.2.2.2地下车库平时通风系统与消防合用时采用双速风机进行排烟、排风，风机平时低速运行，火灾时高速运行。当平时排风量/排烟量=60%~80%时，选用双速风机，其余情况设单速风机。平时排风宜根据CO气体浓度自动启停通风系统，适应不同情况下车库的风量需求，节省运行费用。地下室车库在满足卫生、消防补风的情况下尽量采用自然补风，消防和平时合用的排风(排烟)风机及进风机根据防火分区的划分选择风机，进、排风机数量一个地块不得分别超过5个规格。平时排风风量：当车库层高＜3m，按实际高度计算换气体积；当车库层高≥3m，按3m高度计算换气体积；设有分布均匀可开启外窗、或通风天窗、或洞口、或出入口直接对外且未设置防火卷帘的防火分区，应采用自然补风；不具备自然补风条件时，应设置机械补风系统，补风风量不应小于该防火分区排烟风量的50%且不宜小于平时排风量的80%。地下车库排烟兼排风风机、补风机采用低噪音离心风机，加压风机采用轴流风机。</w:t>
      </w:r>
    </w:p>
    <w:p w14:paraId="6A1F1389">
      <w:pPr>
        <w:pStyle w:val="24"/>
        <w:spacing w:before="100" w:after="100"/>
        <w:ind w:firstLine="560"/>
        <w:rPr>
          <w:rFonts w:hint="eastAsia" w:hAnsi="宋体" w:cs="宋体"/>
          <w:color w:val="000000" w:themeColor="text1"/>
          <w:szCs w:val="24"/>
          <w:highlight w:val="none"/>
          <w14:textFill>
            <w14:solidFill>
              <w14:schemeClr w14:val="tx1"/>
            </w14:solidFill>
          </w14:textFill>
        </w:rPr>
      </w:pPr>
      <w:r>
        <w:rPr>
          <w:rStyle w:val="81"/>
          <w:rFonts w:hint="eastAsia" w:hAnsi="宋体" w:cs="宋体"/>
          <w:color w:val="000000" w:themeColor="text1"/>
          <w:szCs w:val="24"/>
          <w:highlight w:val="none"/>
          <w14:textFill>
            <w14:solidFill>
              <w14:schemeClr w14:val="tx1"/>
            </w14:solidFill>
          </w14:textFill>
        </w:rPr>
        <w:t xml:space="preserve">6.2.2.3 </w:t>
      </w:r>
      <w:r>
        <w:rPr>
          <w:rFonts w:hint="eastAsia" w:hAnsi="宋体" w:cs="宋体"/>
          <w:color w:val="000000" w:themeColor="text1"/>
          <w:szCs w:val="24"/>
          <w:highlight w:val="none"/>
          <w14:textFill>
            <w14:solidFill>
              <w14:schemeClr w14:val="tx1"/>
            </w14:solidFill>
          </w14:textFill>
        </w:rPr>
        <w:t>电气变配电用房应设置平时机械通风系统，并根据热平衡计算通风量。</w:t>
      </w:r>
    </w:p>
    <w:p w14:paraId="453D6229">
      <w:pPr>
        <w:pStyle w:val="24"/>
        <w:spacing w:before="100" w:after="100"/>
        <w:ind w:firstLine="560"/>
        <w:rPr>
          <w:rFonts w:hint="eastAsia" w:hAnsi="宋体" w:cs="宋体"/>
          <w:color w:val="000000" w:themeColor="text1"/>
          <w:szCs w:val="24"/>
          <w:highlight w:val="none"/>
          <w14:textFill>
            <w14:solidFill>
              <w14:schemeClr w14:val="tx1"/>
            </w14:solidFill>
          </w14:textFill>
        </w:rPr>
      </w:pPr>
      <w:r>
        <w:rPr>
          <w:rStyle w:val="81"/>
          <w:rFonts w:hint="eastAsia" w:hAnsi="宋体" w:cs="宋体"/>
          <w:color w:val="000000" w:themeColor="text1"/>
          <w:szCs w:val="24"/>
          <w:highlight w:val="none"/>
          <w14:textFill>
            <w14:solidFill>
              <w14:schemeClr w14:val="tx1"/>
            </w14:solidFill>
          </w14:textFill>
        </w:rPr>
        <w:t>6.2.2.4</w:t>
      </w:r>
      <w:r>
        <w:rPr>
          <w:rFonts w:hint="eastAsia" w:hAnsi="宋体" w:cs="宋体"/>
          <w:color w:val="000000" w:themeColor="text1"/>
          <w:szCs w:val="24"/>
          <w:highlight w:val="none"/>
          <w14:textFill>
            <w14:solidFill>
              <w14:schemeClr w14:val="tx1"/>
            </w14:solidFill>
          </w14:textFill>
        </w:rPr>
        <w:t>采用气体灭火系统的地下室设备房、地上无可开启外窗设备房，应设置火灾事故后排风系统（可合用）。火灾事故后排风系统设计应符合有关的防火规范，室内吸风口位置应设置在有害气体可能聚集的地方，排风口应设置在室外非主要人员活动及易于放散的区域。</w:t>
      </w:r>
    </w:p>
    <w:p w14:paraId="5EEB8E3E">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6.2.3 防排烟系统设计</w:t>
      </w:r>
    </w:p>
    <w:p w14:paraId="0DBCC81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6.2.3.1 住宅建筑的防烟楼梯间及其前室、消防电梯间前室和合用前室，应优先选择采用自然通风的方式。</w:t>
      </w:r>
    </w:p>
    <w:p w14:paraId="1E545BCB">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6.2.3.2 设置机械加压时，三合一前室的加压送风量按图集20K607的1.5.1条的规则计算。</w:t>
      </w:r>
    </w:p>
    <w:p w14:paraId="25523AE3">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6.2.3.3 地上三合一前室根据防排烟规范必须设置机械加压系统。</w:t>
      </w:r>
    </w:p>
    <w:p w14:paraId="5EA9DC8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6.2.3.4 设置机械加压的楼梯或前室，余压控制采用余压监控系统。</w:t>
      </w:r>
    </w:p>
    <w:p w14:paraId="357DD42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6.2.3.5 排烟、加压风机均应设置在专用的风机房内，不应将风机直接吊装在通风、排烟区域内，机房门应能满足检修时的使用要求。</w:t>
      </w:r>
    </w:p>
    <w:p w14:paraId="37409CFB">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6.2.3.6 靠近车道出入口的防火分区，尽量采用车道进行补风。</w:t>
      </w:r>
    </w:p>
    <w:p w14:paraId="44D32798">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6.2.3.7 高大空间采用自然排烟窗还是机械排烟，必须经简单的经济技术比较才选用，避免造成成本极大浪费。</w:t>
      </w:r>
    </w:p>
    <w:p w14:paraId="73A2C6F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6.2.3.8 配套商业原则上采用自然排烟，配合建筑专业做好自然排烟窗。</w:t>
      </w:r>
    </w:p>
    <w:p w14:paraId="46B7B5E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6.2.3.9 建筑防排烟设置应满足《建筑防排烟技术标准》（GB51251-2017）和《防排烟及暖通防火设计审查与安装的要求》(20K607)的要求。</w:t>
      </w:r>
    </w:p>
    <w:p w14:paraId="10CAB73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6.2.3.10 地下车库排烟量应满足≤汽车库、修车库、停车库设计防火规范≥（GB50067-2014）和≤电动汽车充电桩基础设施建设技术规程≥(DNJ/T15-150-2018)的要求。</w:t>
      </w:r>
    </w:p>
    <w:p w14:paraId="4BE461D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6.2.3.11 防排烟系统设计：地下室柴油发电机房面积控制小于50平方米，否则需考虑机械排烟系统。</w:t>
      </w:r>
    </w:p>
    <w:p w14:paraId="138A8EA3">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396" w:name="_Toc26711"/>
      <w:bookmarkStart w:id="397" w:name="_Toc104581756"/>
      <w:bookmarkStart w:id="398" w:name="_Toc19450"/>
      <w:bookmarkStart w:id="399" w:name="_Toc10389"/>
      <w:r>
        <w:rPr>
          <w:rFonts w:hint="eastAsia" w:ascii="宋体" w:hAnsi="宋体" w:eastAsia="宋体" w:cs="宋体"/>
          <w:color w:val="000000" w:themeColor="text1"/>
          <w:sz w:val="24"/>
          <w:szCs w:val="24"/>
          <w:highlight w:val="none"/>
          <w14:textFill>
            <w14:solidFill>
              <w14:schemeClr w14:val="tx1"/>
            </w14:solidFill>
          </w14:textFill>
        </w:rPr>
        <w:t>6.3 通用指标</w:t>
      </w:r>
      <w:bookmarkEnd w:id="396"/>
      <w:bookmarkEnd w:id="397"/>
      <w:bookmarkEnd w:id="398"/>
      <w:bookmarkEnd w:id="399"/>
    </w:p>
    <w:p w14:paraId="458EBDA9">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通风系统设计</w:t>
      </w:r>
    </w:p>
    <w:p w14:paraId="100EC9F3">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住宅户内卫生间</w:t>
      </w:r>
    </w:p>
    <w:p w14:paraId="226622AE">
      <w:pPr>
        <w:pStyle w:val="24"/>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1.1 通用布置原则：优先采用外墙开窗并预留排气扇，不设排气道，每个卫生间外墙预留一个DN160的洞。排气口避开人员活动区，不应开向公共空间。暗卫及条件受限的明卫应采用成品排气道，设置排气扇。</w:t>
      </w:r>
    </w:p>
    <w:p w14:paraId="434D37EA">
      <w:pPr>
        <w:pStyle w:val="24"/>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1.2 排气出口处加装不锈钢半球形防水罩，防水罩应进行喷涂，颜色同外墙。</w:t>
      </w:r>
    </w:p>
    <w:p w14:paraId="0466E986">
      <w:pPr>
        <w:pStyle w:val="24"/>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 卫生间设置成品排气道时，应贴沉箱底或板底在成品风道侧壁，设置DN100（或根据实际情况计算选用）镀锌钢板防火阀，排气扇、排风机、暖风机自带止回阀，规格采用DN100或根据实际情况计算选用。</w:t>
      </w:r>
    </w:p>
    <w:p w14:paraId="7B19612A">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公共卫生间、无外窗卫生间应设置机械通风系统，排风经天花式排气扇或排风机排出室外，利用负压自然补风。</w:t>
      </w:r>
    </w:p>
    <w:p w14:paraId="17B17DE6">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柴油发电机房、储油间平时通风采用独立的送、排风系统，并采取相关的防爆措施。</w:t>
      </w:r>
    </w:p>
    <w:p w14:paraId="0F379AED">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电梯机房根据电梯发热量设机械通风系统，进排风口位置合理。预留安装分体空调的安装的电气条件和室外机位置。</w:t>
      </w:r>
    </w:p>
    <w:p w14:paraId="633F3CAE">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垃圾转运站和餐饮用的污水泵房的排风必须经过活性炭处理达到排放标准才能排放，且排放口不得位于人员主要出入口。</w:t>
      </w:r>
    </w:p>
    <w:p w14:paraId="0C07BD19">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因燃气使用或燃气管通过等原因必须设置事故排风的房间，按规范设置事故排风装置及燃气泄漏探测系统，具体详见燃气专业说明及图纸，事故排风机采用防爆型，并设置导除静电装置。事故通风的手动控制装置应在室内外便于操作的地点分别设置。</w:t>
      </w:r>
    </w:p>
    <w:p w14:paraId="1FEE326A">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人防地下室的战时通风系统设计应符合相关的国家人防工程设计规范，并应考虑平战结合设计。</w:t>
      </w:r>
    </w:p>
    <w:p w14:paraId="1010C72E">
      <w:pPr>
        <w:pStyle w:val="24"/>
        <w:numPr>
          <w:ilvl w:val="0"/>
          <w:numId w:val="7"/>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当地下车库选用双速风机时，单个风机的占地面积不超过2mX2m，单个风机房的有效尺寸不宜超过3.5mX3.8m，两个风机共用机房有效尺寸不宜超过6mX3.8m(不含管井面积，管井宽度不宜小于600mm)。</w:t>
      </w:r>
    </w:p>
    <w:p w14:paraId="6EB5EBCD">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排油烟系统设计</w:t>
      </w:r>
    </w:p>
    <w:p w14:paraId="54240B3C">
      <w:pPr>
        <w:pStyle w:val="24"/>
        <w:numPr>
          <w:ilvl w:val="0"/>
          <w:numId w:val="8"/>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住宅建筑厨房排油烟应设置共用排气竖井（烟道），共用竖井（烟道）应采用具有能够防止油烟回流设施的定型产品，管道材料应符合相关国家消防规范的要求。</w:t>
      </w:r>
    </w:p>
    <w:p w14:paraId="05CFEF11">
      <w:pPr>
        <w:pStyle w:val="24"/>
        <w:numPr>
          <w:ilvl w:val="0"/>
          <w:numId w:val="8"/>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公共厨房设置排油烟及通风系统，厨房排油烟要求经净化处理后排放，油烟浓度须满足《饮食业油烟排放标准》GB18483-2001规定，排油烟系统环保、隔声设计满足《饮食业环境保护技术规范》HJ554-2010要求，油烟排放口与周边建筑间距建议≥20m并达到当地环评要求。</w:t>
      </w:r>
    </w:p>
    <w:p w14:paraId="151312BB">
      <w:pPr>
        <w:pStyle w:val="24"/>
        <w:numPr>
          <w:ilvl w:val="0"/>
          <w:numId w:val="8"/>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餐饮所在建筑物高度小于等于15m时，油烟排放口应高于屋顶；建筑物高度大于15m时，油烟排放口高度应大于15m。</w:t>
      </w:r>
    </w:p>
    <w:p w14:paraId="17C24237">
      <w:pPr>
        <w:pStyle w:val="24"/>
        <w:numPr>
          <w:ilvl w:val="0"/>
          <w:numId w:val="8"/>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商铺排油烟方案设计原则:</w:t>
      </w:r>
    </w:p>
    <w:p w14:paraId="1272E6E4">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4.1 排油烟管应尽量避免横向穿越其他商铺，宜采用以下方案：</w:t>
      </w:r>
    </w:p>
    <w:tbl>
      <w:tblPr>
        <w:tblStyle w:val="42"/>
        <w:tblW w:w="795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73"/>
        <w:gridCol w:w="2465"/>
        <w:gridCol w:w="4618"/>
      </w:tblGrid>
      <w:tr w14:paraId="79AF4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4" w:hRule="atLeast"/>
          <w:jc w:val="center"/>
        </w:trPr>
        <w:tc>
          <w:tcPr>
            <w:tcW w:w="873" w:type="dxa"/>
          </w:tcPr>
          <w:p w14:paraId="5D106110">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优先级</w:t>
            </w:r>
          </w:p>
        </w:tc>
        <w:tc>
          <w:tcPr>
            <w:tcW w:w="2465" w:type="dxa"/>
          </w:tcPr>
          <w:p w14:paraId="58689168">
            <w:pPr>
              <w:pStyle w:val="63"/>
              <w:autoSpaceDE w:val="0"/>
              <w:autoSpaceDN w:val="0"/>
              <w:adjustRightInd w:val="0"/>
              <w:spacing w:line="36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方案</w:t>
            </w:r>
          </w:p>
        </w:tc>
        <w:tc>
          <w:tcPr>
            <w:tcW w:w="4618" w:type="dxa"/>
          </w:tcPr>
          <w:p w14:paraId="3E9F2084">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井道图示</w:t>
            </w:r>
          </w:p>
        </w:tc>
      </w:tr>
      <w:tr w14:paraId="7CF6B6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7" w:hRule="atLeast"/>
          <w:jc w:val="center"/>
        </w:trPr>
        <w:tc>
          <w:tcPr>
            <w:tcW w:w="873" w:type="dxa"/>
          </w:tcPr>
          <w:p w14:paraId="54D1EB07">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14324D54">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68CD4490">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25CC393B">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26BC5C02">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23228ED2">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c>
          <w:tcPr>
            <w:tcW w:w="2465" w:type="dxa"/>
          </w:tcPr>
          <w:p w14:paraId="7FCDDCCF">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单层商铺油烟井按每个商铺独立设置，井道采用顶板开洞，最底层井道不落地。多层商铺油烟井按商铺分隔竖向设置，多层商铺竖向合用排油烟道，每个商铺的油烟支管从油烟井道接出，油烟管道不穿越其他商铺。</w:t>
            </w:r>
          </w:p>
        </w:tc>
        <w:tc>
          <w:tcPr>
            <w:tcW w:w="4618" w:type="dxa"/>
          </w:tcPr>
          <w:p w14:paraId="179CFF31">
            <w:pPr>
              <w:pStyle w:val="63"/>
              <w:autoSpaceDE w:val="0"/>
              <w:autoSpaceDN w:val="0"/>
              <w:adjustRightInd w:val="0"/>
              <w:spacing w:line="36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drawing>
                <wp:anchor distT="0" distB="0" distL="114300" distR="114300" simplePos="0" relativeHeight="251663360" behindDoc="0" locked="0" layoutInCell="1" allowOverlap="1">
                  <wp:simplePos x="0" y="0"/>
                  <wp:positionH relativeFrom="column">
                    <wp:posOffset>324485</wp:posOffset>
                  </wp:positionH>
                  <wp:positionV relativeFrom="paragraph">
                    <wp:posOffset>44450</wp:posOffset>
                  </wp:positionV>
                  <wp:extent cx="2218055" cy="1638935"/>
                  <wp:effectExtent l="0" t="0" r="10795" b="18415"/>
                  <wp:wrapNone/>
                  <wp:docPr id="30" name="图片 37" descr="1542888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7" descr="1542888684(1)"/>
                          <pic:cNvPicPr>
                            <a:picLocks noChangeAspect="1"/>
                          </pic:cNvPicPr>
                        </pic:nvPicPr>
                        <pic:blipFill>
                          <a:blip r:embed="rId15" cstate="print"/>
                          <a:stretch>
                            <a:fillRect/>
                          </a:stretch>
                        </pic:blipFill>
                        <pic:spPr>
                          <a:xfrm>
                            <a:off x="0" y="0"/>
                            <a:ext cx="2218055" cy="1638935"/>
                          </a:xfrm>
                          <a:prstGeom prst="rect">
                            <a:avLst/>
                          </a:prstGeom>
                          <a:noFill/>
                          <a:ln>
                            <a:noFill/>
                          </a:ln>
                        </pic:spPr>
                      </pic:pic>
                    </a:graphicData>
                  </a:graphic>
                </wp:anchor>
              </w:drawing>
            </w:r>
          </w:p>
        </w:tc>
      </w:tr>
      <w:tr w14:paraId="079D9D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79" w:hRule="atLeast"/>
          <w:jc w:val="center"/>
        </w:trPr>
        <w:tc>
          <w:tcPr>
            <w:tcW w:w="873" w:type="dxa"/>
          </w:tcPr>
          <w:p w14:paraId="1FBF1D80">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01DB79F7">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5BE2B0A0">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229ED74D">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42B6620A">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69DBF4E5">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364ED82C">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09C7E7CE">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2465" w:type="dxa"/>
          </w:tcPr>
          <w:p w14:paraId="551478D1">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0D6BBF7F">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799E2F3E">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448761FF">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18C752E0">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31C309AF">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油烟井按区域集中设置在商铺靠外墙且远离塔楼的位置，油烟水平主管敷设于背立面外墙或背立面廊道吊顶内。</w:t>
            </w:r>
          </w:p>
        </w:tc>
        <w:tc>
          <w:tcPr>
            <w:tcW w:w="4618" w:type="dxa"/>
          </w:tcPr>
          <w:p w14:paraId="22573BCB">
            <w:pPr>
              <w:pStyle w:val="63"/>
              <w:autoSpaceDE w:val="0"/>
              <w:autoSpaceDN w:val="0"/>
              <w:adjustRightInd w:val="0"/>
              <w:spacing w:line="36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drawing>
                <wp:anchor distT="0" distB="0" distL="114300" distR="114300" simplePos="0" relativeHeight="251665408" behindDoc="0" locked="0" layoutInCell="1" allowOverlap="1">
                  <wp:simplePos x="0" y="0"/>
                  <wp:positionH relativeFrom="column">
                    <wp:posOffset>172085</wp:posOffset>
                  </wp:positionH>
                  <wp:positionV relativeFrom="paragraph">
                    <wp:posOffset>2385695</wp:posOffset>
                  </wp:positionV>
                  <wp:extent cx="2324100" cy="2174875"/>
                  <wp:effectExtent l="0" t="0" r="0" b="15875"/>
                  <wp:wrapNone/>
                  <wp:docPr id="32" name="图片 36" descr="15428885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descr="1542888593(1)"/>
                          <pic:cNvPicPr>
                            <a:picLocks noChangeAspect="1"/>
                          </pic:cNvPicPr>
                        </pic:nvPicPr>
                        <pic:blipFill>
                          <a:blip r:embed="rId16" cstate="print"/>
                          <a:stretch>
                            <a:fillRect/>
                          </a:stretch>
                        </pic:blipFill>
                        <pic:spPr>
                          <a:xfrm>
                            <a:off x="0" y="0"/>
                            <a:ext cx="2324100" cy="2174875"/>
                          </a:xfrm>
                          <a:prstGeom prst="rect">
                            <a:avLst/>
                          </a:prstGeom>
                          <a:noFill/>
                          <a:ln>
                            <a:noFill/>
                          </a:ln>
                        </pic:spPr>
                      </pic:pic>
                    </a:graphicData>
                  </a:graphic>
                </wp:anchor>
              </w:drawing>
            </w:r>
            <w:r>
              <w:rPr>
                <w:rFonts w:hint="eastAsia" w:ascii="宋体" w:hAnsi="宋体" w:eastAsia="宋体" w:cs="宋体"/>
                <w:color w:val="000000" w:themeColor="text1"/>
                <w:sz w:val="21"/>
                <w:szCs w:val="21"/>
                <w:highlight w:val="none"/>
                <w14:textFill>
                  <w14:solidFill>
                    <w14:schemeClr w14:val="tx1"/>
                  </w14:solidFill>
                </w14:textFill>
              </w:rPr>
              <w:drawing>
                <wp:anchor distT="0" distB="0" distL="114300" distR="114300" simplePos="0" relativeHeight="251664384" behindDoc="0" locked="0" layoutInCell="1" allowOverlap="1">
                  <wp:simplePos x="0" y="0"/>
                  <wp:positionH relativeFrom="column">
                    <wp:posOffset>172085</wp:posOffset>
                  </wp:positionH>
                  <wp:positionV relativeFrom="paragraph">
                    <wp:posOffset>173355</wp:posOffset>
                  </wp:positionV>
                  <wp:extent cx="2251710" cy="2044065"/>
                  <wp:effectExtent l="0" t="0" r="15240" b="13335"/>
                  <wp:wrapNone/>
                  <wp:docPr id="34" name="图片 35" descr="24955791634772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descr="249557916347725726"/>
                          <pic:cNvPicPr>
                            <a:picLocks noChangeAspect="1"/>
                          </pic:cNvPicPr>
                        </pic:nvPicPr>
                        <pic:blipFill>
                          <a:blip r:embed="rId17" cstate="print"/>
                          <a:stretch>
                            <a:fillRect/>
                          </a:stretch>
                        </pic:blipFill>
                        <pic:spPr>
                          <a:xfrm>
                            <a:off x="0" y="0"/>
                            <a:ext cx="2251710" cy="2044065"/>
                          </a:xfrm>
                          <a:prstGeom prst="rect">
                            <a:avLst/>
                          </a:prstGeom>
                          <a:noFill/>
                          <a:ln>
                            <a:noFill/>
                          </a:ln>
                        </pic:spPr>
                      </pic:pic>
                    </a:graphicData>
                  </a:graphic>
                </wp:anchor>
              </w:drawing>
            </w:r>
          </w:p>
        </w:tc>
      </w:tr>
      <w:tr w14:paraId="21B45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77" w:hRule="atLeast"/>
          <w:jc w:val="center"/>
        </w:trPr>
        <w:tc>
          <w:tcPr>
            <w:tcW w:w="873" w:type="dxa"/>
          </w:tcPr>
          <w:p w14:paraId="44B337DE">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2A731837">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1C74C448">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469AD0E1">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3C4C0F98">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4CFF1B7A">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c>
          <w:tcPr>
            <w:tcW w:w="2465" w:type="dxa"/>
          </w:tcPr>
          <w:p w14:paraId="71CDE851">
            <w:pPr>
              <w:autoSpaceDE w:val="0"/>
              <w:autoSpaceDN w:val="0"/>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油烟井按区域集中设置，油烟水平主管穿商铺，设置在商铺后部管道夹层内，可结合厨房事故排风等内容设置，外立面应采用百叶遮挡。夹层标高设计应满足下部室内净高要求，并规避夹层计容。每个商铺的油烟支管从水平主管接出。</w:t>
            </w:r>
          </w:p>
        </w:tc>
        <w:tc>
          <w:tcPr>
            <w:tcW w:w="4618" w:type="dxa"/>
          </w:tcPr>
          <w:p w14:paraId="035652D5">
            <w:pPr>
              <w:pStyle w:val="63"/>
              <w:autoSpaceDE w:val="0"/>
              <w:autoSpaceDN w:val="0"/>
              <w:adjustRightInd w:val="0"/>
              <w:spacing w:line="36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drawing>
                <wp:anchor distT="0" distB="0" distL="114300" distR="114300" simplePos="0" relativeHeight="251666432" behindDoc="0" locked="0" layoutInCell="1" allowOverlap="1">
                  <wp:simplePos x="0" y="0"/>
                  <wp:positionH relativeFrom="margin">
                    <wp:posOffset>295910</wp:posOffset>
                  </wp:positionH>
                  <wp:positionV relativeFrom="paragraph">
                    <wp:posOffset>62865</wp:posOffset>
                  </wp:positionV>
                  <wp:extent cx="2498725" cy="2149475"/>
                  <wp:effectExtent l="0" t="0" r="15875" b="3175"/>
                  <wp:wrapNone/>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18" cstate="print"/>
                          <a:srcRect l="27095" t="65411" r="26198" b="6285"/>
                          <a:stretch>
                            <a:fillRect/>
                          </a:stretch>
                        </pic:blipFill>
                        <pic:spPr>
                          <a:xfrm>
                            <a:off x="0" y="0"/>
                            <a:ext cx="2498725" cy="2149475"/>
                          </a:xfrm>
                          <a:prstGeom prst="rect">
                            <a:avLst/>
                          </a:prstGeom>
                          <a:noFill/>
                          <a:ln>
                            <a:noFill/>
                          </a:ln>
                        </pic:spPr>
                      </pic:pic>
                    </a:graphicData>
                  </a:graphic>
                </wp:anchor>
              </w:drawing>
            </w:r>
          </w:p>
        </w:tc>
      </w:tr>
    </w:tbl>
    <w:p w14:paraId="1F39017A">
      <w:pPr>
        <w:pStyle w:val="85"/>
        <w:numPr>
          <w:ilvl w:val="0"/>
          <w:numId w:val="9"/>
        </w:numPr>
        <w:spacing w:before="0" w:beforeAutospacing="0" w:after="0" w:afterAutospacing="0" w:line="360" w:lineRule="auto"/>
        <w:ind w:left="0" w:firstLine="420" w:firstLineChars="20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水平烟道不应穿越大堂入口上方。</w:t>
      </w:r>
    </w:p>
    <w:p w14:paraId="68FA6AA0">
      <w:pPr>
        <w:pStyle w:val="85"/>
        <w:spacing w:beforeAutospacing="0" w:afterAutospacing="0" w:line="360" w:lineRule="auto"/>
        <w:ind w:left="0" w:firstLine="420"/>
        <w:jc w:val="center"/>
        <w:rPr>
          <w:rFonts w:hint="eastAsia" w:ascii="宋体" w:hAnsi="宋体" w:cs="宋体"/>
          <w:color w:val="000000" w:themeColor="text1"/>
          <w:highlight w:val="none"/>
          <w14:textFill>
            <w14:solidFill>
              <w14:schemeClr w14:val="tx1"/>
            </w14:solidFill>
          </w14:textFill>
        </w:rPr>
      </w:pPr>
    </w:p>
    <w:p w14:paraId="69D97D00">
      <w:pPr>
        <w:pStyle w:val="24"/>
        <w:numPr>
          <w:ilvl w:val="0"/>
          <w:numId w:val="8"/>
        </w:numPr>
        <w:snapToGrid w:val="0"/>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drawing>
          <wp:anchor distT="0" distB="0" distL="114300" distR="114300" simplePos="0" relativeHeight="251667456" behindDoc="0" locked="0" layoutInCell="1" allowOverlap="1">
            <wp:simplePos x="0" y="0"/>
            <wp:positionH relativeFrom="margin">
              <wp:posOffset>1357630</wp:posOffset>
            </wp:positionH>
            <wp:positionV relativeFrom="paragraph">
              <wp:posOffset>-3175</wp:posOffset>
            </wp:positionV>
            <wp:extent cx="2552065" cy="2182495"/>
            <wp:effectExtent l="0" t="0" r="635" b="8255"/>
            <wp:wrapTopAndBottom/>
            <wp:docPr id="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3"/>
                    <pic:cNvPicPr>
                      <a:picLocks noChangeAspect="1"/>
                    </pic:cNvPicPr>
                  </pic:nvPicPr>
                  <pic:blipFill>
                    <a:blip r:embed="rId19" cstate="print"/>
                    <a:srcRect l="30896" t="45766" r="25420" b="27808"/>
                    <a:stretch>
                      <a:fillRect/>
                    </a:stretch>
                  </pic:blipFill>
                  <pic:spPr>
                    <a:xfrm>
                      <a:off x="0" y="0"/>
                      <a:ext cx="2552065" cy="2182495"/>
                    </a:xfrm>
                    <a:prstGeom prst="rect">
                      <a:avLst/>
                    </a:prstGeom>
                    <a:noFill/>
                    <a:ln>
                      <a:noFill/>
                    </a:ln>
                  </pic:spPr>
                </pic:pic>
              </a:graphicData>
            </a:graphic>
          </wp:anchor>
        </w:drawing>
      </w:r>
      <w:r>
        <w:rPr>
          <w:rFonts w:hint="eastAsia" w:hAnsi="宋体" w:cs="宋体"/>
          <w:color w:val="000000" w:themeColor="text1"/>
          <w:szCs w:val="24"/>
          <w:highlight w:val="none"/>
          <w14:textFill>
            <w14:solidFill>
              <w14:schemeClr w14:val="tx1"/>
            </w14:solidFill>
          </w14:textFill>
        </w:rPr>
        <w:t>排油烟设计标准</w:t>
      </w:r>
    </w:p>
    <w:p w14:paraId="579D5306">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5.1 配套商业餐饮油烟排放口位置应满足当地环评报告要求。</w:t>
      </w:r>
    </w:p>
    <w:p w14:paraId="4986E7D8">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5.2 多间餐饮商铺共用竖向烟道井及水平管时，应按水平管路覆盖半径不超过50米划分系统。</w:t>
      </w:r>
    </w:p>
    <w:p w14:paraId="57791B11">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5.3 土建竖向烟道尺寸应考虑安装间距用于安装内衬风管。</w:t>
      </w:r>
    </w:p>
    <w:p w14:paraId="5C102D98">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5.4 各商铺预留油烟排风支管接驳口，并在每间商铺排油烟支管处设置150℃防火阀、止回阀、风管堵头，末端应预留排油烟量，标注压头值及油烟装置净化效率，油烟净化装置净化效率（计重法）不小于90%（租户安装）。</w:t>
      </w:r>
    </w:p>
    <w:p w14:paraId="73B218ED">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5.5 多间配套商业合用排油烟系统时，宜设置两级油烟净化处理装置：商户完成一级油烟净化处理及自用排油烟风机，裙房或塔楼屋顶设置二级油烟净化装置及总风机（变频），并根据招商运营情况设置联锁控制点。</w:t>
      </w:r>
    </w:p>
    <w:p w14:paraId="12732DD8">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5.6 当在裙房屋面排放时，经油烟净化后的油烟排放口与塔楼垂直投影最近边线距离应≥20m。油烟净化装置净化效率（计重法）不小于95%。当裙房油烟排放口位置不能满足要求时，应考虑于住宅塔楼屋顶高空集中排放，油烟净化装置净化效率（计重法）不小于90%（统一安装）.</w:t>
      </w:r>
    </w:p>
    <w:p w14:paraId="67B260C1">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5.7 当裙房油烟排放口位置不能满足要求时，应考虑于住宅塔楼屋顶高空集中排放。竖向主管井位置应结合外立面考虑，并不应贴邻住宅卧室、客厅等敏感房间及强弱电井；构造做法工艺需要时，应对竖井内排油烟风管设置保温层，敷设在室内(包括架空层)顶板下的排油烟风管需保温.</w:t>
      </w:r>
    </w:p>
    <w:p w14:paraId="4136A92D">
      <w:pPr>
        <w:pStyle w:val="85"/>
        <w:spacing w:before="0" w:beforeAutospacing="0" w:after="0" w:afterAutospacing="0" w:line="360" w:lineRule="auto"/>
        <w:ind w:left="0" w:firstLine="480" w:firstLineChars="20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5.8 塔楼屋顶排油烟风机优先考虑设置在楼梯间或电梯机房屋顶且不应影响外立面；当风机设置在顶楼住户屋面时，应尽量避开卧室、书房及客厅正上方，且风机及其连接的管道应考虑减震措施，排油烟风机电机应外置。</w:t>
      </w:r>
    </w:p>
    <w:p w14:paraId="6904EDC0">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防排烟系统设计</w:t>
      </w:r>
    </w:p>
    <w:p w14:paraId="7D21C6BF">
      <w:pPr>
        <w:pStyle w:val="24"/>
        <w:numPr>
          <w:ilvl w:val="0"/>
          <w:numId w:val="10"/>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楼梯间的加压风口采用单层百叶风口，前室的加压风口采用常闭电动多叶送风口，风口尺寸标注应显示电动执行机构的尺寸。</w:t>
      </w:r>
    </w:p>
    <w:p w14:paraId="13D29216">
      <w:pPr>
        <w:pStyle w:val="24"/>
        <w:numPr>
          <w:ilvl w:val="0"/>
          <w:numId w:val="10"/>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充电设施区域，当一个排烟系统负担多个防火单元时，每个防火单元应设置独立的干管及排烟口，并应在干管处设置280度电动排烟防火阀（常开），排烟系统的主风管及穿越防火单元的风管，其耐火极限不应小于2小时。</w:t>
      </w:r>
    </w:p>
    <w:p w14:paraId="103B23D9">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风管阀门设计</w:t>
      </w:r>
    </w:p>
    <w:p w14:paraId="47DAE4BE">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厨房的排油烟管道水平按防火分区设置，并在与竖向管道连接的支管处设置温度为150℃的防火阀。</w:t>
      </w:r>
    </w:p>
    <w:p w14:paraId="33862D9B">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防排烟系统的所有设备、电动排烟窗（口）、电动挡烟垂壁和电动防火阀均需配置备用电源。</w:t>
      </w:r>
    </w:p>
    <w:p w14:paraId="3D907251">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防烟、排烟、供暖、通风和空气调节系统中的管道及建筑内的其它管道，在穿越防火隔墙、楼板和防火墙处的孔隙应采用防火材料封堵《建筑防火封堵应用技术标准》（GB/T51410-2020）。</w:t>
      </w:r>
    </w:p>
    <w:p w14:paraId="697E738D">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当加压送风口、消防排烟口设置在高位不便于开启时，在距地面高度1.3~1.5米处设置手电动开启装置。</w:t>
      </w:r>
    </w:p>
    <w:p w14:paraId="3323D82B">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自然排烟窗（口）在距地面高度1.3~1.5米处设置手动开启装置；净空高度大于9米的中庭、建筑面积大于2000平方米的营业厅、展览厅、多功能厅等场所，设置集中手动开启装置和自动开启设施。</w:t>
      </w:r>
    </w:p>
    <w:p w14:paraId="0128AB56">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排烟系统中所有箱式风机的电机均应外置，所有的排烟风机均应为满足消防验收要求的合格产品。</w:t>
      </w:r>
    </w:p>
    <w:p w14:paraId="1041C12F">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一般通风、空调和消防防排烟风管：采用镀锌钢板制作。</w:t>
      </w:r>
    </w:p>
    <w:p w14:paraId="459CF1BB">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厨房排油烟风管采用SUS304不锈钢板制作，长边≤1000mm时不锈钢板厚1.0mm，风管长边＞1000mm时不锈钢板厚1.2mm，连接方式采用满焊连接。管井内不保温，管井外宜设置50mm厚防潮防火双面夹筋铝箔离心玻璃棉板进行隔热。安装时，水平主管道应设0.5%~1%的坡度坡向集油、放油或排凝结水处；水平支管要求底平放坡，坡度≥2%，坡向油烟罩。排油烟干管上应设置检修口。</w:t>
      </w:r>
    </w:p>
    <w:p w14:paraId="30F2671E">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机械排烟系统应采用管道排烟，且不应采用土建风道。排烟管道应采用不燃材料制作且内壁应光滑。</w:t>
      </w:r>
    </w:p>
    <w:p w14:paraId="5E6AB354">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排烟管道的设置和耐火极限应符合下列规定：</w:t>
      </w:r>
    </w:p>
    <w:p w14:paraId="3E6E77A8">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10.1 排烟管道的耐火极限应满足《建筑防烟排烟系统技术标准》GB51251-2017的要求，防火保护采用防火板按国标图集中做法。</w:t>
      </w:r>
    </w:p>
    <w:p w14:paraId="2EF12F3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10.2 设置充电设施的区域，排烟系统的主风管及穿越防火单元的风管，其耐火极限不应小于2小时。</w:t>
      </w:r>
    </w:p>
    <w:p w14:paraId="75AD19E2">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机械加压送风系统应采用管道送风，且不应采用土建风道。送风管道应采用不燃材料制作且内壁应光滑。</w:t>
      </w:r>
    </w:p>
    <w:p w14:paraId="0CC6E931">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机械加压送风管道及补风管道的设置和耐火极限应符合下列规定：</w:t>
      </w:r>
    </w:p>
    <w:p w14:paraId="45ECBA7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12.1 机械加压送风管道及补风管道的耐火极限应满足《建筑防烟排烟系统技术标准》GB51251-2017的要求。</w:t>
      </w:r>
    </w:p>
    <w:p w14:paraId="25BA53E1">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12.2 独立管井内的防烟风管采用钢板风管，其余地方的防烟风管采用钢板外包防火板（或其他防火材料），其耐火极限按以上要求，且需有通过国家级建筑材料质量监督检验中心按相关耐火试验方法检测后,出具的同时满足耐火完整性和隔热性要求的检验报告。</w:t>
      </w:r>
    </w:p>
    <w:p w14:paraId="7830A0BF">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金属风管的防火保护措施的推荐做法如下：</w:t>
      </w:r>
    </w:p>
    <w:p w14:paraId="7C93C08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13.1 风管系统耐火极限为0.5h时：采用容重≥48kg/m3，厚度≥50mm的绝热玻璃棉对金属风管进行外包裹；玻璃棉外侧复合长效耐水阻燃FFR贴面，贴面水洗前后氧指数均应≥28%，且变化&lt;1%（测试方法参照JC/T2028-2018）。</w:t>
      </w:r>
    </w:p>
    <w:p w14:paraId="4B4F33D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13.2 当1.0h≤风管系统耐火极限≤2.0h时：采用厚度为9mm防火板对金属风管进行外包裹；防火板与铁皮风管之间填充容重≥100kg/m3，厚度为50mm的岩棉。</w:t>
      </w:r>
    </w:p>
    <w:p w14:paraId="3884D61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13.3 当2.0h＜风管系统耐火极限≤3.0h时：采用厚度为12mm防火板对金属风管进行外包裹；防火板与铁皮风管之间填充容重≥100kg/m3，厚度为50mm的岩棉。</w:t>
      </w:r>
    </w:p>
    <w:p w14:paraId="5B15E40E">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13.4 以上金属风管的防火保护措施在施工前，应有国家防火建筑材料质量监督检验中心出具的耐火极限检测报告，且现场实际做法应与报告中描述的一致。</w:t>
      </w:r>
    </w:p>
    <w:p w14:paraId="71DAD3A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13.5 有耐火限制要求的风管的本体、框架和固定材料、密封垫料等必须采用不燃材料，材料品种规格、厚度及耐火极限等应符合设计要求和国家现行规范规定。</w:t>
      </w:r>
    </w:p>
    <w:p w14:paraId="72F6EDC8">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13.6 消防风管吊架、支架刷防火涂料，耐火极限同风管，做法参考图集15K606第159页。耐火风管系统安装必须进行施工方案设计，并报相关单位审核通过后才可施工。支吊架必须由专业公司设计、安装.</w:t>
      </w:r>
    </w:p>
    <w:p w14:paraId="060D075F">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地下车库用送、排风系统，金属风管主管道设计风速宜按8~10m/s，其它通风管道风速宜按6~8m/s，设计高度宜控制在400mm以内，风管的宽高比不宜大于6:1，如因条件受限可适当放宽标准。</w:t>
      </w:r>
    </w:p>
    <w:p w14:paraId="3CE088C6">
      <w:pPr>
        <w:pStyle w:val="24"/>
        <w:numPr>
          <w:ilvl w:val="0"/>
          <w:numId w:val="11"/>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当一个排烟系统负担多个防烟分区时，每个排烟支管上设置280℃电动排烟防火阀（常闭）；充电桩车库，当一个排风兼排烟系统负担多个防烟分区时，每个排烟支管上设置280℃电动排烟防火阀（常开）。</w:t>
      </w:r>
    </w:p>
    <w:p w14:paraId="0CEBF5CA">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消声减震及设备材料</w:t>
      </w:r>
    </w:p>
    <w:p w14:paraId="53410266">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所有设备应选用高效低噪型，以降低噪声源。</w:t>
      </w:r>
    </w:p>
    <w:p w14:paraId="0005EFDB">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振动较大的设备，应设于专业的机房内并设置有效的减振和隔振措施。</w:t>
      </w:r>
    </w:p>
    <w:p w14:paraId="7ECF4E24">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室外的通风空调设备，应根据周围环境的要求进行适当的隔声处理。</w:t>
      </w:r>
    </w:p>
    <w:p w14:paraId="71F5B403">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当通风、空调与制冷装置以及水泵等设备的振动考滤自然衰减不能达标时，应设置减振器或其它减振措施。</w:t>
      </w:r>
    </w:p>
    <w:p w14:paraId="7A07C54E">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平时用的水泵房、排风机、送风机、变压器房不宜设置在住宅正下方，以免设备运行的噪音影响住户，无条件的除外。</w:t>
      </w:r>
    </w:p>
    <w:p w14:paraId="17294909">
      <w:pPr>
        <w:pStyle w:val="24"/>
        <w:numPr>
          <w:ilvl w:val="0"/>
          <w:numId w:val="12"/>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空调通风设备应选用高效节能、低噪声、质量可靠、技术先进、维护、保养方便、使用寿命长和综合性价比优的产品。</w:t>
      </w:r>
    </w:p>
    <w:p w14:paraId="25E38FF3">
      <w:pPr>
        <w:pStyle w:val="80"/>
        <w:numPr>
          <w:ilvl w:val="0"/>
          <w:numId w:val="6"/>
        </w:numPr>
        <w:tabs>
          <w:tab w:val="clear" w:pos="420"/>
        </w:tabs>
        <w:spacing w:line="360" w:lineRule="auto"/>
        <w:ind w:left="0" w:firstLine="482"/>
        <w:jc w:val="center"/>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抗震设计</w:t>
      </w:r>
    </w:p>
    <w:p w14:paraId="2616212A">
      <w:pPr>
        <w:pStyle w:val="85"/>
        <w:spacing w:before="0" w:beforeAutospacing="0" w:after="0" w:afterAutospacing="0" w:line="360" w:lineRule="auto"/>
        <w:ind w:left="0" w:firstLine="480" w:firstLineChars="20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机电抗震设计按照满足《建筑与市政工程抗震通用规范》GB55002-2021的规定。</w:t>
      </w:r>
    </w:p>
    <w:p w14:paraId="3A031177">
      <w:pPr>
        <w:pStyle w:val="24"/>
        <w:numPr>
          <w:ilvl w:val="0"/>
          <w:numId w:val="13"/>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防烟分区的挡烟垂壁采用固定挡烟垂壁，固定挡烟垂壁的材质采用厚度0.8mm的镀锌钢板，需满足在（620±20）℃温度下保持其完整性30min。</w:t>
      </w:r>
    </w:p>
    <w:p w14:paraId="22C1C777">
      <w:pPr>
        <w:pStyle w:val="24"/>
        <w:numPr>
          <w:ilvl w:val="0"/>
          <w:numId w:val="13"/>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适当增加排烟风口标高，提高风口下烟层厚度，减少排烟口数量。</w:t>
      </w:r>
    </w:p>
    <w:p w14:paraId="7F0DF3C6">
      <w:pPr>
        <w:pStyle w:val="24"/>
        <w:numPr>
          <w:ilvl w:val="0"/>
          <w:numId w:val="13"/>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有条件的风管宽度宜控制在1.2米以内，可减少喷头数量，增加管底净高。</w:t>
      </w:r>
    </w:p>
    <w:p w14:paraId="554DE113">
      <w:pPr>
        <w:pStyle w:val="24"/>
        <w:numPr>
          <w:ilvl w:val="0"/>
          <w:numId w:val="13"/>
        </w:numPr>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优化风管尺寸及走向，优化风口布置，在满足消防排烟风口离防烟分区最远点30米的前提下，适当减少排风、排烟风管长度，尽量减少管材。</w:t>
      </w:r>
    </w:p>
    <w:p w14:paraId="27C07058">
      <w:pPr>
        <w:pStyle w:val="24"/>
        <w:numPr>
          <w:ilvl w:val="0"/>
          <w:numId w:val="13"/>
        </w:numPr>
        <w:ind w:firstLine="480"/>
        <w:rPr>
          <w:rFonts w:hint="eastAsia" w:hAnsi="宋体" w:cs="宋体"/>
          <w:color w:val="000000" w:themeColor="text1"/>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地下车库风机进出机房不设置消声器及静压箱。</w:t>
      </w:r>
    </w:p>
    <w:p w14:paraId="1CA29CAA">
      <w:pPr>
        <w:pStyle w:val="5"/>
        <w:tabs>
          <w:tab w:val="left" w:pos="284"/>
        </w:tabs>
        <w:snapToGrid/>
        <w:ind w:firstLine="562" w:firstLineChars="200"/>
        <w:jc w:val="both"/>
        <w:rPr>
          <w:rFonts w:hint="eastAsia" w:ascii="宋体" w:hAnsi="宋体" w:eastAsia="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Cs w:val="24"/>
          <w:highlight w:val="none"/>
          <w14:textFill>
            <w14:solidFill>
              <w14:schemeClr w14:val="tx1"/>
            </w14:solidFill>
          </w14:textFill>
        </w:rPr>
        <w:br w:type="page"/>
      </w:r>
      <w:bookmarkStart w:id="400" w:name="_Toc3947"/>
      <w:bookmarkStart w:id="401" w:name="_Toc9746"/>
      <w:bookmarkStart w:id="402" w:name="_Toc104581758"/>
      <w:bookmarkStart w:id="403" w:name="_Toc29680"/>
      <w:bookmarkStart w:id="404" w:name="_Toc1796"/>
      <w:r>
        <w:rPr>
          <w:rFonts w:hint="eastAsia" w:ascii="宋体" w:hAnsi="宋体" w:eastAsia="宋体" w:cs="宋体"/>
          <w:color w:val="000000" w:themeColor="text1"/>
          <w:sz w:val="24"/>
          <w:szCs w:val="24"/>
          <w:highlight w:val="none"/>
          <w14:textFill>
            <w14:solidFill>
              <w14:schemeClr w14:val="tx1"/>
            </w14:solidFill>
          </w14:textFill>
        </w:rPr>
        <w:t>7.景观设计</w:t>
      </w:r>
      <w:bookmarkEnd w:id="400"/>
      <w:bookmarkEnd w:id="401"/>
      <w:bookmarkEnd w:id="402"/>
      <w:bookmarkEnd w:id="403"/>
      <w:bookmarkEnd w:id="404"/>
    </w:p>
    <w:p w14:paraId="2560DE2E">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05" w:name="_Toc13821"/>
      <w:r>
        <w:rPr>
          <w:rFonts w:hint="eastAsia" w:ascii="宋体" w:hAnsi="宋体" w:eastAsia="宋体" w:cs="宋体"/>
          <w:color w:val="000000" w:themeColor="text1"/>
          <w:sz w:val="24"/>
          <w:szCs w:val="24"/>
          <w:highlight w:val="none"/>
          <w14:textFill>
            <w14:solidFill>
              <w14:schemeClr w14:val="tx1"/>
            </w14:solidFill>
          </w14:textFill>
        </w:rPr>
        <w:t>7.1 设计依据</w:t>
      </w:r>
      <w:bookmarkEnd w:id="405"/>
    </w:p>
    <w:p w14:paraId="10385BF0">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7.1.1 在限额设计基础上，使安置区景观环境美观舒适、造价经济、管理安全、维护方便等要求，以提高景观设计质量。</w:t>
      </w:r>
    </w:p>
    <w:p w14:paraId="5D2BB5C4">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7.1.2 切合实际，具备指导性与可操作性。</w:t>
      </w:r>
    </w:p>
    <w:p w14:paraId="70E90727">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7.1.3 严格遵守各类规范与标准，同时又不失景观创意的艺术性；注重功能性及效果的整体统一和景观的可实施性与安全性原则。</w:t>
      </w:r>
    </w:p>
    <w:p w14:paraId="36C45309">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7.1.4 按照景观标准化要求，编制建设工程的树木迁移保护实施方案，搭配植物配置。</w:t>
      </w:r>
    </w:p>
    <w:p w14:paraId="24B26174">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7.1.5 国家现行的主要设计规范及标准：</w:t>
      </w:r>
    </w:p>
    <w:p w14:paraId="6A51692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《市政公用工程设计文件编制深度规定 2013年》</w:t>
      </w:r>
    </w:p>
    <w:p w14:paraId="503C822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《总图制图标准》                          GB/T 50103 2010</w:t>
      </w:r>
    </w:p>
    <w:p w14:paraId="534395B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《风景园林制图标准》                      CJJ/T 67-2015</w:t>
      </w:r>
    </w:p>
    <w:p w14:paraId="62D38DC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《风景园林基本术语标准》                  CJJ/T 91-2017</w:t>
      </w:r>
    </w:p>
    <w:p w14:paraId="68F2241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《风景名胜区详细规划标准》                GB/T 51294-2018</w:t>
      </w:r>
    </w:p>
    <w:p w14:paraId="2C60682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《公园设计规范》                          GB 51192-2016</w:t>
      </w:r>
    </w:p>
    <w:p w14:paraId="0989083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《无障碍设计规范》                        GB 50763-2012</w:t>
      </w:r>
    </w:p>
    <w:p w14:paraId="690D3AF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《建筑与市政工程</w:t>
      </w:r>
      <w:r>
        <w:rPr>
          <w:rFonts w:ascii="宋体" w:hAnsi="宋体" w:eastAsia="宋体" w:cs="宋体"/>
          <w:color w:val="000000" w:themeColor="text1"/>
          <w:sz w:val="24"/>
          <w:szCs w:val="24"/>
          <w:highlight w:val="none"/>
          <w14:textFill>
            <w14:solidFill>
              <w14:schemeClr w14:val="tx1"/>
            </w14:solidFill>
          </w14:textFill>
        </w:rPr>
        <w:t>无障碍通用规范》</w:t>
      </w:r>
      <w:r>
        <w:rPr>
          <w:rFonts w:hint="eastAsia" w:ascii="宋体" w:hAnsi="宋体" w:eastAsia="宋体" w:cs="宋体"/>
          <w:color w:val="000000" w:themeColor="text1"/>
          <w:sz w:val="24"/>
          <w:szCs w:val="24"/>
          <w:highlight w:val="none"/>
          <w14:textFill>
            <w14:solidFill>
              <w14:schemeClr w14:val="tx1"/>
            </w14:solidFill>
          </w14:textFill>
        </w:rPr>
        <w:t xml:space="preserve">          </w:t>
      </w:r>
      <w:r>
        <w:rPr>
          <w:rFonts w:ascii="宋体" w:hAnsi="宋体" w:eastAsia="宋体" w:cs="宋体"/>
          <w:color w:val="000000" w:themeColor="text1"/>
          <w:sz w:val="24"/>
          <w:szCs w:val="24"/>
          <w:highlight w:val="none"/>
          <w14:textFill>
            <w14:solidFill>
              <w14:schemeClr w14:val="tx1"/>
            </w14:solidFill>
          </w14:textFill>
        </w:rPr>
        <w:t>GB 55019-2021</w:t>
      </w:r>
    </w:p>
    <w:p w14:paraId="3B9AE6E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                      GB 50016-2014(2018年版)</w:t>
      </w:r>
    </w:p>
    <w:p w14:paraId="4099CE7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《民用建筑设计统一标准》                  GB 50352-2019</w:t>
      </w:r>
    </w:p>
    <w:p w14:paraId="67937AA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《城市道路交叉口规划规范》                GB 50647-2011</w:t>
      </w:r>
    </w:p>
    <w:p w14:paraId="1FD66D4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《城市停车规划规范》                      GB/T 51149-2016</w:t>
      </w:r>
    </w:p>
    <w:p w14:paraId="002B379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《城乡建设用地竖向规划规范》              CJJ 83-2016</w:t>
      </w:r>
    </w:p>
    <w:p w14:paraId="1500DD9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《城市园林绿化评价标准》                  GB/T 50563-2010</w:t>
      </w:r>
    </w:p>
    <w:p w14:paraId="5D42EBF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《城市公共停车场工程项目建设标准》        建标 128-2010</w:t>
      </w:r>
    </w:p>
    <w:p w14:paraId="6B63245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《城市公共厕所设计标准》                  CJJ 14-2016</w:t>
      </w:r>
    </w:p>
    <w:p w14:paraId="5576508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《城市道路绿化规划与设计规范》            CJJ 75-97</w:t>
      </w:r>
    </w:p>
    <w:p w14:paraId="36FC685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《园林绿化工程施工及验收规范》            CJJ 82-2012 </w:t>
      </w:r>
    </w:p>
    <w:p w14:paraId="0C3ACF6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《城市绿地设计规范》                      GB 50420-2007（2016年版）</w:t>
      </w:r>
    </w:p>
    <w:p w14:paraId="4732A1E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《种植屋面工程技术规程》                JGJ 155-2013</w:t>
      </w:r>
    </w:p>
    <w:p w14:paraId="7C7A7A8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《绿化种植土壤》                        CJ/T 340-2016</w:t>
      </w:r>
    </w:p>
    <w:p w14:paraId="01BA814E">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《城市工程管线综合规划规范》           （GB50289-2016）</w:t>
      </w:r>
    </w:p>
    <w:p w14:paraId="6AFF4A1A">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《室外给水设计标准》                    GB50013-2018</w:t>
      </w:r>
    </w:p>
    <w:p w14:paraId="5ECAAD33">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《室外排水设计标准》                    GB50014-2021</w:t>
      </w:r>
    </w:p>
    <w:p w14:paraId="206361B5">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《建筑给水排水设计标准》                GB50015-2019</w:t>
      </w:r>
    </w:p>
    <w:p w14:paraId="1FA830FA">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《建筑给水排水及采暖工程施工质量验收规范》GB50242-2002</w:t>
      </w:r>
    </w:p>
    <w:p w14:paraId="126BA098">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《城市工程管线综合规划规范》            GB50289-2016； </w:t>
      </w:r>
    </w:p>
    <w:p w14:paraId="45FC9C6B">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《供配电系统设计规范》                  GB50052-2009；   </w:t>
      </w:r>
    </w:p>
    <w:p w14:paraId="07098D5D">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《低压配电设计规范》                    GB50054-2011； </w:t>
      </w:r>
    </w:p>
    <w:p w14:paraId="1480F01F">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《电力工程电缆设计标准》                GB50217-2018；</w:t>
      </w:r>
    </w:p>
    <w:p w14:paraId="318885BE">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《民用建筑电气设计规范》                JGJ16-2008；</w:t>
      </w:r>
    </w:p>
    <w:p w14:paraId="5D7F9181">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《城市道路照明设计标准》                CJJ45-2015；</w:t>
      </w:r>
    </w:p>
    <w:p w14:paraId="01FDE6A5">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《视频安防监控系统工程设计规范》        GB50395-2007；</w:t>
      </w:r>
    </w:p>
    <w:p w14:paraId="0486072F">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《安全防范工程技术规范》                GB50348-2018；</w:t>
      </w:r>
    </w:p>
    <w:p w14:paraId="24CE553E">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《建筑物电子信息系统防雷技术规范》      GB50343-2012；</w:t>
      </w:r>
    </w:p>
    <w:p w14:paraId="1AA8FAB7">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《建筑物防雷设计规范》                  GB50057-2010；</w:t>
      </w:r>
    </w:p>
    <w:p w14:paraId="5FA708D8">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《广州市城市树木保护管理规定（试行）》（穗林业园林规字〔2022〕1号）、《广州市绿化条例》；</w:t>
      </w:r>
    </w:p>
    <w:p w14:paraId="260B3E2B">
      <w:pPr>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中华人民共和国国家标准《公共部安全防范视频监控联网系统信息传输、交换、控制技术要求》GB/T28181-2011。</w:t>
      </w:r>
    </w:p>
    <w:p w14:paraId="185CC4CD">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06" w:name="_Toc14903"/>
      <w:bookmarkStart w:id="407" w:name="_Toc26171"/>
      <w:bookmarkStart w:id="408" w:name="_Toc1876"/>
      <w:bookmarkStart w:id="409" w:name="_Toc104581760"/>
      <w:r>
        <w:rPr>
          <w:rFonts w:hint="eastAsia" w:ascii="宋体" w:hAnsi="宋体" w:eastAsia="宋体" w:cs="宋体"/>
          <w:color w:val="000000" w:themeColor="text1"/>
          <w:sz w:val="24"/>
          <w:szCs w:val="24"/>
          <w:highlight w:val="none"/>
          <w14:textFill>
            <w14:solidFill>
              <w14:schemeClr w14:val="tx1"/>
            </w14:solidFill>
          </w14:textFill>
        </w:rPr>
        <w:t>7.2关键指标</w:t>
      </w:r>
      <w:bookmarkEnd w:id="406"/>
      <w:bookmarkEnd w:id="407"/>
      <w:bookmarkEnd w:id="408"/>
      <w:bookmarkEnd w:id="409"/>
    </w:p>
    <w:p w14:paraId="39F6A365">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7.2.1 景观园建</w:t>
      </w:r>
    </w:p>
    <w:p w14:paraId="45E73900">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7.2.1.1需适当控制铺装面积比例，在满足使用功能的基础上减少铺装面积，宜多采用草坪、绿化地被造景。</w:t>
      </w:r>
    </w:p>
    <w:p w14:paraId="528290A3">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7.2.1.2 在竖向处理上需在较短的距离内消除坡度，预留出大片景观观赏区，坡度在单元入户区域需逐渐放缓，以便有效减少土方量，控制成本。</w:t>
      </w:r>
    </w:p>
    <w:p w14:paraId="75F39CA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7.2.1.3需充分利用场地现</w:t>
      </w:r>
      <w:r>
        <w:rPr>
          <w:rFonts w:hint="eastAsia" w:hAnsi="宋体" w:cs="宋体"/>
          <w:color w:val="000000" w:themeColor="text1"/>
          <w:szCs w:val="24"/>
          <w:highlight w:val="none"/>
          <w14:textFill>
            <w14:solidFill>
              <w14:schemeClr w14:val="tx1"/>
            </w14:solidFill>
          </w14:textFill>
        </w:rPr>
        <w:t>状地势，避免过多造山造坡；现状场地土方量宜场地内平衡，不宜大规模进土或外运。</w:t>
      </w:r>
    </w:p>
    <w:p w14:paraId="1DCE5C10">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7.2.2 景观绿化</w:t>
      </w:r>
    </w:p>
    <w:p w14:paraId="10AE82BE">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7.2.2.1 绿化种植搭配方式</w:t>
      </w:r>
    </w:p>
    <w:p w14:paraId="11DA7DF4">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绿化种植设计抛弃堆砌及大面积地被种植的做法，在进行绿化种植时定位为创造一个清新疏朗、自然简洁的开放型生态绿地，即以上层乔木、疏林草地、配合适量的灌木、地被以及配合微地形营造的植物景观。</w:t>
      </w: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3"/>
        <w:gridCol w:w="1733"/>
        <w:gridCol w:w="3402"/>
        <w:gridCol w:w="2552"/>
      </w:tblGrid>
      <w:tr w14:paraId="77DAA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061EC5B2">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序号</w:t>
            </w:r>
          </w:p>
        </w:tc>
        <w:tc>
          <w:tcPr>
            <w:tcW w:w="1733" w:type="dxa"/>
            <w:vAlign w:val="center"/>
          </w:tcPr>
          <w:p w14:paraId="6592FF26">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植物种类</w:t>
            </w:r>
          </w:p>
        </w:tc>
        <w:tc>
          <w:tcPr>
            <w:tcW w:w="3402" w:type="dxa"/>
            <w:vAlign w:val="center"/>
          </w:tcPr>
          <w:p w14:paraId="53534B91">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成本控制指标参考</w:t>
            </w:r>
          </w:p>
        </w:tc>
        <w:tc>
          <w:tcPr>
            <w:tcW w:w="2552" w:type="dxa"/>
            <w:vAlign w:val="center"/>
          </w:tcPr>
          <w:p w14:paraId="3D86CFB2">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备注</w:t>
            </w:r>
          </w:p>
        </w:tc>
      </w:tr>
      <w:tr w14:paraId="00677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Merge w:val="restart"/>
            <w:vAlign w:val="center"/>
          </w:tcPr>
          <w:p w14:paraId="1A4DFB18">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p w14:paraId="3CA682FD">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733" w:type="dxa"/>
            <w:vMerge w:val="restart"/>
            <w:vAlign w:val="center"/>
          </w:tcPr>
          <w:p w14:paraId="5AFBF162">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乔木数量</w:t>
            </w:r>
          </w:p>
        </w:tc>
        <w:tc>
          <w:tcPr>
            <w:tcW w:w="3402" w:type="dxa"/>
            <w:vAlign w:val="center"/>
          </w:tcPr>
          <w:p w14:paraId="0E6835C4">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至少3株乔木/每100平方米</w:t>
            </w:r>
          </w:p>
        </w:tc>
        <w:tc>
          <w:tcPr>
            <w:tcW w:w="2552" w:type="dxa"/>
            <w:vAlign w:val="center"/>
          </w:tcPr>
          <w:p w14:paraId="4EE348AA">
            <w:pPr>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D4EA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Merge w:val="continue"/>
            <w:vAlign w:val="center"/>
          </w:tcPr>
          <w:p w14:paraId="1D7BE891">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733" w:type="dxa"/>
            <w:vMerge w:val="continue"/>
            <w:vAlign w:val="center"/>
          </w:tcPr>
          <w:p w14:paraId="3595C032">
            <w:pPr>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3402" w:type="dxa"/>
            <w:vAlign w:val="center"/>
          </w:tcPr>
          <w:p w14:paraId="4CFB04E5">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大乔木占乔木总数量比≤20%</w:t>
            </w:r>
          </w:p>
        </w:tc>
        <w:tc>
          <w:tcPr>
            <w:tcW w:w="2552" w:type="dxa"/>
            <w:vAlign w:val="center"/>
          </w:tcPr>
          <w:p w14:paraId="54F7B103">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胸径≥25cm,地径≥30cm</w:t>
            </w:r>
          </w:p>
        </w:tc>
      </w:tr>
      <w:tr w14:paraId="0BD71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0DA497EB">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1733" w:type="dxa"/>
            <w:vAlign w:val="center"/>
          </w:tcPr>
          <w:p w14:paraId="7E64C76B">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灌木数量</w:t>
            </w:r>
          </w:p>
        </w:tc>
        <w:tc>
          <w:tcPr>
            <w:tcW w:w="3402" w:type="dxa"/>
            <w:vAlign w:val="center"/>
          </w:tcPr>
          <w:p w14:paraId="7B4344C9">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5~10株灌木/每100平方米</w:t>
            </w:r>
          </w:p>
        </w:tc>
        <w:tc>
          <w:tcPr>
            <w:tcW w:w="2552" w:type="dxa"/>
            <w:vAlign w:val="center"/>
          </w:tcPr>
          <w:p w14:paraId="5EB2C908">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节点位置视具体情况而定</w:t>
            </w:r>
          </w:p>
        </w:tc>
      </w:tr>
      <w:tr w14:paraId="44E52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554F185E">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c>
          <w:tcPr>
            <w:tcW w:w="1733" w:type="dxa"/>
            <w:vAlign w:val="center"/>
          </w:tcPr>
          <w:p w14:paraId="5666B207">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草坪数量/地被数量</w:t>
            </w:r>
          </w:p>
        </w:tc>
        <w:tc>
          <w:tcPr>
            <w:tcW w:w="3402" w:type="dxa"/>
            <w:vAlign w:val="center"/>
          </w:tcPr>
          <w:p w14:paraId="3CC89541">
            <w:pPr>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≥5:5</w:t>
            </w:r>
          </w:p>
        </w:tc>
        <w:tc>
          <w:tcPr>
            <w:tcW w:w="2552" w:type="dxa"/>
            <w:vAlign w:val="center"/>
          </w:tcPr>
          <w:p w14:paraId="7612A8DD">
            <w:pPr>
              <w:jc w:val="center"/>
              <w:rPr>
                <w:rFonts w:hint="eastAsia" w:ascii="宋体" w:hAnsi="宋体" w:eastAsia="宋体" w:cs="宋体"/>
                <w:color w:val="000000" w:themeColor="text1"/>
                <w:sz w:val="21"/>
                <w:szCs w:val="21"/>
                <w:highlight w:val="none"/>
                <w14:textFill>
                  <w14:solidFill>
                    <w14:schemeClr w14:val="tx1"/>
                  </w14:solidFill>
                </w14:textFill>
              </w:rPr>
            </w:pPr>
          </w:p>
        </w:tc>
      </w:tr>
    </w:tbl>
    <w:p w14:paraId="260AFAD9">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p>
    <w:p w14:paraId="0E460B6F">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7.2.2.2 植物选用品种：</w:t>
      </w:r>
    </w:p>
    <w:p w14:paraId="3031686F">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绿化设计适地适树，植物品种主要选用乡土树种，优先选择经济适用、美观且易养护的植物品种，植物品种选择注重常绿落叶搭配，速生树种与慢生树种结合；不用难管养、难移植的植物、特大规格乔木及名贵树种等，其中安置区地块不用无遮阴效果的植物如棕榈科植物、养护成本高的草花品种。</w:t>
      </w:r>
    </w:p>
    <w:tbl>
      <w:tblPr>
        <w:tblStyle w:val="42"/>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7"/>
        <w:gridCol w:w="4428"/>
      </w:tblGrid>
      <w:tr w14:paraId="32752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227" w:type="dxa"/>
            <w:vAlign w:val="center"/>
          </w:tcPr>
          <w:p w14:paraId="72802C42">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常绿落叶乔木数量比</w:t>
            </w:r>
          </w:p>
        </w:tc>
        <w:tc>
          <w:tcPr>
            <w:tcW w:w="4428" w:type="dxa"/>
            <w:vAlign w:val="center"/>
          </w:tcPr>
          <w:p w14:paraId="3A2EDA2F">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≥6:4</w:t>
            </w:r>
          </w:p>
        </w:tc>
      </w:tr>
      <w:tr w14:paraId="5A94D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227" w:type="dxa"/>
            <w:vAlign w:val="center"/>
          </w:tcPr>
          <w:p w14:paraId="52784F9C">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慢生树占乔木总数量比</w:t>
            </w:r>
          </w:p>
        </w:tc>
        <w:tc>
          <w:tcPr>
            <w:tcW w:w="4428" w:type="dxa"/>
            <w:vAlign w:val="center"/>
          </w:tcPr>
          <w:p w14:paraId="6C92E62A">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≥40%</w:t>
            </w:r>
          </w:p>
        </w:tc>
      </w:tr>
    </w:tbl>
    <w:p w14:paraId="1B533672">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p>
    <w:p w14:paraId="625C8349">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7.2.2.3 植物选用规格及种植密度：</w:t>
      </w:r>
    </w:p>
    <w:p w14:paraId="1225797D">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严格控制植物品种规格，适当点缀大乔木，上层乔木主要以中小型乔木为主，植物选用规格统一按广东省园林绿化定额中苗木规格区间选取；合理控制乔、灌、地种植密度，预留植物生长空间。</w:t>
      </w:r>
    </w:p>
    <w:tbl>
      <w:tblPr>
        <w:tblStyle w:val="42"/>
        <w:tblW w:w="83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6246"/>
      </w:tblGrid>
      <w:tr w14:paraId="4AD3B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42B26E73">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序号号</w:t>
            </w:r>
          </w:p>
        </w:tc>
        <w:tc>
          <w:tcPr>
            <w:tcW w:w="1418" w:type="dxa"/>
            <w:vAlign w:val="center"/>
          </w:tcPr>
          <w:p w14:paraId="52441AE7">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植物种类</w:t>
            </w:r>
          </w:p>
        </w:tc>
        <w:tc>
          <w:tcPr>
            <w:tcW w:w="6246" w:type="dxa"/>
            <w:vAlign w:val="center"/>
          </w:tcPr>
          <w:p w14:paraId="19C8E3B1">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植物规格选择区间参考</w:t>
            </w:r>
          </w:p>
        </w:tc>
      </w:tr>
      <w:tr w14:paraId="0387A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369ECF0D">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418" w:type="dxa"/>
            <w:vAlign w:val="center"/>
          </w:tcPr>
          <w:p w14:paraId="0579FBF8">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大乔木</w:t>
            </w:r>
          </w:p>
        </w:tc>
        <w:tc>
          <w:tcPr>
            <w:tcW w:w="6246" w:type="dxa"/>
            <w:vAlign w:val="center"/>
          </w:tcPr>
          <w:p w14:paraId="33C40F31">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丛生乔木&lt;地径70cm，单干乔木胸径&lt;45cm</w:t>
            </w:r>
          </w:p>
        </w:tc>
      </w:tr>
      <w:tr w14:paraId="464DF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0698AFAF">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1418" w:type="dxa"/>
            <w:vAlign w:val="center"/>
          </w:tcPr>
          <w:p w14:paraId="2A98818D">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灌木</w:t>
            </w:r>
          </w:p>
        </w:tc>
        <w:tc>
          <w:tcPr>
            <w:tcW w:w="6246" w:type="dxa"/>
            <w:vAlign w:val="center"/>
          </w:tcPr>
          <w:p w14:paraId="37AEC1CF">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灌木高度≤300cm</w:t>
            </w:r>
          </w:p>
        </w:tc>
      </w:tr>
      <w:tr w14:paraId="3D221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37DF27E9">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w:t>
            </w:r>
          </w:p>
        </w:tc>
        <w:tc>
          <w:tcPr>
            <w:tcW w:w="1418" w:type="dxa"/>
            <w:vAlign w:val="center"/>
          </w:tcPr>
          <w:p w14:paraId="070AE7B2">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地被</w:t>
            </w:r>
          </w:p>
        </w:tc>
        <w:tc>
          <w:tcPr>
            <w:tcW w:w="6246" w:type="dxa"/>
            <w:vAlign w:val="center"/>
          </w:tcPr>
          <w:p w14:paraId="4867472B">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地被高度≤60cm</w:t>
            </w:r>
          </w:p>
        </w:tc>
      </w:tr>
      <w:tr w14:paraId="79771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60B033EF">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w:t>
            </w:r>
          </w:p>
        </w:tc>
        <w:tc>
          <w:tcPr>
            <w:tcW w:w="1418" w:type="dxa"/>
            <w:vAlign w:val="center"/>
          </w:tcPr>
          <w:p w14:paraId="62C5388E">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草坪</w:t>
            </w:r>
          </w:p>
        </w:tc>
        <w:tc>
          <w:tcPr>
            <w:tcW w:w="6246" w:type="dxa"/>
            <w:vAlign w:val="center"/>
          </w:tcPr>
          <w:p w14:paraId="43178C88">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安置区建议选用台湾草草卷，其他绿地草皮规格选用30X30cm/件</w:t>
            </w:r>
          </w:p>
        </w:tc>
      </w:tr>
    </w:tbl>
    <w:p w14:paraId="695ED693">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2977"/>
        <w:gridCol w:w="3260"/>
      </w:tblGrid>
      <w:tr w14:paraId="65FFD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765AA66E">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序号号</w:t>
            </w:r>
          </w:p>
        </w:tc>
        <w:tc>
          <w:tcPr>
            <w:tcW w:w="1418" w:type="dxa"/>
            <w:vAlign w:val="center"/>
          </w:tcPr>
          <w:p w14:paraId="0EAFD2C9">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植物种类</w:t>
            </w:r>
          </w:p>
        </w:tc>
        <w:tc>
          <w:tcPr>
            <w:tcW w:w="2977" w:type="dxa"/>
            <w:vAlign w:val="center"/>
          </w:tcPr>
          <w:p w14:paraId="0A361036">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行道树种植间距参考</w:t>
            </w:r>
          </w:p>
        </w:tc>
        <w:tc>
          <w:tcPr>
            <w:tcW w:w="3260" w:type="dxa"/>
            <w:vAlign w:val="center"/>
          </w:tcPr>
          <w:p w14:paraId="57189B04">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组团式/片植种植间距参考</w:t>
            </w:r>
          </w:p>
        </w:tc>
      </w:tr>
      <w:tr w14:paraId="63A0E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Merge w:val="restart"/>
            <w:vAlign w:val="center"/>
          </w:tcPr>
          <w:p w14:paraId="2348A0D4">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418" w:type="dxa"/>
            <w:vMerge w:val="restart"/>
            <w:vAlign w:val="center"/>
          </w:tcPr>
          <w:p w14:paraId="344EB2DE">
            <w:pPr>
              <w:pStyle w:val="80"/>
              <w:spacing w:line="360" w:lineRule="auto"/>
              <w:ind w:firstLine="210" w:firstLineChars="10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乔木</w:t>
            </w:r>
          </w:p>
        </w:tc>
        <w:tc>
          <w:tcPr>
            <w:tcW w:w="2977" w:type="dxa"/>
            <w:vMerge w:val="restart"/>
            <w:vAlign w:val="center"/>
          </w:tcPr>
          <w:p w14:paraId="4A30BDEC">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6m≤主园路,5m≤次园路</w:t>
            </w:r>
          </w:p>
        </w:tc>
        <w:tc>
          <w:tcPr>
            <w:tcW w:w="3260" w:type="dxa"/>
            <w:vAlign w:val="center"/>
          </w:tcPr>
          <w:p w14:paraId="4AF2E751">
            <w:pPr>
              <w:pStyle w:val="80"/>
              <w:spacing w:line="360" w:lineRule="auto"/>
              <w:ind w:firstLine="210" w:firstLineChars="10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高大型乔木≥4.5m</w:t>
            </w:r>
          </w:p>
        </w:tc>
      </w:tr>
      <w:tr w14:paraId="69ACF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Merge w:val="continue"/>
            <w:vAlign w:val="center"/>
          </w:tcPr>
          <w:p w14:paraId="2FC1A174">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p>
        </w:tc>
        <w:tc>
          <w:tcPr>
            <w:tcW w:w="1418" w:type="dxa"/>
            <w:vMerge w:val="continue"/>
            <w:vAlign w:val="center"/>
          </w:tcPr>
          <w:p w14:paraId="325BA8B9">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p>
        </w:tc>
        <w:tc>
          <w:tcPr>
            <w:tcW w:w="2977" w:type="dxa"/>
            <w:vMerge w:val="continue"/>
            <w:vAlign w:val="center"/>
          </w:tcPr>
          <w:p w14:paraId="016482EC">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p>
        </w:tc>
        <w:tc>
          <w:tcPr>
            <w:tcW w:w="3260" w:type="dxa"/>
            <w:vAlign w:val="center"/>
          </w:tcPr>
          <w:p w14:paraId="07FF56AE">
            <w:pPr>
              <w:pStyle w:val="80"/>
              <w:spacing w:line="360" w:lineRule="auto"/>
              <w:ind w:firstLine="210" w:firstLineChars="10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其他乔木≥2.5m</w:t>
            </w:r>
          </w:p>
        </w:tc>
      </w:tr>
    </w:tbl>
    <w:p w14:paraId="2B2CCD0C">
      <w:pPr>
        <w:pStyle w:val="80"/>
        <w:spacing w:line="360" w:lineRule="auto"/>
        <w:ind w:firstLine="0" w:firstLineChars="0"/>
        <w:jc w:val="center"/>
        <w:rPr>
          <w:rFonts w:hint="eastAsia" w:ascii="宋体" w:hAnsi="宋体" w:cs="宋体"/>
          <w:b/>
          <w:color w:val="000000" w:themeColor="text1"/>
          <w:highlight w:val="none"/>
          <w14:textFill>
            <w14:solidFill>
              <w14:schemeClr w14:val="tx1"/>
            </w14:solidFill>
          </w14:textFill>
        </w:rPr>
      </w:pP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6237"/>
      </w:tblGrid>
      <w:tr w14:paraId="3BBC7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70C30EC9">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序号号</w:t>
            </w:r>
          </w:p>
        </w:tc>
        <w:tc>
          <w:tcPr>
            <w:tcW w:w="1418" w:type="dxa"/>
            <w:vAlign w:val="center"/>
          </w:tcPr>
          <w:p w14:paraId="061B3587">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植物种类</w:t>
            </w:r>
          </w:p>
        </w:tc>
        <w:tc>
          <w:tcPr>
            <w:tcW w:w="6237" w:type="dxa"/>
            <w:vAlign w:val="center"/>
          </w:tcPr>
          <w:p w14:paraId="5CE11CEF">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地被种植密度区间参考</w:t>
            </w:r>
          </w:p>
          <w:p w14:paraId="431FF310">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备注</w:t>
            </w:r>
          </w:p>
        </w:tc>
      </w:tr>
      <w:tr w14:paraId="4E639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48645EE9">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418" w:type="dxa"/>
            <w:vAlign w:val="center"/>
          </w:tcPr>
          <w:p w14:paraId="4D99F9C5">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地被</w:t>
            </w:r>
          </w:p>
        </w:tc>
        <w:tc>
          <w:tcPr>
            <w:tcW w:w="6237" w:type="dxa"/>
            <w:vAlign w:val="center"/>
          </w:tcPr>
          <w:p w14:paraId="270FCE57">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9株/m²≤种植密度≤49株/m²，个别品种64株/m²</w:t>
            </w:r>
          </w:p>
          <w:p w14:paraId="246B95EE">
            <w:pPr>
              <w:pStyle w:val="8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说个别64株/m²</w:t>
            </w:r>
          </w:p>
        </w:tc>
      </w:tr>
    </w:tbl>
    <w:p w14:paraId="5E004135">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10" w:name="_Toc7038"/>
      <w:bookmarkStart w:id="411" w:name="_Toc104581761"/>
      <w:bookmarkStart w:id="412" w:name="_Toc6323"/>
      <w:bookmarkStart w:id="413" w:name="_Toc7108"/>
      <w:r>
        <w:rPr>
          <w:rFonts w:hint="eastAsia" w:ascii="宋体" w:hAnsi="宋体" w:eastAsia="宋体" w:cs="宋体"/>
          <w:color w:val="000000" w:themeColor="text1"/>
          <w:sz w:val="24"/>
          <w:szCs w:val="24"/>
          <w:highlight w:val="none"/>
          <w14:textFill>
            <w14:solidFill>
              <w14:schemeClr w14:val="tx1"/>
            </w14:solidFill>
          </w14:textFill>
        </w:rPr>
        <w:t>7.3 通用指标</w:t>
      </w:r>
      <w:bookmarkEnd w:id="410"/>
      <w:bookmarkEnd w:id="411"/>
      <w:bookmarkEnd w:id="412"/>
      <w:bookmarkEnd w:id="413"/>
    </w:p>
    <w:p w14:paraId="4AD26AB7">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7.3.1 景观园建</w:t>
      </w:r>
    </w:p>
    <w:p w14:paraId="0554CDDE">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7.3.1.1 材料选型控制项根据经济适用原则，园路铺装材料应尽可能选取本土常用材料，如：沥青、仿石材、透水砖、混凝土压模等，局部可使用天然石材。</w:t>
      </w:r>
    </w:p>
    <w:p w14:paraId="216A79E5">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7.3.1.2 内装饰材料表</w:t>
      </w:r>
    </w:p>
    <w:tbl>
      <w:tblPr>
        <w:tblStyle w:val="42"/>
        <w:tblW w:w="8087" w:type="dxa"/>
        <w:tblInd w:w="250" w:type="dxa"/>
        <w:tblLayout w:type="fixed"/>
        <w:tblCellMar>
          <w:top w:w="0" w:type="dxa"/>
          <w:left w:w="108" w:type="dxa"/>
          <w:bottom w:w="0" w:type="dxa"/>
          <w:right w:w="108" w:type="dxa"/>
        </w:tblCellMar>
      </w:tblPr>
      <w:tblGrid>
        <w:gridCol w:w="1117"/>
        <w:gridCol w:w="2680"/>
        <w:gridCol w:w="1845"/>
        <w:gridCol w:w="2445"/>
      </w:tblGrid>
      <w:tr w14:paraId="1276C3B0">
        <w:tblPrEx>
          <w:tblCellMar>
            <w:top w:w="0" w:type="dxa"/>
            <w:left w:w="108" w:type="dxa"/>
            <w:bottom w:w="0" w:type="dxa"/>
            <w:right w:w="108" w:type="dxa"/>
          </w:tblCellMar>
        </w:tblPrEx>
        <w:trPr>
          <w:trHeight w:val="321" w:hRule="atLeast"/>
        </w:trPr>
        <w:tc>
          <w:tcPr>
            <w:tcW w:w="111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0CD2FB2B">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类型</w:t>
            </w:r>
          </w:p>
        </w:tc>
        <w:tc>
          <w:tcPr>
            <w:tcW w:w="26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A6436">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材料类型</w:t>
            </w:r>
          </w:p>
        </w:tc>
        <w:tc>
          <w:tcPr>
            <w:tcW w:w="1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318F2">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材料规格（人行）</w:t>
            </w:r>
          </w:p>
        </w:tc>
        <w:tc>
          <w:tcPr>
            <w:tcW w:w="2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0F7FE">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颜色</w:t>
            </w:r>
          </w:p>
        </w:tc>
      </w:tr>
      <w:tr w14:paraId="5AC3C352">
        <w:tblPrEx>
          <w:tblCellMar>
            <w:top w:w="0" w:type="dxa"/>
            <w:left w:w="108" w:type="dxa"/>
            <w:bottom w:w="0" w:type="dxa"/>
            <w:right w:w="108" w:type="dxa"/>
          </w:tblCellMar>
        </w:tblPrEx>
        <w:trPr>
          <w:trHeight w:val="632" w:hRule="atLeast"/>
        </w:trPr>
        <w:tc>
          <w:tcPr>
            <w:tcW w:w="1117" w:type="dxa"/>
            <w:tcBorders>
              <w:top w:val="single" w:color="000000" w:sz="4" w:space="0"/>
              <w:left w:val="single" w:color="000000" w:sz="4" w:space="0"/>
              <w:bottom w:val="single" w:color="auto" w:sz="4" w:space="0"/>
              <w:right w:val="single" w:color="auto" w:sz="4" w:space="0"/>
            </w:tcBorders>
            <w:shd w:val="clear" w:color="auto" w:fill="auto"/>
            <w:vAlign w:val="center"/>
          </w:tcPr>
          <w:p w14:paraId="713DE68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园路</w:t>
            </w:r>
          </w:p>
          <w:p w14:paraId="6EC13CE7">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A59F1">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透水砖、广场砖、沥青等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914F1">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240*120*50；300*150*50；300*300*50；</w:t>
            </w:r>
          </w:p>
          <w:p w14:paraId="735549B3">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9447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浅灰色、深灰色、黄色、红色等</w:t>
            </w:r>
          </w:p>
        </w:tc>
      </w:tr>
      <w:tr w14:paraId="3312BBD4">
        <w:tblPrEx>
          <w:tblCellMar>
            <w:top w:w="0" w:type="dxa"/>
            <w:left w:w="108" w:type="dxa"/>
            <w:bottom w:w="0" w:type="dxa"/>
            <w:right w:w="108" w:type="dxa"/>
          </w:tblCellMar>
        </w:tblPrEx>
        <w:trPr>
          <w:trHeight w:val="632"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23290EF0">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广场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EC11C">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透水砖、广场砖</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34AA8">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300*150*50；</w:t>
            </w:r>
          </w:p>
          <w:p w14:paraId="2643CFB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300*300*50；</w:t>
            </w:r>
          </w:p>
          <w:p w14:paraId="1283B024">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90BB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浅灰色、深灰色、黄色、红色等</w:t>
            </w:r>
          </w:p>
        </w:tc>
      </w:tr>
      <w:tr w14:paraId="24629862">
        <w:tblPrEx>
          <w:tblCellMar>
            <w:top w:w="0" w:type="dxa"/>
            <w:left w:w="108" w:type="dxa"/>
            <w:bottom w:w="0" w:type="dxa"/>
            <w:right w:w="108" w:type="dxa"/>
          </w:tblCellMar>
        </w:tblPrEx>
        <w:trPr>
          <w:trHeight w:val="632"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70BC79C5">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儿童活动区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87EE5">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Times New Roman"/>
                <w:color w:val="000000" w:themeColor="text1"/>
                <w:sz w:val="21"/>
                <w:szCs w:val="21"/>
                <w:highlight w:val="none"/>
                <w14:textFill>
                  <w14:solidFill>
                    <w14:schemeClr w14:val="tx1"/>
                  </w14:solidFill>
                </w14:textFill>
              </w:rPr>
              <w:t>EPDM颗粒安全地垫、彩色水泥压膜、彩色硅P</w:t>
            </w:r>
            <w:r>
              <w:rPr>
                <w:rFonts w:ascii="宋体" w:hAnsi="宋体" w:eastAsia="宋体" w:cs="Times New Roman"/>
                <w:color w:val="000000" w:themeColor="text1"/>
                <w:sz w:val="21"/>
                <w:szCs w:val="21"/>
                <w:highlight w:val="none"/>
                <w14:textFill>
                  <w14:solidFill>
                    <w14:schemeClr w14:val="tx1"/>
                  </w14:solidFill>
                </w14:textFill>
              </w:rPr>
              <w:t>U地面，</w:t>
            </w:r>
            <w:r>
              <w:rPr>
                <w:rFonts w:hint="eastAsia" w:ascii="宋体" w:hAnsi="宋体" w:eastAsia="宋体" w:cs="Times New Roman"/>
                <w:color w:val="000000" w:themeColor="text1"/>
                <w:sz w:val="21"/>
                <w:szCs w:val="21"/>
                <w:highlight w:val="none"/>
                <w14:textFill>
                  <w14:solidFill>
                    <w14:schemeClr w14:val="tx1"/>
                  </w14:solidFill>
                </w14:textFill>
              </w:rPr>
              <w:t>彩色</w:t>
            </w:r>
            <w:r>
              <w:rPr>
                <w:rFonts w:ascii="宋体" w:hAnsi="宋体" w:eastAsia="宋体" w:cs="Times New Roman"/>
                <w:color w:val="000000" w:themeColor="text1"/>
                <w:sz w:val="21"/>
                <w:szCs w:val="21"/>
                <w:highlight w:val="none"/>
                <w14:textFill>
                  <w14:solidFill>
                    <w14:schemeClr w14:val="tx1"/>
                  </w14:solidFill>
                </w14:textFill>
              </w:rPr>
              <w:t>丙烯酸地面</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8C247">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Times New Roman"/>
                <w:color w:val="000000" w:themeColor="text1"/>
                <w:sz w:val="21"/>
                <w:szCs w:val="21"/>
                <w:highlight w:val="none"/>
                <w14:textFill>
                  <w14:solidFill>
                    <w14:schemeClr w14:val="tx1"/>
                  </w14:solidFill>
                </w14:textFill>
              </w:rPr>
              <w:t>EPDM13厚</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E248">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黄色、红色、蓝色、橙色</w:t>
            </w:r>
            <w:r>
              <w:rPr>
                <w:rFonts w:hint="eastAsia" w:ascii="宋体" w:hAnsi="宋体" w:eastAsia="宋体" w:cs="宋体"/>
                <w:color w:val="000000" w:themeColor="text1"/>
                <w:sz w:val="21"/>
                <w:szCs w:val="21"/>
                <w:highlight w:val="none"/>
                <w14:textFill>
                  <w14:solidFill>
                    <w14:schemeClr w14:val="tx1"/>
                  </w14:solidFill>
                </w14:textFill>
              </w:rPr>
              <w:t>等</w:t>
            </w:r>
          </w:p>
        </w:tc>
      </w:tr>
      <w:tr w14:paraId="685E54EF">
        <w:tblPrEx>
          <w:tblCellMar>
            <w:top w:w="0" w:type="dxa"/>
            <w:left w:w="108" w:type="dxa"/>
            <w:bottom w:w="0" w:type="dxa"/>
            <w:right w:w="108" w:type="dxa"/>
          </w:tblCellMar>
        </w:tblPrEx>
        <w:trPr>
          <w:trHeight w:val="489"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757CB23A">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运动区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E57FA">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Times New Roman"/>
                <w:color w:val="000000" w:themeColor="text1"/>
                <w:sz w:val="21"/>
                <w:szCs w:val="21"/>
                <w:highlight w:val="none"/>
                <w14:textFill>
                  <w14:solidFill>
                    <w14:schemeClr w14:val="tx1"/>
                  </w14:solidFill>
                </w14:textFill>
              </w:rPr>
              <w:t>EPDM颗粒安全地垫、</w:t>
            </w:r>
            <w:r>
              <w:rPr>
                <w:rFonts w:hint="eastAsia" w:ascii="宋体" w:hAnsi="宋体" w:eastAsia="宋体" w:cs="宋体"/>
                <w:color w:val="000000" w:themeColor="text1"/>
                <w:kern w:val="0"/>
                <w:sz w:val="21"/>
                <w:szCs w:val="21"/>
                <w:highlight w:val="none"/>
                <w14:textFill>
                  <w14:solidFill>
                    <w14:schemeClr w14:val="tx1"/>
                  </w14:solidFill>
                </w14:textFill>
              </w:rPr>
              <w:t>沥青</w:t>
            </w:r>
            <w:r>
              <w:rPr>
                <w:rFonts w:hint="eastAsia" w:ascii="宋体" w:hAnsi="宋体" w:eastAsia="宋体" w:cs="Times New Roman"/>
                <w:color w:val="000000" w:themeColor="text1"/>
                <w:sz w:val="21"/>
                <w:szCs w:val="21"/>
                <w:highlight w:val="none"/>
                <w14:textFill>
                  <w14:solidFill>
                    <w14:schemeClr w14:val="tx1"/>
                  </w14:solidFill>
                </w14:textFill>
              </w:rPr>
              <w:t>、彩色水泥压膜、彩色硅P</w:t>
            </w:r>
            <w:r>
              <w:rPr>
                <w:rFonts w:ascii="宋体" w:hAnsi="宋体" w:eastAsia="宋体" w:cs="Times New Roman"/>
                <w:color w:val="000000" w:themeColor="text1"/>
                <w:sz w:val="21"/>
                <w:szCs w:val="21"/>
                <w:highlight w:val="none"/>
                <w14:textFill>
                  <w14:solidFill>
                    <w14:schemeClr w14:val="tx1"/>
                  </w14:solidFill>
                </w14:textFill>
              </w:rPr>
              <w:t>U地面，</w:t>
            </w:r>
            <w:r>
              <w:rPr>
                <w:rFonts w:hint="eastAsia" w:ascii="宋体" w:hAnsi="宋体" w:eastAsia="宋体" w:cs="Times New Roman"/>
                <w:color w:val="000000" w:themeColor="text1"/>
                <w:sz w:val="21"/>
                <w:szCs w:val="21"/>
                <w:highlight w:val="none"/>
                <w14:textFill>
                  <w14:solidFill>
                    <w14:schemeClr w14:val="tx1"/>
                  </w14:solidFill>
                </w14:textFill>
              </w:rPr>
              <w:t>彩色</w:t>
            </w:r>
            <w:r>
              <w:rPr>
                <w:rFonts w:ascii="宋体" w:hAnsi="宋体" w:eastAsia="宋体" w:cs="Times New Roman"/>
                <w:color w:val="000000" w:themeColor="text1"/>
                <w:sz w:val="21"/>
                <w:szCs w:val="21"/>
                <w:highlight w:val="none"/>
                <w14:textFill>
                  <w14:solidFill>
                    <w14:schemeClr w14:val="tx1"/>
                  </w14:solidFill>
                </w14:textFill>
              </w:rPr>
              <w:t>丙烯酸地面</w:t>
            </w:r>
            <w:r>
              <w:rPr>
                <w:rFonts w:hint="eastAsia" w:ascii="宋体" w:hAnsi="宋体" w:eastAsia="宋体" w:cs="宋体"/>
                <w:color w:val="000000" w:themeColor="text1"/>
                <w:kern w:val="0"/>
                <w:sz w:val="21"/>
                <w:szCs w:val="21"/>
                <w:highlight w:val="none"/>
                <w14:textFill>
                  <w14:solidFill>
                    <w14:schemeClr w14:val="tx1"/>
                  </w14:solidFill>
                </w14:textFill>
              </w:rPr>
              <w:t>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1E3DE">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Times New Roman"/>
                <w:color w:val="000000" w:themeColor="text1"/>
                <w:sz w:val="21"/>
                <w:szCs w:val="21"/>
                <w:highlight w:val="none"/>
                <w14:textFill>
                  <w14:solidFill>
                    <w14:schemeClr w14:val="tx1"/>
                  </w14:solidFill>
                </w14:textFill>
              </w:rPr>
              <w:t>EPDM13厚</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F9184">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黄色、红色、蓝色、橙色</w:t>
            </w:r>
            <w:r>
              <w:rPr>
                <w:rFonts w:hint="eastAsia" w:ascii="宋体" w:hAnsi="宋体" w:eastAsia="宋体" w:cs="宋体"/>
                <w:color w:val="000000" w:themeColor="text1"/>
                <w:sz w:val="21"/>
                <w:szCs w:val="21"/>
                <w:highlight w:val="none"/>
                <w14:textFill>
                  <w14:solidFill>
                    <w14:schemeClr w14:val="tx1"/>
                  </w14:solidFill>
                </w14:textFill>
              </w:rPr>
              <w:t>等</w:t>
            </w:r>
          </w:p>
        </w:tc>
      </w:tr>
      <w:tr w14:paraId="79B70A83">
        <w:tblPrEx>
          <w:tblCellMar>
            <w:top w:w="0" w:type="dxa"/>
            <w:left w:w="108" w:type="dxa"/>
            <w:bottom w:w="0" w:type="dxa"/>
            <w:right w:w="108" w:type="dxa"/>
          </w:tblCellMar>
        </w:tblPrEx>
        <w:trPr>
          <w:trHeight w:val="321"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05ED48D1">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消防扑救面</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F344B">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Times New Roman"/>
                <w:bCs/>
                <w:color w:val="000000" w:themeColor="text1"/>
                <w:sz w:val="21"/>
                <w:szCs w:val="21"/>
                <w:highlight w:val="none"/>
                <w14:textFill>
                  <w14:solidFill>
                    <w14:schemeClr w14:val="tx1"/>
                  </w14:solidFill>
                </w14:textFill>
              </w:rPr>
              <w:t>彩色透水混凝土、</w:t>
            </w:r>
            <w:r>
              <w:rPr>
                <w:rFonts w:hint="eastAsia" w:ascii="宋体" w:hAnsi="宋体" w:eastAsia="宋体" w:cs="宋体"/>
                <w:color w:val="000000" w:themeColor="text1"/>
                <w:kern w:val="0"/>
                <w:sz w:val="21"/>
                <w:szCs w:val="21"/>
                <w:highlight w:val="none"/>
                <w14:textFill>
                  <w14:solidFill>
                    <w14:schemeClr w14:val="tx1"/>
                  </w14:solidFill>
                </w14:textFill>
              </w:rPr>
              <w:t>透水砖、沥青</w:t>
            </w:r>
            <w:r>
              <w:rPr>
                <w:rFonts w:hint="eastAsia" w:ascii="宋体" w:hAnsi="宋体" w:eastAsia="宋体" w:cs="Times New Roman"/>
                <w:color w:val="000000" w:themeColor="text1"/>
                <w:sz w:val="21"/>
                <w:szCs w:val="21"/>
                <w:highlight w:val="none"/>
                <w14:textFill>
                  <w14:solidFill>
                    <w14:schemeClr w14:val="tx1"/>
                  </w14:solidFill>
                </w14:textFill>
              </w:rPr>
              <w:t>、彩色水泥压膜、彩色硅P</w:t>
            </w:r>
            <w:r>
              <w:rPr>
                <w:rFonts w:ascii="宋体" w:hAnsi="宋体" w:eastAsia="宋体" w:cs="Times New Roman"/>
                <w:color w:val="000000" w:themeColor="text1"/>
                <w:sz w:val="21"/>
                <w:szCs w:val="21"/>
                <w:highlight w:val="none"/>
                <w14:textFill>
                  <w14:solidFill>
                    <w14:schemeClr w14:val="tx1"/>
                  </w14:solidFill>
                </w14:textFill>
              </w:rPr>
              <w:t>U地面，</w:t>
            </w:r>
            <w:r>
              <w:rPr>
                <w:rFonts w:hint="eastAsia" w:ascii="宋体" w:hAnsi="宋体" w:eastAsia="宋体" w:cs="Times New Roman"/>
                <w:color w:val="000000" w:themeColor="text1"/>
                <w:sz w:val="21"/>
                <w:szCs w:val="21"/>
                <w:highlight w:val="none"/>
                <w14:textFill>
                  <w14:solidFill>
                    <w14:schemeClr w14:val="tx1"/>
                  </w14:solidFill>
                </w14:textFill>
              </w:rPr>
              <w:t>彩色</w:t>
            </w:r>
            <w:r>
              <w:rPr>
                <w:rFonts w:ascii="宋体" w:hAnsi="宋体" w:eastAsia="宋体" w:cs="Times New Roman"/>
                <w:color w:val="000000" w:themeColor="text1"/>
                <w:sz w:val="21"/>
                <w:szCs w:val="21"/>
                <w:highlight w:val="none"/>
                <w14:textFill>
                  <w14:solidFill>
                    <w14:schemeClr w14:val="tx1"/>
                  </w14:solidFill>
                </w14:textFill>
              </w:rPr>
              <w:t>丙烯酸地面</w:t>
            </w:r>
            <w:r>
              <w:rPr>
                <w:rFonts w:hint="eastAsia" w:ascii="宋体" w:hAnsi="宋体" w:eastAsia="宋体" w:cs="宋体"/>
                <w:color w:val="000000" w:themeColor="text1"/>
                <w:kern w:val="0"/>
                <w:sz w:val="21"/>
                <w:szCs w:val="21"/>
                <w:highlight w:val="none"/>
                <w14:textFill>
                  <w14:solidFill>
                    <w14:schemeClr w14:val="tx1"/>
                  </w14:solidFill>
                </w14:textFill>
              </w:rPr>
              <w:t>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60E32">
            <w:pPr>
              <w:widowControl/>
              <w:snapToGrid/>
              <w:spacing w:before="0" w:after="0" w:line="240" w:lineRule="auto"/>
              <w:jc w:val="center"/>
              <w:textAlignment w:val="center"/>
              <w:rPr>
                <w:rFonts w:hint="eastAsia" w:ascii="宋体" w:hAnsi="宋体" w:eastAsia="宋体" w:cs="宋体"/>
                <w:color w:val="000000" w:themeColor="text1"/>
                <w:kern w:val="0"/>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（车行）240*120*100；300*150*100；300*300*100；</w:t>
            </w:r>
          </w:p>
          <w:p w14:paraId="2D6B4BD6">
            <w:pPr>
              <w:widowControl/>
              <w:snapToGrid/>
              <w:spacing w:before="0" w:after="0" w:line="240" w:lineRule="auto"/>
              <w:ind w:firstLine="210" w:firstLineChars="100"/>
              <w:jc w:val="both"/>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600*300*100；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9290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浅灰色、深灰色、黄色、红色等</w:t>
            </w:r>
          </w:p>
        </w:tc>
      </w:tr>
      <w:tr w14:paraId="1E8FC751">
        <w:trPr>
          <w:trHeight w:val="632" w:hRule="atLeast"/>
        </w:trPr>
        <w:tc>
          <w:tcPr>
            <w:tcW w:w="1117" w:type="dxa"/>
            <w:tcBorders>
              <w:top w:val="single" w:color="auto" w:sz="4" w:space="0"/>
              <w:left w:val="single" w:color="000000" w:sz="4" w:space="0"/>
              <w:right w:val="single" w:color="000000" w:sz="4" w:space="0"/>
            </w:tcBorders>
            <w:shd w:val="clear" w:color="auto" w:fill="auto"/>
            <w:vAlign w:val="center"/>
          </w:tcPr>
          <w:p w14:paraId="7E1B4D28">
            <w:pPr>
              <w:snapToGrid/>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架空层</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BE440">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耐磨防滑砖、</w:t>
            </w:r>
            <w:r>
              <w:rPr>
                <w:rFonts w:hint="eastAsia" w:ascii="宋体" w:hAnsi="宋体" w:eastAsia="宋体" w:cs="Times New Roman"/>
                <w:color w:val="000000" w:themeColor="text1"/>
                <w:sz w:val="21"/>
                <w:szCs w:val="21"/>
                <w:highlight w:val="none"/>
                <w14:textFill>
                  <w14:solidFill>
                    <w14:schemeClr w14:val="tx1"/>
                  </w14:solidFill>
                </w14:textFill>
              </w:rPr>
              <w:t>EPDM颗粒安全地垫、彩色水泥压膜、彩色硅P</w:t>
            </w:r>
            <w:r>
              <w:rPr>
                <w:rFonts w:ascii="宋体" w:hAnsi="宋体" w:eastAsia="宋体" w:cs="Times New Roman"/>
                <w:color w:val="000000" w:themeColor="text1"/>
                <w:sz w:val="21"/>
                <w:szCs w:val="21"/>
                <w:highlight w:val="none"/>
                <w14:textFill>
                  <w14:solidFill>
                    <w14:schemeClr w14:val="tx1"/>
                  </w14:solidFill>
                </w14:textFill>
              </w:rPr>
              <w:t>U地面，</w:t>
            </w:r>
            <w:r>
              <w:rPr>
                <w:rFonts w:hint="eastAsia" w:ascii="宋体" w:hAnsi="宋体" w:eastAsia="宋体" w:cs="Times New Roman"/>
                <w:color w:val="000000" w:themeColor="text1"/>
                <w:sz w:val="21"/>
                <w:szCs w:val="21"/>
                <w:highlight w:val="none"/>
                <w14:textFill>
                  <w14:solidFill>
                    <w14:schemeClr w14:val="tx1"/>
                  </w14:solidFill>
                </w14:textFill>
              </w:rPr>
              <w:t>彩色</w:t>
            </w:r>
            <w:r>
              <w:rPr>
                <w:rFonts w:ascii="宋体" w:hAnsi="宋体" w:eastAsia="宋体" w:cs="Times New Roman"/>
                <w:color w:val="000000" w:themeColor="text1"/>
                <w:sz w:val="21"/>
                <w:szCs w:val="21"/>
                <w:highlight w:val="none"/>
                <w14:textFill>
                  <w14:solidFill>
                    <w14:schemeClr w14:val="tx1"/>
                  </w14:solidFill>
                </w14:textFill>
              </w:rPr>
              <w:t>丙烯酸地面</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05AAB">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防滑砖：300*150*50；300*300*50；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32FDC">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浅灰色、深灰色、黄色等</w:t>
            </w:r>
          </w:p>
        </w:tc>
      </w:tr>
      <w:tr w14:paraId="2F1F3B74">
        <w:tblPrEx>
          <w:tblCellMar>
            <w:top w:w="0" w:type="dxa"/>
            <w:left w:w="108" w:type="dxa"/>
            <w:bottom w:w="0" w:type="dxa"/>
            <w:right w:w="108" w:type="dxa"/>
          </w:tblCellMar>
        </w:tblPrEx>
        <w:trPr>
          <w:trHeight w:val="632" w:hRule="atLeast"/>
        </w:trPr>
        <w:tc>
          <w:tcPr>
            <w:tcW w:w="11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E3157">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商业广场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791F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PC仿石砖、广场砖</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6EBB8">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kern w:val="0"/>
                <w:sz w:val="21"/>
                <w:szCs w:val="21"/>
                <w:highlight w:val="none"/>
                <w14:textFill>
                  <w14:solidFill>
                    <w14:schemeClr w14:val="tx1"/>
                  </w14:solidFill>
                </w14:textFill>
              </w:rPr>
              <w:t>600*300*50；300*300*50；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DE6E3">
            <w:pPr>
              <w:widowControl/>
              <w:snapToGrid/>
              <w:spacing w:before="0" w:after="0" w:line="240" w:lineRule="auto"/>
              <w:jc w:val="center"/>
              <w:textAlignment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浅灰色、深灰色、</w:t>
            </w:r>
            <w:r>
              <w:rPr>
                <w:rFonts w:hint="eastAsia" w:ascii="宋体" w:hAnsi="宋体" w:eastAsia="宋体" w:cs="宋体"/>
                <w:color w:val="000000" w:themeColor="text1"/>
                <w:kern w:val="0"/>
                <w:sz w:val="21"/>
                <w:szCs w:val="21"/>
                <w:highlight w:val="none"/>
                <w14:textFill>
                  <w14:solidFill>
                    <w14:schemeClr w14:val="tx1"/>
                  </w14:solidFill>
                </w14:textFill>
              </w:rPr>
              <w:t>棕色</w:t>
            </w:r>
            <w:r>
              <w:rPr>
                <w:rFonts w:hint="eastAsia" w:ascii="宋体" w:hAnsi="宋体" w:eastAsia="宋体" w:cs="宋体"/>
                <w:color w:val="000000" w:themeColor="text1"/>
                <w:sz w:val="21"/>
                <w:szCs w:val="21"/>
                <w:highlight w:val="none"/>
                <w14:textFill>
                  <w14:solidFill>
                    <w14:schemeClr w14:val="tx1"/>
                  </w14:solidFill>
                </w14:textFill>
              </w:rPr>
              <w:t>等</w:t>
            </w:r>
          </w:p>
        </w:tc>
      </w:tr>
    </w:tbl>
    <w:p w14:paraId="5C389254">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p>
    <w:p w14:paraId="01527B68">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7.3.1.3 硬质景观中地面所采用的材料不宜超过5种，铺装拼花不宜复杂。</w:t>
      </w:r>
    </w:p>
    <w:p w14:paraId="545504EB">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7.3.1.4 铺装材料厚度参考：人行道50-60mm，车行道80-100mm。尽量使用或利用市场上通行的材料规格来进行设计（单块铺装平面尺寸应符合模数），节省材料的损耗，避免使用曲线及弧线等定制材料。</w:t>
      </w:r>
    </w:p>
    <w:p w14:paraId="5CAA97CB">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7.3.2景观绿化</w:t>
      </w:r>
    </w:p>
    <w:p w14:paraId="178E25AF">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7.3.2.1 乔木支撑材料选型</w:t>
      </w:r>
    </w:p>
    <w:p w14:paraId="4348635F">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乔木支撑方式：统一采用镀锌钢管四角支撑。</w:t>
      </w:r>
    </w:p>
    <w:p w14:paraId="4B190136">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胸径&lt;18cm乔木：镀锌钢管的长度为2.5m，管径DN40mm，壁厚3mm,采用单层钢支撑；</w:t>
      </w:r>
    </w:p>
    <w:p w14:paraId="19505C52">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胸径≥18cm乔木：镀锌钢管的长度为4m，管径DN40mm，壁厚3mm,采用两层钢支撑（防台风防倒伏加固）。</w:t>
      </w:r>
    </w:p>
    <w:p w14:paraId="3AF27840">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7.3.2.2 绿化种植土工程量</w:t>
      </w:r>
    </w:p>
    <w:p w14:paraId="02FC0D84">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绿化种植土选用二级种植土。种植土壤应保持最低土层厚度，一般种植情况下，最低土层厚度要求详见下表。</w:t>
      </w:r>
    </w:p>
    <w:tbl>
      <w:tblPr>
        <w:tblStyle w:val="42"/>
        <w:tblW w:w="8359" w:type="dxa"/>
        <w:jc w:val="center"/>
        <w:tblLayout w:type="fixed"/>
        <w:tblCellMar>
          <w:top w:w="0" w:type="dxa"/>
          <w:left w:w="108" w:type="dxa"/>
          <w:bottom w:w="0" w:type="dxa"/>
          <w:right w:w="108" w:type="dxa"/>
        </w:tblCellMar>
      </w:tblPr>
      <w:tblGrid>
        <w:gridCol w:w="704"/>
        <w:gridCol w:w="1559"/>
        <w:gridCol w:w="1159"/>
        <w:gridCol w:w="3094"/>
        <w:gridCol w:w="1843"/>
      </w:tblGrid>
      <w:tr w14:paraId="2A01AB36">
        <w:tblPrEx>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A9F2166">
            <w:pPr>
              <w:widowControl/>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序号</w:t>
            </w:r>
          </w:p>
        </w:tc>
        <w:tc>
          <w:tcPr>
            <w:tcW w:w="1559" w:type="dxa"/>
            <w:tcBorders>
              <w:top w:val="single" w:color="auto" w:sz="4" w:space="0"/>
              <w:left w:val="nil"/>
              <w:bottom w:val="single" w:color="auto" w:sz="4" w:space="0"/>
              <w:right w:val="single" w:color="auto" w:sz="4" w:space="0"/>
            </w:tcBorders>
            <w:shd w:val="clear" w:color="auto" w:fill="auto"/>
            <w:noWrap/>
            <w:vAlign w:val="center"/>
          </w:tcPr>
          <w:p w14:paraId="65D1127B">
            <w:pPr>
              <w:widowControl/>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项目</w:t>
            </w: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20BEF405">
            <w:pPr>
              <w:widowControl/>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植被类型</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58A4168B">
            <w:pPr>
              <w:widowControl/>
              <w:adjustRightInd w:val="0"/>
              <w:spacing w:line="360" w:lineRule="auto"/>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土层厚度（cm）</w:t>
            </w:r>
          </w:p>
        </w:tc>
      </w:tr>
      <w:tr w14:paraId="7C797A66">
        <w:tblPrEx>
          <w:tblCellMar>
            <w:top w:w="0" w:type="dxa"/>
            <w:left w:w="108" w:type="dxa"/>
            <w:bottom w:w="0" w:type="dxa"/>
            <w:right w:w="108" w:type="dxa"/>
          </w:tblCellMar>
        </w:tblPrEx>
        <w:trPr>
          <w:trHeight w:val="454" w:hRule="atLeast"/>
          <w:jc w:val="center"/>
        </w:trPr>
        <w:tc>
          <w:tcPr>
            <w:tcW w:w="704" w:type="dxa"/>
            <w:vMerge w:val="restart"/>
            <w:tcBorders>
              <w:top w:val="nil"/>
              <w:left w:val="single" w:color="auto" w:sz="4" w:space="0"/>
              <w:bottom w:val="single" w:color="000000" w:sz="4" w:space="0"/>
              <w:right w:val="single" w:color="auto" w:sz="4" w:space="0"/>
            </w:tcBorders>
            <w:shd w:val="clear" w:color="auto" w:fill="auto"/>
            <w:noWrap/>
            <w:vAlign w:val="center"/>
          </w:tcPr>
          <w:p w14:paraId="1D1212D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c>
          <w:tcPr>
            <w:tcW w:w="1559" w:type="dxa"/>
            <w:vMerge w:val="restart"/>
            <w:tcBorders>
              <w:top w:val="nil"/>
              <w:left w:val="single" w:color="auto" w:sz="4" w:space="0"/>
              <w:bottom w:val="single" w:color="000000" w:sz="4" w:space="0"/>
              <w:right w:val="single" w:color="auto" w:sz="4" w:space="0"/>
            </w:tcBorders>
            <w:shd w:val="clear" w:color="auto" w:fill="auto"/>
            <w:noWrap/>
            <w:vAlign w:val="center"/>
          </w:tcPr>
          <w:p w14:paraId="596A2609">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一般栽植</w:t>
            </w: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5842163D">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乔木</w:t>
            </w:r>
          </w:p>
        </w:tc>
        <w:tc>
          <w:tcPr>
            <w:tcW w:w="3094" w:type="dxa"/>
            <w:tcBorders>
              <w:top w:val="nil"/>
              <w:left w:val="nil"/>
              <w:bottom w:val="single" w:color="auto" w:sz="4" w:space="0"/>
              <w:right w:val="single" w:color="auto" w:sz="4" w:space="0"/>
            </w:tcBorders>
            <w:shd w:val="clear" w:color="auto" w:fill="auto"/>
            <w:noWrap/>
            <w:vAlign w:val="center"/>
          </w:tcPr>
          <w:p w14:paraId="7A5BFC5F">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胸径≥20cm</w:t>
            </w:r>
          </w:p>
        </w:tc>
        <w:tc>
          <w:tcPr>
            <w:tcW w:w="1843" w:type="dxa"/>
            <w:tcBorders>
              <w:top w:val="nil"/>
              <w:left w:val="nil"/>
              <w:bottom w:val="single" w:color="auto" w:sz="4" w:space="0"/>
              <w:right w:val="single" w:color="auto" w:sz="4" w:space="0"/>
            </w:tcBorders>
            <w:shd w:val="clear" w:color="auto" w:fill="auto"/>
            <w:noWrap/>
            <w:vAlign w:val="center"/>
          </w:tcPr>
          <w:p w14:paraId="35EDBD07">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≥180</w:t>
            </w:r>
          </w:p>
        </w:tc>
      </w:tr>
      <w:tr w14:paraId="1CAB2C4F">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5B59987C">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173BA99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continue"/>
            <w:tcBorders>
              <w:top w:val="nil"/>
              <w:left w:val="single" w:color="auto" w:sz="4" w:space="0"/>
              <w:bottom w:val="single" w:color="000000" w:sz="4" w:space="0"/>
              <w:right w:val="single" w:color="auto" w:sz="4" w:space="0"/>
            </w:tcBorders>
            <w:vAlign w:val="center"/>
          </w:tcPr>
          <w:p w14:paraId="66E59F7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3094" w:type="dxa"/>
            <w:vMerge w:val="restart"/>
            <w:tcBorders>
              <w:top w:val="nil"/>
              <w:left w:val="single" w:color="auto" w:sz="4" w:space="0"/>
              <w:bottom w:val="single" w:color="000000" w:sz="4" w:space="0"/>
              <w:right w:val="single" w:color="auto" w:sz="4" w:space="0"/>
            </w:tcBorders>
            <w:shd w:val="clear" w:color="auto" w:fill="auto"/>
            <w:noWrap/>
            <w:vAlign w:val="center"/>
          </w:tcPr>
          <w:p w14:paraId="1224102C">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胸径＜20cm</w:t>
            </w:r>
          </w:p>
        </w:tc>
        <w:tc>
          <w:tcPr>
            <w:tcW w:w="1843" w:type="dxa"/>
            <w:tcBorders>
              <w:top w:val="nil"/>
              <w:left w:val="nil"/>
              <w:bottom w:val="single" w:color="auto" w:sz="4" w:space="0"/>
              <w:right w:val="single" w:color="auto" w:sz="4" w:space="0"/>
            </w:tcBorders>
            <w:shd w:val="clear" w:color="auto" w:fill="auto"/>
            <w:noWrap/>
            <w:vAlign w:val="center"/>
          </w:tcPr>
          <w:p w14:paraId="0C8D1D5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≥150(深根）</w:t>
            </w:r>
          </w:p>
        </w:tc>
      </w:tr>
      <w:tr w14:paraId="65D10B5D">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6DCF91C9">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4F18C9F9">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continue"/>
            <w:tcBorders>
              <w:top w:val="nil"/>
              <w:left w:val="single" w:color="auto" w:sz="4" w:space="0"/>
              <w:bottom w:val="single" w:color="000000" w:sz="4" w:space="0"/>
              <w:right w:val="single" w:color="auto" w:sz="4" w:space="0"/>
            </w:tcBorders>
            <w:vAlign w:val="center"/>
          </w:tcPr>
          <w:p w14:paraId="05093C5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3094" w:type="dxa"/>
            <w:vMerge w:val="continue"/>
            <w:tcBorders>
              <w:top w:val="nil"/>
              <w:left w:val="single" w:color="auto" w:sz="4" w:space="0"/>
              <w:bottom w:val="single" w:color="000000" w:sz="4" w:space="0"/>
              <w:right w:val="single" w:color="auto" w:sz="4" w:space="0"/>
            </w:tcBorders>
            <w:vAlign w:val="center"/>
          </w:tcPr>
          <w:p w14:paraId="4E5C71C7">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843" w:type="dxa"/>
            <w:tcBorders>
              <w:top w:val="nil"/>
              <w:left w:val="nil"/>
              <w:bottom w:val="single" w:color="auto" w:sz="4" w:space="0"/>
              <w:right w:val="single" w:color="auto" w:sz="4" w:space="0"/>
            </w:tcBorders>
            <w:shd w:val="clear" w:color="auto" w:fill="auto"/>
            <w:noWrap/>
            <w:vAlign w:val="center"/>
          </w:tcPr>
          <w:p w14:paraId="4B85C485">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≥150(深根）</w:t>
            </w:r>
          </w:p>
        </w:tc>
      </w:tr>
      <w:tr w14:paraId="529EF18C">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1FADE1F4">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6CC20815">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6ABD018A">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灌木</w:t>
            </w:r>
          </w:p>
        </w:tc>
        <w:tc>
          <w:tcPr>
            <w:tcW w:w="3094" w:type="dxa"/>
            <w:tcBorders>
              <w:top w:val="nil"/>
              <w:left w:val="nil"/>
              <w:bottom w:val="single" w:color="auto" w:sz="4" w:space="0"/>
              <w:right w:val="single" w:color="auto" w:sz="4" w:space="0"/>
            </w:tcBorders>
            <w:shd w:val="clear" w:color="auto" w:fill="auto"/>
            <w:noWrap/>
            <w:vAlign w:val="center"/>
          </w:tcPr>
          <w:p w14:paraId="6FF10B55">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大、中灌木、大藤本</w:t>
            </w:r>
          </w:p>
        </w:tc>
        <w:tc>
          <w:tcPr>
            <w:tcW w:w="1843" w:type="dxa"/>
            <w:tcBorders>
              <w:top w:val="nil"/>
              <w:left w:val="nil"/>
              <w:bottom w:val="single" w:color="auto" w:sz="4" w:space="0"/>
              <w:right w:val="single" w:color="auto" w:sz="4" w:space="0"/>
            </w:tcBorders>
            <w:shd w:val="clear" w:color="auto" w:fill="auto"/>
            <w:noWrap/>
            <w:vAlign w:val="center"/>
          </w:tcPr>
          <w:p w14:paraId="0D4CB3E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≥90</w:t>
            </w:r>
          </w:p>
        </w:tc>
      </w:tr>
      <w:tr w14:paraId="0AB56E32">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36A5640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01FAFDB2">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continue"/>
            <w:tcBorders>
              <w:top w:val="nil"/>
              <w:left w:val="single" w:color="auto" w:sz="4" w:space="0"/>
              <w:bottom w:val="single" w:color="000000" w:sz="4" w:space="0"/>
              <w:right w:val="single" w:color="auto" w:sz="4" w:space="0"/>
            </w:tcBorders>
            <w:vAlign w:val="center"/>
          </w:tcPr>
          <w:p w14:paraId="14E33C08">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3094" w:type="dxa"/>
            <w:tcBorders>
              <w:top w:val="nil"/>
              <w:left w:val="nil"/>
              <w:bottom w:val="single" w:color="auto" w:sz="4" w:space="0"/>
              <w:right w:val="single" w:color="auto" w:sz="4" w:space="0"/>
            </w:tcBorders>
            <w:shd w:val="clear" w:color="auto" w:fill="auto"/>
            <w:noWrap/>
            <w:vAlign w:val="center"/>
          </w:tcPr>
          <w:p w14:paraId="6C82B262">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小灌木、宿根花卉、小藤本</w:t>
            </w:r>
          </w:p>
        </w:tc>
        <w:tc>
          <w:tcPr>
            <w:tcW w:w="1843" w:type="dxa"/>
            <w:tcBorders>
              <w:top w:val="nil"/>
              <w:left w:val="nil"/>
              <w:bottom w:val="single" w:color="auto" w:sz="4" w:space="0"/>
              <w:right w:val="single" w:color="auto" w:sz="4" w:space="0"/>
            </w:tcBorders>
            <w:shd w:val="clear" w:color="auto" w:fill="auto"/>
            <w:noWrap/>
            <w:vAlign w:val="center"/>
          </w:tcPr>
          <w:p w14:paraId="6D02424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≥40</w:t>
            </w:r>
          </w:p>
        </w:tc>
      </w:tr>
      <w:tr w14:paraId="1C190683">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6D5123E4">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5CDAD6B7">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526C121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竹类</w:t>
            </w:r>
          </w:p>
        </w:tc>
        <w:tc>
          <w:tcPr>
            <w:tcW w:w="3094" w:type="dxa"/>
            <w:tcBorders>
              <w:top w:val="nil"/>
              <w:left w:val="nil"/>
              <w:bottom w:val="single" w:color="auto" w:sz="4" w:space="0"/>
              <w:right w:val="single" w:color="auto" w:sz="4" w:space="0"/>
            </w:tcBorders>
            <w:shd w:val="clear" w:color="auto" w:fill="auto"/>
            <w:noWrap/>
            <w:vAlign w:val="center"/>
          </w:tcPr>
          <w:p w14:paraId="16FF77A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大径</w:t>
            </w:r>
          </w:p>
        </w:tc>
        <w:tc>
          <w:tcPr>
            <w:tcW w:w="1843" w:type="dxa"/>
            <w:tcBorders>
              <w:top w:val="nil"/>
              <w:left w:val="nil"/>
              <w:bottom w:val="single" w:color="auto" w:sz="4" w:space="0"/>
              <w:right w:val="single" w:color="auto" w:sz="4" w:space="0"/>
            </w:tcBorders>
            <w:shd w:val="clear" w:color="auto" w:fill="auto"/>
            <w:noWrap/>
            <w:vAlign w:val="center"/>
          </w:tcPr>
          <w:p w14:paraId="619E9723">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≥80</w:t>
            </w:r>
          </w:p>
        </w:tc>
      </w:tr>
      <w:tr w14:paraId="046E1832">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071B9F8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49C443B4">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159" w:type="dxa"/>
            <w:vMerge w:val="continue"/>
            <w:tcBorders>
              <w:top w:val="nil"/>
              <w:left w:val="single" w:color="auto" w:sz="4" w:space="0"/>
              <w:bottom w:val="single" w:color="000000" w:sz="4" w:space="0"/>
              <w:right w:val="single" w:color="auto" w:sz="4" w:space="0"/>
            </w:tcBorders>
            <w:vAlign w:val="center"/>
          </w:tcPr>
          <w:p w14:paraId="096630AD">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3094" w:type="dxa"/>
            <w:tcBorders>
              <w:top w:val="nil"/>
              <w:left w:val="nil"/>
              <w:bottom w:val="single" w:color="auto" w:sz="4" w:space="0"/>
              <w:right w:val="single" w:color="auto" w:sz="4" w:space="0"/>
            </w:tcBorders>
            <w:shd w:val="clear" w:color="auto" w:fill="auto"/>
            <w:noWrap/>
            <w:vAlign w:val="center"/>
          </w:tcPr>
          <w:p w14:paraId="30661FFC">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中、小径</w:t>
            </w:r>
          </w:p>
        </w:tc>
        <w:tc>
          <w:tcPr>
            <w:tcW w:w="1843" w:type="dxa"/>
            <w:tcBorders>
              <w:top w:val="nil"/>
              <w:left w:val="nil"/>
              <w:bottom w:val="single" w:color="auto" w:sz="4" w:space="0"/>
              <w:right w:val="single" w:color="auto" w:sz="4" w:space="0"/>
            </w:tcBorders>
            <w:shd w:val="clear" w:color="auto" w:fill="auto"/>
            <w:noWrap/>
            <w:vAlign w:val="center"/>
          </w:tcPr>
          <w:p w14:paraId="58E5D6C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≥50</w:t>
            </w:r>
          </w:p>
        </w:tc>
      </w:tr>
      <w:tr w14:paraId="0DA54E25">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0EA2DF9A">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1968DB95">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66BCA54A">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草坪、花卉、草皮地被</w:t>
            </w:r>
          </w:p>
        </w:tc>
        <w:tc>
          <w:tcPr>
            <w:tcW w:w="1843" w:type="dxa"/>
            <w:tcBorders>
              <w:top w:val="nil"/>
              <w:left w:val="nil"/>
              <w:bottom w:val="single" w:color="auto" w:sz="4" w:space="0"/>
              <w:right w:val="single" w:color="auto" w:sz="4" w:space="0"/>
            </w:tcBorders>
            <w:shd w:val="clear" w:color="auto" w:fill="auto"/>
            <w:noWrap/>
            <w:vAlign w:val="center"/>
          </w:tcPr>
          <w:p w14:paraId="6E1DF0A1">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w:t>
            </w:r>
          </w:p>
        </w:tc>
      </w:tr>
      <w:tr w14:paraId="1903996C">
        <w:tblPrEx>
          <w:tblCellMar>
            <w:top w:w="0" w:type="dxa"/>
            <w:left w:w="108" w:type="dxa"/>
            <w:bottom w:w="0" w:type="dxa"/>
            <w:right w:w="108" w:type="dxa"/>
          </w:tblCellMar>
        </w:tblPrEx>
        <w:trPr>
          <w:trHeight w:val="454" w:hRule="atLeast"/>
          <w:jc w:val="center"/>
        </w:trPr>
        <w:tc>
          <w:tcPr>
            <w:tcW w:w="704" w:type="dxa"/>
            <w:vMerge w:val="restart"/>
            <w:tcBorders>
              <w:top w:val="nil"/>
              <w:left w:val="single" w:color="auto" w:sz="4" w:space="0"/>
              <w:bottom w:val="single" w:color="000000" w:sz="4" w:space="0"/>
              <w:right w:val="single" w:color="auto" w:sz="4" w:space="0"/>
            </w:tcBorders>
            <w:shd w:val="clear" w:color="auto" w:fill="auto"/>
            <w:noWrap/>
            <w:vAlign w:val="center"/>
          </w:tcPr>
          <w:p w14:paraId="19B3AC73">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1559" w:type="dxa"/>
            <w:vMerge w:val="restart"/>
            <w:tcBorders>
              <w:top w:val="nil"/>
              <w:left w:val="single" w:color="auto" w:sz="4" w:space="0"/>
              <w:bottom w:val="single" w:color="000000" w:sz="4" w:space="0"/>
              <w:right w:val="single" w:color="auto" w:sz="4" w:space="0"/>
            </w:tcBorders>
            <w:shd w:val="clear" w:color="auto" w:fill="auto"/>
            <w:noWrap/>
            <w:vAlign w:val="center"/>
          </w:tcPr>
          <w:p w14:paraId="1CEB6470">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设施顶面绿化</w:t>
            </w: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0D78DA0F">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乔木</w:t>
            </w:r>
          </w:p>
        </w:tc>
        <w:tc>
          <w:tcPr>
            <w:tcW w:w="1843" w:type="dxa"/>
            <w:tcBorders>
              <w:top w:val="nil"/>
              <w:left w:val="nil"/>
              <w:bottom w:val="single" w:color="auto" w:sz="4" w:space="0"/>
              <w:right w:val="single" w:color="auto" w:sz="4" w:space="0"/>
            </w:tcBorders>
            <w:shd w:val="clear" w:color="auto" w:fill="auto"/>
            <w:noWrap/>
            <w:vAlign w:val="center"/>
          </w:tcPr>
          <w:p w14:paraId="70521BDB">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≥80</w:t>
            </w:r>
          </w:p>
        </w:tc>
      </w:tr>
      <w:tr w14:paraId="46CC3838">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3A217743">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30E91391">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78A06D6D">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灌木</w:t>
            </w:r>
          </w:p>
        </w:tc>
        <w:tc>
          <w:tcPr>
            <w:tcW w:w="1843" w:type="dxa"/>
            <w:tcBorders>
              <w:top w:val="nil"/>
              <w:left w:val="nil"/>
              <w:bottom w:val="single" w:color="auto" w:sz="4" w:space="0"/>
              <w:right w:val="single" w:color="auto" w:sz="4" w:space="0"/>
            </w:tcBorders>
            <w:shd w:val="clear" w:color="auto" w:fill="auto"/>
            <w:noWrap/>
            <w:vAlign w:val="center"/>
          </w:tcPr>
          <w:p w14:paraId="3D92E0F0">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≥45</w:t>
            </w:r>
          </w:p>
        </w:tc>
      </w:tr>
      <w:tr w14:paraId="1C819382">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23959ECD">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1559" w:type="dxa"/>
            <w:vMerge w:val="continue"/>
            <w:tcBorders>
              <w:top w:val="nil"/>
              <w:left w:val="single" w:color="auto" w:sz="4" w:space="0"/>
              <w:bottom w:val="single" w:color="000000" w:sz="4" w:space="0"/>
              <w:right w:val="single" w:color="auto" w:sz="4" w:space="0"/>
            </w:tcBorders>
            <w:vAlign w:val="center"/>
          </w:tcPr>
          <w:p w14:paraId="3DF9EBE0">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37DABC34">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草坪、花卉、草皮地被</w:t>
            </w:r>
          </w:p>
        </w:tc>
        <w:tc>
          <w:tcPr>
            <w:tcW w:w="1843" w:type="dxa"/>
            <w:tcBorders>
              <w:top w:val="nil"/>
              <w:left w:val="nil"/>
              <w:bottom w:val="single" w:color="auto" w:sz="4" w:space="0"/>
              <w:right w:val="single" w:color="auto" w:sz="4" w:space="0"/>
            </w:tcBorders>
            <w:shd w:val="clear" w:color="auto" w:fill="auto"/>
            <w:noWrap/>
            <w:vAlign w:val="center"/>
          </w:tcPr>
          <w:p w14:paraId="5D72E9D6">
            <w:pPr>
              <w:widowControl/>
              <w:adjustRightInd w:val="0"/>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≥15</w:t>
            </w:r>
          </w:p>
        </w:tc>
      </w:tr>
    </w:tbl>
    <w:p w14:paraId="320490C2">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p>
    <w:p w14:paraId="74323498">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7.3.2.2 消防车登高操作场地与建筑之间种植</w:t>
      </w:r>
    </w:p>
    <w:p w14:paraId="4518AE6B">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根据《建筑设计防火规范》18J811-1，消防车登高场地与建筑之间不应设置妨碍消防车操作的树木、架空管线等障碍物和车库出入口。</w:t>
      </w:r>
    </w:p>
    <w:p w14:paraId="5EE81ACE">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消防登高场地与建筑之间不种植乔木，种植树木为高度2米以下的灌木地被等，并注明需定期修剪以控制高度在2米以下。</w:t>
      </w:r>
    </w:p>
    <w:p w14:paraId="09594C2C">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7.3.2.2 景观设计的植物配置，优先考虑利用树木迁移的树种，将景观绿化工程与树木保护统一设计、统一实施。</w:t>
      </w:r>
    </w:p>
    <w:p w14:paraId="41CBE6B6">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14" w:name="_Toc109"/>
      <w:bookmarkStart w:id="415" w:name="_Toc20001"/>
      <w:bookmarkStart w:id="416" w:name="_Toc104581762"/>
      <w:bookmarkStart w:id="417" w:name="_Toc1106"/>
      <w:r>
        <w:rPr>
          <w:rFonts w:hint="eastAsia" w:ascii="宋体" w:hAnsi="宋体" w:eastAsia="宋体" w:cs="宋体"/>
          <w:color w:val="000000" w:themeColor="text1"/>
          <w:sz w:val="24"/>
          <w:szCs w:val="24"/>
          <w:highlight w:val="none"/>
          <w14:textFill>
            <w14:solidFill>
              <w14:schemeClr w14:val="tx1"/>
            </w14:solidFill>
          </w14:textFill>
        </w:rPr>
        <w:t>7.4选用指标</w:t>
      </w:r>
      <w:bookmarkEnd w:id="414"/>
      <w:bookmarkEnd w:id="415"/>
      <w:bookmarkEnd w:id="416"/>
      <w:bookmarkEnd w:id="417"/>
    </w:p>
    <w:p w14:paraId="465EACD5">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7.4.1 景观园建</w:t>
      </w:r>
    </w:p>
    <w:p w14:paraId="3919439E">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7.4.1.1 景观布局上应突出重点，着重打造主入口、中心区等重要景观节点，其余区域宜简化设计。</w:t>
      </w:r>
    </w:p>
    <w:p w14:paraId="1943CEE1">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7.4.1.2 铺贴方式需采用规整铺装，减少碎拼、切割等人工及材料成本；可考虑局部取消面层，直接在素混凝土表面进行机械刻纹或扫毛面处理。</w:t>
      </w:r>
    </w:p>
    <w:p w14:paraId="59645658">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 xml:space="preserve">7.4.1.3 </w:t>
      </w:r>
    </w:p>
    <w:p w14:paraId="7951482E">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bCs/>
          <w:color w:val="000000" w:themeColor="text1"/>
          <w:highlight w:val="none"/>
          <w14:textFill>
            <w14:solidFill>
              <w14:schemeClr w14:val="tx1"/>
            </w14:solidFill>
          </w14:textFill>
        </w:rPr>
        <w:t>消防登高面材料宜选用彩色透水混凝土、沥青及彩色水泥压膜等较为经济适用材料。</w:t>
      </w:r>
    </w:p>
    <w:p w14:paraId="3E4B013A">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7.4.1.4 宜减少景观构筑物单体设计，若在突出的景观节点设置需选用成品构筑物。</w:t>
      </w:r>
    </w:p>
    <w:p w14:paraId="5E7AD2EE">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7.4.1.5 景观小品、运动设施器材、活动场所设施等宜采用常规、经济、耐用的成品设施，材料选用工程塑料、优质钢、玻璃钢等；不宜采用异形或曲线型座椅、整石坐凳等，减少采购成本及后期维护成本。</w:t>
      </w:r>
    </w:p>
    <w:p w14:paraId="28FACB88">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7.4.1.6 户外情景雕塑及景观置石适当减少或优化数量，仅在重点区域进行点缀表达即可。</w:t>
      </w:r>
    </w:p>
    <w:p w14:paraId="385ED66E">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7.4.1.7围墙和护栏设计需便于管理、维护和施工方便等功能要求，围墙宜选用通透性铁艺围墙为主，设计风格需与主体建筑相呼应。</w:t>
      </w:r>
    </w:p>
    <w:p w14:paraId="29551261">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w:t>
      </w:r>
      <w:r>
        <w:rPr>
          <w:rFonts w:hAnsi="宋体" w:cs="宋体"/>
          <w:bCs/>
          <w:color w:val="000000" w:themeColor="text1"/>
          <w:szCs w:val="24"/>
          <w:highlight w:val="none"/>
          <w14:textFill>
            <w14:solidFill>
              <w14:schemeClr w14:val="tx1"/>
            </w14:solidFill>
          </w14:textFill>
        </w:rPr>
        <w:t>.4.1.8</w:t>
      </w:r>
      <w:r>
        <w:rPr>
          <w:rFonts w:hint="eastAsia" w:hAnsi="宋体" w:cs="宋体"/>
          <w:bCs/>
          <w:color w:val="000000" w:themeColor="text1"/>
          <w:szCs w:val="24"/>
          <w:highlight w:val="none"/>
          <w14:textFill>
            <w14:solidFill>
              <w14:schemeClr w14:val="tx1"/>
            </w14:solidFill>
          </w14:textFill>
        </w:rPr>
        <w:t>不宜设计景观功能性水景，施工及维护成本较高。</w:t>
      </w:r>
    </w:p>
    <w:p w14:paraId="3FAED39A">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7.4.2 景观电气</w:t>
      </w:r>
    </w:p>
    <w:p w14:paraId="30F895E9">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7.4.2.1 照明系统</w:t>
      </w:r>
    </w:p>
    <w:p w14:paraId="4B9BD2C0">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设计居住区人行道路路面平均照度维持值为10lx，路面最小照度维持值为3lx，最小垂直照度维持值2lx。避免过度亮化。</w:t>
      </w:r>
    </w:p>
    <w:p w14:paraId="33F0F80D">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如无特殊景观照明要求园区以功能性照明设计为主，照明范围基本满足居民活动需求即可，不建议在不必要处设置照明设施。</w:t>
      </w:r>
    </w:p>
    <w:p w14:paraId="3E68DE91">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庭院灯光源采用LED光源，灯具防护等级满足≥IP54，灯杆高度建议统一为3.0m。灯体采用简洁大方、经久耐用的非定制成品庭院灯，灯具采用后期易于维护更换的产品。</w:t>
      </w:r>
    </w:p>
    <w:p w14:paraId="582F4454">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小区室外照明应根据季节变化合理确定开关灯时间，宜采用集中时控的控制方式。</w:t>
      </w:r>
    </w:p>
    <w:p w14:paraId="285D3AAF">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电缆穿管采用PVC管，壁厚不小于2.0㎜，人行道或中间绿化带下，埋深0.5m。过路管采用套镀锌钢管或玻璃钢，埋深0.7m。</w:t>
      </w:r>
    </w:p>
    <w:p w14:paraId="1BA12232">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室外安装照明配电箱防护等级满足≥IP54。</w:t>
      </w:r>
    </w:p>
    <w:p w14:paraId="0FA98ABE">
      <w:pPr>
        <w:pStyle w:val="24"/>
        <w:ind w:left="440" w:leftChars="200" w:firstLine="0" w:firstLineChars="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7.4.2.2 弱电系统：</w:t>
      </w:r>
    </w:p>
    <w:p w14:paraId="763C65CD">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室外供电线缆采用阻燃电缆。照明、监控系统供电采用ZR-YJV线，广播系统采用ZR-RVVP线，户外光纤采用单模四芯光纤；</w:t>
      </w:r>
    </w:p>
    <w:p w14:paraId="061A4DF5">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室外广播采用草坪音箱，应沿行人活动范围设置，布置间距宜为30米。</w:t>
      </w:r>
    </w:p>
    <w:p w14:paraId="3A2D5372">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7.4.3 景观给排水</w:t>
      </w:r>
    </w:p>
    <w:p w14:paraId="77E71307">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7.4.3.1 绿化区域雨水口采用现浇混凝土平篦式单篦雨水口，采用规格为500*300的铸铁盖板；行车区域采用预制混凝土装配式平篦式单篦雨水口，详见国标图集16S518/P39。</w:t>
      </w:r>
    </w:p>
    <w:p w14:paraId="76D1F2D8">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7.4.3.2 对于绿化种植区面积较小区域以人工灌溉为主，对于面积较大区域建议使用自动喷灌系统，对于屋顶绿化和平台绿化建议使用人工灌溉。合理布置喷头间距，在保证大部分绿化被喷头覆盖范围的前提下，尽量减少喷头数量。</w:t>
      </w:r>
    </w:p>
    <w:p w14:paraId="6F5E39AF">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7.4.3.3 绿化给水管采用PE管，电熔连接。给水管道在绿化带下管顶覆土不小于0.5m，车行道下不小于0.7m。</w:t>
      </w:r>
    </w:p>
    <w:p w14:paraId="0CD7DA1A">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7.4.3.4 绿化区域排水沟盖板采用复合树脂材料；铺装区域内排水沟盖板采用石材盖板（与周边铺装保持一致）；行车区域排水沟盖板采用镀锌钢或铸铁盖板。</w:t>
      </w:r>
    </w:p>
    <w:p w14:paraId="4FD6BDBC">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18" w:name="_Toc17410"/>
      <w:r>
        <w:rPr>
          <w:rFonts w:hint="eastAsia" w:ascii="宋体" w:hAnsi="宋体" w:eastAsia="宋体" w:cs="宋体"/>
          <w:color w:val="000000" w:themeColor="text1"/>
          <w:sz w:val="24"/>
          <w:szCs w:val="24"/>
          <w:highlight w:val="none"/>
          <w14:textFill>
            <w14:solidFill>
              <w14:schemeClr w14:val="tx1"/>
            </w14:solidFill>
          </w14:textFill>
        </w:rPr>
        <w:t>7.5其它指标</w:t>
      </w:r>
      <w:bookmarkEnd w:id="418"/>
    </w:p>
    <w:p w14:paraId="7C39A82A">
      <w:pPr>
        <w:pStyle w:val="80"/>
        <w:spacing w:line="360" w:lineRule="auto"/>
        <w:ind w:firstLine="482"/>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7.5.1 景观园建</w:t>
      </w:r>
    </w:p>
    <w:p w14:paraId="4AF54F6A">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7.5.1.1 海绵城市控制项，铺装需采用透水材料，绿化区域建议采用下凹绿地，适当控制雨水花园面积。</w:t>
      </w:r>
    </w:p>
    <w:p w14:paraId="3FF46E99">
      <w:pPr>
        <w:pStyle w:val="24"/>
        <w:ind w:firstLine="480"/>
        <w:rPr>
          <w:rFonts w:hint="eastAsia" w:hAnsi="宋体" w:cs="宋体"/>
          <w:bCs/>
          <w:color w:val="000000" w:themeColor="text1"/>
          <w:szCs w:val="24"/>
          <w:highlight w:val="none"/>
          <w14:textFill>
            <w14:solidFill>
              <w14:schemeClr w14:val="tx1"/>
            </w14:solidFill>
          </w14:textFill>
        </w:rPr>
      </w:pPr>
      <w:r>
        <w:rPr>
          <w:rFonts w:hint="eastAsia" w:hAnsi="宋体" w:cs="宋体"/>
          <w:bCs/>
          <w:color w:val="000000" w:themeColor="text1"/>
          <w:szCs w:val="24"/>
          <w:highlight w:val="none"/>
          <w14:textFill>
            <w14:solidFill>
              <w14:schemeClr w14:val="tx1"/>
            </w14:solidFill>
          </w14:textFill>
        </w:rPr>
        <w:t>7.5.1.2 节能绿建设计相关指标及要求。</w:t>
      </w:r>
    </w:p>
    <w:p w14:paraId="1F43BC4D">
      <w:pPr>
        <w:pStyle w:val="80"/>
        <w:spacing w:line="360" w:lineRule="auto"/>
        <w:ind w:firstLine="482"/>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7.5.2 景观绿化</w:t>
      </w:r>
    </w:p>
    <w:p w14:paraId="049B8BDA">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广州市林业和园林局关于印发《广州市城市树木保护管理规定（试行）》的通知（穗林业园林规字〔2022〕1号）</w:t>
      </w:r>
    </w:p>
    <w:p w14:paraId="5E50CE4F">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 xml:space="preserve">严格遵守最新的树木保护规定，充分回迁利用村落原有的植物资源，在体现原生态设计的同时，有效降低建设成本。 </w:t>
      </w:r>
    </w:p>
    <w:p w14:paraId="5D079BAB">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现状原有保留树木及树木保护专章中明确需要原地回迁的树木直接影响到本项目绿化工程的投资，待树木保护专章按通知要求完成相关报批手续后，设计单位再落实树木保护专章中的具体要求。</w:t>
      </w:r>
    </w:p>
    <w:p w14:paraId="07EBC957">
      <w:pPr>
        <w:pStyle w:val="80"/>
        <w:spacing w:line="360" w:lineRule="auto"/>
        <w:ind w:firstLine="482"/>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7.5.3 景观电气</w:t>
      </w:r>
    </w:p>
    <w:p w14:paraId="7B97B664">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景观照明设计，在满足最新强条的基础上，使用节约型照明设施，对灯的数量和照度进行合理布置。</w:t>
      </w:r>
    </w:p>
    <w:p w14:paraId="063D057B">
      <w:pPr>
        <w:pStyle w:val="80"/>
        <w:spacing w:line="360" w:lineRule="auto"/>
        <w:ind w:firstLine="482"/>
        <w:rPr>
          <w:rFonts w:hint="eastAsia" w:ascii="宋体" w:hAnsi="宋体" w:cs="宋体"/>
          <w:b/>
          <w:color w:val="000000" w:themeColor="text1"/>
          <w:sz w:val="24"/>
          <w:szCs w:val="24"/>
          <w:highlight w:val="none"/>
          <w14:textFill>
            <w14:solidFill>
              <w14:schemeClr w14:val="tx1"/>
            </w14:solidFill>
          </w14:textFill>
        </w:rPr>
      </w:pPr>
      <w:r>
        <w:rPr>
          <w:rFonts w:hint="eastAsia" w:ascii="宋体" w:hAnsi="宋体" w:cs="宋体"/>
          <w:b/>
          <w:color w:val="000000" w:themeColor="text1"/>
          <w:sz w:val="24"/>
          <w:szCs w:val="24"/>
          <w:highlight w:val="none"/>
          <w14:textFill>
            <w14:solidFill>
              <w14:schemeClr w14:val="tx1"/>
            </w14:solidFill>
          </w14:textFill>
        </w:rPr>
        <w:t>7.5.4 景观给排水</w:t>
      </w:r>
    </w:p>
    <w:p w14:paraId="6E07E991">
      <w:pPr>
        <w:pStyle w:val="80"/>
        <w:spacing w:line="360" w:lineRule="auto"/>
        <w:ind w:firstLine="480"/>
        <w:rPr>
          <w:rFonts w:hint="eastAsia" w:ascii="宋体" w:hAnsi="宋体" w:cs="宋体"/>
          <w:bCs/>
          <w:color w:val="000000" w:themeColor="text1"/>
          <w:sz w:val="24"/>
          <w:szCs w:val="24"/>
          <w:highlight w:val="none"/>
          <w14:textFill>
            <w14:solidFill>
              <w14:schemeClr w14:val="tx1"/>
            </w14:solidFill>
          </w14:textFill>
        </w:rPr>
      </w:pPr>
      <w:r>
        <w:rPr>
          <w:rFonts w:hint="eastAsia" w:ascii="宋体" w:hAnsi="宋体" w:cs="宋体"/>
          <w:bCs/>
          <w:color w:val="000000" w:themeColor="text1"/>
          <w:sz w:val="24"/>
          <w:szCs w:val="24"/>
          <w:highlight w:val="none"/>
          <w14:textFill>
            <w14:solidFill>
              <w14:schemeClr w14:val="tx1"/>
            </w14:solidFill>
          </w14:textFill>
        </w:rPr>
        <w:t>根据《市水务局-关于进一步明确排水工程建设要求的通知》（穗南区环水〔2017〕290号）的指导精神：排水管材应优先选用混凝土管、不宜选用HDPE管材。</w:t>
      </w:r>
    </w:p>
    <w:p w14:paraId="40984E1F">
      <w:pPr>
        <w:spacing w:line="360" w:lineRule="auto"/>
        <w:rPr>
          <w:rFonts w:hint="eastAsia" w:ascii="宋体" w:hAnsi="宋体" w:eastAsia="宋体" w:cs="宋体"/>
          <w:b/>
          <w:color w:val="000000" w:themeColor="text1"/>
          <w:kern w:val="44"/>
          <w:sz w:val="24"/>
          <w:szCs w:val="24"/>
          <w:highlight w:val="none"/>
          <w14:textFill>
            <w14:solidFill>
              <w14:schemeClr w14:val="tx1"/>
            </w14:solidFill>
          </w14:textFill>
        </w:rPr>
      </w:pPr>
      <w:bookmarkStart w:id="419" w:name="_Toc18720"/>
      <w:r>
        <w:rPr>
          <w:rFonts w:hint="eastAsia" w:ascii="宋体" w:hAnsi="宋体" w:eastAsia="宋体" w:cs="宋体"/>
          <w:b/>
          <w:color w:val="000000" w:themeColor="text1"/>
          <w:kern w:val="44"/>
          <w:sz w:val="24"/>
          <w:szCs w:val="24"/>
          <w:highlight w:val="none"/>
          <w14:textFill>
            <w14:solidFill>
              <w14:schemeClr w14:val="tx1"/>
            </w14:solidFill>
          </w14:textFill>
        </w:rPr>
        <w:br w:type="page"/>
      </w:r>
    </w:p>
    <w:p w14:paraId="2DF9CB36">
      <w:pPr>
        <w:pStyle w:val="5"/>
        <w:keepNext w:val="0"/>
        <w:keepLines w:val="0"/>
        <w:snapToGrid/>
        <w:spacing w:before="156"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420" w:name="_Toc28151"/>
      <w:bookmarkStart w:id="421" w:name="_Toc104581763"/>
      <w:bookmarkStart w:id="422" w:name="_Toc27090"/>
      <w:bookmarkStart w:id="423" w:name="_Toc30280"/>
      <w:r>
        <w:rPr>
          <w:rFonts w:hint="eastAsia" w:ascii="宋体" w:hAnsi="宋体" w:eastAsia="宋体" w:cs="宋体"/>
          <w:color w:val="000000" w:themeColor="text1"/>
          <w:sz w:val="24"/>
          <w:szCs w:val="24"/>
          <w:highlight w:val="none"/>
          <w14:textFill>
            <w14:solidFill>
              <w14:schemeClr w14:val="tx1"/>
            </w14:solidFill>
          </w14:textFill>
        </w:rPr>
        <w:t>8.绿色建筑设计</w:t>
      </w:r>
      <w:bookmarkEnd w:id="419"/>
      <w:bookmarkEnd w:id="420"/>
      <w:bookmarkEnd w:id="421"/>
      <w:bookmarkEnd w:id="422"/>
      <w:bookmarkEnd w:id="423"/>
    </w:p>
    <w:p w14:paraId="62F5A930">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24" w:name="_Toc9805"/>
      <w:bookmarkStart w:id="425" w:name="_Toc19442"/>
      <w:bookmarkStart w:id="426" w:name="_Toc17465"/>
      <w:bookmarkStart w:id="427" w:name="_Toc104581764"/>
      <w:r>
        <w:rPr>
          <w:rFonts w:hint="eastAsia" w:ascii="宋体" w:hAnsi="宋体" w:eastAsia="宋体" w:cs="宋体"/>
          <w:color w:val="000000" w:themeColor="text1"/>
          <w:sz w:val="24"/>
          <w:szCs w:val="24"/>
          <w:highlight w:val="none"/>
          <w14:textFill>
            <w14:solidFill>
              <w14:schemeClr w14:val="tx1"/>
            </w14:solidFill>
          </w14:textFill>
        </w:rPr>
        <w:t>8.1 总则</w:t>
      </w:r>
      <w:bookmarkEnd w:id="424"/>
      <w:bookmarkEnd w:id="425"/>
      <w:bookmarkEnd w:id="426"/>
      <w:bookmarkEnd w:id="427"/>
    </w:p>
    <w:p w14:paraId="056876B9">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8.1.1 在限额设计的基础上保障安置区规划设计基本住房条件和功能质量，使设计满足安全、卫生、适用、经济等性能要求。</w:t>
      </w:r>
    </w:p>
    <w:p w14:paraId="139F5A59">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8.1.2 本章按国标《绿色建筑评价标准》GB/T 50378-2019（2024年修订版）的条文标准制定。</w:t>
      </w:r>
    </w:p>
    <w:p w14:paraId="6359B237">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28" w:name="_Toc27375"/>
      <w:bookmarkStart w:id="429" w:name="_Toc30135"/>
      <w:bookmarkStart w:id="430" w:name="_Toc104581765"/>
      <w:bookmarkStart w:id="431" w:name="_Toc16363"/>
      <w:r>
        <w:rPr>
          <w:rFonts w:hint="eastAsia" w:ascii="宋体" w:hAnsi="宋体" w:eastAsia="宋体" w:cs="宋体"/>
          <w:color w:val="000000" w:themeColor="text1"/>
          <w:sz w:val="24"/>
          <w:szCs w:val="24"/>
          <w:highlight w:val="none"/>
          <w14:textFill>
            <w14:solidFill>
              <w14:schemeClr w14:val="tx1"/>
            </w14:solidFill>
          </w14:textFill>
        </w:rPr>
        <w:t>8.2 关键指标</w:t>
      </w:r>
      <w:bookmarkEnd w:id="428"/>
      <w:bookmarkEnd w:id="429"/>
      <w:bookmarkEnd w:id="430"/>
      <w:bookmarkEnd w:id="431"/>
    </w:p>
    <w:p w14:paraId="0316D66E">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8.2.1 总体设计要求</w:t>
      </w:r>
    </w:p>
    <w:p w14:paraId="1E2CE366">
      <w:pPr>
        <w:spacing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绿建设计等级要求：按《广州市城建领导小组办公室关于明确绿色建筑标准执行有关事项的通知》，政府投资公益性建筑和大型公共建筑应当按照二星级及以上绿色建筑标准进行建设；建筑面积大于10万平方米的居住小区按照二星级及以上绿色建筑标准进行建设。根据天河区经济发展现状和本项目建设的实际情况，本项目内绿色建筑不应低于国标《绿色建筑评价标准》GB/T 50378-2019（2024年修订版）二星级标准。（项目内需要执行绿色建筑相关要求的楼栋以初步设计审批结果为准）</w:t>
      </w:r>
    </w:p>
    <w:p w14:paraId="3B1C84B1">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8.2.2 评分参考</w:t>
      </w:r>
    </w:p>
    <w:p w14:paraId="501B5377">
      <w:pPr>
        <w:spacing w:line="360" w:lineRule="auto"/>
        <w:ind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以下自评估得分仅作为绿色建筑得分参考，可根据项目实际情况进行分数调整，调整后项目得分及相关设计不应低于国标《绿色建筑评价标准》GB/T 50378-2019（2024年修订版）二星级标准要求。</w:t>
      </w:r>
    </w:p>
    <w:p w14:paraId="11F7CC25">
      <w:pPr>
        <w:spacing w:line="360" w:lineRule="auto"/>
        <w:rPr>
          <w:rFonts w:hint="eastAsia" w:ascii="宋体" w:hAnsi="宋体" w:eastAsia="宋体" w:cs="宋体"/>
          <w:color w:val="000000" w:themeColor="text1"/>
          <w:sz w:val="24"/>
          <w:szCs w:val="24"/>
          <w:highlight w:val="none"/>
          <w14:textFill>
            <w14:solidFill>
              <w14:schemeClr w14:val="tx1"/>
            </w14:solidFill>
          </w14:textFill>
        </w:rPr>
        <w:sectPr>
          <w:pgSz w:w="11906" w:h="16838"/>
          <w:pgMar w:top="1440" w:right="1440" w:bottom="1440" w:left="1440" w:header="851" w:footer="992" w:gutter="0"/>
          <w:pgBorders>
            <w:top w:val="none" w:sz="0" w:space="0"/>
            <w:left w:val="none" w:sz="0" w:space="0"/>
            <w:bottom w:val="none" w:sz="0" w:space="0"/>
            <w:right w:val="none" w:sz="0" w:space="0"/>
          </w:pgBorders>
          <w:cols w:space="425" w:num="1"/>
          <w:docGrid w:type="lines" w:linePitch="312" w:charSpace="0"/>
        </w:sectPr>
      </w:pPr>
    </w:p>
    <w:p w14:paraId="02CA7821">
      <w:pPr>
        <w:pStyle w:val="7"/>
        <w:numPr>
          <w:ilvl w:val="3"/>
          <w:numId w:val="0"/>
        </w:numPr>
        <w:jc w:val="both"/>
        <w:rPr>
          <w:rFonts w:hint="eastAsia" w:ascii="宋体" w:hAnsi="宋体" w:cs="宋体"/>
          <w:b w:val="0"/>
          <w:bCs/>
          <w:color w:val="000000" w:themeColor="text1"/>
          <w:highlight w:val="none"/>
          <w14:textFill>
            <w14:solidFill>
              <w14:schemeClr w14:val="tx1"/>
            </w14:solidFill>
          </w14:textFill>
        </w:rPr>
      </w:pPr>
      <w:r>
        <w:rPr>
          <w:rFonts w:hint="eastAsia" w:ascii="宋体" w:hAnsi="宋体" w:cs="宋体"/>
          <w:b w:val="0"/>
          <w:bCs/>
          <w:color w:val="000000" w:themeColor="text1"/>
          <w:highlight w:val="none"/>
          <w14:textFill>
            <w14:solidFill>
              <w14:schemeClr w14:val="tx1"/>
            </w14:solidFill>
          </w14:textFill>
        </w:rPr>
        <w:t>（1）住宅：</w:t>
      </w:r>
    </w:p>
    <w:p w14:paraId="2C6F2E7B">
      <w:pPr>
        <w:pStyle w:val="7"/>
        <w:numPr>
          <w:ilvl w:val="3"/>
          <w:numId w:val="0"/>
        </w:numPr>
        <w:jc w:val="both"/>
        <w:rPr>
          <w:rFonts w:hint="eastAsia" w:ascii="宋体" w:hAnsi="宋体" w:cs="宋体"/>
          <w:color w:val="000000" w:themeColor="text1"/>
          <w:highlight w:val="none"/>
          <w14:textFill>
            <w14:solidFill>
              <w14:schemeClr w14:val="tx1"/>
            </w14:solidFill>
          </w14:textFill>
        </w:rPr>
      </w:pPr>
      <w:r>
        <w:rPr>
          <w:rFonts w:hint="eastAsia" w:ascii="宋体" w:hAnsi="宋体" w:cs="宋体"/>
          <w:b w:val="0"/>
          <w:bCs/>
          <w:color w:val="000000" w:themeColor="text1"/>
          <w:highlight w:val="none"/>
          <w14:textFill>
            <w14:solidFill>
              <w14:schemeClr w14:val="tx1"/>
            </w14:solidFill>
          </w14:textFill>
        </w:rPr>
        <w:t>住宅二星级评分项</w:t>
      </w:r>
    </w:p>
    <w:tbl>
      <w:tblPr>
        <w:tblStyle w:val="42"/>
        <w:tblW w:w="13948" w:type="dxa"/>
        <w:jc w:val="center"/>
        <w:tblLayout w:type="fixed"/>
        <w:tblCellMar>
          <w:top w:w="0" w:type="dxa"/>
          <w:left w:w="0" w:type="dxa"/>
          <w:bottom w:w="0" w:type="dxa"/>
          <w:right w:w="0" w:type="dxa"/>
        </w:tblCellMar>
      </w:tblPr>
      <w:tblGrid>
        <w:gridCol w:w="1618"/>
        <w:gridCol w:w="1297"/>
        <w:gridCol w:w="798"/>
        <w:gridCol w:w="989"/>
        <w:gridCol w:w="5153"/>
        <w:gridCol w:w="628"/>
        <w:gridCol w:w="625"/>
        <w:gridCol w:w="974"/>
        <w:gridCol w:w="1866"/>
      </w:tblGrid>
      <w:tr w14:paraId="6153072D">
        <w:trPr>
          <w:trHeight w:val="465" w:hRule="atLeast"/>
          <w:jc w:val="center"/>
        </w:trPr>
        <w:tc>
          <w:tcPr>
            <w:tcW w:w="13948" w:type="dxa"/>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6E9C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天河区元岗村改造项目</w:t>
            </w:r>
            <w:r>
              <w:rPr>
                <w:rFonts w:hint="eastAsia" w:ascii="宋体" w:hAnsi="宋体" w:eastAsia="宋体" w:cs="宋体"/>
                <w:bCs/>
                <w:color w:val="000000" w:themeColor="text1"/>
                <w:kern w:val="0"/>
                <w:sz w:val="18"/>
                <w:szCs w:val="18"/>
                <w:highlight w:val="none"/>
                <w:lang w:eastAsia="zh-CN"/>
                <w14:textFill>
                  <w14:solidFill>
                    <w14:schemeClr w14:val="tx1"/>
                  </w14:solidFill>
                </w14:textFill>
              </w:rPr>
              <w:t>AT0206023</w:t>
            </w:r>
            <w:r>
              <w:rPr>
                <w:rFonts w:hint="eastAsia" w:ascii="宋体" w:hAnsi="宋体" w:eastAsia="宋体" w:cs="宋体"/>
                <w:bCs/>
                <w:color w:val="000000" w:themeColor="text1"/>
                <w:kern w:val="0"/>
                <w:sz w:val="18"/>
                <w:szCs w:val="18"/>
                <w:highlight w:val="none"/>
                <w14:textFill>
                  <w14:solidFill>
                    <w14:schemeClr w14:val="tx1"/>
                  </w14:solidFill>
                </w14:textFill>
              </w:rPr>
              <w:t>地块住宅项目</w:t>
            </w:r>
          </w:p>
        </w:tc>
      </w:tr>
      <w:tr w14:paraId="29627FF7">
        <w:tblPrEx>
          <w:tblCellMar>
            <w:top w:w="0" w:type="dxa"/>
            <w:left w:w="0" w:type="dxa"/>
            <w:bottom w:w="0" w:type="dxa"/>
            <w:right w:w="0" w:type="dxa"/>
          </w:tblCellMar>
        </w:tblPrEx>
        <w:trPr>
          <w:trHeight w:val="675" w:hRule="atLeast"/>
          <w:jc w:val="center"/>
        </w:trPr>
        <w:tc>
          <w:tcPr>
            <w:tcW w:w="161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736AB">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1297"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09187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基本级要求</w:t>
            </w: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D292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一星级要求</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1FE04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二星级要求</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EB14D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三星级要求</w:t>
            </w:r>
          </w:p>
        </w:tc>
        <w:tc>
          <w:tcPr>
            <w:tcW w:w="4093" w:type="dxa"/>
            <w:gridSpan w:val="4"/>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ABC3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评分项和加分项</w:t>
            </w:r>
          </w:p>
        </w:tc>
      </w:tr>
      <w:tr w14:paraId="67E3464A">
        <w:tblPrEx>
          <w:tblCellMar>
            <w:top w:w="0" w:type="dxa"/>
            <w:left w:w="0" w:type="dxa"/>
            <w:bottom w:w="0" w:type="dxa"/>
            <w:right w:w="0" w:type="dxa"/>
          </w:tblCellMar>
        </w:tblPrEx>
        <w:trPr>
          <w:trHeight w:val="45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D3EA3E">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总得分</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CE1940">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40</w:t>
            </w: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AB861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≥60</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3F20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8CFE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≥85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3DD20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总分</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B0087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得分</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1FC4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得分率</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78D07E">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总得分</w:t>
            </w:r>
          </w:p>
        </w:tc>
      </w:tr>
      <w:tr w14:paraId="169B0E85">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0C80E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 安全耐久</w:t>
            </w:r>
          </w:p>
        </w:tc>
        <w:tc>
          <w:tcPr>
            <w:tcW w:w="1297" w:type="dxa"/>
            <w:vMerge w:val="restart"/>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1BB975E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ED1F4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579AE">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9B2F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41</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4AF9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41%</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11DEB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 xml:space="preserve">71.80 </w:t>
            </w:r>
          </w:p>
        </w:tc>
      </w:tr>
      <w:tr w14:paraId="36D1025B">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8C29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 健康舒适</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7A9DA5CB">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EE4A8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AD87D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10D70">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55</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D3C5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15184">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395657A7">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428E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 生活便利</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36B15F69">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61BE8">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89682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6E5878">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32</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44D06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47%</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FCE7D3">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30C9D29C">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D7EE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 资源节约</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43A95614">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581D0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E4E4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200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D4D6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99</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C0872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0D7EE4">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20DDA88A">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A1861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8 环境宜居</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54A1C48B">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FDFE6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16BE6B">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3DD6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61</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1535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61%</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062C48">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2BC6F790">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977CA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9 创新提高</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3895767F">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EFB49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FBF2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84FAC8">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5ACB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109F96">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45446401">
        <w:tblPrEx>
          <w:tblCellMar>
            <w:top w:w="0" w:type="dxa"/>
            <w:left w:w="0" w:type="dxa"/>
            <w:bottom w:w="0" w:type="dxa"/>
            <w:right w:w="0" w:type="dxa"/>
          </w:tblCellMar>
        </w:tblPrEx>
        <w:trPr>
          <w:trHeight w:val="69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14206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章节</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E2B3DF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分类</w:t>
            </w: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BF54249">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AFCD9A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编号</w:t>
            </w: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1362A71">
            <w:pPr>
              <w:widowControl/>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条文内容</w:t>
            </w: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606FDEE">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总分值</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54854E0">
            <w:pP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sz w:val="18"/>
                <w:szCs w:val="18"/>
                <w:highlight w:val="none"/>
                <w14:textFill>
                  <w14:solidFill>
                    <w14:schemeClr w14:val="tx1"/>
                  </w14:solidFill>
                </w14:textFill>
              </w:rPr>
              <w:t>预评估得分</w:t>
            </w:r>
          </w:p>
          <w:p w14:paraId="02ECDEC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2C5EF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涉及专业</w:t>
            </w:r>
          </w:p>
        </w:tc>
      </w:tr>
      <w:tr w14:paraId="3EF7C925">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BD5A4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 安全耐久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A3CF61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FB98EEB">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ACC0E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718814">
            <w:pPr>
              <w:widowControl/>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场地应无洪涝、滑坡、泥石流、地陷、地裂、崩塌等自然灾害的威胁，无危险化学品、易燃易爆危险源的威胁，无电磁辐射、含氡土壤等危害。</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7E548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7CF8FD">
            <w:pPr>
              <w:jc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68BBC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建设单位</w:t>
            </w:r>
          </w:p>
        </w:tc>
      </w:tr>
      <w:tr w14:paraId="5DED3592">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EC73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4163D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453631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CBAE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AF21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建筑结构应满足承载力和建筑使用功能要求。建筑外墙、屋面、门窗、幕墙及外保温等围护结构应满足安全、耐久和防护的要求。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D5D21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E99AB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E046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0A396612">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2D06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A6885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6DC67C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853C4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65DEC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外遮阳、太阳能设施、空调室外机位、外墙花池等外部设施应与建筑主体结构统一设计、施工，并应具备安装、检修与维护条件。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2095F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51EFD">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291A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建筑、结构</w:t>
            </w:r>
          </w:p>
        </w:tc>
      </w:tr>
      <w:tr w14:paraId="4A66369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D63D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7BBAB0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59E3F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BF3E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7EA4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建筑内部的非结构构件、设备及附属设施等应连接牢固并能适应主体结构变形。</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72D8E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F87B4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9E06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2106E63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49D40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157730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2E471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B01F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E8580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外门窗的气密性能、水密性能和抗风压性能应根据使用要求确定，且外门窗洞口与外门窗本体的结合部位应严密。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528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5F81E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821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843CE4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B971F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554EE5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649280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91378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C55F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卫生间、浴室的地面应设置防水层，墙面、顶棚应设置防潮层。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49C9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D19F1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1089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3B4304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4DDEA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2626FA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5611C4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8595E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4597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走廊、疏散通道等通行空间应满足紧急疏散、应急救护等要求，且应保持畅通。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78296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A319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AD0C0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73FF590">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D00A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1FF67A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E3943A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5E5DFA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4.1.8</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EC1A5C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应具有安全防护的警示和引导标识系统。</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6012E7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6605230">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3DD5C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008FFBB">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BC51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29D0F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E64E2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F486015">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4.1.9</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69ACD43">
            <w:pPr>
              <w:pStyle w:val="17"/>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安全耐久相关技术要求应符合现行强制性工程建设规范《工程结构通用规范》GB55001、《建筑与市政工程抗震通用规范》GB55002、《建筑与市政地基基础通用规范》GB55003、《组合结构通用规范》GB55004、《木结构通用规范》GB55005、《钢结构通用规范》GB55006、《砌体结构通用规范》GB55007、《混凝土结构通用规范》GB55008、《燃气工程项目规范》GB55009、《供热工程项目规范》GB55010、《建筑环境通用规范》GB55016、《建筑给水排水与节水通用规范》GB55020、《民用建筑通用规范》GB55031、《建筑防火通用规范》GB55037</w:t>
            </w:r>
          </w:p>
          <w:p w14:paraId="6BC14FB0">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21B16A9">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44137D3">
            <w:pPr>
              <w:jc w:val="center"/>
              <w:rPr>
                <w:rFonts w:hint="eastAsia" w:ascii="宋体" w:hAnsi="宋体" w:eastAsia="宋体" w:cs="宋体"/>
                <w:color w:val="000000" w:themeColor="text1"/>
                <w:kern w:val="0"/>
                <w:sz w:val="18"/>
                <w:szCs w:val="18"/>
                <w:highlight w:val="none"/>
                <w14:textFill>
                  <w14:solidFill>
                    <w14:schemeClr w14:val="tx1"/>
                  </w14:solidFill>
                </w14:textFill>
              </w:rPr>
            </w:pPr>
          </w:p>
          <w:p w14:paraId="250758D2">
            <w:pPr>
              <w:rPr>
                <w:rFonts w:hint="eastAsia"/>
                <w:color w:val="000000" w:themeColor="text1"/>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E7287D">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r>
      <w:tr w14:paraId="5407C0F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4764E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5CB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815DF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安全</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FE789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64103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采用基于性能的抗震设计并合理提高建筑的抗震性能。</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CE068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C99D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06CD8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1E9E0E13">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8350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B6E6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BF3B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52D4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9C452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采取措施提高阳台、外窗、窗台、防护栏杆等安全防护水平；</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6407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B2DC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D1906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557D5FA">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8EA1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4773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1F36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678BE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FA21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建筑物出入口均设外墙饰面、门窗玻璃意外脱落的防护措施，并与人员通行区域的遮阳、遮风或挡雨措施结合；</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AB3A6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B81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C61D1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888A23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895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162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3A1C7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6290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40948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利用场地或景观形成可降低坠物风险的缓冲区、隔离带。</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8F35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E482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41D6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97914C4">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C472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0F8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FAE8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BDE17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F3BD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采用具有安全防护功能的玻璃；</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26938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54F6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F4A56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251E163">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1E623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ACEF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D2C4A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CF1C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D837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采用具备防夹功能的门窗。</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8A5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64C7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EB92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0766900">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40731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8C61A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8ACF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449CA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AAFE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建筑出入口及平台、公共走廊、电梯门厅、厨房、浴室、卫生间等设置防滑措施，防滑等级不低于现行行业标准《建筑地面工程防滑技术规程》JGJ/T 331规定的Bd、BW级，</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9EB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5A15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F169D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38FE067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6DD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0A9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00A5D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E762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BF8A6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建筑室内外活动场所采用防滑地面，防滑等级达到现行行业标准《建筑地面工程防滑技术规程》JGJ/T 331规定的Ad、AW级，</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2EBD4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1F6D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F668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39FC526">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49E10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A00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F8F1D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61B2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16F31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建筑坡道、楼梯踏步防滑等级达到现行行业标准《建筑地面工程防滑技术规程》JGJ/T 331规定的Ad、AW级或按水平地面等级提高一级，并采用防滑条等防滑构造技术措施。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78A5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E376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50A39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4F87FE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5B03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A6A2C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0B3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40F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84172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采取人车分流措施，且步行和自行车交通系统有充足照明。</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95B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A810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933F8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建筑、电气</w:t>
            </w:r>
          </w:p>
        </w:tc>
      </w:tr>
      <w:tr w14:paraId="2F79C90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5059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92CC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B70E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耐久</w:t>
            </w: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AFB67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F6FC0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采取通用开放、灵活可变的使用空间设计，或采取建筑使用功能可变措施；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F26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D2CF0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5E373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31CDCE42">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299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833B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9500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4F3B7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9E13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建筑结构与建筑设备管线分离；</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30997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B8E4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EB1F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E3B6F8E">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E94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322A3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A26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957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96998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采用与建筑功能和空间变化相适应的设备设施布置方式或控制方式。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8BF2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D2F2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A0E34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E4DD5B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33A24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E57C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A746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0CF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D64C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使用耐腐蚀、抗老化、耐久性能好的管材、管线、管件；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B073E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B02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70D2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7AB01BF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0BA14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37AA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CFA9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46FB2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1CED4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活动配件选用长寿命产品，并考虑部品组合的同寿命性；不同使用寿命的部品组合时，采用便于分别拆换、更新和升级的构造。</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720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27231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7B0D0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FFE9557">
        <w:tblPrEx>
          <w:tblCellMar>
            <w:top w:w="0" w:type="dxa"/>
            <w:left w:w="0" w:type="dxa"/>
            <w:bottom w:w="0" w:type="dxa"/>
            <w:right w:w="0" w:type="dxa"/>
          </w:tblCellMar>
        </w:tblPrEx>
        <w:trPr>
          <w:trHeight w:val="24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2E8D3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EBEB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A5C99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33543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33835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提高建筑结构材料的耐久性，评价总分值为10分，并按下列规则评分：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按100年进行耐久性设计。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采用耐久性能好的建筑结构材料，满足下列条件之一：</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1）对于混凝土构件，提高钢筋保护层厚度或采用高耐久混凝土；</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2）对于钢构件，采用耐候结构钢及耐候型防腐涂料；</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3）对于木构件，采用防腐木材、耐久木材或耐久木制品。</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42C95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3310E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1C694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7269576E">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B403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F03D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62000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A7AEC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E92F3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采用耐久性好的外饰面材料；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C5DEF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06E08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E1D30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3953D21">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4C176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2A23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90A89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A123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CFE35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采用耐久性好的防水和密封材料；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50966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7EB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FEA88E">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F93D07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570A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3715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14B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248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2164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采用耐久性好、易维护的室内装饰装修材料。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6C69B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1FA05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6F8CE">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319DBEC">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0AEE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932E00A">
            <w:pP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FC9865E">
            <w:pP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134C0D4">
            <w:pP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FD66873">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F71B8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8C987B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67B1B9">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B28590E">
        <w:tblPrEx>
          <w:tblCellMar>
            <w:top w:w="0" w:type="dxa"/>
            <w:left w:w="0" w:type="dxa"/>
            <w:bottom w:w="0" w:type="dxa"/>
            <w:right w:w="0" w:type="dxa"/>
          </w:tblCellMar>
        </w:tblPrEx>
        <w:trPr>
          <w:trHeight w:val="13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6E52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 健康舒适</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36192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139A0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D1311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55207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室内空气中的氨、甲醛、苯、总挥发性有机物、氡等污染物浓度应符合现行国家标准《室内空气质量标准》GB/T 18883的有关规定。建筑室内和建筑主出入口处应禁止吸烟，并应在醒目位置设置禁烟标志。</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CB384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3B5E8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A62D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建筑、暖通</w:t>
            </w:r>
          </w:p>
        </w:tc>
      </w:tr>
      <w:tr w14:paraId="223C5EDD">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D2E0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70A8D8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AE3E0C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3365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94C8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应采取措施避免厨房、餐厅、打印复印室、卫生间、地下车库等区域的空气和污染物串通到其他空间；应防止厨房、卫生间的排气倒灌。</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B929C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84FFF4">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BF7C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5F72263B">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0FFD2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D6FBC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293D41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3D04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168A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给排水系统的设置应符合下列规定：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生活饮用水水质应满足现行国家标准《生活饮用水卫生标准》GB 5749的要求；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应制定水池、水箱等储水设施定期清洗消毒计划并实施，且生活饮用水储水设施每半年清洗消毒应不少于1次；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应使用构造内自带水封的便器，且其水封深度应不小于50mm；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 非传统水源管道和设备应设置明确、清晰的永久性标识。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79A3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71A48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C0E7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31C9ED9C">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3180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B230F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B1C04C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EF5BD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A25CD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主要功能房间的室内噪声级和隔声性能应符合下列规定：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室内噪声级应满足现行国家标准《民用建筑隔声设计规范》GB 50118中的低限要求；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外墙、隔墙、楼板和门窗的隔声性能应满足现行国家标准《民用建筑隔声设计规范》GB 50118中的低限要求。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D128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F99905">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700D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5DC3EB7">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AD4DE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59203F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DAECFE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6BB5F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3018F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建筑照明应符合下列规定：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照明数量和质量应符合现行国家标准《建筑照明设计标准》GB 50034的规定；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人员长期停留的场所应采用符合现行国家标准《灯和灯系统的光生物安全性》GB/T 20145规定的无危险类照明产品；</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选用LED照明产品的光输出波形的波动深度应满足现行国家标准《LED室内照明应用技术要求》GB/T 31831的规定。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ADF4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955474">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D5CB1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4A41BEB2">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5ECF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95571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DF08A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F3B28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4CE9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保障室内热环境。采用集中供暖空调系统的建筑，房间内的温度、湿度、新风量等设计参数应符合现行国家标准《民用建筑供暖通风与空气调节设计规范》GB50736的有关规定；采用非集中供暖空调系统的建筑，应具有保障室内热环境的措施或预留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475A9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6C235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95509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33269FA3">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3D869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E60EC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7676D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EC02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1F349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围护结构热工性能应符合下列规定：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屋顶和外墙应计算隔热性能计算，透光围护结构太阳得热系数与夏季建筑遮阳系数的乘积还应满足现行国家标准《民用建筑热工设计规范》GB50176 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31F2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3AA4D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D3887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2F72B0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6ED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98C9E4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2A15BD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4C401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359B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主要功能房间应具有现场独立控制的热环境调节装置。</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4C3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4C9FB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9749C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59DB47C5">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A27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512B3E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98D957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7ACC90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5.1.9</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AAA067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地下车库应设置与排风设备联动的一氧化碳浓度监测装置。</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7C6B7A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D816DB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5C029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暖通、电气</w:t>
            </w:r>
          </w:p>
        </w:tc>
      </w:tr>
      <w:tr w14:paraId="3F31DAC0">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5D3B5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FBA4C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90B1B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A371D75">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5.10</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F71E700">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健康舒适相关技术要求应符合现行强制性工程建设规范《建筑环境通用规范》GB55016、《建筑给水排水与节水通用规范》GB55020、《民用建筑通用规范》GB55031等的规定</w:t>
            </w:r>
          </w:p>
          <w:p w14:paraId="1FB7A825">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3BA4F4F">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D81688E">
            <w:pPr>
              <w:jc w:val="center"/>
              <w:rPr>
                <w:rFonts w:hint="eastAsia" w:ascii="宋体" w:hAnsi="宋体" w:eastAsia="宋体" w:cs="宋体"/>
                <w:color w:val="000000" w:themeColor="text1"/>
                <w:kern w:val="0"/>
                <w:sz w:val="18"/>
                <w:szCs w:val="18"/>
                <w:highlight w:val="none"/>
                <w14:textFill>
                  <w14:solidFill>
                    <w14:schemeClr w14:val="tx1"/>
                  </w14:solidFill>
                </w14:textFill>
              </w:rPr>
            </w:pPr>
          </w:p>
          <w:p w14:paraId="68950E23">
            <w:pPr>
              <w:rPr>
                <w:rFonts w:hint="eastAsia"/>
                <w:color w:val="000000" w:themeColor="text1"/>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4C4CFA">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r>
      <w:tr w14:paraId="023D84A0">
        <w:tblPrEx>
          <w:tblCellMar>
            <w:top w:w="0" w:type="dxa"/>
            <w:left w:w="0" w:type="dxa"/>
            <w:bottom w:w="0" w:type="dxa"/>
            <w:right w:w="0" w:type="dxa"/>
          </w:tblCellMar>
        </w:tblPrEx>
        <w:trPr>
          <w:trHeight w:val="11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1DF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1A46B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17029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室内空气品质</w:t>
            </w:r>
          </w:p>
        </w:tc>
        <w:tc>
          <w:tcPr>
            <w:tcW w:w="989"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CB323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286C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氨、甲醛、苯、总挥发性有机物、氡等污染物浓度低于现行国家标准《室内空气质量标准》GB/T 18883规定限值的10%，得3分；低于20%，得6分；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86FF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BCD02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8ACF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5C4870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58E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02A3D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54E9E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9D4B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288E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室内PM2.5年均浓度不高于25μg/m3，且室内PM10年均浓度不高于50μg/m3，得6分。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FA3E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4B5CD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462F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04D7B15">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7DCC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28737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2F6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1A246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F3ED7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选用的装饰装修材料满足国家现行绿色产品评价标准中对有害物质限量的要求，评价总分值为8分。选用满足要求的装饰装修材料达到3类及以上，得5分；达到5类及以上，得8分。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AFCB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D37A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7D70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7FC6FA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7848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234B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1B8C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水质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F1D9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3732E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直饮水、集中生活热水、游泳池水、采暖空调系统用水、景观水体等的水质满足国家现行有关标准的要求。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A8CF5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26128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A145B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2E3E3E3A">
        <w:tblPrEx>
          <w:tblCellMar>
            <w:top w:w="0" w:type="dxa"/>
            <w:left w:w="0" w:type="dxa"/>
            <w:bottom w:w="0" w:type="dxa"/>
            <w:right w:w="0" w:type="dxa"/>
          </w:tblCellMar>
        </w:tblPrEx>
        <w:trPr>
          <w:trHeight w:val="4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54EC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F14B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CAD21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B01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A7F48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1采用符合要求的成品水箱</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5C217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C2D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DC9B4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23E05094">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5F07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46E45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B1BE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D8F0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89952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2采取保证储水不变质的措施。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B8E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FBFC1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03FBD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44E05D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FF4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D243A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985E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3BA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E2CB1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所有给排水管道、设备、设施设置明确、清晰的永久性标识，评价分值为8分。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95609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A7154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968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6BEDE996">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423F2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7D8A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211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声环境与光环境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E328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2A1B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优化主要功能房间的室内声环境，评价总分值为8分。1.建筑物外部噪声源传播至主要功能房间的噪声比现行强制性工程建设规范《建筑环境通用规范》GB55016限值低3dB及以上，得4分；2.建筑物内部建筑设备传播至主要功能房间的噪声比现行强制性工程建设规范《建筑环境通用规范》GB55016限值低3dB及以上，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39D3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52FA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C4C7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B3A3D53">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270B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FA4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00B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7833BD3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EEF79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构件及相邻房间之间的空气声隔声性能达到现行国家标准《民用建筑隔声设计规范》GB 50118中的低限标准限值和高要求标准限值的平均值，得3分；达到高要求标准限值，得5分；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9D4B9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6919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9C79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CDBF4ED">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4F7A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235EC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F7B6C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4D2C03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4A97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2楼板的撞击声隔声性能达到现行国家标准《民用建筑隔声设计规范》GB 50118中的低限标准限值和高要求标准限值的平均值，得3分；达到高要求标准限值，得5分。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668C4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1F78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6911C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1AC573F">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502F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F57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8F8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469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35E6B7">
            <w:pPr>
              <w:pStyle w:val="17"/>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3、卧室和起居室楼板撞击声隔声计权标准化撞击声压级L'nT,w≤60dB，得分2分；计权标准化撞击声压级L'nT,w≤55dB，得分4分。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0B30D">
            <w:pPr>
              <w:widowControl/>
              <w:jc w:val="center"/>
              <w:textAlignment w:val="center"/>
              <w:rPr>
                <w:rStyle w:val="50"/>
                <w:rFonts w:hint="eastAsia"/>
                <w:color w:val="000000" w:themeColor="text1"/>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41D8E1">
            <w:pPr>
              <w:widowControl/>
              <w:jc w:val="center"/>
              <w:textAlignment w:val="center"/>
              <w:rPr>
                <w:rStyle w:val="50"/>
                <w:rFonts w:hint="eastAsia"/>
                <w:color w:val="000000" w:themeColor="text1"/>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A23C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34516F6">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9BFBC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15FC3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9D9C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A423D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00080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住宅建筑室内主要功能空间至少60%面积比例区域，其采光照度值不低于300lx的小时数平均不少于8h/d，得9分；</w:t>
            </w:r>
          </w:p>
        </w:tc>
        <w:tc>
          <w:tcPr>
            <w:tcW w:w="62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4110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2A44D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9F030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6536103">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8EC4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C49E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7D18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22266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27AB2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2-1）公建内区采光系数满足采光要求的面积比例达到60%，得3分；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DD2B4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D1A98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620B2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767473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BD9B9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07A2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F90CE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016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29F15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2-2）公建地下空间平均采光系数不小于0.5%的面积与地下室首层面积的比例达到10%以上，得3分；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1C039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C1F2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93FD4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BF2B21A">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396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6077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A02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01B7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2B63E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2-3）公建室内主要功能空间至少60%面积比例区域的采光照度值不低于采光要求的小时数平均不少于4h/d，得3分。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A35D9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971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9A9FD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DC795C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775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5C11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20C60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5A53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49498C">
            <w:pPr>
              <w:widowControl/>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3主要功能房间有眩光控制措施，得3分。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976C0E">
            <w:pPr>
              <w:widowControl/>
              <w:jc w:val="center"/>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193A04">
            <w:pPr>
              <w:widowControl/>
              <w:jc w:val="center"/>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D378A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593D986">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C9AC3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E17B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720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室内热湿环境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8944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11E23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具有良好的室内热湿环境，评价总分值为8分，并按下列规则评分：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1采用自然通风或复合通风的建筑，建筑主要功能房间室内热环境参数在适应性热舒适区域的时间比例，达到30%，得2分；每再增加10%，再得1分，最高得8分。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采用人工冷热源的建筑，主要功能房间达到现行国家标准《民用建筑室内热湿环境评价标准》GB/T 50785规定的室内人工冷热源热湿环境整体评价Ⅱ级的面积比例，达到60%，得5分；每再增加10%，再得1分，最高得8分。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FED5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E0D8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4E0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5FAAA783">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0CD5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78B7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1802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1071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19660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优化建筑空间和平面布局，改善自然通风效果，评价总分值为8分，并按下列规则评分：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住宅建筑：通风开口面积与房间地板面积的比例在夏热冬暖地区达到12%，在夏热冬冷地区达到8%，在其他地区达到5%，得5分；每再增加2%，再得1分，最高得8分。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公共建筑：过渡季典型工况下主要功能房间平均自然通风换气次数不小于2次/h的面积比例达到70%，得5分；每再增加10%，再得1分，最高得8分。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6CF99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B112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97B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B26B6A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93C9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C6F5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BF5EE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A7A7D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DED59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设置可调节遮阳设施，改善室内热舒适，评价总分值为9分，根据可调节遮阳设施的面积占外窗透明部分的比例按表5.2.11的规则评分。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5170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41A6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D0F0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EDDE59D">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A95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D7D0E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1A996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2111C1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5700F41">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705E3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7E99995">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B5A73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C6072F2">
        <w:tblPrEx>
          <w:tblCellMar>
            <w:top w:w="0" w:type="dxa"/>
            <w:left w:w="0" w:type="dxa"/>
            <w:bottom w:w="0" w:type="dxa"/>
            <w:right w:w="0" w:type="dxa"/>
          </w:tblCellMar>
        </w:tblPrEx>
        <w:trPr>
          <w:trHeight w:val="675"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BEAE0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 生活便利</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B27DF7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3B5DC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94B1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23298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建筑、室外场地、公共绿地、城市道路相互之间应设置连贯的无障碍步行系统。</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FC9D9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5C41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B1002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0AE077BE">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269B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329A6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EAD3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81F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2B77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场地人行出入口</w:t>
            </w:r>
            <w:r>
              <w:rPr>
                <w:rStyle w:val="101"/>
                <w:rFonts w:hint="eastAsia" w:ascii="宋体" w:hAnsi="宋体" w:eastAsia="宋体" w:cs="宋体"/>
                <w:color w:val="000000" w:themeColor="text1"/>
                <w:highlight w:val="none"/>
                <w14:textFill>
                  <w14:solidFill>
                    <w14:schemeClr w14:val="tx1"/>
                  </w14:solidFill>
                </w14:textFill>
              </w:rPr>
              <w:t>500m</w:t>
            </w:r>
            <w:r>
              <w:rPr>
                <w:rFonts w:hint="eastAsia" w:ascii="宋体" w:hAnsi="宋体" w:eastAsia="宋体" w:cs="宋体"/>
                <w:color w:val="000000" w:themeColor="text1"/>
                <w:kern w:val="0"/>
                <w:sz w:val="18"/>
                <w:szCs w:val="18"/>
                <w:highlight w:val="none"/>
                <w14:textFill>
                  <w14:solidFill>
                    <w14:schemeClr w14:val="tx1"/>
                  </w14:solidFill>
                </w14:textFill>
              </w:rPr>
              <w:t>内应设有公共交通站点或配备联系公共交通站点的专用接驳车。</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4FE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CFF19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74B8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6E75643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5E6D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192C1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60B29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560B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6C159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停车场应具有电动汽车充电设施或具备充电设施的安装条件，并应合理设置电动汽车和无障碍汽车停车位。</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5E6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E0EFB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590D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建筑、电气</w:t>
            </w:r>
          </w:p>
        </w:tc>
      </w:tr>
      <w:tr w14:paraId="5C37518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93AEF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4ACDB2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66141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0EA13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C499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自行车停车场所应位置合理、方便出入。</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B135E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6D89E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512CF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441657E">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F98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FD07C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C43986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398F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3334A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建筑设备管理系统应具有自动监控管理功能。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6E51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EC28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BA5AF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0F77B6DE">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DF54A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1BEBE1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D8F602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067C1C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6.1.6</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781EFC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建筑应设置信息网络系统。</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ED92C4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C85108A">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849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2CE34AE6">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AF242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00A231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F1E5A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E032003">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6.1.7</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8EFFAB8">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生活便利相关技术要求应符合现行强制性工程建设规范《建筑与市政工程无障碍通用规范》GB55019、《建筑电气与智能化通用规范》GB55024、《建筑节能与可再生能源利用通用规范》GB 55015等的规定</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972205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A4F65A0">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A719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2F7CE7B5">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D2C2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52A7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0058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出行与无障碍</w:t>
            </w:r>
          </w:p>
        </w:tc>
        <w:tc>
          <w:tcPr>
            <w:tcW w:w="989"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AC0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A74C6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场地出入口到达公共交通站点的步行距离不超过500m，或到达轨道交通站的步行距离不大于800m，得2分；场地出入口到达公共交通站点的步行距离不超过300m，或到达轨道交通站的步行距离不大于500m，得4分；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2C3B7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F1B82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331A1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06308A0B">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1CE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DFF38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8F92E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3C5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CD8B8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场地出入口步行距离800m范围内设有不少于2条线路的公共交通站点，得4分。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6EF0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12B6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697F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057CF7A">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2C7B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7863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8A58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734BB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2DBF6B">
            <w:pPr>
              <w:widowControl/>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1 建筑室内公共区域、室外公共活动场地及道路均满足无障碍设计要求；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154E55">
            <w:pPr>
              <w:widowControl/>
              <w:jc w:val="center"/>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6AB9EA">
            <w:pPr>
              <w:widowControl/>
              <w:jc w:val="center"/>
              <w:textAlignment w:val="center"/>
              <w:rPr>
                <w:rFonts w:hint="eastAsia" w:ascii="宋体" w:hAnsi="宋体" w:eastAsia="宋体" w:cs="宋体"/>
                <w:strike/>
                <w:color w:val="000000" w:themeColor="text1"/>
                <w:sz w:val="18"/>
                <w:szCs w:val="18"/>
                <w:highlight w:val="none"/>
                <w14:textFill>
                  <w14:solidFill>
                    <w14:schemeClr w14:val="tx1"/>
                  </w14:solidFill>
                </w14:textFill>
              </w:rPr>
            </w:pPr>
            <w:r>
              <w:rPr>
                <w:rFonts w:hint="eastAsia" w:ascii="宋体" w:hAnsi="宋体" w:eastAsia="宋体" w:cs="宋体"/>
                <w:strike/>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6B38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57D654D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BF31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E334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6B08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3CBD7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3E66A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建筑室内公共区域的墙、柱等处的阳角均为圆角，并设有安全抓杆或扶手；</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F4493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9A03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3502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CD19AC6">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174F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716F7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EF1F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6601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41ECE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设有可容纳担架的无障碍电梯。</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2A7F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61E8C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2C5BF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D72C808">
        <w:tblPrEx>
          <w:tblCellMar>
            <w:top w:w="0" w:type="dxa"/>
            <w:left w:w="0" w:type="dxa"/>
            <w:bottom w:w="0" w:type="dxa"/>
            <w:right w:w="0" w:type="dxa"/>
          </w:tblCellMar>
        </w:tblPrEx>
        <w:trPr>
          <w:trHeight w:val="826"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BA2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F3C95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131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服务设施</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5E96D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CDE59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提供便利的公共服务，评价总分值为10分，并按下列规则评分：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住宅建筑，满足下列要求中的4项，得5分；满足6项及以上，得10分：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1）场地出入口到达幼儿园的步行距离不大于300m；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2）场地出入口到达小学的步行距离不大于500m；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3）场地出入口到达中学的步行距离不大于1000m；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4）场地出入口到达医院的步行距离不大于1000m；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5）场地出入口到达群众文化活动设施的步行距离不大于800m；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6）场地出入口到达老年人日间照料设施的步行距离不大于500m；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7）场地周边500m范围内具有不少于3种商业服务设施。</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公共建筑，满足下列要求中的3项，得5分；满足5项，得10分：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1）建筑内至少兼容2种面向社会的公共服务功能；</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2）建筑向社会公众提供开放的公共活动空间；</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3）电动汽车充电桩的车位数占总车位数的比例不低于10%；</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4）周边500m范围内设有社会公共停车场（库）；</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5）场地不封闭或场地内步行公共通道向社会开放。</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ED94C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7104E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D633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1906ECDA">
        <w:tblPrEx>
          <w:tblCellMar>
            <w:top w:w="0" w:type="dxa"/>
            <w:left w:w="0" w:type="dxa"/>
            <w:bottom w:w="0" w:type="dxa"/>
            <w:right w:w="0" w:type="dxa"/>
          </w:tblCellMar>
        </w:tblPrEx>
        <w:trPr>
          <w:trHeight w:val="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70AA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4067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291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71EF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7AEFF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场地出入口到达城市公园绿地、居住住区公园、广场的步行距离不大于300m；</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54F6E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91C94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E360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434677EB">
        <w:tblPrEx>
          <w:tblCellMar>
            <w:top w:w="0" w:type="dxa"/>
            <w:left w:w="0" w:type="dxa"/>
            <w:bottom w:w="0" w:type="dxa"/>
            <w:right w:w="0" w:type="dxa"/>
          </w:tblCellMar>
        </w:tblPrEx>
        <w:trPr>
          <w:trHeight w:val="9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B92B6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C20D5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85B78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DEFE2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C9E46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到达中型多功能运动场地的步行距离不大于500m，得2分。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4C3E8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7853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EE72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072F394">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73476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878D9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4EC84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65E7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61357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合理设置健身场地和空间，评价总分值为10分，并按下列规则分别评分并累计：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 xml:space="preserve">1 室外健身场地面积不少于总用地面积的0.5%，得3分； </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设置宽度不少于1.25m的专用健身慢行道，健身慢行道长度不少于用地红线周长的1/4且不少于100m，得2分；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室内健身空间的面积不少于地上建筑面积的0.3%且不少于60 m2，得3分；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 楼梯间具有天然采光和良好的视野，且距离主入口的距离不大于15m，得2分。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4C9A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C4886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B24E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C192D6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F76EA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5DAA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7BCC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智慧运行</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C1F36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A3EA2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设置分类、分级用能自动远传计量系统，且设置能源管理系统实现对建筑能耗的监测、数据分析和管理。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B6A7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0FE77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3090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5E46FD3B">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EE99D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9078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59F48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075B5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476F6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设置PM</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10</w:t>
            </w:r>
            <w:r>
              <w:rPr>
                <w:rFonts w:hint="eastAsia" w:ascii="宋体" w:hAnsi="宋体" w:eastAsia="宋体" w:cs="宋体"/>
                <w:color w:val="000000" w:themeColor="text1"/>
                <w:kern w:val="0"/>
                <w:sz w:val="18"/>
                <w:szCs w:val="18"/>
                <w:highlight w:val="none"/>
                <w14:textFill>
                  <w14:solidFill>
                    <w14:schemeClr w14:val="tx1"/>
                  </w14:solidFill>
                </w14:textFill>
              </w:rPr>
              <w:t>、PM</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2.5</w:t>
            </w:r>
            <w:r>
              <w:rPr>
                <w:rFonts w:hint="eastAsia" w:ascii="宋体" w:hAnsi="宋体" w:eastAsia="宋体" w:cs="宋体"/>
                <w:color w:val="000000" w:themeColor="text1"/>
                <w:kern w:val="0"/>
                <w:sz w:val="18"/>
                <w:szCs w:val="18"/>
                <w:highlight w:val="none"/>
                <w14:textFill>
                  <w14:solidFill>
                    <w14:schemeClr w14:val="tx1"/>
                  </w14:solidFill>
                </w14:textFill>
              </w:rPr>
              <w:t>、CO</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2</w:t>
            </w:r>
            <w:r>
              <w:rPr>
                <w:rFonts w:hint="eastAsia" w:ascii="宋体" w:hAnsi="宋体" w:eastAsia="宋体" w:cs="宋体"/>
                <w:color w:val="000000" w:themeColor="text1"/>
                <w:kern w:val="0"/>
                <w:sz w:val="18"/>
                <w:szCs w:val="18"/>
                <w:highlight w:val="none"/>
                <w14:textFill>
                  <w14:solidFill>
                    <w14:schemeClr w14:val="tx1"/>
                  </w14:solidFill>
                </w14:textFill>
              </w:rPr>
              <w:t>浓度的空气质量监测系统，且具有存储至少一年的监测数据和实时显示等功能。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89534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4C9FA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6F52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6E09082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6D9F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81F89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29A8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69C5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8F23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设置用水量远传计量系统，能分类、分级记录、统计分析各种用水情况；</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107B1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4F4F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A94D5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电气、给排水</w:t>
            </w:r>
          </w:p>
        </w:tc>
      </w:tr>
      <w:tr w14:paraId="4B6EBE9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89A7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2F2B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61FF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15E7A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64DB1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利用计量数据进行管网漏损自动检测、分析与整改，管道漏损率低于5%；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5F0F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6B59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49EF5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DAEA87C">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9230E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6AA8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BE7D2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407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204FC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设置水质在线监测系统，监测生活饮用水、管道直饮水、游泳池水、非传统水源、空调冷却水的水质指标，记录并保存水质监测结果，且能随时供用户查询。</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A234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nil"/>
              <w:left w:val="nil"/>
              <w:bottom w:val="nil"/>
              <w:right w:val="single" w:color="000000" w:sz="4" w:space="0"/>
            </w:tcBorders>
            <w:shd w:val="clear" w:color="auto" w:fill="auto"/>
            <w:tcMar>
              <w:top w:w="15" w:type="dxa"/>
              <w:left w:w="15" w:type="dxa"/>
              <w:right w:w="15" w:type="dxa"/>
            </w:tcMar>
            <w:vAlign w:val="center"/>
          </w:tcPr>
          <w:p w14:paraId="19C5FCB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C615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2B12E3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82762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FAF5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A659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B8C4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44495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具有家电控制、照明控制、安全报警、环境监测、建筑设备控制、工作生活服务等至少3种类型的服务功能；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E1C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4892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3739C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2BE4C07A">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46A5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37096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700C1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D4C4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B47C9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具有远程监控的功能；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1D62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5FB0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08279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0318F8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8C7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C11E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CEE5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404C9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C7E3F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具有接入智慧城市（城区、社区）的功能。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8299F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5A3C0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BEA0F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222384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5AF9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29CD2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F13F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物业管理</w:t>
            </w: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DC30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4FF96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相关设施具有完善的操作规程和应急预案；</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1FA2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B0EB3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3D70E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物业</w:t>
            </w:r>
          </w:p>
        </w:tc>
      </w:tr>
      <w:tr w14:paraId="0D7F986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598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3629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FAE3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FEFD0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D168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物业管理机构的工作考核体系中包含节能和节水绩效考核激励机制。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96535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74A8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C3F44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8A94E7B">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06288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4E2B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F205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C2218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E227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建筑平均日用水量满足现行国家标准《民用建筑节水设计标准》GB 50555中节水用水定额的要求，评价总分值为5分，并按下列规则评分：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平均日用水量大于节水用水定额的平均值、不大于上限值，得2分。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平均日用水量大于节水用水定额下限值、不大于平均值，得3分。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平均日用水量不大于节水用水定额下限值，得5分。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D46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0E3F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A8E6C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A83911D">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34B2C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A69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6E807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4204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C119E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制定绿色建筑运营效果评估的技术方案和计划；</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0C87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AA4F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C9A9C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2CCD04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2BA3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E77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92A5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333E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4B050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定期检查、调适公共设施设备，具有检查、调试、运行、标定的记录，且记录完整；</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0D9F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A48C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9C21E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70EFCC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5F840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5885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FD46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A7A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A8292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定期开展节能诊断评估，并根据评估结果制定优化方案并实施；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40538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D1340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C54C5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AD9070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0511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85CA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B4EC3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D670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B3BBC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 定期对各类用水水质进行检测、公示。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387D3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2792D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3964B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D09100E">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EECBB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0A0C3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83609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1C52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A38D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每年组织不少于2次的绿色建筑技术宣传、绿色生活引导、灾害应急演练等绿色教育宣传和实践活动，并有活动记录；</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B40A9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07255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2F3B7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934039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9E26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2F198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F32BE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8314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B7745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具有绿色生活展示、体验或交流分享的平台，并向使用者提供绿色设施使用手册；</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812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A25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A0C1B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D4DFEF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7977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F371F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68D92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5F18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4C878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每年开展1次针对建筑绿色性能的使用者满意度调查，且根据调查结果制定改进措施并实施、公示。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F825C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F08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DDC6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5253721">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3B1A8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A74998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631F7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5EFE8B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FBEEBBA">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A660A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7A11E64">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7A51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4A07F7C">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C0A37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 资源节约</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C4BC1B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153F1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49D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35AB6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应结合场地自然条件和建筑功能需求，对建筑的体形、平面布局、空间尺度、围护结构等进行节能设计，且应符合国家有关节能设计的要求。</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FCFB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5618C9">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019AE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26FDF1D8">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7A3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35DC47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F47B7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4BAD1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C208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应采取措施降低部分负荷、部分空间使用下的供暖、空调系统能耗，并应符合下列要求：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应区分房间的朝向细分供暖、空调区域，并应对系统进行分区控制；</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空调冷源的部分负荷性能系数（IPLV）、电冷源综合制冷性能系数（SCOP）应符合现行国家标准《公共建筑节能设计标准》GB50189的规定。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B988E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C6E5C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6A02E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42D038F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3BF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74503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DA287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25E5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598E6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应根据建筑空间功能设置分区温度，合理降低室内过渡区空间的温度设定标准。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B9408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CD0D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1557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3291C2FD">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266ED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27610E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6736A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DBB25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5686C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主要功能房间的照明功率密度值不应高于现行国家标准《建筑照明设计标准》GB 50034规定的现行值；公共区域的照明系统应采用分区、定时、感应等节能控制；采光区域的照明控制应独立于其他区域的照明控制。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7E71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DF396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A91B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637FF94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23F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47CBD5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077B6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8DF53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05294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冷热源、输配系统和照明等各部分能耗应进行独立分项计量。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E658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5913DA">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5B740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给排水、暖通、电气</w:t>
            </w:r>
          </w:p>
        </w:tc>
      </w:tr>
      <w:tr w14:paraId="4C34F223">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8A06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D3AB9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0E1C5E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733B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DBB7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垂直电梯应采取群控、变频调速或能量反馈等节能措施；自动扶梯应采用变频感应启动等节能控制措施。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D98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C5B44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A2AF8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69950928">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9FA9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95020F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20D8B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BF02E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DE598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应制定水资源利用方案，统筹利用各种水资源，并应符合下列要求：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应按使用用途、付费或管理单元，分别设置用水计量装置；</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用水点处水压大于0.2MPa的配水支管应设置减压设施，并应满足给水配件最低工作压力的要求；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用水器具和设备应满足节水产品的要求。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1CE6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F17B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FE9B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2467CEF4">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8D39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5E8466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AE2B0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9022E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97AC5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不应采用严重不规则的建筑结构。</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C71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6210C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298F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2A276D91">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7B33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A6B971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C912FB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DF725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315F2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建筑造型要素应简约，应无大量装饰性构件，并应符合下列要求：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住宅建筑的装饰性构件造价与建筑总造价的比例不应大于2%；</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公共建筑的装饰性构件造价与建筑总造价的比例不应大于1%。</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CFB6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E608F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1F3E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7856ABE">
        <w:tblPrEx>
          <w:tblCellMar>
            <w:top w:w="0" w:type="dxa"/>
            <w:left w:w="0" w:type="dxa"/>
            <w:bottom w:w="0" w:type="dxa"/>
            <w:right w:w="0" w:type="dxa"/>
          </w:tblCellMar>
        </w:tblPrEx>
        <w:trPr>
          <w:trHeight w:val="11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A31C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D86901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E536E7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1C0D0F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7.1.10</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D1CC35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选用的建筑材料应符合下列要求：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1 500km以内生产的建筑材料重量占建筑材料总重量的比例应大于60%；</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现浇混凝土应采用预拌混凝土，建筑砂浆应采用预拌砂浆</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37E719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4D976CA">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AF0CA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FEFE17B">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5CA91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D03F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0473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节地与土地利用</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5A158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7B2A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节约集约利用土地，评价总分值为20分，并按下列规则评分：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对于住宅建筑，根据其所在居住街坊人均住宅用地指标按表7.2.1-1的规则评分。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对于公共建筑，根据不同功能建筑的容积率按表7.2.1-2的规则评分。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CB03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207A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B5B7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08D584A">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AA06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D954E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9AAD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EBFB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0BB71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合理开发利用地下空间，评价总分值为12分，根据地下空间开发利用指标，按表7.2.2的规则评分。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7C71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12CC4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33493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AF6EA7D">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80F2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282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A4A0E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BE09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821AB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采用机械式停车设施、地下停车库或地面停车楼等方式，评价总分值为8分，并按下列规则评分：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1住宅建筑地面停车位数量与住宅总套数的比率小于10%，得8分。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2公共建筑地面停车占地面积与其总建设用地面积的比率小于8%，得8分。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473E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26A6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A2B9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6DD4149">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8EA4D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58C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FC6C5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节能与能源利用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D4E4B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568F7B">
            <w:pPr>
              <w:pStyle w:val="17"/>
              <w:numPr>
                <w:ilvl w:val="0"/>
                <w:numId w:val="14"/>
              </w:numP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围护结构热工性能比现行强制性工程建设规范《建筑节能与可再生能源利用通用规范》GB55015的规定提高5%；每提高1%，再得1分，最高得10分；</w:t>
            </w:r>
          </w:p>
          <w:p w14:paraId="7BCB1D19">
            <w:pPr>
              <w:pStyle w:val="17"/>
              <w:numPr>
                <w:ilvl w:val="0"/>
                <w:numId w:val="14"/>
              </w:numP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建筑供暖空调负荷降低3%；每降低1%，再得1分，最高得10分。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849D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A6477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0E2E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BD65AB4">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1E5C0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BDF9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1E2A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5D1C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5DAC1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供暖空调系统的冷、热源机组能效均优于现行国家标准《公共建筑节能设计标准》GB 50189的规定以及现行有关国家标准能效限定值的要求，评价总分值为10分，按表7.2.5的规则评分。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FBE4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488F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17EC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535A4887">
        <w:tblPrEx>
          <w:tblCellMar>
            <w:top w:w="0" w:type="dxa"/>
            <w:left w:w="0" w:type="dxa"/>
            <w:bottom w:w="0" w:type="dxa"/>
            <w:right w:w="0" w:type="dxa"/>
          </w:tblCellMar>
        </w:tblPrEx>
        <w:trPr>
          <w:trHeight w:val="7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2994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A0577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7920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BAA3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C1B8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1通风空调系统风机的单位风量耗功率比现行国家标准《公共建筑节能设计标准》GB 50189 等的规定低20%，得2分；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294BF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53D3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D7DD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12398422">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D3D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57FA3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72B0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A9BE7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FC09A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2集中供暖系统热水循环泵的耗电输热比、空调冷热水系统循环水泵的耗电输冷（热）比比现行国家标准《民用建筑供暖通风与空气调节设计规范》GB 50736 规定值低20%，得3分。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0A6D1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89C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C050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69EBA6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8ED4B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83F59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215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BC035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7EEB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主要功能房间的照明功率密度值达到现行国家标准《建筑照明设计标准》GB 50034规定的目标值；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E27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616F0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EDCB5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电气、给排水、暖通</w:t>
            </w:r>
          </w:p>
        </w:tc>
      </w:tr>
      <w:tr w14:paraId="196F05A3">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6297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629F6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89B8B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8001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D3B29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采光区域的人工照明随天然光照度变化自动调节；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7C24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66124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D8DBA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5A35B6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7F6A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D9C7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74A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6E97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565D8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照明产品、三相配电变压器、水泵、风机等设备满足国家现行有关标准的节能评价值的要求。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4FF1B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F7FCB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734D9">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DCECD8C">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627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5841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DB5C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2E11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D214B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采取措施降低建筑供暖空调系统和照明系统的能耗，评价总分值为10分。建筑供暖空调和照明系统能耗相比国家现行有关建筑节能标准降低10%，得5分；降低20%，得10分。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7240F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3442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DB22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暖通、电气</w:t>
            </w:r>
          </w:p>
        </w:tc>
      </w:tr>
      <w:tr w14:paraId="5080776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B0474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A68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8422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8A6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5E691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结合当地气候和自然资源条件合理利用可再生能源，评价总分值为10分，按表7.2.9的规则评分。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F2DD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32817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CB2B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44FFF4FA">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70DC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C42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58CE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节水与水资源利用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F266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49D7F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使用较高用水效率等级的卫生器具，评价总分值为15分，并按下列规则评分：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全部卫生器具的用水效率等级达到2级，得8分。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50%以上卫生器具的用水效率等级达到1级且其他达到2级，得12分。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全部卫生器具的用水效率等级达到1级，得15分。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E8D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BCE3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73F9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3B146872">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65E23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A4A8E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EFA9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44F90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1216E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绿化灌溉采用节水设备或技术，并按下列规则评分：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在采用节水灌溉系统的基础上，设置土壤湿度感应器、雨天自动关闭装置等节水控制措施，或种植无需永久灌溉植物，得6分。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05467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6D96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3D3B3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1DC007E7">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F7A6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B187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D86B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1679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2D8B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空调冷却水系统采用节水设备或技术，并按下列规则评分：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1）循环冷却水系统采取设置水处理措施、加大集水盘、设置平衡管或平衡水箱等方式，避免冷却水泵停泵时冷却水溢出，得3分。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2）采用无蒸发耗水量的冷却技术，得6分。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51D8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DFFB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AD7DC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2A634E8B">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FBE8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006C5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4846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BDE0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68B03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结合雨水综合利用设施营造室外景观水体，室外景观水体利用雨水的补水量大于水体蒸发量的60%，且采用保障水体水质的生态水处理技术，评价总分值为8分，并按下列规则分别评分并累计：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对进入室外景观水体的雨水，利用生态设施削减径流污染，得4分；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利用水生动、植物保障室外景观水体水质，得4分。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3DFD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7CD9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6226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景观、给排水</w:t>
            </w:r>
          </w:p>
        </w:tc>
      </w:tr>
      <w:tr w14:paraId="65A6087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C905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D4E7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C6954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AA3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37DC9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绿化灌溉、车库及道路冲洗，洗车用水采用非传统水源的用水量占其总用水量的比例不低于60%，得5分；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16BD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77D6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60D3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0D8E496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A07F6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452E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922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8EC3B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F7C11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冲厕采用非传统水源的用水量占其总用水量的比例不低于40%，得5分；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B849C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F2513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3B97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01D0239">
        <w:tblPrEx>
          <w:tblCellMar>
            <w:top w:w="0" w:type="dxa"/>
            <w:left w:w="0" w:type="dxa"/>
            <w:bottom w:w="0" w:type="dxa"/>
            <w:right w:w="0" w:type="dxa"/>
          </w:tblCellMar>
        </w:tblPrEx>
        <w:trPr>
          <w:trHeight w:val="4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A363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220A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FB875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83A5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83BA2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冷却水补水采用非传统水源的用水量占其总用水量的比例不低于20%，得5分。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88F22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BFDF9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F2BBD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7E62C9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EAF36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87FD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2B22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节材与绿色建材</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79A6B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D697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建筑所有区域实施土建工程与装修工程一体化设计及施工，评价分值为8分。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C3A9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47F1C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13FD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67AB83A">
        <w:tblPrEx>
          <w:tblCellMar>
            <w:top w:w="0" w:type="dxa"/>
            <w:left w:w="0" w:type="dxa"/>
            <w:bottom w:w="0" w:type="dxa"/>
            <w:right w:w="0" w:type="dxa"/>
          </w:tblCellMar>
        </w:tblPrEx>
        <w:trPr>
          <w:trHeight w:val="3094"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48FE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55CBE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C461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AC7A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990D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合理选用建筑结构材料与构件，评价总分值为10分，并按下列规则评分：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混凝土结构，按下列规则分别评分并累计：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1）400MPa级及以上强度等级钢筋应用比例达到85%，得5分；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2）混凝土竖向承重结构采用强度等级不小于C50混凝土用量占竖向承重结构中混凝土总量的比例达到50%，得5分。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2钢结构，按下列规则分别评分并累计：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1）Q345及以上高强钢材用量占钢材总量的比例达到50%，得3分；达到70％，得4分；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2）螺栓连接等非现场焊接节点占现场全部连接、拼接节点的数量比例达到50%，得4分；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3）采用施工时免支撑的楼屋面板，得2分。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3混合结构：对其混凝土结构部分、钢结构部分，分别按本条第1款、第2款进行评价，得分取各项得分的平均值。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66F6D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7F19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9D02A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79708A90">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FA45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47A9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30ABD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3DF25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697C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建筑装修选用工业化内装部品，评价总分值为8分。建筑装修选用工业化内装部品占同类部品用量比例达到50%以上的部品种类，达到1种，得3分；达到3种，得5分；达到3种以上，得8分。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7A3C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76DB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D5FDA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C95C09B">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80BE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1A49E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9350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9259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45B1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可再循环材料和可再利用材料用量比例，按下列规则评分：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1）住宅建筑达到6%或公共建筑达到10%，得3分。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2）住宅建筑达到10%或公共建筑达到15%，得6分。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D83D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AA192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92A37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181EDB2">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0ADE6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01E5C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D932D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09F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63797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利废建材选用及其用量比例，按下列规则评分：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1）采用一种利废建材，其占同类建材的用量比例不低于50%，得3分。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2）选用二种及以上的利废建材，每一种占同类建材的用量比例均不低于30%，得6分。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8853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5C0A9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0F1AB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99BA89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8BD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9B5E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235A4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4BDC1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841D1">
            <w:pPr>
              <w:pStyle w:val="17"/>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选用绿色建材，评价总分值为12分。绿色建材应用比例不低于</w:t>
            </w:r>
            <w:r>
              <w:rPr>
                <w:rFonts w:ascii="宋体" w:hAnsi="宋体" w:eastAsia="宋体" w:cs="宋体"/>
                <w:color w:val="000000" w:themeColor="text1"/>
                <w:kern w:val="0"/>
                <w:sz w:val="18"/>
                <w:szCs w:val="18"/>
                <w:highlight w:val="none"/>
                <w14:textFill>
                  <w14:solidFill>
                    <w14:schemeClr w14:val="tx1"/>
                  </w14:solidFill>
                </w14:textFill>
              </w:rPr>
              <w:t>40</w:t>
            </w:r>
            <w:r>
              <w:rPr>
                <w:rFonts w:hint="eastAsia" w:ascii="宋体" w:hAnsi="宋体" w:eastAsia="宋体" w:cs="宋体"/>
                <w:color w:val="000000" w:themeColor="text1"/>
                <w:kern w:val="0"/>
                <w:sz w:val="18"/>
                <w:szCs w:val="18"/>
                <w:highlight w:val="none"/>
                <w14:textFill>
                  <w14:solidFill>
                    <w14:schemeClr w14:val="tx1"/>
                  </w14:solidFill>
                </w14:textFill>
              </w:rPr>
              <w:t>%，得4分；不低于50%，得8分；不低于70%，得12分。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11BD6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9AEC8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103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A1F8753">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A032A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3C308A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nil"/>
              <w:right w:val="single" w:color="000000" w:sz="4" w:space="0"/>
            </w:tcBorders>
            <w:shd w:val="clear" w:color="auto" w:fill="auto"/>
            <w:tcMar>
              <w:top w:w="15" w:type="dxa"/>
              <w:left w:w="15" w:type="dxa"/>
              <w:right w:w="15" w:type="dxa"/>
            </w:tcMar>
            <w:vAlign w:val="center"/>
          </w:tcPr>
          <w:p w14:paraId="5C30CBE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70B752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D9AF66B">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CEC54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163D67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99</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269B4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6699C07">
        <w:tblPrEx>
          <w:tblCellMar>
            <w:top w:w="0" w:type="dxa"/>
            <w:left w:w="0" w:type="dxa"/>
            <w:bottom w:w="0" w:type="dxa"/>
            <w:right w:w="0" w:type="dxa"/>
          </w:tblCellMar>
        </w:tblPrEx>
        <w:trPr>
          <w:trHeight w:val="4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974C2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 环境宜居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551353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772FF3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55CA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F9E8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建筑规划布局应满足日照标准，且不得降低周边建筑的日照标准。</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6155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0E22D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5AD35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3779364A">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9364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D8A1A2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61A84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5A8BE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B5EF7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室外热环境应满足国家现行有关标准的要求。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B16E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F065C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7E39B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622555DC">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2484A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402F23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012C3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D920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08874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配建的绿地应符合所在地城乡规划的要求，应合理选择绿化方式，植物种植应适应当地气候和土壤，且应无毒害、易维护，种植区域覆土深度和排水能力应满足植物生长需求，并应采用复层绿化方式。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3AECD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BB39D">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675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159F89DD">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5BD5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712D8E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9178E9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C57EE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A18A0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场地的竖向设计应有利于雨水的收集或排放，应有效组织雨水的下渗、滞蓄或再利用；对大于</w:t>
            </w:r>
            <w:r>
              <w:rPr>
                <w:rStyle w:val="101"/>
                <w:rFonts w:hint="eastAsia" w:ascii="宋体" w:hAnsi="宋体" w:eastAsia="宋体" w:cs="宋体"/>
                <w:color w:val="000000" w:themeColor="text1"/>
                <w:highlight w:val="none"/>
                <w14:textFill>
                  <w14:solidFill>
                    <w14:schemeClr w14:val="tx1"/>
                  </w14:solidFill>
                </w14:textFill>
              </w:rPr>
              <w:t>10hm</w:t>
            </w:r>
            <w:r>
              <w:rPr>
                <w:rFonts w:hint="eastAsia" w:ascii="宋体" w:hAnsi="宋体" w:eastAsia="宋体" w:cs="宋体"/>
                <w:color w:val="000000" w:themeColor="text1"/>
                <w:kern w:val="0"/>
                <w:sz w:val="18"/>
                <w:szCs w:val="18"/>
                <w:highlight w:val="none"/>
                <w:vertAlign w:val="superscript"/>
                <w14:textFill>
                  <w14:solidFill>
                    <w14:schemeClr w14:val="tx1"/>
                  </w14:solidFill>
                </w14:textFill>
              </w:rPr>
              <w:t>2</w:t>
            </w:r>
            <w:r>
              <w:rPr>
                <w:rFonts w:hint="eastAsia" w:ascii="宋体" w:hAnsi="宋体" w:eastAsia="宋体" w:cs="宋体"/>
                <w:color w:val="000000" w:themeColor="text1"/>
                <w:kern w:val="0"/>
                <w:sz w:val="18"/>
                <w:szCs w:val="18"/>
                <w:highlight w:val="none"/>
                <w14:textFill>
                  <w14:solidFill>
                    <w14:schemeClr w14:val="tx1"/>
                  </w14:solidFill>
                </w14:textFill>
              </w:rPr>
              <w:t>的场地应进行雨水控制利用专项设计。</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823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2F47F">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5A69F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225F63F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89D0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22DFDA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968A1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3D67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1683E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建筑内外均应设置便于识别和使用的标识系统。</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CEAFA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363E4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FF760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93070AD">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8A3BB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221BE8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3976C8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2C54C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E5F2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场地内不应有排放超标的污染源。</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54CF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72F69">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02B04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044495ED">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5F662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0DDE3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B61BB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F63CC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8.1.7</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2AF463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生活垃圾应分类收集，垃圾容器和收集点的设置应合理并应与周围景观协调。</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92659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49CD5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5801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0A2D7E9C">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385D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B5FE8E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977AE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6A8B3F">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8.1.8</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56CC3F4">
            <w:pPr>
              <w:pStyle w:val="17"/>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环境宜居相关技术要求应符合现行强制性工程建设规范《建筑环境通用规范》GB55016、《市容环卫工程项目规范》GB55013、《园林绿化工程项目规范》GB55014、《建筑给水排水与节水通用规范》GB55020等。</w:t>
            </w:r>
          </w:p>
          <w:p w14:paraId="68A66033">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1C56868">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D433C7E">
            <w:pPr>
              <w:jc w:val="center"/>
              <w:rPr>
                <w:rFonts w:hint="eastAsia" w:ascii="宋体" w:hAnsi="宋体" w:eastAsia="宋体" w:cs="宋体"/>
                <w:color w:val="000000" w:themeColor="text1"/>
                <w:kern w:val="0"/>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47807">
            <w:pPr>
              <w:widowControl/>
              <w:jc w:val="center"/>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p>
        </w:tc>
      </w:tr>
      <w:tr w14:paraId="21F4F03C">
        <w:tblPrEx>
          <w:tblCellMar>
            <w:top w:w="0" w:type="dxa"/>
            <w:left w:w="0" w:type="dxa"/>
            <w:bottom w:w="0" w:type="dxa"/>
            <w:right w:w="0" w:type="dxa"/>
          </w:tblCellMar>
        </w:tblPrEx>
        <w:trPr>
          <w:trHeight w:val="14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EE6E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C5F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8341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场地生态与景观</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7470C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18B67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充分保护或修复场地生态环境，合理布局建筑及景观，评价总分值为10分，并按下列规则评分：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保护场地内原有的自然水域、湿地、植被等，保持场地内的生态系统与场地外生态系统的连贯性，得10分。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采取净地表层土回收利用等生态补偿措施，得10分。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根据场地实际状况，采取其他生态恢复或补偿措施，得10分。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1C405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DDB01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B90B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61858DD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B0E94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F29E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AE5D2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7D7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59675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规划场地地表和屋面雨水径流，对场地雨水实施外排总量控制，评价总分值为10分。场地年径流总量控制率达到55%，得5分；达到70%，得10分。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DDE1C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C389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8488E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给排水、景观</w:t>
            </w:r>
          </w:p>
        </w:tc>
      </w:tr>
      <w:tr w14:paraId="65EDE63F">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9E5A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115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83C5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30F8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C0620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住宅建筑按下列规则分别评分并累计：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1）绿地率达到规划指标105%及以上，得10分；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2）住宅建筑所在居住街坊内人均集中绿地面积满足，6分。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公建按下列规则分别评分并累计：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1）绿地率达到规划指标105%及以上，得10分；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2）绿地向公众开放，6分。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7CAEC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4B0AF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F1C3B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58EAC499">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6E3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7316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37995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01A4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40D7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室外吸烟区布置在建筑主出入口的主导风的下风向，与所有建筑出入口、新风进气口和可开启窗扇的距离不少于8m，且距离儿童和老人活动场地不少于8m；</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5742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C517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1F256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1E6B1A67">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84F5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D6999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CFAA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DB058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EED3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室外吸烟区与绿植结合布置，并合理配置坐椅和带烟头收集的垃圾筒，从建筑主出入口至室外吸烟区的导向标识完整、定位标识醒目，吸烟区设置吸烟有害健康的警示标识。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E6E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F0A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DA57E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1D2FB6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E0A0F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8BB2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3A1E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A07CD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332E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下凹式绿地、雨水花园等有调蓄雨水功能的绿地和水体的面积之和占绿地面积的比例达到40%，得3分；达到60%，得5分；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23C09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A085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38E5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02CDEFE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0258A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10FE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ED2A5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DBA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6F476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衔接和引导不少于80%的屋面雨水进入地面生态设施；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12277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1925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D7185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1A6EB5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78C45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10EE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8D805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1ADE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FA290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衔接和引导不少于80%的道路雨水进入地面生态设施；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0517D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0AC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EB44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3EFD05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A084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1014D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CEE2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480FE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7C9D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 硬质铺装地面中透水铺装面积的比例达到50%。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2645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377D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E0ECF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D1C3087">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1889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59086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4035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室外物理环境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2071E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F64C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场地内的环境噪声优于现行国家标准《声环境质量标准》GB 3096的要求，评价总分值为10分，并按下列规则评分：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环境噪声值大于2类声环境功能区标准限值，且小于等于3类声环境功能区标准限值，得5分。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环境噪声值小于等于2类声环境功能区标准限值，得10分。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A957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94C84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421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F20AF0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7E869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FEC0C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373FE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9A78A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125C7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在居住空间窗户外表面产生的垂直照度不大于表8.2.7-1的规定的最大允许值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71AF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5A0D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C2757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01A612D0">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E812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2A4D4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E3BEC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1B19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C0A0C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建筑室外设置的显示屏表面平均亮度不大于表8.2.7-2规定的限值，且车道和人行道两侧未设置动态模拟显示屏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E4D0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0D7F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D96FE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D5F39A5">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2C63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F77F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E7AB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9A566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F1CC9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1）冬季典型风速条件下，建筑物周围人行区距地高1.5m处风速小于5m/s，户外休息区、儿童娱乐区风速小于2m/s，且室外风速放大系数小于2；</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41A90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FE169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B43B9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FE1A2C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3339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BCCF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6324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795DD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10C3D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2）冬季典型风速条件下，除迎风第一排建筑外，建筑迎风面与背风面表面风压差不大于5Pa。</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5C95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7954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9E8F0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B89BBA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DD4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400A8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E0A6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7E9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8085C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3）过渡季、夏季典型风速和风向条件下，场地内人活动区不出现涡旋或无风区；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9A1C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3AE3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7537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5D3F0C8">
        <w:tblPrEx>
          <w:tblCellMar>
            <w:top w:w="0" w:type="dxa"/>
            <w:left w:w="0" w:type="dxa"/>
            <w:bottom w:w="0" w:type="dxa"/>
            <w:right w:w="0" w:type="dxa"/>
          </w:tblCellMar>
        </w:tblPrEx>
        <w:trPr>
          <w:trHeight w:val="4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F0FF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938C7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13F6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6AEBE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E9A6D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4）过渡季、夏季典型风速和风向条件下，50％以上可开启外窗室内外表面的风压差大于0.5Pa。</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21B0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C30F9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390079">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3AEFD66">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C905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00E1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5A78C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D849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75759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场地中处于建筑阴影区外的步道、游憩场、庭院、广场等室外活动场地设有乔木、花架等遮阴措施的面积比例，住宅建筑达到30%，公共建筑达到10％，得2分；住宅建筑达到50％，公共建筑达到20％，得3分；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2E087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077D7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44B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规划、建筑、景观</w:t>
            </w:r>
          </w:p>
        </w:tc>
      </w:tr>
      <w:tr w14:paraId="387E5062">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3C199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AF2A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2A6B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3940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3861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场地中处于建筑阴影区外的机动车道，路面太阳辐射反射系数不小于0.4或设有遮荫面积较大的行道树的路段长度超过70%；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BB481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9756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971C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F9249A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E93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D9BF6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916D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E039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4CF24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屋顶的绿化面积、太阳能板水平投影面积以及太阳辐射反射系数不小于0.4的屋面面积合计达到75%。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F764A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DC88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4F97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907D3F3">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20713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A369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1BC1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C966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E8D2C">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2ACC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758C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4584E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606EA49">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5B092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B5B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A2B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E9C47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21F8E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72F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C083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88B14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53E0DC9">
        <w:tblPrEx>
          <w:tblCellMar>
            <w:top w:w="0" w:type="dxa"/>
            <w:left w:w="0" w:type="dxa"/>
            <w:bottom w:w="0" w:type="dxa"/>
            <w:right w:w="0" w:type="dxa"/>
          </w:tblCellMar>
        </w:tblPrEx>
        <w:trPr>
          <w:trHeight w:val="48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56AA0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 提高创新</w:t>
            </w: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C6325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一般规定</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857B2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D39C9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2BBAA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绿色建筑评价时，应按本章规定对提高与创新项进行评价。</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56CE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5046B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B4CD8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83D3B8D">
        <w:tblPrEx>
          <w:tblCellMar>
            <w:top w:w="0" w:type="dxa"/>
            <w:left w:w="0" w:type="dxa"/>
            <w:bottom w:w="0" w:type="dxa"/>
            <w:right w:w="0" w:type="dxa"/>
          </w:tblCellMar>
        </w:tblPrEx>
        <w:trPr>
          <w:trHeight w:val="7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3AC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AE0A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5A5B2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67251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9.1.2</w:t>
            </w:r>
          </w:p>
        </w:tc>
        <w:tc>
          <w:tcPr>
            <w:tcW w:w="5153" w:type="dxa"/>
            <w:tcBorders>
              <w:top w:val="nil"/>
              <w:left w:val="nil"/>
              <w:bottom w:val="nil"/>
              <w:right w:val="nil"/>
            </w:tcBorders>
            <w:shd w:val="clear" w:color="auto" w:fill="auto"/>
            <w:tcMar>
              <w:top w:w="15" w:type="dxa"/>
              <w:left w:w="15" w:type="dxa"/>
              <w:right w:w="15" w:type="dxa"/>
            </w:tcMar>
            <w:vAlign w:val="center"/>
          </w:tcPr>
          <w:p w14:paraId="1F06688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提高与创新项得分为加分项得分之和，当得分大于100分时，应取为100分。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E4CA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4B9A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79F87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AB93141">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22801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98D37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加分项</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F53F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89E9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D0AC3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采取措施进一步降低建筑供暖空调系统的能耗，评价总分值为30分。建筑供暖空调系统能耗相比国家现行有关建筑节能标准降低40%，得10分；每再降低10%，再得5分，最高得30分。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6CBC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83F11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C4D20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建筑、暖通</w:t>
            </w:r>
          </w:p>
        </w:tc>
      </w:tr>
      <w:tr w14:paraId="35B3415A">
        <w:tblPrEx>
          <w:tblCellMar>
            <w:top w:w="0" w:type="dxa"/>
            <w:left w:w="0" w:type="dxa"/>
            <w:bottom w:w="0" w:type="dxa"/>
            <w:right w:w="0" w:type="dxa"/>
          </w:tblCellMar>
        </w:tblPrEx>
        <w:trPr>
          <w:trHeight w:val="7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349C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5235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E8CEE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5549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87E0A">
            <w:pPr>
              <w:pStyle w:val="17"/>
              <w:rPr>
                <w:rFonts w:hint="eastAsia" w:ascii="宋体" w:hAnsi="宋体" w:eastAsia="宋体" w:cs="宋体"/>
                <w:color w:val="000000" w:themeColor="text1"/>
                <w:sz w:val="18"/>
                <w:szCs w:val="18"/>
                <w:highlight w:val="none"/>
                <w14:textFill>
                  <w14:solidFill>
                    <w14:schemeClr w14:val="tx1"/>
                  </w14:solidFill>
                </w14:textFill>
              </w:rPr>
            </w:pPr>
            <w:r>
              <w:rPr>
                <w:rFonts w:hint="eastAsia"/>
                <w:color w:val="000000" w:themeColor="text1"/>
                <w:highlight w:val="none"/>
                <w14:textFill>
                  <w14:solidFill>
                    <w14:schemeClr w14:val="tx1"/>
                  </w14:solidFill>
                </w14:textFill>
              </w:rPr>
              <w:t>因地制宜建设绿色建筑。</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0819B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CEE09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8ABE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1D92E86">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EE8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79D4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CF9F2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1A164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D4891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采用蓄冷蓄热蓄电、建筑设备智能调节等技术实现建筑电力交互</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C0A2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3E48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83156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2A3B5CFA">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DA78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5A7F6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D5DB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0D05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85A559">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场地绿容率计算值，不低于1.0，得1分；不低于2.0 , 得2分；不低于3.0，得3分。</w:t>
            </w:r>
          </w:p>
          <w:p w14:paraId="1F2517F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场地绿容率实测值，不低于1.0，得2分；不低于2.0, 得4分；不低于3.0，得5分。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14D69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7833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AB8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6E49826A">
        <w:tblPrEx>
          <w:tblCellMar>
            <w:top w:w="0" w:type="dxa"/>
            <w:left w:w="0" w:type="dxa"/>
            <w:bottom w:w="0" w:type="dxa"/>
            <w:right w:w="0" w:type="dxa"/>
          </w:tblCellMar>
        </w:tblPrEx>
        <w:trPr>
          <w:trHeight w:val="216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6AA9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E352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F2133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D7DDC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3E92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采用符合工业化建造要求的结构体系与建筑构件，评价分值为10分，并按下列规则评分：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1主体结构采用钢结构、木结构，得10分。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2主体结构采用装配式混凝土结构，地上部分预制构件应用混凝土体积占混凝土总体积的比例达到35%，得5分；达到50%，得10分。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F3FFB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5F00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774D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28805C7F">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1D0C7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380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02733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0BD2F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A80A9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应用建筑信息模型（BIM）技术，评价总分值为15分。在建筑的规划设计、施工建造和运行维护阶段中的一个阶段应用，得5分；两个阶段应用，得10分；三个阶段应用，得15分。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C298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25A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27E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4A9F218C">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6932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6D17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8EE2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9CD64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D46FE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进行建筑碳排放计算分析，采取措施降低单位建筑面积碳排放强度，评价分值为12分。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D5C7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64C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EFE5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5018A04F">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D6D3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824E5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041A9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7C515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4A6695">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按照绿色施工的要求进行施工和管理，评价总分值为20分，并按下列规则分别评分并累计：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1、单位工程单位面积的用电量比定额节约10%以上，得4分；</w:t>
            </w:r>
          </w:p>
          <w:p w14:paraId="6C4E1707">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2、采取措施加强建筑垃圾回收再利用，建筑垃圾回收利用率不低于50%，得4分；</w:t>
            </w:r>
          </w:p>
          <w:p w14:paraId="0AD64A87">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3、采取措施减少预拌混凝土损耗，损耗率降低至1.0%，得4分；</w:t>
            </w:r>
          </w:p>
          <w:p w14:paraId="59F5CE92">
            <w:pPr>
              <w:widowControl/>
              <w:textAlignment w:val="center"/>
              <w:rPr>
                <w:rFonts w:hint="eastAsia" w:ascii="宋体" w:hAnsi="宋体" w:eastAsia="宋体" w:cs="宋体"/>
                <w:color w:val="000000" w:themeColor="text1"/>
                <w:kern w:val="0"/>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4、采取措施减少现场加工钢筋损耗，损耗率降低至1.5%，得4分；</w:t>
            </w:r>
          </w:p>
          <w:p w14:paraId="4602935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5、现浇混凝土构件采用高周转率、免抹灰的新型模架体系，得4分。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DBB5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110E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B32ED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施工</w:t>
            </w:r>
          </w:p>
        </w:tc>
      </w:tr>
      <w:tr w14:paraId="4836D871">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CAC4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463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A278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4DF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4E868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3251200" cy="1352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0"/>
                          <a:stretch>
                            <a:fillRect/>
                          </a:stretch>
                        </pic:blipFill>
                        <pic:spPr>
                          <a:xfrm>
                            <a:off x="0" y="0"/>
                            <a:ext cx="3251200" cy="135255"/>
                          </a:xfrm>
                          <a:prstGeom prst="rect">
                            <a:avLst/>
                          </a:prstGeom>
                          <a:noFill/>
                          <a:ln>
                            <a:noFill/>
                          </a:ln>
                        </pic:spPr>
                      </pic:pic>
                    </a:graphicData>
                  </a:graphic>
                </wp:inline>
              </w:drawing>
            </w:r>
            <w:r>
              <w:rPr>
                <w:rFonts w:hint="eastAsia" w:ascii="宋体" w:hAnsi="宋体" w:eastAsia="宋体" w:cs="宋体"/>
                <w:color w:val="000000" w:themeColor="text1"/>
                <w:kern w:val="0"/>
                <w:sz w:val="18"/>
                <w:szCs w:val="18"/>
                <w:highlight w:val="none"/>
                <w14:textFill>
                  <w14:solidFill>
                    <w14:schemeClr w14:val="tx1"/>
                  </w14:solidFill>
                </w14:textFill>
              </w:rPr>
              <w:t>，并按下列规则分别评分并累计：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1保险承保范围包括地基基础工程、主体结构工程、屋面防水工程和其他土建工程的质量问题，得10分；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2保险承保范围包括装修工程、电气管线、上下水管线的安装工程，供热、供冷系统工程的质量问题，得10分。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C1D4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4ACDE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sz w:val="18"/>
                <w:szCs w:val="18"/>
                <w:highlight w:val="none"/>
                <w14:textFill>
                  <w14:solidFill>
                    <w14:schemeClr w14:val="tx1"/>
                  </w14:solidFill>
                </w14:textFill>
              </w:rPr>
              <w:t>20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C9225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施工</w:t>
            </w:r>
          </w:p>
        </w:tc>
      </w:tr>
      <w:tr w14:paraId="05F964D9">
        <w:tblPrEx>
          <w:tblCellMar>
            <w:top w:w="0" w:type="dxa"/>
            <w:left w:w="0" w:type="dxa"/>
            <w:bottom w:w="0" w:type="dxa"/>
            <w:right w:w="0" w:type="dxa"/>
          </w:tblCellMar>
        </w:tblPrEx>
        <w:trPr>
          <w:trHeight w:val="12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A3E6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960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622D9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7B293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9AB8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采取节约资源、保护生态环境、保障安全健康、智慧友好运行、传承历史文化等其他创新，并有明显效益，评价总分值为40分。每采取一项，得10分，最高得40分。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67287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8790A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C53E7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7D0E414C">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9E8C9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8503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F1B1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31F1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1C01AB">
            <w:pPr>
              <w:rPr>
                <w:rFonts w:hint="eastAsia" w:ascii="宋体" w:hAnsi="宋体" w:eastAsia="宋体" w:cs="宋体"/>
                <w:color w:val="000000" w:themeColor="text1"/>
                <w:sz w:val="18"/>
                <w:szCs w:val="18"/>
                <w:highlight w:val="none"/>
                <w14:textFill>
                  <w14:solidFill>
                    <w14:schemeClr w14:val="tx1"/>
                  </w14:solidFill>
                </w14:textFill>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78E9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ACEC95">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CC493">
            <w:pPr>
              <w:rPr>
                <w:rFonts w:hint="eastAsia" w:ascii="宋体" w:hAnsi="宋体" w:eastAsia="宋体" w:cs="宋体"/>
                <w:color w:val="000000" w:themeColor="text1"/>
                <w:sz w:val="18"/>
                <w:szCs w:val="18"/>
                <w:highlight w:val="none"/>
                <w14:textFill>
                  <w14:solidFill>
                    <w14:schemeClr w14:val="tx1"/>
                  </w14:solidFill>
                </w14:textFill>
              </w:rPr>
            </w:pPr>
          </w:p>
        </w:tc>
      </w:tr>
    </w:tbl>
    <w:p w14:paraId="26EBF13A">
      <w:pPr>
        <w:rPr>
          <w:rFonts w:hint="eastAsia" w:ascii="宋体" w:hAnsi="宋体" w:eastAsia="宋体" w:cs="宋体"/>
          <w:color w:val="000000" w:themeColor="text1"/>
          <w:highlight w:val="none"/>
          <w14:textFill>
            <w14:solidFill>
              <w14:schemeClr w14:val="tx1"/>
            </w14:solidFill>
          </w14:textFill>
        </w:rPr>
      </w:pPr>
    </w:p>
    <w:p w14:paraId="44921836">
      <w:pPr>
        <w:rPr>
          <w:rFonts w:hint="eastAsia" w:ascii="宋体" w:hAnsi="宋体" w:eastAsia="宋体" w:cs="宋体"/>
          <w:color w:val="000000" w:themeColor="text1"/>
          <w:highlight w:val="none"/>
          <w14:textFill>
            <w14:solidFill>
              <w14:schemeClr w14:val="tx1"/>
            </w14:solidFill>
          </w14:textFill>
        </w:rPr>
      </w:pPr>
    </w:p>
    <w:p w14:paraId="33B796CD">
      <w:pPr>
        <w:pStyle w:val="7"/>
        <w:numPr>
          <w:ilvl w:val="3"/>
          <w:numId w:val="0"/>
        </w:numPr>
        <w:jc w:val="both"/>
        <w:rPr>
          <w:rStyle w:val="81"/>
          <w:rFonts w:hint="eastAsia" w:ascii="宋体" w:hAnsi="宋体" w:cs="宋体"/>
          <w:b w:val="0"/>
          <w:bCs/>
          <w:color w:val="000000" w:themeColor="text1"/>
          <w:sz w:val="21"/>
          <w:szCs w:val="21"/>
          <w:highlight w:val="none"/>
          <w14:textFill>
            <w14:solidFill>
              <w14:schemeClr w14:val="tx1"/>
            </w14:solidFill>
          </w14:textFill>
        </w:rPr>
      </w:pPr>
      <w:r>
        <w:rPr>
          <w:rStyle w:val="81"/>
          <w:rFonts w:hint="eastAsia" w:ascii="宋体" w:hAnsi="宋体" w:cs="宋体"/>
          <w:b w:val="0"/>
          <w:bCs/>
          <w:color w:val="000000" w:themeColor="text1"/>
          <w:sz w:val="21"/>
          <w:szCs w:val="21"/>
          <w:highlight w:val="none"/>
          <w14:textFill>
            <w14:solidFill>
              <w14:schemeClr w14:val="tx1"/>
            </w14:solidFill>
          </w14:textFill>
        </w:rPr>
        <w:t>（2）公建部分（如有）</w:t>
      </w:r>
    </w:p>
    <w:p w14:paraId="2520FF61">
      <w:pPr>
        <w:pStyle w:val="7"/>
        <w:numPr>
          <w:ilvl w:val="3"/>
          <w:numId w:val="0"/>
        </w:numPr>
        <w:jc w:val="both"/>
        <w:rPr>
          <w:rStyle w:val="81"/>
          <w:rFonts w:hint="eastAsia" w:ascii="宋体" w:hAnsi="宋体" w:cs="宋体"/>
          <w:b w:val="0"/>
          <w:bCs/>
          <w:color w:val="000000" w:themeColor="text1"/>
          <w:sz w:val="21"/>
          <w:szCs w:val="21"/>
          <w:highlight w:val="none"/>
          <w14:textFill>
            <w14:solidFill>
              <w14:schemeClr w14:val="tx1"/>
            </w14:solidFill>
          </w14:textFill>
        </w:rPr>
      </w:pPr>
      <w:r>
        <w:rPr>
          <w:rFonts w:hint="eastAsia" w:ascii="宋体" w:hAnsi="宋体" w:cs="宋体"/>
          <w:b w:val="0"/>
          <w:bCs/>
          <w:color w:val="000000" w:themeColor="text1"/>
          <w:highlight w:val="none"/>
          <w14:textFill>
            <w14:solidFill>
              <w14:schemeClr w14:val="tx1"/>
            </w14:solidFill>
          </w14:textFill>
        </w:rPr>
        <w:t>公建二星级评分项</w:t>
      </w:r>
    </w:p>
    <w:tbl>
      <w:tblPr>
        <w:tblStyle w:val="42"/>
        <w:tblW w:w="13948" w:type="dxa"/>
        <w:jc w:val="center"/>
        <w:tblLayout w:type="fixed"/>
        <w:tblCellMar>
          <w:top w:w="0" w:type="dxa"/>
          <w:left w:w="0" w:type="dxa"/>
          <w:bottom w:w="0" w:type="dxa"/>
          <w:right w:w="0" w:type="dxa"/>
        </w:tblCellMar>
      </w:tblPr>
      <w:tblGrid>
        <w:gridCol w:w="1618"/>
        <w:gridCol w:w="1297"/>
        <w:gridCol w:w="798"/>
        <w:gridCol w:w="1054"/>
        <w:gridCol w:w="5766"/>
        <w:gridCol w:w="670"/>
        <w:gridCol w:w="728"/>
        <w:gridCol w:w="1018"/>
        <w:gridCol w:w="999"/>
      </w:tblGrid>
      <w:tr w14:paraId="475BF065">
        <w:tblPrEx>
          <w:tblCellMar>
            <w:top w:w="0" w:type="dxa"/>
            <w:left w:w="0" w:type="dxa"/>
            <w:bottom w:w="0" w:type="dxa"/>
            <w:right w:w="0" w:type="dxa"/>
          </w:tblCellMar>
        </w:tblPrEx>
        <w:trPr>
          <w:trHeight w:val="465" w:hRule="atLeast"/>
          <w:jc w:val="center"/>
        </w:trPr>
        <w:tc>
          <w:tcPr>
            <w:tcW w:w="13948" w:type="dxa"/>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F1FBF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天河区元岗村改造项目</w:t>
            </w:r>
            <w:r>
              <w:rPr>
                <w:rFonts w:hint="eastAsia" w:ascii="宋体" w:hAnsi="宋体" w:eastAsia="宋体" w:cs="宋体"/>
                <w:bCs/>
                <w:color w:val="000000" w:themeColor="text1"/>
                <w:kern w:val="0"/>
                <w:sz w:val="18"/>
                <w:szCs w:val="18"/>
                <w:highlight w:val="none"/>
                <w:lang w:eastAsia="zh-CN"/>
                <w14:textFill>
                  <w14:solidFill>
                    <w14:schemeClr w14:val="tx1"/>
                  </w14:solidFill>
                </w14:textFill>
              </w:rPr>
              <w:t>AT0206023</w:t>
            </w:r>
            <w:r>
              <w:rPr>
                <w:rFonts w:hint="eastAsia" w:ascii="宋体" w:hAnsi="宋体" w:eastAsia="宋体" w:cs="宋体"/>
                <w:bCs/>
                <w:color w:val="000000" w:themeColor="text1"/>
                <w:kern w:val="0"/>
                <w:sz w:val="18"/>
                <w:szCs w:val="18"/>
                <w:highlight w:val="none"/>
                <w14:textFill>
                  <w14:solidFill>
                    <w14:schemeClr w14:val="tx1"/>
                  </w14:solidFill>
                </w14:textFill>
              </w:rPr>
              <w:t>地块公建</w:t>
            </w:r>
          </w:p>
        </w:tc>
      </w:tr>
      <w:tr w14:paraId="036D0874">
        <w:tblPrEx>
          <w:tblCellMar>
            <w:top w:w="0" w:type="dxa"/>
            <w:left w:w="0" w:type="dxa"/>
            <w:bottom w:w="0" w:type="dxa"/>
            <w:right w:w="0" w:type="dxa"/>
          </w:tblCellMar>
        </w:tblPrEx>
        <w:trPr>
          <w:trHeight w:val="675" w:hRule="atLeast"/>
          <w:jc w:val="center"/>
        </w:trPr>
        <w:tc>
          <w:tcPr>
            <w:tcW w:w="161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23F6A">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1297"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E78E7E">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基本级要求</w:t>
            </w: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52281A">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一星级要求</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D94D5B">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二星级要求</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7962B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三星级要求</w:t>
            </w:r>
          </w:p>
        </w:tc>
        <w:tc>
          <w:tcPr>
            <w:tcW w:w="3415" w:type="dxa"/>
            <w:gridSpan w:val="4"/>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CCEB5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评分项和加分项</w:t>
            </w:r>
          </w:p>
        </w:tc>
      </w:tr>
      <w:tr w14:paraId="6A42F70B">
        <w:tblPrEx>
          <w:tblCellMar>
            <w:top w:w="0" w:type="dxa"/>
            <w:left w:w="0" w:type="dxa"/>
            <w:bottom w:w="0" w:type="dxa"/>
            <w:right w:w="0" w:type="dxa"/>
          </w:tblCellMar>
        </w:tblPrEx>
        <w:trPr>
          <w:trHeight w:val="45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EA0530">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总得分</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D5BB0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40</w:t>
            </w: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741AE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≥60</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38442B">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9BE6F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≥85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F82DD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总分</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2FC5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得分</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97D67A">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得分率</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0BA84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总得分</w:t>
            </w:r>
          </w:p>
        </w:tc>
      </w:tr>
      <w:tr w14:paraId="224AB015">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C3FA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 安全耐久</w:t>
            </w:r>
          </w:p>
        </w:tc>
        <w:tc>
          <w:tcPr>
            <w:tcW w:w="1297" w:type="dxa"/>
            <w:vMerge w:val="restart"/>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3EF1ED2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335E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D79EC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2490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48</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84F3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48%</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3390E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 xml:space="preserve">70.40 </w:t>
            </w:r>
          </w:p>
        </w:tc>
      </w:tr>
      <w:tr w14:paraId="75646D51">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51D80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 健康舒适</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2CD8E8BF">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65B25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6997B">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AC52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54</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9AF96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5DFA9F">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4E116DEA">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C2A82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 生活便利</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4EBA819E">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0B57D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36FF2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809C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36</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CD275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51%</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ADF9C">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1E682A8A">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B288CC">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7 资源节约</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1536A4F9">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63940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3043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200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35C85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91</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546078">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46%</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5966A">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7A32270D">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34B54B">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8 环境宜居</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0A1BCAD4">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40CC8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43D80">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E8302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65</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8BAA5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65%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12E6EF">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56BDE7E9">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1121D2">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9 创新提高</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394B581F">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06738">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048D8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B69179">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7741F">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10%</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2EA6B2">
            <w:pPr>
              <w:jc w:val="center"/>
              <w:rPr>
                <w:rFonts w:hint="eastAsia" w:ascii="宋体" w:hAnsi="宋体" w:eastAsia="宋体" w:cs="宋体"/>
                <w:bCs/>
                <w:color w:val="000000" w:themeColor="text1"/>
                <w:sz w:val="18"/>
                <w:szCs w:val="18"/>
                <w:highlight w:val="none"/>
                <w14:textFill>
                  <w14:solidFill>
                    <w14:schemeClr w14:val="tx1"/>
                  </w14:solidFill>
                </w14:textFill>
              </w:rPr>
            </w:pPr>
          </w:p>
        </w:tc>
      </w:tr>
      <w:tr w14:paraId="4865574C">
        <w:tblPrEx>
          <w:tblCellMar>
            <w:top w:w="0" w:type="dxa"/>
            <w:left w:w="0" w:type="dxa"/>
            <w:bottom w:w="0" w:type="dxa"/>
            <w:right w:w="0" w:type="dxa"/>
          </w:tblCellMar>
        </w:tblPrEx>
        <w:trPr>
          <w:trHeight w:val="69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6A90A">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章节</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93FC4D7">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分类</w:t>
            </w: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E6F4EA2">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F289795">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编号</w:t>
            </w: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34C1D34">
            <w:pPr>
              <w:widowControl/>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条文内容</w:t>
            </w: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A0900ED">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总分值</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6753DF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预评估</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D64016">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涉及专业</w:t>
            </w:r>
          </w:p>
        </w:tc>
      </w:tr>
      <w:tr w14:paraId="3782689C">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D2C72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 安全耐久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B2E8353">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270D97F">
            <w:pPr>
              <w:jc w:val="center"/>
              <w:rPr>
                <w:rFonts w:hint="eastAsia" w:ascii="宋体" w:hAnsi="宋体" w:eastAsia="宋体" w:cs="宋体"/>
                <w:bCs/>
                <w:color w:val="000000" w:themeColor="text1"/>
                <w:sz w:val="18"/>
                <w:szCs w:val="18"/>
                <w:highlight w:val="none"/>
                <w14:textFill>
                  <w14:solidFill>
                    <w14:schemeClr w14:val="tx1"/>
                  </w14:solidFill>
                </w14:textFill>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54CEE1">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4.1.1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15D3D">
            <w:pPr>
              <w:widowControl/>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场地应无洪涝、滑坡、泥石流、地陷、地裂、崩塌等自然灾害的威胁，无危险化学品、易燃易爆危险源的威胁，无电磁辐射、含氡土壤等危害。</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2BC4A">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E0F2A">
            <w:pPr>
              <w:jc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C8A584">
            <w:pPr>
              <w:widowControl/>
              <w:jc w:val="center"/>
              <w:textAlignment w:val="center"/>
              <w:rPr>
                <w:rFonts w:hint="eastAsia" w:ascii="宋体" w:hAnsi="宋体" w:eastAsia="宋体" w:cs="宋体"/>
                <w:bCs/>
                <w:color w:val="000000" w:themeColor="text1"/>
                <w:sz w:val="18"/>
                <w:szCs w:val="18"/>
                <w:highlight w:val="none"/>
                <w14:textFill>
                  <w14:solidFill>
                    <w14:schemeClr w14:val="tx1"/>
                  </w14:solidFill>
                </w14:textFill>
              </w:rPr>
            </w:pPr>
            <w:r>
              <w:rPr>
                <w:rFonts w:hint="eastAsia" w:ascii="宋体" w:hAnsi="宋体" w:eastAsia="宋体" w:cs="宋体"/>
                <w:bCs/>
                <w:color w:val="000000" w:themeColor="text1"/>
                <w:kern w:val="0"/>
                <w:sz w:val="18"/>
                <w:szCs w:val="18"/>
                <w:highlight w:val="none"/>
                <w14:textFill>
                  <w14:solidFill>
                    <w14:schemeClr w14:val="tx1"/>
                  </w14:solidFill>
                </w14:textFill>
              </w:rPr>
              <w:t>建设单位</w:t>
            </w:r>
          </w:p>
        </w:tc>
      </w:tr>
      <w:tr w14:paraId="0D9EDA25">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3F03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953CCD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EE54F6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242EA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1FCA9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建筑结构应满足承载力和建筑使用功能要求。建筑外墙、屋面、门窗、幕墙及外保温等围护结构应满足安全、耐久和防护的要求。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ACB7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F9915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9FDE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22EFFF55">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2372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4F1D6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CAE37E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23C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05650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外遮阳、太阳能设施、空调室外机位、外墙花池等外部设施应与建筑主体结构统一设计、施工，并应具备安装、检修与维护条件。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02156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FC42D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9C5ED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建筑、结构</w:t>
            </w:r>
          </w:p>
        </w:tc>
      </w:tr>
      <w:tr w14:paraId="3A34936B">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23187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96DD2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5420F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47C1E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6C1D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建筑内部的非结构构件、设备及附属设施等应连接牢固并能适应主体结构变形。</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A81A5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08753F">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86B75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4896195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0851A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0314F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EB3A32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8811B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1CC34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外门窗的气密性能、水密性能和抗风压性能应根据使用要求确定，且外门窗洞口与外门窗本体的结合部位应严密。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7BF8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7FB99">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BD48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81C691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57CD1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063D00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031AE1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F0454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9E932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卫生间、浴室的地面应设置防水层，墙面、顶棚应设置防潮层。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7F26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EF58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D60E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96D0EF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F8A7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2399F5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7A2661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3304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34164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走廊、疏散通道等通行空间应满足紧急疏散、应急救护等要求，且应保持畅通。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486DC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9259D">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14F7A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858075B">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E30E8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CB0A5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B918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AF7519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4.1.8</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D0217E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应具有安全防护的警示和引导标识系统。</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45AB62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70BD95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9D447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A75BE8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F198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255D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43C2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安全</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93B2B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3CFF2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采用基于性能的抗震设计并合理提高建筑的抗震性能。</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1697F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D0120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4F8A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0C52562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C73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8F8E9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5F0F2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D5172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5C75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采取措施提高阳台、外窗、窗台、防护栏杆等安全防护水平；</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1C8FA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08F2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3FB01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E18CC08">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C068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83DD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0AA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E9D2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450C8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建筑物出入口均设外墙饰面、门窗玻璃意外脱落的防护措施，并与人员通行区域的遮阳、遮风或挡雨措施结合；</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FE460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D129C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B6ED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14160B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582E2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EEEF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7335D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E537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A10E2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利用场地或景观形成可降低坠物风险的缓冲区、隔离带。</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86E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9A215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FD876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383D47F">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288A4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4D7CF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EF76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5F9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8DBE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采用具有安全防护功能的玻璃；</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484C2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F94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4217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6FA752D">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7C144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23009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D9C8E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CA3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EBE1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采用具备防夹功能的门窗。</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9F3FE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3B9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CC12C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AC6F394">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6E215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26A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9D9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0F5F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4E21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建筑出入口及平台、公共走廊、电梯门厅、厨房、浴室、卫生间等设置防滑措施，防滑等级不低于现行行业标准《建筑地面工程防滑技术规程》JGJ/T 331规定的Bd、BW级，</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303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D04E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6AAEF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5C1983F7">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7B30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1153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66E6E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B3CC5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2B21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建筑室内外活动场所采用防滑地面，防滑等级达到现行行业标准《建筑地面工程防滑技术规程》JGJ/T 331规定的Ad、AW级，</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80F8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9683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8FF79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C5FA4EB">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E8721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DFAF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42371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493BC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8674B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建筑坡道、楼梯踏步防滑等级达到现行行业标准《建筑地面工程防滑技术规程》JGJ/T 331规定的Ad、AW级或按水平地面等级提高一级，并采用防滑条等防滑构造技术措施。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38784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6A456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580E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3D0F92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46946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B8F7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F27AE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6237F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0A4AE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采取人车分流措施，且步行和自行车交通系统有充足照明。</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8A5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1F768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1305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建筑、电气</w:t>
            </w:r>
          </w:p>
        </w:tc>
      </w:tr>
      <w:tr w14:paraId="4EB3ECF3">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F456C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B17D1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19883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耐久</w:t>
            </w: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AA4A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B873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采取通用开放、灵活可变的使用空间设计，或采取建筑使用功能可变措施；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0109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8699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2864E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21F71F4B">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609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4FFC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D4903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AD66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43EE2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建筑结构与建筑设备管线分离；</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48AE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21FB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C1701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D3C3C1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845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0B735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555C5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C3B6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2C82D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采用与建筑功能和空间变化相适应的设备设施布置方式或控制方式。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A361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D489C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B5EC6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1D239E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D8EE3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372A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596EF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2CE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C630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使用耐腐蚀、抗老化、耐久性能好的管材、管线、管件；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5FAC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64DED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C6345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08FB994B">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4466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CF3E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661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2D0B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DE9F4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活动配件选用长寿命产品，并考虑部品组合的同寿命性；不同使用寿命的部品组合时，采用便于分别拆换、更新和升级的构造。</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913E9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1BBC0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08BB0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8B3A60F">
        <w:tblPrEx>
          <w:tblCellMar>
            <w:top w:w="0" w:type="dxa"/>
            <w:left w:w="0" w:type="dxa"/>
            <w:bottom w:w="0" w:type="dxa"/>
            <w:right w:w="0" w:type="dxa"/>
          </w:tblCellMar>
        </w:tblPrEx>
        <w:trPr>
          <w:trHeight w:val="24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489F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9EB48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7FB3E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53BE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789D8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提高建筑结构材料的耐久性，评价总分值为10分，并按下列规则评分：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按100年进行耐久性设计。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采用耐久性能好的建筑结构材料，满足下列条件之一：</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1）对于混凝土构件，提高钢筋保护层厚度或采用高耐久混凝土；</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2）对于钢构件，采用耐候结构钢及耐候型防腐涂料；</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3）对于木构件，采用防腐木材、耐久木材或耐久木制品。</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3F56B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EED08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C26BE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31BB34DE">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F67F6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2E9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5478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A9F1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9C4CE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采用耐久性好的外饰面材料；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014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5AF03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BDFDB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B40FB0D">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E7E4E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4DA2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2674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F10F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F8BCE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采用耐久性好的防水和密封材料；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7322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0E30D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7366F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C2A66A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BF0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387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13A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60D86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5B517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采用耐久性好、易维护的室内装饰装修材料。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239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7C43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2E882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B0A5200">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12C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4F59897">
            <w:pP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CEBCD12">
            <w:pP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D26FAD0">
            <w:pP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B70DE26">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407107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E0EF1E8">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631AD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F30F740">
        <w:tblPrEx>
          <w:tblCellMar>
            <w:top w:w="0" w:type="dxa"/>
            <w:left w:w="0" w:type="dxa"/>
            <w:bottom w:w="0" w:type="dxa"/>
            <w:right w:w="0" w:type="dxa"/>
          </w:tblCellMar>
        </w:tblPrEx>
        <w:trPr>
          <w:trHeight w:val="13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F888F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 健康舒适</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AAA4F3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2AD6C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8EE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0F8CC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室内空气中的氨、甲醛、苯、总挥发性有机物、氡等污染物浓度应符合现行国家标准《室内空气质量标准》GB/T 18883的有关规定。建筑室内和建筑主出入口处应禁止吸烟，并应在醒目位置设置禁烟标志。</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7CA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45B93D">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E033D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建筑、暖通</w:t>
            </w:r>
          </w:p>
        </w:tc>
      </w:tr>
      <w:tr w14:paraId="65D6E045">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A24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2ADACD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BCC32C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C40BF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C450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应采取措施避免厨房、餐厅、打印复印室、卫生间、地下车库等区域的空气和污染物串通到其他空间；应防止厨房、卫生间的排气倒灌。</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C0AA6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57211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9D551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4C49CE7A">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66B3B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20A89D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955F2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3BDE4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B909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给排水系统的设置应符合下列规定：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生活饮用水水质应满足现行国家标准《生活饮用水卫生标准》GB 5749的要求；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应制定水池、水箱等储水设施定期清洗消毒计划并实施，且生活饮用水储水设施每半年清洗消毒应不少于1次；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应使用构造内自带水封的便器，且其水封深度应不小于50mm；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 非传统水源管道和设备应设置明确、清晰的永久性标识。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653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6D8E18">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F1049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01E61D2B">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82EB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7A283A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0A13DE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00B5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50460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主要功能房间的室内噪声级和隔声性能应符合下列规定：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室内噪声级应满足现行国家标准《民用建筑隔声设计规范》GB 50118中的低限要求；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外墙、隔墙、楼板和门窗的隔声性能应满足现行国家标准《民用建筑隔声设计规范》GB 50118中的低限要求。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9B35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553B1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C815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A3BF451">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9A7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B9052A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ABFBCA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B4AF9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C1807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建筑照明应符合下列规定：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照明数量和质量应符合现行国家标准《建筑照明设计标准》GB 50034的规定；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人员长期停留的场所应采用符合现行国家标准《灯和灯系统的光生物安全性》GB/T 20145规定的无危险类照明产品；</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选用LED照明产品的光输出波形的波动深度应满足现行国家标准《LED室内照明应用技术要求》GB/T 31831的规定。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6AF1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46820">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B86B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2C1C2816">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8BF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575EB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7CF11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D3C3A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55CF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保障室内热环境。采用集中供暖空调系统的建筑，房间内的温度、湿度、新风量等设计参数应符合现行国家标准《民用建筑供暖通风与空气调节设计规范》GB50736的有关规定；采用非集中供暖空调系统的建筑，应具有保障室内热环境的措施或预留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CD642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86F00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B2EC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7878CADE">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3A996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61AD95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F115DF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4E81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C740D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围护结构热工性能应符合下列规定：</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在室内设计温、湿度条件下，建筑非透光围护结构内表面不得结露；</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供暖建筑的屋面、外墙内部不应产生冷凝；</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屋顶和外墙隔热性能应满足现行国家标准《民用建筑热工设计规范》GB 50176的要求。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0FF5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58E7B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BD76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01C972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0B9ED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1D938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5613D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8A482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FF383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主要功能房间应具有现场独立控制的热环境调节装置。</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1B8D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1D230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D4DC8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509B9D25">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DFC6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AC574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419A1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660517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5.1.9</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821497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地下车库应设置与排风设备联动的一氧化碳浓度监测装置。</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00B7BB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397265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A72DF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暖通、电气</w:t>
            </w:r>
          </w:p>
        </w:tc>
      </w:tr>
      <w:tr w14:paraId="7B0CF1E0">
        <w:tblPrEx>
          <w:tblCellMar>
            <w:top w:w="0" w:type="dxa"/>
            <w:left w:w="0" w:type="dxa"/>
            <w:bottom w:w="0" w:type="dxa"/>
            <w:right w:w="0" w:type="dxa"/>
          </w:tblCellMar>
        </w:tblPrEx>
        <w:trPr>
          <w:trHeight w:val="11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E87F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7673D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6423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室内空气品质</w:t>
            </w:r>
          </w:p>
        </w:tc>
        <w:tc>
          <w:tcPr>
            <w:tcW w:w="1054"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6611D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C830B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氨、甲醛、苯、总挥发性有机物、氡等污染物浓度低于现行国家标准《室内空气质量标准》GB/T 18883规定限值的10%，得3分；低于20%，得6分；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029A4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4700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AB84A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555BC6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A81E3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B863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981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4B74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73D1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室内PM2.5年均浓度不高于25μg/m3，且室内PM10年均浓度不高于50μg/m3，得6分。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F543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5F09B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057B3E">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18A579C">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2AD0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7B97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6A265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4ED9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02F4B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选用的装饰装修材料满足国家现行绿色产品评价标准中对有害物质限量的要求，评价总分值为8分。选用满足要求的装饰装修材料达到3类及以上，得5分；达到5类及以上，得8分。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738D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7849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A57B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B8DFA3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4FDF1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EC3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16D9E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水质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B198D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1D6A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直饮水、集中生活热水、游泳池水、采暖空调系统用水、景观水体等的水质满足国家现行有关标准的要求。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D4E7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CA148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31A1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33DF17F2">
        <w:tblPrEx>
          <w:tblCellMar>
            <w:top w:w="0" w:type="dxa"/>
            <w:left w:w="0" w:type="dxa"/>
            <w:bottom w:w="0" w:type="dxa"/>
            <w:right w:w="0" w:type="dxa"/>
          </w:tblCellMar>
        </w:tblPrEx>
        <w:trPr>
          <w:trHeight w:val="4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C5F45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3B82F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1B79D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1E3DF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3B24B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1采用符合要求的成品水箱</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FD269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DACE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9F93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66F41F92">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A661A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FDFD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F7731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6E0E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EF6D9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2采取保证储水不变质的措施。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4CFC8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7F73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7F97E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CBF942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6C05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20F5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663F2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919AE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F1555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所有给排水管道、设备、设施设置明确、清晰的永久性标识，评价分值为8分。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63728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E48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9DD9F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0DB65847">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351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F9BE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BC96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声环境与光环境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DB25F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BCC3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采取措施优化主要功能房间的室内声环境，评价总分值为8分。噪声级达到现行国家标准《民用建筑隔声设计规范》GB50118中的低限标准限值和高要求标准限值的平均值，得4分；达到高要求标准限值，得8分。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569B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1664C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242BF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87E405E">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6557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CF8E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88937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8DE58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AAD60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构件及相邻房间之间的空气声隔声性能达到现行国家标准《民用建筑隔声设计规范》GB 50118中的低限标准限值和高要求标准限值的平均值，得3分；达到高要求标准限值，得5分；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E121D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DCB68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46A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6D3CB61">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784BC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003EC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438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FE2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93058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2楼板的撞击声隔声性能达到现行国家标准《民用建筑隔声设计规范》GB 50118中的低限标准限值和高要求标准限值的平均值，得3分；达到高要求标准限值，得5分。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48D34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DD471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C4AF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789FDEA">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E1B2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D5B6D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D404C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C8731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F39AD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住宅建筑室内主要功能空间至少60%面积比例区域，其采光照度值不低于300lx的小时数平均不少于8h/d，得9分；</w:t>
            </w:r>
          </w:p>
        </w:tc>
        <w:tc>
          <w:tcPr>
            <w:tcW w:w="67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88C68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353C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6785F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422973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DEB6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0E10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8B5C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8476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B90A7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2-1）公建内区采光系数满足采光要求的面积比例达到60%，得3分；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D390C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65435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D5F4F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4B2F40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F243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E38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00990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FAFE5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FBA81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2-2）公建地下空间平均采光系数不小于0.5%的面积与地下室首层面积的比例达到10%以上，得3分；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D6B4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BA521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EC5CD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96C365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48B2C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FEFD9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280E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276B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4811D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2-3）公建室内主要功能空间至少60%面积比例区域的采光照度值不低于采光要求的小时数平均不少于4h/d，得3分。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133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54FE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86B22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662070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6E653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2E3AE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97CD2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A5FAF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9A304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3主要功能房间有眩光控制措施，得3分。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3BA79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9B08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165FB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91B633A">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48F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FD99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0DC6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室内热湿环境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1534D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98DD8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具有良好的室内热湿环境，评价总分值为8分，并按下列规则评分：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1采用自然通风或复合通风的建筑，建筑主要功能房间室内热环境参数在适应性热舒适区域的时间比例，达到30%，得2分；每再增加10%，再得1分，最高得8分。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采用人工冷热源的建筑，主要功能房间达到现行国家标准《民用建筑室内热湿环境评价标准》GB/T 50785规定的室内人工冷热源热湿环境整体评价Ⅱ级的面积比例，达到60%，得5分；每再增加10%，再得1分，最高得8分。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717C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6F1D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07F3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48416046">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A70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8736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4E42B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635F0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02CB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优化建筑空间和平面布局，改善自然通风效果，评价总分值为8分，并按下列规则评分：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住宅建筑：通风开口面积与房间地板面积的比例在夏热冬暖地区达到12%，在夏热冬冷地区达到8%，在其他地区达到5%，得5分；每再增加2%，再得1分，最高得8分。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公共建筑：过渡季典型工况下主要功能房间平均自然通风换气次数不小于2次/h的面积比例达到70%，得5分；每再增加10%，再得1分，最高得8分。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0108C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BB9E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CAE1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4F852CD">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74B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C9800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420C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4AFE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0D62D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设置可调节遮阳设施，改善室内热舒适，评价总分值为9分，根据可调节遮阳设施的面积占外窗透明部分的比例按表5.2.11的规则评分。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96EE1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7A8C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522F9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4E966EC">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8D5CF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B3519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F22D0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5AD5AF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6886E55">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AFD85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AECCD73">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92844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541C8CB">
        <w:tblPrEx>
          <w:tblCellMar>
            <w:top w:w="0" w:type="dxa"/>
            <w:left w:w="0" w:type="dxa"/>
            <w:bottom w:w="0" w:type="dxa"/>
            <w:right w:w="0" w:type="dxa"/>
          </w:tblCellMar>
        </w:tblPrEx>
        <w:trPr>
          <w:trHeight w:val="675"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1E180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 生活便利</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28C38B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86836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9F43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9C05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建筑、室外场地、公共绿地、城市道路相互之间应设置连贯的无障碍步行系统。</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856AF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5E5B2">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298E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5D351D08">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C0F46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06D07C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1D060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20FCF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9655A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场地人行出入口</w:t>
            </w:r>
            <w:r>
              <w:rPr>
                <w:rFonts w:hint="eastAsia" w:ascii="宋体" w:hAnsi="宋体" w:eastAsia="宋体" w:cs="宋体"/>
                <w:color w:val="000000" w:themeColor="text1"/>
                <w:kern w:val="0"/>
                <w:sz w:val="24"/>
                <w:szCs w:val="24"/>
                <w:highlight w:val="none"/>
                <w14:textFill>
                  <w14:solidFill>
                    <w14:schemeClr w14:val="tx1"/>
                  </w14:solidFill>
                </w14:textFill>
              </w:rPr>
              <w:t>500m</w:t>
            </w:r>
            <w:r>
              <w:rPr>
                <w:rFonts w:hint="eastAsia" w:ascii="宋体" w:hAnsi="宋体" w:eastAsia="宋体" w:cs="宋体"/>
                <w:color w:val="000000" w:themeColor="text1"/>
                <w:kern w:val="0"/>
                <w:sz w:val="18"/>
                <w:szCs w:val="18"/>
                <w:highlight w:val="none"/>
                <w14:textFill>
                  <w14:solidFill>
                    <w14:schemeClr w14:val="tx1"/>
                  </w14:solidFill>
                </w14:textFill>
              </w:rPr>
              <w:t>内应设有公共交通站点或配备联系公共交通站点的专用接驳车。</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6160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4AEFE">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AA02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1CB1EE4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7B49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1C8DC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1CA8DC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E73D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004A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停车场应具有电动汽车充电设施或具备充电设施的安装条件，并应合理设置电动汽车和无障碍汽车停车位。</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DF884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C1789">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FB3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建筑、电气</w:t>
            </w:r>
          </w:p>
        </w:tc>
      </w:tr>
      <w:tr w14:paraId="2B38B73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0DEEC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E8F41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8D893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A8DBC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054A6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自行车停车场所应位置合理、方便出入。</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0304D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DE70C4">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99114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56CE05A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9C4C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25F9DB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931C2D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0C20F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58CD4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建筑设备管理系统应具有自动监控管理功能。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C76C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87A5C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EF92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3F62D2C5">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BB765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AB6C01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FF320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D2BC2F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6.1.6</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2E2EA5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建筑应设置信息网络系统。</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6444A4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4E203E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BD39E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79CA1895">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C9B7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25248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F667D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出行与无障碍</w:t>
            </w:r>
          </w:p>
        </w:tc>
        <w:tc>
          <w:tcPr>
            <w:tcW w:w="1054"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B84E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26F9F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场地出入口到达公共交通站点的步行距离不超过500m，或到达轨道交通站的步行距离不大于800m，得2分；场地出入口到达公共交通站点的步行距离不超过300m，或到达轨道交通站的步行距离不大于500m，得4分；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508D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5876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CD873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75E5261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1DFBC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50A74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2E52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20786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B706B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场地出入口步行距离800m范围内设有不少于2条线路的公共交通站点，得4分。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888BE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B90B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9B324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4DC445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F3E9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49DC7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B31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D508C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ED98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建筑室内公共区域、室外公共活动场地及道路均满足无障碍设计要求；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AB765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7DC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F735E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3B7DC51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36EB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EA718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11112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CB83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815F4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建筑室内公共区域的墙、柱等处的阳角均为圆角，并设有安全抓杆或扶手；</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212F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0D9F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9BF7C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03D3C2F">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FEF2D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B7537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09AD8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5328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39242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设有可容纳担架的无障碍电梯。</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2CFC4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D62EC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CCF76E">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05183A2">
        <w:tblPrEx>
          <w:tblCellMar>
            <w:top w:w="0" w:type="dxa"/>
            <w:left w:w="0" w:type="dxa"/>
            <w:bottom w:w="0" w:type="dxa"/>
            <w:right w:w="0" w:type="dxa"/>
          </w:tblCellMar>
        </w:tblPrEx>
        <w:trPr>
          <w:trHeight w:val="70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3AAF6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6855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9BF0C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服务设施</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713C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1C105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提供便利的公共服务，评价总分值为10分，并按下列规则评分：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住宅建筑，满足下列要求中的4项，得5分；满足6项及以上，得10分：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1）场地出入口到达幼儿园的步行距离不大于300m；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2）场地出入口到达小学的步行距离不大于500m；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3）场地出入口到达中学的步行距离不大于1000m；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4）场地出入口到达医院的步行距离不大于1000m；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5）场地出入口到达群众文化活动设施的步行距离不大于800m；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6）场地出入口到达老年人日间照料设施的步行距离不大于500m；</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7）场地周边500m范围内具有不少于3种商业服务设施。</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公共建筑，满足下列要求中的3项，得5分；满足5项，得10分：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1）建筑内至少兼容2种面向社会的公共服务功能；</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2）建筑向社会公众提供开放的公共活动空间；</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3）电动汽车充电桩的车位数占总车位数的比例不低于10%；</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4）周边500m范围内设有社会公共停车场（库）；</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5）场地不封闭或场地内步行公共通道向社会开放。</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C5B8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3F6C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1F642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4560A870">
        <w:tblPrEx>
          <w:tblCellMar>
            <w:top w:w="0" w:type="dxa"/>
            <w:left w:w="0" w:type="dxa"/>
            <w:bottom w:w="0" w:type="dxa"/>
            <w:right w:w="0" w:type="dxa"/>
          </w:tblCellMar>
        </w:tblPrEx>
        <w:trPr>
          <w:trHeight w:val="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33AD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9104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DC8D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BE2E4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23BA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场地出入口到达城市公园绿地、居住住区公园、广场的步行距离不大于300m；</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B731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F9F36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FA537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05326E26">
        <w:tblPrEx>
          <w:tblCellMar>
            <w:top w:w="0" w:type="dxa"/>
            <w:left w:w="0" w:type="dxa"/>
            <w:bottom w:w="0" w:type="dxa"/>
            <w:right w:w="0" w:type="dxa"/>
          </w:tblCellMar>
        </w:tblPrEx>
        <w:trPr>
          <w:trHeight w:val="9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AB0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D4039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AAE7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23F9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2E31A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到达中型多功能运动场地的步行距离不大于500m，得2分。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3372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A9CC9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1A54C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3C41A97">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848D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CF8A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69F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1A322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01D7B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合理设置健身场地和空间，评价总分值为10分，并按下列规则分别评分并累计：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 xml:space="preserve">1 室外健身场地面积不少于总用地面积的0.5%，得3分； </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设置宽度不少于1.25m的专用健身慢行道，健身慢行道长度不少于用地红线周长的1/4且不少于100m，得2分；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室内健身空间的面积不少于地上建筑面积的0.3%且不少于60 m2，得3分；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 楼梯间具有天然采光和良好的视野，且距离主入口的距离不大于15m，得2分。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BD0BA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75CC4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AB73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6F4ECD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CE9A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DB5F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0D9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智慧运行</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C612C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CAABE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设置分类、分级用能自动远传计量系统，且设置能源管理系统实现对建筑能耗的监测、数据分析和管理。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116C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3BF1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0787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3AD55D17">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E40E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7DC1F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8773A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CB3C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3A62B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设置PM</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10</w:t>
            </w:r>
            <w:r>
              <w:rPr>
                <w:rFonts w:hint="eastAsia" w:ascii="宋体" w:hAnsi="宋体" w:eastAsia="宋体" w:cs="宋体"/>
                <w:color w:val="000000" w:themeColor="text1"/>
                <w:kern w:val="0"/>
                <w:sz w:val="18"/>
                <w:szCs w:val="18"/>
                <w:highlight w:val="none"/>
                <w14:textFill>
                  <w14:solidFill>
                    <w14:schemeClr w14:val="tx1"/>
                  </w14:solidFill>
                </w14:textFill>
              </w:rPr>
              <w:t>、PM</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2.5</w:t>
            </w:r>
            <w:r>
              <w:rPr>
                <w:rFonts w:hint="eastAsia" w:ascii="宋体" w:hAnsi="宋体" w:eastAsia="宋体" w:cs="宋体"/>
                <w:color w:val="000000" w:themeColor="text1"/>
                <w:kern w:val="0"/>
                <w:sz w:val="18"/>
                <w:szCs w:val="18"/>
                <w:highlight w:val="none"/>
                <w14:textFill>
                  <w14:solidFill>
                    <w14:schemeClr w14:val="tx1"/>
                  </w14:solidFill>
                </w14:textFill>
              </w:rPr>
              <w:t>、CO</w:t>
            </w:r>
            <w:r>
              <w:rPr>
                <w:rFonts w:hint="eastAsia" w:ascii="宋体" w:hAnsi="宋体" w:eastAsia="宋体" w:cs="宋体"/>
                <w:color w:val="000000" w:themeColor="text1"/>
                <w:kern w:val="0"/>
                <w:sz w:val="18"/>
                <w:szCs w:val="18"/>
                <w:highlight w:val="none"/>
                <w:vertAlign w:val="subscript"/>
                <w14:textFill>
                  <w14:solidFill>
                    <w14:schemeClr w14:val="tx1"/>
                  </w14:solidFill>
                </w14:textFill>
              </w:rPr>
              <w:t>2</w:t>
            </w:r>
            <w:r>
              <w:rPr>
                <w:rFonts w:hint="eastAsia" w:ascii="宋体" w:hAnsi="宋体" w:eastAsia="宋体" w:cs="宋体"/>
                <w:color w:val="000000" w:themeColor="text1"/>
                <w:kern w:val="0"/>
                <w:sz w:val="18"/>
                <w:szCs w:val="18"/>
                <w:highlight w:val="none"/>
                <w14:textFill>
                  <w14:solidFill>
                    <w14:schemeClr w14:val="tx1"/>
                  </w14:solidFill>
                </w14:textFill>
              </w:rPr>
              <w:t>浓度的空气质量监测系统，且具有存储至少一年的监测数据和实时显示等功能。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8E20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33726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8565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7FA5BFE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60FD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DC45D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6F207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C6DD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4E7BF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设置用水量远传计量系统，能分类、分级记录、统计分析各种用水情况；</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688A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E6157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133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电气、给排水</w:t>
            </w:r>
          </w:p>
        </w:tc>
      </w:tr>
      <w:tr w14:paraId="3DAFDB2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C010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4DB91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33A5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A20D4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E3FF0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利用计量数据进行管网漏损自动检测、分析与整改，管道漏损率低于5%；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BD67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20213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66650">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A45F17B">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7794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850B7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1571C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B9C27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6648C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设置水质在线监测系统，监测生活饮用水、管道直饮水、游泳池水、非传统水源、空调冷却水的水质指标，记录并保存水质监测结果，且能随时供用户查询。</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02528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nil"/>
              <w:left w:val="nil"/>
              <w:bottom w:val="nil"/>
              <w:right w:val="single" w:color="000000" w:sz="4" w:space="0"/>
            </w:tcBorders>
            <w:shd w:val="clear" w:color="auto" w:fill="auto"/>
            <w:tcMar>
              <w:top w:w="15" w:type="dxa"/>
              <w:left w:w="15" w:type="dxa"/>
              <w:right w:w="15" w:type="dxa"/>
            </w:tcMar>
            <w:vAlign w:val="center"/>
          </w:tcPr>
          <w:p w14:paraId="0C240DC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309EB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0F7436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4DC01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CF2C5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4D4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B37D3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D7EF9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具有家电控制、照明控制、安全报警、环境监测、建筑设备控制、工作生活服务等至少3种类型的服务功能；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0E4AD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59162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B3DB7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633A596C">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E1210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CF1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7FC0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02F49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6E320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具有远程监控的功能；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2030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BBA8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34234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5D1653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55D0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4E926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52A6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C3872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23FA0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具有接入智慧城市（城区、社区）的功能。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3C57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0525F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D4D0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9E4209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245D4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1C0B8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3B2A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物业管理</w:t>
            </w: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19A4B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D181A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相关设施具有完善的操作规程和应急预案；</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670CA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5E271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F23F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物业</w:t>
            </w:r>
          </w:p>
        </w:tc>
      </w:tr>
      <w:tr w14:paraId="198A5D3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3E50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3513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2CBD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71744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7041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物业管理机构的工作考核体系中包含节能和节水绩效考核激励机制。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B4AB9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27936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EB53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5BE6B1E">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25D7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C3542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099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291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082CA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建筑平均日用水量满足现行国家标准《民用建筑节水设计标准》GB 50555中节水用水定额的要求，评价总分值为5分，并按下列规则评分：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平均日用水量大于节水用水定额的平均值、不大于上限值，得2分。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平均日用水量大于节水用水定额下限值、不大于平均值，得3分。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平均日用水量不大于节水用水定额下限值，得5分。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71E6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460D6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7C831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057DD9E">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201C3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82E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80B7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BCDFD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E3645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制定绿色建筑运营效果评估的技术方案和计划；</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8D2A6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A0B89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D6466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F51CAA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DEE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10F1B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5C7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9B36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6E54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定期检查、调适公共设施设备，具有检查、调试、运行、标定的记录，且记录完整；</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6BC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4FD65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DE9D9F">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604E31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D961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6C58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67CD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701F8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5FBD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定期开展节能诊断评估，并根据评估结果制定优化方案并实施；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4C699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7B759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5ACA0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28299A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8583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AC5F8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90D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DEBA0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936D9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 定期对各类用水水质进行检测、公示。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E02BF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03BB8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3D521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76F8678">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4DE4C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4E6DD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D9209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C3CC8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6.2.13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8AD73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每年组织不少于2次的绿色建筑技术宣传、绿色生活引导、灾害应急演练等绿色教育宣传和实践活动，并有活动记录；</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F80B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AAED8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678BE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0CBBEF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868A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6FBF5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0CEC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CDB70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2FC8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具有绿色生活展示、体验或交流分享的平台，并向使用者提供绿色设施使用手册；</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CEAC5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B69B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8B01A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483E79E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6A966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1995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65D8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EE917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4EFCC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每年开展1次针对建筑绿色性能的使用者满意度调查，且根据调查结果制定改进措施并实施、公示。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4394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CFC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F961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0EE99B5">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D762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4ED31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A99EA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DB54FD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FC3BCE5">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332915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5FE325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DDD98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52FD315">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B9F2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 资源节约</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365724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5DF240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701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CCD5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应结合场地自然条件和建筑功能需求，对建筑的体形、平面布局、空间尺度、围护结构等进行节能设计，且应符合国家有关节能设计的要求。</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DE5A0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1573A">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EC100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2445C8D">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18D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A6785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08A592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8BD9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1DEE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应采取措施降低部分负荷、部分空间使用下的供暖、空调系统能耗，并应符合下列要求：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应区分房间的朝向细分供暖、空调区域，并应对系统进行分区控制；</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空调冷源的部分负荷性能系数（IPLV）、电冷源综合制冷性能系数（SCOP）应符合现行国家标准《公共建筑节能设计标准》GB50189的规定。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A0F2F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616FD">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CF4B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7C1BC35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9F922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BB6784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230DF5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F3B7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CB405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应根据建筑空间功能设置分区温度，合理降低室内过渡区空间的温度设定标准。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702BC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4BAFBC">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1753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72685BF8">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217E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00A601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915B94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71F85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500A4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主要功能房间的照明功率密度值不应高于现行国家标准《建筑照明设计标准》GB 50034规定的现行值；公共区域的照明系统应采用分区、定时、感应等节能控制；采光区域的照明控制应独立于其他区域的照明控制。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A616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B5A55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94B81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4A320BD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9D29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056054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F147C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EBF9C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DAFD4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冷热源、输配系统和照明等各部分能耗应进行独立分项计量。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332B2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0ACD35">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6F4EE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给排水、暖通、电气</w:t>
            </w:r>
          </w:p>
        </w:tc>
      </w:tr>
      <w:tr w14:paraId="6BFFFE3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FD2BE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78AB70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F9C6D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8291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BC32E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垂直电梯应采取群控、变频调速或能量反馈等节能措施；自动扶梯应采用变频感应启动等节能控制措施。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F913D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B162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0E3B2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w:t>
            </w:r>
          </w:p>
        </w:tc>
      </w:tr>
      <w:tr w14:paraId="016798C9">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C9577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52DE42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C955C5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36E3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A7DED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应制定水资源利用方案，统筹利用各种水资源，并应符合下列要求：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应按使用用途、付费或管理单元，分别设置用水计量装置；</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用水点处水压大于0.2MPa的配水支管应设置减压设施，并应满足给水配件最低工作压力的要求；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用水器具和设备应满足节水产品的要求。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CB40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341750">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6F219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4486D408">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5D1A1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4BE60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698A26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A7E5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EDA94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不应采用严重不规则的建筑结构。</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848C5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08ED9A">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8FFA6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6CACEA27">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105B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7C5B41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699E7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62B98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4286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建筑造型要素应简约，应无大量装饰性构件，并应符合下列要求：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住宅建筑的装饰性构件造价与建筑总造价的比例不应大于2%；</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公共建筑的装饰性构件造价与建筑总造价的比例不应大于1%。</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3E4E9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598445">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3412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5E2D335">
        <w:tblPrEx>
          <w:tblCellMar>
            <w:top w:w="0" w:type="dxa"/>
            <w:left w:w="0" w:type="dxa"/>
            <w:bottom w:w="0" w:type="dxa"/>
            <w:right w:w="0" w:type="dxa"/>
          </w:tblCellMar>
        </w:tblPrEx>
        <w:trPr>
          <w:trHeight w:val="11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FD0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E0531A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84E4D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EF56C1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7.1.10</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8403C7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选用的建筑材料应符合下列要求：</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1 500km以内生产的建筑材料重量占建筑材料总重量的比例应大于60%；</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现浇混凝土应采用预拌混凝土，建筑砂浆应采用预拌砂浆</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35B9A9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C4636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C37B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85799F3">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D5C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68B9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9C8CF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节地与土地利用</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99C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4580E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节约集约利用土地，评价总分值为20分，并按下列规则评分：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对于住宅建筑，根据其所在居住街坊人均住宅用地指标按表7.2.1-1的规则评分。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对于公共建筑，根据不同功能建筑的容积率按表7.2.1-2的规则评分。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6F35B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6CD4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561D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9F818BA">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B9CA2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8C3F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6A71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8940A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1606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合理开发利用地下空间，评价总分值为12分，根据地下空间开发利用指标，按表7.2.2的规则评分。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5BB87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C17D4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F0264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4B867785">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D9693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A748E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5074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16346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5DB1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采用机械式停车设施、地下停车库或地面停车楼等方式，评价总分值为8分，并按下列规则评分：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1住宅建筑地面停车位数量与住宅总套数的比率小于10%，得8分。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2公共建筑地面停车占地面积与其总建设用地面积的比率小于8%，得8分。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2E29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8C720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FF846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2502D9B0">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A413F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9DCA3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6436C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节能与能源利用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96C4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F5A92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优化建筑围护结构的热工性能，评价总分值为15分，并按下列规则评分：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1围护结构热工性能比国家现行相关建筑节能设计标准规定的提高幅度达到5%，得5分；达到10%，得10分；达到15%，得15分。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2建筑供暖空调负荷降低5%，得5分；降低10%，得10分；降低15%，得15分。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674A5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9B80C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A96E8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E931550">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5ECD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3B94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BEB1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B4F18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1BFE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供暖空调系统的冷、热源机组能效均优于现行国家标准《公共建筑节能设计标准》GB 50189的规定以及现行有关国家标准能效限定值的要求，评价总分值为10分，按表7.2.5的规则评分。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4BB2D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7FB1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811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4B3B1EE2">
        <w:tblPrEx>
          <w:tblCellMar>
            <w:top w:w="0" w:type="dxa"/>
            <w:left w:w="0" w:type="dxa"/>
            <w:bottom w:w="0" w:type="dxa"/>
            <w:right w:w="0" w:type="dxa"/>
          </w:tblCellMar>
        </w:tblPrEx>
        <w:trPr>
          <w:trHeight w:val="7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A58D6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2EA59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94B2A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97A8F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39A07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1通风空调系统风机的单位风量耗功率比现行国家标准《公共建筑节能设计标准》GB 50189 等的规定低20%，得2分；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E9B0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1E173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C566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701F5069">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C94C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8548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2805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6560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69FF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2集中供暖系统热水循环泵的耗电输热比、空调冷热水系统循环水泵的耗电输冷（热）比比现行国家标准《民用建筑供暖通风与空气调节设计规范》GB 50736 规定值低20%，得3分。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3F29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9F653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C1786">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BF6771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5CB9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35856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4B25A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F0F0E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55C6F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主要功能房间的照明功率密度值达到现行国家标准《建筑照明设计标准》GB 50034规定的目标值；</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F132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4D963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8321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电气、给排水、暖通</w:t>
            </w:r>
          </w:p>
        </w:tc>
      </w:tr>
      <w:tr w14:paraId="5BB6AAB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43AC4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353AF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241C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6FD7B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B3DC9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采光区域的人工照明随天然光照度变化自动调节；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21E3B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9EE6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AB8FC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481C17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C012E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A151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B5F1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BA1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4AB6A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照明产品、三相配电变压器、水泵、风机等设备满足国家现行有关标准的节能评价值的要求。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4EBAB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5E4E0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E4684B">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2DA8648">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E8B3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4905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206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0FA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96685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采取措施降低建筑供暖空调系统和照明系统的能耗，评价总分值为10分。建筑供暖空调和照明系统能耗相比国家现行有关建筑节能标准降低10%，得5分；降低20%，得10分。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D346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3F73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7CEE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暖通、电气</w:t>
            </w:r>
          </w:p>
        </w:tc>
      </w:tr>
      <w:tr w14:paraId="1EA8AE1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E61B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D81A2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700E2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AD8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A3848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结合当地气候和自然资源条件合理利用可再生能源，评价总分值为10分，按表7.2.9的规则评分。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1FC4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B5AE5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EF129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建筑、给排水、暖通、电气</w:t>
            </w:r>
          </w:p>
        </w:tc>
      </w:tr>
      <w:tr w14:paraId="086ADFD1">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B07E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DB5CE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87A2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节水与水资源利用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748B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1EBD5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使用较高用水效率等级的卫生器具，评价总分值为15分，并按下列规则评分：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全部卫生器具的用水效率等级达到2级，得8分。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50%以上卫生器具的用水效率等级达到1级且其他达到2级，得12分。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全部卫生器具的用水效率等级达到1级，得15分。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1ADF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8C630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0E7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185304F4">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190F3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69BD5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0D4C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40601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B22A5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绿化灌溉采用节水设备或技术，并按下列规则评分：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1）采用节水灌溉系统，得4分。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2）在采用节水灌溉系统的基础上，设置土壤湿度感应器、雨天自动关闭装置等节水控制措施，或种植无需永久灌溉植物，得6分。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028F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0198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34F2C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6166268F">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1C8C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AF4BD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FE16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4D13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FA751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空调冷却水系统采用节水设备或技术，并按下列规则评分：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1）循环冷却水系统采取设置水处理措施、加大集水盘、设置平衡管或平衡水箱等方式，避免冷却水泵停泵时冷却水溢出，得3分。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2）采用无蒸发耗水量的冷却技术，得6分。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6B760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B057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2D7EC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暖通</w:t>
            </w:r>
          </w:p>
        </w:tc>
      </w:tr>
      <w:tr w14:paraId="6F3994DD">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E21CA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732C2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1D86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84B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B9C48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结合雨水综合利用设施营造室外景观水体，室外景观水体利用雨水的补水量大于水体蒸发量的60%，且采用保障水体水质的生态水处理技术，评价总分值为8分，并按下列规则分别评分并累计：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对进入室外景观水体的雨水，利用生态设施削减径流污染，得4分；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利用水生动、植物保障室外景观水体水质，得4分。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6846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02572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771E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景观、给排水</w:t>
            </w:r>
          </w:p>
        </w:tc>
      </w:tr>
      <w:tr w14:paraId="0485BE9E">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0DC5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E1F1C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049E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F09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4D5B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绿化灌溉、车库及道路冲洗，洗车用水采用非传统水源的用水量占其总用水量的比例不低于60%，得5分；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6D7C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306CB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C6B11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w:t>
            </w:r>
          </w:p>
        </w:tc>
      </w:tr>
      <w:tr w14:paraId="689E79B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E6A7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776AD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4A8D8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2347B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82CD4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冲厕采用非传统水源的用水量占其总用水量的比例不低于40%，得5分；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0A54E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75A5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0269B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9229ACC">
        <w:tblPrEx>
          <w:tblCellMar>
            <w:top w:w="0" w:type="dxa"/>
            <w:left w:w="0" w:type="dxa"/>
            <w:bottom w:w="0" w:type="dxa"/>
            <w:right w:w="0" w:type="dxa"/>
          </w:tblCellMar>
        </w:tblPrEx>
        <w:trPr>
          <w:trHeight w:val="4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AFE1A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6FC54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F8B2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9717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43B60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冷却水补水采用非传统水源的用水量占其总用水量的比例不低于20%，得5分。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AB20C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157B4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694A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E37126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9957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D00F4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7A06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节材与绿色建材</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1D92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F3799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建筑所有区域实施土建工程与装修工程一体化设计及施工，评价分值为8分。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8B7A7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5989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1CD57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73EC8FD4">
        <w:tblPrEx>
          <w:tblCellMar>
            <w:top w:w="0" w:type="dxa"/>
            <w:left w:w="0" w:type="dxa"/>
            <w:bottom w:w="0" w:type="dxa"/>
            <w:right w:w="0" w:type="dxa"/>
          </w:tblCellMar>
        </w:tblPrEx>
        <w:trPr>
          <w:trHeight w:val="54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A964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F4AC0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7D71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836BB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C7332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合理选用建筑结构材料与构件，评价总分值为10分，并按下列规则评分：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混凝土结构，按下列规则分别评分并累计：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1）400MPa级及以上强度等级钢筋应用比例达到85%，得5分；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2）混凝土竖向承重结构采用强度等级不小于C50混凝土用量占竖向承重结构中混凝土总量的比例达到50%，得5分。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2钢结构，按下列规则分别评分并累计：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1）Q345及以上高强钢材用量占钢材总量的比例达到50%，得3分；达到70％，得4分；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2）螺栓连接等非现场焊接节点占现场全部连接、拼接节点的数量比例达到50%，得4分；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3）采用施工时免支撑的楼屋面板，得2分。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3混合结构：对其混凝土结构部分、钢结构部分，分别按本条第1款、第2款进行评价，得分取各项得分的平均值。</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022E7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BC85C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65369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762A954D">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56A8B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9308C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C4E9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3DBA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6D6C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建筑装修选用工业化内装部品，评价总分值为8分。建筑装修选用工业化内装部品占同类部品用量比例达到50%以上的部品种类，达到1种，得3分；达到3种，得5分；达到3种以上，得8分。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DA5AF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E1C62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B6DA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15F64459">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AEB1E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C637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0463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3579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530D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可再循环材料和可再利用材料用量比例，按下列规则评分：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1）住宅建筑达到6%或公共建筑达到10%，得3分。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2）住宅建筑达到10%或公共建筑达到15%，得6分。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EFD69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0920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1863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09454343">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8BA7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0525B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83CA5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F58F8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8FB218">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利废建材选用及其用量比例，按下列规则评分：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1）采用一种利废建材，其占同类建材的用量比例不低于50%，得3分。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2）选用二种及以上的利废建材，每一种占同类建材的用量比例均不低于30%，得6分。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FEF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70BA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61A22">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53DB758">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32265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4996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ADC76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C7A31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7.2.18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8A00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选用绿色建材，评价总分值为12分。绿色建材应用比例不低于30%，得4分；不低于50%，得8分；不低于70%，得12分。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B0950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2B91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94599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2062848">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AF7B5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61C9B2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nil"/>
              <w:right w:val="single" w:color="000000" w:sz="4" w:space="0"/>
            </w:tcBorders>
            <w:shd w:val="clear" w:color="auto" w:fill="auto"/>
            <w:tcMar>
              <w:top w:w="15" w:type="dxa"/>
              <w:left w:w="15" w:type="dxa"/>
              <w:right w:w="15" w:type="dxa"/>
            </w:tcMar>
            <w:vAlign w:val="center"/>
          </w:tcPr>
          <w:p w14:paraId="3279882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B6A121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F450434">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5BEFE8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B367CDF">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91</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140F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C82FD27">
        <w:tblPrEx>
          <w:tblCellMar>
            <w:top w:w="0" w:type="dxa"/>
            <w:left w:w="0" w:type="dxa"/>
            <w:bottom w:w="0" w:type="dxa"/>
            <w:right w:w="0" w:type="dxa"/>
          </w:tblCellMar>
        </w:tblPrEx>
        <w:trPr>
          <w:trHeight w:val="4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44493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 环境宜居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3B9B4D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65CAC7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507EA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17ECC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建筑规划布局应满足日照标准，且不得降低周边建筑的日照标准。</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E3E1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55204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C3543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3C4087A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3690F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0643EB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0C74E1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0BD77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55EDE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室外热环境应满足国家现行有关标准的要求。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93E86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4736BF">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BFEF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001839A4">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096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5C77E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13B077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9B600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BF3AD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配建的绿地应符合所在地城乡规划的要求，应合理选择绿化方式，植物种植应适应当地气候和土壤，且应无毒害、易维护，种植区域覆土深度和排水能力应满足植物生长需求，并应采用复层绿化方式。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2201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57967">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F51F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2956271E">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67F1F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AB968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5E0004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76F4F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A06D6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场地的竖向设计应有利于雨水的收集或排放，应有效组织雨水的下渗、滞蓄或再利用；对大于</w:t>
            </w:r>
            <w:r>
              <w:rPr>
                <w:rFonts w:hint="eastAsia" w:ascii="宋体" w:hAnsi="宋体" w:eastAsia="宋体" w:cs="宋体"/>
                <w:color w:val="000000" w:themeColor="text1"/>
                <w:kern w:val="0"/>
                <w:sz w:val="24"/>
                <w:szCs w:val="24"/>
                <w:highlight w:val="none"/>
                <w14:textFill>
                  <w14:solidFill>
                    <w14:schemeClr w14:val="tx1"/>
                  </w14:solidFill>
                </w14:textFill>
              </w:rPr>
              <w:t>10hm</w:t>
            </w:r>
            <w:r>
              <w:rPr>
                <w:rFonts w:hint="eastAsia" w:ascii="宋体" w:hAnsi="宋体" w:eastAsia="宋体" w:cs="宋体"/>
                <w:color w:val="000000" w:themeColor="text1"/>
                <w:kern w:val="0"/>
                <w:sz w:val="18"/>
                <w:szCs w:val="18"/>
                <w:highlight w:val="none"/>
                <w:vertAlign w:val="superscript"/>
                <w14:textFill>
                  <w14:solidFill>
                    <w14:schemeClr w14:val="tx1"/>
                  </w14:solidFill>
                </w14:textFill>
              </w:rPr>
              <w:t>2</w:t>
            </w:r>
            <w:r>
              <w:rPr>
                <w:rFonts w:hint="eastAsia" w:ascii="宋体" w:hAnsi="宋体" w:eastAsia="宋体" w:cs="宋体"/>
                <w:color w:val="000000" w:themeColor="text1"/>
                <w:kern w:val="0"/>
                <w:sz w:val="18"/>
                <w:szCs w:val="18"/>
                <w:highlight w:val="none"/>
                <w14:textFill>
                  <w14:solidFill>
                    <w14:schemeClr w14:val="tx1"/>
                  </w14:solidFill>
                </w14:textFill>
              </w:rPr>
              <w:t>的场地应进行雨水控制利用专项设计。</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9252A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798DA8">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3C60B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2B183F7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2761F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6E555A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713F89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342AD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C7B95">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建筑内外均应设置便于识别和使用的标识系统。</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FDD8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5AF00B">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B7AA9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B7508F6">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7A58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3A6EC9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5CF129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089AA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22895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场地内不应有排放超标的污染源。</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FB5B5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C1451">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D416A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50E4C74F">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E5A37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BBD5E8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AE142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EB79B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8.1.7</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4C9900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生活垃圾应分类收集，垃圾容器和收集点的设置应合理并应与周围景观协调。</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3A62AB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8C26D39">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5185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4C8074FE">
        <w:tblPrEx>
          <w:tblCellMar>
            <w:top w:w="0" w:type="dxa"/>
            <w:left w:w="0" w:type="dxa"/>
            <w:bottom w:w="0" w:type="dxa"/>
            <w:right w:w="0" w:type="dxa"/>
          </w:tblCellMar>
        </w:tblPrEx>
        <w:trPr>
          <w:trHeight w:val="14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BEF08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1E21D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04205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场地生态与景观</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5AC76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A1CEE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充分保护或修复场地生态环境，合理布局建筑及景观，评价总分值为10分，并按下列规则评分：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保护场地内原有的自然水域、湿地、植被等，保持场地内的生态系统与场地外生态系统的连贯性，得10分。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采取净地表层土回收利用等生态补偿措施，得10分。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 根据场地实际状况，采取其他生态恢复或补偿措施，得10分。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8A7A9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8E899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134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3475CAD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151A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CEB4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FA0CE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EEB1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DA90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规划场地地表和屋面雨水径流，对场地雨水实施外排总量控制，评价总分值为10分。场地年径流总量控制率达到55%，得5分；达到70%，得10分。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A129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D7E24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118DB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给排水、景观</w:t>
            </w:r>
          </w:p>
        </w:tc>
      </w:tr>
      <w:tr w14:paraId="70420A73">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F2960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719BA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6D0FB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196B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0724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住宅建筑按下列规则分别评分并累计：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1）绿地率达到规划指标105%及以上，得10分；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2）住宅建筑所在居住街坊内人均集中绿地面积满足，6分。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公建按下列规则分别评分并累计：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1）绿地率达到规划指标105%及以上，得10分；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2）绿地向公众开放，6分。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DE32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70B16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1980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w:t>
            </w:r>
          </w:p>
        </w:tc>
      </w:tr>
      <w:tr w14:paraId="67C4E411">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97C9A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0BAE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F0D9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A8C28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3C889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室外吸烟区布置在建筑主出入口的主导风的下风向，与所有建筑出入口、新风进气口和可开启窗扇的距离不少于8m，且距离儿童和老人活动场地不少于8m；</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51F6B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33BE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CDC9D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56E4E209">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6E4B6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4F5F1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104A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1C2C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EC759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室外吸烟区与绿植结合布置，并合理配置坐椅和带烟头收集的垃圾筒，从建筑主出入口至室外吸烟区的导向标识完整、定位标识醒目，吸烟区设置吸烟有害健康的警示标识。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73D0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9C167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16E1E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1DF151E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C056E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D38BE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AAF3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4DA7B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27BBF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下凹式绿地、雨水花园等有调蓄雨水功能的绿地和水体的面积之和占绿地面积的比例达到40%，得3分；达到60%，得5分；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63048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20E1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D3F1D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景观</w:t>
            </w:r>
          </w:p>
        </w:tc>
      </w:tr>
      <w:tr w14:paraId="30BD881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080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AFCB4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1655E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998F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9D2739">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衔接和引导不少于80%的屋面雨水进入地面生态设施；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F68F1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DC804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332273">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2F2B42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1BC7C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C182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84BF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181A5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B7C8B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衔接和引导不少于80%的道路雨水进入地面生态设施；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9AC12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1F93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F2CEC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49256B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627B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D7DF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B5CC8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73938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EFAF5B">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 硬质铺装地面中透水铺装面积的比例达到50%。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2725E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E6D63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B47251">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09179BD1">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1529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76B6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1231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室外物理环境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0D0CA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ABBCA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场地内的环境噪声优于现行国家标准《声环境质量标准》GB 3096的要求，评价总分值为10分，并按下列规则评分：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 环境噪声值大于2类声环境功能区标准限值，且小于等于3类声环境功能区标准限值，得5分。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 环境噪声值小于等于2类声环境功能区标准限值，得10分。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707BC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4859F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0B4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3A663C6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15B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B191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5D549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27C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EDE51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玻璃幕墙的可见光反射比及反射光对周边环境的影响符合《玻璃幕墙光学性能》GB/T 18091的规定；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7B0A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4C4AB">
            <w:pPr>
              <w:widowControl/>
              <w:jc w:val="center"/>
              <w:textAlignment w:val="center"/>
              <w:rPr>
                <w:rFonts w:hint="eastAsia" w:ascii="宋体" w:hAnsi="宋体" w:eastAsia="宋体" w:cs="宋体"/>
                <w:color w:val="000000" w:themeColor="text1"/>
                <w:sz w:val="20"/>
                <w:szCs w:val="20"/>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09B4B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建筑、景观</w:t>
            </w:r>
          </w:p>
        </w:tc>
      </w:tr>
      <w:tr w14:paraId="66871FD8">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27FB2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DC03A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505E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FEF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C346F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室外夜景照明光污染的限制符合现行国家标准《室外照明干扰光限制规范》GB/T 35626和现行行业标准《城市夜景照明设计规范》JGJ/T 163的规定。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5DF1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CBACF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7BAD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7E5E7B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DD909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00B2A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D229D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9C55B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91AFF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1）冬季典型风速条件下，建筑物周围人行区距地高1.5m处风速小于5m/s，户外休息区、儿童娱乐区风速小于2m/s，且室外风速放大系数小于2；</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195A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B46ED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C820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2268CC7E">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F6494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6598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AC8D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E8FE3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E1AF1">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2）冬季典型风速条件下，除迎风第一排建筑外，建筑迎风面与背风面表面风压差不大于5Pa。</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C4C8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144C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18E07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53A9926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79B04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6C579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69978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79F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3D42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3）过渡季、夏季典型风速和风向条件下，场地内人活动区不出现涡旋或无风区；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7EA7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EB957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D2AFA7">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AE4D663">
        <w:tblPrEx>
          <w:tblCellMar>
            <w:top w:w="0" w:type="dxa"/>
            <w:left w:w="0" w:type="dxa"/>
            <w:bottom w:w="0" w:type="dxa"/>
            <w:right w:w="0" w:type="dxa"/>
          </w:tblCellMar>
        </w:tblPrEx>
        <w:trPr>
          <w:trHeight w:val="4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615E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7A2E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B120A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3F85D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F09E2">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4）过渡季、夏季典型风速和风向条件下，50％以上可开启外窗室内外表面的风压差大于0.5Pa。</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B0F7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C7B47">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23E18">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31CAA94">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01929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61AA2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C9B1A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B1F7F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82887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 场地中处于建筑阴影区外的步道、游憩场、庭院、广场等室外活动场地设有乔木、花架等遮阴措施的面积比例，住宅建筑达到30%，公共建筑达到10％，得2分；住宅建筑达到50％，公共建筑达到20％，得3分；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B9F1F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4FF3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40342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规划、建筑、景观</w:t>
            </w:r>
          </w:p>
        </w:tc>
      </w:tr>
      <w:tr w14:paraId="4528FD6E">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C8F2B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1529F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85C8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342F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2C20E6">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 场地中处于建筑阴影区外的机动车道，路面太阳辐射反射系数不小于0.4或设有遮荫面积较大的行道树的路段长度超过70%；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F6C90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8A271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09B31C">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D915C3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F510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2390B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3B84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70BEE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577DB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 屋顶的绿化面积、太阳能板水平投影面积以及太阳辐射反射系数不小于0.4的屋面面积合计达到75%。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F270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A1FC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72BB8A">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63BAFE7B">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BCE4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76206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C63E1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8484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08A7ED">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1EFF6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39A148">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65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ED3945">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22413B6A">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C19C9D">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1E409">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62587">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A9A6A">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29D56">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AADB5B">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E4092">
            <w:pPr>
              <w:jc w:val="center"/>
              <w:rPr>
                <w:rFonts w:hint="eastAsia" w:ascii="宋体" w:hAnsi="宋体" w:eastAsia="宋体" w:cs="宋体"/>
                <w:color w:val="000000" w:themeColor="text1"/>
                <w:sz w:val="20"/>
                <w:szCs w:val="20"/>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00D75">
            <w:pPr>
              <w:jc w:val="center"/>
              <w:rPr>
                <w:rFonts w:hint="eastAsia" w:ascii="宋体" w:hAnsi="宋体" w:eastAsia="宋体" w:cs="宋体"/>
                <w:color w:val="000000" w:themeColor="text1"/>
                <w:sz w:val="20"/>
                <w:szCs w:val="20"/>
                <w:highlight w:val="none"/>
                <w14:textFill>
                  <w14:solidFill>
                    <w14:schemeClr w14:val="tx1"/>
                  </w14:solidFill>
                </w14:textFill>
              </w:rPr>
            </w:pPr>
          </w:p>
        </w:tc>
      </w:tr>
      <w:tr w14:paraId="4A66CA1F">
        <w:tblPrEx>
          <w:tblCellMar>
            <w:top w:w="0" w:type="dxa"/>
            <w:left w:w="0" w:type="dxa"/>
            <w:bottom w:w="0" w:type="dxa"/>
            <w:right w:w="0" w:type="dxa"/>
          </w:tblCellMar>
        </w:tblPrEx>
        <w:trPr>
          <w:trHeight w:val="48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91194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 提高创新</w:t>
            </w: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84062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一般规定</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ED9B1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641B7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7EC16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绿色建筑评价时，应按本章规定对提高与创新项进行评价。</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CF75F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CAEB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7683D">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757D84C1">
        <w:tblPrEx>
          <w:tblCellMar>
            <w:top w:w="0" w:type="dxa"/>
            <w:left w:w="0" w:type="dxa"/>
            <w:bottom w:w="0" w:type="dxa"/>
            <w:right w:w="0" w:type="dxa"/>
          </w:tblCellMar>
        </w:tblPrEx>
        <w:trPr>
          <w:trHeight w:val="7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64EF8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473B2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B5513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F8683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9.1.2</w:t>
            </w:r>
          </w:p>
        </w:tc>
        <w:tc>
          <w:tcPr>
            <w:tcW w:w="5766" w:type="dxa"/>
            <w:tcBorders>
              <w:top w:val="nil"/>
              <w:left w:val="nil"/>
              <w:bottom w:val="nil"/>
              <w:right w:val="nil"/>
            </w:tcBorders>
            <w:shd w:val="clear" w:color="auto" w:fill="auto"/>
            <w:tcMar>
              <w:top w:w="15" w:type="dxa"/>
              <w:left w:w="15" w:type="dxa"/>
              <w:right w:w="15" w:type="dxa"/>
            </w:tcMar>
            <w:vAlign w:val="center"/>
          </w:tcPr>
          <w:p w14:paraId="4CC3E924">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提高与创新项得分为加分项得分之和，当得分大于100分时，应取为100分。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D3E30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90198">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7F08B4">
            <w:pPr>
              <w:jc w:val="center"/>
              <w:rPr>
                <w:rFonts w:hint="eastAsia" w:ascii="宋体" w:hAnsi="宋体" w:eastAsia="宋体" w:cs="宋体"/>
                <w:color w:val="000000" w:themeColor="text1"/>
                <w:sz w:val="18"/>
                <w:szCs w:val="18"/>
                <w:highlight w:val="none"/>
                <w14:textFill>
                  <w14:solidFill>
                    <w14:schemeClr w14:val="tx1"/>
                  </w14:solidFill>
                </w14:textFill>
              </w:rPr>
            </w:pPr>
          </w:p>
        </w:tc>
      </w:tr>
      <w:tr w14:paraId="3F6987F1">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5AD61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D566C4">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加分项</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D4184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4935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657BD">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采取措施进一步降低建筑供暖空调系统的能耗，评价总分值为30分。建筑供暖空调系统能耗相比国家现行有关建筑节能标准降低40%，得10分；每再降低10%，再得5分，最高得30分。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E0B84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30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0AC56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44B89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建筑、暖通</w:t>
            </w:r>
          </w:p>
        </w:tc>
      </w:tr>
      <w:tr w14:paraId="3242D03A">
        <w:tblPrEx>
          <w:tblCellMar>
            <w:top w:w="0" w:type="dxa"/>
            <w:left w:w="0" w:type="dxa"/>
            <w:bottom w:w="0" w:type="dxa"/>
            <w:right w:w="0" w:type="dxa"/>
          </w:tblCellMar>
        </w:tblPrEx>
        <w:trPr>
          <w:trHeight w:val="7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90F3E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AC0F6">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F96C7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C3F06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EB201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采用适宜地区特色的建筑风貌设计，因地制宜传承地域建筑文化，评价分值为20分。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3C2AA5">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CA64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3BD5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26639800">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3B07F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ACEF0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5B0C7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A86D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42D90">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合理选用废弃场地进行建设，或充分利用尚可使用的旧建筑，评价分值为8分。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24DB6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0111F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1C43D9">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建筑</w:t>
            </w:r>
          </w:p>
        </w:tc>
      </w:tr>
      <w:tr w14:paraId="6C28068A">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CB0C5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660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617A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86AE0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DF64A">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场地绿容率不低于3.0，评价总分值为5分，并按下列规则评分：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1场地绿容率计算值不低于3.0，得3分。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2场地绿容率实测值不低于3.0，得5分。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6E48E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EEB6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D979F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规划、景观</w:t>
            </w:r>
          </w:p>
        </w:tc>
      </w:tr>
      <w:tr w14:paraId="4FB642D0">
        <w:tblPrEx>
          <w:tblCellMar>
            <w:top w:w="0" w:type="dxa"/>
            <w:left w:w="0" w:type="dxa"/>
            <w:bottom w:w="0" w:type="dxa"/>
            <w:right w:w="0" w:type="dxa"/>
          </w:tblCellMar>
        </w:tblPrEx>
        <w:trPr>
          <w:trHeight w:val="216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FBCD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4D6E3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AC8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3F208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0A22F">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采用符合工业化建造要求的结构体系与建筑构件，评价分值为10分，并按下列规则评分：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1主体结构采用钢结构、木结构，得10分。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2主体结构采用装配式混凝土结构，地上部分预制构件应用混凝土体积占混凝土总体积的比例达到35%，得5分；达到50%，得10分。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EA9A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2A680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E6862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结构</w:t>
            </w:r>
          </w:p>
        </w:tc>
      </w:tr>
      <w:tr w14:paraId="5E3828B8">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2E16E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327B7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B8016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B104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4C6CA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应用建筑信息模型（BIM）技术，评价总分值为15分。在建筑的规划设计、施工建造和运行维护阶段中的一个阶段应用，得5分；两个阶段应用，得10分；三个阶段应用，得15分。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11BF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CB59CE">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103B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1AFB9738">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EFF40">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2FD0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812FDB">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15E79D">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6319AC">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进行建筑碳排放计算分析，采取措施降低单位建筑面积碳排放强度，评价分值为12分。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DCB8B1">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A65D01">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4ACF32">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7D37FDA7">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501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8D9D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9CBAC">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752A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1AFAAE">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按照绿色施工的要求进行施工和管理，评价总分值为20分，并按下列规则分别评分并累计：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1获得绿色施工优良等级或绿色施工示范工程认定，得8分；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2采取措施减少预拌混凝土损耗，损耗率降低至1.0%，得4分；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3采取措施减少现场加工钢筋损耗，损耗率降低至1.5%，得4分；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4现浇混凝土构件采用铝模等免墙面粉刷的模板体系，得4分。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FC486">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2FDF5">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5591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施工</w:t>
            </w:r>
          </w:p>
        </w:tc>
      </w:tr>
      <w:tr w14:paraId="28291C7D">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0AED3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3C74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430BCA">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282BDC">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276AD7">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采用建设工程质量潜在缺陷保险产品，评价总分值为20分，并按下列规则分别评分并累计：</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1保险承保范围包括地基基础工程、主体结构工程、屋面防水工程和其他土建工程的质量问题，得10分；</w:t>
            </w:r>
            <w:r>
              <w:rPr>
                <w:rFonts w:hint="eastAsia" w:ascii="宋体" w:hAnsi="宋体" w:eastAsia="宋体" w:cs="宋体"/>
                <w:color w:val="000000" w:themeColor="text1"/>
                <w:kern w:val="0"/>
                <w:sz w:val="18"/>
                <w:szCs w:val="18"/>
                <w:highlight w:val="none"/>
                <w14:textFill>
                  <w14:solidFill>
                    <w14:schemeClr w14:val="tx1"/>
                  </w14:solidFill>
                </w14:textFill>
              </w:rPr>
              <w:br w:type="textWrapping"/>
            </w:r>
            <w:r>
              <w:rPr>
                <w:rFonts w:hint="eastAsia" w:ascii="宋体" w:hAnsi="宋体" w:eastAsia="宋体" w:cs="宋体"/>
                <w:color w:val="000000" w:themeColor="text1"/>
                <w:kern w:val="0"/>
                <w:sz w:val="18"/>
                <w:szCs w:val="18"/>
                <w:highlight w:val="none"/>
                <w14:textFill>
                  <w14:solidFill>
                    <w14:schemeClr w14:val="tx1"/>
                  </w14:solidFill>
                </w14:textFill>
              </w:rPr>
              <w:t>2保险承保范围包括装修工程、电气管线、上下水管线的安装工程，供热、供冷系统工程的质量问题，得10分。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3AA4BA">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CE5F9E">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7078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施工</w:t>
            </w:r>
          </w:p>
        </w:tc>
      </w:tr>
      <w:tr w14:paraId="42ECC406">
        <w:tblPrEx>
          <w:tblCellMar>
            <w:top w:w="0" w:type="dxa"/>
            <w:left w:w="0" w:type="dxa"/>
            <w:bottom w:w="0" w:type="dxa"/>
            <w:right w:w="0" w:type="dxa"/>
          </w:tblCellMar>
        </w:tblPrEx>
        <w:trPr>
          <w:trHeight w:val="12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36BBB4">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BCF7D">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E3EC37">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E9D2EB">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9.2.10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D7283">
            <w:pPr>
              <w:widowControl/>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采取节约资源、保护生态环境、保障安全健康、智慧友好运行、传承历史文化等其他创新，并有明显效益，评价总分值为40分。每采取一项，得10分，最高得40分。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2EF038">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40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26C02">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B67680">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全专业</w:t>
            </w:r>
          </w:p>
        </w:tc>
      </w:tr>
      <w:tr w14:paraId="5198ED2E">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8E483">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D33043">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EF366F">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80DB9">
            <w:pPr>
              <w:jc w:val="center"/>
              <w:rPr>
                <w:rFonts w:hint="eastAsia" w:ascii="宋体" w:hAnsi="宋体" w:eastAsia="宋体" w:cs="宋体"/>
                <w:color w:val="000000" w:themeColor="text1"/>
                <w:sz w:val="18"/>
                <w:szCs w:val="18"/>
                <w:highlight w:val="none"/>
                <w14:textFill>
                  <w14:solidFill>
                    <w14:schemeClr w14:val="tx1"/>
                  </w14:solidFill>
                </w14:textFill>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036465">
            <w:pPr>
              <w:rPr>
                <w:rFonts w:hint="eastAsia" w:ascii="宋体" w:hAnsi="宋体" w:eastAsia="宋体" w:cs="宋体"/>
                <w:color w:val="000000" w:themeColor="text1"/>
                <w:sz w:val="18"/>
                <w:szCs w:val="18"/>
                <w:highlight w:val="none"/>
                <w14:textFill>
                  <w14:solidFill>
                    <w14:schemeClr w14:val="tx1"/>
                  </w14:solidFill>
                </w14:textFill>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F6FFF">
            <w:pPr>
              <w:widowControl/>
              <w:jc w:val="center"/>
              <w:textAlignment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E88CD6">
            <w:pPr>
              <w:jc w:val="center"/>
              <w:rPr>
                <w:rFonts w:hint="eastAsia" w:ascii="宋体" w:hAnsi="宋体" w:eastAsia="宋体" w:cs="宋体"/>
                <w:color w:val="000000" w:themeColor="text1"/>
                <w:sz w:val="18"/>
                <w:szCs w:val="18"/>
                <w:highlight w:val="none"/>
                <w14:textFill>
                  <w14:solidFill>
                    <w14:schemeClr w14:val="tx1"/>
                  </w14:solidFill>
                </w14:textFill>
              </w:rPr>
            </w:pPr>
            <w:r>
              <w:rPr>
                <w:rFonts w:hint="eastAsia" w:ascii="宋体" w:hAnsi="宋体" w:eastAsia="宋体" w:cs="宋体"/>
                <w:color w:val="000000" w:themeColor="text1"/>
                <w:kern w:val="0"/>
                <w:sz w:val="18"/>
                <w:szCs w:val="18"/>
                <w:highlight w:val="none"/>
                <w14:textFill>
                  <w14:solidFill>
                    <w14:schemeClr w14:val="tx1"/>
                  </w14:solidFill>
                </w14:textFill>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6FC9AD">
            <w:pPr>
              <w:rPr>
                <w:rFonts w:hint="eastAsia" w:ascii="宋体" w:hAnsi="宋体" w:eastAsia="宋体" w:cs="宋体"/>
                <w:color w:val="000000" w:themeColor="text1"/>
                <w:sz w:val="18"/>
                <w:szCs w:val="18"/>
                <w:highlight w:val="none"/>
                <w14:textFill>
                  <w14:solidFill>
                    <w14:schemeClr w14:val="tx1"/>
                  </w14:solidFill>
                </w14:textFill>
              </w:rPr>
            </w:pPr>
          </w:p>
        </w:tc>
      </w:tr>
    </w:tbl>
    <w:p w14:paraId="72CFD6F3">
      <w:pPr>
        <w:rPr>
          <w:rFonts w:hint="eastAsia" w:ascii="宋体" w:hAnsi="宋体" w:eastAsia="宋体" w:cs="宋体"/>
          <w:color w:val="000000" w:themeColor="text1"/>
          <w:highlight w:val="none"/>
          <w14:textFill>
            <w14:solidFill>
              <w14:schemeClr w14:val="tx1"/>
            </w14:solidFill>
          </w14:textFill>
        </w:rPr>
      </w:pPr>
    </w:p>
    <w:p w14:paraId="2A760EEE">
      <w:pPr>
        <w:rPr>
          <w:rFonts w:hint="eastAsia" w:ascii="宋体" w:hAnsi="宋体" w:eastAsia="宋体" w:cs="宋体"/>
          <w:color w:val="000000" w:themeColor="text1"/>
          <w:highlight w:val="none"/>
          <w14:textFill>
            <w14:solidFill>
              <w14:schemeClr w14:val="tx1"/>
            </w14:solidFill>
          </w14:textFill>
        </w:rPr>
      </w:pPr>
    </w:p>
    <w:p w14:paraId="5EA6E38D">
      <w:pPr>
        <w:pStyle w:val="2"/>
        <w:keepNext w:val="0"/>
        <w:keepLines w:val="0"/>
        <w:numPr>
          <w:ilvl w:val="0"/>
          <w:numId w:val="15"/>
        </w:numPr>
        <w:snapToGrid/>
        <w:spacing w:line="360" w:lineRule="auto"/>
        <w:jc w:val="center"/>
        <w:rPr>
          <w:rFonts w:hint="eastAsia" w:ascii="宋体" w:hAnsi="宋体" w:eastAsia="宋体" w:cs="宋体"/>
          <w:color w:val="000000" w:themeColor="text1"/>
          <w:highlight w:val="none"/>
          <w14:textFill>
            <w14:solidFill>
              <w14:schemeClr w14:val="tx1"/>
            </w14:solidFill>
          </w14:textFill>
        </w:rPr>
        <w:sectPr>
          <w:pgSz w:w="16838" w:h="11906" w:orient="landscape"/>
          <w:pgMar w:top="1803" w:right="1440" w:bottom="1803" w:left="1440" w:header="851" w:footer="992" w:gutter="0"/>
          <w:pgBorders>
            <w:top w:val="none" w:sz="0" w:space="0"/>
            <w:left w:val="none" w:sz="0" w:space="0"/>
            <w:bottom w:val="none" w:sz="0" w:space="0"/>
            <w:right w:val="none" w:sz="0" w:space="0"/>
          </w:pgBorders>
          <w:cols w:space="0" w:num="1"/>
          <w:docGrid w:type="lines" w:linePitch="319" w:charSpace="0"/>
        </w:sectPr>
      </w:pPr>
    </w:p>
    <w:p w14:paraId="1F7CD77A">
      <w:pPr>
        <w:pStyle w:val="5"/>
        <w:keepNext w:val="0"/>
        <w:keepLines w:val="0"/>
        <w:snapToGrid/>
        <w:spacing w:before="120"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432" w:name="_Toc104581767"/>
      <w:bookmarkStart w:id="433" w:name="_Toc15443"/>
      <w:bookmarkStart w:id="434" w:name="_Toc7776"/>
      <w:bookmarkStart w:id="435" w:name="_Toc24723"/>
      <w:bookmarkStart w:id="436" w:name="_Toc15209"/>
      <w:r>
        <w:rPr>
          <w:rFonts w:hint="eastAsia" w:ascii="宋体" w:hAnsi="宋体" w:eastAsia="宋体" w:cs="宋体"/>
          <w:color w:val="000000" w:themeColor="text1"/>
          <w:sz w:val="24"/>
          <w:szCs w:val="24"/>
          <w:highlight w:val="none"/>
          <w14:textFill>
            <w14:solidFill>
              <w14:schemeClr w14:val="tx1"/>
            </w14:solidFill>
          </w14:textFill>
        </w:rPr>
        <w:t>9.海绵城市设计</w:t>
      </w:r>
      <w:bookmarkEnd w:id="432"/>
      <w:bookmarkEnd w:id="433"/>
      <w:bookmarkEnd w:id="434"/>
      <w:bookmarkEnd w:id="435"/>
      <w:bookmarkEnd w:id="436"/>
    </w:p>
    <w:p w14:paraId="13631CA5">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37" w:name="_Toc104581768"/>
      <w:bookmarkStart w:id="438" w:name="_Toc26018"/>
      <w:bookmarkStart w:id="439" w:name="_Toc10422"/>
      <w:bookmarkStart w:id="440" w:name="_Toc24951"/>
      <w:r>
        <w:rPr>
          <w:rFonts w:hint="eastAsia" w:ascii="宋体" w:hAnsi="宋体" w:eastAsia="宋体" w:cs="宋体"/>
          <w:color w:val="000000" w:themeColor="text1"/>
          <w:sz w:val="24"/>
          <w:szCs w:val="24"/>
          <w:highlight w:val="none"/>
          <w14:textFill>
            <w14:solidFill>
              <w14:schemeClr w14:val="tx1"/>
            </w14:solidFill>
          </w14:textFill>
        </w:rPr>
        <w:t>9.1 总则</w:t>
      </w:r>
      <w:bookmarkEnd w:id="437"/>
      <w:bookmarkEnd w:id="438"/>
      <w:bookmarkEnd w:id="439"/>
      <w:bookmarkEnd w:id="440"/>
    </w:p>
    <w:p w14:paraId="5C4E97B1">
      <w:pPr>
        <w:pStyle w:val="85"/>
        <w:spacing w:before="0" w:beforeAutospacing="0" w:after="0" w:afterAutospacing="0" w:line="360" w:lineRule="auto"/>
        <w:ind w:left="0" w:firstLine="480" w:firstLineChars="20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9.1.1 在限额设计的基础上保障海绵城市专项设计满足广州市海绵城市建设要求。使设计满足安全、卫生、适用、经济等性能要求。</w:t>
      </w:r>
    </w:p>
    <w:p w14:paraId="4E1E5284">
      <w:pPr>
        <w:pStyle w:val="85"/>
        <w:spacing w:before="0" w:beforeAutospacing="0" w:after="0" w:afterAutospacing="0" w:line="360" w:lineRule="auto"/>
        <w:ind w:left="442" w:leftChars="201" w:firstLine="14" w:firstLineChars="6"/>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9.1.2 制定各控制指标项，实现安置区设计的标准化。</w:t>
      </w:r>
    </w:p>
    <w:p w14:paraId="7C507D66">
      <w:pPr>
        <w:pStyle w:val="90"/>
        <w:ind w:firstLine="480" w:firstLineChars="200"/>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9.1.3 主要设计规范</w:t>
      </w:r>
    </w:p>
    <w:p w14:paraId="36E79E07">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9.1.3.1 《广州市建设项目雨水径流控制办法》（广州市人民政府令第107号2019年11月修订版）</w:t>
      </w:r>
    </w:p>
    <w:p w14:paraId="6EA642A4">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9.1.3.2 《广州市海绵城市规划设计导则——低影响开发系统构建》（试行）2017.11</w:t>
      </w:r>
    </w:p>
    <w:p w14:paraId="7B576E15">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9.1.3.3 《广州市海绵城市专项规划（2016～2030）》</w:t>
      </w:r>
    </w:p>
    <w:p w14:paraId="64271A08">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9.1.3.4《广州市建设项目海绵城市建设管控指标分类指引（试行）》（穗水河湖【2020】7号）</w:t>
      </w:r>
    </w:p>
    <w:p w14:paraId="4B1E8F3B">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9.1.3.5 《广州市海绵城市建设专篇编制要点》（2021年5月1日执行）</w:t>
      </w:r>
    </w:p>
    <w:p w14:paraId="6E699A9B">
      <w:pPr>
        <w:pStyle w:val="63"/>
        <w:snapToGrid/>
        <w:spacing w:before="0" w:after="0" w:line="360" w:lineRule="auto"/>
        <w:ind w:left="440" w:leftChars="200" w:firstLine="0" w:firstLineChars="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9.1.3.6 《广州市海绵城市建设实施方案（2021-2025年）》</w:t>
      </w:r>
    </w:p>
    <w:p w14:paraId="645D13C8">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41" w:name="_Toc16242"/>
      <w:bookmarkStart w:id="442" w:name="_Toc104581769"/>
      <w:bookmarkStart w:id="443" w:name="_Toc22714"/>
      <w:bookmarkStart w:id="444" w:name="_Toc2736"/>
      <w:r>
        <w:rPr>
          <w:rFonts w:hint="eastAsia" w:ascii="宋体" w:hAnsi="宋体" w:eastAsia="宋体" w:cs="宋体"/>
          <w:color w:val="000000" w:themeColor="text1"/>
          <w:sz w:val="24"/>
          <w:szCs w:val="24"/>
          <w:highlight w:val="none"/>
          <w14:textFill>
            <w14:solidFill>
              <w14:schemeClr w14:val="tx1"/>
            </w14:solidFill>
          </w14:textFill>
        </w:rPr>
        <w:t>9.2 关键指标</w:t>
      </w:r>
      <w:bookmarkEnd w:id="441"/>
      <w:bookmarkEnd w:id="442"/>
      <w:bookmarkEnd w:id="443"/>
      <w:bookmarkEnd w:id="444"/>
    </w:p>
    <w:p w14:paraId="61CCDA03">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9.2.1 总体控制指标详下表：</w:t>
      </w:r>
    </w:p>
    <w:tbl>
      <w:tblPr>
        <w:tblStyle w:val="42"/>
        <w:tblW w:w="8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698"/>
        <w:gridCol w:w="1977"/>
        <w:gridCol w:w="1353"/>
        <w:gridCol w:w="2652"/>
      </w:tblGrid>
      <w:tr w14:paraId="4BB11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0AD496AF">
            <w:pPr>
              <w:pStyle w:val="80"/>
              <w:adjustRightInd w:val="0"/>
              <w:snapToGrid w:val="0"/>
              <w:spacing w:line="360" w:lineRule="auto"/>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编号</w:t>
            </w:r>
          </w:p>
        </w:tc>
        <w:tc>
          <w:tcPr>
            <w:tcW w:w="1698" w:type="dxa"/>
            <w:vAlign w:val="center"/>
          </w:tcPr>
          <w:p w14:paraId="18A57924">
            <w:pPr>
              <w:pStyle w:val="80"/>
              <w:adjustRightInd w:val="0"/>
              <w:snapToGrid w:val="0"/>
              <w:spacing w:line="360" w:lineRule="auto"/>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指标</w:t>
            </w:r>
          </w:p>
        </w:tc>
        <w:tc>
          <w:tcPr>
            <w:tcW w:w="1977" w:type="dxa"/>
            <w:vAlign w:val="center"/>
          </w:tcPr>
          <w:p w14:paraId="1F250B15">
            <w:pPr>
              <w:pStyle w:val="80"/>
              <w:adjustRightInd w:val="0"/>
              <w:snapToGrid w:val="0"/>
              <w:spacing w:line="360" w:lineRule="auto"/>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控制值</w:t>
            </w:r>
          </w:p>
        </w:tc>
        <w:tc>
          <w:tcPr>
            <w:tcW w:w="1353" w:type="dxa"/>
            <w:vAlign w:val="center"/>
          </w:tcPr>
          <w:p w14:paraId="6B26F686">
            <w:pPr>
              <w:pStyle w:val="80"/>
              <w:adjustRightInd w:val="0"/>
              <w:snapToGrid w:val="0"/>
              <w:spacing w:line="360" w:lineRule="auto"/>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类型</w:t>
            </w:r>
          </w:p>
        </w:tc>
        <w:tc>
          <w:tcPr>
            <w:tcW w:w="2652" w:type="dxa"/>
            <w:vAlign w:val="center"/>
          </w:tcPr>
          <w:p w14:paraId="50CC60F9">
            <w:pPr>
              <w:pStyle w:val="80"/>
              <w:adjustRightInd w:val="0"/>
              <w:snapToGrid w:val="0"/>
              <w:spacing w:line="360" w:lineRule="auto"/>
              <w:ind w:firstLine="0" w:firstLineChars="0"/>
              <w:jc w:val="center"/>
              <w:rPr>
                <w:rFonts w:hint="eastAsia" w:ascii="宋体" w:hAnsi="宋体" w:cs="宋体"/>
                <w:b/>
                <w:bCs/>
                <w:color w:val="000000" w:themeColor="text1"/>
                <w:highlight w:val="none"/>
                <w14:textFill>
                  <w14:solidFill>
                    <w14:schemeClr w14:val="tx1"/>
                  </w14:solidFill>
                </w14:textFill>
              </w:rPr>
            </w:pPr>
            <w:r>
              <w:rPr>
                <w:rFonts w:hint="eastAsia" w:ascii="宋体" w:hAnsi="宋体" w:cs="宋体"/>
                <w:b/>
                <w:bCs/>
                <w:color w:val="000000" w:themeColor="text1"/>
                <w:highlight w:val="none"/>
                <w14:textFill>
                  <w14:solidFill>
                    <w14:schemeClr w14:val="tx1"/>
                  </w14:solidFill>
                </w14:textFill>
              </w:rPr>
              <w:t>备注</w:t>
            </w:r>
          </w:p>
        </w:tc>
      </w:tr>
      <w:tr w14:paraId="2186E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640CBE73">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w:t>
            </w:r>
          </w:p>
        </w:tc>
        <w:tc>
          <w:tcPr>
            <w:tcW w:w="1698" w:type="dxa"/>
            <w:vAlign w:val="center"/>
          </w:tcPr>
          <w:p w14:paraId="57F3298D">
            <w:pPr>
              <w:pStyle w:val="80"/>
              <w:adjustRightInd w:val="0"/>
              <w:snapToGrid w:val="0"/>
              <w:spacing w:line="360" w:lineRule="auto"/>
              <w:ind w:firstLine="0" w:firstLineChars="0"/>
              <w:jc w:val="left"/>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lang w:val="zh-CN"/>
                <w14:textFill>
                  <w14:solidFill>
                    <w14:schemeClr w14:val="tx1"/>
                  </w14:solidFill>
                </w14:textFill>
              </w:rPr>
              <w:t>年径流总量控制率</w:t>
            </w:r>
          </w:p>
        </w:tc>
        <w:tc>
          <w:tcPr>
            <w:tcW w:w="1977" w:type="dxa"/>
            <w:vAlign w:val="center"/>
          </w:tcPr>
          <w:p w14:paraId="268DF604">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按规划中管控单元取值</w:t>
            </w:r>
          </w:p>
        </w:tc>
        <w:tc>
          <w:tcPr>
            <w:tcW w:w="1353" w:type="dxa"/>
            <w:vAlign w:val="center"/>
          </w:tcPr>
          <w:p w14:paraId="2F23D198">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强制性指标</w:t>
            </w:r>
          </w:p>
        </w:tc>
        <w:tc>
          <w:tcPr>
            <w:tcW w:w="2652" w:type="dxa"/>
            <w:vAlign w:val="center"/>
          </w:tcPr>
          <w:p w14:paraId="0C2C7B67">
            <w:pPr>
              <w:pStyle w:val="80"/>
              <w:adjustRightInd w:val="0"/>
              <w:snapToGrid w:val="0"/>
              <w:spacing w:line="360" w:lineRule="auto"/>
              <w:ind w:firstLine="0" w:firstLineChars="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实际控制率以不超过规划指标2%为宜，控制工程量。</w:t>
            </w:r>
          </w:p>
        </w:tc>
      </w:tr>
      <w:tr w14:paraId="623C1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4F652AE0">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2</w:t>
            </w:r>
          </w:p>
        </w:tc>
        <w:tc>
          <w:tcPr>
            <w:tcW w:w="1698" w:type="dxa"/>
            <w:vAlign w:val="center"/>
          </w:tcPr>
          <w:p w14:paraId="772AB767">
            <w:pPr>
              <w:pStyle w:val="80"/>
              <w:adjustRightInd w:val="0"/>
              <w:snapToGrid w:val="0"/>
              <w:spacing w:line="360" w:lineRule="auto"/>
              <w:ind w:firstLine="0" w:firstLineChars="0"/>
              <w:jc w:val="left"/>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年径流污染削减率</w:t>
            </w:r>
          </w:p>
        </w:tc>
        <w:tc>
          <w:tcPr>
            <w:tcW w:w="1977" w:type="dxa"/>
            <w:vAlign w:val="center"/>
          </w:tcPr>
          <w:p w14:paraId="3CCAD711">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按规划中管控单元取值</w:t>
            </w:r>
          </w:p>
        </w:tc>
        <w:tc>
          <w:tcPr>
            <w:tcW w:w="1353" w:type="dxa"/>
            <w:vAlign w:val="center"/>
          </w:tcPr>
          <w:p w14:paraId="4CA96956">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强制性指标</w:t>
            </w:r>
          </w:p>
        </w:tc>
        <w:tc>
          <w:tcPr>
            <w:tcW w:w="2652" w:type="dxa"/>
            <w:vAlign w:val="center"/>
          </w:tcPr>
          <w:p w14:paraId="1A3AF0FF">
            <w:pPr>
              <w:pStyle w:val="80"/>
              <w:adjustRightInd w:val="0"/>
              <w:snapToGrid w:val="0"/>
              <w:spacing w:line="360" w:lineRule="auto"/>
              <w:ind w:firstLine="0" w:firstLineChars="0"/>
              <w:rPr>
                <w:rFonts w:hint="eastAsia" w:ascii="宋体" w:hAnsi="宋体" w:cs="宋体"/>
                <w:color w:val="000000" w:themeColor="text1"/>
                <w:highlight w:val="none"/>
                <w14:textFill>
                  <w14:solidFill>
                    <w14:schemeClr w14:val="tx1"/>
                  </w14:solidFill>
                </w14:textFill>
              </w:rPr>
            </w:pPr>
          </w:p>
        </w:tc>
      </w:tr>
      <w:tr w14:paraId="6D389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3660E09B">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3</w:t>
            </w:r>
          </w:p>
        </w:tc>
        <w:tc>
          <w:tcPr>
            <w:tcW w:w="1698" w:type="dxa"/>
            <w:vAlign w:val="center"/>
          </w:tcPr>
          <w:p w14:paraId="3D95665C">
            <w:pPr>
              <w:pStyle w:val="80"/>
              <w:adjustRightInd w:val="0"/>
              <w:snapToGrid w:val="0"/>
              <w:spacing w:line="360" w:lineRule="auto"/>
              <w:ind w:firstLine="0" w:firstLineChars="0"/>
              <w:jc w:val="left"/>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室外可渗透地面率</w:t>
            </w:r>
          </w:p>
        </w:tc>
        <w:tc>
          <w:tcPr>
            <w:tcW w:w="1977" w:type="dxa"/>
            <w:vAlign w:val="center"/>
          </w:tcPr>
          <w:p w14:paraId="2784BF46">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40%</w:t>
            </w:r>
          </w:p>
        </w:tc>
        <w:tc>
          <w:tcPr>
            <w:tcW w:w="1353" w:type="dxa"/>
            <w:vAlign w:val="center"/>
          </w:tcPr>
          <w:p w14:paraId="2AAAB0D4">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强制性指标</w:t>
            </w:r>
          </w:p>
        </w:tc>
        <w:tc>
          <w:tcPr>
            <w:tcW w:w="2652" w:type="dxa"/>
            <w:vAlign w:val="center"/>
          </w:tcPr>
          <w:p w14:paraId="714E8B08">
            <w:pPr>
              <w:pStyle w:val="80"/>
              <w:adjustRightInd w:val="0"/>
              <w:snapToGrid w:val="0"/>
              <w:spacing w:line="360" w:lineRule="auto"/>
              <w:ind w:firstLine="0" w:firstLineChars="0"/>
              <w:rPr>
                <w:rFonts w:hint="eastAsia" w:ascii="宋体" w:hAnsi="宋体" w:cs="宋体"/>
                <w:color w:val="000000" w:themeColor="text1"/>
                <w:highlight w:val="none"/>
                <w14:textFill>
                  <w14:solidFill>
                    <w14:schemeClr w14:val="tx1"/>
                  </w14:solidFill>
                </w14:textFill>
              </w:rPr>
            </w:pPr>
          </w:p>
        </w:tc>
      </w:tr>
      <w:tr w14:paraId="3EDF2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30584D7A">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4</w:t>
            </w:r>
          </w:p>
        </w:tc>
        <w:tc>
          <w:tcPr>
            <w:tcW w:w="1698" w:type="dxa"/>
            <w:vAlign w:val="center"/>
          </w:tcPr>
          <w:p w14:paraId="46A1037B">
            <w:pPr>
              <w:pStyle w:val="80"/>
              <w:adjustRightInd w:val="0"/>
              <w:snapToGrid w:val="0"/>
              <w:spacing w:line="360" w:lineRule="auto"/>
              <w:ind w:firstLine="0" w:firstLineChars="0"/>
              <w:jc w:val="left"/>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透水铺装率</w:t>
            </w:r>
          </w:p>
        </w:tc>
        <w:tc>
          <w:tcPr>
            <w:tcW w:w="1977" w:type="dxa"/>
            <w:vAlign w:val="center"/>
          </w:tcPr>
          <w:p w14:paraId="2A0F6E6F">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70%</w:t>
            </w:r>
          </w:p>
        </w:tc>
        <w:tc>
          <w:tcPr>
            <w:tcW w:w="1353" w:type="dxa"/>
            <w:vAlign w:val="center"/>
          </w:tcPr>
          <w:p w14:paraId="2D0C6F9E">
            <w:pPr>
              <w:pStyle w:val="80"/>
              <w:adjustRightInd w:val="0"/>
              <w:snapToGrid w:val="0"/>
              <w:spacing w:line="360" w:lineRule="auto"/>
              <w:ind w:firstLine="0" w:firstLineChars="0"/>
              <w:jc w:val="center"/>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强制性指标</w:t>
            </w:r>
          </w:p>
        </w:tc>
        <w:tc>
          <w:tcPr>
            <w:tcW w:w="2652" w:type="dxa"/>
            <w:vAlign w:val="center"/>
          </w:tcPr>
          <w:p w14:paraId="5122CB53">
            <w:pPr>
              <w:pStyle w:val="80"/>
              <w:adjustRightInd w:val="0"/>
              <w:snapToGrid w:val="0"/>
              <w:spacing w:line="360" w:lineRule="auto"/>
              <w:ind w:firstLine="0" w:firstLineChars="0"/>
              <w:rPr>
                <w:rFonts w:hint="eastAsia" w:ascii="宋体" w:hAnsi="宋体" w:cs="宋体"/>
                <w:color w:val="000000" w:themeColor="text1"/>
                <w:highlight w:val="none"/>
                <w14:textFill>
                  <w14:solidFill>
                    <w14:schemeClr w14:val="tx1"/>
                  </w14:solidFill>
                </w14:textFill>
              </w:rPr>
            </w:pPr>
          </w:p>
        </w:tc>
      </w:tr>
      <w:tr w14:paraId="524FC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316" w:type="dxa"/>
            <w:gridSpan w:val="5"/>
            <w:vAlign w:val="center"/>
          </w:tcPr>
          <w:p w14:paraId="11179F88">
            <w:pPr>
              <w:pStyle w:val="80"/>
              <w:adjustRightInd w:val="0"/>
              <w:snapToGrid w:val="0"/>
              <w:spacing w:line="360" w:lineRule="auto"/>
              <w:ind w:firstLine="0" w:firstLineChars="0"/>
              <w:rPr>
                <w:rFonts w:hint="eastAsia"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注：广州新建项目1万平方米以上的项目，每万平米硬化面积应当配建不少于500立方米的雨水调蓄设施</w:t>
            </w:r>
          </w:p>
        </w:tc>
      </w:tr>
    </w:tbl>
    <w:p w14:paraId="5AAF9B11">
      <w:pPr>
        <w:spacing w:line="360" w:lineRule="auto"/>
        <w:rPr>
          <w:rFonts w:hint="eastAsia" w:ascii="宋体" w:hAnsi="宋体" w:eastAsia="宋体" w:cs="宋体"/>
          <w:b/>
          <w:color w:val="000000" w:themeColor="text1"/>
          <w:sz w:val="24"/>
          <w:szCs w:val="24"/>
          <w:highlight w:val="none"/>
          <w14:textFill>
            <w14:solidFill>
              <w14:schemeClr w14:val="tx1"/>
            </w14:solidFill>
          </w14:textFill>
        </w:rPr>
      </w:pPr>
    </w:p>
    <w:p w14:paraId="1DDCC91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9.2.2 《广州市建设项目海绵城市建设管控指标分类指引》（穗水河湖【2020】7号）中的透水铺装率指标为鼓励项，建议将该指标修改为以规划条件为准，如规划条件为鼓励项可按鼓励项执行。</w:t>
      </w:r>
    </w:p>
    <w:p w14:paraId="3A1B8977">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45" w:name="_Toc19469"/>
      <w:r>
        <w:rPr>
          <w:rFonts w:hint="eastAsia" w:ascii="宋体" w:hAnsi="宋体" w:eastAsia="宋体" w:cs="宋体"/>
          <w:color w:val="000000" w:themeColor="text1"/>
          <w:sz w:val="24"/>
          <w:szCs w:val="24"/>
          <w:highlight w:val="none"/>
          <w14:textFill>
            <w14:solidFill>
              <w14:schemeClr w14:val="tx1"/>
            </w14:solidFill>
          </w14:textFill>
        </w:rPr>
        <w:t>9.3 通用指标</w:t>
      </w:r>
      <w:bookmarkEnd w:id="445"/>
    </w:p>
    <w:p w14:paraId="4D757BB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海绵城市措施设计选择时，应结合景观设计要求采用下凹绿地、雨水花园、透水铺装、绿色屋面等绿色生态形式，尽量减少雨水调蓄池等设施规模。主要措施推荐做法如下：</w:t>
      </w:r>
    </w:p>
    <w:p w14:paraId="2F17DB0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9.3.1 下沉式绿地：下凹绿地标高按照比周边地坪低0.20m控制，调蓄深度按照0.15m设计。下沉式绿地内设置溢流口，超过蓄存容量的雨水通过溢流口进入到场地的雨水管网中。</w:t>
      </w:r>
    </w:p>
    <w:p w14:paraId="413A29DB">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9.3.2 雨水花园：雨水花园标高按照比周边地坪低0.30m控制，调蓄深度按照0.25m设计。花园内设置溢流口，超过蓄存容量的雨水通过溢流口进入到场地的雨水管网中。</w:t>
      </w:r>
    </w:p>
    <w:p w14:paraId="6F6484A2">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9.3.3 透水铺装：要景观园路及活动广场材料选用透水砖为主，主园路采用透水砖与透水沥青相结合的设计方式。景观地面停车位饰面为植草砖材料。</w:t>
      </w:r>
    </w:p>
    <w:p w14:paraId="7E411F0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9.3.4 雨水调蓄池：雨水调蓄池的形式有调蓄池结合地下室设置、室外现浇调蓄池、室外成品PPP模块调蓄池或钢筋混凝土成品罐。根据项目实际情况选择相应形式的调蓄池。</w:t>
      </w:r>
    </w:p>
    <w:p w14:paraId="23504A34">
      <w:pPr>
        <w:widowControl/>
        <w:spacing w:line="360" w:lineRule="auto"/>
        <w:rPr>
          <w:rFonts w:hint="eastAsia" w:ascii="宋体" w:hAnsi="宋体" w:eastAsia="宋体" w:cs="宋体"/>
          <w:b/>
          <w:color w:val="000000" w:themeColor="text1"/>
          <w:sz w:val="24"/>
          <w:szCs w:val="24"/>
          <w:highlight w:val="none"/>
          <w14:textFill>
            <w14:solidFill>
              <w14:schemeClr w14:val="tx1"/>
            </w14:solidFill>
          </w14:textFill>
        </w:rPr>
      </w:pPr>
      <w:r>
        <w:rPr>
          <w:rFonts w:hint="eastAsia" w:ascii="宋体" w:hAnsi="宋体" w:eastAsia="宋体" w:cs="宋体"/>
          <w:b/>
          <w:color w:val="000000" w:themeColor="text1"/>
          <w:sz w:val="24"/>
          <w:szCs w:val="24"/>
          <w:highlight w:val="none"/>
          <w14:textFill>
            <w14:solidFill>
              <w14:schemeClr w14:val="tx1"/>
            </w14:solidFill>
          </w14:textFill>
        </w:rPr>
        <w:br w:type="page"/>
      </w:r>
    </w:p>
    <w:p w14:paraId="5A3B6DB4">
      <w:pPr>
        <w:pStyle w:val="5"/>
        <w:keepNext w:val="0"/>
        <w:keepLines w:val="0"/>
        <w:numPr>
          <w:ilvl w:val="0"/>
          <w:numId w:val="16"/>
        </w:numPr>
        <w:snapToGrid/>
        <w:spacing w:before="120"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446" w:name="_Toc19795"/>
      <w:bookmarkStart w:id="447" w:name="_Toc22194"/>
      <w:bookmarkStart w:id="448" w:name="_Toc104581770"/>
      <w:bookmarkStart w:id="449" w:name="_Toc30418"/>
      <w:bookmarkStart w:id="450" w:name="_Toc5752"/>
      <w:r>
        <w:rPr>
          <w:rFonts w:hint="eastAsia" w:ascii="宋体" w:hAnsi="宋体" w:eastAsia="宋体" w:cs="宋体"/>
          <w:color w:val="000000" w:themeColor="text1"/>
          <w:sz w:val="24"/>
          <w:szCs w:val="24"/>
          <w:highlight w:val="none"/>
          <w14:textFill>
            <w14:solidFill>
              <w14:schemeClr w14:val="tx1"/>
            </w14:solidFill>
          </w14:textFill>
        </w:rPr>
        <w:t>基坑支护设计</w:t>
      </w:r>
      <w:bookmarkEnd w:id="446"/>
      <w:bookmarkEnd w:id="447"/>
      <w:bookmarkEnd w:id="448"/>
      <w:bookmarkEnd w:id="449"/>
      <w:bookmarkEnd w:id="450"/>
      <w:bookmarkStart w:id="451" w:name="_Toc31000"/>
      <w:bookmarkStart w:id="452" w:name="_Toc29425"/>
      <w:bookmarkStart w:id="453" w:name="_Toc104581771"/>
      <w:bookmarkStart w:id="454" w:name="_Toc3374"/>
    </w:p>
    <w:p w14:paraId="34EC70CD">
      <w:pPr>
        <w:pStyle w:val="6"/>
        <w:keepNext w:val="0"/>
        <w:keepLines w:val="0"/>
        <w:numPr>
          <w:ilvl w:val="1"/>
          <w:numId w:val="17"/>
        </w:numPr>
        <w:snapToGrid/>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一般规定</w:t>
      </w:r>
    </w:p>
    <w:p w14:paraId="6DB03D37">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1、在基坑设计前应到现场进行基坑周边的环境调查踏勘工作，以获取相关的资料作为设计的依据。环境调查的主要内容：基坑开挖影响范围内的建（构）筑物、道路、地下管线、施工场地布置、载重车辆行走路线等。 </w:t>
      </w:r>
    </w:p>
    <w:p w14:paraId="1D295188">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2、在基坑设计前应获得本工程的岩土工程勘察报告、地形图、管线图、红线图、建筑物规划总平面图、稳定的基础和地下室结构设计图等地下室相关图纸作为设计依据。 </w:t>
      </w:r>
    </w:p>
    <w:p w14:paraId="55298D45">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3、支护结构作为永久结构的一部分时应按相应的永久结构规范满足耐久性要求。 </w:t>
      </w:r>
    </w:p>
    <w:p w14:paraId="361D791E">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4、支护结构平面布置应满足地下室边墙外界尺寸要求，且支护结构受力变形、施工误差等，均在规范允许的范围内，不影响地下室的正常施工。 </w:t>
      </w:r>
    </w:p>
    <w:p w14:paraId="23BC40B4">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5、深度应满足地下室净空要求，应计入基坑开挖计算深度的地下室底板和基础承台下垫层或者软土换填厚度；注意电梯井、消防水池、集水井等坑中坑影响情况。 </w:t>
      </w:r>
    </w:p>
    <w:p w14:paraId="080AF3D7">
      <w:pPr>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6、对基坑开挖边线处于地铁 50m控制保护范围内的需报送广州市地铁设施保护办公室进行审查，不在控制保护范围内的需到广州市地铁设施保护办公室出具该项目不在地铁控制保护区的核查意见。 </w:t>
      </w:r>
    </w:p>
    <w:p w14:paraId="2739264B">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7、凡开挖深度大于等于 7m或地质条件较复杂（如开挖深度范围内软弱土层厚度大于等于 4m）的基坑工程以及采用锚杆（含预应力锚索）、土钉墙或采用人工挖孔桩支护的基坑工程，其基坑支护工程设计文件必须经专项审查。</w:t>
      </w:r>
    </w:p>
    <w:p w14:paraId="567EE502">
      <w:pPr>
        <w:pStyle w:val="6"/>
        <w:keepNext w:val="0"/>
        <w:keepLines w:val="0"/>
        <w:numPr>
          <w:ilvl w:val="1"/>
          <w:numId w:val="17"/>
        </w:numPr>
        <w:snapToGrid/>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设计原则</w:t>
      </w:r>
      <w:bookmarkEnd w:id="451"/>
    </w:p>
    <w:p w14:paraId="5D246ECB">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了解基坑周边的工程地质条件、地下水条件、岩土工程特征及周围环境(道路、管线、建筑物等)；</w:t>
      </w:r>
    </w:p>
    <w:p w14:paraId="59BB3F41">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设计方案确保支护结构的安全，保证基坑周围道路及已施工和使用的建（构）筑物的安全和正常使用要求；</w:t>
      </w:r>
    </w:p>
    <w:p w14:paraId="7F7694D3">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支护方案在安全的前提下，经济、合理，满足国家建设工程的有关法规和规范要求；</w:t>
      </w:r>
    </w:p>
    <w:p w14:paraId="0338584B">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设计考虑施工期间度过雨季和台风季节，其对基坑稳定性的不利影响；</w:t>
      </w:r>
    </w:p>
    <w:p w14:paraId="239FEF9E">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基坑支护结构能保证主体工程顺利方便施工，且不对主体结构施工造成较大影响；</w:t>
      </w:r>
    </w:p>
    <w:p w14:paraId="49B846FC">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基坑支护结构有利于土方外运。</w:t>
      </w:r>
    </w:p>
    <w:p w14:paraId="3D880012">
      <w:pPr>
        <w:pStyle w:val="6"/>
        <w:keepNext w:val="0"/>
        <w:keepLines w:val="0"/>
        <w:numPr>
          <w:ilvl w:val="1"/>
          <w:numId w:val="17"/>
        </w:numPr>
        <w:snapToGrid/>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455" w:name="_Toc28410"/>
      <w:r>
        <w:rPr>
          <w:rFonts w:hint="eastAsia" w:ascii="宋体" w:hAnsi="宋体" w:eastAsia="宋体" w:cs="宋体"/>
          <w:color w:val="000000" w:themeColor="text1"/>
          <w:sz w:val="24"/>
          <w:szCs w:val="24"/>
          <w:highlight w:val="none"/>
          <w14:textFill>
            <w14:solidFill>
              <w14:schemeClr w14:val="tx1"/>
            </w14:solidFill>
          </w14:textFill>
        </w:rPr>
        <w:t>设计依据</w:t>
      </w:r>
      <w:bookmarkEnd w:id="455"/>
    </w:p>
    <w:p w14:paraId="25779A2B">
      <w:pPr>
        <w:pStyle w:val="7"/>
        <w:numPr>
          <w:ilvl w:val="2"/>
          <w:numId w:val="17"/>
        </w:numPr>
        <w:ind w:left="0" w:firstLine="480" w:firstLineChars="200"/>
        <w:jc w:val="left"/>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基坑支护设计将按照以下,但不限于国家颁布的各种相关的法律、法规以及指导性文件作为设计依据：</w:t>
      </w:r>
    </w:p>
    <w:p w14:paraId="78621F1C">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《建筑基坑支护技术规程》（JGJ120-2012）；</w:t>
      </w:r>
    </w:p>
    <w:p w14:paraId="67507DEA">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《建筑基坑支护工程技术规程》（DBJ/T 15-20-2016）；</w:t>
      </w:r>
    </w:p>
    <w:p w14:paraId="15FB66E2">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《建筑地基基础设计规范》（GB50007-2011）；</w:t>
      </w:r>
    </w:p>
    <w:p w14:paraId="68A69CA7">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《建筑地基处理技术规范》（JGJ 79-2012）；</w:t>
      </w:r>
    </w:p>
    <w:p w14:paraId="5AD4A77B">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《锚杆喷射混凝土支护技术规范》（GB 50086—2015）；</w:t>
      </w:r>
    </w:p>
    <w:p w14:paraId="2B29FA58">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《土钉支护技术规范》（GJB 5055-2006）；</w:t>
      </w:r>
    </w:p>
    <w:p w14:paraId="0475C196">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《钢结构设计规范》（GB50017-2017）；</w:t>
      </w:r>
    </w:p>
    <w:p w14:paraId="34905323">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《钢结构通用规范》GB55006-2021</w:t>
      </w:r>
    </w:p>
    <w:p w14:paraId="1FD22FAC">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《建筑基坑工程监测技术规范》（GB50497-2019）；</w:t>
      </w:r>
    </w:p>
    <w:p w14:paraId="5D7B97AC">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《岩土工程勘察规范》（GB50021－2001）(2009年版)；</w:t>
      </w:r>
    </w:p>
    <w:p w14:paraId="6976988B">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《混凝土结构设计标准》（GB50010-2010）（2024年版）</w:t>
      </w:r>
    </w:p>
    <w:p w14:paraId="05C6FE64">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《建筑与市政地基基础通用规范》 (GB55003-2021)</w:t>
      </w:r>
    </w:p>
    <w:p w14:paraId="3E19F967">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《建筑桩基技术规范》（JGJ94-2008）</w:t>
      </w:r>
    </w:p>
    <w:p w14:paraId="0581AB4E">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《混凝土结构通用规范》 (GB 55008-2021)</w:t>
      </w:r>
    </w:p>
    <w:p w14:paraId="5A957C5E">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《广东省建筑地基基础设计规范》 (DBJ 15-31-2016)</w:t>
      </w:r>
    </w:p>
    <w:p w14:paraId="33D1025C">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其它有关国家及地方的现行规程，规范及标准；</w:t>
      </w:r>
    </w:p>
    <w:p w14:paraId="74543F96">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各专业提供的设计资料。</w:t>
      </w:r>
    </w:p>
    <w:p w14:paraId="5F185839">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发包人提供的项目初步设计（扩初）资料：</w:t>
      </w:r>
    </w:p>
    <w:p w14:paraId="43FD70ED">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本工程项目《岩土工程勘察报告》、《管线物探报告》、总平面图、基坑开挖图、室外综合管线图等。</w:t>
      </w:r>
    </w:p>
    <w:p w14:paraId="6CE2155A">
      <w:pPr>
        <w:pStyle w:val="6"/>
        <w:keepNext w:val="0"/>
        <w:keepLines w:val="0"/>
        <w:numPr>
          <w:ilvl w:val="1"/>
          <w:numId w:val="17"/>
        </w:numPr>
        <w:snapToGrid/>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456" w:name="_Toc21221"/>
      <w:r>
        <w:rPr>
          <w:rFonts w:hint="eastAsia" w:ascii="宋体" w:hAnsi="宋体" w:eastAsia="宋体" w:cs="宋体"/>
          <w:color w:val="000000" w:themeColor="text1"/>
          <w:sz w:val="24"/>
          <w:szCs w:val="24"/>
          <w:highlight w:val="none"/>
          <w14:textFill>
            <w14:solidFill>
              <w14:schemeClr w14:val="tx1"/>
            </w14:solidFill>
          </w14:textFill>
        </w:rPr>
        <w:t>关键指标</w:t>
      </w:r>
      <w:bookmarkEnd w:id="452"/>
      <w:bookmarkEnd w:id="453"/>
      <w:bookmarkEnd w:id="454"/>
      <w:bookmarkEnd w:id="456"/>
    </w:p>
    <w:p w14:paraId="385A150F">
      <w:pPr>
        <w:spacing w:line="360" w:lineRule="auto"/>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 xml:space="preserve"> 基坑支护选型</w:t>
      </w:r>
    </w:p>
    <w:tbl>
      <w:tblPr>
        <w:tblStyle w:val="42"/>
        <w:tblW w:w="9587" w:type="dxa"/>
        <w:jc w:val="center"/>
        <w:tblLayout w:type="fixed"/>
        <w:tblCellMar>
          <w:top w:w="0" w:type="dxa"/>
          <w:left w:w="108" w:type="dxa"/>
          <w:bottom w:w="0" w:type="dxa"/>
          <w:right w:w="108" w:type="dxa"/>
        </w:tblCellMar>
      </w:tblPr>
      <w:tblGrid>
        <w:gridCol w:w="918"/>
        <w:gridCol w:w="1478"/>
        <w:gridCol w:w="3223"/>
        <w:gridCol w:w="2290"/>
        <w:gridCol w:w="1678"/>
      </w:tblGrid>
      <w:tr w14:paraId="7369A680">
        <w:tblPrEx>
          <w:tblCellMar>
            <w:top w:w="0" w:type="dxa"/>
            <w:left w:w="108" w:type="dxa"/>
            <w:bottom w:w="0" w:type="dxa"/>
            <w:right w:w="108" w:type="dxa"/>
          </w:tblCellMar>
        </w:tblPrEx>
        <w:trPr>
          <w:trHeight w:val="454" w:hRule="atLeast"/>
          <w:jc w:val="center"/>
        </w:trPr>
        <w:tc>
          <w:tcPr>
            <w:tcW w:w="918" w:type="dxa"/>
            <w:tcBorders>
              <w:top w:val="single" w:color="auto" w:sz="4" w:space="0"/>
              <w:left w:val="single" w:color="auto" w:sz="4" w:space="0"/>
              <w:bottom w:val="single" w:color="auto" w:sz="4" w:space="0"/>
              <w:right w:val="single" w:color="auto" w:sz="4" w:space="0"/>
              <w:tl2br w:val="single" w:color="auto" w:sz="4" w:space="0"/>
            </w:tcBorders>
            <w:vAlign w:val="center"/>
          </w:tcPr>
          <w:p w14:paraId="72E6A18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p w14:paraId="14D0E53C">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2CF6F30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支护形式</w:t>
            </w:r>
          </w:p>
        </w:tc>
        <w:tc>
          <w:tcPr>
            <w:tcW w:w="3223" w:type="dxa"/>
            <w:tcBorders>
              <w:top w:val="single" w:color="auto" w:sz="4" w:space="0"/>
              <w:left w:val="single" w:color="auto" w:sz="4" w:space="0"/>
              <w:bottom w:val="single" w:color="auto" w:sz="4" w:space="0"/>
              <w:right w:val="single" w:color="auto" w:sz="4" w:space="0"/>
            </w:tcBorders>
            <w:vAlign w:val="center"/>
          </w:tcPr>
          <w:p w14:paraId="18D74C2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适用条件</w:t>
            </w:r>
          </w:p>
        </w:tc>
        <w:tc>
          <w:tcPr>
            <w:tcW w:w="2290" w:type="dxa"/>
            <w:tcBorders>
              <w:top w:val="single" w:color="auto" w:sz="4" w:space="0"/>
              <w:left w:val="single" w:color="auto" w:sz="4" w:space="0"/>
              <w:bottom w:val="single" w:color="auto" w:sz="4" w:space="0"/>
              <w:right w:val="single" w:color="auto" w:sz="4" w:space="0"/>
            </w:tcBorders>
            <w:vAlign w:val="center"/>
          </w:tcPr>
          <w:p w14:paraId="16908B59">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止水帷幕</w:t>
            </w:r>
          </w:p>
        </w:tc>
        <w:tc>
          <w:tcPr>
            <w:tcW w:w="1678" w:type="dxa"/>
            <w:tcBorders>
              <w:top w:val="single" w:color="auto" w:sz="4" w:space="0"/>
              <w:left w:val="single" w:color="auto" w:sz="4" w:space="0"/>
              <w:bottom w:val="single" w:color="auto" w:sz="4" w:space="0"/>
              <w:right w:val="single" w:color="auto" w:sz="4" w:space="0"/>
            </w:tcBorders>
            <w:vAlign w:val="center"/>
          </w:tcPr>
          <w:p w14:paraId="423E846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备注</w:t>
            </w:r>
          </w:p>
        </w:tc>
      </w:tr>
      <w:tr w14:paraId="6F280659">
        <w:tblPrEx>
          <w:tblCellMar>
            <w:top w:w="0" w:type="dxa"/>
            <w:left w:w="108" w:type="dxa"/>
            <w:bottom w:w="0" w:type="dxa"/>
            <w:right w:w="108" w:type="dxa"/>
          </w:tblCellMar>
        </w:tblPrEx>
        <w:trPr>
          <w:trHeight w:val="454" w:hRule="atLeast"/>
          <w:jc w:val="center"/>
        </w:trPr>
        <w:tc>
          <w:tcPr>
            <w:tcW w:w="918" w:type="dxa"/>
            <w:vMerge w:val="restart"/>
            <w:tcBorders>
              <w:top w:val="single" w:color="auto" w:sz="4" w:space="0"/>
              <w:left w:val="single" w:color="auto" w:sz="4" w:space="0"/>
              <w:bottom w:val="single" w:color="auto" w:sz="4" w:space="0"/>
              <w:right w:val="single" w:color="auto" w:sz="4" w:space="0"/>
            </w:tcBorders>
            <w:vAlign w:val="center"/>
          </w:tcPr>
          <w:p w14:paraId="372562D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一层地下室</w:t>
            </w:r>
          </w:p>
        </w:tc>
        <w:tc>
          <w:tcPr>
            <w:tcW w:w="1478" w:type="dxa"/>
            <w:tcBorders>
              <w:top w:val="single" w:color="auto" w:sz="4" w:space="0"/>
              <w:left w:val="single" w:color="auto" w:sz="4" w:space="0"/>
              <w:bottom w:val="single" w:color="auto" w:sz="4" w:space="0"/>
              <w:right w:val="single" w:color="auto" w:sz="4" w:space="0"/>
            </w:tcBorders>
            <w:vAlign w:val="center"/>
          </w:tcPr>
          <w:p w14:paraId="304E23D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放坡支护</w:t>
            </w:r>
          </w:p>
        </w:tc>
        <w:tc>
          <w:tcPr>
            <w:tcW w:w="3223" w:type="dxa"/>
            <w:tcBorders>
              <w:top w:val="single" w:color="auto" w:sz="4" w:space="0"/>
              <w:left w:val="single" w:color="auto" w:sz="4" w:space="0"/>
              <w:bottom w:val="single" w:color="auto" w:sz="4" w:space="0"/>
              <w:right w:val="single" w:color="auto" w:sz="4" w:space="0"/>
            </w:tcBorders>
            <w:vAlign w:val="center"/>
          </w:tcPr>
          <w:p w14:paraId="40C165A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周边环境较为开阔、场地地质条件较好、基坑开挖深度较浅、变形要求不高的基坑</w:t>
            </w:r>
          </w:p>
        </w:tc>
        <w:tc>
          <w:tcPr>
            <w:tcW w:w="2290" w:type="dxa"/>
            <w:vMerge w:val="restart"/>
            <w:tcBorders>
              <w:top w:val="single" w:color="auto" w:sz="4" w:space="0"/>
              <w:left w:val="single" w:color="auto" w:sz="4" w:space="0"/>
              <w:bottom w:val="single" w:color="auto" w:sz="4" w:space="0"/>
              <w:right w:val="single" w:color="auto" w:sz="4" w:space="0"/>
            </w:tcBorders>
            <w:vAlign w:val="center"/>
          </w:tcPr>
          <w:p w14:paraId="566608F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可采用落底式或悬挂式止水帷幕，止水帷幕采用优选单轴搅拌桩，根据各地块各分区地质情况确定</w:t>
            </w:r>
          </w:p>
        </w:tc>
        <w:tc>
          <w:tcPr>
            <w:tcW w:w="1678" w:type="dxa"/>
            <w:vMerge w:val="restart"/>
            <w:tcBorders>
              <w:top w:val="single" w:color="auto" w:sz="4" w:space="0"/>
              <w:left w:val="single" w:color="auto" w:sz="4" w:space="0"/>
              <w:bottom w:val="single" w:color="auto" w:sz="4" w:space="0"/>
              <w:right w:val="single" w:color="auto" w:sz="4" w:space="0"/>
            </w:tcBorders>
            <w:vAlign w:val="center"/>
          </w:tcPr>
          <w:p w14:paraId="2371EBC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（1）地质资料揭露基坑开挖及坑底以下5m范围内无强透水层时，且临近基坑周边无建构筑物、市政管网，可考虑降水开挖（主要为集水明排，取消止水帷幕）</w:t>
            </w:r>
          </w:p>
          <w:p w14:paraId="646E1BA9">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（2）当不具备大直径搅拌桩施工条件时，可考虑采用三轴搅拌桩</w:t>
            </w:r>
          </w:p>
        </w:tc>
      </w:tr>
      <w:tr w14:paraId="50B5E687">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6D886A02">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2557BB4D">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土钉墙及复合土钉墙</w:t>
            </w:r>
          </w:p>
        </w:tc>
        <w:tc>
          <w:tcPr>
            <w:tcW w:w="3223" w:type="dxa"/>
            <w:tcBorders>
              <w:top w:val="single" w:color="auto" w:sz="4" w:space="0"/>
              <w:left w:val="single" w:color="auto" w:sz="4" w:space="0"/>
              <w:bottom w:val="single" w:color="auto" w:sz="4" w:space="0"/>
              <w:right w:val="single" w:color="auto" w:sz="4" w:space="0"/>
            </w:tcBorders>
            <w:vAlign w:val="center"/>
          </w:tcPr>
          <w:p w14:paraId="31B93418">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场地周边用地条件较为紧张的区域，无法满足放坡要求</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29103C42">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6EE48B0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2316EF8A">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6D59AD5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245CF7AB">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悬臂式排桩</w:t>
            </w:r>
          </w:p>
        </w:tc>
        <w:tc>
          <w:tcPr>
            <w:tcW w:w="3223" w:type="dxa"/>
            <w:tcBorders>
              <w:top w:val="single" w:color="auto" w:sz="4" w:space="0"/>
              <w:left w:val="single" w:color="auto" w:sz="4" w:space="0"/>
              <w:bottom w:val="single" w:color="auto" w:sz="4" w:space="0"/>
              <w:right w:val="single" w:color="auto" w:sz="4" w:space="0"/>
            </w:tcBorders>
            <w:vAlign w:val="center"/>
          </w:tcPr>
          <w:p w14:paraId="1D96332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场地周边用地条件较为紧张、不具备施工锚索（锚杆）条件</w:t>
            </w:r>
          </w:p>
        </w:tc>
        <w:tc>
          <w:tcPr>
            <w:tcW w:w="2290" w:type="dxa"/>
            <w:tcBorders>
              <w:top w:val="single" w:color="auto" w:sz="4" w:space="0"/>
              <w:left w:val="single" w:color="auto" w:sz="4" w:space="0"/>
              <w:bottom w:val="single" w:color="auto" w:sz="4" w:space="0"/>
              <w:right w:val="single" w:color="auto" w:sz="4" w:space="0"/>
            </w:tcBorders>
            <w:vAlign w:val="center"/>
          </w:tcPr>
          <w:p w14:paraId="2635962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搅拌桩止水</w:t>
            </w: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70CDD2A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385F1575">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41F054AE">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3BED5EFE">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工法桩+锚杆/内支撑</w:t>
            </w:r>
          </w:p>
        </w:tc>
        <w:tc>
          <w:tcPr>
            <w:tcW w:w="3223" w:type="dxa"/>
            <w:tcBorders>
              <w:top w:val="single" w:color="auto" w:sz="4" w:space="0"/>
              <w:left w:val="single" w:color="auto" w:sz="4" w:space="0"/>
              <w:bottom w:val="single" w:color="auto" w:sz="4" w:space="0"/>
              <w:right w:val="single" w:color="auto" w:sz="4" w:space="0"/>
            </w:tcBorders>
            <w:vAlign w:val="center"/>
          </w:tcPr>
          <w:p w14:paraId="1C62109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场地周边用地条件较为紧张、周边环境对变形要求较高的基坑</w:t>
            </w:r>
          </w:p>
        </w:tc>
        <w:tc>
          <w:tcPr>
            <w:tcW w:w="2290" w:type="dxa"/>
            <w:tcBorders>
              <w:top w:val="single" w:color="auto" w:sz="4" w:space="0"/>
              <w:left w:val="single" w:color="auto" w:sz="4" w:space="0"/>
              <w:bottom w:val="single" w:color="auto" w:sz="4" w:space="0"/>
              <w:right w:val="single" w:color="auto" w:sz="4" w:space="0"/>
            </w:tcBorders>
            <w:vAlign w:val="center"/>
          </w:tcPr>
          <w:p w14:paraId="7922396E">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搅拌桩兼做止水帷幕</w:t>
            </w: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310217FD">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51CED5CA">
        <w:tblPrEx>
          <w:tblCellMar>
            <w:top w:w="0" w:type="dxa"/>
            <w:left w:w="108" w:type="dxa"/>
            <w:bottom w:w="0" w:type="dxa"/>
            <w:right w:w="108" w:type="dxa"/>
          </w:tblCellMar>
        </w:tblPrEx>
        <w:trPr>
          <w:trHeight w:val="454" w:hRule="atLeast"/>
          <w:jc w:val="center"/>
        </w:trPr>
        <w:tc>
          <w:tcPr>
            <w:tcW w:w="918" w:type="dxa"/>
            <w:vMerge w:val="restart"/>
            <w:tcBorders>
              <w:top w:val="single" w:color="auto" w:sz="4" w:space="0"/>
              <w:left w:val="single" w:color="auto" w:sz="4" w:space="0"/>
              <w:bottom w:val="single" w:color="auto" w:sz="4" w:space="0"/>
              <w:right w:val="single" w:color="auto" w:sz="4" w:space="0"/>
            </w:tcBorders>
            <w:vAlign w:val="center"/>
          </w:tcPr>
          <w:p w14:paraId="32C70D76">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两层地下室</w:t>
            </w:r>
          </w:p>
        </w:tc>
        <w:tc>
          <w:tcPr>
            <w:tcW w:w="1478" w:type="dxa"/>
            <w:tcBorders>
              <w:top w:val="single" w:color="auto" w:sz="4" w:space="0"/>
              <w:left w:val="single" w:color="auto" w:sz="4" w:space="0"/>
              <w:bottom w:val="single" w:color="auto" w:sz="4" w:space="0"/>
              <w:right w:val="single" w:color="auto" w:sz="4" w:space="0"/>
            </w:tcBorders>
            <w:vAlign w:val="center"/>
          </w:tcPr>
          <w:p w14:paraId="195C272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放坡支护</w:t>
            </w:r>
          </w:p>
        </w:tc>
        <w:tc>
          <w:tcPr>
            <w:tcW w:w="3223" w:type="dxa"/>
            <w:tcBorders>
              <w:top w:val="single" w:color="auto" w:sz="4" w:space="0"/>
              <w:left w:val="single" w:color="auto" w:sz="4" w:space="0"/>
              <w:bottom w:val="single" w:color="auto" w:sz="4" w:space="0"/>
              <w:right w:val="single" w:color="auto" w:sz="4" w:space="0"/>
            </w:tcBorders>
            <w:vAlign w:val="center"/>
          </w:tcPr>
          <w:p w14:paraId="7F57FC34">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同一层地下室</w:t>
            </w:r>
          </w:p>
        </w:tc>
        <w:tc>
          <w:tcPr>
            <w:tcW w:w="2290" w:type="dxa"/>
            <w:vMerge w:val="restart"/>
            <w:tcBorders>
              <w:top w:val="single" w:color="auto" w:sz="4" w:space="0"/>
              <w:left w:val="single" w:color="auto" w:sz="4" w:space="0"/>
              <w:bottom w:val="single" w:color="auto" w:sz="4" w:space="0"/>
              <w:right w:val="single" w:color="auto" w:sz="4" w:space="0"/>
            </w:tcBorders>
            <w:vAlign w:val="center"/>
          </w:tcPr>
          <w:p w14:paraId="6D7357B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 xml:space="preserve">止水帷幕采用搅拌桩或咬合桩 </w:t>
            </w:r>
          </w:p>
        </w:tc>
        <w:tc>
          <w:tcPr>
            <w:tcW w:w="1678" w:type="dxa"/>
            <w:vMerge w:val="restart"/>
            <w:tcBorders>
              <w:top w:val="single" w:color="auto" w:sz="4" w:space="0"/>
              <w:left w:val="single" w:color="auto" w:sz="4" w:space="0"/>
              <w:bottom w:val="single" w:color="auto" w:sz="4" w:space="0"/>
              <w:right w:val="single" w:color="auto" w:sz="4" w:space="0"/>
            </w:tcBorders>
            <w:vAlign w:val="center"/>
          </w:tcPr>
          <w:p w14:paraId="7CF8046D">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砂岩交界面可采用双管旋喷桩加强止水效果，桩长不小于3m。</w:t>
            </w:r>
          </w:p>
        </w:tc>
      </w:tr>
      <w:tr w14:paraId="15DAA8E3">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06EC7A88">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3925663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土钉墙及复合土钉墙</w:t>
            </w:r>
          </w:p>
        </w:tc>
        <w:tc>
          <w:tcPr>
            <w:tcW w:w="3223" w:type="dxa"/>
            <w:tcBorders>
              <w:top w:val="single" w:color="auto" w:sz="4" w:space="0"/>
              <w:left w:val="single" w:color="auto" w:sz="4" w:space="0"/>
              <w:bottom w:val="single" w:color="auto" w:sz="4" w:space="0"/>
              <w:right w:val="single" w:color="auto" w:sz="4" w:space="0"/>
            </w:tcBorders>
            <w:vAlign w:val="center"/>
          </w:tcPr>
          <w:p w14:paraId="6ACEDEE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同一层地下室</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1D4B754E">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72DFFC30">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09E9916F">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008DD23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5BC6B2A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支护桩+锚杆</w:t>
            </w:r>
          </w:p>
        </w:tc>
        <w:tc>
          <w:tcPr>
            <w:tcW w:w="3223" w:type="dxa"/>
            <w:tcBorders>
              <w:top w:val="single" w:color="auto" w:sz="4" w:space="0"/>
              <w:left w:val="single" w:color="auto" w:sz="4" w:space="0"/>
              <w:bottom w:val="single" w:color="auto" w:sz="4" w:space="0"/>
              <w:right w:val="single" w:color="auto" w:sz="4" w:space="0"/>
            </w:tcBorders>
            <w:vAlign w:val="center"/>
          </w:tcPr>
          <w:p w14:paraId="70C11B6B">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周边环境允许施工锚杆的基坑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3B45C03F">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7DED0BC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168CE9AA">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607D156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39AA241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放坡+悬臂桩</w:t>
            </w:r>
          </w:p>
        </w:tc>
        <w:tc>
          <w:tcPr>
            <w:tcW w:w="3223" w:type="dxa"/>
            <w:tcBorders>
              <w:top w:val="single" w:color="auto" w:sz="4" w:space="0"/>
              <w:left w:val="single" w:color="auto" w:sz="4" w:space="0"/>
              <w:bottom w:val="single" w:color="auto" w:sz="4" w:space="0"/>
              <w:right w:val="single" w:color="auto" w:sz="4" w:space="0"/>
            </w:tcBorders>
            <w:vAlign w:val="center"/>
          </w:tcPr>
          <w:p w14:paraId="4F36ADB7">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基坑周边用地紧张，不具备施工锚索条件，深度小于7m，而使用“排桩+内支撑”不经济的基坑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7FB323E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1674B693">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7AD83451">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36ECE47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39049A0B">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支护桩+内支撑/斜抛撑</w:t>
            </w:r>
          </w:p>
        </w:tc>
        <w:tc>
          <w:tcPr>
            <w:tcW w:w="3223" w:type="dxa"/>
            <w:tcBorders>
              <w:top w:val="single" w:color="auto" w:sz="4" w:space="0"/>
              <w:left w:val="single" w:color="auto" w:sz="4" w:space="0"/>
              <w:bottom w:val="single" w:color="auto" w:sz="4" w:space="0"/>
              <w:right w:val="single" w:color="auto" w:sz="4" w:space="0"/>
            </w:tcBorders>
            <w:vAlign w:val="center"/>
          </w:tcPr>
          <w:p w14:paraId="00966D6B">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周边有重要建筑、管线，且无法施工锚杆的基坑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25F0580C">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106E845A">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r w14:paraId="42795D62">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535BF1C9">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478" w:type="dxa"/>
            <w:tcBorders>
              <w:top w:val="single" w:color="auto" w:sz="4" w:space="0"/>
              <w:left w:val="single" w:color="auto" w:sz="4" w:space="0"/>
              <w:bottom w:val="single" w:color="auto" w:sz="4" w:space="0"/>
              <w:right w:val="single" w:color="auto" w:sz="4" w:space="0"/>
            </w:tcBorders>
            <w:vAlign w:val="center"/>
          </w:tcPr>
          <w:p w14:paraId="095792E6">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双排桩</w:t>
            </w:r>
          </w:p>
        </w:tc>
        <w:tc>
          <w:tcPr>
            <w:tcW w:w="3223" w:type="dxa"/>
            <w:tcBorders>
              <w:top w:val="single" w:color="auto" w:sz="4" w:space="0"/>
              <w:left w:val="single" w:color="auto" w:sz="4" w:space="0"/>
              <w:bottom w:val="single" w:color="auto" w:sz="4" w:space="0"/>
              <w:right w:val="single" w:color="auto" w:sz="4" w:space="0"/>
            </w:tcBorders>
            <w:vAlign w:val="center"/>
          </w:tcPr>
          <w:p w14:paraId="7FAB4416">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当周边有重要建筑、管线等，不具备锚索施工条件，且内支撑经济性较低，对地下室施工影响较大时，可考虑采用双排桩。</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68600B95">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47A93C41">
            <w:pPr>
              <w:pStyle w:val="80"/>
              <w:adjustRightInd w:val="0"/>
              <w:snapToGrid w:val="0"/>
              <w:spacing w:line="360" w:lineRule="auto"/>
              <w:ind w:firstLine="0" w:firstLineChars="0"/>
              <w:jc w:val="center"/>
              <w:rPr>
                <w:rStyle w:val="81"/>
                <w:rFonts w:hint="eastAsia" w:ascii="宋体" w:hAnsi="宋体" w:cs="宋体"/>
                <w:color w:val="000000" w:themeColor="text1"/>
                <w:highlight w:val="none"/>
                <w14:textFill>
                  <w14:solidFill>
                    <w14:schemeClr w14:val="tx1"/>
                  </w14:solidFill>
                </w14:textFill>
              </w:rPr>
            </w:pPr>
          </w:p>
        </w:tc>
      </w:tr>
    </w:tbl>
    <w:p w14:paraId="4500554A">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p>
    <w:p w14:paraId="38D4C5CF">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放坡：</w:t>
      </w:r>
    </w:p>
    <w:p w14:paraId="55B56C71">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对于周边环境较为开阔、场地地质条件较好、基坑开挖深度较浅、变形要求不高的基坑，优先考虑采用放坡支护。放坡坡率宜为1.0～2.0，坑底位于软弱土层时适当放缓坡率。</w:t>
      </w:r>
    </w:p>
    <w:p w14:paraId="2C0E0784">
      <w:pPr>
        <w:pStyle w:val="80"/>
        <w:spacing w:line="360" w:lineRule="auto"/>
        <w:rPr>
          <w:rStyle w:val="81"/>
          <w:rFonts w:hint="eastAsia" w:ascii="宋体" w:hAnsi="宋体" w:cs="宋体"/>
          <w:color w:val="000000" w:themeColor="text1"/>
          <w:sz w:val="24"/>
          <w:szCs w:val="24"/>
          <w:highlight w:val="none"/>
          <w14:textFill>
            <w14:solidFill>
              <w14:schemeClr w14:val="tx1"/>
            </w14:solidFill>
          </w14:textFill>
        </w:rPr>
      </w:pPr>
      <w:r>
        <w:rPr>
          <w:highlight w:val="none"/>
        </w:rPr>
        <w:fldChar w:fldCharType="begin"/>
      </w:r>
      <w:r>
        <w:rPr>
          <w:highlight w:val="none"/>
        </w:rPr>
        <w:instrText xml:space="preserve"> HYPERLINK "mailto:放坡坡面挂Φ8@200×200钢筋网，坡面插筋采用1C16@1200x1200，长度为1500。坡面喷射80厚C20细石混凝土进行防护。坡体中下部设置Φ50泄水孔，水平间距2.0m。" </w:instrText>
      </w:r>
      <w:r>
        <w:rPr>
          <w:highlight w:val="none"/>
        </w:rPr>
        <w:fldChar w:fldCharType="separate"/>
      </w:r>
      <w:r>
        <w:rPr>
          <w:rStyle w:val="81"/>
          <w:rFonts w:hint="eastAsia" w:ascii="宋体" w:hAnsi="宋体" w:cs="宋体"/>
          <w:color w:val="000000" w:themeColor="text1"/>
          <w:sz w:val="24"/>
          <w:szCs w:val="24"/>
          <w:highlight w:val="none"/>
          <w14:textFill>
            <w14:solidFill>
              <w14:schemeClr w14:val="tx1"/>
            </w14:solidFill>
          </w14:textFill>
        </w:rPr>
        <w:t>放坡坡面可挂Φ6.5@200×200钢筋网，坡面插筋可采用1Φ16@1500x1500（三级钢），长度可为1500mm。坡面可喷射80厚C20细石混凝土进行防护。坡体中下部设置Φ50泄水孔，双向间距2.0m。</w:t>
      </w:r>
      <w:r>
        <w:rPr>
          <w:rStyle w:val="81"/>
          <w:rFonts w:hint="eastAsia" w:ascii="宋体" w:hAnsi="宋体" w:cs="宋体"/>
          <w:color w:val="000000" w:themeColor="text1"/>
          <w:sz w:val="24"/>
          <w:szCs w:val="24"/>
          <w:highlight w:val="none"/>
          <w14:textFill>
            <w14:solidFill>
              <w14:schemeClr w14:val="tx1"/>
            </w14:solidFill>
          </w14:textFill>
        </w:rPr>
        <w:fldChar w:fldCharType="end"/>
      </w:r>
      <w:r>
        <w:rPr>
          <w:rStyle w:val="81"/>
          <w:rFonts w:hint="eastAsia" w:ascii="宋体" w:hAnsi="宋体" w:cs="宋体"/>
          <w:color w:val="000000" w:themeColor="text1"/>
          <w:sz w:val="24"/>
          <w:szCs w:val="24"/>
          <w:highlight w:val="none"/>
          <w14:textFill>
            <w14:solidFill>
              <w14:schemeClr w14:val="tx1"/>
            </w14:solidFill>
          </w14:textFill>
        </w:rPr>
        <w:t>坡脚根据地质条件、施工条件等进行适当加固，应优先考虑采用尾径80~120的松木桩（间距500）、钢管、钢板桩等；当基坑底位于砂层或其他软弱土层中，且上述加固措施不能满足支护安全时，宜考虑采用搅拌桩加固坡脚。</w:t>
      </w:r>
    </w:p>
    <w:p w14:paraId="31430BFA">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水泥土复合土钉墙：</w:t>
      </w:r>
    </w:p>
    <w:p w14:paraId="742F320F">
      <w:pPr>
        <w:pStyle w:val="80"/>
        <w:spacing w:line="360" w:lineRule="auto"/>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应优先采用大直径水泥土搅拌桩止水兼支护；土钉水平间距和竖向间距宜为1.5～2.5m，倾角宜为10⁰～25⁰，对于易塌孔的松散或稍密的粉土、填土或软土宜采用打入式钢花管土钉，其余宜采用机械成孔的钢筋土钉。材料选用42.5R水泥制作的净浆，水灰比为0.5~0.6，径体直径不小于110mm。面层可采用100mm厚C20喷射砼，可内配Φ8@150~200钢筋网。土钉端头加强筋规格可采用2Φ16；根据地质条件等因素，可在搅拌桩中加入超前钢管或H型钢。</w:t>
      </w:r>
      <w:r>
        <w:rPr>
          <w:rFonts w:hint="eastAsia" w:ascii="宋体" w:hAnsi="宋体" w:cs="宋体"/>
          <w:color w:val="000000" w:themeColor="text1"/>
          <w:sz w:val="24"/>
          <w:szCs w:val="24"/>
          <w:highlight w:val="none"/>
          <w14:textFill>
            <w14:solidFill>
              <w14:schemeClr w14:val="tx1"/>
            </w14:solidFill>
          </w14:textFill>
        </w:rPr>
        <w:t xml:space="preserve"> </w:t>
      </w:r>
    </w:p>
    <w:p w14:paraId="51A06B26">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工法桩+锚杆：</w:t>
      </w:r>
    </w:p>
    <w:p w14:paraId="123B7AD5">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场地周边用地条件较为紧张、周边环境对变形要求较高的基坑，可</w:t>
      </w:r>
      <w:r>
        <w:rPr>
          <w:rFonts w:hint="eastAsia" w:ascii="宋体" w:hAnsi="宋体" w:cs="宋体"/>
          <w:color w:val="000000" w:themeColor="text1"/>
          <w:sz w:val="24"/>
          <w:szCs w:val="24"/>
          <w:highlight w:val="none"/>
          <w14:textFill>
            <w14:solidFill>
              <w14:schemeClr w14:val="tx1"/>
            </w14:solidFill>
          </w14:textFill>
        </w:rPr>
        <w:t>采用工法桩+锚杆的支护形式。搅拌桩止水兼支护，内插钢管或H型钢。</w:t>
      </w:r>
    </w:p>
    <w:p w14:paraId="0EE3F1AF">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悬臂式排桩：</w:t>
      </w:r>
    </w:p>
    <w:p w14:paraId="59BB71CE">
      <w:pPr>
        <w:pStyle w:val="80"/>
        <w:spacing w:line="360" w:lineRule="auto"/>
        <w:ind w:firstLine="480"/>
        <w:jc w:val="left"/>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场地周边用地条件较为紧张，无法满足放坡要求，且不具备施工锚索（锚杆）条件时，可</w:t>
      </w:r>
      <w:r>
        <w:rPr>
          <w:rFonts w:hint="eastAsia" w:ascii="宋体" w:hAnsi="宋体" w:cs="宋体"/>
          <w:color w:val="000000" w:themeColor="text1"/>
          <w:sz w:val="24"/>
          <w:szCs w:val="24"/>
          <w:highlight w:val="none"/>
          <w14:textFill>
            <w14:solidFill>
              <w14:schemeClr w14:val="tx1"/>
            </w14:solidFill>
          </w14:textFill>
        </w:rPr>
        <w:t>采用</w:t>
      </w:r>
      <w:r>
        <w:rPr>
          <w:rStyle w:val="49"/>
          <w:rFonts w:hint="eastAsia" w:ascii="宋体" w:hAnsi="宋体" w:cs="宋体"/>
          <w:color w:val="000000" w:themeColor="text1"/>
          <w:sz w:val="24"/>
          <w:szCs w:val="24"/>
          <w:highlight w:val="none"/>
          <w14:textFill>
            <w14:solidFill>
              <w14:schemeClr w14:val="tx1"/>
            </w14:solidFill>
          </w14:textFill>
        </w:rPr>
        <w:t>灌注桩，灌注桩采用C30水下混凝土。</w:t>
      </w:r>
    </w:p>
    <w:p w14:paraId="0709E4A0">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灌注桩+预应力锚索：</w:t>
      </w:r>
    </w:p>
    <w:p w14:paraId="21947A1C">
      <w:pPr>
        <w:pStyle w:val="80"/>
        <w:spacing w:line="360" w:lineRule="auto"/>
        <w:ind w:firstLine="480"/>
        <w:jc w:val="left"/>
        <w:rPr>
          <w:rStyle w:val="49"/>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优先选用灌注桩</w:t>
      </w:r>
      <w:r>
        <w:rPr>
          <w:rStyle w:val="49"/>
          <w:rFonts w:hint="eastAsia" w:ascii="宋体" w:hAnsi="宋体" w:cs="宋体"/>
          <w:color w:val="000000" w:themeColor="text1"/>
          <w:sz w:val="24"/>
          <w:szCs w:val="24"/>
          <w:highlight w:val="none"/>
          <w14:textFill>
            <w14:solidFill>
              <w14:schemeClr w14:val="tx1"/>
            </w14:solidFill>
          </w14:textFill>
        </w:rPr>
        <w:t>Φ800，另根据实际计算结果可选用Φ1000或Φ1200，采用C30水下混凝土；同时可根据实际需求选用1-2道预应力锚索；两道锚索时，采用混凝土腰梁。</w:t>
      </w:r>
    </w:p>
    <w:p w14:paraId="581D4F8C">
      <w:pPr>
        <w:pStyle w:val="80"/>
        <w:spacing w:line="360" w:lineRule="auto"/>
        <w:ind w:firstLine="480"/>
        <w:jc w:val="left"/>
        <w:rPr>
          <w:rFonts w:hint="eastAsia" w:ascii="宋体" w:hAnsi="宋体" w:cs="宋体"/>
          <w:color w:val="000000" w:themeColor="text1"/>
          <w:sz w:val="24"/>
          <w:szCs w:val="24"/>
          <w:highlight w:val="none"/>
          <w14:textFill>
            <w14:solidFill>
              <w14:schemeClr w14:val="tx1"/>
            </w14:solidFill>
          </w14:textFill>
        </w:rPr>
      </w:pPr>
      <w:r>
        <w:rPr>
          <w:rStyle w:val="49"/>
          <w:rFonts w:hint="eastAsia" w:ascii="宋体" w:hAnsi="宋体" w:cs="宋体"/>
          <w:color w:val="000000" w:themeColor="text1"/>
          <w:sz w:val="24"/>
          <w:szCs w:val="24"/>
          <w:highlight w:val="none"/>
          <w14:textFill>
            <w14:solidFill>
              <w14:schemeClr w14:val="tx1"/>
            </w14:solidFill>
          </w14:textFill>
        </w:rPr>
        <w:t>预应力锚索采用钢绞线，成孔直径不小于150mm，采用二次注浆法施工。锚索采用7Φ5钢绞线，钢绞线强度标准值为1860MPa。注浆材料选用0.50~0.80纯水泥浆（水泥标号为42.5R），并加入适量的早强剂。</w:t>
      </w:r>
    </w:p>
    <w:p w14:paraId="7781A3B8">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放坡+悬臂桩：</w:t>
      </w:r>
    </w:p>
    <w:p w14:paraId="4372BF55">
      <w:pPr>
        <w:pStyle w:val="80"/>
        <w:spacing w:line="360" w:lineRule="auto"/>
        <w:ind w:firstLine="480"/>
        <w:jc w:val="left"/>
        <w:rPr>
          <w:rStyle w:val="49"/>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基坑周边用地紧张，不具备施工锚索条件，深度小于7m，而使用“排桩+内支撑”不经济的基坑，桩径可</w:t>
      </w:r>
      <w:r>
        <w:rPr>
          <w:rStyle w:val="49"/>
          <w:rFonts w:hint="eastAsia" w:ascii="宋体" w:hAnsi="宋体" w:cs="宋体"/>
          <w:color w:val="000000" w:themeColor="text1"/>
          <w:sz w:val="24"/>
          <w:szCs w:val="24"/>
          <w:highlight w:val="none"/>
          <w14:textFill>
            <w14:solidFill>
              <w14:schemeClr w14:val="tx1"/>
            </w14:solidFill>
          </w14:textFill>
        </w:rPr>
        <w:t xml:space="preserve">根据计算选用Φ1000~1200，采用C30水下混凝土。 </w:t>
      </w:r>
    </w:p>
    <w:p w14:paraId="2422F287">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灌注桩+内支撑：</w:t>
      </w:r>
    </w:p>
    <w:p w14:paraId="6BBEE5E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可选用灌注桩</w:t>
      </w:r>
      <w:r>
        <w:rPr>
          <w:rStyle w:val="49"/>
          <w:rFonts w:hint="eastAsia" w:ascii="宋体" w:hAnsi="宋体" w:cs="宋体"/>
          <w:color w:val="000000" w:themeColor="text1"/>
          <w:sz w:val="24"/>
          <w:szCs w:val="24"/>
          <w:highlight w:val="none"/>
          <w14:textFill>
            <w14:solidFill>
              <w14:schemeClr w14:val="tx1"/>
            </w14:solidFill>
          </w14:textFill>
        </w:rPr>
        <w:t>Φ800~Φ1200，采用C30水下混凝土；同时可根据实际需求选用钢筋砼内支撑，</w:t>
      </w:r>
      <w:r>
        <w:rPr>
          <w:rFonts w:hint="eastAsia" w:ascii="宋体" w:hAnsi="宋体" w:eastAsia="宋体" w:cs="宋体"/>
          <w:color w:val="000000" w:themeColor="text1"/>
          <w:sz w:val="24"/>
          <w:szCs w:val="24"/>
          <w:highlight w:val="none"/>
          <w14:textFill>
            <w14:solidFill>
              <w14:schemeClr w14:val="tx1"/>
            </w14:solidFill>
          </w14:textFill>
        </w:rPr>
        <w:t>立柱基础优先选用Φ1000灌注桩。</w:t>
      </w:r>
    </w:p>
    <w:p w14:paraId="1587C0D8">
      <w:pPr>
        <w:pStyle w:val="7"/>
        <w:numPr>
          <w:ilvl w:val="2"/>
          <w:numId w:val="17"/>
        </w:numPr>
        <w:ind w:left="0" w:firstLine="480" w:firstLineChars="200"/>
        <w:rPr>
          <w:rFonts w:hint="eastAsia" w:ascii="宋体" w:hAnsi="宋体" w:cs="宋体"/>
          <w:b w:val="0"/>
          <w:bCs/>
          <w:color w:val="000000" w:themeColor="text1"/>
          <w:szCs w:val="24"/>
          <w:highlight w:val="none"/>
          <w14:textFill>
            <w14:solidFill>
              <w14:schemeClr w14:val="tx1"/>
            </w14:solidFill>
          </w14:textFill>
        </w:rPr>
      </w:pPr>
      <w:r>
        <w:rPr>
          <w:rFonts w:hint="eastAsia" w:ascii="宋体" w:hAnsi="宋体" w:cs="宋体"/>
          <w:b w:val="0"/>
          <w:bCs/>
          <w:color w:val="000000" w:themeColor="text1"/>
          <w:szCs w:val="24"/>
          <w:highlight w:val="none"/>
          <w14:textFill>
            <w14:solidFill>
              <w14:schemeClr w14:val="tx1"/>
            </w14:solidFill>
          </w14:textFill>
        </w:rPr>
        <w:t>双排灌注桩：</w:t>
      </w:r>
    </w:p>
    <w:p w14:paraId="13FDC8CE">
      <w:pPr>
        <w:pStyle w:val="80"/>
        <w:spacing w:line="360" w:lineRule="auto"/>
        <w:ind w:firstLine="480"/>
        <w:jc w:val="left"/>
        <w:rPr>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当周边有重要建筑、管线等，不具备锚索施工条件，且内支撑经济性较低时，可考虑采用双排桩，</w:t>
      </w:r>
      <w:r>
        <w:rPr>
          <w:rFonts w:hint="eastAsia" w:ascii="宋体" w:hAnsi="宋体" w:cs="宋体"/>
          <w:color w:val="000000" w:themeColor="text1"/>
          <w:sz w:val="24"/>
          <w:szCs w:val="24"/>
          <w:highlight w:val="none"/>
          <w14:textFill>
            <w14:solidFill>
              <w14:schemeClr w14:val="tx1"/>
            </w14:solidFill>
          </w14:textFill>
        </w:rPr>
        <w:t>选用灌注桩</w:t>
      </w:r>
      <w:r>
        <w:rPr>
          <w:rStyle w:val="49"/>
          <w:rFonts w:hint="eastAsia" w:ascii="宋体" w:hAnsi="宋体" w:cs="宋体"/>
          <w:color w:val="000000" w:themeColor="text1"/>
          <w:sz w:val="24"/>
          <w:szCs w:val="24"/>
          <w:highlight w:val="none"/>
          <w14:textFill>
            <w14:solidFill>
              <w14:schemeClr w14:val="tx1"/>
            </w14:solidFill>
          </w14:textFill>
        </w:rPr>
        <w:t>Φ800~Φ1200，采用C30水下混凝土。</w:t>
      </w:r>
    </w:p>
    <w:p w14:paraId="0A0D525E">
      <w:pPr>
        <w:pStyle w:val="6"/>
        <w:keepNext w:val="0"/>
        <w:keepLines w:val="0"/>
        <w:numPr>
          <w:ilvl w:val="1"/>
          <w:numId w:val="17"/>
        </w:numPr>
        <w:snapToGrid/>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457" w:name="_Toc19477"/>
      <w:bookmarkStart w:id="458" w:name="_Toc104581772"/>
      <w:bookmarkStart w:id="459" w:name="_Toc8401"/>
      <w:bookmarkStart w:id="460" w:name="_Toc18181"/>
      <w:r>
        <w:rPr>
          <w:rFonts w:hint="eastAsia" w:ascii="宋体" w:hAnsi="宋体" w:eastAsia="宋体" w:cs="宋体"/>
          <w:color w:val="000000" w:themeColor="text1"/>
          <w:sz w:val="24"/>
          <w:szCs w:val="24"/>
          <w:highlight w:val="none"/>
          <w14:textFill>
            <w14:solidFill>
              <w14:schemeClr w14:val="tx1"/>
            </w14:solidFill>
          </w14:textFill>
        </w:rPr>
        <w:t>通用指标</w:t>
      </w:r>
      <w:bookmarkEnd w:id="457"/>
      <w:bookmarkEnd w:id="458"/>
      <w:bookmarkEnd w:id="459"/>
      <w:bookmarkEnd w:id="460"/>
    </w:p>
    <w:p w14:paraId="3C1D9739">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10.5.1 地下水控制</w:t>
      </w:r>
    </w:p>
    <w:p w14:paraId="563F2C9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10.5.1.1 基坑内周边应设排水沟及集水井，排水沟和集水井距离基坑侧壁边不小于0.3m，集水井宜在基坑四角和坑边每隔30~40m布设；基坑外设截流沟。坡顶排水沟（截流沟）截面尺寸宜为400x400mm，坡脚排水沟（截流沟）截面尺寸宜为300x400mm。集水井截面尺寸宜为800x800x1000mm。排水沟和集水井宜采用灰砂砖砌筑。基坑内地下水水位宜降至土方开挖面下1.0~2.0m。基坑内降水可采用坑内降水井。</w:t>
      </w:r>
    </w:p>
    <w:p w14:paraId="509E7040">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10.5.1.2 对于一层地下室的基坑，当地质资料揭露场地开挖深度及坑底以下5m范围内无强透水层，且临近基坑周边无建构筑物、市政管网时，可考虑不设止水帷幕，采用集水明排。</w:t>
      </w:r>
    </w:p>
    <w:p w14:paraId="6945277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10.5.1.3 对于一层地下室的基坑，当存在渗透性较好的含水层时，应在基坑周边做止水帷幕，止水帷幕采用大直径搅拌桩。止水搅拌桩应进入坑底不透水层不少于2m（坑边有局部挖深时应适当加大），或搅至基岩面，或桩长不大于18m。</w:t>
      </w:r>
    </w:p>
    <w:p w14:paraId="1D079609">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10.5.1.4 对于两层地下室的基坑，当存在渗透性较好的含水层或富水的基岩和断层破碎带时，应考虑在基坑周边做止水帷幕，止水帷幕宜采用大直径单轴或三轴搅拌桩或咬合桩。止水搅拌桩应进入坑底不透水层不少于2m（坑边有局部挖深时应适当加大），或搅至基岩面。砂岩交界面可采用双管旋喷桩加强止水效果或咬合桩素桩穿透砂岩交界面进入岩面以下不少于2m。</w:t>
      </w:r>
    </w:p>
    <w:p w14:paraId="4713ABA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10.5.1.5 根据现场实际施工情况，为保证土方开挖及坑底作业时处于干燥环境，必要时可在基坑内适当位置设置降水井，降水井间距按30m×30m网格布置布置，从现地面开始施工，要求进入坑底以下不少于6m；为了防止对周边环境及管线产生不利影响，必要时经建设、设计、监理等相关单位确认后可在坑外5.0m按20m间距设置回灌井。</w:t>
      </w:r>
    </w:p>
    <w:p w14:paraId="58AC7A49">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10.5.2 溶洞处理（如有）</w:t>
      </w:r>
    </w:p>
    <w:p w14:paraId="6BDC15D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10.5.2.1岩溶发育地区的基坑支护工程宜进行超前钻探，采用排桩支护时，沿支护边线超前钻间距可按五桩一孔布置，其它类型支护时，间距可选8～10m。发现溶洞时应扩大钻探范围，确定溶洞分布边界。</w:t>
      </w:r>
    </w:p>
    <w:p w14:paraId="753EB258">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10.5.2.2 依据溶洞的类型采取相应的处理措施：</w:t>
      </w:r>
    </w:p>
    <w:p w14:paraId="014CC0B3">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小型溶洞（洞高小于5m）或全填充的溶洞：根据对基坑支护的影响程度判断是否需要处理。</w:t>
      </w:r>
    </w:p>
    <w:p w14:paraId="788947B3">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中型溶洞（高度5m~10m或预估连通体积50m</w:t>
      </w:r>
      <w:r>
        <w:rPr>
          <w:rFonts w:hint="eastAsia" w:ascii="宋体" w:hAnsi="宋体" w:cs="宋体"/>
          <w:color w:val="000000" w:themeColor="text1"/>
          <w:sz w:val="24"/>
          <w:szCs w:val="24"/>
          <w:highlight w:val="none"/>
          <w:vertAlign w:val="superscript"/>
          <w14:textFill>
            <w14:solidFill>
              <w14:schemeClr w14:val="tx1"/>
            </w14:solidFill>
          </w14:textFill>
        </w:rPr>
        <w:t>3</w:t>
      </w:r>
      <w:r>
        <w:rPr>
          <w:rFonts w:hint="eastAsia" w:ascii="宋体" w:hAnsi="宋体" w:cs="宋体"/>
          <w:color w:val="000000" w:themeColor="text1"/>
          <w:sz w:val="24"/>
          <w:szCs w:val="24"/>
          <w:highlight w:val="none"/>
          <w14:textFill>
            <w14:solidFill>
              <w14:schemeClr w14:val="tx1"/>
            </w14:solidFill>
          </w14:textFill>
        </w:rPr>
        <w:t>~100m</w:t>
      </w:r>
      <w:r>
        <w:rPr>
          <w:rFonts w:hint="eastAsia" w:ascii="宋体" w:hAnsi="宋体" w:cs="宋体"/>
          <w:color w:val="000000" w:themeColor="text1"/>
          <w:sz w:val="24"/>
          <w:szCs w:val="24"/>
          <w:highlight w:val="none"/>
          <w:vertAlign w:val="superscript"/>
          <w14:textFill>
            <w14:solidFill>
              <w14:schemeClr w14:val="tx1"/>
            </w14:solidFill>
          </w14:textFill>
        </w:rPr>
        <w:t>3</w:t>
      </w:r>
      <w:r>
        <w:rPr>
          <w:rFonts w:hint="eastAsia" w:ascii="宋体" w:hAnsi="宋体" w:cs="宋体"/>
          <w:color w:val="000000" w:themeColor="text1"/>
          <w:sz w:val="24"/>
          <w:szCs w:val="24"/>
          <w:highlight w:val="none"/>
          <w14:textFill>
            <w14:solidFill>
              <w14:schemeClr w14:val="tx1"/>
            </w14:solidFill>
          </w14:textFill>
        </w:rPr>
        <w:t>）：宜采用先灌砂，后泵送低标号素混凝土处理。</w:t>
      </w:r>
    </w:p>
    <w:p w14:paraId="45909278">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大型溶洞（高度大于10m或预估连通体积大于100m</w:t>
      </w:r>
      <w:r>
        <w:rPr>
          <w:rFonts w:hint="eastAsia" w:ascii="宋体" w:hAnsi="宋体" w:cs="宋体"/>
          <w:color w:val="000000" w:themeColor="text1"/>
          <w:sz w:val="24"/>
          <w:szCs w:val="24"/>
          <w:highlight w:val="none"/>
          <w:vertAlign w:val="superscript"/>
          <w14:textFill>
            <w14:solidFill>
              <w14:schemeClr w14:val="tx1"/>
            </w14:solidFill>
          </w14:textFill>
        </w:rPr>
        <w:t>3</w:t>
      </w:r>
      <w:r>
        <w:rPr>
          <w:rFonts w:hint="eastAsia" w:ascii="宋体" w:hAnsi="宋体" w:cs="宋体"/>
          <w:color w:val="000000" w:themeColor="text1"/>
          <w:sz w:val="24"/>
          <w:szCs w:val="24"/>
          <w:highlight w:val="none"/>
          <w14:textFill>
            <w14:solidFill>
              <w14:schemeClr w14:val="tx1"/>
            </w14:solidFill>
          </w14:textFill>
        </w:rPr>
        <w:t>）：宜采用先填砂或填碎石+静压水泥灌浆法处理的措施。</w:t>
      </w:r>
    </w:p>
    <w:p w14:paraId="564FCEF3">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连通性的溶洞：可通过试验采用双液浆或泵送素混凝土方法进行封边处理。</w:t>
      </w:r>
    </w:p>
    <w:p w14:paraId="4EC31372">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10.5.2.3填充（注浆）材料</w:t>
      </w:r>
    </w:p>
    <w:p w14:paraId="2CCDEE15">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可采用砂、碎石、M7.5水泥砂浆、纯水泥浆、C15素混凝土、双液浆（水玻璃+水泥浆）等。</w:t>
      </w:r>
    </w:p>
    <w:p w14:paraId="73336428">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10.5.2.4注浆孔布置</w:t>
      </w:r>
    </w:p>
    <w:p w14:paraId="15964C25">
      <w:pPr>
        <w:pStyle w:val="80"/>
        <w:spacing w:line="360" w:lineRule="auto"/>
        <w:ind w:firstLine="48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注浆管布置宜进入溶洞顶板以下0.3~0.5m。灌注水泥浆时，注浆管应达到溶洞或土洞底部。水泥砂浆或纯水泥浆的注浆孔孔径110~130mm，排气孔孔径不小于90mm。袖阀管所需的管径为Φ50，吹砂所需的管径为Φ300，灌素混凝土所需孔径为Φ300。灌注砂浆的注浆孔附近布置1~3个排气孔，排气孔距离注浆孔2m左右，终孔孔径不小于90mm，呈“品”字型布置。</w:t>
      </w:r>
    </w:p>
    <w:p w14:paraId="41F3D36D">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10.5.2.5注浆顺序及注浆控制</w:t>
      </w:r>
    </w:p>
    <w:p w14:paraId="4202C7FA">
      <w:pPr>
        <w:spacing w:line="360" w:lineRule="auto"/>
        <w:ind w:firstLine="480" w:firstLineChars="200"/>
        <w:rPr>
          <w:rFonts w:hint="eastAsia" w:ascii="宋体" w:hAnsi="宋体" w:eastAsia="宋体" w:cs="宋体"/>
          <w:b/>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先周边孔，再中央孔的顺序进行，采用间歇式注浆，每次注浆量不超过50m</w:t>
      </w:r>
      <w:r>
        <w:rPr>
          <w:rFonts w:hint="eastAsia" w:ascii="宋体" w:hAnsi="宋体" w:eastAsia="宋体" w:cs="宋体"/>
          <w:color w:val="000000" w:themeColor="text1"/>
          <w:sz w:val="24"/>
          <w:szCs w:val="24"/>
          <w:highlight w:val="none"/>
          <w:vertAlign w:val="superscript"/>
          <w14:textFill>
            <w14:solidFill>
              <w14:schemeClr w14:val="tx1"/>
            </w14:solidFill>
          </w14:textFill>
        </w:rPr>
        <w:t>3</w:t>
      </w:r>
      <w:r>
        <w:rPr>
          <w:rFonts w:hint="eastAsia" w:ascii="宋体" w:hAnsi="宋体" w:eastAsia="宋体" w:cs="宋体"/>
          <w:color w:val="000000" w:themeColor="text1"/>
          <w:sz w:val="24"/>
          <w:szCs w:val="24"/>
          <w:highlight w:val="none"/>
          <w14:textFill>
            <w14:solidFill>
              <w14:schemeClr w14:val="tx1"/>
            </w14:solidFill>
          </w14:textFill>
        </w:rPr>
        <w:t>,待固结后再进行下一次注浆。若两次注浆未满的孔，考虑使用双液浆或扩孔后灌注素混凝土。注浆速度宜为30～70L/min。</w:t>
      </w:r>
    </w:p>
    <w:p w14:paraId="7FBE9151">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10.5.3土洞处理</w:t>
      </w:r>
    </w:p>
    <w:p w14:paraId="4CD9C5E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10.5.3.1 基坑支护结构影响范围内（包含对施工机械的施工安全）存在土洞时，应对土洞进行填充处理。</w:t>
      </w:r>
    </w:p>
    <w:p w14:paraId="598A74A7">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10.5.3.1 位于支护结构范围的土洞，采取穿越+填充方式。</w:t>
      </w:r>
    </w:p>
    <w:p w14:paraId="2FAA11EC">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10.5.3.2 位于支护结构范围外、影响范围内的土洞，采取填充方式。</w:t>
      </w:r>
    </w:p>
    <w:p w14:paraId="2A7E49C0">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10.5.3.3 填充材料宜采用M7.5的水泥砂浆，注浆孔布置、注浆顺序及控制同溶洞处理方式。</w:t>
      </w:r>
    </w:p>
    <w:p w14:paraId="49E01B5F">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10.5.4 坑中坑支护</w:t>
      </w:r>
    </w:p>
    <w:p w14:paraId="3586F66F">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10.5.4.1 当坑中坑h≤2m时,宜采用放坡支护。</w:t>
      </w:r>
    </w:p>
    <w:p w14:paraId="15A8E1E2">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10.5.4.2 当坑中坑2＜h≤3m时，宜采用钢板桩支护。</w:t>
      </w:r>
    </w:p>
    <w:p w14:paraId="0AEE619D">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10.5.4.3 当坑中坑h＞3m时，宜采用钢板桩+钢支撑支护。</w:t>
      </w:r>
    </w:p>
    <w:p w14:paraId="76237496">
      <w:pPr>
        <w:pStyle w:val="24"/>
        <w:ind w:firstLine="482"/>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10.5特别说明</w:t>
      </w:r>
    </w:p>
    <w:p w14:paraId="493C934E">
      <w:pPr>
        <w:spacing w:line="360" w:lineRule="auto"/>
        <w:ind w:firstLine="480" w:firstLineChars="200"/>
        <w:rPr>
          <w:rFonts w:hint="eastAsia" w:ascii="宋体" w:hAnsi="宋体" w:eastAsia="宋体" w:cs="宋体"/>
          <w:bCs/>
          <w:color w:val="000000" w:themeColor="text1"/>
          <w:sz w:val="24"/>
          <w:szCs w:val="24"/>
          <w:highlight w:val="none"/>
          <w14:textFill>
            <w14:solidFill>
              <w14:schemeClr w14:val="tx1"/>
            </w14:solidFill>
          </w14:textFill>
        </w:rPr>
      </w:pPr>
      <w:r>
        <w:rPr>
          <w:rFonts w:hint="eastAsia" w:ascii="宋体" w:hAnsi="宋体" w:eastAsia="宋体" w:cs="宋体"/>
          <w:bCs/>
          <w:color w:val="000000" w:themeColor="text1"/>
          <w:sz w:val="24"/>
          <w:szCs w:val="24"/>
          <w:highlight w:val="none"/>
          <w14:textFill>
            <w14:solidFill>
              <w14:schemeClr w14:val="tx1"/>
            </w14:solidFill>
          </w14:textFill>
        </w:rPr>
        <w:t>具体项目应综合考虑场地地质、周边环境、开挖深度等条件进行设计，设计文件编制还应满足现行国家、省、市、行业规范（标准）要求。</w:t>
      </w:r>
    </w:p>
    <w:p w14:paraId="33EBF812">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7E98911E">
      <w:pPr>
        <w:pStyle w:val="5"/>
        <w:keepNext w:val="0"/>
        <w:keepLines w:val="0"/>
        <w:snapToGrid/>
        <w:spacing w:before="120" w:beforeLines="50" w:after="0"/>
        <w:rPr>
          <w:rFonts w:hint="eastAsia" w:ascii="宋体" w:hAnsi="宋体" w:eastAsia="宋体" w:cs="宋体"/>
          <w:color w:val="000000" w:themeColor="text1"/>
          <w:sz w:val="24"/>
          <w:szCs w:val="24"/>
          <w:highlight w:val="none"/>
          <w14:textFill>
            <w14:solidFill>
              <w14:schemeClr w14:val="tx1"/>
            </w14:solidFill>
          </w14:textFill>
        </w:rPr>
      </w:pPr>
      <w:bookmarkStart w:id="461" w:name="_Toc3189"/>
      <w:bookmarkStart w:id="462" w:name="_Toc31599"/>
      <w:bookmarkStart w:id="463" w:name="_Toc104581773"/>
      <w:bookmarkStart w:id="464" w:name="_Toc18557"/>
      <w:bookmarkStart w:id="465" w:name="_Toc15150"/>
      <w:r>
        <w:rPr>
          <w:rFonts w:hint="eastAsia" w:ascii="宋体" w:hAnsi="宋体" w:eastAsia="宋体" w:cs="宋体"/>
          <w:color w:val="000000" w:themeColor="text1"/>
          <w:sz w:val="24"/>
          <w:szCs w:val="24"/>
          <w:highlight w:val="none"/>
          <w14:textFill>
            <w14:solidFill>
              <w14:schemeClr w14:val="tx1"/>
            </w14:solidFill>
          </w14:textFill>
        </w:rPr>
        <w:t>11.大市政设计</w:t>
      </w:r>
      <w:bookmarkEnd w:id="461"/>
      <w:bookmarkEnd w:id="462"/>
      <w:bookmarkEnd w:id="463"/>
      <w:bookmarkEnd w:id="464"/>
      <w:bookmarkEnd w:id="465"/>
    </w:p>
    <w:p w14:paraId="3E043026">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66" w:name="_Toc27078"/>
      <w:bookmarkStart w:id="467" w:name="_Toc96547180"/>
      <w:bookmarkStart w:id="468" w:name="_Toc104581774"/>
      <w:bookmarkStart w:id="469" w:name="_Toc28760"/>
      <w:bookmarkStart w:id="470" w:name="_Toc16901"/>
      <w:bookmarkStart w:id="471" w:name="_Toc188935731"/>
      <w:bookmarkStart w:id="472" w:name="_Hlk104475784"/>
      <w:r>
        <w:rPr>
          <w:rFonts w:hint="eastAsia" w:ascii="宋体" w:hAnsi="宋体" w:eastAsia="宋体" w:cs="宋体"/>
          <w:color w:val="000000" w:themeColor="text1"/>
          <w:sz w:val="24"/>
          <w:szCs w:val="24"/>
          <w:highlight w:val="none"/>
          <w14:textFill>
            <w14:solidFill>
              <w14:schemeClr w14:val="tx1"/>
            </w14:solidFill>
          </w14:textFill>
        </w:rPr>
        <w:t>11.1道路工程</w:t>
      </w:r>
      <w:bookmarkEnd w:id="466"/>
      <w:bookmarkEnd w:id="467"/>
      <w:bookmarkEnd w:id="468"/>
      <w:bookmarkEnd w:id="469"/>
      <w:bookmarkEnd w:id="470"/>
      <w:bookmarkEnd w:id="471"/>
    </w:p>
    <w:p w14:paraId="41B7EC35">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bookmarkStart w:id="473" w:name="_Toc96633171"/>
      <w:r>
        <w:rPr>
          <w:rFonts w:hint="eastAsia" w:hAnsi="宋体" w:cs="宋体"/>
          <w:b/>
          <w:bCs/>
          <w:color w:val="000000" w:themeColor="text1"/>
          <w:szCs w:val="24"/>
          <w:highlight w:val="none"/>
          <w14:textFill>
            <w14:solidFill>
              <w14:schemeClr w14:val="tx1"/>
            </w14:solidFill>
          </w14:textFill>
        </w:rPr>
        <w:t>11.1.1道路主要依据</w:t>
      </w:r>
      <w:bookmarkEnd w:id="473"/>
    </w:p>
    <w:p w14:paraId="47ED9541">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《广州市道路工程路面结构设计指引》（广州市交通运输局 2020年</w:t>
      </w:r>
      <w:r>
        <w:rPr>
          <w:rFonts w:hint="eastAsia" w:ascii="宋体" w:hAnsi="宋体" w:eastAsia="宋体" w:cs="宋体"/>
          <w:color w:val="000000" w:themeColor="text1"/>
          <w:sz w:val="24"/>
          <w:szCs w:val="24"/>
          <w:highlight w:val="none"/>
          <w:lang w:val="en-US" w:eastAsia="zh-CN"/>
          <w14:textFill>
            <w14:solidFill>
              <w14:schemeClr w14:val="tx1"/>
            </w14:solidFill>
          </w14:textFill>
        </w:rPr>
        <w:t>6</w:t>
      </w:r>
      <w:r>
        <w:rPr>
          <w:rFonts w:hint="eastAsia" w:ascii="宋体" w:hAnsi="宋体" w:eastAsia="宋体" w:cs="宋体"/>
          <w:color w:val="000000" w:themeColor="text1"/>
          <w:sz w:val="24"/>
          <w:szCs w:val="24"/>
          <w:highlight w:val="none"/>
          <w14:textFill>
            <w14:solidFill>
              <w14:schemeClr w14:val="tx1"/>
            </w14:solidFill>
          </w14:textFill>
        </w:rPr>
        <w:t>月）；</w:t>
      </w:r>
    </w:p>
    <w:p w14:paraId="0083BCF4">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《广州市城市道路标准横断面设计指引（试行）》（广州市交通运输局 202</w:t>
      </w:r>
      <w:r>
        <w:rPr>
          <w:rFonts w:hint="eastAsia" w:ascii="宋体" w:hAnsi="宋体" w:eastAsia="宋体" w:cs="宋体"/>
          <w:color w:val="000000" w:themeColor="text1"/>
          <w:sz w:val="24"/>
          <w:szCs w:val="24"/>
          <w:highlight w:val="none"/>
          <w:lang w:val="en-US" w:eastAsia="zh-CN"/>
          <w14:textFill>
            <w14:solidFill>
              <w14:schemeClr w14:val="tx1"/>
            </w14:solidFill>
          </w14:textFill>
        </w:rPr>
        <w:t>1</w:t>
      </w:r>
      <w:r>
        <w:rPr>
          <w:rFonts w:hint="eastAsia" w:ascii="宋体" w:hAnsi="宋体" w:eastAsia="宋体" w:cs="宋体"/>
          <w:color w:val="000000" w:themeColor="text1"/>
          <w:sz w:val="24"/>
          <w:szCs w:val="24"/>
          <w:highlight w:val="none"/>
          <w14:textFill>
            <w14:solidFill>
              <w14:schemeClr w14:val="tx1"/>
            </w14:solidFill>
          </w14:textFill>
        </w:rPr>
        <w:t>年4月）；</w:t>
      </w:r>
    </w:p>
    <w:p w14:paraId="58F4840D">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《广州市市政道路精细化、品质化设计与施工技术指引（终期成果）》（广州市住房和城乡建设委员会 201</w:t>
      </w:r>
      <w:r>
        <w:rPr>
          <w:rFonts w:hint="eastAsia" w:ascii="宋体" w:hAnsi="宋体" w:eastAsia="宋体" w:cs="宋体"/>
          <w:color w:val="000000" w:themeColor="text1"/>
          <w:sz w:val="24"/>
          <w:szCs w:val="24"/>
          <w:highlight w:val="none"/>
          <w:lang w:val="en-US" w:eastAsia="zh-CN"/>
          <w14:textFill>
            <w14:solidFill>
              <w14:schemeClr w14:val="tx1"/>
            </w14:solidFill>
          </w14:textFill>
        </w:rPr>
        <w:t>9</w:t>
      </w:r>
      <w:r>
        <w:rPr>
          <w:rFonts w:hint="eastAsia" w:ascii="宋体" w:hAnsi="宋体" w:eastAsia="宋体" w:cs="宋体"/>
          <w:color w:val="000000" w:themeColor="text1"/>
          <w:sz w:val="24"/>
          <w:szCs w:val="24"/>
          <w:highlight w:val="none"/>
          <w14:textFill>
            <w14:solidFill>
              <w14:schemeClr w14:val="tx1"/>
            </w14:solidFill>
          </w14:textFill>
        </w:rPr>
        <w:t>年9月）；</w:t>
      </w:r>
    </w:p>
    <w:p w14:paraId="377AD565">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《广州市城市家具建设指引》（广州市规划和自然资源局 2020年12月）；</w:t>
      </w:r>
    </w:p>
    <w:p w14:paraId="7E594D7E">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《广州市政府投资项目天然石材应用指引》 （201</w:t>
      </w:r>
      <w:r>
        <w:rPr>
          <w:rFonts w:hint="eastAsia" w:ascii="宋体" w:hAnsi="宋体" w:eastAsia="宋体" w:cs="宋体"/>
          <w:color w:val="000000" w:themeColor="text1"/>
          <w:sz w:val="24"/>
          <w:szCs w:val="24"/>
          <w:highlight w:val="none"/>
          <w:lang w:val="en-US" w:eastAsia="zh-CN"/>
          <w14:textFill>
            <w14:solidFill>
              <w14:schemeClr w14:val="tx1"/>
            </w14:solidFill>
          </w14:textFill>
        </w:rPr>
        <w:t>6</w:t>
      </w:r>
      <w:r>
        <w:rPr>
          <w:rFonts w:hint="eastAsia" w:ascii="宋体" w:hAnsi="宋体" w:eastAsia="宋体" w:cs="宋体"/>
          <w:color w:val="000000" w:themeColor="text1"/>
          <w:sz w:val="24"/>
          <w:szCs w:val="24"/>
          <w:highlight w:val="none"/>
          <w14:textFill>
            <w14:solidFill>
              <w14:schemeClr w14:val="tx1"/>
            </w14:solidFill>
          </w14:textFill>
        </w:rPr>
        <w:t>年</w:t>
      </w:r>
      <w:r>
        <w:rPr>
          <w:rFonts w:hint="eastAsia" w:ascii="宋体" w:hAnsi="宋体" w:eastAsia="宋体" w:cs="宋体"/>
          <w:color w:val="000000" w:themeColor="text1"/>
          <w:sz w:val="24"/>
          <w:szCs w:val="24"/>
          <w:highlight w:val="none"/>
          <w:lang w:val="en-US" w:eastAsia="zh-CN"/>
          <w14:textFill>
            <w14:solidFill>
              <w14:schemeClr w14:val="tx1"/>
            </w14:solidFill>
          </w14:textFill>
        </w:rPr>
        <w:t>4</w:t>
      </w:r>
      <w:r>
        <w:rPr>
          <w:rFonts w:hint="eastAsia" w:ascii="宋体" w:hAnsi="宋体" w:eastAsia="宋体" w:cs="宋体"/>
          <w:color w:val="000000" w:themeColor="text1"/>
          <w:sz w:val="24"/>
          <w:szCs w:val="24"/>
          <w:highlight w:val="none"/>
          <w14:textFill>
            <w14:solidFill>
              <w14:schemeClr w14:val="tx1"/>
            </w14:solidFill>
          </w14:textFill>
        </w:rPr>
        <w:t>月）；</w:t>
      </w:r>
    </w:p>
    <w:p w14:paraId="42FED7C1">
      <w:pPr>
        <w:tabs>
          <w:tab w:val="left" w:pos="851"/>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设计规范优先依据城市道路相关规范，如城市道路未有明确的可参照公路相关规范。</w:t>
      </w:r>
    </w:p>
    <w:p w14:paraId="45A7E00E">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bookmarkStart w:id="474" w:name="_Toc96633172"/>
      <w:r>
        <w:rPr>
          <w:rFonts w:hint="eastAsia" w:hAnsi="宋体" w:cs="宋体"/>
          <w:b/>
          <w:bCs/>
          <w:color w:val="000000" w:themeColor="text1"/>
          <w:szCs w:val="24"/>
          <w:highlight w:val="none"/>
          <w14:textFill>
            <w14:solidFill>
              <w14:schemeClr w14:val="tx1"/>
            </w14:solidFill>
          </w14:textFill>
        </w:rPr>
        <w:t>11.1.2 道路分级</w:t>
      </w:r>
      <w:bookmarkEnd w:id="474"/>
    </w:p>
    <w:p w14:paraId="544B43D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按照规划设计条件的要求、结合道路在区域中的作用、交通量预测，拟定道路等级、红线宽度、设计速度等指标。</w:t>
      </w:r>
    </w:p>
    <w:p w14:paraId="667759C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用地红线范围内道路等级分别有城市主干路、城市次干路、城市支路三个等级。设计速度有条件时取上限值，条件困难时采用下限值；</w:t>
      </w:r>
    </w:p>
    <w:p w14:paraId="0BBB7DF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1.1.2.1 </w:t>
      </w:r>
      <w:r>
        <w:rPr>
          <w:rFonts w:hint="eastAsia" w:ascii="宋体" w:hAnsi="宋体" w:eastAsia="宋体" w:cs="宋体"/>
          <w:color w:val="000000" w:themeColor="text1"/>
          <w:sz w:val="24"/>
          <w:szCs w:val="24"/>
          <w:highlight w:val="none"/>
          <w14:textFill>
            <w14:solidFill>
              <w14:schemeClr w14:val="tx1"/>
            </w14:solidFill>
          </w14:textFill>
        </w:rPr>
        <w:t>城市主干路对应的道路红线一般不小于40米，双向车道数不小于6车道，设计速度40~60km/h；</w:t>
      </w:r>
    </w:p>
    <w:p w14:paraId="32DB097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1.1.2.2</w:t>
      </w:r>
      <w:r>
        <w:rPr>
          <w:rFonts w:hint="eastAsia" w:ascii="宋体" w:hAnsi="宋体" w:eastAsia="宋体" w:cs="宋体"/>
          <w:color w:val="000000" w:themeColor="text1"/>
          <w:sz w:val="24"/>
          <w:szCs w:val="24"/>
          <w:highlight w:val="none"/>
          <w14:textFill>
            <w14:solidFill>
              <w14:schemeClr w14:val="tx1"/>
            </w14:solidFill>
          </w14:textFill>
        </w:rPr>
        <w:t xml:space="preserve"> 城市次干路对应的道路红线26~30米，双向车道数4~6车道，设计速度30~50km/h，；</w:t>
      </w:r>
    </w:p>
    <w:p w14:paraId="1807440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1.1.2.3</w:t>
      </w:r>
      <w:r>
        <w:rPr>
          <w:rFonts w:hint="eastAsia" w:ascii="宋体" w:hAnsi="宋体" w:eastAsia="宋体" w:cs="宋体"/>
          <w:color w:val="000000" w:themeColor="text1"/>
          <w:sz w:val="24"/>
          <w:szCs w:val="24"/>
          <w:highlight w:val="none"/>
          <w14:textFill>
            <w14:solidFill>
              <w14:schemeClr w14:val="tx1"/>
            </w14:solidFill>
          </w14:textFill>
        </w:rPr>
        <w:t xml:space="preserve"> 城市支路对应的道路红线15~20米，双向车道数2~4道，设计速度20~40km/h。</w:t>
      </w:r>
    </w:p>
    <w:p w14:paraId="69C93E38">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bookmarkStart w:id="475" w:name="_Toc96633173"/>
      <w:r>
        <w:rPr>
          <w:rFonts w:hint="eastAsia" w:hAnsi="宋体" w:cs="宋体"/>
          <w:b/>
          <w:bCs/>
          <w:color w:val="000000" w:themeColor="text1"/>
          <w:szCs w:val="24"/>
          <w:highlight w:val="none"/>
          <w14:textFill>
            <w14:solidFill>
              <w14:schemeClr w14:val="tx1"/>
            </w14:solidFill>
          </w14:textFill>
        </w:rPr>
        <w:t>11.1.3道路平面</w:t>
      </w:r>
      <w:bookmarkEnd w:id="475"/>
    </w:p>
    <w:p w14:paraId="6864D25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平面线位</w:t>
      </w:r>
    </w:p>
    <w:p w14:paraId="7EE6584D">
      <w:pPr>
        <w:pStyle w:val="98"/>
        <w:ind w:firstLine="480"/>
        <w:rPr>
          <w:rStyle w:val="81"/>
          <w:rFonts w:hint="eastAsia" w:ascii="宋体" w:hAnsi="宋体" w:cs="宋体"/>
          <w:bCs/>
          <w:color w:val="000000" w:themeColor="text1"/>
          <w:sz w:val="24"/>
          <w:szCs w:val="24"/>
          <w:highlight w:val="none"/>
          <w14:textFill>
            <w14:solidFill>
              <w14:schemeClr w14:val="tx1"/>
            </w14:solidFill>
          </w14:textFill>
        </w:rPr>
      </w:pPr>
      <w:r>
        <w:rPr>
          <w:rStyle w:val="81"/>
          <w:rFonts w:hint="eastAsia" w:ascii="宋体" w:hAnsi="宋体" w:cs="宋体"/>
          <w:bCs/>
          <w:color w:val="000000" w:themeColor="text1"/>
          <w:sz w:val="24"/>
          <w:szCs w:val="24"/>
          <w:highlight w:val="none"/>
          <w14:textFill>
            <w14:solidFill>
              <w14:schemeClr w14:val="tx1"/>
            </w14:solidFill>
          </w14:textFill>
        </w:rPr>
        <w:t>设计线位按控规线位，对平曲线指标不满足规范要求的应适当微调。平面调整应优先在道路规划红线内进行，确需调整红线的应进行必要说明。</w:t>
      </w:r>
    </w:p>
    <w:p w14:paraId="65D6761C">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1.1.3.1 </w:t>
      </w:r>
      <w:r>
        <w:rPr>
          <w:rFonts w:hint="eastAsia" w:hAnsi="宋体" w:cs="宋体"/>
          <w:color w:val="000000" w:themeColor="text1"/>
          <w:szCs w:val="24"/>
          <w:highlight w:val="none"/>
          <w14:textFill>
            <w14:solidFill>
              <w14:schemeClr w14:val="tx1"/>
            </w14:solidFill>
          </w14:textFill>
        </w:rPr>
        <w:t>交叉口展宽宽度及长度</w:t>
      </w:r>
    </w:p>
    <w:p w14:paraId="6F7DFEFD">
      <w:pPr>
        <w:pStyle w:val="98"/>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主干路与主、次干路相交，设置信号渠化进口道展宽交叉口。平面交叉口进出口道展宽设计方法为：</w:t>
      </w:r>
    </w:p>
    <w:p w14:paraId="4FAC228D">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1.1.3.2</w:t>
      </w:r>
      <w:r>
        <w:rPr>
          <w:rFonts w:hint="eastAsia" w:hAnsi="宋体" w:cs="宋体"/>
          <w:color w:val="000000" w:themeColor="text1"/>
          <w:szCs w:val="24"/>
          <w:highlight w:val="none"/>
          <w14:textFill>
            <w14:solidFill>
              <w14:schemeClr w14:val="tx1"/>
            </w14:solidFill>
          </w14:textFill>
        </w:rPr>
        <w:t xml:space="preserve"> 对于规划上未预留道路展宽用地的路段，建议优先利用建筑绿化退缩带向右展宽，进口道宽度宜为3.25m或3.5m（建议按交叉口设计规范取值），出口道宽度宜为3.5m，路侧绿化带、非机动车道、人行道宽度依次右推；或通过压缩路侧绿化带、非机动车道及人行道的方式展宽。</w:t>
      </w:r>
    </w:p>
    <w:p w14:paraId="19B651C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1.1.3.3</w:t>
      </w:r>
      <w:r>
        <w:rPr>
          <w:rFonts w:hint="eastAsia" w:hAnsi="宋体" w:cs="宋体"/>
          <w:color w:val="000000" w:themeColor="text1"/>
          <w:szCs w:val="24"/>
          <w:highlight w:val="none"/>
          <w14:textFill>
            <w14:solidFill>
              <w14:schemeClr w14:val="tx1"/>
            </w14:solidFill>
          </w14:textFill>
        </w:rPr>
        <w:t xml:space="preserve"> 向左压缩中央绿化带。充分利用主线隧道上方、桥梁下方空间，尽可能增多进口车道数。</w:t>
      </w:r>
    </w:p>
    <w:p w14:paraId="026B9E2E">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1.1.3.4</w:t>
      </w:r>
      <w:r>
        <w:rPr>
          <w:rFonts w:hint="eastAsia" w:hAnsi="宋体" w:cs="宋体"/>
          <w:color w:val="000000" w:themeColor="text1"/>
          <w:szCs w:val="24"/>
          <w:highlight w:val="none"/>
          <w14:textFill>
            <w14:solidFill>
              <w14:schemeClr w14:val="tx1"/>
            </w14:solidFill>
          </w14:textFill>
        </w:rPr>
        <w:t xml:space="preserve"> 压缩进口车道宽度。进口车道宽度3.25m、3.5m，条件受限时直行车道可采用3m。</w:t>
      </w:r>
    </w:p>
    <w:p w14:paraId="759FF33F">
      <w:pPr>
        <w:pStyle w:val="24"/>
        <w:ind w:firstLine="480"/>
        <w:rPr>
          <w:rStyle w:val="81"/>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1.1.3.5</w:t>
      </w:r>
      <w:r>
        <w:rPr>
          <w:rStyle w:val="81"/>
          <w:rFonts w:hint="eastAsia" w:hAnsi="宋体" w:cs="宋体"/>
          <w:color w:val="000000" w:themeColor="text1"/>
          <w:szCs w:val="24"/>
          <w:highlight w:val="none"/>
          <w14:textFill>
            <w14:solidFill>
              <w14:schemeClr w14:val="tx1"/>
            </w14:solidFill>
          </w14:textFill>
        </w:rPr>
        <w:t xml:space="preserve"> 外围道路受安置区红线限制不能向外展宽及无建筑退缩带，而规范要求须展宽的路段，建议通过取消侧绿化带或树池或适当压缩非机动车道及人行道的方式。同时分别保证人行道、非机动车道最小宽度2.0m、1.5m。</w:t>
      </w:r>
    </w:p>
    <w:p w14:paraId="14439BFF">
      <w:pPr>
        <w:pStyle w:val="24"/>
        <w:ind w:firstLine="480"/>
        <w:rPr>
          <w:rStyle w:val="81"/>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1.1.3.6</w:t>
      </w:r>
      <w:r>
        <w:rPr>
          <w:rFonts w:hint="eastAsia" w:hAnsi="宋体" w:cs="宋体"/>
          <w:color w:val="000000" w:themeColor="text1"/>
          <w:szCs w:val="24"/>
          <w:highlight w:val="none"/>
          <w14:textFill>
            <w14:solidFill>
              <w14:schemeClr w14:val="tx1"/>
            </w14:solidFill>
          </w14:textFill>
        </w:rPr>
        <w:t xml:space="preserve"> 渐变</w:t>
      </w:r>
      <w:r>
        <w:rPr>
          <w:rStyle w:val="81"/>
          <w:rFonts w:hint="eastAsia" w:hAnsi="宋体" w:cs="宋体"/>
          <w:color w:val="000000" w:themeColor="text1"/>
          <w:szCs w:val="24"/>
          <w:highlight w:val="none"/>
          <w14:textFill>
            <w14:solidFill>
              <w14:schemeClr w14:val="tx1"/>
            </w14:solidFill>
          </w14:textFill>
        </w:rPr>
        <w:t>段、展宽段长度按《城市道路交叉口设计规程》（CJJ 152-2010）设计。</w:t>
      </w:r>
    </w:p>
    <w:p w14:paraId="00C4439B">
      <w:pPr>
        <w:pStyle w:val="24"/>
        <w:ind w:firstLine="482"/>
        <w:rPr>
          <w:rFonts w:hint="eastAsia" w:hAnsi="宋体" w:cs="宋体"/>
          <w:b/>
          <w:bCs/>
          <w:color w:val="000000" w:themeColor="text1"/>
          <w:szCs w:val="24"/>
          <w:highlight w:val="none"/>
          <w14:textFill>
            <w14:solidFill>
              <w14:schemeClr w14:val="tx1"/>
            </w14:solidFill>
          </w14:textFill>
        </w:rPr>
      </w:pPr>
      <w:bookmarkStart w:id="476" w:name="_Toc96633174"/>
      <w:r>
        <w:rPr>
          <w:rFonts w:hint="eastAsia" w:hAnsi="宋体" w:cs="宋体"/>
          <w:b/>
          <w:bCs/>
          <w:color w:val="000000" w:themeColor="text1"/>
          <w:szCs w:val="24"/>
          <w:highlight w:val="none"/>
          <w14:textFill>
            <w14:solidFill>
              <w14:schemeClr w14:val="tx1"/>
            </w14:solidFill>
          </w14:textFill>
        </w:rPr>
        <w:t>11.1.4道路纵断面</w:t>
      </w:r>
      <w:bookmarkEnd w:id="476"/>
    </w:p>
    <w:p w14:paraId="04624D1B">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1.1.4.1 </w:t>
      </w:r>
      <w:r>
        <w:rPr>
          <w:rFonts w:hint="eastAsia" w:hAnsi="宋体" w:cs="宋体"/>
          <w:color w:val="000000" w:themeColor="text1"/>
          <w:szCs w:val="24"/>
          <w:highlight w:val="none"/>
          <w14:textFill>
            <w14:solidFill>
              <w14:schemeClr w14:val="tx1"/>
            </w14:solidFill>
          </w14:textFill>
        </w:rPr>
        <w:t>路线纵断面设计以尽量降低填挖高度、减少土石方数量、缩短桥隧长度、利于软基和高边坡处理、合理控制工程造价为原则。</w:t>
      </w:r>
    </w:p>
    <w:p w14:paraId="4A34B656">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1.1.4.2</w:t>
      </w:r>
      <w:r>
        <w:rPr>
          <w:rFonts w:hint="eastAsia" w:hAnsi="宋体" w:cs="宋体"/>
          <w:color w:val="000000" w:themeColor="text1"/>
          <w:szCs w:val="24"/>
          <w:highlight w:val="none"/>
          <w14:textFill>
            <w14:solidFill>
              <w14:schemeClr w14:val="tx1"/>
            </w14:solidFill>
          </w14:textFill>
        </w:rPr>
        <w:t xml:space="preserve"> 以提高挖方利用率为原则，综合考虑片区防洪要求及地下室开挖土方量，拟定地块地坪标高，道路纵断面设计应注意与地块建筑地坪标高的合理衔接，并接顺现状道路标高。</w:t>
      </w:r>
    </w:p>
    <w:p w14:paraId="6343E90C">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1.1.4.3</w:t>
      </w:r>
      <w:r>
        <w:rPr>
          <w:rFonts w:hint="eastAsia" w:hAnsi="宋体" w:cs="宋体"/>
          <w:color w:val="000000" w:themeColor="text1"/>
          <w:szCs w:val="24"/>
          <w:highlight w:val="none"/>
          <w14:textFill>
            <w14:solidFill>
              <w14:schemeClr w14:val="tx1"/>
            </w14:solidFill>
          </w14:textFill>
        </w:rPr>
        <w:t xml:space="preserve"> 纵断面应设计成平顺的纵断面线型，纵断面线形应力求指标均衡、视觉顺适并满足排水要求。</w:t>
      </w:r>
    </w:p>
    <w:p w14:paraId="3F507037">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1.1.4.4</w:t>
      </w:r>
      <w:r>
        <w:rPr>
          <w:rFonts w:hint="eastAsia" w:hAnsi="宋体" w:cs="宋体"/>
          <w:color w:val="000000" w:themeColor="text1"/>
          <w:szCs w:val="24"/>
          <w:highlight w:val="none"/>
          <w14:textFill>
            <w14:solidFill>
              <w14:schemeClr w14:val="tx1"/>
            </w14:solidFill>
          </w14:textFill>
        </w:rPr>
        <w:t xml:space="preserve"> 路线纵断面的控制高程应满足下列要求：</w:t>
      </w:r>
    </w:p>
    <w:p w14:paraId="0BEDB551">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 xml:space="preserve">11.1.4.4.1 </w:t>
      </w:r>
      <w:r>
        <w:rPr>
          <w:rStyle w:val="81"/>
          <w:rFonts w:hint="eastAsia" w:ascii="宋体" w:hAnsi="宋体" w:cs="宋体"/>
          <w:color w:val="000000" w:themeColor="text1"/>
          <w:sz w:val="24"/>
          <w:szCs w:val="24"/>
          <w:highlight w:val="none"/>
          <w14:textFill>
            <w14:solidFill>
              <w14:schemeClr w14:val="tx1"/>
            </w14:solidFill>
          </w14:textFill>
        </w:rPr>
        <w:t>有关部门提供的相交叉通航河流、等级公路、规划铁路、管线的净空要求。</w:t>
      </w:r>
    </w:p>
    <w:p w14:paraId="395194E8">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1.1.4.4.2 </w:t>
      </w:r>
      <w:r>
        <w:rPr>
          <w:rStyle w:val="81"/>
          <w:rFonts w:hint="eastAsia" w:ascii="宋体" w:hAnsi="宋体" w:cs="宋体"/>
          <w:color w:val="000000" w:themeColor="text1"/>
          <w:sz w:val="24"/>
          <w:szCs w:val="24"/>
          <w:highlight w:val="none"/>
          <w14:textFill>
            <w14:solidFill>
              <w14:schemeClr w14:val="tx1"/>
            </w14:solidFill>
          </w14:textFill>
        </w:rPr>
        <w:t>与沿线政府(乡、镇以上政府)和主管部门签定的横穿构造物净空协议。</w:t>
      </w:r>
    </w:p>
    <w:p w14:paraId="09CA4FC4">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1.1.4.4.3 </w:t>
      </w:r>
      <w:r>
        <w:rPr>
          <w:rStyle w:val="81"/>
          <w:rFonts w:hint="eastAsia" w:ascii="宋体" w:hAnsi="宋体" w:cs="宋体"/>
          <w:color w:val="000000" w:themeColor="text1"/>
          <w:sz w:val="24"/>
          <w:szCs w:val="24"/>
          <w:highlight w:val="none"/>
          <w14:textFill>
            <w14:solidFill>
              <w14:schemeClr w14:val="tx1"/>
            </w14:solidFill>
          </w14:textFill>
        </w:rPr>
        <w:t>本项目沿线水文分析和调查的设计水位资料及相关要求。</w:t>
      </w:r>
    </w:p>
    <w:p w14:paraId="3162D09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1.1.4.5</w:t>
      </w:r>
      <w:r>
        <w:rPr>
          <w:rFonts w:hint="eastAsia" w:hAnsi="宋体" w:cs="宋体"/>
          <w:color w:val="000000" w:themeColor="text1"/>
          <w:szCs w:val="24"/>
          <w:highlight w:val="none"/>
          <w14:textFill>
            <w14:solidFill>
              <w14:schemeClr w14:val="tx1"/>
            </w14:solidFill>
          </w14:textFill>
        </w:rPr>
        <w:t xml:space="preserve"> 本项目纵坡建议控制在3％以内。考虑项目所在地区降雨量大，纵断面设计应避免采用平坡，挖方路段最小纵坡不小于0.3％，尽量少用纵坡极限值。对长路堑路段宜采用不小于0.5%的纵坡。当超高附加纵坡与路线纵坡一致对排水有利时，纵坡不宜小于0.4%，当超高附加纵坡与路线纵坡相反对排水不利时，纵坡不宜小于0.6%。</w:t>
      </w:r>
    </w:p>
    <w:p w14:paraId="36EA2301">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1.1.4.6</w:t>
      </w:r>
      <w:r>
        <w:rPr>
          <w:rFonts w:hint="eastAsia" w:hAnsi="宋体" w:cs="宋体"/>
          <w:color w:val="000000" w:themeColor="text1"/>
          <w:szCs w:val="24"/>
          <w:highlight w:val="none"/>
          <w14:textFill>
            <w14:solidFill>
              <w14:schemeClr w14:val="tx1"/>
            </w14:solidFill>
          </w14:textFill>
        </w:rPr>
        <w:t xml:space="preserve"> 竖曲线半径从有利于视觉和路容美观出发，为获得平顺而连续的线形，其曲线半径宜尽量加大且不应小于一般最小值。</w:t>
      </w:r>
    </w:p>
    <w:p w14:paraId="4F4D9C87">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11.1.4.6</w:t>
      </w: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竖曲线长度不小于现行规范规定要求。</w:t>
      </w:r>
    </w:p>
    <w:p w14:paraId="6F7AC59A">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1.1.4.6</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2 </w:t>
      </w:r>
      <w:r>
        <w:rPr>
          <w:rStyle w:val="81"/>
          <w:rFonts w:hint="eastAsia" w:ascii="宋体" w:hAnsi="宋体" w:cs="宋体"/>
          <w:color w:val="000000" w:themeColor="text1"/>
          <w:sz w:val="24"/>
          <w:szCs w:val="24"/>
          <w:highlight w:val="none"/>
          <w14:textFill>
            <w14:solidFill>
              <w14:schemeClr w14:val="tx1"/>
            </w14:solidFill>
          </w14:textFill>
        </w:rPr>
        <w:t>凹型竖曲线的底部尽量避免设在桥上。</w:t>
      </w:r>
    </w:p>
    <w:p w14:paraId="53FB87A0">
      <w:pPr>
        <w:pStyle w:val="24"/>
        <w:ind w:firstLine="482"/>
        <w:rPr>
          <w:rFonts w:hint="eastAsia" w:hAnsi="宋体" w:cs="宋体"/>
          <w:b/>
          <w:bCs/>
          <w:color w:val="000000" w:themeColor="text1"/>
          <w:szCs w:val="24"/>
          <w:highlight w:val="none"/>
          <w14:textFill>
            <w14:solidFill>
              <w14:schemeClr w14:val="tx1"/>
            </w14:solidFill>
          </w14:textFill>
        </w:rPr>
      </w:pPr>
      <w:bookmarkStart w:id="477" w:name="_Toc96633175"/>
      <w:r>
        <w:rPr>
          <w:rFonts w:hint="eastAsia" w:hAnsi="宋体" w:cs="宋体"/>
          <w:b/>
          <w:bCs/>
          <w:color w:val="000000" w:themeColor="text1"/>
          <w:szCs w:val="24"/>
          <w:highlight w:val="none"/>
          <w14:textFill>
            <w14:solidFill>
              <w14:schemeClr w14:val="tx1"/>
            </w14:solidFill>
          </w14:textFill>
        </w:rPr>
        <w:t>11.1.5道路横断面</w:t>
      </w:r>
      <w:bookmarkEnd w:id="477"/>
    </w:p>
    <w:p w14:paraId="738EE781">
      <w:pPr>
        <w:pStyle w:val="98"/>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为规范道路横断面设计、推行绿色交通的理念、强化非机动车道、人行道等慢行系统建设要求，构建“安全、连续、方便、舒适”的出行环境，红线内的道路横断面布置原则上按《广州市城市道路标准横断面设计指引（试行）》执行。若新建道路存在拟建或已建道路，经相关部门批准后可按周边衔接道路断面实施。各种典型断面布置如下所示。</w:t>
      </w:r>
    </w:p>
    <w:p w14:paraId="4C542CA9">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bookmarkStart w:id="478" w:name="_Toc96633176"/>
      <w:r>
        <w:rPr>
          <w:rFonts w:hint="eastAsia" w:hAnsi="宋体" w:cs="宋体"/>
          <w:b/>
          <w:bCs/>
          <w:color w:val="000000" w:themeColor="text1"/>
          <w:szCs w:val="24"/>
          <w:highlight w:val="none"/>
          <w14:textFill>
            <w14:solidFill>
              <w14:schemeClr w14:val="tx1"/>
            </w14:solidFill>
          </w14:textFill>
        </w:rPr>
        <w:t>11.1.6道路路基</w:t>
      </w:r>
      <w:bookmarkEnd w:id="478"/>
    </w:p>
    <w:p w14:paraId="54421F58">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 xml:space="preserve">11.1.6.1 </w:t>
      </w:r>
      <w:r>
        <w:rPr>
          <w:rFonts w:hint="eastAsia" w:hAnsi="宋体" w:cs="宋体"/>
          <w:color w:val="000000" w:themeColor="text1"/>
          <w:szCs w:val="24"/>
          <w:highlight w:val="none"/>
          <w14:textFill>
            <w14:solidFill>
              <w14:schemeClr w14:val="tx1"/>
            </w14:solidFill>
          </w14:textFill>
        </w:rPr>
        <w:t>路基边坡坡率</w:t>
      </w:r>
    </w:p>
    <w:p w14:paraId="07B9458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本项目以填方路堤为主，局部路段存在挖方，填、挖方高度均＜8m，边坡坡率分别按1:1.5、1:1设计。</w:t>
      </w:r>
    </w:p>
    <w:p w14:paraId="69AD9F6A">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11.1.6.2</w:t>
      </w:r>
      <w:r>
        <w:rPr>
          <w:rFonts w:hint="eastAsia" w:hAnsi="宋体" w:cs="宋体"/>
          <w:color w:val="000000" w:themeColor="text1"/>
          <w:szCs w:val="24"/>
          <w:highlight w:val="none"/>
          <w14:textFill>
            <w14:solidFill>
              <w14:schemeClr w14:val="tx1"/>
            </w14:solidFill>
          </w14:textFill>
        </w:rPr>
        <w:t xml:space="preserve"> 路基填料要求</w:t>
      </w:r>
    </w:p>
    <w:p w14:paraId="44C98F02">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路基填料采用级配较好的砾类土、砂类土等粗粒土，填料最大直径应小于150mm。</w:t>
      </w:r>
    </w:p>
    <w:p w14:paraId="03800FF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挖方路段的变质岩风化土、花岗岩风化土、砂岩风化土性质一般都比较良好，可用作路基填料，但同样需进行相关填料试验。</w:t>
      </w:r>
    </w:p>
    <w:p w14:paraId="62F1B1E6">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挡土墙墙后填料为中粗砂；涵洞台后、桥台台后填料为石屑。</w:t>
      </w:r>
    </w:p>
    <w:p w14:paraId="6D42BAB7">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11.1.6.3</w:t>
      </w:r>
      <w:r>
        <w:rPr>
          <w:rFonts w:hint="eastAsia" w:hAnsi="宋体" w:cs="宋体"/>
          <w:color w:val="000000" w:themeColor="text1"/>
          <w:szCs w:val="24"/>
          <w:highlight w:val="none"/>
          <w14:textFill>
            <w14:solidFill>
              <w14:schemeClr w14:val="tx1"/>
            </w14:solidFill>
          </w14:textFill>
        </w:rPr>
        <w:t xml:space="preserve"> 地下水位较高路段</w:t>
      </w:r>
    </w:p>
    <w:p w14:paraId="3401E97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先抛填块石或回填石屑，厚度根据土质及水位情况而定，再回填路基土。</w:t>
      </w:r>
    </w:p>
    <w:p w14:paraId="4866D5D8">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11.1.6.4</w:t>
      </w:r>
      <w:r>
        <w:rPr>
          <w:rFonts w:hint="eastAsia" w:hAnsi="宋体" w:cs="宋体"/>
          <w:color w:val="000000" w:themeColor="text1"/>
          <w:szCs w:val="24"/>
          <w:highlight w:val="none"/>
          <w14:textFill>
            <w14:solidFill>
              <w14:schemeClr w14:val="tx1"/>
            </w14:solidFill>
          </w14:textFill>
        </w:rPr>
        <w:t xml:space="preserve"> 不良地质及特殊路基设计</w:t>
      </w:r>
    </w:p>
    <w:p w14:paraId="2C26A838">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软基处理一般方法主要有：浅层换填、塑料排水板堆载预压排水固结法、水泥搅拌桩复合地基法，根据勘察报告按以下原则选取相应的工法。</w:t>
      </w:r>
    </w:p>
    <w:p w14:paraId="621043A2">
      <w:pPr>
        <w:pStyle w:val="24"/>
        <w:ind w:firstLine="48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11.1.6.5</w:t>
      </w:r>
      <w:r>
        <w:rPr>
          <w:rFonts w:hint="eastAsia" w:hAnsi="宋体" w:cs="宋体"/>
          <w:color w:val="000000" w:themeColor="text1"/>
          <w:szCs w:val="24"/>
          <w:highlight w:val="none"/>
          <w14:textFill>
            <w14:solidFill>
              <w14:schemeClr w14:val="tx1"/>
            </w14:solidFill>
          </w14:textFill>
        </w:rPr>
        <w:t xml:space="preserve"> 浅层软弱土厚度小于3m路段，采用浅层换填法，换填材料同路堤填土，换填深度至杂填土底面，最大换填深度按3m控制。</w:t>
      </w:r>
    </w:p>
    <w:p w14:paraId="24FF8F25">
      <w:pPr>
        <w:pStyle w:val="24"/>
        <w:ind w:firstLine="48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11.1.6.6</w:t>
      </w:r>
      <w:r>
        <w:rPr>
          <w:rFonts w:hint="eastAsia" w:hAnsi="宋体" w:cs="宋体"/>
          <w:color w:val="000000" w:themeColor="text1"/>
          <w:szCs w:val="24"/>
          <w:highlight w:val="none"/>
          <w14:textFill>
            <w14:solidFill>
              <w14:schemeClr w14:val="tx1"/>
            </w14:solidFill>
          </w14:textFill>
        </w:rPr>
        <w:t xml:space="preserve"> 软弱土厚度大于3m路段，建议采用水泥搅拌桩复合地基，搅拌桩直径50cm，水泥掺量60～65kg/m，28d桩身无侧限抗压强度达到0.8MPa以上,90d桩身无侧限抗压强度达到1.2MPa以上，搅拌桩要求进入粘土层或中粗砂层至少0.5m，最大桩长按15.0m控制。一般路桩间距建议按1.3~1.5m，桥头段桩间距建议按1.1~1.3m，三角形布置。搅拌桩顶设置30cm厚的碎石垫层及TGSG80双向土工格栅。</w:t>
      </w:r>
    </w:p>
    <w:p w14:paraId="7B234A7E">
      <w:pPr>
        <w:pStyle w:val="24"/>
        <w:ind w:firstLine="48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11.1.6.7</w:t>
      </w:r>
      <w:r>
        <w:rPr>
          <w:rFonts w:hint="eastAsia" w:hAnsi="宋体" w:cs="宋体"/>
          <w:color w:val="000000" w:themeColor="text1"/>
          <w:szCs w:val="24"/>
          <w:highlight w:val="none"/>
          <w14:textFill>
            <w14:solidFill>
              <w14:schemeClr w14:val="tx1"/>
            </w14:solidFill>
          </w14:textFill>
        </w:rPr>
        <w:t xml:space="preserve"> 对于挡墙及桥头段等特殊构筑物位置，如采用水泥搅拌桩复合地基仍无法满足沉降及承载力要求的，应根据地质资料，通过计算选取管桩、CFG桩等刚性桩进行处理。</w:t>
      </w:r>
    </w:p>
    <w:p w14:paraId="13EDABA1">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r>
        <w:rPr>
          <w:rFonts w:hint="eastAsia" w:hAnsi="宋体" w:cs="宋体"/>
          <w:b/>
          <w:bCs/>
          <w:color w:val="000000" w:themeColor="text1"/>
          <w:szCs w:val="24"/>
          <w:highlight w:val="none"/>
          <w14:textFill>
            <w14:solidFill>
              <w14:schemeClr w14:val="tx1"/>
            </w14:solidFill>
          </w14:textFill>
        </w:rPr>
        <w:t>11.1.7 路基边坡防护</w:t>
      </w:r>
    </w:p>
    <w:p w14:paraId="1FDDE9AD">
      <w:pPr>
        <w:wordWrap w:val="0"/>
        <w:snapToGrid/>
        <w:spacing w:before="0" w:after="0" w:line="360" w:lineRule="auto"/>
        <w:ind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11.1.7.1 道路沿线均为安置区建筑用地，一般路段路堤高度较小，仅采用植草或草皮（当地草籽或草皮）防护；桥头或箱涵段，若边坡填土高度超过3米，采用三维网植草防护。</w:t>
      </w:r>
    </w:p>
    <w:p w14:paraId="1F5A4F71">
      <w:pPr>
        <w:wordWrap w:val="0"/>
        <w:snapToGrid/>
        <w:spacing w:before="0" w:after="0" w:line="360" w:lineRule="auto"/>
        <w:ind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11.1.7.2 外围道路受安置区红线限制无放坡条件的，应设置垂直挡墙，根据路基高度可采用悬臂式挡土墙、扶壁式挡土墙、浆砌片石重力式挡土墙或片石砼衡重式挡土墙。</w:t>
      </w:r>
    </w:p>
    <w:p w14:paraId="66A6615D">
      <w:pPr>
        <w:wordWrap w:val="0"/>
        <w:snapToGrid/>
        <w:spacing w:before="0" w:after="0" w:line="360" w:lineRule="auto"/>
        <w:ind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11.1.7.3 桥头锥坡无冲刷时采用六棱块植草防护，有冲刷时应加强排水设计并采用浆砌片石防护。</w:t>
      </w:r>
    </w:p>
    <w:p w14:paraId="17F21949">
      <w:pPr>
        <w:pStyle w:val="24"/>
        <w:ind w:left="440" w:leftChars="200" w:firstLine="0" w:firstLineChars="0"/>
        <w:rPr>
          <w:rFonts w:hint="eastAsia" w:hAnsi="宋体" w:cs="宋体"/>
          <w:b/>
          <w:bCs/>
          <w:color w:val="000000" w:themeColor="text1"/>
          <w:szCs w:val="24"/>
          <w:highlight w:val="none"/>
          <w14:textFill>
            <w14:solidFill>
              <w14:schemeClr w14:val="tx1"/>
            </w14:solidFill>
          </w14:textFill>
        </w:rPr>
      </w:pPr>
      <w:bookmarkStart w:id="479" w:name="_Toc96633177"/>
      <w:r>
        <w:rPr>
          <w:rFonts w:hint="eastAsia" w:hAnsi="宋体" w:cs="宋体"/>
          <w:b/>
          <w:bCs/>
          <w:color w:val="000000" w:themeColor="text1"/>
          <w:szCs w:val="24"/>
          <w:highlight w:val="none"/>
          <w14:textFill>
            <w14:solidFill>
              <w14:schemeClr w14:val="tx1"/>
            </w14:solidFill>
          </w14:textFill>
        </w:rPr>
        <w:t>11.8 道路路面</w:t>
      </w:r>
      <w:bookmarkEnd w:id="479"/>
    </w:p>
    <w:p w14:paraId="3DC0B998">
      <w:pPr>
        <w:pStyle w:val="24"/>
        <w:tabs>
          <w:tab w:val="left" w:pos="420"/>
        </w:tabs>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 </w:t>
      </w:r>
      <w:r>
        <w:rPr>
          <w:rFonts w:hint="eastAsia" w:hAnsi="宋体" w:cs="宋体"/>
          <w:color w:val="000000" w:themeColor="text1"/>
          <w:szCs w:val="24"/>
          <w:highlight w:val="none"/>
          <w14:textFill>
            <w14:solidFill>
              <w14:schemeClr w14:val="tx1"/>
            </w14:solidFill>
          </w14:textFill>
        </w:rPr>
        <w:t>路面结构</w:t>
      </w:r>
    </w:p>
    <w:p w14:paraId="259CDF47">
      <w:pPr>
        <w:pStyle w:val="98"/>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按市交通运输局颁布的《广州市道路工程路面结构设计指引》进行设计，推荐路面结构方案如下。</w:t>
      </w:r>
    </w:p>
    <w:p w14:paraId="0E2E5F38">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1.8.1.1 </w:t>
      </w:r>
      <w:r>
        <w:rPr>
          <w:rFonts w:hint="eastAsia" w:ascii="宋体" w:hAnsi="宋体" w:eastAsia="宋体" w:cs="宋体"/>
          <w:color w:val="000000" w:themeColor="text1"/>
          <w:sz w:val="24"/>
          <w:szCs w:val="24"/>
          <w:highlight w:val="none"/>
          <w14:textFill>
            <w14:solidFill>
              <w14:schemeClr w14:val="tx1"/>
            </w14:solidFill>
          </w14:textFill>
        </w:rPr>
        <w:t>新建主干路路面结构</w:t>
      </w:r>
    </w:p>
    <w:p w14:paraId="2407923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1. </w:t>
      </w:r>
      <w:r>
        <w:rPr>
          <w:rFonts w:hint="eastAsia" w:ascii="宋体" w:hAnsi="宋体" w:eastAsia="宋体" w:cs="宋体"/>
          <w:color w:val="000000" w:themeColor="text1"/>
          <w:sz w:val="24"/>
          <w:szCs w:val="24"/>
          <w:highlight w:val="none"/>
          <w14:textFill>
            <w14:solidFill>
              <w14:schemeClr w14:val="tx1"/>
            </w14:solidFill>
          </w14:textFill>
        </w:rPr>
        <w:t>重交通等级（E。≥50）</w:t>
      </w:r>
    </w:p>
    <w:p w14:paraId="5180AAD5">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上面层：4cm细粒式改性沥青混凝土AC-13C</w:t>
      </w:r>
    </w:p>
    <w:p w14:paraId="5026945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73154A61">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中面层：6cm中粒式改性沥青混凝土AC-20C</w:t>
      </w:r>
    </w:p>
    <w:p w14:paraId="12D372B6">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54E4732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下面层：8cm粗粒式沥青混凝土AC-25C</w:t>
      </w:r>
    </w:p>
    <w:p w14:paraId="5B2374F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下封层：SBS改性热沥青+撒布瓜米石</w:t>
      </w:r>
    </w:p>
    <w:p w14:paraId="7A4C0079">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透  层：机械喷洒道路用乳化沥青（PC-2）透层油1.2L/m2</w:t>
      </w:r>
    </w:p>
    <w:p w14:paraId="50BB17BE">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层：36cm5%水泥稳定级配碎石</w:t>
      </w:r>
    </w:p>
    <w:p w14:paraId="348AC28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下基层：18cm4%水泥稳定级配碎石</w:t>
      </w:r>
    </w:p>
    <w:p w14:paraId="4A562543">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垫  层：15cm级配碎石</w:t>
      </w:r>
    </w:p>
    <w:p w14:paraId="65E06237">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2. </w:t>
      </w:r>
      <w:r>
        <w:rPr>
          <w:rFonts w:hint="eastAsia" w:ascii="宋体" w:hAnsi="宋体" w:eastAsia="宋体" w:cs="宋体"/>
          <w:color w:val="000000" w:themeColor="text1"/>
          <w:sz w:val="24"/>
          <w:szCs w:val="24"/>
          <w:highlight w:val="none"/>
          <w14:textFill>
            <w14:solidFill>
              <w14:schemeClr w14:val="tx1"/>
            </w14:solidFill>
          </w14:textFill>
        </w:rPr>
        <w:t>中等交通等级（E。≥40）</w:t>
      </w:r>
    </w:p>
    <w:p w14:paraId="6C24C0E1">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上面层：4cm细粒式改性沥青混凝土AC-13C</w:t>
      </w:r>
    </w:p>
    <w:p w14:paraId="59085CF7">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30E358D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中面层：6cm中粒式改性沥青混凝土AC-20C</w:t>
      </w:r>
    </w:p>
    <w:p w14:paraId="1CD49D55">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23A47C3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下面层：8cm粗粒式沥青混凝土AC-25C</w:t>
      </w:r>
    </w:p>
    <w:p w14:paraId="783DA4D0">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下封层：70#热沥青+撒布瓜米石</w:t>
      </w:r>
    </w:p>
    <w:p w14:paraId="6FE8BC2A">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透  层：机械喷洒道路用乳化沥青（PC-2）透层油1.2L/m2</w:t>
      </w:r>
    </w:p>
    <w:p w14:paraId="4E879A28">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层：34cm5%水泥稳定级配碎石</w:t>
      </w:r>
    </w:p>
    <w:p w14:paraId="4331D6F5">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下基层：18cm4%水泥稳定碎石</w:t>
      </w:r>
    </w:p>
    <w:p w14:paraId="6A105A7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垫  层：15cm级配碎石</w:t>
      </w:r>
    </w:p>
    <w:p w14:paraId="106B1219">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1.8.1.2 </w:t>
      </w:r>
      <w:r>
        <w:rPr>
          <w:rFonts w:hint="eastAsia" w:ascii="宋体" w:hAnsi="宋体" w:eastAsia="宋体" w:cs="宋体"/>
          <w:color w:val="000000" w:themeColor="text1"/>
          <w:sz w:val="24"/>
          <w:szCs w:val="24"/>
          <w:highlight w:val="none"/>
          <w14:textFill>
            <w14:solidFill>
              <w14:schemeClr w14:val="tx1"/>
            </w14:solidFill>
          </w14:textFill>
        </w:rPr>
        <w:t>新建次干路路面结构（E。≥40）</w:t>
      </w:r>
    </w:p>
    <w:p w14:paraId="76A2098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上面层：4cm细粒式改性沥青混凝土AC-13C</w:t>
      </w:r>
    </w:p>
    <w:p w14:paraId="4154153F">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51BFFB4F">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下面层：8cm中粒式改性沥青混凝土AC-20C</w:t>
      </w:r>
    </w:p>
    <w:p w14:paraId="4D18F558">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下封层：70#热沥青+撒布瓜米石</w:t>
      </w:r>
    </w:p>
    <w:p w14:paraId="5188FD2C">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透  层：机械喷洒道路用乳化沥青（PC-2）透层油1.2L/m2</w:t>
      </w:r>
    </w:p>
    <w:p w14:paraId="0F655069">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层：34cm5%水泥稳定级配碎石</w:t>
      </w:r>
    </w:p>
    <w:p w14:paraId="3CCA944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底基层：18cm4%水泥稳定碎石</w:t>
      </w:r>
    </w:p>
    <w:p w14:paraId="42A824B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垫  层：15cm未筛分碎石</w:t>
      </w:r>
    </w:p>
    <w:p w14:paraId="47964D89">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1.8.1.3 </w:t>
      </w:r>
      <w:r>
        <w:rPr>
          <w:rFonts w:hint="eastAsia" w:ascii="宋体" w:hAnsi="宋体" w:eastAsia="宋体" w:cs="宋体"/>
          <w:color w:val="000000" w:themeColor="text1"/>
          <w:sz w:val="24"/>
          <w:szCs w:val="24"/>
          <w:highlight w:val="none"/>
          <w14:textFill>
            <w14:solidFill>
              <w14:schemeClr w14:val="tx1"/>
            </w14:solidFill>
          </w14:textFill>
        </w:rPr>
        <w:t>新建支路路面结构（E。≥40）</w:t>
      </w:r>
    </w:p>
    <w:p w14:paraId="6C2969A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上面层：4cm细粒式改性沥青混凝土AC-13C</w:t>
      </w:r>
    </w:p>
    <w:p w14:paraId="0BC7AA5A">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05DF0176">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下面层：6cm中粒式改性沥青混凝土AC-20C</w:t>
      </w:r>
    </w:p>
    <w:p w14:paraId="5747B946">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下封层：70#热沥青+撒布瓜米石</w:t>
      </w:r>
    </w:p>
    <w:p w14:paraId="759B8F1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透  层：机械喷洒道路用乳化沥青（PC-2）透层油1.2L/m2</w:t>
      </w:r>
    </w:p>
    <w:p w14:paraId="6BCE3FD2">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层：32cm4%水泥稳定级配碎石</w:t>
      </w:r>
    </w:p>
    <w:p w14:paraId="627357E5">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底基层：18cm4%水泥稳定碎石</w:t>
      </w:r>
    </w:p>
    <w:p w14:paraId="7DFFC8B9">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垫  层：15cm未筛分碎石</w:t>
      </w:r>
    </w:p>
    <w:p w14:paraId="58C46DEC">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1.8.1.4 </w:t>
      </w:r>
      <w:r>
        <w:rPr>
          <w:rFonts w:hint="eastAsia" w:ascii="宋体" w:hAnsi="宋体" w:eastAsia="宋体" w:cs="宋体"/>
          <w:color w:val="000000" w:themeColor="text1"/>
          <w:sz w:val="24"/>
          <w:szCs w:val="24"/>
          <w:highlight w:val="none"/>
          <w14:textFill>
            <w14:solidFill>
              <w14:schemeClr w14:val="tx1"/>
            </w14:solidFill>
          </w14:textFill>
        </w:rPr>
        <w:t>桥涵路面铺装：</w:t>
      </w:r>
    </w:p>
    <w:p w14:paraId="02B9D55F">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  面  层：4cm细粒式改性沥青混凝土AC-13C</w:t>
      </w:r>
    </w:p>
    <w:p w14:paraId="2E3B60CC">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36FD504C">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  面  层：6cm中粒式改性沥青混凝土AC-20C</w:t>
      </w:r>
    </w:p>
    <w:p w14:paraId="2EFE4A7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防水粘结层：SBS改性沥青+撒布瓜米石</w:t>
      </w:r>
    </w:p>
    <w:p w14:paraId="6C7B0B9F">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桥面板</w:t>
      </w:r>
    </w:p>
    <w:p w14:paraId="4779B78A">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1.8.1.5 </w:t>
      </w:r>
      <w:r>
        <w:rPr>
          <w:rFonts w:hint="eastAsia" w:ascii="宋体" w:hAnsi="宋体" w:eastAsia="宋体" w:cs="宋体"/>
          <w:color w:val="000000" w:themeColor="text1"/>
          <w:sz w:val="24"/>
          <w:szCs w:val="24"/>
          <w:highlight w:val="none"/>
          <w14:textFill>
            <w14:solidFill>
              <w14:schemeClr w14:val="tx1"/>
            </w14:solidFill>
          </w14:textFill>
        </w:rPr>
        <w:t>非机动车道（单独下沉，并与机动车道设有绿化分隔，采用不透水型）</w:t>
      </w:r>
    </w:p>
    <w:p w14:paraId="23830ED0">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上 面 层：4cm细粒式沥青混凝土AC-13C</w:t>
      </w:r>
    </w:p>
    <w:p w14:paraId="75DC07B1">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粘    层：机械喷洒道路用乳化沥青（PC-3）粘层油0.55L/m2</w:t>
      </w:r>
    </w:p>
    <w:p w14:paraId="1520121B">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下 面 层：6cm中粒式沥青混凝土AC-20C</w:t>
      </w:r>
    </w:p>
    <w:p w14:paraId="0A63529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层：15cmC20水泥混凝土</w:t>
      </w:r>
    </w:p>
    <w:p w14:paraId="1F63B728">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1.8.1.6 </w:t>
      </w:r>
      <w:r>
        <w:rPr>
          <w:rFonts w:hint="eastAsia" w:ascii="宋体" w:hAnsi="宋体" w:eastAsia="宋体" w:cs="宋体"/>
          <w:color w:val="000000" w:themeColor="text1"/>
          <w:sz w:val="24"/>
          <w:szCs w:val="24"/>
          <w:highlight w:val="none"/>
          <w14:textFill>
            <w14:solidFill>
              <w14:schemeClr w14:val="tx1"/>
            </w14:solidFill>
          </w14:textFill>
        </w:rPr>
        <w:t>人行道（透水）</w:t>
      </w:r>
    </w:p>
    <w:p w14:paraId="4F7646A2">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面  层：30×60×8cm混凝土透水砖</w:t>
      </w:r>
    </w:p>
    <w:p w14:paraId="07808B2C">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调平层：2cm干硬性透水水泥砂浆</w:t>
      </w:r>
    </w:p>
    <w:p w14:paraId="6967D40C">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基  层：15cmC20透水水泥混凝土</w:t>
      </w:r>
    </w:p>
    <w:p w14:paraId="4F3ED1FC">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.8.2 </w:t>
      </w:r>
      <w:r>
        <w:rPr>
          <w:rFonts w:hint="eastAsia" w:hAnsi="宋体" w:cs="宋体"/>
          <w:color w:val="000000" w:themeColor="text1"/>
          <w:szCs w:val="24"/>
          <w:highlight w:val="none"/>
          <w14:textFill>
            <w14:solidFill>
              <w14:schemeClr w14:val="tx1"/>
            </w14:solidFill>
          </w14:textFill>
        </w:rPr>
        <w:t>道路侧石及压条</w:t>
      </w:r>
    </w:p>
    <w:p w14:paraId="380A9387">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道路侧平石及压条设计按照广州市城乡建设委员会2015年9月颁发的《广州市政府投资项目天然石材应用指引》执行。（材料均采用天然花岗岩材料，色调为灰麻色调。）</w:t>
      </w:r>
    </w:p>
    <w:p w14:paraId="08CA79DD">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8.2.1 </w:t>
      </w:r>
      <w:r>
        <w:rPr>
          <w:rFonts w:hint="eastAsia" w:ascii="宋体" w:hAnsi="宋体" w:eastAsia="宋体" w:cs="宋体"/>
          <w:color w:val="000000" w:themeColor="text1"/>
          <w:sz w:val="24"/>
          <w:szCs w:val="24"/>
          <w:highlight w:val="none"/>
          <w14:textFill>
            <w14:solidFill>
              <w14:schemeClr w14:val="tx1"/>
            </w14:solidFill>
          </w14:textFill>
        </w:rPr>
        <w:t>侧石</w:t>
      </w:r>
    </w:p>
    <w:p w14:paraId="5AB1C244">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1. </w:t>
      </w:r>
      <w:r>
        <w:rPr>
          <w:rFonts w:hint="eastAsia" w:ascii="宋体" w:hAnsi="宋体" w:eastAsia="宋体" w:cs="宋体"/>
          <w:color w:val="000000" w:themeColor="text1"/>
          <w:sz w:val="24"/>
          <w:szCs w:val="24"/>
          <w:highlight w:val="none"/>
          <w14:textFill>
            <w14:solidFill>
              <w14:schemeClr w14:val="tx1"/>
            </w14:solidFill>
          </w14:textFill>
        </w:rPr>
        <w:t>侧石分为高侧石及低侧石两种，高侧石用于中央分隔带、侧分带处，低侧石用于机动车道与人行道分隔处、人行道与外侧绿化分隔处。</w:t>
      </w:r>
    </w:p>
    <w:p w14:paraId="70768045">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2. </w:t>
      </w:r>
      <w:r>
        <w:rPr>
          <w:rFonts w:hint="eastAsia" w:ascii="宋体" w:hAnsi="宋体" w:eastAsia="宋体" w:cs="宋体"/>
          <w:color w:val="000000" w:themeColor="text1"/>
          <w:sz w:val="24"/>
          <w:szCs w:val="24"/>
          <w:highlight w:val="none"/>
          <w14:textFill>
            <w14:solidFill>
              <w14:schemeClr w14:val="tx1"/>
            </w14:solidFill>
          </w14:textFill>
        </w:rPr>
        <w:t>标准段侧石长度推荐采用100cm，高侧石尺寸采用100×20×60cm，低侧石尺寸采用100×15×30cm，侧石顶倒角采用R=5cm。</w:t>
      </w:r>
    </w:p>
    <w:p w14:paraId="0D23C18B">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 xml:space="preserve">8.2.2 </w:t>
      </w:r>
      <w:r>
        <w:rPr>
          <w:rFonts w:hint="eastAsia" w:ascii="宋体" w:hAnsi="宋体" w:eastAsia="宋体" w:cs="宋体"/>
          <w:color w:val="000000" w:themeColor="text1"/>
          <w:sz w:val="24"/>
          <w:szCs w:val="24"/>
          <w:highlight w:val="none"/>
          <w14:textFill>
            <w14:solidFill>
              <w14:schemeClr w14:val="tx1"/>
            </w14:solidFill>
          </w14:textFill>
        </w:rPr>
        <w:t>平石</w:t>
      </w:r>
    </w:p>
    <w:p w14:paraId="2FC4A952">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车行道边应设置平石，平石至路面基层之间需设置底座进行调平；当调平层厚度不大于5cm时，采用M10水泥砂浆调平；调平层厚度超过5cm时，采用C20现浇混凝土调平。</w:t>
      </w:r>
    </w:p>
    <w:p w14:paraId="26A06EA1">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8.2.3 </w:t>
      </w:r>
      <w:r>
        <w:rPr>
          <w:rFonts w:hint="eastAsia" w:hAnsi="宋体" w:cs="宋体"/>
          <w:color w:val="000000" w:themeColor="text1"/>
          <w:szCs w:val="24"/>
          <w:highlight w:val="none"/>
          <w14:textFill>
            <w14:solidFill>
              <w14:schemeClr w14:val="tx1"/>
            </w14:solidFill>
          </w14:textFill>
        </w:rPr>
        <w:t>压条</w:t>
      </w:r>
    </w:p>
    <w:p w14:paraId="73C0E709">
      <w:pPr>
        <w:pStyle w:val="98"/>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人行道中各结构的分隔需采用压条。标准段压条尺寸采用100×15×16cm。</w:t>
      </w:r>
    </w:p>
    <w:p w14:paraId="4A6C2839">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8.3 </w:t>
      </w:r>
      <w:r>
        <w:rPr>
          <w:rFonts w:hint="eastAsia" w:hAnsi="宋体" w:cs="宋体"/>
          <w:color w:val="000000" w:themeColor="text1"/>
          <w:szCs w:val="24"/>
          <w:highlight w:val="none"/>
          <w14:textFill>
            <w14:solidFill>
              <w14:schemeClr w14:val="tx1"/>
            </w14:solidFill>
          </w14:textFill>
        </w:rPr>
        <w:t>装饰井盖质量要求</w:t>
      </w:r>
    </w:p>
    <w:p w14:paraId="324FF889">
      <w:pPr>
        <w:pStyle w:val="98"/>
        <w:ind w:firstLine="480"/>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所有位于人行及非机动车道范围内的各类市政管线井盖，均需采用不锈钢材质装饰井盖，材质厚度采用4mm。井盖内填充材料与人行及非机动车道材料一致。</w:t>
      </w:r>
    </w:p>
    <w:p w14:paraId="40FE73D7">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8.4 </w:t>
      </w:r>
      <w:r>
        <w:rPr>
          <w:rFonts w:hint="eastAsia" w:hAnsi="宋体" w:cs="宋体"/>
          <w:color w:val="000000" w:themeColor="text1"/>
          <w:szCs w:val="24"/>
          <w:highlight w:val="none"/>
          <w14:textFill>
            <w14:solidFill>
              <w14:schemeClr w14:val="tx1"/>
            </w14:solidFill>
          </w14:textFill>
        </w:rPr>
        <w:t>车止石、护栏、树池等</w:t>
      </w:r>
    </w:p>
    <w:p w14:paraId="7CAED14C">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1.8.4.1 </w:t>
      </w:r>
      <w:r>
        <w:rPr>
          <w:rFonts w:hint="eastAsia" w:ascii="宋体" w:hAnsi="宋体" w:eastAsia="宋体" w:cs="宋体"/>
          <w:color w:val="000000" w:themeColor="text1"/>
          <w:sz w:val="24"/>
          <w:szCs w:val="24"/>
          <w:highlight w:val="none"/>
          <w14:textFill>
            <w14:solidFill>
              <w14:schemeClr w14:val="tx1"/>
            </w14:solidFill>
          </w14:textFill>
        </w:rPr>
        <w:t>车止石、人行道护栏等按《广州市城市家具建设指引》进行设计，建议优先采用黑色铸铁材质，推荐样式如下。（机非分隔护栏按交通专业设计标准）</w:t>
      </w:r>
    </w:p>
    <w:p w14:paraId="59A05AC7">
      <w:pPr>
        <w:wordWrap w:val="0"/>
        <w:snapToGrid/>
        <w:spacing w:before="0" w:after="0" w:line="360" w:lineRule="auto"/>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 xml:space="preserve">1.8.4.2 </w:t>
      </w:r>
      <w:r>
        <w:rPr>
          <w:rFonts w:hint="eastAsia" w:ascii="宋体" w:hAnsi="宋体" w:eastAsia="宋体" w:cs="宋体"/>
          <w:color w:val="000000" w:themeColor="text1"/>
          <w:sz w:val="24"/>
          <w:szCs w:val="24"/>
          <w:highlight w:val="none"/>
          <w14:textFill>
            <w14:solidFill>
              <w14:schemeClr w14:val="tx1"/>
            </w14:solidFill>
          </w14:textFill>
        </w:rPr>
        <w:t>考虑海绵城市要求，树池采用生态树池（详下图），树池顶面铺设5cm厚植草砖，颜色、样式与周边环境相协调，树池大小按道路横断面。</w:t>
      </w:r>
    </w:p>
    <w:p w14:paraId="77C75C08">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80" w:name="_Toc25470"/>
      <w:bookmarkStart w:id="481" w:name="_Toc3534"/>
      <w:bookmarkStart w:id="482" w:name="_Toc96633178"/>
      <w:bookmarkStart w:id="483" w:name="_Toc30679"/>
      <w:bookmarkStart w:id="484" w:name="_Toc104581775"/>
      <w:bookmarkStart w:id="485" w:name="_Hlk104475637"/>
      <w:r>
        <w:rPr>
          <w:rFonts w:hint="eastAsia" w:ascii="宋体" w:hAnsi="宋体" w:eastAsia="宋体" w:cs="宋体"/>
          <w:color w:val="000000" w:themeColor="text1"/>
          <w:sz w:val="24"/>
          <w:szCs w:val="24"/>
          <w:highlight w:val="none"/>
          <w14:textFill>
            <w14:solidFill>
              <w14:schemeClr w14:val="tx1"/>
            </w14:solidFill>
          </w14:textFill>
        </w:rPr>
        <w:t>11.2 交通工程</w:t>
      </w:r>
      <w:bookmarkEnd w:id="480"/>
      <w:bookmarkEnd w:id="481"/>
      <w:bookmarkEnd w:id="482"/>
      <w:bookmarkEnd w:id="483"/>
      <w:bookmarkEnd w:id="484"/>
    </w:p>
    <w:p w14:paraId="362293A5">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bookmarkStart w:id="486" w:name="_Toc96633179"/>
      <w:bookmarkStart w:id="487" w:name="_Toc96519632"/>
      <w:r>
        <w:rPr>
          <w:rFonts w:hint="eastAsia" w:hAnsi="宋体" w:cs="宋体"/>
          <w:color w:val="000000" w:themeColor="text1"/>
          <w:szCs w:val="24"/>
          <w:highlight w:val="none"/>
          <w14:textFill>
            <w14:solidFill>
              <w14:schemeClr w14:val="tx1"/>
            </w14:solidFill>
          </w14:textFill>
        </w:rPr>
        <w:t>11.2.1 交通工程设计主要依据</w:t>
      </w:r>
      <w:bookmarkEnd w:id="486"/>
      <w:bookmarkEnd w:id="487"/>
    </w:p>
    <w:p w14:paraId="6786FAC7">
      <w:pPr>
        <w:numPr>
          <w:ilvl w:val="255"/>
          <w:numId w:val="0"/>
        </w:numPr>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《广州市城市道路交通管理设施设计技术指引 第一分册 非电类交通管理设施部分》（广州市公安局交警支队 2014年12月）</w:t>
      </w:r>
    </w:p>
    <w:p w14:paraId="404F9C54">
      <w:pPr>
        <w:numPr>
          <w:ilvl w:val="255"/>
          <w:numId w:val="0"/>
        </w:numPr>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bookmarkStart w:id="488" w:name="_Hlk96509142"/>
      <w:r>
        <w:rPr>
          <w:rFonts w:hint="eastAsia" w:ascii="宋体" w:hAnsi="宋体" w:eastAsia="宋体" w:cs="宋体"/>
          <w:color w:val="000000" w:themeColor="text1"/>
          <w:sz w:val="24"/>
          <w:szCs w:val="24"/>
          <w:highlight w:val="none"/>
          <w14:textFill>
            <w14:solidFill>
              <w14:schemeClr w14:val="tx1"/>
            </w14:solidFill>
          </w14:textFill>
        </w:rPr>
        <w:t>《广州市城市道路交通管理设施设计技术指引 第二分册 电子类交通管理设施部分》（广州市公安局交警支队 2014年12月）</w:t>
      </w:r>
      <w:bookmarkEnd w:id="488"/>
    </w:p>
    <w:p w14:paraId="492D1BE8">
      <w:pPr>
        <w:numPr>
          <w:ilvl w:val="255"/>
          <w:numId w:val="0"/>
        </w:numPr>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《广州市重点区域道路交通标识系统（完善）设计指引》（广州市住房和城乡建设委员会 2017年8月）</w:t>
      </w:r>
    </w:p>
    <w:p w14:paraId="62946181">
      <w:pPr>
        <w:numPr>
          <w:ilvl w:val="255"/>
          <w:numId w:val="0"/>
        </w:numPr>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其他参照道路工程相关依据。</w:t>
      </w:r>
    </w:p>
    <w:p w14:paraId="716D83FA">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bookmarkStart w:id="489" w:name="_Toc96633180"/>
      <w:bookmarkStart w:id="490" w:name="_Toc96519633"/>
      <w:r>
        <w:rPr>
          <w:rFonts w:hint="eastAsia" w:hAnsi="宋体" w:cs="宋体"/>
          <w:color w:val="000000" w:themeColor="text1"/>
          <w:szCs w:val="24"/>
          <w:highlight w:val="none"/>
          <w14:textFill>
            <w14:solidFill>
              <w14:schemeClr w14:val="tx1"/>
            </w14:solidFill>
          </w14:textFill>
        </w:rPr>
        <w:t>11.2.2 交通标志</w:t>
      </w:r>
      <w:bookmarkEnd w:id="489"/>
      <w:bookmarkEnd w:id="490"/>
    </w:p>
    <w:p w14:paraId="116D002A">
      <w:pPr>
        <w:wordWrap w:val="0"/>
        <w:snapToGrid/>
        <w:spacing w:before="0" w:after="0" w:line="360" w:lineRule="auto"/>
        <w:ind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11.2.2.1 多杆合一：在满足交通指示功能的情况下，标志牌采用多杆合一与路灯杆合杆，路口小型标志牌充分利用照明路灯灯杆、信号灯灯杆进行合杆使用，采用万能抱箍将标志牌安装在相关杆件上。</w:t>
      </w:r>
    </w:p>
    <w:p w14:paraId="1DAC05EE">
      <w:pPr>
        <w:wordWrap w:val="0"/>
        <w:snapToGrid/>
        <w:spacing w:before="0" w:after="0" w:line="360" w:lineRule="auto"/>
        <w:ind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11.2.2.2 指路标志</w:t>
      </w:r>
    </w:p>
    <w:p w14:paraId="6B6C378D">
      <w:pPr>
        <w:tabs>
          <w:tab w:val="left" w:pos="426"/>
          <w:tab w:val="left" w:pos="993"/>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指路标志样式采用《广州市重点区域道路交通标识系统（完善）设计指引》中推荐样式，主干路、次干路、支路上设置的指路标志根据道路等级、交通组织等条件选择标志版面。不同类型常用标志版面尺寸、中英文字高要求见下表。</w:t>
      </w:r>
    </w:p>
    <w:p w14:paraId="319C0FFD">
      <w:pPr>
        <w:spacing w:line="360" w:lineRule="auto"/>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 xml:space="preserve"> 一般城市道路交通常用标志版面</w:t>
      </w:r>
    </w:p>
    <w:tbl>
      <w:tblPr>
        <w:tblStyle w:val="42"/>
        <w:tblW w:w="83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909"/>
        <w:gridCol w:w="2910"/>
        <w:gridCol w:w="1257"/>
        <w:gridCol w:w="1257"/>
      </w:tblGrid>
      <w:tr w14:paraId="0329C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4B1E28D0">
            <w:pPr>
              <w:pStyle w:val="98"/>
              <w:snapToGrid w:val="0"/>
              <w:ind w:firstLine="0" w:firstLineChars="0"/>
              <w:jc w:val="center"/>
              <w:rPr>
                <w:rStyle w:val="81"/>
                <w:rFonts w:hint="eastAsia" w:ascii="宋体" w:hAnsi="宋体" w:cs="宋体"/>
                <w:b/>
                <w:bCs/>
                <w:color w:val="000000" w:themeColor="text1"/>
                <w:highlight w:val="none"/>
                <w14:textFill>
                  <w14:solidFill>
                    <w14:schemeClr w14:val="tx1"/>
                  </w14:solidFill>
                </w14:textFill>
              </w:rPr>
            </w:pPr>
            <w:r>
              <w:rPr>
                <w:rStyle w:val="81"/>
                <w:rFonts w:hint="eastAsia" w:ascii="宋体" w:hAnsi="宋体" w:cs="宋体"/>
                <w:b/>
                <w:bCs/>
                <w:color w:val="000000" w:themeColor="text1"/>
                <w:highlight w:val="none"/>
                <w14:textFill>
                  <w14:solidFill>
                    <w14:schemeClr w14:val="tx1"/>
                  </w14:solidFill>
                </w14:textFill>
              </w:rPr>
              <w:t>标志类型</w:t>
            </w:r>
          </w:p>
        </w:tc>
        <w:tc>
          <w:tcPr>
            <w:tcW w:w="2910" w:type="dxa"/>
            <w:vAlign w:val="center"/>
          </w:tcPr>
          <w:p w14:paraId="5F108D7A">
            <w:pPr>
              <w:pStyle w:val="98"/>
              <w:snapToGrid w:val="0"/>
              <w:ind w:firstLine="0" w:firstLineChars="0"/>
              <w:jc w:val="center"/>
              <w:rPr>
                <w:rStyle w:val="81"/>
                <w:rFonts w:hint="eastAsia" w:ascii="宋体" w:hAnsi="宋体" w:cs="宋体"/>
                <w:b/>
                <w:bCs/>
                <w:color w:val="000000" w:themeColor="text1"/>
                <w:highlight w:val="none"/>
                <w14:textFill>
                  <w14:solidFill>
                    <w14:schemeClr w14:val="tx1"/>
                  </w14:solidFill>
                </w14:textFill>
              </w:rPr>
            </w:pPr>
            <w:r>
              <w:rPr>
                <w:rStyle w:val="81"/>
                <w:rFonts w:hint="eastAsia" w:ascii="宋体" w:hAnsi="宋体" w:cs="宋体"/>
                <w:b/>
                <w:bCs/>
                <w:color w:val="000000" w:themeColor="text1"/>
                <w:highlight w:val="none"/>
                <w14:textFill>
                  <w14:solidFill>
                    <w14:schemeClr w14:val="tx1"/>
                  </w14:solidFill>
                </w14:textFill>
              </w:rPr>
              <w:t>版面尺寸</w:t>
            </w:r>
          </w:p>
        </w:tc>
        <w:tc>
          <w:tcPr>
            <w:tcW w:w="1257" w:type="dxa"/>
            <w:vAlign w:val="center"/>
          </w:tcPr>
          <w:p w14:paraId="191059F7">
            <w:pPr>
              <w:pStyle w:val="98"/>
              <w:snapToGrid w:val="0"/>
              <w:ind w:firstLine="0" w:firstLineChars="0"/>
              <w:jc w:val="center"/>
              <w:rPr>
                <w:rStyle w:val="81"/>
                <w:rFonts w:hint="eastAsia" w:ascii="宋体" w:hAnsi="宋体" w:cs="宋体"/>
                <w:b/>
                <w:bCs/>
                <w:color w:val="000000" w:themeColor="text1"/>
                <w:highlight w:val="none"/>
                <w14:textFill>
                  <w14:solidFill>
                    <w14:schemeClr w14:val="tx1"/>
                  </w14:solidFill>
                </w14:textFill>
              </w:rPr>
            </w:pPr>
            <w:r>
              <w:rPr>
                <w:rStyle w:val="81"/>
                <w:rFonts w:hint="eastAsia" w:ascii="宋体" w:hAnsi="宋体" w:cs="宋体"/>
                <w:b/>
                <w:bCs/>
                <w:color w:val="000000" w:themeColor="text1"/>
                <w:highlight w:val="none"/>
                <w14:textFill>
                  <w14:solidFill>
                    <w14:schemeClr w14:val="tx1"/>
                  </w14:solidFill>
                </w14:textFill>
              </w:rPr>
              <w:t>汉字字高</w:t>
            </w:r>
          </w:p>
        </w:tc>
        <w:tc>
          <w:tcPr>
            <w:tcW w:w="1257" w:type="dxa"/>
            <w:vAlign w:val="center"/>
          </w:tcPr>
          <w:p w14:paraId="235807A3">
            <w:pPr>
              <w:pStyle w:val="98"/>
              <w:snapToGrid w:val="0"/>
              <w:ind w:firstLine="0" w:firstLineChars="0"/>
              <w:jc w:val="center"/>
              <w:rPr>
                <w:rStyle w:val="81"/>
                <w:rFonts w:hint="eastAsia" w:ascii="宋体" w:hAnsi="宋体" w:cs="宋体"/>
                <w:b/>
                <w:bCs/>
                <w:color w:val="000000" w:themeColor="text1"/>
                <w:highlight w:val="none"/>
                <w14:textFill>
                  <w14:solidFill>
                    <w14:schemeClr w14:val="tx1"/>
                  </w14:solidFill>
                </w14:textFill>
              </w:rPr>
            </w:pPr>
            <w:r>
              <w:rPr>
                <w:rStyle w:val="81"/>
                <w:rFonts w:hint="eastAsia" w:ascii="宋体" w:hAnsi="宋体" w:cs="宋体"/>
                <w:b/>
                <w:bCs/>
                <w:color w:val="000000" w:themeColor="text1"/>
                <w:highlight w:val="none"/>
                <w14:textFill>
                  <w14:solidFill>
                    <w14:schemeClr w14:val="tx1"/>
                  </w14:solidFill>
                </w14:textFill>
              </w:rPr>
              <w:t>英语字高</w:t>
            </w:r>
          </w:p>
        </w:tc>
      </w:tr>
      <w:tr w14:paraId="275F7C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74BD0827">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指路标志（主干路、次干路）</w:t>
            </w:r>
          </w:p>
        </w:tc>
        <w:tc>
          <w:tcPr>
            <w:tcW w:w="2910" w:type="dxa"/>
            <w:vAlign w:val="center"/>
          </w:tcPr>
          <w:p w14:paraId="12EEC446">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500cm*240cm</w:t>
            </w:r>
          </w:p>
        </w:tc>
        <w:tc>
          <w:tcPr>
            <w:tcW w:w="1257" w:type="dxa"/>
            <w:vAlign w:val="center"/>
          </w:tcPr>
          <w:p w14:paraId="6CEC5E76">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35cm</w:t>
            </w:r>
          </w:p>
        </w:tc>
        <w:tc>
          <w:tcPr>
            <w:tcW w:w="1257" w:type="dxa"/>
            <w:vAlign w:val="center"/>
          </w:tcPr>
          <w:p w14:paraId="42F0B513">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18cm</w:t>
            </w:r>
          </w:p>
        </w:tc>
      </w:tr>
      <w:tr w14:paraId="2133F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153582B2">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指路标志（支路）</w:t>
            </w:r>
          </w:p>
        </w:tc>
        <w:tc>
          <w:tcPr>
            <w:tcW w:w="2910" w:type="dxa"/>
            <w:vAlign w:val="center"/>
          </w:tcPr>
          <w:p w14:paraId="40E3AE5F">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120cm*200cm或100cm*200cm</w:t>
            </w:r>
          </w:p>
        </w:tc>
        <w:tc>
          <w:tcPr>
            <w:tcW w:w="1257" w:type="dxa"/>
            <w:vAlign w:val="center"/>
          </w:tcPr>
          <w:p w14:paraId="79A545D4">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25cm</w:t>
            </w:r>
          </w:p>
        </w:tc>
        <w:tc>
          <w:tcPr>
            <w:tcW w:w="1257" w:type="dxa"/>
            <w:vAlign w:val="center"/>
          </w:tcPr>
          <w:p w14:paraId="5474D59E">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13cm</w:t>
            </w:r>
          </w:p>
        </w:tc>
      </w:tr>
      <w:tr w14:paraId="3421B5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614FA796">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路径指引标志</w:t>
            </w:r>
          </w:p>
        </w:tc>
        <w:tc>
          <w:tcPr>
            <w:tcW w:w="2910" w:type="dxa"/>
            <w:vAlign w:val="center"/>
          </w:tcPr>
          <w:p w14:paraId="47DD12F6">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500cm*240cm</w:t>
            </w:r>
          </w:p>
        </w:tc>
        <w:tc>
          <w:tcPr>
            <w:tcW w:w="1257" w:type="dxa"/>
            <w:vAlign w:val="center"/>
          </w:tcPr>
          <w:p w14:paraId="072D4FAC">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40cm</w:t>
            </w:r>
          </w:p>
        </w:tc>
        <w:tc>
          <w:tcPr>
            <w:tcW w:w="1257" w:type="dxa"/>
            <w:vAlign w:val="center"/>
          </w:tcPr>
          <w:p w14:paraId="705626F7">
            <w:pPr>
              <w:pStyle w:val="98"/>
              <w:snapToGrid w:val="0"/>
              <w:ind w:firstLine="0" w:firstLineChars="0"/>
              <w:jc w:val="center"/>
              <w:rPr>
                <w:rStyle w:val="81"/>
                <w:rFonts w:hint="eastAsia" w:ascii="宋体" w:hAnsi="宋体" w:cs="宋体"/>
                <w:color w:val="000000" w:themeColor="text1"/>
                <w:highlight w:val="none"/>
                <w14:textFill>
                  <w14:solidFill>
                    <w14:schemeClr w14:val="tx1"/>
                  </w14:solidFill>
                </w14:textFill>
              </w:rPr>
            </w:pPr>
            <w:r>
              <w:rPr>
                <w:rStyle w:val="81"/>
                <w:rFonts w:hint="eastAsia" w:ascii="宋体" w:hAnsi="宋体" w:cs="宋体"/>
                <w:color w:val="000000" w:themeColor="text1"/>
                <w:highlight w:val="none"/>
                <w14:textFill>
                  <w14:solidFill>
                    <w14:schemeClr w14:val="tx1"/>
                  </w14:solidFill>
                </w14:textFill>
              </w:rPr>
              <w:t>20cm</w:t>
            </w:r>
          </w:p>
        </w:tc>
      </w:tr>
    </w:tbl>
    <w:p w14:paraId="0C3860EC">
      <w:pPr>
        <w:pStyle w:val="98"/>
        <w:ind w:firstLine="0" w:firstLineChars="0"/>
        <w:jc w:val="center"/>
        <w:rPr>
          <w:rStyle w:val="81"/>
          <w:rFonts w:hint="eastAsia" w:ascii="宋体" w:hAnsi="宋体" w:cs="宋体"/>
          <w:color w:val="000000" w:themeColor="text1"/>
          <w:sz w:val="24"/>
          <w:szCs w:val="24"/>
          <w:highlight w:val="none"/>
          <w14:textFill>
            <w14:solidFill>
              <w14:schemeClr w14:val="tx1"/>
            </w14:solidFill>
          </w14:textFill>
        </w:rPr>
      </w:pPr>
    </w:p>
    <w:p w14:paraId="69EAFBEC">
      <w:pPr>
        <w:pStyle w:val="24"/>
        <w:numPr>
          <w:ilvl w:val="0"/>
          <w:numId w:val="18"/>
        </w:numPr>
        <w:ind w:firstLine="480"/>
        <w:rPr>
          <w:rFonts w:hint="eastAsia" w:hAnsi="宋体" w:cs="宋体"/>
          <w:color w:val="000000" w:themeColor="text1"/>
          <w:szCs w:val="24"/>
          <w:highlight w:val="none"/>
          <w14:textFill>
            <w14:solidFill>
              <w14:schemeClr w14:val="tx1"/>
            </w14:solidFill>
          </w14:textFill>
        </w:rPr>
      </w:pPr>
      <w:bookmarkStart w:id="491" w:name="_Toc96519634"/>
      <w:bookmarkStart w:id="492" w:name="_Toc96633181"/>
      <w:r>
        <w:rPr>
          <w:rFonts w:hint="eastAsia" w:hAnsi="宋体" w:cs="宋体"/>
          <w:color w:val="000000" w:themeColor="text1"/>
          <w:szCs w:val="24"/>
          <w:highlight w:val="none"/>
          <w14:textFill>
            <w14:solidFill>
              <w14:schemeClr w14:val="tx1"/>
            </w14:solidFill>
          </w14:textFill>
        </w:rPr>
        <w:t>通标线</w:t>
      </w:r>
      <w:bookmarkEnd w:id="491"/>
      <w:r>
        <w:rPr>
          <w:rFonts w:hint="eastAsia" w:hAnsi="宋体" w:cs="宋体"/>
          <w:color w:val="000000" w:themeColor="text1"/>
          <w:szCs w:val="24"/>
          <w:highlight w:val="none"/>
          <w14:textFill>
            <w14:solidFill>
              <w14:schemeClr w14:val="tx1"/>
            </w14:solidFill>
          </w14:textFill>
        </w:rPr>
        <w:t>材料</w:t>
      </w:r>
      <w:bookmarkEnd w:id="492"/>
    </w:p>
    <w:p w14:paraId="76CF83CB">
      <w:pPr>
        <w:numPr>
          <w:ilvl w:val="0"/>
          <w:numId w:val="19"/>
        </w:numPr>
        <w:wordWrap w:val="0"/>
        <w:snapToGrid/>
        <w:spacing w:before="0" w:after="0" w:line="360" w:lineRule="auto"/>
        <w:ind w:left="0"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道路标线优先采用环保MMA液态双组份反光涂料涂划。</w:t>
      </w:r>
    </w:p>
    <w:p w14:paraId="11FFF4A4">
      <w:pPr>
        <w:numPr>
          <w:ilvl w:val="0"/>
          <w:numId w:val="19"/>
        </w:numPr>
        <w:wordWrap w:val="0"/>
        <w:snapToGrid/>
        <w:spacing w:before="0" w:after="0" w:line="360" w:lineRule="auto"/>
        <w:ind w:left="0" w:firstLine="480" w:firstLineChars="200"/>
        <w:jc w:val="both"/>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液态双组份反光涂料标线厚度为1.8±0.2mm，减速标线厚度为4.0±0.2mm，涂料中应混合占总重18～25％的玻璃微珠，在喷涂时标线表面还应均布0.3～0.4kg/m2的玻璃微珠。</w:t>
      </w:r>
    </w:p>
    <w:p w14:paraId="2358EEA7">
      <w:pPr>
        <w:pStyle w:val="24"/>
        <w:numPr>
          <w:ilvl w:val="0"/>
          <w:numId w:val="18"/>
        </w:numPr>
        <w:ind w:firstLine="480"/>
        <w:rPr>
          <w:rFonts w:hint="eastAsia" w:hAnsi="宋体" w:cs="宋体"/>
          <w:color w:val="000000" w:themeColor="text1"/>
          <w:szCs w:val="24"/>
          <w:highlight w:val="none"/>
          <w14:textFill>
            <w14:solidFill>
              <w14:schemeClr w14:val="tx1"/>
            </w14:solidFill>
          </w14:textFill>
        </w:rPr>
      </w:pPr>
      <w:bookmarkStart w:id="493" w:name="_Toc96519635"/>
      <w:bookmarkStart w:id="494" w:name="_Toc96633182"/>
      <w:r>
        <w:rPr>
          <w:rFonts w:hint="eastAsia" w:hAnsi="宋体" w:cs="宋体"/>
          <w:color w:val="000000" w:themeColor="text1"/>
          <w:szCs w:val="24"/>
          <w:highlight w:val="none"/>
          <w14:textFill>
            <w14:solidFill>
              <w14:schemeClr w14:val="tx1"/>
            </w14:solidFill>
          </w14:textFill>
        </w:rPr>
        <w:t>交通隔离设施</w:t>
      </w:r>
      <w:bookmarkEnd w:id="493"/>
      <w:bookmarkEnd w:id="494"/>
    </w:p>
    <w:p w14:paraId="25C8438D">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机非分隔护栏片采用圆钢、扁钢与槽钢焊接成型，底座采用铸铁单独制作成型，安装时立柱插入底座。每片护栏安装一片反光片，采用V类膜。护栏每10排设置一个分离式铸铁底座。护栏采用热渗镀锌处理。</w:t>
      </w:r>
    </w:p>
    <w:p w14:paraId="0ED44B9F">
      <w:pPr>
        <w:pStyle w:val="24"/>
        <w:numPr>
          <w:ilvl w:val="0"/>
          <w:numId w:val="18"/>
        </w:numPr>
        <w:ind w:firstLine="480"/>
        <w:rPr>
          <w:rFonts w:hint="eastAsia" w:hAnsi="宋体" w:cs="宋体"/>
          <w:color w:val="000000" w:themeColor="text1"/>
          <w:szCs w:val="24"/>
          <w:highlight w:val="none"/>
          <w14:textFill>
            <w14:solidFill>
              <w14:schemeClr w14:val="tx1"/>
            </w14:solidFill>
          </w14:textFill>
        </w:rPr>
      </w:pPr>
      <w:bookmarkStart w:id="495" w:name="_Toc96633183"/>
      <w:bookmarkStart w:id="496" w:name="_Toc96519636"/>
      <w:r>
        <w:rPr>
          <w:rFonts w:hint="eastAsia" w:hAnsi="宋体" w:cs="宋体"/>
          <w:color w:val="000000" w:themeColor="text1"/>
          <w:szCs w:val="24"/>
          <w:highlight w:val="none"/>
          <w14:textFill>
            <w14:solidFill>
              <w14:schemeClr w14:val="tx1"/>
            </w14:solidFill>
          </w14:textFill>
        </w:rPr>
        <w:t>交通信号控制</w:t>
      </w:r>
      <w:bookmarkEnd w:id="495"/>
      <w:bookmarkEnd w:id="496"/>
    </w:p>
    <w:p w14:paraId="0165CC9C">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项目采用智能信号控制机，实施干线协调控制。区域控制系统由智能信号机、检测线圈、信号灯、某些路口或路段设置的行人过街按钮等外场设备以及通信网络、大队的区域控制机以及智能交通管理指挥中心的中心控制机组成。</w:t>
      </w:r>
    </w:p>
    <w:p w14:paraId="396738D7">
      <w:pPr>
        <w:pStyle w:val="24"/>
        <w:numPr>
          <w:ilvl w:val="0"/>
          <w:numId w:val="18"/>
        </w:numPr>
        <w:ind w:firstLine="480"/>
        <w:rPr>
          <w:rFonts w:hint="eastAsia" w:hAnsi="宋体" w:cs="宋体"/>
          <w:color w:val="000000" w:themeColor="text1"/>
          <w:szCs w:val="24"/>
          <w:highlight w:val="none"/>
          <w14:textFill>
            <w14:solidFill>
              <w14:schemeClr w14:val="tx1"/>
            </w14:solidFill>
          </w14:textFill>
        </w:rPr>
      </w:pPr>
      <w:bookmarkStart w:id="497" w:name="_Toc96633184"/>
      <w:bookmarkStart w:id="498" w:name="_Toc96519637"/>
      <w:r>
        <w:rPr>
          <w:rFonts w:hint="eastAsia" w:hAnsi="宋体" w:cs="宋体"/>
          <w:color w:val="000000" w:themeColor="text1"/>
          <w:szCs w:val="24"/>
          <w:highlight w:val="none"/>
          <w14:textFill>
            <w14:solidFill>
              <w14:schemeClr w14:val="tx1"/>
            </w14:solidFill>
          </w14:textFill>
        </w:rPr>
        <w:t>交通监控</w:t>
      </w:r>
      <w:bookmarkEnd w:id="497"/>
      <w:bookmarkEnd w:id="498"/>
    </w:p>
    <w:p w14:paraId="47FC647A">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信号控制交叉口设置闯红灯电子警察、交通视频监控设施。</w:t>
      </w:r>
    </w:p>
    <w:p w14:paraId="38A76F7E">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499" w:name="_Toc6291"/>
      <w:bookmarkStart w:id="500" w:name="_Toc96633185"/>
      <w:bookmarkStart w:id="501" w:name="_Toc9014"/>
      <w:bookmarkStart w:id="502" w:name="_Toc14922"/>
      <w:bookmarkStart w:id="503" w:name="_Toc104581776"/>
      <w:r>
        <w:rPr>
          <w:rFonts w:hint="eastAsia" w:ascii="宋体" w:hAnsi="宋体" w:eastAsia="宋体" w:cs="宋体"/>
          <w:color w:val="000000" w:themeColor="text1"/>
          <w:sz w:val="24"/>
          <w:szCs w:val="24"/>
          <w:highlight w:val="none"/>
          <w14:textFill>
            <w14:solidFill>
              <w14:schemeClr w14:val="tx1"/>
            </w14:solidFill>
          </w14:textFill>
        </w:rPr>
        <w:t>11.3</w:t>
      </w:r>
      <w:r>
        <w:rPr>
          <w:rFonts w:ascii="宋体" w:hAnsi="宋体" w:eastAsia="宋体" w:cs="宋体"/>
          <w:color w:val="000000" w:themeColor="text1"/>
          <w:sz w:val="24"/>
          <w:szCs w:val="24"/>
          <w:highlight w:val="none"/>
          <w14:textFill>
            <w14:solidFill>
              <w14:schemeClr w14:val="tx1"/>
            </w14:solidFill>
          </w14:textFill>
        </w:rPr>
        <w:t xml:space="preserve"> </w:t>
      </w:r>
      <w:r>
        <w:rPr>
          <w:rFonts w:hint="eastAsia" w:ascii="宋体" w:hAnsi="宋体" w:eastAsia="宋体" w:cs="宋体"/>
          <w:color w:val="000000" w:themeColor="text1"/>
          <w:sz w:val="24"/>
          <w:szCs w:val="24"/>
          <w:highlight w:val="none"/>
          <w14:textFill>
            <w14:solidFill>
              <w14:schemeClr w14:val="tx1"/>
            </w14:solidFill>
          </w14:textFill>
        </w:rPr>
        <w:t>桥梁工程</w:t>
      </w:r>
      <w:bookmarkEnd w:id="499"/>
      <w:bookmarkEnd w:id="500"/>
      <w:bookmarkEnd w:id="501"/>
      <w:bookmarkEnd w:id="502"/>
      <w:bookmarkEnd w:id="503"/>
    </w:p>
    <w:p w14:paraId="0A6D0014">
      <w:pPr>
        <w:pStyle w:val="24"/>
        <w:ind w:firstLine="0" w:firstLineChars="0"/>
        <w:rPr>
          <w:rFonts w:hint="eastAsia" w:hAnsi="宋体" w:cs="宋体"/>
          <w:color w:val="000000" w:themeColor="text1"/>
          <w:szCs w:val="24"/>
          <w:highlight w:val="none"/>
          <w14:textFill>
            <w14:solidFill>
              <w14:schemeClr w14:val="tx1"/>
            </w14:solidFill>
          </w14:textFill>
        </w:rPr>
      </w:pPr>
      <w:bookmarkStart w:id="504" w:name="_Toc96633186"/>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1.3.1 </w:t>
      </w:r>
      <w:r>
        <w:rPr>
          <w:rFonts w:hint="eastAsia" w:hAnsi="宋体" w:cs="宋体"/>
          <w:color w:val="000000" w:themeColor="text1"/>
          <w:szCs w:val="24"/>
          <w:highlight w:val="none"/>
          <w14:textFill>
            <w14:solidFill>
              <w14:schemeClr w14:val="tx1"/>
            </w14:solidFill>
          </w14:textFill>
        </w:rPr>
        <w:t>桥梁设计原则</w:t>
      </w:r>
      <w:bookmarkEnd w:id="504"/>
    </w:p>
    <w:p w14:paraId="12A8C7CD">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在满足桥梁使用功能的前提下，力求造型简洁新颖美观，布局合理，并使桥梁与周边环境相协调，充分体现“安全、环保、经济、适用、美观”的原则。</w:t>
      </w:r>
    </w:p>
    <w:p w14:paraId="7005B05A">
      <w:pPr>
        <w:pStyle w:val="24"/>
        <w:ind w:firstLine="0" w:firstLineChars="0"/>
        <w:rPr>
          <w:rFonts w:hint="eastAsia" w:hAnsi="宋体" w:cs="宋体"/>
          <w:color w:val="000000" w:themeColor="text1"/>
          <w:szCs w:val="24"/>
          <w:highlight w:val="none"/>
          <w14:textFill>
            <w14:solidFill>
              <w14:schemeClr w14:val="tx1"/>
            </w14:solidFill>
          </w14:textFill>
        </w:rPr>
      </w:pPr>
      <w:bookmarkStart w:id="505" w:name="_Toc96633187"/>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1.3.2 </w:t>
      </w:r>
      <w:r>
        <w:rPr>
          <w:rFonts w:hint="eastAsia" w:hAnsi="宋体" w:cs="宋体"/>
          <w:color w:val="000000" w:themeColor="text1"/>
          <w:szCs w:val="24"/>
          <w:highlight w:val="none"/>
          <w14:textFill>
            <w14:solidFill>
              <w14:schemeClr w14:val="tx1"/>
            </w14:solidFill>
          </w14:textFill>
        </w:rPr>
        <w:t>跨河涌桥梁标准结构类型及标准跨度</w:t>
      </w:r>
      <w:bookmarkEnd w:id="505"/>
    </w:p>
    <w:p w14:paraId="254B6555">
      <w:pPr>
        <w:pStyle w:val="98"/>
        <w:numPr>
          <w:ilvl w:val="0"/>
          <w:numId w:val="20"/>
        </w:numPr>
        <w:ind w:left="0"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跨河涌桥优先采用预制结构，跨径小于等于16m采用预制空心板结构，16m以上采用预制小箱梁结构。</w:t>
      </w:r>
    </w:p>
    <w:p w14:paraId="587B3270">
      <w:pPr>
        <w:pStyle w:val="98"/>
        <w:numPr>
          <w:ilvl w:val="0"/>
          <w:numId w:val="20"/>
        </w:numPr>
        <w:ind w:left="0"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从节约桥梁下部结构投资角度，在标高能满足要求的情况下，30m宽度以内河涌，建议采用一跨跨越河涌；如标高有限制可采用小跨径以降低梁高，墩台位置应结合防洪论证意见布置。</w:t>
      </w:r>
    </w:p>
    <w:p w14:paraId="094AD43F">
      <w:pPr>
        <w:pStyle w:val="98"/>
        <w:numPr>
          <w:ilvl w:val="0"/>
          <w:numId w:val="20"/>
        </w:numPr>
        <w:ind w:left="0"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下部结构桥墩采用柱接盖梁桥墩，柱子采用圆柱，盖梁采用矩形截面，基础采用桩基础。</w:t>
      </w:r>
    </w:p>
    <w:p w14:paraId="16BD3B66">
      <w:pPr>
        <w:pStyle w:val="24"/>
        <w:ind w:firstLine="0" w:firstLineChars="0"/>
        <w:rPr>
          <w:rFonts w:hint="eastAsia" w:hAnsi="宋体" w:cs="宋体"/>
          <w:color w:val="000000" w:themeColor="text1"/>
          <w:szCs w:val="24"/>
          <w:highlight w:val="none"/>
          <w14:textFill>
            <w14:solidFill>
              <w14:schemeClr w14:val="tx1"/>
            </w14:solidFill>
          </w14:textFill>
        </w:rPr>
      </w:pPr>
      <w:bookmarkStart w:id="506" w:name="_Toc96633188"/>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1.3.3 </w:t>
      </w:r>
      <w:r>
        <w:rPr>
          <w:rFonts w:hint="eastAsia" w:hAnsi="宋体" w:cs="宋体"/>
          <w:color w:val="000000" w:themeColor="text1"/>
          <w:szCs w:val="24"/>
          <w:highlight w:val="none"/>
          <w14:textFill>
            <w14:solidFill>
              <w14:schemeClr w14:val="tx1"/>
            </w14:solidFill>
          </w14:textFill>
        </w:rPr>
        <w:t>各部位混凝土标号</w:t>
      </w:r>
      <w:bookmarkEnd w:id="506"/>
    </w:p>
    <w:p w14:paraId="749C689B">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 xml:space="preserve">11.3.3.1 </w:t>
      </w:r>
      <w:r>
        <w:rPr>
          <w:rStyle w:val="81"/>
          <w:rFonts w:hint="eastAsia" w:ascii="宋体" w:hAnsi="宋体" w:cs="宋体"/>
          <w:color w:val="000000" w:themeColor="text1"/>
          <w:sz w:val="24"/>
          <w:szCs w:val="24"/>
          <w:highlight w:val="none"/>
          <w14:textFill>
            <w14:solidFill>
              <w14:schemeClr w14:val="tx1"/>
            </w14:solidFill>
          </w14:textFill>
        </w:rPr>
        <w:t>预应力混凝土现浇箱梁、预应力预制梁、预应力盖梁：C50。</w:t>
      </w:r>
    </w:p>
    <w:p w14:paraId="2F65F720">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2 </w:t>
      </w:r>
      <w:r>
        <w:rPr>
          <w:rStyle w:val="81"/>
          <w:rFonts w:hint="eastAsia" w:ascii="宋体" w:hAnsi="宋体" w:cs="宋体"/>
          <w:color w:val="000000" w:themeColor="text1"/>
          <w:sz w:val="24"/>
          <w:szCs w:val="24"/>
          <w:highlight w:val="none"/>
          <w14:textFill>
            <w14:solidFill>
              <w14:schemeClr w14:val="tx1"/>
            </w14:solidFill>
          </w14:textFill>
        </w:rPr>
        <w:t>普通钢筋混凝土箱梁、盖梁：C40。</w:t>
      </w:r>
    </w:p>
    <w:p w14:paraId="75C640FE">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3 </w:t>
      </w:r>
      <w:r>
        <w:rPr>
          <w:rStyle w:val="81"/>
          <w:rFonts w:hint="eastAsia" w:ascii="宋体" w:hAnsi="宋体" w:cs="宋体"/>
          <w:color w:val="000000" w:themeColor="text1"/>
          <w:sz w:val="24"/>
          <w:szCs w:val="24"/>
          <w:highlight w:val="none"/>
          <w14:textFill>
            <w14:solidFill>
              <w14:schemeClr w14:val="tx1"/>
            </w14:solidFill>
          </w14:textFill>
        </w:rPr>
        <w:t>支座垫石：C50细石混凝土。</w:t>
      </w:r>
    </w:p>
    <w:p w14:paraId="51B83D38">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4 </w:t>
      </w:r>
      <w:r>
        <w:rPr>
          <w:rStyle w:val="81"/>
          <w:rFonts w:hint="eastAsia" w:ascii="宋体" w:hAnsi="宋体" w:cs="宋体"/>
          <w:color w:val="000000" w:themeColor="text1"/>
          <w:sz w:val="24"/>
          <w:szCs w:val="24"/>
          <w:highlight w:val="none"/>
          <w14:textFill>
            <w14:solidFill>
              <w14:schemeClr w14:val="tx1"/>
            </w14:solidFill>
          </w14:textFill>
        </w:rPr>
        <w:t>桥墩、墩顶系梁、桥台台帽、台侧墙顶、防震挡块、台身等构件：C40。</w:t>
      </w:r>
    </w:p>
    <w:p w14:paraId="24116B61">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5 </w:t>
      </w:r>
      <w:r>
        <w:rPr>
          <w:rStyle w:val="81"/>
          <w:rFonts w:hint="eastAsia" w:ascii="宋体" w:hAnsi="宋体" w:cs="宋体"/>
          <w:color w:val="000000" w:themeColor="text1"/>
          <w:sz w:val="24"/>
          <w:szCs w:val="24"/>
          <w:highlight w:val="none"/>
          <w14:textFill>
            <w14:solidFill>
              <w14:schemeClr w14:val="tx1"/>
            </w14:solidFill>
          </w14:textFill>
        </w:rPr>
        <w:t>承台：C35。</w:t>
      </w:r>
    </w:p>
    <w:p w14:paraId="4B514081">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6 </w:t>
      </w:r>
      <w:r>
        <w:rPr>
          <w:rStyle w:val="81"/>
          <w:rFonts w:hint="eastAsia" w:ascii="宋体" w:hAnsi="宋体" w:cs="宋体"/>
          <w:color w:val="000000" w:themeColor="text1"/>
          <w:sz w:val="24"/>
          <w:szCs w:val="24"/>
          <w:highlight w:val="none"/>
          <w14:textFill>
            <w14:solidFill>
              <w14:schemeClr w14:val="tx1"/>
            </w14:solidFill>
          </w14:textFill>
        </w:rPr>
        <w:t>桩基础：C35水下砼。</w:t>
      </w:r>
    </w:p>
    <w:p w14:paraId="07246DA8">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7 </w:t>
      </w:r>
      <w:r>
        <w:rPr>
          <w:rStyle w:val="81"/>
          <w:rFonts w:hint="eastAsia" w:ascii="宋体" w:hAnsi="宋体" w:cs="宋体"/>
          <w:color w:val="000000" w:themeColor="text1"/>
          <w:sz w:val="24"/>
          <w:szCs w:val="24"/>
          <w:highlight w:val="none"/>
          <w14:textFill>
            <w14:solidFill>
              <w14:schemeClr w14:val="tx1"/>
            </w14:solidFill>
          </w14:textFill>
        </w:rPr>
        <w:t>防撞墙：C40。</w:t>
      </w:r>
    </w:p>
    <w:p w14:paraId="1B8F82E0">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8 </w:t>
      </w:r>
      <w:r>
        <w:rPr>
          <w:rStyle w:val="81"/>
          <w:rFonts w:hint="eastAsia" w:ascii="宋体" w:hAnsi="宋体" w:cs="宋体"/>
          <w:color w:val="000000" w:themeColor="text1"/>
          <w:sz w:val="24"/>
          <w:szCs w:val="24"/>
          <w:highlight w:val="none"/>
          <w14:textFill>
            <w14:solidFill>
              <w14:schemeClr w14:val="tx1"/>
            </w14:solidFill>
          </w14:textFill>
        </w:rPr>
        <w:t>搭板、人行道：C30。</w:t>
      </w:r>
    </w:p>
    <w:p w14:paraId="6B9C91BB">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1.3.3</w:t>
      </w:r>
      <w:r>
        <w:rPr>
          <w:rStyle w:val="81"/>
          <w:rFonts w:hint="eastAsia" w:ascii="宋体" w:hAnsi="宋体" w:cs="宋体"/>
          <w:color w:val="000000" w:themeColor="text1"/>
          <w:sz w:val="24"/>
          <w:szCs w:val="24"/>
          <w:highlight w:val="none"/>
          <w14:textFill>
            <w14:solidFill>
              <w14:schemeClr w14:val="tx1"/>
            </w14:solidFill>
          </w14:textFill>
        </w:rPr>
        <w:t>.</w:t>
      </w:r>
      <w:r>
        <w:rPr>
          <w:rStyle w:val="81"/>
          <w:rFonts w:ascii="宋体" w:hAnsi="宋体" w:cs="宋体"/>
          <w:color w:val="000000" w:themeColor="text1"/>
          <w:sz w:val="24"/>
          <w:szCs w:val="24"/>
          <w:highlight w:val="none"/>
          <w14:textFill>
            <w14:solidFill>
              <w14:schemeClr w14:val="tx1"/>
            </w14:solidFill>
          </w14:textFill>
        </w:rPr>
        <w:t xml:space="preserve">9 </w:t>
      </w:r>
      <w:r>
        <w:rPr>
          <w:rStyle w:val="81"/>
          <w:rFonts w:hint="eastAsia" w:ascii="宋体" w:hAnsi="宋体" w:cs="宋体"/>
          <w:color w:val="000000" w:themeColor="text1"/>
          <w:sz w:val="24"/>
          <w:szCs w:val="24"/>
          <w:highlight w:val="none"/>
          <w14:textFill>
            <w14:solidFill>
              <w14:schemeClr w14:val="tx1"/>
            </w14:solidFill>
          </w14:textFill>
        </w:rPr>
        <w:t>伸缩缝槽口：C50钢纤维混凝土。</w:t>
      </w:r>
    </w:p>
    <w:p w14:paraId="708FA246">
      <w:pPr>
        <w:pStyle w:val="24"/>
        <w:ind w:firstLine="0" w:firstLineChars="0"/>
        <w:rPr>
          <w:rFonts w:hint="eastAsia" w:hAnsi="宋体" w:cs="宋体"/>
          <w:color w:val="000000" w:themeColor="text1"/>
          <w:szCs w:val="24"/>
          <w:highlight w:val="none"/>
          <w14:textFill>
            <w14:solidFill>
              <w14:schemeClr w14:val="tx1"/>
            </w14:solidFill>
          </w14:textFill>
        </w:rPr>
      </w:pPr>
      <w:bookmarkStart w:id="507" w:name="_Toc96633189"/>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1.3.4 </w:t>
      </w:r>
      <w:r>
        <w:rPr>
          <w:rFonts w:hint="eastAsia" w:hAnsi="宋体" w:cs="宋体"/>
          <w:color w:val="000000" w:themeColor="text1"/>
          <w:szCs w:val="24"/>
          <w:highlight w:val="none"/>
          <w14:textFill>
            <w14:solidFill>
              <w14:schemeClr w14:val="tx1"/>
            </w14:solidFill>
          </w14:textFill>
        </w:rPr>
        <w:t>桥面排水</w:t>
      </w:r>
      <w:bookmarkEnd w:id="507"/>
    </w:p>
    <w:p w14:paraId="515154A2">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 xml:space="preserve">11.3.4.1 </w:t>
      </w:r>
      <w:r>
        <w:rPr>
          <w:rStyle w:val="81"/>
          <w:rFonts w:hint="eastAsia" w:ascii="宋体" w:hAnsi="宋体" w:cs="宋体"/>
          <w:color w:val="000000" w:themeColor="text1"/>
          <w:sz w:val="24"/>
          <w:szCs w:val="24"/>
          <w:highlight w:val="none"/>
          <w14:textFill>
            <w14:solidFill>
              <w14:schemeClr w14:val="tx1"/>
            </w14:solidFill>
          </w14:textFill>
        </w:rPr>
        <w:t>桥面雨水通过桥面横纵坡收入桥墩处桥面雨水篦子，再由横、竖向排水管引入桥下，并就近接入地面雨水系统。</w:t>
      </w:r>
    </w:p>
    <w:p w14:paraId="3828B8C6">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1.3.4.2 </w:t>
      </w:r>
      <w:r>
        <w:rPr>
          <w:rStyle w:val="81"/>
          <w:rFonts w:hint="eastAsia" w:ascii="宋体" w:hAnsi="宋体" w:cs="宋体"/>
          <w:color w:val="000000" w:themeColor="text1"/>
          <w:sz w:val="24"/>
          <w:szCs w:val="24"/>
          <w:highlight w:val="none"/>
          <w14:textFill>
            <w14:solidFill>
              <w14:schemeClr w14:val="tx1"/>
            </w14:solidFill>
          </w14:textFill>
        </w:rPr>
        <w:t>桥梁长度较长梁应适当增加泄水孔。凹曲线路段及超高渐变段路段泄水孔适当加密。</w:t>
      </w:r>
    </w:p>
    <w:p w14:paraId="0D454951">
      <w:pPr>
        <w:pStyle w:val="24"/>
        <w:ind w:firstLine="0" w:firstLineChars="0"/>
        <w:rPr>
          <w:rFonts w:hint="eastAsia" w:hAnsi="宋体" w:cs="宋体"/>
          <w:color w:val="000000" w:themeColor="text1"/>
          <w:szCs w:val="24"/>
          <w:highlight w:val="none"/>
          <w14:textFill>
            <w14:solidFill>
              <w14:schemeClr w14:val="tx1"/>
            </w14:solidFill>
          </w14:textFill>
        </w:rPr>
      </w:pPr>
      <w:bookmarkStart w:id="508" w:name="_Toc96633190"/>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1.3.5 </w:t>
      </w:r>
      <w:r>
        <w:rPr>
          <w:rFonts w:hint="eastAsia" w:hAnsi="宋体" w:cs="宋体"/>
          <w:color w:val="000000" w:themeColor="text1"/>
          <w:szCs w:val="24"/>
          <w:highlight w:val="none"/>
          <w14:textFill>
            <w14:solidFill>
              <w14:schemeClr w14:val="tx1"/>
            </w14:solidFill>
          </w14:textFill>
        </w:rPr>
        <w:t>桥梁支座</w:t>
      </w:r>
      <w:bookmarkEnd w:id="508"/>
    </w:p>
    <w:p w14:paraId="361A638C">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1.3.5.1 </w:t>
      </w:r>
      <w:r>
        <w:rPr>
          <w:rStyle w:val="81"/>
          <w:rFonts w:hint="eastAsia" w:ascii="宋体" w:hAnsi="宋体" w:cs="宋体"/>
          <w:color w:val="000000" w:themeColor="text1"/>
          <w:sz w:val="24"/>
          <w:szCs w:val="24"/>
          <w:highlight w:val="none"/>
          <w14:textFill>
            <w14:solidFill>
              <w14:schemeClr w14:val="tx1"/>
            </w14:solidFill>
          </w14:textFill>
        </w:rPr>
        <w:t>河涌桥预制梁采用圆板式橡胶支座。</w:t>
      </w:r>
    </w:p>
    <w:p w14:paraId="2D69B166">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1.3.5.2 </w:t>
      </w:r>
      <w:r>
        <w:rPr>
          <w:rStyle w:val="81"/>
          <w:rFonts w:hint="eastAsia" w:ascii="宋体" w:hAnsi="宋体" w:cs="宋体"/>
          <w:color w:val="000000" w:themeColor="text1"/>
          <w:sz w:val="24"/>
          <w:szCs w:val="24"/>
          <w:highlight w:val="none"/>
          <w14:textFill>
            <w14:solidFill>
              <w14:schemeClr w14:val="tx1"/>
            </w14:solidFill>
          </w14:textFill>
        </w:rPr>
        <w:t>为保证支座受力，要求预制梁梁底进行调平设计。</w:t>
      </w:r>
    </w:p>
    <w:p w14:paraId="4AC77118">
      <w:pPr>
        <w:pStyle w:val="24"/>
        <w:ind w:firstLine="0" w:firstLineChars="0"/>
        <w:rPr>
          <w:rFonts w:hint="eastAsia" w:hAnsi="宋体" w:cs="宋体"/>
          <w:color w:val="000000" w:themeColor="text1"/>
          <w:szCs w:val="24"/>
          <w:highlight w:val="none"/>
          <w14:textFill>
            <w14:solidFill>
              <w14:schemeClr w14:val="tx1"/>
            </w14:solidFill>
          </w14:textFill>
        </w:rPr>
      </w:pPr>
      <w:bookmarkStart w:id="509" w:name="_Toc96633191"/>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1.3.6 </w:t>
      </w:r>
      <w:r>
        <w:rPr>
          <w:rFonts w:hint="eastAsia" w:hAnsi="宋体" w:cs="宋体"/>
          <w:color w:val="000000" w:themeColor="text1"/>
          <w:szCs w:val="24"/>
          <w:highlight w:val="none"/>
          <w14:textFill>
            <w14:solidFill>
              <w14:schemeClr w14:val="tx1"/>
            </w14:solidFill>
          </w14:textFill>
        </w:rPr>
        <w:t>桥梁伸缩缝</w:t>
      </w:r>
      <w:bookmarkEnd w:id="509"/>
    </w:p>
    <w:p w14:paraId="604A73CB">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河涌桥采用成品伸缩缝装置，规格根据桥长伸缩量选取。</w:t>
      </w:r>
    </w:p>
    <w:p w14:paraId="234916ED">
      <w:pPr>
        <w:pStyle w:val="24"/>
        <w:ind w:firstLine="0" w:firstLineChars="0"/>
        <w:rPr>
          <w:rFonts w:hint="eastAsia" w:hAnsi="宋体" w:cs="宋体"/>
          <w:color w:val="000000" w:themeColor="text1"/>
          <w:szCs w:val="24"/>
          <w:highlight w:val="none"/>
          <w14:textFill>
            <w14:solidFill>
              <w14:schemeClr w14:val="tx1"/>
            </w14:solidFill>
          </w14:textFill>
        </w:rPr>
      </w:pPr>
      <w:bookmarkStart w:id="510" w:name="_Toc96633192"/>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1.3.7 </w:t>
      </w:r>
      <w:r>
        <w:rPr>
          <w:rFonts w:hint="eastAsia" w:hAnsi="宋体" w:cs="宋体"/>
          <w:color w:val="000000" w:themeColor="text1"/>
          <w:szCs w:val="24"/>
          <w:highlight w:val="none"/>
          <w14:textFill>
            <w14:solidFill>
              <w14:schemeClr w14:val="tx1"/>
            </w14:solidFill>
          </w14:textFill>
        </w:rPr>
        <w:t>桥梁人行道栏杆</w:t>
      </w:r>
      <w:bookmarkEnd w:id="510"/>
    </w:p>
    <w:p w14:paraId="46015651">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桥梁人行道护栏同人行道护栏，按《广州市城市家具建设指引》进行设计，建议统一采用黑色铸铁材质，桥梁人行道或安全带临空侧的栏杆高度为1.1m，非机动车道临空侧栏杆高度为1.4m。栏杆竖直构件间的最大净间距为110mm。</w:t>
      </w:r>
    </w:p>
    <w:p w14:paraId="3C59418F">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511" w:name="_Toc96633197"/>
      <w:bookmarkStart w:id="512" w:name="_Toc32194"/>
      <w:bookmarkStart w:id="513" w:name="_Toc104581778"/>
      <w:bookmarkStart w:id="514" w:name="_Toc13017"/>
      <w:bookmarkStart w:id="515" w:name="_Toc19344"/>
      <w:r>
        <w:rPr>
          <w:rFonts w:hint="eastAsia" w:ascii="宋体" w:hAnsi="宋体" w:eastAsia="宋体" w:cs="宋体"/>
          <w:color w:val="000000" w:themeColor="text1"/>
          <w:sz w:val="24"/>
          <w:szCs w:val="24"/>
          <w:highlight w:val="none"/>
          <w14:textFill>
            <w14:solidFill>
              <w14:schemeClr w14:val="tx1"/>
            </w14:solidFill>
          </w14:textFill>
        </w:rPr>
        <w:t>11.4 排水工程</w:t>
      </w:r>
      <w:bookmarkEnd w:id="511"/>
      <w:bookmarkEnd w:id="512"/>
      <w:bookmarkEnd w:id="513"/>
      <w:bookmarkEnd w:id="514"/>
      <w:bookmarkEnd w:id="515"/>
    </w:p>
    <w:p w14:paraId="4734E683">
      <w:pPr>
        <w:pStyle w:val="24"/>
        <w:ind w:firstLine="0" w:firstLineChars="0"/>
        <w:rPr>
          <w:rFonts w:hint="eastAsia" w:hAnsi="宋体" w:cs="宋体"/>
          <w:color w:val="000000" w:themeColor="text1"/>
          <w:szCs w:val="24"/>
          <w:highlight w:val="none"/>
          <w14:textFill>
            <w14:solidFill>
              <w14:schemeClr w14:val="tx1"/>
            </w14:solidFill>
          </w14:textFill>
        </w:rPr>
      </w:pPr>
      <w:bookmarkStart w:id="516" w:name="_Toc96633198"/>
      <w:r>
        <w:rPr>
          <w:rFonts w:hint="eastAsia" w:hAnsi="宋体" w:cs="宋体"/>
          <w:color w:val="000000" w:themeColor="text1"/>
          <w:szCs w:val="24"/>
          <w:highlight w:val="none"/>
          <w14:textFill>
            <w14:solidFill>
              <w14:schemeClr w14:val="tx1"/>
            </w14:solidFill>
          </w14:textFill>
        </w:rPr>
        <w:t>11</w:t>
      </w:r>
      <w:r>
        <w:rPr>
          <w:rFonts w:hAnsi="宋体" w:cs="宋体"/>
          <w:color w:val="000000" w:themeColor="text1"/>
          <w:szCs w:val="24"/>
          <w:highlight w:val="none"/>
          <w14:textFill>
            <w14:solidFill>
              <w14:schemeClr w14:val="tx1"/>
            </w14:solidFill>
          </w14:textFill>
        </w:rPr>
        <w:t xml:space="preserve">.4.1 </w:t>
      </w:r>
      <w:r>
        <w:rPr>
          <w:rFonts w:hint="eastAsia" w:hAnsi="宋体" w:cs="宋体"/>
          <w:color w:val="000000" w:themeColor="text1"/>
          <w:szCs w:val="24"/>
          <w:highlight w:val="none"/>
          <w14:textFill>
            <w14:solidFill>
              <w14:schemeClr w14:val="tx1"/>
            </w14:solidFill>
          </w14:textFill>
        </w:rPr>
        <w:t>排水管材</w:t>
      </w:r>
      <w:bookmarkEnd w:id="516"/>
    </w:p>
    <w:p w14:paraId="537C0814">
      <w:pPr>
        <w:pStyle w:val="98"/>
        <w:numPr>
          <w:ilvl w:val="0"/>
          <w:numId w:val="21"/>
        </w:numPr>
        <w:ind w:left="0"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雨水管管材</w:t>
      </w:r>
    </w:p>
    <w:p w14:paraId="584ED4F6">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明挖段采用国标II级机制钢筋混凝土管（带芯片），橡胶圈承插连接；管径d≤1200时采用承插式接头，d≥1350时采用企口式接头。</w:t>
      </w:r>
    </w:p>
    <w:p w14:paraId="634CB835">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机械顶管采用国标III级钢筋混凝土F管，钢承口F型式接口，密封胶圈采用滑动橡胶圈。压力管和过河管道采用Q235-B级焊接钢管。</w:t>
      </w:r>
    </w:p>
    <w:p w14:paraId="1143B71A">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雨水口连接管采用d300国标Ⅱ级钢筋混凝土管，坡度1%，橡胶圈承插接口。</w:t>
      </w:r>
    </w:p>
    <w:p w14:paraId="6DD41EDC">
      <w:pPr>
        <w:pStyle w:val="98"/>
        <w:numPr>
          <w:ilvl w:val="0"/>
          <w:numId w:val="21"/>
        </w:numPr>
        <w:ind w:left="0"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污水管管材</w:t>
      </w:r>
    </w:p>
    <w:p w14:paraId="7DB0C385">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污水管道采用球墨铸铁管，管道覆土＞6m时，管材采用C40等级，其余采用C30等级。压力管和过河管道采用Q235-B级直缝卷焊钢管，PN10。</w:t>
      </w:r>
    </w:p>
    <w:p w14:paraId="0149D136">
      <w:pPr>
        <w:pStyle w:val="24"/>
        <w:ind w:firstLine="0" w:firstLineChars="0"/>
        <w:rPr>
          <w:rFonts w:hint="eastAsia" w:hAnsi="宋体" w:cs="宋体"/>
          <w:color w:val="000000" w:themeColor="text1"/>
          <w:szCs w:val="24"/>
          <w:highlight w:val="none"/>
          <w14:textFill>
            <w14:solidFill>
              <w14:schemeClr w14:val="tx1"/>
            </w14:solidFill>
          </w14:textFill>
        </w:rPr>
      </w:pPr>
      <w:bookmarkStart w:id="517" w:name="_Toc96633199"/>
      <w:r>
        <w:rPr>
          <w:rFonts w:hint="eastAsia" w:hAnsi="宋体" w:cs="宋体"/>
          <w:color w:val="000000" w:themeColor="text1"/>
          <w:szCs w:val="24"/>
          <w:highlight w:val="none"/>
          <w14:textFill>
            <w14:solidFill>
              <w14:schemeClr w14:val="tx1"/>
            </w14:solidFill>
          </w14:textFill>
        </w:rPr>
        <w:t>11</w:t>
      </w:r>
      <w:r>
        <w:rPr>
          <w:rFonts w:hAnsi="宋体" w:cs="宋体"/>
          <w:color w:val="000000" w:themeColor="text1"/>
          <w:szCs w:val="24"/>
          <w:highlight w:val="none"/>
          <w14:textFill>
            <w14:solidFill>
              <w14:schemeClr w14:val="tx1"/>
            </w14:solidFill>
          </w14:textFill>
        </w:rPr>
        <w:t xml:space="preserve">.4.2 </w:t>
      </w:r>
      <w:r>
        <w:rPr>
          <w:rFonts w:hint="eastAsia" w:hAnsi="宋体" w:cs="宋体"/>
          <w:color w:val="000000" w:themeColor="text1"/>
          <w:szCs w:val="24"/>
          <w:highlight w:val="none"/>
          <w14:textFill>
            <w14:solidFill>
              <w14:schemeClr w14:val="tx1"/>
            </w14:solidFill>
          </w14:textFill>
        </w:rPr>
        <w:t>排水附属设施</w:t>
      </w:r>
      <w:bookmarkEnd w:id="517"/>
    </w:p>
    <w:p w14:paraId="07EBBCE4">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.4.2.1 </w:t>
      </w:r>
      <w:r>
        <w:rPr>
          <w:rStyle w:val="81"/>
          <w:rFonts w:hint="eastAsia" w:ascii="宋体" w:hAnsi="宋体" w:cs="宋体"/>
          <w:color w:val="000000" w:themeColor="text1"/>
          <w:sz w:val="24"/>
          <w:szCs w:val="24"/>
          <w:highlight w:val="none"/>
          <w14:textFill>
            <w14:solidFill>
              <w14:schemeClr w14:val="tx1"/>
            </w14:solidFill>
          </w14:textFill>
        </w:rPr>
        <w:t>管道基础</w:t>
      </w:r>
    </w:p>
    <w:p w14:paraId="79BA3A1D">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钢筋混凝土雨水管道基础：采用带状钢筋混凝土基础。</w:t>
      </w:r>
    </w:p>
    <w:p w14:paraId="78545438">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II级钢筋混凝土管，当覆土≤5m时，采用120度混凝土基础；覆土大于5m小于等于7.5m时，采用180度混凝土基础。</w:t>
      </w:r>
    </w:p>
    <w:p w14:paraId="562FDD4E">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III级钢筋混凝土管，当覆土≤6.5m时，采用120度混凝土基础；覆土大于6.5m小于等于9.0m时，采用180度混凝土基础。</w:t>
      </w:r>
    </w:p>
    <w:p w14:paraId="0549E802">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球墨铸铁污水管道基础：采用带状中粗砂垫层基础，厚度200mm，管槽回填石屑至管顶以上500mm。</w:t>
      </w:r>
    </w:p>
    <w:p w14:paraId="7F565310">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.4.2.2 </w:t>
      </w:r>
      <w:r>
        <w:rPr>
          <w:rStyle w:val="81"/>
          <w:rFonts w:hint="eastAsia" w:ascii="宋体" w:hAnsi="宋体" w:cs="宋体"/>
          <w:color w:val="000000" w:themeColor="text1"/>
          <w:sz w:val="24"/>
          <w:szCs w:val="24"/>
          <w:highlight w:val="none"/>
          <w14:textFill>
            <w14:solidFill>
              <w14:schemeClr w14:val="tx1"/>
            </w14:solidFill>
          </w14:textFill>
        </w:rPr>
        <w:t>检查井</w:t>
      </w:r>
    </w:p>
    <w:p w14:paraId="2DBD91D0">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管径≤1200时，检查井采用：预制式检查井，做法按《预制装配式钢筋混凝土排水检查井标准图集（试行）》（广州市水务局）。</w:t>
      </w:r>
    </w:p>
    <w:p w14:paraId="5C8F9BEC">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2</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管径＞d1200时，检查井采用：现浇矩形混凝土检查井，参照《06MS201-3》。</w:t>
      </w:r>
    </w:p>
    <w:p w14:paraId="0C5D91E4">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3.</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市政道路排水管道每隔90~120m设置沉砂井，预留接户井均设为沉砂井，排出口前一检查井设为沉砂。沉砂井井底比相应的管底标高低500mm。</w:t>
      </w:r>
    </w:p>
    <w:p w14:paraId="7CB2938B">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4</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检查井应根据06MS201-3第8页进行流槽设计。</w:t>
      </w:r>
    </w:p>
    <w:p w14:paraId="69D332C8">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5</w:t>
      </w:r>
      <w:r>
        <w:rPr>
          <w:rStyle w:val="81"/>
          <w:rFonts w:ascii="宋体" w:hAnsi="宋体" w:cs="宋体"/>
          <w:color w:val="000000" w:themeColor="text1"/>
          <w:sz w:val="24"/>
          <w:szCs w:val="24"/>
          <w:highlight w:val="none"/>
          <w14:textFill>
            <w14:solidFill>
              <w14:schemeClr w14:val="tx1"/>
            </w14:solidFill>
          </w14:textFill>
        </w:rPr>
        <w:t xml:space="preserve">. </w:t>
      </w:r>
      <w:r>
        <w:rPr>
          <w:rStyle w:val="81"/>
          <w:rFonts w:hint="eastAsia" w:ascii="宋体" w:hAnsi="宋体" w:cs="宋体"/>
          <w:color w:val="000000" w:themeColor="text1"/>
          <w:sz w:val="24"/>
          <w:szCs w:val="24"/>
          <w:highlight w:val="none"/>
          <w14:textFill>
            <w14:solidFill>
              <w14:schemeClr w14:val="tx1"/>
            </w14:solidFill>
          </w14:textFill>
        </w:rPr>
        <w:t>在井壁设置不锈钢标识铭牌，铭牌尺寸不小于15cmx10cm，其内容包括井盖设施权属部门名称、24小时报修电话、检查井编号。</w:t>
      </w:r>
    </w:p>
    <w:p w14:paraId="66500316">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.4.2.3 </w:t>
      </w:r>
      <w:r>
        <w:rPr>
          <w:rStyle w:val="81"/>
          <w:rFonts w:hint="eastAsia" w:ascii="宋体" w:hAnsi="宋体" w:cs="宋体"/>
          <w:color w:val="000000" w:themeColor="text1"/>
          <w:sz w:val="24"/>
          <w:szCs w:val="24"/>
          <w:highlight w:val="none"/>
          <w14:textFill>
            <w14:solidFill>
              <w14:schemeClr w14:val="tx1"/>
            </w14:solidFill>
          </w14:textFill>
        </w:rPr>
        <w:t>井盖</w:t>
      </w:r>
    </w:p>
    <w:p w14:paraId="26935A6E">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车道的井盖承载力按D400级；绿化带、人行道的井盖承载力不低于C250级，并设置不锈钢装饰型井盖；井盖上应分别加“雨水”、“污水”二字，采用球墨铸铁防盗减震重型井盖。</w:t>
      </w:r>
    </w:p>
    <w:p w14:paraId="7E00F5F7">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.4.2.4 </w:t>
      </w:r>
      <w:r>
        <w:rPr>
          <w:rStyle w:val="81"/>
          <w:rFonts w:hint="eastAsia" w:ascii="宋体" w:hAnsi="宋体" w:cs="宋体"/>
          <w:color w:val="000000" w:themeColor="text1"/>
          <w:sz w:val="24"/>
          <w:szCs w:val="24"/>
          <w:highlight w:val="none"/>
          <w14:textFill>
            <w14:solidFill>
              <w14:schemeClr w14:val="tx1"/>
            </w14:solidFill>
          </w14:textFill>
        </w:rPr>
        <w:t>雨水口</w:t>
      </w:r>
    </w:p>
    <w:p w14:paraId="05E8F3EE">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采用预制装配式钢筋混凝土雨水口，带不锈钢截污挂篮，做法参照《预制装配式钢筋混凝土雨水口标准图集》（广州市水务局），均采用双篦平入式。</w:t>
      </w:r>
    </w:p>
    <w:p w14:paraId="54E293DA">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材质采用球墨铸铁，并经过喷涂防锈环氧树脂或沥青漆等防锈处理，承载力C250级；侧入式雨水收集口篦子与道路侧石一体式预制。</w:t>
      </w:r>
    </w:p>
    <w:p w14:paraId="134EFA59">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.4.2.5 </w:t>
      </w:r>
      <w:r>
        <w:rPr>
          <w:rStyle w:val="81"/>
          <w:rFonts w:hint="eastAsia" w:ascii="宋体" w:hAnsi="宋体" w:cs="宋体"/>
          <w:color w:val="000000" w:themeColor="text1"/>
          <w:sz w:val="24"/>
          <w:szCs w:val="24"/>
          <w:highlight w:val="none"/>
          <w14:textFill>
            <w14:solidFill>
              <w14:schemeClr w14:val="tx1"/>
            </w14:solidFill>
          </w14:textFill>
        </w:rPr>
        <w:t>防坠网</w:t>
      </w:r>
    </w:p>
    <w:p w14:paraId="57E6EE3D">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所有排水检查井均加装防坠网，防坠网材质采用球墨铸铁。</w:t>
      </w:r>
    </w:p>
    <w:p w14:paraId="514E860E">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11</w:t>
      </w:r>
      <w:r>
        <w:rPr>
          <w:rStyle w:val="81"/>
          <w:rFonts w:ascii="宋体" w:hAnsi="宋体" w:cs="宋体"/>
          <w:color w:val="000000" w:themeColor="text1"/>
          <w:sz w:val="24"/>
          <w:szCs w:val="24"/>
          <w:highlight w:val="none"/>
          <w14:textFill>
            <w14:solidFill>
              <w14:schemeClr w14:val="tx1"/>
            </w14:solidFill>
          </w14:textFill>
        </w:rPr>
        <w:t xml:space="preserve">.4.2.6 </w:t>
      </w:r>
      <w:r>
        <w:rPr>
          <w:rStyle w:val="81"/>
          <w:rFonts w:hint="eastAsia" w:ascii="宋体" w:hAnsi="宋体" w:cs="宋体"/>
          <w:color w:val="000000" w:themeColor="text1"/>
          <w:sz w:val="24"/>
          <w:szCs w:val="24"/>
          <w:highlight w:val="none"/>
          <w14:textFill>
            <w14:solidFill>
              <w14:schemeClr w14:val="tx1"/>
            </w14:solidFill>
          </w14:textFill>
        </w:rPr>
        <w:t>接户井</w:t>
      </w:r>
    </w:p>
    <w:p w14:paraId="4C79B681">
      <w:pPr>
        <w:pStyle w:val="98"/>
        <w:ind w:firstLine="48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每间隔120~150米设置排水接户井，雨水接户管管径d600，污水接户管管径DN400。</w:t>
      </w:r>
    </w:p>
    <w:p w14:paraId="745B5085">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518" w:name="_Toc96633200"/>
      <w:bookmarkStart w:id="519" w:name="_Toc31129"/>
      <w:bookmarkStart w:id="520" w:name="_Toc6872"/>
      <w:bookmarkStart w:id="521" w:name="_Toc104581779"/>
      <w:bookmarkStart w:id="522" w:name="_Toc2268"/>
      <w:r>
        <w:rPr>
          <w:rFonts w:hint="eastAsia" w:ascii="宋体" w:hAnsi="宋体" w:eastAsia="宋体" w:cs="宋体"/>
          <w:color w:val="000000" w:themeColor="text1"/>
          <w:sz w:val="24"/>
          <w:szCs w:val="24"/>
          <w:highlight w:val="none"/>
          <w14:textFill>
            <w14:solidFill>
              <w14:schemeClr w14:val="tx1"/>
            </w14:solidFill>
          </w14:textFill>
        </w:rPr>
        <w:t>11.5 照明工程</w:t>
      </w:r>
      <w:bookmarkEnd w:id="518"/>
      <w:bookmarkEnd w:id="519"/>
      <w:bookmarkEnd w:id="520"/>
      <w:bookmarkEnd w:id="521"/>
      <w:bookmarkEnd w:id="522"/>
    </w:p>
    <w:p w14:paraId="6E2D0077">
      <w:pPr>
        <w:pStyle w:val="24"/>
        <w:ind w:firstLine="0" w:firstLineChars="0"/>
        <w:rPr>
          <w:rFonts w:hint="eastAsia" w:hAnsi="宋体" w:cs="宋体"/>
          <w:color w:val="000000" w:themeColor="text1"/>
          <w:szCs w:val="24"/>
          <w:highlight w:val="none"/>
          <w14:textFill>
            <w14:solidFill>
              <w14:schemeClr w14:val="tx1"/>
            </w14:solidFill>
          </w14:textFill>
        </w:rPr>
      </w:pPr>
      <w:bookmarkStart w:id="523" w:name="_Toc96633201"/>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1.5.1 </w:t>
      </w:r>
      <w:r>
        <w:rPr>
          <w:rFonts w:hint="eastAsia" w:hAnsi="宋体" w:cs="宋体"/>
          <w:color w:val="000000" w:themeColor="text1"/>
          <w:szCs w:val="24"/>
          <w:highlight w:val="none"/>
          <w14:textFill>
            <w14:solidFill>
              <w14:schemeClr w14:val="tx1"/>
            </w14:solidFill>
          </w14:textFill>
        </w:rPr>
        <w:t>道路照明设计</w:t>
      </w:r>
      <w:bookmarkEnd w:id="523"/>
    </w:p>
    <w:p w14:paraId="4F77C2B3">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ascii="宋体" w:hAnsi="宋体" w:cs="宋体"/>
          <w:color w:val="000000" w:themeColor="text1"/>
          <w:sz w:val="24"/>
          <w:szCs w:val="24"/>
          <w:highlight w:val="none"/>
          <w14:textFill>
            <w14:solidFill>
              <w14:schemeClr w14:val="tx1"/>
            </w14:solidFill>
          </w14:textFill>
        </w:rPr>
        <w:t xml:space="preserve">11.5.1.1 </w:t>
      </w:r>
      <w:r>
        <w:rPr>
          <w:rStyle w:val="81"/>
          <w:rFonts w:hint="eastAsia" w:ascii="宋体" w:hAnsi="宋体" w:cs="宋体"/>
          <w:color w:val="000000" w:themeColor="text1"/>
          <w:sz w:val="24"/>
          <w:szCs w:val="24"/>
          <w:highlight w:val="none"/>
          <w14:textFill>
            <w14:solidFill>
              <w14:schemeClr w14:val="tx1"/>
            </w14:solidFill>
          </w14:textFill>
        </w:rPr>
        <w:t>道路照明设计应包括机动车道、交会区、人行及非机动车道的照明设计。</w:t>
      </w:r>
    </w:p>
    <w:p w14:paraId="40753567">
      <w:pPr>
        <w:pStyle w:val="98"/>
        <w:ind w:firstLine="0"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1.5.1.2 </w:t>
      </w:r>
      <w:r>
        <w:rPr>
          <w:rStyle w:val="81"/>
          <w:rFonts w:hint="eastAsia" w:ascii="宋体" w:hAnsi="宋体" w:cs="宋体"/>
          <w:color w:val="000000" w:themeColor="text1"/>
          <w:sz w:val="24"/>
          <w:szCs w:val="24"/>
          <w:highlight w:val="none"/>
          <w14:textFill>
            <w14:solidFill>
              <w14:schemeClr w14:val="tx1"/>
            </w14:solidFill>
          </w14:textFill>
        </w:rPr>
        <w:t>机动车道、交会区、人行及非机动车道的照明标准值见下表：</w:t>
      </w:r>
    </w:p>
    <w:p w14:paraId="6B8E8B3B">
      <w:pPr>
        <w:spacing w:line="360" w:lineRule="auto"/>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 xml:space="preserve"> 机动车交通道路照明标准值</w:t>
      </w:r>
    </w:p>
    <w:tbl>
      <w:tblPr>
        <w:tblStyle w:val="42"/>
        <w:tblW w:w="8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278"/>
        <w:gridCol w:w="1061"/>
        <w:gridCol w:w="930"/>
        <w:gridCol w:w="1098"/>
        <w:gridCol w:w="1067"/>
        <w:gridCol w:w="1117"/>
        <w:gridCol w:w="885"/>
      </w:tblGrid>
      <w:tr w14:paraId="300CD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Merge w:val="restart"/>
            <w:vAlign w:val="center"/>
          </w:tcPr>
          <w:p w14:paraId="568035F7">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道路类别</w:t>
            </w:r>
          </w:p>
        </w:tc>
        <w:tc>
          <w:tcPr>
            <w:tcW w:w="3269" w:type="dxa"/>
            <w:gridSpan w:val="3"/>
            <w:vAlign w:val="center"/>
          </w:tcPr>
          <w:p w14:paraId="0FA3355A">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路面亮度</w:t>
            </w:r>
          </w:p>
        </w:tc>
        <w:tc>
          <w:tcPr>
            <w:tcW w:w="2165" w:type="dxa"/>
            <w:gridSpan w:val="2"/>
            <w:vAlign w:val="center"/>
          </w:tcPr>
          <w:p w14:paraId="03427166">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照   度</w:t>
            </w:r>
          </w:p>
        </w:tc>
        <w:tc>
          <w:tcPr>
            <w:tcW w:w="1117" w:type="dxa"/>
            <w:vMerge w:val="restart"/>
            <w:vAlign w:val="center"/>
          </w:tcPr>
          <w:p w14:paraId="27051645">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眩光限制域值增量TI（％）最大初始值</w:t>
            </w:r>
          </w:p>
        </w:tc>
        <w:tc>
          <w:tcPr>
            <w:tcW w:w="885" w:type="dxa"/>
            <w:vMerge w:val="restart"/>
            <w:vAlign w:val="center"/>
          </w:tcPr>
          <w:p w14:paraId="09342219">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环境比SR最小值</w:t>
            </w:r>
          </w:p>
        </w:tc>
      </w:tr>
      <w:tr w14:paraId="2E9A8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Merge w:val="continue"/>
            <w:vAlign w:val="center"/>
          </w:tcPr>
          <w:p w14:paraId="77F06605">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p>
        </w:tc>
        <w:tc>
          <w:tcPr>
            <w:tcW w:w="1278" w:type="dxa"/>
            <w:vAlign w:val="center"/>
          </w:tcPr>
          <w:p w14:paraId="5C86CFE4">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平均亮度Lav(cd/m</w:t>
            </w:r>
            <w:r>
              <w:rPr>
                <w:rFonts w:hint="eastAsia" w:ascii="宋体" w:hAnsi="宋体" w:cs="宋体"/>
                <w:b/>
                <w:color w:val="000000" w:themeColor="text1"/>
                <w:szCs w:val="21"/>
                <w:highlight w:val="none"/>
                <w:vertAlign w:val="superscript"/>
                <w14:textFill>
                  <w14:solidFill>
                    <w14:schemeClr w14:val="tx1"/>
                  </w14:solidFill>
                </w14:textFill>
              </w:rPr>
              <w:t>2</w:t>
            </w:r>
            <w:r>
              <w:rPr>
                <w:rFonts w:hint="eastAsia" w:ascii="宋体" w:hAnsi="宋体" w:cs="宋体"/>
                <w:b/>
                <w:color w:val="000000" w:themeColor="text1"/>
                <w:szCs w:val="21"/>
                <w:highlight w:val="none"/>
                <w14:textFill>
                  <w14:solidFill>
                    <w14:schemeClr w14:val="tx1"/>
                  </w14:solidFill>
                </w14:textFill>
              </w:rPr>
              <w:t>)维持值</w:t>
            </w:r>
          </w:p>
        </w:tc>
        <w:tc>
          <w:tcPr>
            <w:tcW w:w="1061" w:type="dxa"/>
            <w:vAlign w:val="center"/>
          </w:tcPr>
          <w:p w14:paraId="3AE24441">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总均匀度U0最小值</w:t>
            </w:r>
          </w:p>
        </w:tc>
        <w:tc>
          <w:tcPr>
            <w:tcW w:w="930" w:type="dxa"/>
            <w:vAlign w:val="center"/>
          </w:tcPr>
          <w:p w14:paraId="15615712">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纵向均匀度UL最小值</w:t>
            </w:r>
          </w:p>
        </w:tc>
        <w:tc>
          <w:tcPr>
            <w:tcW w:w="1098" w:type="dxa"/>
            <w:vAlign w:val="center"/>
          </w:tcPr>
          <w:p w14:paraId="5255FEC4">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平均照度Eav(Lx)维持值</w:t>
            </w:r>
          </w:p>
        </w:tc>
        <w:tc>
          <w:tcPr>
            <w:tcW w:w="1067" w:type="dxa"/>
            <w:vAlign w:val="center"/>
          </w:tcPr>
          <w:p w14:paraId="481B8C01">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均匀度UE</w:t>
            </w:r>
          </w:p>
        </w:tc>
        <w:tc>
          <w:tcPr>
            <w:tcW w:w="1117" w:type="dxa"/>
            <w:vMerge w:val="continue"/>
            <w:vAlign w:val="center"/>
          </w:tcPr>
          <w:p w14:paraId="63D6E44B">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p>
        </w:tc>
        <w:tc>
          <w:tcPr>
            <w:tcW w:w="885" w:type="dxa"/>
            <w:vMerge w:val="continue"/>
            <w:vAlign w:val="center"/>
          </w:tcPr>
          <w:p w14:paraId="4600FA98">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p>
        </w:tc>
      </w:tr>
      <w:tr w14:paraId="7C15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7875FE83">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主干路</w:t>
            </w:r>
          </w:p>
        </w:tc>
        <w:tc>
          <w:tcPr>
            <w:tcW w:w="1278" w:type="dxa"/>
            <w:vAlign w:val="center"/>
          </w:tcPr>
          <w:p w14:paraId="61B1DD0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2.0</w:t>
            </w:r>
          </w:p>
        </w:tc>
        <w:tc>
          <w:tcPr>
            <w:tcW w:w="1061" w:type="dxa"/>
            <w:vAlign w:val="center"/>
          </w:tcPr>
          <w:p w14:paraId="7F783B1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930" w:type="dxa"/>
            <w:vAlign w:val="center"/>
          </w:tcPr>
          <w:p w14:paraId="4280B9E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0.7</w:t>
            </w:r>
          </w:p>
        </w:tc>
        <w:tc>
          <w:tcPr>
            <w:tcW w:w="1098" w:type="dxa"/>
            <w:vAlign w:val="center"/>
          </w:tcPr>
          <w:p w14:paraId="5F67A768">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1067" w:type="dxa"/>
            <w:vAlign w:val="center"/>
          </w:tcPr>
          <w:p w14:paraId="268E233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1117" w:type="dxa"/>
            <w:vAlign w:val="center"/>
          </w:tcPr>
          <w:p w14:paraId="35EAA89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10</w:t>
            </w:r>
          </w:p>
        </w:tc>
        <w:tc>
          <w:tcPr>
            <w:tcW w:w="885" w:type="dxa"/>
            <w:vAlign w:val="center"/>
          </w:tcPr>
          <w:p w14:paraId="06516825">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0.5</w:t>
            </w:r>
          </w:p>
        </w:tc>
      </w:tr>
      <w:tr w14:paraId="42F91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4CAEC2F1">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次干路</w:t>
            </w:r>
          </w:p>
        </w:tc>
        <w:tc>
          <w:tcPr>
            <w:tcW w:w="1278" w:type="dxa"/>
            <w:vAlign w:val="center"/>
          </w:tcPr>
          <w:p w14:paraId="67796C98">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1.5</w:t>
            </w:r>
          </w:p>
        </w:tc>
        <w:tc>
          <w:tcPr>
            <w:tcW w:w="1061" w:type="dxa"/>
            <w:vAlign w:val="center"/>
          </w:tcPr>
          <w:p w14:paraId="3847E347">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930" w:type="dxa"/>
            <w:vAlign w:val="center"/>
          </w:tcPr>
          <w:p w14:paraId="38E6EF63">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0.5</w:t>
            </w:r>
          </w:p>
        </w:tc>
        <w:tc>
          <w:tcPr>
            <w:tcW w:w="1098" w:type="dxa"/>
            <w:vAlign w:val="center"/>
          </w:tcPr>
          <w:p w14:paraId="0E7A8594">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20</w:t>
            </w:r>
          </w:p>
        </w:tc>
        <w:tc>
          <w:tcPr>
            <w:tcW w:w="1067" w:type="dxa"/>
            <w:vAlign w:val="center"/>
          </w:tcPr>
          <w:p w14:paraId="0D6345BA">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1117" w:type="dxa"/>
            <w:vAlign w:val="center"/>
          </w:tcPr>
          <w:p w14:paraId="3476A492">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10</w:t>
            </w:r>
          </w:p>
        </w:tc>
        <w:tc>
          <w:tcPr>
            <w:tcW w:w="885" w:type="dxa"/>
            <w:vAlign w:val="center"/>
          </w:tcPr>
          <w:p w14:paraId="4694512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0.5</w:t>
            </w:r>
          </w:p>
        </w:tc>
      </w:tr>
      <w:tr w14:paraId="5AF3A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69A2014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支路</w:t>
            </w:r>
          </w:p>
        </w:tc>
        <w:tc>
          <w:tcPr>
            <w:tcW w:w="1278" w:type="dxa"/>
            <w:vAlign w:val="center"/>
          </w:tcPr>
          <w:p w14:paraId="0716F415">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0.75</w:t>
            </w:r>
          </w:p>
        </w:tc>
        <w:tc>
          <w:tcPr>
            <w:tcW w:w="1061" w:type="dxa"/>
            <w:vAlign w:val="center"/>
          </w:tcPr>
          <w:p w14:paraId="169E7876">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930" w:type="dxa"/>
            <w:vAlign w:val="center"/>
          </w:tcPr>
          <w:p w14:paraId="58800E7F">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w:t>
            </w:r>
          </w:p>
        </w:tc>
        <w:tc>
          <w:tcPr>
            <w:tcW w:w="1098" w:type="dxa"/>
            <w:vAlign w:val="center"/>
          </w:tcPr>
          <w:p w14:paraId="43B910DA">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10</w:t>
            </w:r>
          </w:p>
        </w:tc>
        <w:tc>
          <w:tcPr>
            <w:tcW w:w="1067" w:type="dxa"/>
            <w:vAlign w:val="center"/>
          </w:tcPr>
          <w:p w14:paraId="2DC8588F">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0.3</w:t>
            </w:r>
          </w:p>
        </w:tc>
        <w:tc>
          <w:tcPr>
            <w:tcW w:w="1117" w:type="dxa"/>
            <w:vAlign w:val="center"/>
          </w:tcPr>
          <w:p w14:paraId="79FA25DC">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15</w:t>
            </w:r>
          </w:p>
        </w:tc>
        <w:tc>
          <w:tcPr>
            <w:tcW w:w="885" w:type="dxa"/>
            <w:vAlign w:val="center"/>
          </w:tcPr>
          <w:p w14:paraId="0C8B66CE">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w:t>
            </w:r>
          </w:p>
        </w:tc>
      </w:tr>
    </w:tbl>
    <w:p w14:paraId="503FE463">
      <w:pPr>
        <w:pStyle w:val="15"/>
        <w:spacing w:line="360" w:lineRule="auto"/>
        <w:ind w:firstLine="482"/>
        <w:jc w:val="both"/>
        <w:rPr>
          <w:rFonts w:hint="eastAsia" w:ascii="宋体" w:hAnsi="宋体" w:cs="宋体"/>
          <w:b w:val="0"/>
          <w:bCs/>
          <w:color w:val="000000" w:themeColor="text1"/>
          <w:szCs w:val="21"/>
          <w:highlight w:val="none"/>
          <w14:textFill>
            <w14:solidFill>
              <w14:schemeClr w14:val="tx1"/>
            </w14:solidFill>
          </w14:textFill>
        </w:rPr>
      </w:pPr>
    </w:p>
    <w:p w14:paraId="3E2992F1">
      <w:pPr>
        <w:spacing w:line="360" w:lineRule="auto"/>
        <w:ind w:firstLine="480"/>
        <w:jc w:val="center"/>
        <w:rPr>
          <w:rFonts w:hint="eastAsia" w:ascii="宋体" w:hAnsi="宋体" w:eastAsia="宋体" w:cs="宋体"/>
          <w:b/>
          <w:bCs/>
          <w:color w:val="000000" w:themeColor="text1"/>
          <w:sz w:val="21"/>
          <w:szCs w:val="21"/>
          <w:highlight w:val="none"/>
          <w14:textFill>
            <w14:solidFill>
              <w14:schemeClr w14:val="tx1"/>
            </w14:solidFill>
          </w14:textFill>
        </w:rPr>
      </w:pPr>
      <w:r>
        <w:rPr>
          <w:rFonts w:hint="eastAsia" w:ascii="宋体" w:hAnsi="宋体" w:eastAsia="宋体" w:cs="宋体"/>
          <w:b/>
          <w:bCs/>
          <w:color w:val="000000" w:themeColor="text1"/>
          <w:sz w:val="21"/>
          <w:szCs w:val="21"/>
          <w:highlight w:val="none"/>
          <w14:textFill>
            <w14:solidFill>
              <w14:schemeClr w14:val="tx1"/>
            </w14:solidFill>
          </w14:textFill>
        </w:rPr>
        <w:t xml:space="preserve"> 交会区照明标准值</w:t>
      </w:r>
    </w:p>
    <w:tbl>
      <w:tblPr>
        <w:tblStyle w:val="42"/>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598"/>
        <w:gridCol w:w="1627"/>
        <w:gridCol w:w="1251"/>
        <w:gridCol w:w="2969"/>
      </w:tblGrid>
      <w:tr w14:paraId="6B4B0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5BF6ED62">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交会区类别</w:t>
            </w:r>
          </w:p>
        </w:tc>
        <w:tc>
          <w:tcPr>
            <w:tcW w:w="1627" w:type="dxa"/>
            <w:vAlign w:val="center"/>
          </w:tcPr>
          <w:p w14:paraId="2AFDAD88">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路面平均照度Eav(Lx)，维持值</w:t>
            </w:r>
          </w:p>
        </w:tc>
        <w:tc>
          <w:tcPr>
            <w:tcW w:w="1251" w:type="dxa"/>
            <w:vAlign w:val="center"/>
          </w:tcPr>
          <w:p w14:paraId="60F70795">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照度均匀度UE</w:t>
            </w:r>
          </w:p>
        </w:tc>
        <w:tc>
          <w:tcPr>
            <w:tcW w:w="2969" w:type="dxa"/>
            <w:vAlign w:val="center"/>
          </w:tcPr>
          <w:p w14:paraId="7FEABC69">
            <w:pPr>
              <w:pStyle w:val="99"/>
              <w:adjustRightInd w:val="0"/>
              <w:snapToGrid w:val="0"/>
              <w:spacing w:line="360" w:lineRule="auto"/>
              <w:rPr>
                <w:rFonts w:hint="eastAsia" w:ascii="宋体" w:hAnsi="宋体" w:cs="宋体"/>
                <w:b/>
                <w:color w:val="000000" w:themeColor="text1"/>
                <w:szCs w:val="21"/>
                <w:highlight w:val="none"/>
                <w14:textFill>
                  <w14:solidFill>
                    <w14:schemeClr w14:val="tx1"/>
                  </w14:solidFill>
                </w14:textFill>
              </w:rPr>
            </w:pPr>
            <w:r>
              <w:rPr>
                <w:rFonts w:hint="eastAsia" w:ascii="宋体" w:hAnsi="宋体" w:cs="宋体"/>
                <w:b/>
                <w:color w:val="000000" w:themeColor="text1"/>
                <w:szCs w:val="21"/>
                <w:highlight w:val="none"/>
                <w14:textFill>
                  <w14:solidFill>
                    <w14:schemeClr w14:val="tx1"/>
                  </w14:solidFill>
                </w14:textFill>
              </w:rPr>
              <w:t>眩光限制</w:t>
            </w:r>
          </w:p>
        </w:tc>
      </w:tr>
      <w:tr w14:paraId="6C09E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395DE69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主干路与主干路交会</w:t>
            </w:r>
          </w:p>
          <w:p w14:paraId="626301D8">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主干路与次干路交会</w:t>
            </w:r>
          </w:p>
          <w:p w14:paraId="0B4AAC04">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主干路与支路交会</w:t>
            </w:r>
          </w:p>
        </w:tc>
        <w:tc>
          <w:tcPr>
            <w:tcW w:w="1627" w:type="dxa"/>
            <w:vAlign w:val="center"/>
          </w:tcPr>
          <w:p w14:paraId="4AB5C22F">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50</w:t>
            </w:r>
          </w:p>
        </w:tc>
        <w:tc>
          <w:tcPr>
            <w:tcW w:w="1251" w:type="dxa"/>
            <w:vAlign w:val="center"/>
          </w:tcPr>
          <w:p w14:paraId="39E76FC6">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2969" w:type="dxa"/>
            <w:vAlign w:val="center"/>
          </w:tcPr>
          <w:p w14:paraId="7EB7CB94">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在驾驶员观看灯具的方位角上，灯具在90°和80°高度角方向上的光强分别不得超过10cd/1000lm和30cd/1000lm</w:t>
            </w:r>
          </w:p>
        </w:tc>
      </w:tr>
      <w:tr w14:paraId="67103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52C963F1">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次干路与次干路交会</w:t>
            </w:r>
          </w:p>
          <w:p w14:paraId="130BFB95">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次干路与支路交会</w:t>
            </w:r>
          </w:p>
        </w:tc>
        <w:tc>
          <w:tcPr>
            <w:tcW w:w="1627" w:type="dxa"/>
            <w:vAlign w:val="center"/>
          </w:tcPr>
          <w:p w14:paraId="4DBF2D3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30</w:t>
            </w:r>
          </w:p>
        </w:tc>
        <w:tc>
          <w:tcPr>
            <w:tcW w:w="1251" w:type="dxa"/>
            <w:vAlign w:val="center"/>
          </w:tcPr>
          <w:p w14:paraId="3A375A26">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2969" w:type="dxa"/>
            <w:vAlign w:val="center"/>
          </w:tcPr>
          <w:p w14:paraId="788A273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在驾驶员观看灯具的方位角上，灯具在90°和80°高度角方向上的光强分别不得超过10cd/1000lm和30cd/1000lm</w:t>
            </w:r>
          </w:p>
        </w:tc>
      </w:tr>
      <w:tr w14:paraId="68135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74BF1730">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支路与支路交会</w:t>
            </w:r>
          </w:p>
        </w:tc>
        <w:tc>
          <w:tcPr>
            <w:tcW w:w="1627" w:type="dxa"/>
            <w:vAlign w:val="center"/>
          </w:tcPr>
          <w:p w14:paraId="61E98B11">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20</w:t>
            </w:r>
          </w:p>
        </w:tc>
        <w:tc>
          <w:tcPr>
            <w:tcW w:w="1251" w:type="dxa"/>
            <w:vAlign w:val="center"/>
          </w:tcPr>
          <w:p w14:paraId="5788E41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0.4</w:t>
            </w:r>
          </w:p>
        </w:tc>
        <w:tc>
          <w:tcPr>
            <w:tcW w:w="2969" w:type="dxa"/>
            <w:vAlign w:val="center"/>
          </w:tcPr>
          <w:p w14:paraId="39A41DAD">
            <w:pPr>
              <w:pStyle w:val="99"/>
              <w:adjustRightInd w:val="0"/>
              <w:snapToGrid w:val="0"/>
              <w:spacing w:line="360" w:lineRule="auto"/>
              <w:rPr>
                <w:rFonts w:hint="eastAsia"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在驾驶员观看灯具的方位角上，灯具在90°和80°高度角方向上的光强分别不得超过10cd/1000lm和30cd/1000lm</w:t>
            </w:r>
          </w:p>
        </w:tc>
      </w:tr>
    </w:tbl>
    <w:p w14:paraId="497D123F">
      <w:pPr>
        <w:pStyle w:val="15"/>
        <w:spacing w:line="360" w:lineRule="auto"/>
        <w:ind w:firstLine="482"/>
        <w:rPr>
          <w:rFonts w:hint="eastAsia" w:ascii="宋体" w:hAnsi="宋体" w:cs="宋体"/>
          <w:b w:val="0"/>
          <w:bCs/>
          <w:color w:val="000000" w:themeColor="text1"/>
          <w:sz w:val="24"/>
          <w:szCs w:val="24"/>
          <w:highlight w:val="none"/>
          <w14:textFill>
            <w14:solidFill>
              <w14:schemeClr w14:val="tx1"/>
            </w14:solidFill>
          </w14:textFill>
        </w:rPr>
      </w:pPr>
    </w:p>
    <w:p w14:paraId="5E31CA89">
      <w:pPr>
        <w:spacing w:line="360" w:lineRule="auto"/>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 xml:space="preserve"> 人行道路照明标准值</w:t>
      </w:r>
    </w:p>
    <w:tbl>
      <w:tblPr>
        <w:tblStyle w:val="42"/>
        <w:tblW w:w="83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832"/>
        <w:gridCol w:w="1116"/>
        <w:gridCol w:w="1861"/>
        <w:gridCol w:w="1861"/>
        <w:gridCol w:w="1704"/>
      </w:tblGrid>
      <w:tr w14:paraId="3523D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3" w:hRule="atLeast"/>
          <w:jc w:val="center"/>
        </w:trPr>
        <w:tc>
          <w:tcPr>
            <w:tcW w:w="1832" w:type="dxa"/>
            <w:vAlign w:val="center"/>
          </w:tcPr>
          <w:p w14:paraId="3733C6D5">
            <w:pPr>
              <w:pStyle w:val="99"/>
              <w:adjustRightInd w:val="0"/>
              <w:snapToGrid w:val="0"/>
              <w:spacing w:line="360" w:lineRule="auto"/>
              <w:rPr>
                <w:rFonts w:hint="eastAsia" w:ascii="宋体" w:hAnsi="宋体" w:cs="宋体"/>
                <w:b/>
                <w:bCs/>
                <w:color w:val="000000" w:themeColor="text1"/>
                <w:szCs w:val="21"/>
                <w:highlight w:val="none"/>
                <w14:textFill>
                  <w14:solidFill>
                    <w14:schemeClr w14:val="tx1"/>
                  </w14:solidFill>
                </w14:textFill>
              </w:rPr>
            </w:pPr>
            <w:r>
              <w:rPr>
                <w:rFonts w:hint="eastAsia" w:ascii="宋体" w:hAnsi="宋体" w:cs="宋体"/>
                <w:b/>
                <w:bCs/>
                <w:color w:val="000000" w:themeColor="text1"/>
                <w:szCs w:val="21"/>
                <w:highlight w:val="none"/>
                <w14:textFill>
                  <w14:solidFill>
                    <w14:schemeClr w14:val="tx1"/>
                  </w14:solidFill>
                </w14:textFill>
              </w:rPr>
              <w:t>夜间行人流量</w:t>
            </w:r>
          </w:p>
        </w:tc>
        <w:tc>
          <w:tcPr>
            <w:tcW w:w="1116" w:type="dxa"/>
            <w:vAlign w:val="center"/>
          </w:tcPr>
          <w:p w14:paraId="585FA3C8">
            <w:pPr>
              <w:pStyle w:val="99"/>
              <w:adjustRightInd w:val="0"/>
              <w:snapToGrid w:val="0"/>
              <w:spacing w:line="360" w:lineRule="auto"/>
              <w:rPr>
                <w:rFonts w:hint="eastAsia" w:ascii="宋体" w:hAnsi="宋体" w:cs="宋体"/>
                <w:b/>
                <w:bCs/>
                <w:color w:val="000000" w:themeColor="text1"/>
                <w:szCs w:val="21"/>
                <w:highlight w:val="none"/>
                <w14:textFill>
                  <w14:solidFill>
                    <w14:schemeClr w14:val="tx1"/>
                  </w14:solidFill>
                </w14:textFill>
              </w:rPr>
            </w:pPr>
            <w:r>
              <w:rPr>
                <w:rFonts w:hint="eastAsia" w:ascii="宋体" w:hAnsi="宋体" w:cs="宋体"/>
                <w:b/>
                <w:bCs/>
                <w:color w:val="000000" w:themeColor="text1"/>
                <w:szCs w:val="21"/>
                <w:highlight w:val="none"/>
                <w14:textFill>
                  <w14:solidFill>
                    <w14:schemeClr w14:val="tx1"/>
                  </w14:solidFill>
                </w14:textFill>
              </w:rPr>
              <w:t>区域</w:t>
            </w:r>
          </w:p>
        </w:tc>
        <w:tc>
          <w:tcPr>
            <w:tcW w:w="1861" w:type="dxa"/>
            <w:vAlign w:val="center"/>
          </w:tcPr>
          <w:p w14:paraId="681B17A8">
            <w:pPr>
              <w:pStyle w:val="99"/>
              <w:adjustRightInd w:val="0"/>
              <w:snapToGrid w:val="0"/>
              <w:spacing w:line="360" w:lineRule="auto"/>
              <w:rPr>
                <w:rFonts w:hint="eastAsia" w:ascii="宋体" w:hAnsi="宋体" w:cs="宋体"/>
                <w:b/>
                <w:bCs/>
                <w:color w:val="000000" w:themeColor="text1"/>
                <w:szCs w:val="21"/>
                <w:highlight w:val="none"/>
                <w14:textFill>
                  <w14:solidFill>
                    <w14:schemeClr w14:val="tx1"/>
                  </w14:solidFill>
                </w14:textFill>
              </w:rPr>
            </w:pPr>
            <w:r>
              <w:rPr>
                <w:rFonts w:hint="eastAsia" w:ascii="宋体" w:hAnsi="宋体" w:cs="宋体"/>
                <w:b/>
                <w:bCs/>
                <w:color w:val="000000" w:themeColor="text1"/>
                <w:szCs w:val="21"/>
                <w:highlight w:val="none"/>
                <w14:textFill>
                  <w14:solidFill>
                    <w14:schemeClr w14:val="tx1"/>
                  </w14:solidFill>
                </w14:textFill>
              </w:rPr>
              <w:t>路面平均照度Eav(Lx)，维持值</w:t>
            </w:r>
          </w:p>
        </w:tc>
        <w:tc>
          <w:tcPr>
            <w:tcW w:w="1861" w:type="dxa"/>
            <w:vAlign w:val="center"/>
          </w:tcPr>
          <w:p w14:paraId="7267665D">
            <w:pPr>
              <w:pStyle w:val="99"/>
              <w:adjustRightInd w:val="0"/>
              <w:snapToGrid w:val="0"/>
              <w:spacing w:line="360" w:lineRule="auto"/>
              <w:rPr>
                <w:rFonts w:hint="eastAsia" w:ascii="宋体" w:hAnsi="宋体" w:cs="宋体"/>
                <w:b/>
                <w:bCs/>
                <w:color w:val="000000" w:themeColor="text1"/>
                <w:szCs w:val="21"/>
                <w:highlight w:val="none"/>
                <w14:textFill>
                  <w14:solidFill>
                    <w14:schemeClr w14:val="tx1"/>
                  </w14:solidFill>
                </w14:textFill>
              </w:rPr>
            </w:pPr>
            <w:r>
              <w:rPr>
                <w:rFonts w:hint="eastAsia" w:ascii="宋体" w:hAnsi="宋体" w:cs="宋体"/>
                <w:b/>
                <w:bCs/>
                <w:color w:val="000000" w:themeColor="text1"/>
                <w:szCs w:val="21"/>
                <w:highlight w:val="none"/>
                <w14:textFill>
                  <w14:solidFill>
                    <w14:schemeClr w14:val="tx1"/>
                  </w14:solidFill>
                </w14:textFill>
              </w:rPr>
              <w:t>路面最小照度Emin(Lx)，维持值</w:t>
            </w:r>
          </w:p>
        </w:tc>
        <w:tc>
          <w:tcPr>
            <w:tcW w:w="1704" w:type="dxa"/>
            <w:vAlign w:val="center"/>
          </w:tcPr>
          <w:p w14:paraId="03CEF1EE">
            <w:pPr>
              <w:pStyle w:val="99"/>
              <w:adjustRightInd w:val="0"/>
              <w:snapToGrid w:val="0"/>
              <w:spacing w:line="360" w:lineRule="auto"/>
              <w:rPr>
                <w:rFonts w:hint="eastAsia" w:ascii="宋体" w:hAnsi="宋体" w:cs="宋体"/>
                <w:b/>
                <w:bCs/>
                <w:color w:val="000000" w:themeColor="text1"/>
                <w:szCs w:val="21"/>
                <w:highlight w:val="none"/>
                <w14:textFill>
                  <w14:solidFill>
                    <w14:schemeClr w14:val="tx1"/>
                  </w14:solidFill>
                </w14:textFill>
              </w:rPr>
            </w:pPr>
            <w:r>
              <w:rPr>
                <w:rFonts w:hint="eastAsia" w:ascii="宋体" w:hAnsi="宋体" w:cs="宋体"/>
                <w:b/>
                <w:bCs/>
                <w:color w:val="000000" w:themeColor="text1"/>
                <w:szCs w:val="21"/>
                <w:highlight w:val="none"/>
                <w14:textFill>
                  <w14:solidFill>
                    <w14:schemeClr w14:val="tx1"/>
                  </w14:solidFill>
                </w14:textFill>
              </w:rPr>
              <w:t>路面垂直照度Emin(Lx)，维持值</w:t>
            </w:r>
          </w:p>
        </w:tc>
      </w:tr>
      <w:tr w14:paraId="4F19D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3" w:hRule="atLeast"/>
          <w:jc w:val="center"/>
        </w:trPr>
        <w:tc>
          <w:tcPr>
            <w:tcW w:w="1832" w:type="dxa"/>
            <w:vAlign w:val="center"/>
          </w:tcPr>
          <w:p w14:paraId="3B5DE8DD">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流量高的道路</w:t>
            </w:r>
          </w:p>
        </w:tc>
        <w:tc>
          <w:tcPr>
            <w:tcW w:w="1116" w:type="dxa"/>
            <w:vAlign w:val="center"/>
          </w:tcPr>
          <w:p w14:paraId="1CBB3CAE">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商业区</w:t>
            </w:r>
          </w:p>
        </w:tc>
        <w:tc>
          <w:tcPr>
            <w:tcW w:w="1861" w:type="dxa"/>
            <w:vAlign w:val="center"/>
          </w:tcPr>
          <w:p w14:paraId="5613A33F">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10</w:t>
            </w:r>
          </w:p>
        </w:tc>
        <w:tc>
          <w:tcPr>
            <w:tcW w:w="1861" w:type="dxa"/>
            <w:vAlign w:val="center"/>
          </w:tcPr>
          <w:p w14:paraId="4A6A7F07">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2</w:t>
            </w:r>
          </w:p>
        </w:tc>
        <w:tc>
          <w:tcPr>
            <w:tcW w:w="1704" w:type="dxa"/>
            <w:vAlign w:val="center"/>
          </w:tcPr>
          <w:p w14:paraId="729812E5">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3</w:t>
            </w:r>
          </w:p>
        </w:tc>
      </w:tr>
      <w:tr w14:paraId="137B3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3" w:hRule="atLeast"/>
          <w:jc w:val="center"/>
        </w:trPr>
        <w:tc>
          <w:tcPr>
            <w:tcW w:w="1832" w:type="dxa"/>
            <w:vAlign w:val="center"/>
          </w:tcPr>
          <w:p w14:paraId="2D2DCD02">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流量中的道路</w:t>
            </w:r>
          </w:p>
        </w:tc>
        <w:tc>
          <w:tcPr>
            <w:tcW w:w="1116" w:type="dxa"/>
            <w:vAlign w:val="center"/>
          </w:tcPr>
          <w:p w14:paraId="511EA423">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居住区</w:t>
            </w:r>
          </w:p>
        </w:tc>
        <w:tc>
          <w:tcPr>
            <w:tcW w:w="1861" w:type="dxa"/>
            <w:vAlign w:val="center"/>
          </w:tcPr>
          <w:p w14:paraId="1F8BA776">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7.5</w:t>
            </w:r>
          </w:p>
        </w:tc>
        <w:tc>
          <w:tcPr>
            <w:tcW w:w="1861" w:type="dxa"/>
            <w:vAlign w:val="center"/>
          </w:tcPr>
          <w:p w14:paraId="4BA41E0D">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1.5</w:t>
            </w:r>
          </w:p>
        </w:tc>
        <w:tc>
          <w:tcPr>
            <w:tcW w:w="1704" w:type="dxa"/>
            <w:vAlign w:val="center"/>
          </w:tcPr>
          <w:p w14:paraId="7221BDCC">
            <w:pPr>
              <w:pStyle w:val="99"/>
              <w:adjustRightInd w:val="0"/>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2.5</w:t>
            </w:r>
          </w:p>
        </w:tc>
      </w:tr>
    </w:tbl>
    <w:p w14:paraId="79D01B88">
      <w:pPr>
        <w:pStyle w:val="98"/>
        <w:numPr>
          <w:ilvl w:val="255"/>
          <w:numId w:val="0"/>
        </w:numPr>
        <w:ind w:left="440" w:leftChars="200"/>
        <w:jc w:val="both"/>
        <w:rPr>
          <w:rStyle w:val="81"/>
          <w:rFonts w:hint="eastAsia" w:ascii="宋体" w:hAnsi="宋体" w:cs="宋体"/>
          <w:color w:val="000000" w:themeColor="text1"/>
          <w:sz w:val="24"/>
          <w:szCs w:val="24"/>
          <w:highlight w:val="none"/>
          <w14:textFill>
            <w14:solidFill>
              <w14:schemeClr w14:val="tx1"/>
            </w14:solidFill>
          </w14:textFill>
        </w:rPr>
      </w:pPr>
    </w:p>
    <w:p w14:paraId="3FBD36D4">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1.5.1.3 </w:t>
      </w:r>
      <w:r>
        <w:rPr>
          <w:rStyle w:val="81"/>
          <w:rFonts w:hint="eastAsia" w:ascii="宋体" w:hAnsi="宋体" w:cs="宋体"/>
          <w:color w:val="000000" w:themeColor="text1"/>
          <w:sz w:val="24"/>
          <w:szCs w:val="24"/>
          <w:highlight w:val="none"/>
          <w14:textFill>
            <w14:solidFill>
              <w14:schemeClr w14:val="tx1"/>
            </w14:solidFill>
          </w14:textFill>
        </w:rPr>
        <w:t>城市桥梁（包括水桥与旱桥）照明标准，应不低于两端连接道路照明标准。</w:t>
      </w:r>
    </w:p>
    <w:p w14:paraId="58ED37C2">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1.5.1.4 </w:t>
      </w:r>
      <w:r>
        <w:rPr>
          <w:rStyle w:val="81"/>
          <w:rFonts w:hint="eastAsia" w:ascii="宋体" w:hAnsi="宋体" w:cs="宋体"/>
          <w:color w:val="000000" w:themeColor="text1"/>
          <w:sz w:val="24"/>
          <w:szCs w:val="24"/>
          <w:highlight w:val="none"/>
          <w14:textFill>
            <w14:solidFill>
              <w14:schemeClr w14:val="tx1"/>
            </w14:solidFill>
          </w14:textFill>
        </w:rPr>
        <w:t>机动车道一侧或两侧设置的、与机动车道无实体分隔的非机动车道的照明执行机动车道的照明标准；与机动车道有实体分隔的非机动车道的平均照度为相邻机动车道的照度值的1/2，且不宜小于相邻的人行道照度。</w:t>
      </w:r>
    </w:p>
    <w:p w14:paraId="1F80F807">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1.5.1.5 </w:t>
      </w:r>
      <w:r>
        <w:rPr>
          <w:rStyle w:val="81"/>
          <w:rFonts w:hint="eastAsia" w:ascii="宋体" w:hAnsi="宋体" w:cs="宋体"/>
          <w:color w:val="000000" w:themeColor="text1"/>
          <w:sz w:val="24"/>
          <w:szCs w:val="24"/>
          <w:highlight w:val="none"/>
          <w14:textFill>
            <w14:solidFill>
              <w14:schemeClr w14:val="tx1"/>
            </w14:solidFill>
          </w14:textFill>
        </w:rPr>
        <w:t>机动车道一侧或两侧设置的人行道照明，当人行道与非机动车道混用时，采用人行道道路照明标准，并满足机动车道路照明的环境比要求。当人行道与非机动车道分设时，人行道的平均照度为相邻非机动车道的1/2。当按两种要求分别确定的标准值不一致时，应选择高标准值。</w:t>
      </w:r>
    </w:p>
    <w:p w14:paraId="31B7E342">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1.5.1.6 </w:t>
      </w:r>
      <w:r>
        <w:rPr>
          <w:rStyle w:val="81"/>
          <w:rFonts w:hint="eastAsia" w:ascii="宋体" w:hAnsi="宋体" w:cs="宋体"/>
          <w:color w:val="000000" w:themeColor="text1"/>
          <w:sz w:val="24"/>
          <w:szCs w:val="24"/>
          <w:highlight w:val="none"/>
          <w14:textFill>
            <w14:solidFill>
              <w14:schemeClr w14:val="tx1"/>
            </w14:solidFill>
          </w14:textFill>
        </w:rPr>
        <w:t>人行横道的照明平均水平照度不得低于人行横道所在道路的1.5倍。</w:t>
      </w:r>
    </w:p>
    <w:p w14:paraId="76963616">
      <w:pPr>
        <w:pStyle w:val="98"/>
        <w:ind w:firstLineChars="0"/>
        <w:jc w:val="both"/>
        <w:rPr>
          <w:rStyle w:val="81"/>
          <w:rFonts w:hint="eastAsia" w:ascii="宋体" w:hAnsi="宋体" w:cs="宋体"/>
          <w:color w:val="000000" w:themeColor="text1"/>
          <w:sz w:val="24"/>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1.5.1.7 </w:t>
      </w:r>
      <w:r>
        <w:rPr>
          <w:rStyle w:val="81"/>
          <w:rFonts w:hint="eastAsia" w:ascii="宋体" w:hAnsi="宋体" w:cs="宋体"/>
          <w:color w:val="000000" w:themeColor="text1"/>
          <w:sz w:val="24"/>
          <w:szCs w:val="24"/>
          <w:highlight w:val="none"/>
          <w14:textFill>
            <w14:solidFill>
              <w14:schemeClr w14:val="tx1"/>
            </w14:solidFill>
          </w14:textFill>
        </w:rPr>
        <w:t>道路照明的维护系数为0.7。</w:t>
      </w:r>
    </w:p>
    <w:p w14:paraId="7BA5E565">
      <w:pPr>
        <w:pStyle w:val="24"/>
        <w:ind w:firstLine="0" w:firstLineChars="0"/>
        <w:rPr>
          <w:rFonts w:hint="eastAsia" w:hAnsi="宋体" w:cs="宋体"/>
          <w:color w:val="000000" w:themeColor="text1"/>
          <w:szCs w:val="24"/>
          <w:highlight w:val="none"/>
          <w14:textFill>
            <w14:solidFill>
              <w14:schemeClr w14:val="tx1"/>
            </w14:solidFill>
          </w14:textFill>
        </w:rPr>
      </w:pPr>
      <w:bookmarkStart w:id="524" w:name="_Toc460317582"/>
      <w:bookmarkStart w:id="525" w:name="_Toc96633202"/>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1.5.2 </w:t>
      </w:r>
      <w:r>
        <w:rPr>
          <w:rFonts w:hint="eastAsia" w:hAnsi="宋体" w:cs="宋体"/>
          <w:color w:val="000000" w:themeColor="text1"/>
          <w:szCs w:val="24"/>
          <w:highlight w:val="none"/>
          <w14:textFill>
            <w14:solidFill>
              <w14:schemeClr w14:val="tx1"/>
            </w14:solidFill>
          </w14:textFill>
        </w:rPr>
        <w:t>光源、灯具选择</w:t>
      </w:r>
      <w:bookmarkEnd w:id="524"/>
      <w:bookmarkEnd w:id="525"/>
    </w:p>
    <w:p w14:paraId="265E5A31">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1.5.2.1 </w:t>
      </w:r>
      <w:r>
        <w:rPr>
          <w:rFonts w:hint="eastAsia" w:hAnsi="宋体" w:cs="宋体"/>
          <w:color w:val="000000" w:themeColor="text1"/>
          <w:szCs w:val="24"/>
          <w:highlight w:val="none"/>
          <w14:textFill>
            <w14:solidFill>
              <w14:schemeClr w14:val="tx1"/>
            </w14:solidFill>
          </w14:textFill>
        </w:rPr>
        <w:t>光源选择</w:t>
      </w:r>
    </w:p>
    <w:p w14:paraId="0CB6BF14">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城市道路路灯采用LED光源，色温宜在3000K～4000K间，平均显色指数Ra≥75。</w:t>
      </w:r>
    </w:p>
    <w:p w14:paraId="59CD1B5C">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1.5.2.2 </w:t>
      </w:r>
      <w:r>
        <w:rPr>
          <w:rFonts w:hint="eastAsia" w:hAnsi="宋体" w:cs="宋体"/>
          <w:color w:val="000000" w:themeColor="text1"/>
          <w:szCs w:val="24"/>
          <w:highlight w:val="none"/>
          <w14:textFill>
            <w14:solidFill>
              <w14:schemeClr w14:val="tx1"/>
            </w14:solidFill>
          </w14:textFill>
        </w:rPr>
        <w:t>灯具选择</w:t>
      </w:r>
    </w:p>
    <w:p w14:paraId="2C9F81FF">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LED路灯灯具平均寿命不低于30000h，灯具防护等级不低于IP65。灯具功率因素不小于0.90。灯具在点燃3000h时，其光通维持率不低于96%；在点燃6000h时，其光通维持率不低于92%。</w:t>
      </w:r>
    </w:p>
    <w:p w14:paraId="7E4AEADA">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LED路灯选用分体式道路照明用LED灯具，可替换LED部件或模块光源。</w:t>
      </w:r>
    </w:p>
    <w:p w14:paraId="1B209785">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1.5.2.3 </w:t>
      </w:r>
      <w:r>
        <w:rPr>
          <w:rFonts w:hint="eastAsia" w:hAnsi="宋体" w:cs="宋体"/>
          <w:color w:val="000000" w:themeColor="text1"/>
          <w:szCs w:val="24"/>
          <w:highlight w:val="none"/>
          <w14:textFill>
            <w14:solidFill>
              <w14:schemeClr w14:val="tx1"/>
            </w14:solidFill>
          </w14:textFill>
        </w:rPr>
        <w:t>灯杆选择</w:t>
      </w:r>
    </w:p>
    <w:p w14:paraId="4C619990">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灯杆材料选用优质高强度热扎卷板结钢材，材质为Q235低碳钢及同等级以上。</w:t>
      </w:r>
    </w:p>
    <w:p w14:paraId="574D17C1">
      <w:pPr>
        <w:pStyle w:val="24"/>
        <w:ind w:firstLine="0" w:firstLineChars="0"/>
        <w:rPr>
          <w:rFonts w:hint="eastAsia" w:hAnsi="宋体" w:cs="宋体"/>
          <w:color w:val="000000" w:themeColor="text1"/>
          <w:szCs w:val="24"/>
          <w:highlight w:val="none"/>
          <w14:textFill>
            <w14:solidFill>
              <w14:schemeClr w14:val="tx1"/>
            </w14:solidFill>
          </w14:textFill>
        </w:rPr>
      </w:pPr>
      <w:bookmarkStart w:id="526" w:name="_Toc23346179"/>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1.5.2.4 </w:t>
      </w:r>
      <w:r>
        <w:rPr>
          <w:rFonts w:hint="eastAsia" w:hAnsi="宋体" w:cs="宋体"/>
          <w:color w:val="000000" w:themeColor="text1"/>
          <w:szCs w:val="24"/>
          <w:highlight w:val="none"/>
          <w14:textFill>
            <w14:solidFill>
              <w14:schemeClr w14:val="tx1"/>
            </w14:solidFill>
          </w14:textFill>
        </w:rPr>
        <w:t>照明方案</w:t>
      </w:r>
    </w:p>
    <w:bookmarkEnd w:id="526"/>
    <w:p w14:paraId="43953D46">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结合道路和场所的特点及照明要求，选择合适的照明方式。</w:t>
      </w:r>
    </w:p>
    <w:p w14:paraId="4F5C916D">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为方便管理，路灯高度建议采用8m、10m、12m、13m、14m（路口灯不超过15m）。大型道路交叉口可采用投光灯照明形式。</w:t>
      </w:r>
    </w:p>
    <w:p w14:paraId="2D43EB20">
      <w:pPr>
        <w:pStyle w:val="24"/>
        <w:ind w:firstLine="0" w:firstLineChars="0"/>
        <w:rPr>
          <w:rFonts w:hint="eastAsia" w:hAnsi="宋体" w:cs="宋体"/>
          <w:color w:val="000000" w:themeColor="text1"/>
          <w:szCs w:val="24"/>
          <w:highlight w:val="none"/>
          <w14:textFill>
            <w14:solidFill>
              <w14:schemeClr w14:val="tx1"/>
            </w14:solidFill>
          </w14:textFill>
        </w:rPr>
      </w:pPr>
      <w:bookmarkStart w:id="527" w:name="_Toc96633203"/>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1.5.3 </w:t>
      </w:r>
      <w:r>
        <w:rPr>
          <w:rFonts w:hint="eastAsia" w:hAnsi="宋体" w:cs="宋体"/>
          <w:color w:val="000000" w:themeColor="text1"/>
          <w:szCs w:val="24"/>
          <w:highlight w:val="none"/>
          <w14:textFill>
            <w14:solidFill>
              <w14:schemeClr w14:val="tx1"/>
            </w14:solidFill>
          </w14:textFill>
        </w:rPr>
        <w:t>照明供电</w:t>
      </w:r>
      <w:bookmarkEnd w:id="527"/>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1.5.3.1 </w:t>
      </w:r>
      <w:r>
        <w:rPr>
          <w:rFonts w:hint="eastAsia" w:hAnsi="宋体" w:cs="宋体"/>
          <w:color w:val="000000" w:themeColor="text1"/>
          <w:szCs w:val="24"/>
          <w:highlight w:val="none"/>
          <w14:textFill>
            <w14:solidFill>
              <w14:schemeClr w14:val="tx1"/>
            </w14:solidFill>
          </w14:textFill>
        </w:rPr>
        <w:t>道路照明设置路灯箱变供电，电源从就近的10kV开关房或公变环网点引来，变压器的负荷率不宜大于75%。</w:t>
      </w:r>
    </w:p>
    <w:p w14:paraId="219FED03">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1.5.3.2 </w:t>
      </w:r>
      <w:r>
        <w:rPr>
          <w:rFonts w:hint="eastAsia" w:hAnsi="宋体" w:cs="宋体"/>
          <w:color w:val="000000" w:themeColor="text1"/>
          <w:szCs w:val="24"/>
          <w:highlight w:val="none"/>
          <w14:textFill>
            <w14:solidFill>
              <w14:schemeClr w14:val="tx1"/>
            </w14:solidFill>
          </w14:textFill>
        </w:rPr>
        <w:t>变压器应预留交通及监控信号（5kW），公交站广告（5kW/个），厕所（3kW/个）园林等用电负荷。</w:t>
      </w:r>
    </w:p>
    <w:p w14:paraId="0F546362">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1.5.3.3 </w:t>
      </w:r>
      <w:r>
        <w:rPr>
          <w:rFonts w:hint="eastAsia" w:hAnsi="宋体" w:cs="宋体"/>
          <w:color w:val="000000" w:themeColor="text1"/>
          <w:szCs w:val="24"/>
          <w:highlight w:val="none"/>
          <w14:textFill>
            <w14:solidFill>
              <w14:schemeClr w14:val="tx1"/>
            </w14:solidFill>
          </w14:textFill>
        </w:rPr>
        <w:t>低压供电半径不宜大于1000m，正常运行情况下，照明灯具端电压应为额定电压的90%～105%。</w:t>
      </w:r>
    </w:p>
    <w:p w14:paraId="33757188">
      <w:pPr>
        <w:pStyle w:val="24"/>
        <w:ind w:firstLine="0" w:firstLineChars="0"/>
        <w:rPr>
          <w:rFonts w:hint="eastAsia" w:hAnsi="宋体" w:cs="宋体"/>
          <w:color w:val="000000" w:themeColor="text1"/>
          <w:szCs w:val="24"/>
          <w:highlight w:val="none"/>
          <w14:textFill>
            <w14:solidFill>
              <w14:schemeClr w14:val="tx1"/>
            </w14:solidFill>
          </w14:textFill>
        </w:rPr>
      </w:pPr>
      <w:bookmarkStart w:id="528" w:name="_Toc96633204"/>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1.5.4 </w:t>
      </w:r>
      <w:r>
        <w:rPr>
          <w:rFonts w:hint="eastAsia" w:hAnsi="宋体" w:cs="宋体"/>
          <w:color w:val="000000" w:themeColor="text1"/>
          <w:szCs w:val="24"/>
          <w:highlight w:val="none"/>
          <w14:textFill>
            <w14:solidFill>
              <w14:schemeClr w14:val="tx1"/>
            </w14:solidFill>
          </w14:textFill>
        </w:rPr>
        <w:t>照明保护及控制</w:t>
      </w:r>
      <w:bookmarkEnd w:id="528"/>
    </w:p>
    <w:p w14:paraId="3B913A76">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1.5.4.1 </w:t>
      </w:r>
      <w:r>
        <w:rPr>
          <w:rFonts w:hint="eastAsia" w:hAnsi="宋体" w:cs="宋体"/>
          <w:color w:val="000000" w:themeColor="text1"/>
          <w:szCs w:val="24"/>
          <w:highlight w:val="none"/>
          <w14:textFill>
            <w14:solidFill>
              <w14:schemeClr w14:val="tx1"/>
            </w14:solidFill>
          </w14:textFill>
        </w:rPr>
        <w:t>采用30mA的漏电微断开关，对路灯进行单灯保护。</w:t>
      </w:r>
    </w:p>
    <w:p w14:paraId="4D7C825B">
      <w:pPr>
        <w:pStyle w:val="24"/>
        <w:ind w:firstLine="0" w:firstLineChars="0"/>
        <w:rPr>
          <w:rFonts w:hint="eastAsia" w:hAnsi="宋体" w:cs="宋体"/>
          <w:color w:val="000000" w:themeColor="text1"/>
          <w:szCs w:val="24"/>
          <w:highlight w:val="none"/>
          <w14:textFill>
            <w14:solidFill>
              <w14:schemeClr w14:val="tx1"/>
            </w14:solidFill>
          </w14:textFill>
        </w:rPr>
      </w:pPr>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1.5.4.2 </w:t>
      </w:r>
      <w:r>
        <w:rPr>
          <w:rFonts w:hint="eastAsia" w:hAnsi="宋体" w:cs="宋体"/>
          <w:color w:val="000000" w:themeColor="text1"/>
          <w:szCs w:val="24"/>
          <w:highlight w:val="none"/>
          <w14:textFill>
            <w14:solidFill>
              <w14:schemeClr w14:val="tx1"/>
            </w14:solidFill>
          </w14:textFill>
        </w:rPr>
        <w:t>LED路灯灯具应自带芯片控制器，可关闭部分或全部LED模块，灯具加装单灯控制器。</w:t>
      </w:r>
    </w:p>
    <w:p w14:paraId="3CA1AD75">
      <w:pPr>
        <w:pStyle w:val="24"/>
        <w:ind w:firstLine="0" w:firstLineChars="0"/>
        <w:rPr>
          <w:rFonts w:hint="eastAsia" w:hAnsi="宋体" w:cs="宋体"/>
          <w:color w:val="000000" w:themeColor="text1"/>
          <w:szCs w:val="24"/>
          <w:highlight w:val="none"/>
          <w14:textFill>
            <w14:solidFill>
              <w14:schemeClr w14:val="tx1"/>
            </w14:solidFill>
          </w14:textFill>
        </w:rPr>
      </w:pPr>
      <w:bookmarkStart w:id="529" w:name="_Toc96633205"/>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1.5.5 </w:t>
      </w:r>
      <w:r>
        <w:rPr>
          <w:rFonts w:hint="eastAsia" w:hAnsi="宋体" w:cs="宋体"/>
          <w:color w:val="000000" w:themeColor="text1"/>
          <w:szCs w:val="24"/>
          <w:highlight w:val="none"/>
          <w14:textFill>
            <w14:solidFill>
              <w14:schemeClr w14:val="tx1"/>
            </w14:solidFill>
          </w14:textFill>
        </w:rPr>
        <w:t>线路敷设</w:t>
      </w:r>
      <w:bookmarkEnd w:id="529"/>
    </w:p>
    <w:p w14:paraId="21883786">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路灯供电线路穿HDPE-R90管保护，壁厚5mm，直埋敷设于人行道下，埋深H≥0.5m。绿化带下或过马路采用缠绕型玻璃钢管，埋深H≥0.7m，并在两端设置拉线手井。</w:t>
      </w:r>
    </w:p>
    <w:p w14:paraId="01C6D73E">
      <w:pPr>
        <w:pStyle w:val="24"/>
        <w:ind w:firstLine="0" w:firstLineChars="0"/>
        <w:rPr>
          <w:rFonts w:hint="eastAsia" w:hAnsi="宋体" w:cs="宋体"/>
          <w:color w:val="000000" w:themeColor="text1"/>
          <w:szCs w:val="24"/>
          <w:highlight w:val="none"/>
          <w14:textFill>
            <w14:solidFill>
              <w14:schemeClr w14:val="tx1"/>
            </w14:solidFill>
          </w14:textFill>
        </w:rPr>
      </w:pPr>
      <w:bookmarkStart w:id="530" w:name="_Toc96633206"/>
      <w:r>
        <w:rPr>
          <w:rStyle w:val="81"/>
          <w:rFonts w:hint="eastAsia" w:ascii="宋体" w:hAnsi="宋体" w:cs="宋体"/>
          <w:color w:val="000000" w:themeColor="text1"/>
          <w:sz w:val="24"/>
          <w:szCs w:val="24"/>
          <w:highlight w:val="none"/>
          <w14:textFill>
            <w14:solidFill>
              <w14:schemeClr w14:val="tx1"/>
            </w14:solidFill>
          </w14:textFill>
        </w:rPr>
        <w:t>1</w:t>
      </w:r>
      <w:r>
        <w:rPr>
          <w:rStyle w:val="81"/>
          <w:rFonts w:ascii="宋体" w:hAnsi="宋体" w:cs="宋体"/>
          <w:color w:val="000000" w:themeColor="text1"/>
          <w:sz w:val="24"/>
          <w:szCs w:val="24"/>
          <w:highlight w:val="none"/>
          <w14:textFill>
            <w14:solidFill>
              <w14:schemeClr w14:val="tx1"/>
            </w14:solidFill>
          </w14:textFill>
        </w:rPr>
        <w:t xml:space="preserve">1.5.6 </w:t>
      </w:r>
      <w:r>
        <w:rPr>
          <w:rFonts w:hint="eastAsia" w:hAnsi="宋体" w:cs="宋体"/>
          <w:color w:val="000000" w:themeColor="text1"/>
          <w:szCs w:val="24"/>
          <w:highlight w:val="none"/>
          <w14:textFill>
            <w14:solidFill>
              <w14:schemeClr w14:val="tx1"/>
            </w14:solidFill>
          </w14:textFill>
        </w:rPr>
        <w:t>防雷与接地</w:t>
      </w:r>
      <w:bookmarkEnd w:id="530"/>
    </w:p>
    <w:p w14:paraId="443C048B">
      <w:pPr>
        <w:pStyle w:val="24"/>
        <w:ind w:firstLine="0" w:firstLineChars="0"/>
        <w:rPr>
          <w:rFonts w:hint="eastAsia" w:hAnsi="宋体" w:cs="宋体"/>
          <w:color w:val="000000" w:themeColor="text1"/>
          <w:szCs w:val="24"/>
          <w:highlight w:val="none"/>
          <w14:textFill>
            <w14:solidFill>
              <w14:schemeClr w14:val="tx1"/>
            </w14:solidFill>
          </w14:textFill>
        </w:rPr>
      </w:pPr>
      <w:r>
        <w:rPr>
          <w:color w:val="000000" w:themeColor="text1"/>
          <w:highlight w:val="none"/>
          <w14:textFill>
            <w14:solidFill>
              <w14:schemeClr w14:val="tx1"/>
            </w14:solidFill>
          </w14:textFill>
        </w:rPr>
        <w:t xml:space="preserve">11.5.6.1 </w:t>
      </w:r>
      <w:r>
        <w:rPr>
          <w:rFonts w:hint="eastAsia" w:hAnsi="宋体" w:cs="宋体"/>
          <w:color w:val="000000" w:themeColor="text1"/>
          <w:szCs w:val="24"/>
          <w:highlight w:val="none"/>
          <w14:textFill>
            <w14:solidFill>
              <w14:schemeClr w14:val="tx1"/>
            </w14:solidFill>
          </w14:textFill>
        </w:rPr>
        <w:t>道路照明配电系统的变压器中性点工作接地接地电阻不应大于4欧姆。</w:t>
      </w:r>
    </w:p>
    <w:p w14:paraId="4D8729FB">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1.5.6.2 </w:t>
      </w:r>
      <w:r>
        <w:rPr>
          <w:rFonts w:hint="eastAsia" w:hAnsi="宋体" w:cs="宋体"/>
          <w:color w:val="000000" w:themeColor="text1"/>
          <w:szCs w:val="24"/>
          <w:highlight w:val="none"/>
          <w14:textFill>
            <w14:solidFill>
              <w14:schemeClr w14:val="tx1"/>
            </w14:solidFill>
          </w14:textFill>
        </w:rPr>
        <w:t>道路照明配电系统的接地形式宜选用TT接地系统，沿灯杆配电电缆通长敷设φ12的热镀锌圆钢作为道路照明接地干线,并与灯杆基础主钢筋及灯杆地脚螺栓等金属构件焊接连通,保护接地与电源工作接地分隔。</w:t>
      </w:r>
    </w:p>
    <w:p w14:paraId="556258BA">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531" w:name="_Toc104581780"/>
      <w:bookmarkStart w:id="532" w:name="_Toc96633207"/>
      <w:bookmarkStart w:id="533" w:name="_Toc2984"/>
      <w:bookmarkStart w:id="534" w:name="_Toc10518"/>
      <w:bookmarkStart w:id="535" w:name="_Toc22995"/>
      <w:r>
        <w:rPr>
          <w:rFonts w:hint="eastAsia" w:ascii="宋体" w:hAnsi="宋体" w:eastAsia="宋体" w:cs="宋体"/>
          <w:color w:val="000000" w:themeColor="text1"/>
          <w:sz w:val="24"/>
          <w:szCs w:val="24"/>
          <w:highlight w:val="none"/>
          <w14:textFill>
            <w14:solidFill>
              <w14:schemeClr w14:val="tx1"/>
            </w14:solidFill>
          </w14:textFill>
        </w:rPr>
        <w:t>11.6 电力电信缆线管廊设计</w:t>
      </w:r>
      <w:bookmarkEnd w:id="531"/>
      <w:bookmarkEnd w:id="532"/>
      <w:bookmarkEnd w:id="533"/>
      <w:bookmarkEnd w:id="534"/>
      <w:bookmarkEnd w:id="535"/>
    </w:p>
    <w:p w14:paraId="38F2A98B">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10kV电力电缆及电信线缆主要采用缆线管廊合建，土建条件不允许时可分开建设。缆线管廊主要纳入电力10kV电缆和通信线缆，管线的规模以供电局及通讯局批复为准。</w:t>
      </w:r>
    </w:p>
    <w:p w14:paraId="505F0865">
      <w:pPr>
        <w:pStyle w:val="24"/>
        <w:ind w:firstLine="0" w:firstLineChars="0"/>
        <w:rPr>
          <w:rFonts w:hint="eastAsia" w:hAnsi="宋体" w:cs="宋体"/>
          <w:color w:val="000000" w:themeColor="text1"/>
          <w:szCs w:val="24"/>
          <w:highlight w:val="none"/>
          <w14:textFill>
            <w14:solidFill>
              <w14:schemeClr w14:val="tx1"/>
            </w14:solidFill>
          </w14:textFill>
        </w:rPr>
      </w:pPr>
      <w:bookmarkStart w:id="536" w:name="_Toc96633208"/>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1.6.1 </w:t>
      </w:r>
      <w:r>
        <w:rPr>
          <w:rFonts w:hint="eastAsia" w:hAnsi="宋体" w:cs="宋体"/>
          <w:color w:val="000000" w:themeColor="text1"/>
          <w:szCs w:val="24"/>
          <w:highlight w:val="none"/>
          <w14:textFill>
            <w14:solidFill>
              <w14:schemeClr w14:val="tx1"/>
            </w14:solidFill>
          </w14:textFill>
        </w:rPr>
        <w:t>缆线管廊设计</w:t>
      </w:r>
      <w:bookmarkEnd w:id="536"/>
    </w:p>
    <w:p w14:paraId="68D1EECB">
      <w:pPr>
        <w:pStyle w:val="24"/>
        <w:ind w:firstLine="0" w:firstLineChars="0"/>
        <w:rPr>
          <w:rFonts w:hint="eastAsia" w:hAnsi="宋体" w:cs="宋体"/>
          <w:color w:val="000000" w:themeColor="text1"/>
          <w:szCs w:val="24"/>
          <w:highlight w:val="none"/>
          <w14:textFill>
            <w14:solidFill>
              <w14:schemeClr w14:val="tx1"/>
            </w14:solidFill>
          </w14:textFill>
        </w:rPr>
      </w:pPr>
      <w:r>
        <w:rPr>
          <w:rFonts w:hAnsi="宋体" w:cs="宋体"/>
          <w:color w:val="000000" w:themeColor="text1"/>
          <w:szCs w:val="24"/>
          <w:highlight w:val="none"/>
          <w14:textFill>
            <w14:solidFill>
              <w14:schemeClr w14:val="tx1"/>
            </w14:solidFill>
          </w14:textFill>
        </w:rPr>
        <w:t xml:space="preserve">11.6.1.1 </w:t>
      </w:r>
      <w:r>
        <w:rPr>
          <w:rFonts w:hint="eastAsia" w:hAnsi="宋体" w:cs="宋体"/>
          <w:color w:val="000000" w:themeColor="text1"/>
          <w:szCs w:val="24"/>
          <w:highlight w:val="none"/>
          <w14:textFill>
            <w14:solidFill>
              <w14:schemeClr w14:val="tx1"/>
            </w14:solidFill>
          </w14:textFill>
        </w:rPr>
        <w:t>缆线管廊分为电力舱及通信舱，通过钢筋混凝土墙隔离。电力舱布置在道路内侧，通信舱布置在道路外侧。</w:t>
      </w:r>
    </w:p>
    <w:p w14:paraId="58C2D55C">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1.6.1.2 </w:t>
      </w:r>
      <w:r>
        <w:rPr>
          <w:rFonts w:hint="eastAsia" w:hAnsi="宋体" w:cs="宋体"/>
          <w:color w:val="000000" w:themeColor="text1"/>
          <w:szCs w:val="24"/>
          <w:highlight w:val="none"/>
          <w14:textFill>
            <w14:solidFill>
              <w14:schemeClr w14:val="tx1"/>
            </w14:solidFill>
          </w14:textFill>
        </w:rPr>
        <w:t>缆线管廊采用钢筋混凝土结构，电力舱支架采用复合材料支架，通信舱采用φ110PVC管，壁厚为5mm。</w:t>
      </w:r>
    </w:p>
    <w:p w14:paraId="45800EAD">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1.6.1.3 </w:t>
      </w:r>
      <w:r>
        <w:rPr>
          <w:rFonts w:hint="eastAsia" w:hAnsi="宋体" w:cs="宋体"/>
          <w:color w:val="000000" w:themeColor="text1"/>
          <w:szCs w:val="24"/>
          <w:highlight w:val="none"/>
          <w14:textFill>
            <w14:solidFill>
              <w14:schemeClr w14:val="tx1"/>
            </w14:solidFill>
          </w14:textFill>
        </w:rPr>
        <w:t>缆线管廊过桥段措施：</w:t>
      </w:r>
    </w:p>
    <w:p w14:paraId="5CBFDE09">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1.6.1.4 10kV电力电缆缆过桥时采用HDPE排管敷设，壁厚为8mm；电信电缆过桥时采用φ110PVC排管敷设，壁厚为5mm，敷设于人行道盖板下，两者之间的距离为500mm；条件受限时，可在电力电缆与通信管线间设置隔离措施。</w:t>
      </w:r>
      <w:r>
        <w:rPr>
          <w:rFonts w:hint="eastAsia" w:hAnsi="宋体" w:cs="宋体"/>
          <w:color w:val="000000" w:themeColor="text1"/>
          <w:szCs w:val="24"/>
          <w:highlight w:val="none"/>
          <w14:textFill>
            <w14:solidFill>
              <w14:schemeClr w14:val="tx1"/>
            </w14:solidFill>
          </w14:textFill>
        </w:rPr>
        <w:t>缆线管廊的出线：</w:t>
      </w:r>
    </w:p>
    <w:p w14:paraId="47B5DB48">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电力电缆向道路外侧出线时，外侧通信舱局部截面形状可渐变为扁矩形，且应下沉设置。</w:t>
      </w:r>
    </w:p>
    <w:p w14:paraId="26AA3518">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缆线管廊向道路对侧出线时，应设置下穿道路结构，下穿道路结构宜采用缆线管廊、钢管等结构形式，且应能承受道路大修施工荷载。</w:t>
      </w:r>
    </w:p>
    <w:p w14:paraId="6AC3AEAF">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缆线管廊宜布置在道路东（南）侧，在人行道下敷设，埋深不小于0.25米。</w:t>
      </w:r>
    </w:p>
    <w:p w14:paraId="70116F06">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1.6.2 </w:t>
      </w:r>
      <w:r>
        <w:rPr>
          <w:rFonts w:hAnsi="宋体" w:cs="宋体"/>
          <w:color w:val="000000" w:themeColor="text1"/>
          <w:szCs w:val="24"/>
          <w:highlight w:val="none"/>
          <w14:textFill>
            <w14:solidFill>
              <w14:schemeClr w14:val="tx1"/>
            </w14:solidFill>
          </w14:textFill>
        </w:rPr>
        <w:t>10kV电力电缆及电信线缆可分开建设，分开建设时的线缆的敷设方式以供电局及通信局批复为准，10kV电力电缆可采用φ200HDPE排管敷设，人行道壁厚为8mm，车行道壁厚为10mm；通信管采用φ110PVC管排管敷设，壁厚为5mm。</w:t>
      </w:r>
      <w:bookmarkStart w:id="537" w:name="_Toc96633209"/>
      <w:r>
        <w:rPr>
          <w:rFonts w:hint="eastAsia" w:hAnsi="宋体" w:cs="宋体"/>
          <w:color w:val="000000" w:themeColor="text1"/>
          <w:szCs w:val="24"/>
          <w:highlight w:val="none"/>
          <w14:textFill>
            <w14:solidFill>
              <w14:schemeClr w14:val="tx1"/>
            </w14:solidFill>
          </w14:textFill>
        </w:rPr>
        <w:t>工井及标志牌的设置</w:t>
      </w:r>
      <w:bookmarkEnd w:id="537"/>
    </w:p>
    <w:p w14:paraId="67DD3842">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1.6.2.1 </w:t>
      </w:r>
      <w:r>
        <w:rPr>
          <w:rFonts w:hint="eastAsia" w:hAnsi="宋体" w:cs="宋体"/>
          <w:color w:val="000000" w:themeColor="text1"/>
          <w:szCs w:val="24"/>
          <w:highlight w:val="none"/>
          <w14:textFill>
            <w14:solidFill>
              <w14:schemeClr w14:val="tx1"/>
            </w14:solidFill>
          </w14:textFill>
        </w:rPr>
        <w:t>缆线管廊直线段每隔50米设置一个工井，电缆在工井内敷设时须在支架上固定。</w:t>
      </w:r>
    </w:p>
    <w:p w14:paraId="2CC41837">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1.6.2.2 </w:t>
      </w:r>
      <w:r>
        <w:rPr>
          <w:rFonts w:hint="eastAsia" w:hAnsi="宋体" w:cs="宋体"/>
          <w:color w:val="000000" w:themeColor="text1"/>
          <w:szCs w:val="24"/>
          <w:highlight w:val="none"/>
          <w14:textFill>
            <w14:solidFill>
              <w14:schemeClr w14:val="tx1"/>
            </w14:solidFill>
          </w14:textFill>
        </w:rPr>
        <w:t>缆线管廊直线段每隔200m左右宜设置一处横过道路的相同容量的电缆电信排管，排管两侧需设工井；在交叉路口(道路等级不低于工程路段)处，应设置横过路口的相同容量的电缆电信排管，排管两侧需设工井。</w:t>
      </w:r>
    </w:p>
    <w:p w14:paraId="79E1C075">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1.6.2.3 </w:t>
      </w:r>
      <w:r>
        <w:rPr>
          <w:rFonts w:hint="eastAsia" w:hAnsi="宋体" w:cs="宋体"/>
          <w:color w:val="000000" w:themeColor="text1"/>
          <w:szCs w:val="24"/>
          <w:highlight w:val="none"/>
          <w14:textFill>
            <w14:solidFill>
              <w14:schemeClr w14:val="tx1"/>
            </w14:solidFill>
          </w14:textFill>
        </w:rPr>
        <w:t>在人行道及行车路面上，沿排管走向每隔10m设置一组不锈钢电缆、电信标志牌；在泥土地面或绿化带，沿排管走向每隔20m设置一个水泥电缆电信标志桩。</w:t>
      </w:r>
    </w:p>
    <w:p w14:paraId="64A13779">
      <w:pPr>
        <w:pStyle w:val="24"/>
        <w:ind w:firstLine="0" w:firstLineChars="0"/>
        <w:rPr>
          <w:rFonts w:hint="eastAsia" w:hAnsi="宋体" w:cs="宋体"/>
          <w:color w:val="000000" w:themeColor="text1"/>
          <w:szCs w:val="24"/>
          <w:highlight w:val="none"/>
          <w14:textFill>
            <w14:solidFill>
              <w14:schemeClr w14:val="tx1"/>
            </w14:solidFill>
          </w14:textFill>
        </w:rPr>
      </w:pPr>
      <w:bookmarkStart w:id="538" w:name="_Toc96633210"/>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1.6.3 </w:t>
      </w:r>
      <w:r>
        <w:rPr>
          <w:rFonts w:hint="eastAsia" w:hAnsi="宋体" w:cs="宋体"/>
          <w:color w:val="000000" w:themeColor="text1"/>
          <w:szCs w:val="24"/>
          <w:highlight w:val="none"/>
          <w14:textFill>
            <w14:solidFill>
              <w14:schemeClr w14:val="tx1"/>
            </w14:solidFill>
          </w14:textFill>
        </w:rPr>
        <w:t>接地系统</w:t>
      </w:r>
      <w:bookmarkEnd w:id="538"/>
    </w:p>
    <w:p w14:paraId="17D9F740">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1.6.3.1 </w:t>
      </w:r>
      <w:r>
        <w:rPr>
          <w:rFonts w:hint="eastAsia" w:hAnsi="宋体" w:cs="宋体"/>
          <w:color w:val="000000" w:themeColor="text1"/>
          <w:szCs w:val="24"/>
          <w:highlight w:val="none"/>
          <w14:textFill>
            <w14:solidFill>
              <w14:schemeClr w14:val="tx1"/>
            </w14:solidFill>
          </w14:textFill>
        </w:rPr>
        <w:t>缆线管廊应设置接地系统，包括接地线、接地网和接地极。接地线采用-25mmx4mm镀锌扁钢，专用接地线在电力舱内沿纵向通长布置，接地线应与电缆金属支架及工作井内的所有金属构件焊接连通。接地网采用φ10mm镀锌圆钢，接地极设置在接头井、人孔位置，采用长2500mm的L50X5镀锌角钢垂直打入地下(其顶部距离电缆沟底部埋深0.8米)，并与纵向专用水平接地线焊接连通。</w:t>
      </w:r>
    </w:p>
    <w:p w14:paraId="1FEF0102">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1.6.3.2 </w:t>
      </w:r>
      <w:r>
        <w:rPr>
          <w:rFonts w:hint="eastAsia" w:hAnsi="宋体" w:cs="宋体"/>
          <w:color w:val="000000" w:themeColor="text1"/>
          <w:szCs w:val="24"/>
          <w:highlight w:val="none"/>
          <w14:textFill>
            <w14:solidFill>
              <w14:schemeClr w14:val="tx1"/>
            </w14:solidFill>
          </w14:textFill>
        </w:rPr>
        <w:t>缆线管廊的接地电阻应不大于10欧姆，在工作井内设接地电阻测试板。</w:t>
      </w:r>
    </w:p>
    <w:p w14:paraId="2F066A64">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1.6.3.3 </w:t>
      </w:r>
      <w:r>
        <w:rPr>
          <w:rFonts w:hint="eastAsia" w:hAnsi="宋体" w:cs="宋体"/>
          <w:color w:val="000000" w:themeColor="text1"/>
          <w:szCs w:val="24"/>
          <w:highlight w:val="none"/>
          <w14:textFill>
            <w14:solidFill>
              <w14:schemeClr w14:val="tx1"/>
            </w14:solidFill>
          </w14:textFill>
        </w:rPr>
        <w:t>缆线管廊通信舱结构应采用金属网屏蔽，金属网应封闭形成金属网管道，并有效接地。</w:t>
      </w:r>
    </w:p>
    <w:p w14:paraId="242C4ECE">
      <w:pPr>
        <w:pStyle w:val="24"/>
        <w:ind w:firstLine="0" w:firstLineChars="0"/>
        <w:rPr>
          <w:rFonts w:hint="eastAsia" w:hAnsi="宋体" w:cs="宋体"/>
          <w:color w:val="000000" w:themeColor="text1"/>
          <w:szCs w:val="24"/>
          <w:highlight w:val="none"/>
          <w14:textFill>
            <w14:solidFill>
              <w14:schemeClr w14:val="tx1"/>
            </w14:solidFill>
          </w14:textFill>
        </w:rPr>
      </w:pPr>
      <w:bookmarkStart w:id="539" w:name="_Toc96633211"/>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1.6.4 </w:t>
      </w:r>
      <w:r>
        <w:rPr>
          <w:rFonts w:hint="eastAsia" w:hAnsi="宋体" w:cs="宋体"/>
          <w:color w:val="000000" w:themeColor="text1"/>
          <w:szCs w:val="24"/>
          <w:highlight w:val="none"/>
          <w14:textFill>
            <w14:solidFill>
              <w14:schemeClr w14:val="tx1"/>
            </w14:solidFill>
          </w14:textFill>
        </w:rPr>
        <w:t>渗排水措施</w:t>
      </w:r>
      <w:bookmarkEnd w:id="539"/>
    </w:p>
    <w:p w14:paraId="52D7EB75">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1.6.4.1 </w:t>
      </w:r>
      <w:r>
        <w:rPr>
          <w:rFonts w:hint="eastAsia" w:hAnsi="宋体" w:cs="宋体"/>
          <w:color w:val="000000" w:themeColor="text1"/>
          <w:szCs w:val="24"/>
          <w:highlight w:val="none"/>
          <w14:textFill>
            <w14:solidFill>
              <w14:schemeClr w14:val="tx1"/>
            </w14:solidFill>
          </w14:textFill>
        </w:rPr>
        <w:t>缆线管廊电力舱底部宜每隔10米设置一个φ200mm的PVC管渗排水孔，管内填粗砂。</w:t>
      </w:r>
    </w:p>
    <w:p w14:paraId="4070D14E">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1.6.4.2 </w:t>
      </w:r>
      <w:r>
        <w:rPr>
          <w:rFonts w:hint="eastAsia" w:hAnsi="宋体" w:cs="宋体"/>
          <w:color w:val="000000" w:themeColor="text1"/>
          <w:szCs w:val="24"/>
          <w:highlight w:val="none"/>
          <w14:textFill>
            <w14:solidFill>
              <w14:schemeClr w14:val="tx1"/>
            </w14:solidFill>
          </w14:textFill>
        </w:rPr>
        <w:t>缆线管廊通信舱人孔底部应设置集水坑，坑底应设置与底部土体连通的渗排水孔。</w:t>
      </w:r>
    </w:p>
    <w:p w14:paraId="431A6318">
      <w:pPr>
        <w:pStyle w:val="24"/>
        <w:ind w:firstLine="0" w:firstLineChars="0"/>
        <w:rPr>
          <w:rFonts w:hint="eastAsia" w:hAnsi="宋体" w:cs="宋体"/>
          <w:color w:val="000000" w:themeColor="text1"/>
          <w:szCs w:val="24"/>
          <w:highlight w:val="none"/>
          <w14:textFill>
            <w14:solidFill>
              <w14:schemeClr w14:val="tx1"/>
            </w14:solidFill>
          </w14:textFill>
        </w:rPr>
      </w:pPr>
      <w:bookmarkStart w:id="540" w:name="_Toc96633212"/>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1.6.5 </w:t>
      </w:r>
      <w:r>
        <w:rPr>
          <w:rFonts w:hint="eastAsia" w:hAnsi="宋体" w:cs="宋体"/>
          <w:color w:val="000000" w:themeColor="text1"/>
          <w:szCs w:val="24"/>
          <w:highlight w:val="none"/>
          <w14:textFill>
            <w14:solidFill>
              <w14:schemeClr w14:val="tx1"/>
            </w14:solidFill>
          </w14:textFill>
        </w:rPr>
        <w:t>不建缆线管廊情况</w:t>
      </w:r>
      <w:bookmarkEnd w:id="540"/>
    </w:p>
    <w:p w14:paraId="66586DAD">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10kV电力电缆及电信线缆可分开建设，分开建设时的线缆的敷设方式以供电局及通信局批复为准，10kV电力电缆可采用φ200HDPE排管敷设，壁厚为5mm；通信管采用φ110PVC管排管敷设，壁厚为5mm。</w:t>
      </w:r>
    </w:p>
    <w:p w14:paraId="69747D82">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541" w:name="_Toc96633213"/>
      <w:bookmarkStart w:id="542" w:name="_Toc7242"/>
      <w:bookmarkStart w:id="543" w:name="_Toc104581781"/>
      <w:bookmarkStart w:id="544" w:name="_Toc12954"/>
      <w:bookmarkStart w:id="545" w:name="_Toc28985"/>
      <w:r>
        <w:rPr>
          <w:rFonts w:hint="eastAsia" w:ascii="宋体" w:hAnsi="宋体" w:eastAsia="宋体" w:cs="宋体"/>
          <w:color w:val="000000" w:themeColor="text1"/>
          <w:sz w:val="24"/>
          <w:szCs w:val="24"/>
          <w:highlight w:val="none"/>
          <w14:textFill>
            <w14:solidFill>
              <w14:schemeClr w14:val="tx1"/>
            </w14:solidFill>
          </w14:textFill>
        </w:rPr>
        <w:t>11.7 电缆沟设计</w:t>
      </w:r>
      <w:bookmarkEnd w:id="541"/>
      <w:bookmarkEnd w:id="542"/>
      <w:bookmarkEnd w:id="543"/>
      <w:bookmarkEnd w:id="544"/>
      <w:bookmarkEnd w:id="545"/>
    </w:p>
    <w:p w14:paraId="34FFC123">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1.7.1 </w:t>
      </w:r>
      <w:r>
        <w:rPr>
          <w:rFonts w:hint="eastAsia" w:hAnsi="宋体" w:cs="宋体"/>
          <w:color w:val="000000" w:themeColor="text1"/>
          <w:szCs w:val="24"/>
          <w:highlight w:val="none"/>
          <w14:textFill>
            <w14:solidFill>
              <w14:schemeClr w14:val="tx1"/>
            </w14:solidFill>
          </w14:textFill>
        </w:rPr>
        <w:t>110kV电力管沟采用电缆沟建设模式，布置在道路西（北）侧人行道上，采用钢筋混凝土结构，沟内设不锈钢电缆支架；管线的规模以供电局批复为准。</w:t>
      </w:r>
    </w:p>
    <w:p w14:paraId="52A13E8B">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1.7.2 </w:t>
      </w:r>
      <w:r>
        <w:rPr>
          <w:rFonts w:hint="eastAsia" w:hAnsi="宋体" w:cs="宋体"/>
          <w:color w:val="000000" w:themeColor="text1"/>
          <w:szCs w:val="24"/>
          <w:highlight w:val="none"/>
          <w14:textFill>
            <w14:solidFill>
              <w14:schemeClr w14:val="tx1"/>
            </w14:solidFill>
          </w14:textFill>
        </w:rPr>
        <w:t>纵向电力过路管采用φ200HDPE电缆保护管，壁厚5mm，过车行道时需用混凝土包封,过路管覆土深度为1.0米。</w:t>
      </w:r>
    </w:p>
    <w:p w14:paraId="0EE94ABE">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1.7.3 </w:t>
      </w:r>
      <w:r>
        <w:rPr>
          <w:rFonts w:hint="eastAsia" w:hAnsi="宋体" w:cs="宋体"/>
          <w:color w:val="000000" w:themeColor="text1"/>
          <w:szCs w:val="24"/>
          <w:highlight w:val="none"/>
          <w14:textFill>
            <w14:solidFill>
              <w14:schemeClr w14:val="tx1"/>
            </w14:solidFill>
          </w14:textFill>
        </w:rPr>
        <w:t>电缆沟通长应设人工水平接地装置，采用-25mmx4mm镀锌扁钢，扁钢截面≥-25mmx4mm，接地装置应与电缆金属支架及工作井内的所有金属构件焊接连通，电缆沟纵向沿线宜每隔30米左右设置一根垂直接地极。接地极采用长2500mm的L50X5角钢垂直打入地下(其顶部距离电缆沟底部埋深0.8米)，并与纵向水平接地装置焊接连通。</w:t>
      </w:r>
    </w:p>
    <w:p w14:paraId="26E5123F">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1.7.4 </w:t>
      </w:r>
      <w:r>
        <w:rPr>
          <w:rFonts w:hint="eastAsia" w:hAnsi="宋体" w:cs="宋体"/>
          <w:color w:val="000000" w:themeColor="text1"/>
          <w:szCs w:val="24"/>
          <w:highlight w:val="none"/>
          <w14:textFill>
            <w14:solidFill>
              <w14:schemeClr w14:val="tx1"/>
            </w14:solidFill>
          </w14:textFill>
        </w:rPr>
        <w:t>在设置垂直接地体处，需设置接地测试板，要求系统接地电阻不应大于10欧姆。</w:t>
      </w:r>
    </w:p>
    <w:p w14:paraId="3CF9CFB5">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1.7.5 </w:t>
      </w:r>
      <w:r>
        <w:rPr>
          <w:rFonts w:hint="eastAsia" w:hAnsi="宋体" w:cs="宋体"/>
          <w:color w:val="000000" w:themeColor="text1"/>
          <w:szCs w:val="24"/>
          <w:highlight w:val="none"/>
          <w14:textFill>
            <w14:solidFill>
              <w14:schemeClr w14:val="tx1"/>
            </w14:solidFill>
          </w14:textFill>
        </w:rPr>
        <w:t>电缆沟宜每隔60米左右及道路最低点设集水口和排水管。</w:t>
      </w:r>
    </w:p>
    <w:p w14:paraId="56A21DE8">
      <w:pPr>
        <w:pStyle w:val="6"/>
        <w:tabs>
          <w:tab w:val="left" w:pos="284"/>
        </w:tabs>
        <w:snapToGrid/>
        <w:spacing w:line="360" w:lineRule="auto"/>
        <w:ind w:firstLine="482" w:firstLineChars="200"/>
        <w:jc w:val="both"/>
        <w:rPr>
          <w:rFonts w:hint="eastAsia" w:ascii="宋体" w:hAnsi="宋体" w:eastAsia="宋体" w:cs="宋体"/>
          <w:color w:val="000000" w:themeColor="text1"/>
          <w:sz w:val="24"/>
          <w:szCs w:val="24"/>
          <w:highlight w:val="none"/>
          <w14:textFill>
            <w14:solidFill>
              <w14:schemeClr w14:val="tx1"/>
            </w14:solidFill>
          </w14:textFill>
        </w:rPr>
      </w:pPr>
      <w:bookmarkStart w:id="546" w:name="_Toc16732"/>
      <w:bookmarkStart w:id="547" w:name="_Toc104581782"/>
      <w:bookmarkStart w:id="548" w:name="_Toc21138"/>
      <w:bookmarkStart w:id="549" w:name="_Toc15766"/>
      <w:bookmarkStart w:id="550" w:name="_Toc96633214"/>
      <w:r>
        <w:rPr>
          <w:rFonts w:hint="eastAsia" w:ascii="宋体" w:hAnsi="宋体" w:eastAsia="宋体" w:cs="宋体"/>
          <w:color w:val="000000" w:themeColor="text1"/>
          <w:sz w:val="24"/>
          <w:szCs w:val="24"/>
          <w:highlight w:val="none"/>
          <w14:textFill>
            <w14:solidFill>
              <w14:schemeClr w14:val="tx1"/>
            </w14:solidFill>
          </w14:textFill>
        </w:rPr>
        <w:t>11.8 市政绿化工程</w:t>
      </w:r>
      <w:bookmarkEnd w:id="546"/>
      <w:bookmarkEnd w:id="547"/>
      <w:bookmarkEnd w:id="548"/>
      <w:bookmarkEnd w:id="549"/>
      <w:bookmarkEnd w:id="550"/>
    </w:p>
    <w:p w14:paraId="24622E3E">
      <w:pPr>
        <w:pStyle w:val="24"/>
        <w:ind w:firstLine="0" w:firstLineChars="0"/>
        <w:rPr>
          <w:rFonts w:hint="eastAsia" w:hAnsi="宋体" w:cs="宋体"/>
          <w:color w:val="000000" w:themeColor="text1"/>
          <w:szCs w:val="24"/>
          <w:highlight w:val="none"/>
          <w14:textFill>
            <w14:solidFill>
              <w14:schemeClr w14:val="tx1"/>
            </w14:solidFill>
          </w14:textFill>
        </w:rPr>
      </w:pPr>
      <w:bookmarkStart w:id="551" w:name="_Toc96633215"/>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 </w:t>
      </w:r>
      <w:r>
        <w:rPr>
          <w:rFonts w:hint="eastAsia" w:hAnsi="宋体" w:cs="宋体"/>
          <w:color w:val="000000" w:themeColor="text1"/>
          <w:szCs w:val="24"/>
          <w:highlight w:val="none"/>
          <w14:textFill>
            <w14:solidFill>
              <w14:schemeClr w14:val="tx1"/>
            </w14:solidFill>
          </w14:textFill>
        </w:rPr>
        <w:t>绿化主要依据</w:t>
      </w:r>
      <w:bookmarkEnd w:id="551"/>
    </w:p>
    <w:p w14:paraId="6594B5A5">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1.8.1.1 </w:t>
      </w:r>
      <w:r>
        <w:rPr>
          <w:rFonts w:hint="eastAsia" w:hAnsi="宋体" w:cs="宋体"/>
          <w:color w:val="000000" w:themeColor="text1"/>
          <w:szCs w:val="24"/>
          <w:highlight w:val="none"/>
          <w14:textFill>
            <w14:solidFill>
              <w14:schemeClr w14:val="tx1"/>
            </w14:solidFill>
          </w14:textFill>
        </w:rPr>
        <w:t>《广州市绿化条例》（2012年3月批准2018年11月修订）</w:t>
      </w:r>
    </w:p>
    <w:p w14:paraId="150972D4">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1.8.1.2 </w:t>
      </w:r>
      <w:r>
        <w:rPr>
          <w:rFonts w:hint="eastAsia" w:hAnsi="宋体" w:cs="宋体"/>
          <w:color w:val="000000" w:themeColor="text1"/>
          <w:szCs w:val="24"/>
          <w:highlight w:val="none"/>
          <w14:textFill>
            <w14:solidFill>
              <w14:schemeClr w14:val="tx1"/>
            </w14:solidFill>
          </w14:textFill>
        </w:rPr>
        <w:t>《广东省城市绿化条例》（2000年1月施行</w:t>
      </w:r>
      <w:r>
        <w:rPr>
          <w:rFonts w:ascii="微软雅黑" w:hAnsi="微软雅黑" w:eastAsia="微软雅黑" w:cs="微软雅黑"/>
          <w:color w:val="000000" w:themeColor="text1"/>
          <w:sz w:val="19"/>
          <w:szCs w:val="19"/>
          <w:highlight w:val="none"/>
          <w:shd w:val="clear" w:color="auto" w:fill="FFFFFF"/>
          <w14:textFill>
            <w14:solidFill>
              <w14:schemeClr w14:val="tx1"/>
            </w14:solidFill>
          </w14:textFill>
        </w:rPr>
        <w:t> </w:t>
      </w:r>
      <w:r>
        <w:rPr>
          <w:rFonts w:hint="eastAsia" w:hAnsi="宋体" w:cs="宋体"/>
          <w:color w:val="000000" w:themeColor="text1"/>
          <w:szCs w:val="24"/>
          <w:highlight w:val="none"/>
          <w14:textFill>
            <w14:solidFill>
              <w14:schemeClr w14:val="tx1"/>
            </w14:solidFill>
          </w14:textFill>
        </w:rPr>
        <w:t>2023年11月23日修订）</w:t>
      </w:r>
    </w:p>
    <w:p w14:paraId="2686FA78">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1.8.1.3 </w:t>
      </w:r>
      <w:r>
        <w:rPr>
          <w:rFonts w:hint="eastAsia" w:hAnsi="宋体" w:cs="宋体"/>
          <w:color w:val="000000" w:themeColor="text1"/>
          <w:szCs w:val="24"/>
          <w:highlight w:val="none"/>
          <w14:textFill>
            <w14:solidFill>
              <w14:schemeClr w14:val="tx1"/>
            </w14:solidFill>
          </w14:textFill>
        </w:rPr>
        <w:t>《广州市行道树技术工作手册》（广州市林业和园林局2021年11月施行）</w:t>
      </w:r>
    </w:p>
    <w:p w14:paraId="2343A410">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1.8.1.4 </w:t>
      </w:r>
      <w:r>
        <w:rPr>
          <w:rFonts w:hint="eastAsia" w:hAnsi="宋体" w:cs="宋体"/>
          <w:color w:val="000000" w:themeColor="text1"/>
          <w:szCs w:val="24"/>
          <w:highlight w:val="none"/>
          <w14:textFill>
            <w14:solidFill>
              <w14:schemeClr w14:val="tx1"/>
            </w14:solidFill>
          </w14:textFill>
        </w:rPr>
        <w:t>《城市道路绿化规划与设计规范》CJJ75-97（1998年5月施行）</w:t>
      </w:r>
    </w:p>
    <w:p w14:paraId="74F9C4D0">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1.8.1.5 </w:t>
      </w:r>
      <w:r>
        <w:rPr>
          <w:rFonts w:hint="eastAsia" w:hAnsi="宋体" w:cs="宋体"/>
          <w:color w:val="000000" w:themeColor="text1"/>
          <w:szCs w:val="24"/>
          <w:highlight w:val="none"/>
          <w14:textFill>
            <w14:solidFill>
              <w14:schemeClr w14:val="tx1"/>
            </w14:solidFill>
          </w14:textFill>
        </w:rPr>
        <w:t>《城市绿地设计规范》GB50420-2007（2016年版）</w:t>
      </w:r>
    </w:p>
    <w:p w14:paraId="2D0058F3">
      <w:pPr>
        <w:pStyle w:val="24"/>
        <w:ind w:firstLine="0" w:firstLineChars="0"/>
        <w:rPr>
          <w:rFonts w:hint="eastAsia" w:hAnsi="宋体" w:cs="宋体"/>
          <w:color w:val="000000" w:themeColor="text1"/>
          <w:szCs w:val="24"/>
          <w:highlight w:val="none"/>
          <w14:textFill>
            <w14:solidFill>
              <w14:schemeClr w14:val="tx1"/>
            </w14:solidFill>
          </w14:textFill>
        </w:rPr>
      </w:pPr>
      <w:bookmarkStart w:id="552" w:name="_Toc96633216"/>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 </w:t>
      </w:r>
      <w:r>
        <w:rPr>
          <w:rFonts w:hint="eastAsia" w:hAnsi="宋体" w:cs="宋体"/>
          <w:color w:val="000000" w:themeColor="text1"/>
          <w:szCs w:val="24"/>
          <w:highlight w:val="none"/>
          <w14:textFill>
            <w14:solidFill>
              <w14:schemeClr w14:val="tx1"/>
            </w14:solidFill>
          </w14:textFill>
        </w:rPr>
        <w:t>绿化设计标准</w:t>
      </w:r>
      <w:bookmarkEnd w:id="552"/>
    </w:p>
    <w:p w14:paraId="01611FA6">
      <w:pPr>
        <w:pStyle w:val="98"/>
        <w:ind w:firstLine="480"/>
        <w:jc w:val="both"/>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t>绿化设计强调以“因地制宜，适地适树”为本，全面分析立地条件类型特点，应用本地乡土树种，提高苗木成活率。</w:t>
      </w:r>
    </w:p>
    <w:p w14:paraId="0607CDB8">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1.8.2.1 </w:t>
      </w:r>
      <w:r>
        <w:rPr>
          <w:rFonts w:hint="eastAsia" w:hAnsi="宋体" w:cs="宋体"/>
          <w:color w:val="000000" w:themeColor="text1"/>
          <w:szCs w:val="24"/>
          <w:highlight w:val="none"/>
          <w14:textFill>
            <w14:solidFill>
              <w14:schemeClr w14:val="tx1"/>
            </w14:solidFill>
          </w14:textFill>
        </w:rPr>
        <w:t>乔木标准</w:t>
      </w:r>
    </w:p>
    <w:p w14:paraId="746BB7FA">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1）胸径：中央绿化带乔木13-15cm，侧绿化带及树池乔木12-13cm，开花小乔木9-10cm</w:t>
      </w:r>
    </w:p>
    <w:p w14:paraId="637DD6A1">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2）间距：小乔木以6米间隔列植，中大乔木以8米间隔种植。</w:t>
      </w:r>
    </w:p>
    <w:p w14:paraId="6D9FD326">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1.8.2.2 </w:t>
      </w:r>
      <w:r>
        <w:rPr>
          <w:rFonts w:hint="eastAsia" w:hAnsi="宋体" w:cs="宋体"/>
          <w:color w:val="000000" w:themeColor="text1"/>
          <w:szCs w:val="24"/>
          <w:highlight w:val="none"/>
          <w14:textFill>
            <w14:solidFill>
              <w14:schemeClr w14:val="tx1"/>
            </w14:solidFill>
          </w14:textFill>
        </w:rPr>
        <w:t>中央绿化带</w:t>
      </w:r>
    </w:p>
    <w:p w14:paraId="277451E4">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1）复层景观式：乔、灌、草组合种植，以常绿乔木为主，营造林荫大道景观，搭配开花乔木。</w:t>
      </w:r>
    </w:p>
    <w:p w14:paraId="34765FAF">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2）绿化带端头应精细化设计，适当增加时花丰富下层色彩搭配。</w:t>
      </w:r>
    </w:p>
    <w:p w14:paraId="3C419DD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3）应进行微地形设计，高40cm。</w:t>
      </w:r>
    </w:p>
    <w:p w14:paraId="3C50C560">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1.8.2.3 </w:t>
      </w:r>
      <w:r>
        <w:rPr>
          <w:rFonts w:hint="eastAsia" w:hAnsi="宋体" w:cs="宋体"/>
          <w:color w:val="000000" w:themeColor="text1"/>
          <w:szCs w:val="24"/>
          <w:highlight w:val="none"/>
          <w14:textFill>
            <w14:solidFill>
              <w14:schemeClr w14:val="tx1"/>
            </w14:solidFill>
          </w14:textFill>
        </w:rPr>
        <w:t>侧绿化带</w:t>
      </w:r>
    </w:p>
    <w:p w14:paraId="01B0DB48">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疏林草地式：乔、地被、草皮组合种植，营造干净清爽的景观大道。</w:t>
      </w:r>
    </w:p>
    <w:p w14:paraId="78D8FFBE">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1.8.2.4 </w:t>
      </w:r>
      <w:r>
        <w:rPr>
          <w:rFonts w:hint="eastAsia" w:hAnsi="宋体" w:cs="宋体"/>
          <w:color w:val="000000" w:themeColor="text1"/>
          <w:szCs w:val="24"/>
          <w:highlight w:val="none"/>
          <w14:textFill>
            <w14:solidFill>
              <w14:schemeClr w14:val="tx1"/>
            </w14:solidFill>
          </w14:textFill>
        </w:rPr>
        <w:t>乔木推荐名录详见下表A-1/A-2</w:t>
      </w:r>
    </w:p>
    <w:p w14:paraId="37D80AC5">
      <w:pPr>
        <w:pStyle w:val="24"/>
        <w:ind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1</w:t>
      </w:r>
      <w:r>
        <w:rPr>
          <w:rFonts w:hAnsi="宋体" w:cs="宋体"/>
          <w:color w:val="000000" w:themeColor="text1"/>
          <w:szCs w:val="24"/>
          <w:highlight w:val="none"/>
          <w14:textFill>
            <w14:solidFill>
              <w14:schemeClr w14:val="tx1"/>
            </w14:solidFill>
          </w14:textFill>
        </w:rPr>
        <w:t xml:space="preserve">1.8.2.5 </w:t>
      </w:r>
      <w:r>
        <w:rPr>
          <w:rFonts w:hint="eastAsia" w:hAnsi="宋体" w:cs="宋体"/>
          <w:color w:val="000000" w:themeColor="text1"/>
          <w:szCs w:val="24"/>
          <w:highlight w:val="none"/>
          <w14:textFill>
            <w14:solidFill>
              <w14:schemeClr w14:val="tx1"/>
            </w14:solidFill>
          </w14:textFill>
        </w:rPr>
        <w:t>喷淋：中央绿化带及侧绿化带设自动喷淋系统，喷头采用塑料喷头。</w:t>
      </w:r>
    </w:p>
    <w:p w14:paraId="762203F3">
      <w:pPr>
        <w:pStyle w:val="98"/>
        <w:tabs>
          <w:tab w:val="left" w:pos="1260"/>
        </w:tabs>
        <w:ind w:firstLine="0" w:firstLineChars="0"/>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cs="宋体"/>
          <w:color w:val="000000" w:themeColor="text1"/>
          <w:sz w:val="24"/>
          <w:szCs w:val="24"/>
          <w:highlight w:val="none"/>
          <w14:textFill>
            <w14:solidFill>
              <w14:schemeClr w14:val="tx1"/>
            </w14:solidFill>
          </w14:textFill>
        </w:rPr>
        <w:drawing>
          <wp:inline distT="0" distB="0" distL="0" distR="0">
            <wp:extent cx="5318125" cy="7079615"/>
            <wp:effectExtent l="0" t="0" r="15875"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1" cstate="print">
                      <a:extLst>
                        <a:ext uri="{28A0092B-C50C-407E-A947-70E740481C1C}">
                          <a14:useLocalDpi xmlns:a14="http://schemas.microsoft.com/office/drawing/2010/main" val="0"/>
                        </a:ext>
                      </a:extLst>
                    </a:blip>
                    <a:srcRect t="3543"/>
                    <a:stretch>
                      <a:fillRect/>
                    </a:stretch>
                  </pic:blipFill>
                  <pic:spPr>
                    <a:xfrm>
                      <a:off x="0" y="0"/>
                      <a:ext cx="5318125" cy="7079615"/>
                    </a:xfrm>
                    <a:prstGeom prst="rect">
                      <a:avLst/>
                    </a:prstGeom>
                    <a:noFill/>
                    <a:ln>
                      <a:noFill/>
                    </a:ln>
                  </pic:spPr>
                </pic:pic>
              </a:graphicData>
            </a:graphic>
          </wp:inline>
        </w:drawing>
      </w:r>
    </w:p>
    <w:p w14:paraId="11FE800F">
      <w:pPr>
        <w:pStyle w:val="98"/>
        <w:ind w:left="1140" w:firstLine="0" w:firstLineChars="0"/>
        <w:rPr>
          <w:rStyle w:val="81"/>
          <w:rFonts w:hint="eastAsia" w:ascii="宋体" w:hAnsi="宋体" w:cs="宋体"/>
          <w:b/>
          <w:color w:val="000000" w:themeColor="text1"/>
          <w:sz w:val="24"/>
          <w:szCs w:val="24"/>
          <w:highlight w:val="none"/>
          <w14:textFill>
            <w14:solidFill>
              <w14:schemeClr w14:val="tx1"/>
            </w14:solidFill>
          </w14:textFill>
        </w:rPr>
      </w:pPr>
    </w:p>
    <w:p w14:paraId="6B837FCF">
      <w:pPr>
        <w:tabs>
          <w:tab w:val="left" w:pos="851"/>
          <w:tab w:val="left" w:pos="993"/>
        </w:tabs>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drawing>
          <wp:inline distT="0" distB="0" distL="0" distR="0">
            <wp:extent cx="5332730" cy="7223760"/>
            <wp:effectExtent l="0" t="0" r="1270" b="152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332730" cy="7223760"/>
                    </a:xfrm>
                    <a:prstGeom prst="rect">
                      <a:avLst/>
                    </a:prstGeom>
                    <a:noFill/>
                    <a:ln>
                      <a:noFill/>
                    </a:ln>
                  </pic:spPr>
                </pic:pic>
              </a:graphicData>
            </a:graphic>
          </wp:inline>
        </w:drawing>
      </w:r>
    </w:p>
    <w:p w14:paraId="2ECB2987">
      <w:pPr>
        <w:tabs>
          <w:tab w:val="left" w:pos="851"/>
          <w:tab w:val="left" w:pos="993"/>
        </w:tabs>
        <w:spacing w:line="360" w:lineRule="auto"/>
        <w:ind w:left="1140"/>
        <w:rPr>
          <w:rFonts w:hint="eastAsia" w:ascii="宋体" w:hAnsi="宋体" w:eastAsia="宋体" w:cs="宋体"/>
          <w:color w:val="000000" w:themeColor="text1"/>
          <w:sz w:val="24"/>
          <w:szCs w:val="24"/>
          <w:highlight w:val="none"/>
          <w14:textFill>
            <w14:solidFill>
              <w14:schemeClr w14:val="tx1"/>
            </w14:solidFill>
          </w14:textFill>
        </w:rPr>
      </w:pPr>
    </w:p>
    <w:p w14:paraId="4304E74D">
      <w:pPr>
        <w:tabs>
          <w:tab w:val="left" w:pos="851"/>
          <w:tab w:val="left" w:pos="993"/>
        </w:tabs>
        <w:spacing w:line="360" w:lineRule="auto"/>
        <w:ind w:left="1140"/>
        <w:rPr>
          <w:rFonts w:hint="eastAsia" w:ascii="宋体" w:hAnsi="宋体" w:eastAsia="宋体" w:cs="宋体"/>
          <w:color w:val="000000" w:themeColor="text1"/>
          <w:sz w:val="24"/>
          <w:szCs w:val="24"/>
          <w:highlight w:val="none"/>
          <w14:textFill>
            <w14:solidFill>
              <w14:schemeClr w14:val="tx1"/>
            </w14:solidFill>
          </w14:textFill>
        </w:rPr>
      </w:pPr>
    </w:p>
    <w:p w14:paraId="2E2A44D9">
      <w:pPr>
        <w:pStyle w:val="6"/>
        <w:tabs>
          <w:tab w:val="left" w:pos="284"/>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bookmarkStart w:id="553" w:name="_Toc10986"/>
      <w:bookmarkStart w:id="554" w:name="_Toc11870"/>
      <w:bookmarkStart w:id="555" w:name="_Toc28591"/>
      <w:r>
        <w:rPr>
          <w:rFonts w:hint="eastAsia" w:ascii="宋体" w:hAnsi="宋体" w:eastAsia="宋体" w:cs="宋体"/>
          <w:color w:val="000000" w:themeColor="text1"/>
          <w:sz w:val="24"/>
          <w:szCs w:val="24"/>
          <w:highlight w:val="none"/>
          <w14:textFill>
            <w14:solidFill>
              <w14:schemeClr w14:val="tx1"/>
            </w14:solidFill>
          </w14:textFill>
        </w:rPr>
        <w:t xml:space="preserve">   11.9市政道路海绵城市</w:t>
      </w:r>
      <w:bookmarkEnd w:id="553"/>
      <w:bookmarkEnd w:id="554"/>
      <w:bookmarkEnd w:id="555"/>
    </w:p>
    <w:p w14:paraId="26A00470">
      <w:pPr>
        <w:pStyle w:val="24"/>
        <w:ind w:firstLine="480"/>
        <w:rPr>
          <w:rFonts w:hint="eastAsia" w:hAnsi="宋体" w:cs="宋体"/>
          <w:color w:val="000000" w:themeColor="text1"/>
          <w:szCs w:val="24"/>
          <w:highlight w:val="none"/>
          <w14:textFill>
            <w14:solidFill>
              <w14:schemeClr w14:val="tx1"/>
            </w14:solidFill>
          </w14:textFill>
        </w:rPr>
      </w:pPr>
      <w:bookmarkStart w:id="556" w:name="_Toc28024"/>
      <w:bookmarkStart w:id="557" w:name="_Toc26997"/>
      <w:bookmarkStart w:id="558" w:name="_Toc96633217"/>
      <w:bookmarkStart w:id="559" w:name="_Toc28490"/>
      <w:r>
        <w:rPr>
          <w:rFonts w:hint="eastAsia" w:hAnsi="宋体" w:cs="宋体"/>
          <w:color w:val="000000" w:themeColor="text1"/>
          <w:szCs w:val="24"/>
          <w:highlight w:val="none"/>
          <w14:textFill>
            <w14:solidFill>
              <w14:schemeClr w14:val="tx1"/>
            </w14:solidFill>
          </w14:textFill>
        </w:rPr>
        <w:t>11.9.1 道路海绵城市指标</w:t>
      </w:r>
      <w:bookmarkEnd w:id="556"/>
      <w:bookmarkEnd w:id="557"/>
      <w:bookmarkEnd w:id="558"/>
      <w:bookmarkEnd w:id="559"/>
    </w:p>
    <w:p w14:paraId="63D6FABA">
      <w:pPr>
        <w:adjustRightInd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据【穗水河湖（2020）7号文】印发的《广州市建设项目海绵城市建设管控指标分类指引（试行）》，新建城市道路系统海绵城市建设指标如下：</w:t>
      </w:r>
    </w:p>
    <w:p w14:paraId="495D9AB2">
      <w:pPr>
        <w:adjustRightInd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11.9.1.1 年径流污染削减率≥50%；</w:t>
      </w:r>
    </w:p>
    <w:p w14:paraId="27047270">
      <w:pPr>
        <w:adjustRightInd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11.9.1.2 侧绿化带宽度≥2m时，下沉式绿地率应≥50%；</w:t>
      </w:r>
    </w:p>
    <w:p w14:paraId="70A6E902">
      <w:pPr>
        <w:adjustRightInd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11.9.1.3 开发后雨水径流量不大于开发前雨水径流量。</w:t>
      </w:r>
    </w:p>
    <w:p w14:paraId="4E45E604">
      <w:pPr>
        <w:pStyle w:val="24"/>
        <w:ind w:left="440" w:leftChars="200" w:firstLine="0" w:firstLineChars="0"/>
        <w:rPr>
          <w:rFonts w:hint="eastAsia" w:hAnsi="宋体" w:cs="宋体"/>
          <w:color w:val="000000" w:themeColor="text1"/>
          <w:szCs w:val="24"/>
          <w:highlight w:val="none"/>
          <w14:textFill>
            <w14:solidFill>
              <w14:schemeClr w14:val="tx1"/>
            </w14:solidFill>
          </w14:textFill>
        </w:rPr>
      </w:pPr>
      <w:bookmarkStart w:id="560" w:name="_Toc96633218"/>
      <w:bookmarkStart w:id="561" w:name="_Toc20526"/>
      <w:bookmarkStart w:id="562" w:name="_Toc79402598"/>
      <w:bookmarkStart w:id="563" w:name="_Toc29730"/>
      <w:bookmarkStart w:id="564" w:name="_Toc27569"/>
      <w:r>
        <w:rPr>
          <w:rFonts w:hint="eastAsia" w:hAnsi="宋体" w:cs="宋体"/>
          <w:color w:val="000000" w:themeColor="text1"/>
          <w:szCs w:val="24"/>
          <w:highlight w:val="none"/>
          <w14:textFill>
            <w14:solidFill>
              <w14:schemeClr w14:val="tx1"/>
            </w14:solidFill>
          </w14:textFill>
        </w:rPr>
        <w:t>11.9.2 道路海绵城市设施</w:t>
      </w:r>
      <w:bookmarkEnd w:id="560"/>
      <w:bookmarkEnd w:id="561"/>
      <w:bookmarkEnd w:id="562"/>
      <w:bookmarkEnd w:id="563"/>
      <w:bookmarkEnd w:id="564"/>
    </w:p>
    <w:p w14:paraId="6A95FDB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本工程道路范围内采用的海绵城市设施有：透水铺装、生态树池、下凹绿地。</w:t>
      </w:r>
    </w:p>
    <w:p w14:paraId="17327221">
      <w:pPr>
        <w:tabs>
          <w:tab w:val="left" w:pos="1134"/>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11.9.2.1 透水铺装</w:t>
      </w:r>
    </w:p>
    <w:p w14:paraId="0551150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人行道采用透水砖铺装。</w:t>
      </w:r>
    </w:p>
    <w:p w14:paraId="129FD056">
      <w:pPr>
        <w:tabs>
          <w:tab w:val="left" w:pos="1134"/>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11.9.2.2 生态树池</w:t>
      </w:r>
    </w:p>
    <w:p w14:paraId="18082838">
      <w:pPr>
        <w:tabs>
          <w:tab w:val="left" w:pos="1134"/>
        </w:tabs>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道路行道树均采用生态树池，树池底部设集水管，就近排至雨水口或雨水检查井。</w:t>
      </w:r>
    </w:p>
    <w:p w14:paraId="0BFBAFEF">
      <w:pPr>
        <w:tabs>
          <w:tab w:val="left" w:pos="1134"/>
        </w:tabs>
        <w:wordWrap w:val="0"/>
        <w:spacing w:line="360" w:lineRule="auto"/>
        <w:ind w:firstLine="480" w:firstLineChars="200"/>
        <w:textAlignment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11.9.2.3 下凹绿地</w:t>
      </w:r>
    </w:p>
    <w:p w14:paraId="5199112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道路的侧绿化带宽度≥2m时，应设置下凹绿地，下凹深度按200mm,有效调蓄水深150mm，并在下凹绿地内设置DN100穿孔集水管、单篦方形溢流雨水口。</w:t>
      </w:r>
    </w:p>
    <w:p w14:paraId="7834013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若综合上述措施后，仍不能满足约束性指标，则与路侧防护绿地分摊海绵指标，如无防护绿地，则与地块分摊、统筹计算指标。</w:t>
      </w:r>
      <w:bookmarkEnd w:id="472"/>
      <w:bookmarkEnd w:id="485"/>
    </w:p>
    <w:p w14:paraId="7E20C64B">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4A64278D">
      <w:pPr>
        <w:pStyle w:val="2"/>
        <w:keepNext w:val="0"/>
        <w:keepLines w:val="0"/>
        <w:tabs>
          <w:tab w:val="left" w:pos="0"/>
        </w:tabs>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五、BIM应用要求</w:t>
      </w:r>
    </w:p>
    <w:p w14:paraId="7F4E333F">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总则</w:t>
      </w:r>
    </w:p>
    <w:p w14:paraId="7610EEB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color w:val="000000" w:themeColor="text1"/>
          <w:sz w:val="24"/>
          <w:szCs w:val="24"/>
          <w:highlight w:val="none"/>
          <w14:textFill>
            <w14:solidFill>
              <w14:schemeClr w14:val="tx1"/>
            </w14:solidFill>
          </w14:textFill>
        </w:rPr>
        <w:t>1结合本项目的工程特点和BIM实施需求优先制定BIM实施方案指引明确各参与单位设计BIM实施职责。在统一规范的实施标准下分阶段分主次实施BIM应用有序推行流程管理和综合图模管理充分发挥BIM管理平台优势，协同各投标人共同落实BIM实施的具体应用点，在阶段性BIM成果中体现BIM实施和应用价值。</w:t>
      </w:r>
    </w:p>
    <w:p w14:paraId="02A30C5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1.2</w:t>
      </w:r>
      <w:r>
        <w:rPr>
          <w:rFonts w:hint="eastAsia" w:ascii="宋体" w:hAnsi="宋体" w:eastAsia="宋体" w:cs="宋体"/>
          <w:color w:val="000000" w:themeColor="text1"/>
          <w:sz w:val="24"/>
          <w:szCs w:val="24"/>
          <w:highlight w:val="none"/>
          <w14:textFill>
            <w14:solidFill>
              <w14:schemeClr w14:val="tx1"/>
            </w14:solidFill>
          </w14:textFill>
        </w:rPr>
        <w:t>将BIM技术与工程实际紧密结合，实现BIM技术落地应用，承担从正向设计全过程设计BIM应用的示范和验证作用，体现BIM技术在项目全生命周期中的应用价值。</w:t>
      </w:r>
    </w:p>
    <w:p w14:paraId="441D5D6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1.3</w:t>
      </w:r>
      <w:r>
        <w:rPr>
          <w:rFonts w:hint="eastAsia" w:ascii="宋体" w:hAnsi="宋体" w:eastAsia="宋体" w:cs="宋体"/>
          <w:color w:val="000000" w:themeColor="text1"/>
          <w:sz w:val="24"/>
          <w:szCs w:val="24"/>
          <w:highlight w:val="none"/>
          <w14:textFill>
            <w14:solidFill>
              <w14:schemeClr w14:val="tx1"/>
            </w14:solidFill>
          </w14:textFill>
        </w:rPr>
        <w:t>采用BIM正向设计完成设计工作。</w:t>
      </w:r>
    </w:p>
    <w:p w14:paraId="3595965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1.4</w:t>
      </w:r>
      <w:r>
        <w:rPr>
          <w:rFonts w:hint="eastAsia" w:ascii="宋体" w:hAnsi="宋体" w:eastAsia="宋体" w:cs="宋体"/>
          <w:color w:val="000000" w:themeColor="text1"/>
          <w:sz w:val="24"/>
          <w:szCs w:val="24"/>
          <w:highlight w:val="none"/>
          <w14:textFill>
            <w14:solidFill>
              <w14:schemeClr w14:val="tx1"/>
            </w14:solidFill>
          </w14:textFill>
        </w:rPr>
        <w:t>完成住建局等政府部门要求的工作，包括但不限于施工图三维数字化审查等。</w:t>
      </w:r>
    </w:p>
    <w:p w14:paraId="46B612A6">
      <w:pPr>
        <w:pStyle w:val="5"/>
        <w:keepNext w:val="0"/>
        <w:keepLines w:val="0"/>
        <w:tabs>
          <w:tab w:val="left" w:pos="0"/>
        </w:tabs>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w:t>
      </w:r>
      <w:r>
        <w:rPr>
          <w:rFonts w:hint="eastAsia" w:ascii="宋体" w:hAnsi="宋体" w:eastAsia="宋体" w:cs="宋体"/>
          <w:color w:val="000000" w:themeColor="text1"/>
          <w:sz w:val="24"/>
          <w:szCs w:val="24"/>
          <w:highlight w:val="none"/>
          <w14:textFill>
            <w14:solidFill>
              <w14:schemeClr w14:val="tx1"/>
            </w14:solidFill>
          </w14:textFill>
        </w:rPr>
        <w:t>BIM应用要求</w:t>
      </w:r>
    </w:p>
    <w:p w14:paraId="51F6523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2.1</w:t>
      </w:r>
      <w:r>
        <w:rPr>
          <w:rFonts w:hint="eastAsia" w:ascii="宋体" w:hAnsi="宋体" w:eastAsia="宋体" w:cs="宋体"/>
          <w:color w:val="000000" w:themeColor="text1"/>
          <w:sz w:val="24"/>
          <w:szCs w:val="24"/>
          <w:highlight w:val="none"/>
          <w14:textFill>
            <w14:solidFill>
              <w14:schemeClr w14:val="tx1"/>
            </w14:solidFill>
          </w14:textFill>
        </w:rPr>
        <w:t>完成项目正向BIM实施方案，包括但不限于下列文件：</w:t>
      </w:r>
    </w:p>
    <w:p w14:paraId="71BD78CC">
      <w:pPr>
        <w:pStyle w:val="24"/>
        <w:numPr>
          <w:ilvl w:val="0"/>
          <w:numId w:val="22"/>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《BIM正向设计实施方案》；</w:t>
      </w:r>
    </w:p>
    <w:p w14:paraId="0CD0225F">
      <w:pPr>
        <w:pStyle w:val="24"/>
        <w:numPr>
          <w:ilvl w:val="0"/>
          <w:numId w:val="22"/>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《BIM实施过程管控方案》；</w:t>
      </w:r>
    </w:p>
    <w:p w14:paraId="27C35E8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2.2</w:t>
      </w:r>
      <w:r>
        <w:rPr>
          <w:rFonts w:hint="eastAsia" w:ascii="宋体" w:hAnsi="宋体" w:eastAsia="宋体" w:cs="宋体"/>
          <w:color w:val="000000" w:themeColor="text1"/>
          <w:sz w:val="24"/>
          <w:szCs w:val="24"/>
          <w:highlight w:val="none"/>
          <w14:textFill>
            <w14:solidFill>
              <w14:schemeClr w14:val="tx1"/>
            </w14:solidFill>
          </w14:textFill>
        </w:rPr>
        <w:t>施工图设计阶段</w:t>
      </w:r>
    </w:p>
    <w:p w14:paraId="0D0DDD26">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按照相关标准和要求，制定对应项目《施工图设计阶段BIM实施方案》；</w:t>
      </w:r>
    </w:p>
    <w:p w14:paraId="67E9C38F">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应采用BIM正向设计模式创建施工图设计阶段BIM模型，模型应满足《建筑信息模型设计交付标准》（GB/T 51301-2018）、《广东省建筑信息模型应用统一标准》（DBJ／T15-142-2018）、《城市信息模型（CIM）平台施工图审查数据规范》（DB4401/T131-2021）、《城市信息模型（CIM）平台施工图审查技术规范》（DB4401/T130-2021）、</w:t>
      </w:r>
      <w:r>
        <w:rPr>
          <w:rFonts w:hAnsi="宋体" w:cs="宋体"/>
          <w:color w:val="000000" w:themeColor="text1"/>
          <w:szCs w:val="24"/>
          <w:highlight w:val="none"/>
          <w14:textFill>
            <w14:solidFill>
              <w14:schemeClr w14:val="tx1"/>
            </w14:solidFill>
          </w14:textFill>
        </w:rPr>
        <w:t>《城市信息模型(CIM)平台 施工图审查模型交付规范》</w:t>
      </w:r>
      <w:r>
        <w:rPr>
          <w:rFonts w:hint="eastAsia" w:hAnsi="宋体" w:cs="宋体"/>
          <w:color w:val="000000" w:themeColor="text1"/>
          <w:szCs w:val="24"/>
          <w:highlight w:val="none"/>
          <w14:textFill>
            <w14:solidFill>
              <w14:schemeClr w14:val="tx1"/>
            </w14:solidFill>
          </w14:textFill>
        </w:rPr>
        <w:t>（</w:t>
      </w:r>
      <w:r>
        <w:rPr>
          <w:rFonts w:hAnsi="宋体" w:cs="宋体"/>
          <w:color w:val="000000" w:themeColor="text1"/>
          <w:szCs w:val="24"/>
          <w:highlight w:val="none"/>
          <w14:textFill>
            <w14:solidFill>
              <w14:schemeClr w14:val="tx1"/>
            </w14:solidFill>
          </w14:textFill>
        </w:rPr>
        <w:t>DB4401/T 228-2023</w:t>
      </w:r>
      <w:r>
        <w:rPr>
          <w:rFonts w:hint="eastAsia" w:hAnsi="宋体" w:cs="宋体"/>
          <w:color w:val="000000" w:themeColor="text1"/>
          <w:szCs w:val="24"/>
          <w:highlight w:val="none"/>
          <w14:textFill>
            <w14:solidFill>
              <w14:schemeClr w14:val="tx1"/>
            </w14:solidFill>
          </w14:textFill>
        </w:rPr>
        <w:t>）、</w:t>
      </w:r>
      <w:r>
        <w:rPr>
          <w:rFonts w:hAnsi="宋体" w:cs="宋体"/>
          <w:color w:val="000000" w:themeColor="text1"/>
          <w:szCs w:val="24"/>
          <w:highlight w:val="none"/>
          <w14:textFill>
            <w14:solidFill>
              <w14:schemeClr w14:val="tx1"/>
            </w14:solidFill>
          </w14:textFill>
        </w:rPr>
        <w:t>《城市信息模型(CIM)平台 竣工验收模型交付规范》</w:t>
      </w:r>
      <w:r>
        <w:rPr>
          <w:rFonts w:hint="eastAsia" w:hAnsi="宋体" w:cs="宋体"/>
          <w:color w:val="000000" w:themeColor="text1"/>
          <w:szCs w:val="24"/>
          <w:highlight w:val="none"/>
          <w14:textFill>
            <w14:solidFill>
              <w14:schemeClr w14:val="tx1"/>
            </w14:solidFill>
          </w14:textFill>
        </w:rPr>
        <w:t>（</w:t>
      </w:r>
      <w:r>
        <w:rPr>
          <w:rFonts w:hAnsi="宋体" w:cs="宋体"/>
          <w:color w:val="000000" w:themeColor="text1"/>
          <w:szCs w:val="24"/>
          <w:highlight w:val="none"/>
          <w14:textFill>
            <w14:solidFill>
              <w14:schemeClr w14:val="tx1"/>
            </w14:solidFill>
          </w14:textFill>
        </w:rPr>
        <w:t>DB4401/T</w:t>
      </w:r>
      <w:r>
        <w:rPr>
          <w:rFonts w:hint="eastAsia" w:hAnsi="宋体" w:cs="宋体"/>
          <w:color w:val="000000" w:themeColor="text1"/>
          <w:szCs w:val="24"/>
          <w:highlight w:val="none"/>
          <w14:textFill>
            <w14:solidFill>
              <w14:schemeClr w14:val="tx1"/>
            </w14:solidFill>
          </w14:textFill>
        </w:rPr>
        <w:t>） 等相关国家、地方BIM标准要求。；</w:t>
      </w:r>
    </w:p>
    <w:p w14:paraId="0E002D1A">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应用BIM技术进行多专业综合协同设计；</w:t>
      </w:r>
    </w:p>
    <w:p w14:paraId="37CF045B">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应用BIM技术进行统计分析；</w:t>
      </w:r>
    </w:p>
    <w:p w14:paraId="1BE6DC98">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应用BIM技术进行碰撞检查及机电管线综合设计；</w:t>
      </w:r>
    </w:p>
    <w:p w14:paraId="02A97C47">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基于BIM技术进行净空净高分析，并形成相应的分析报告；</w:t>
      </w:r>
    </w:p>
    <w:p w14:paraId="3B116717">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根据项目需求，应用BIM技术开展仿真漫游模拟及视频动画制作；</w:t>
      </w:r>
    </w:p>
    <w:p w14:paraId="25ACB926">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基于BIM正向设计提交的施工图设计阶段BIM应用成果，均应保证图纸与模型的一致性；</w:t>
      </w:r>
    </w:p>
    <w:p w14:paraId="6E479E79">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提交BIM模型，满足工程算量的要求，可辅助工程概预算的工作；</w:t>
      </w:r>
    </w:p>
    <w:p w14:paraId="4C978696">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应确保施工图设计阶段BIM应用成果在施工阶段的延续性，在施工前对项目各参与方进行技术交底；</w:t>
      </w:r>
    </w:p>
    <w:p w14:paraId="6C13016E">
      <w:pPr>
        <w:pStyle w:val="24"/>
        <w:numPr>
          <w:ilvl w:val="0"/>
          <w:numId w:val="23"/>
        </w:numPr>
        <w:ind w:left="0"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完成合同规定的BIM应用其他具体要求。</w:t>
      </w:r>
    </w:p>
    <w:p w14:paraId="302ACA1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p>
    <w:p w14:paraId="74982C12">
      <w:pP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0CDFAC92">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六、管线迁改设计（如有）</w:t>
      </w:r>
    </w:p>
    <w:p w14:paraId="7BEC2498">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管线迁改设计依据和标准</w:t>
      </w:r>
    </w:p>
    <w:p w14:paraId="2D44C6F8">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ascii="宋体" w:hAnsi="宋体" w:eastAsia="宋体" w:cs="宋体"/>
          <w:color w:val="000000" w:themeColor="text1"/>
          <w:kern w:val="0"/>
          <w:sz w:val="24"/>
          <w:szCs w:val="24"/>
          <w:highlight w:val="none"/>
          <w14:textFill>
            <w14:solidFill>
              <w14:schemeClr w14:val="tx1"/>
            </w14:solidFill>
          </w14:textFill>
        </w:rPr>
        <w:t>1.1</w:t>
      </w:r>
      <w:r>
        <w:rPr>
          <w:rFonts w:hint="eastAsia" w:ascii="宋体" w:hAnsi="宋体" w:eastAsia="宋体" w:cs="宋体"/>
          <w:color w:val="000000" w:themeColor="text1"/>
          <w:kern w:val="0"/>
          <w:sz w:val="24"/>
          <w:szCs w:val="24"/>
          <w:highlight w:val="none"/>
          <w14:textFill>
            <w14:solidFill>
              <w14:schemeClr w14:val="tx1"/>
            </w14:solidFill>
          </w14:textFill>
        </w:rPr>
        <w:t>本项设计项目各阶段的设计文件必须符合现行中华人民共和国以及行业的一切法规、规范要求，包括但不限于：</w:t>
      </w:r>
    </w:p>
    <w:p w14:paraId="4291D35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《广州市城市总体规划（2001-2020）》，广州市人民政府，2003年12月</w:t>
      </w:r>
    </w:p>
    <w:p w14:paraId="6F66644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《广州市城市规划管理技术标准与准则（市政规划篇）》广州市规划局</w:t>
      </w:r>
    </w:p>
    <w:p w14:paraId="4621312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《城市工程管线综合规划规范》GB 50289-2016</w:t>
      </w:r>
    </w:p>
    <w:p w14:paraId="0266DA9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《城市电力规划规范》GB 50293-2014</w:t>
      </w:r>
    </w:p>
    <w:p w14:paraId="3EDD9D2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《城镇燃气设计规范》GB 50028-2006</w:t>
      </w:r>
    </w:p>
    <w:p w14:paraId="56E23B5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《城市给水工程规划规范》GB 50282-2016</w:t>
      </w:r>
    </w:p>
    <w:p w14:paraId="400B00C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《室外给水设计标准》GB 50013-2018</w:t>
      </w:r>
    </w:p>
    <w:p w14:paraId="01297E0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《城市排水工程规划规范》GB 50318-2017</w:t>
      </w:r>
    </w:p>
    <w:p w14:paraId="2FD5958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《室外排水设计规范》GB 50014-2006（2016年版）</w:t>
      </w:r>
    </w:p>
    <w:p w14:paraId="2FD76AD0">
      <w:pPr>
        <w:spacing w:line="360" w:lineRule="auto"/>
        <w:ind w:left="480" w:leftChars="218"/>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《海绵城市建设项目设计、施工和运营维护技术规程》DB4401/T 253-2024附录《广州市中心城区暴雨公式》</w:t>
      </w:r>
    </w:p>
    <w:p w14:paraId="7629871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《广州市城市防洪排涝总体规划》（广州市市政管理局、广州市市政设计院，1995年编制）</w:t>
      </w:r>
    </w:p>
    <w:p w14:paraId="322F5CA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《电力工程电缆设计标准》GB 50217-2018</w:t>
      </w:r>
    </w:p>
    <w:p w14:paraId="5E030B4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《民用建筑电气设计标准》GB 51348-2019</w:t>
      </w:r>
    </w:p>
    <w:p w14:paraId="35D45FA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《供配电系统设计规范》GB 50052-2009</w:t>
      </w:r>
    </w:p>
    <w:p w14:paraId="2F65B693">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《低压配电设计规范》GB 50054-2011</w:t>
      </w:r>
    </w:p>
    <w:p w14:paraId="6C19EE6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《中华人民共和国道路交通安全法》 </w:t>
      </w:r>
    </w:p>
    <w:p w14:paraId="39DAFC4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《城市道路交通设施设计规范》(2019年版)（GB 50688-2011）</w:t>
      </w:r>
    </w:p>
    <w:p w14:paraId="210DA93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《城市道路交通标志和标线设置规范》（GB 51038-2015）</w:t>
      </w:r>
    </w:p>
    <w:p w14:paraId="24220A1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《道路交通标志和标线 第2部分：道路交通标志》（GB5768.2-2009）</w:t>
      </w:r>
    </w:p>
    <w:p w14:paraId="48E8C22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《道路交通标志和标线 第3部分：道路交通标志》（GB5768.3-2009）</w:t>
      </w:r>
    </w:p>
    <w:p w14:paraId="246E4BA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《道路交通标志和标线 第4部分：作业区》（GB5768.4-2017）</w:t>
      </w:r>
    </w:p>
    <w:p w14:paraId="365949E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《广州市道路交通管理设施设计技术指引》</w:t>
      </w:r>
    </w:p>
    <w:p w14:paraId="1A7586B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《广州市道路交通指路标志系统设计技术指引研究》（修订）</w:t>
      </w:r>
    </w:p>
    <w:p w14:paraId="29BD621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《广州市占用挖掘道路施工作业指引手册》</w:t>
      </w:r>
    </w:p>
    <w:p w14:paraId="6167BBE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广州市建设工程绿色施工围蔽指导图集V2.0</w:t>
      </w:r>
    </w:p>
    <w:p w14:paraId="63A080A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《道路交通标志板及支撑件》（GB/T 23827-2009）</w:t>
      </w:r>
    </w:p>
    <w:p w14:paraId="1F75856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《道路交通反光膜》（GB/T 18833-2012）</w:t>
      </w:r>
    </w:p>
    <w:p w14:paraId="7A8B935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《路面标线涂料》（JT/T 280-2004）</w:t>
      </w:r>
    </w:p>
    <w:p w14:paraId="57A1338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《道路交通标线质量要求和检测方法》（GB/T 16311-2009 ）</w:t>
      </w:r>
    </w:p>
    <w:p w14:paraId="5E4356E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《建筑施工场界环境噪声排放标准》（GB 12523-2011）</w:t>
      </w:r>
    </w:p>
    <w:p w14:paraId="5869BBF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《声环境质量标准》（GB 3096-2008）</w:t>
      </w:r>
    </w:p>
    <w:p w14:paraId="6B5D3A6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《建筑设计防火规范》（GB 50016-2014）</w:t>
      </w:r>
    </w:p>
    <w:p w14:paraId="7296D11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《通信局（站）防雷与接地工程设计规范》（GB 50689-2011）</w:t>
      </w:r>
    </w:p>
    <w:p w14:paraId="1EE1593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《通信局（站）防雷与接地工程验收规范》（GB 51120-2015）</w:t>
      </w:r>
    </w:p>
    <w:p w14:paraId="462893C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《通信线路工程设计规范》（GB 51158-2015）</w:t>
      </w:r>
    </w:p>
    <w:p w14:paraId="1DBA42B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《通信线路工程验收规范》（GB 51171-2016）</w:t>
      </w:r>
    </w:p>
    <w:p w14:paraId="0D9E1EE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《通信管道与通道工程设计标准》（强制性标准）（GB 50373-2019）</w:t>
      </w:r>
    </w:p>
    <w:p w14:paraId="0614552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《通信管道工程施工及验收标准》（GB/T 50374-2018）</w:t>
      </w:r>
    </w:p>
    <w:p w14:paraId="55131C0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《通信工程建设环境保护技术暂行规定》（YD 5039-2009）</w:t>
      </w:r>
    </w:p>
    <w:p w14:paraId="5926D2C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《通信建设工程安全生产操作规范》（YD 5201-2014）</w:t>
      </w:r>
    </w:p>
    <w:p w14:paraId="4170991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《电信基础设施共建共享工程技术暂行规定》（YD 5191-2009）</w:t>
      </w:r>
    </w:p>
    <w:p w14:paraId="17AD28A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《通信工程制图与图形符号规定》（YD/T 5015-2015）</w:t>
      </w:r>
    </w:p>
    <w:p w14:paraId="68FD2B5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《通信工程设计文件编制规定》（YD/T 5211-2014）</w:t>
      </w:r>
    </w:p>
    <w:p w14:paraId="53757E6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《建设工程安全生产管理条例》 国务院令第393号</w:t>
      </w:r>
    </w:p>
    <w:p w14:paraId="5D800E2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《通信建设工程安全生产管理规定》工信部通信[2015]406号</w:t>
      </w:r>
    </w:p>
    <w:p w14:paraId="14AC30A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《国务院关于进一步加强企业安全生产工作的通知》国发[2010]23号</w:t>
      </w:r>
    </w:p>
    <w:p w14:paraId="2CD471B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1.2</w:t>
      </w:r>
      <w:r>
        <w:rPr>
          <w:rFonts w:hint="eastAsia" w:ascii="宋体" w:hAnsi="宋体" w:eastAsia="宋体" w:cs="宋体"/>
          <w:color w:val="000000" w:themeColor="text1"/>
          <w:sz w:val="24"/>
          <w:szCs w:val="24"/>
          <w:highlight w:val="none"/>
          <w14:textFill>
            <w14:solidFill>
              <w14:schemeClr w14:val="tx1"/>
            </w14:solidFill>
          </w14:textFill>
        </w:rPr>
        <w:t>实测现状管线资料及现有地形</w:t>
      </w:r>
    </w:p>
    <w:p w14:paraId="6D1BE9B3">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ascii="宋体" w:hAnsi="宋体" w:eastAsia="宋体" w:cs="宋体"/>
          <w:color w:val="000000" w:themeColor="text1"/>
          <w:kern w:val="0"/>
          <w:sz w:val="24"/>
          <w:szCs w:val="24"/>
          <w:highlight w:val="none"/>
          <w14:textFill>
            <w14:solidFill>
              <w14:schemeClr w14:val="tx1"/>
            </w14:solidFill>
          </w14:textFill>
        </w:rPr>
        <w:t>1.3</w:t>
      </w:r>
      <w:r>
        <w:rPr>
          <w:rFonts w:hint="eastAsia" w:ascii="宋体" w:hAnsi="宋体" w:eastAsia="宋体" w:cs="宋体"/>
          <w:color w:val="000000" w:themeColor="text1"/>
          <w:kern w:val="0"/>
          <w:sz w:val="24"/>
          <w:szCs w:val="24"/>
          <w:highlight w:val="none"/>
          <w14:textFill>
            <w14:solidFill>
              <w14:schemeClr w14:val="tx1"/>
            </w14:solidFill>
          </w14:textFill>
        </w:rPr>
        <w:t>其他符合国家、建设部及广东省现行有关设计标准的规定；</w:t>
      </w:r>
    </w:p>
    <w:p w14:paraId="62E15EE7">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ascii="宋体" w:hAnsi="宋体" w:eastAsia="宋体" w:cs="宋体"/>
          <w:color w:val="000000" w:themeColor="text1"/>
          <w:kern w:val="0"/>
          <w:sz w:val="24"/>
          <w:szCs w:val="24"/>
          <w:highlight w:val="none"/>
          <w14:textFill>
            <w14:solidFill>
              <w14:schemeClr w14:val="tx1"/>
            </w14:solidFill>
          </w14:textFill>
        </w:rPr>
        <w:t>1.4</w:t>
      </w:r>
      <w:r>
        <w:rPr>
          <w:rFonts w:hint="eastAsia" w:ascii="宋体" w:hAnsi="宋体" w:eastAsia="宋体" w:cs="宋体"/>
          <w:color w:val="000000" w:themeColor="text1"/>
          <w:kern w:val="0"/>
          <w:sz w:val="24"/>
          <w:szCs w:val="24"/>
          <w:highlight w:val="none"/>
          <w14:textFill>
            <w14:solidFill>
              <w14:schemeClr w14:val="tx1"/>
            </w14:solidFill>
          </w14:textFill>
        </w:rPr>
        <w:t>设计中的市政、水、电等标准及用量应符合国家、建设部及广东省有关设计标准及规定。设计深度需符合建设部《建筑工程设计文件编制深度的规定》中有关的要求及招标人的其他要求。</w:t>
      </w:r>
    </w:p>
    <w:p w14:paraId="7B02ACE4">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ascii="宋体" w:hAnsi="宋体" w:eastAsia="宋体" w:cs="宋体"/>
          <w:color w:val="000000" w:themeColor="text1"/>
          <w:kern w:val="0"/>
          <w:sz w:val="24"/>
          <w:szCs w:val="24"/>
          <w:highlight w:val="none"/>
          <w14:textFill>
            <w14:solidFill>
              <w14:schemeClr w14:val="tx1"/>
            </w14:solidFill>
          </w14:textFill>
        </w:rPr>
        <w:t>1.5</w:t>
      </w:r>
      <w:r>
        <w:rPr>
          <w:rFonts w:hint="eastAsia" w:ascii="宋体" w:hAnsi="宋体" w:eastAsia="宋体" w:cs="宋体"/>
          <w:color w:val="000000" w:themeColor="text1"/>
          <w:kern w:val="0"/>
          <w:sz w:val="24"/>
          <w:szCs w:val="24"/>
          <w:highlight w:val="none"/>
          <w14:textFill>
            <w14:solidFill>
              <w14:schemeClr w14:val="tx1"/>
            </w14:solidFill>
          </w14:textFill>
        </w:rPr>
        <w:t>若有相关主管部门颁发的新规范则按新规范执行。</w:t>
      </w:r>
    </w:p>
    <w:p w14:paraId="30AF9307">
      <w:pPr>
        <w:pStyle w:val="5"/>
        <w:keepNext w:val="0"/>
        <w:keepLines w:val="0"/>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bookmarkStart w:id="565" w:name="_Toc2375"/>
      <w:bookmarkStart w:id="566" w:name="_Toc19602"/>
      <w:bookmarkStart w:id="567" w:name="_Toc19124"/>
      <w:r>
        <w:rPr>
          <w:rFonts w:hint="eastAsia" w:ascii="宋体" w:hAnsi="宋体" w:eastAsia="宋体" w:cs="宋体"/>
          <w:color w:val="000000" w:themeColor="text1"/>
          <w:sz w:val="24"/>
          <w:szCs w:val="24"/>
          <w:highlight w:val="none"/>
          <w14:textFill>
            <w14:solidFill>
              <w14:schemeClr w14:val="tx1"/>
            </w14:solidFill>
          </w14:textFill>
        </w:rPr>
        <w:t>2</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管线迁改设计工作内容</w:t>
      </w:r>
      <w:bookmarkEnd w:id="565"/>
      <w:bookmarkEnd w:id="566"/>
      <w:bookmarkEnd w:id="567"/>
    </w:p>
    <w:p w14:paraId="5AA8321B">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2</w:t>
      </w:r>
      <w:r>
        <w:rPr>
          <w:rFonts w:ascii="宋体" w:hAnsi="宋体" w:eastAsia="宋体" w:cs="宋体"/>
          <w:color w:val="000000" w:themeColor="text1"/>
          <w:kern w:val="0"/>
          <w:sz w:val="24"/>
          <w:szCs w:val="24"/>
          <w:highlight w:val="none"/>
          <w14:textFill>
            <w14:solidFill>
              <w14:schemeClr w14:val="tx1"/>
            </w14:solidFill>
          </w14:textFill>
        </w:rPr>
        <w:t>.1</w:t>
      </w:r>
      <w:r>
        <w:rPr>
          <w:rFonts w:hint="eastAsia" w:ascii="宋体" w:hAnsi="宋体" w:eastAsia="宋体" w:cs="宋体"/>
          <w:color w:val="000000" w:themeColor="text1"/>
          <w:kern w:val="0"/>
          <w:sz w:val="24"/>
          <w:szCs w:val="24"/>
          <w:highlight w:val="none"/>
          <w14:textFill>
            <w14:solidFill>
              <w14:schemeClr w14:val="tx1"/>
            </w14:solidFill>
          </w14:textFill>
        </w:rPr>
        <w:t>管线迁改综合平衡设计工作：</w:t>
      </w:r>
    </w:p>
    <w:p w14:paraId="0197295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本项目周边的给水、雨水、污水、电力以及通信管线为配合安置区的规划及工程施工需要，需重新对管线进行综合平衡设计，投标人需完成本项目工程管线综合平衡方案</w:t>
      </w:r>
      <w:r>
        <w:rPr>
          <w:rFonts w:hint="eastAsia" w:ascii="宋体" w:hAnsi="宋体" w:eastAsia="宋体" w:cs="宋体"/>
          <w:strike/>
          <w:color w:val="000000" w:themeColor="text1"/>
          <w:sz w:val="24"/>
          <w:szCs w:val="24"/>
          <w:highlight w:val="none"/>
          <w14:textFill>
            <w14:solidFill>
              <w14:schemeClr w14:val="tx1"/>
            </w14:solidFill>
          </w14:textFill>
        </w:rPr>
        <w:t>和</w:t>
      </w:r>
      <w:r>
        <w:rPr>
          <w:rFonts w:hint="eastAsia" w:ascii="宋体" w:hAnsi="宋体" w:eastAsia="宋体" w:cs="宋体"/>
          <w:color w:val="000000" w:themeColor="text1"/>
          <w:sz w:val="24"/>
          <w:szCs w:val="24"/>
          <w:highlight w:val="none"/>
          <w14:textFill>
            <w14:solidFill>
              <w14:schemeClr w14:val="tx1"/>
            </w14:solidFill>
          </w14:textFill>
        </w:rPr>
        <w:t>施工图设计工作，协助发包人组织管线平衡方案评审工作并取得相关批复文件。</w:t>
      </w:r>
    </w:p>
    <w:p w14:paraId="1F1A189F">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2</w:t>
      </w:r>
      <w:r>
        <w:rPr>
          <w:rFonts w:ascii="宋体" w:hAnsi="宋体" w:eastAsia="宋体" w:cs="宋体"/>
          <w:color w:val="000000" w:themeColor="text1"/>
          <w:kern w:val="0"/>
          <w:sz w:val="24"/>
          <w:szCs w:val="24"/>
          <w:highlight w:val="none"/>
          <w14:textFill>
            <w14:solidFill>
              <w14:schemeClr w14:val="tx1"/>
            </w14:solidFill>
          </w14:textFill>
        </w:rPr>
        <w:t>.2</w:t>
      </w:r>
      <w:r>
        <w:rPr>
          <w:rFonts w:hint="eastAsia" w:ascii="宋体" w:hAnsi="宋体" w:eastAsia="宋体" w:cs="宋体"/>
          <w:color w:val="000000" w:themeColor="text1"/>
          <w:kern w:val="0"/>
          <w:sz w:val="24"/>
          <w:szCs w:val="24"/>
          <w:highlight w:val="none"/>
          <w14:textFill>
            <w14:solidFill>
              <w14:schemeClr w14:val="tx1"/>
            </w14:solidFill>
          </w14:textFill>
        </w:rPr>
        <w:t>本项目及周边电力管线迁改设计工作：</w:t>
      </w:r>
    </w:p>
    <w:p w14:paraId="472F44B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为配合项目的规划及工程施工需要，对于安置区存在的权属单位非供电局的电力管线，承包人需配合业主沟通权属单位，根据权属单位提出的意见，给出合理迁改方案，并完成电力管线迁改的施工图设计、预算及竣工图编制工作。</w:t>
      </w:r>
    </w:p>
    <w:p w14:paraId="7B6BBAE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对于本项目存在的权属单位为供电局的电力管线，根据业主与供电局签订货币补偿协议，由供电局组织相关设计单位进行施工图设计，投标人负责管线平衡和相应配合工作。</w:t>
      </w:r>
    </w:p>
    <w:p w14:paraId="6EEDAAF8">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2</w:t>
      </w:r>
      <w:r>
        <w:rPr>
          <w:rFonts w:ascii="宋体" w:hAnsi="宋体" w:eastAsia="宋体" w:cs="宋体"/>
          <w:color w:val="000000" w:themeColor="text1"/>
          <w:kern w:val="0"/>
          <w:sz w:val="24"/>
          <w:szCs w:val="24"/>
          <w:highlight w:val="none"/>
          <w14:textFill>
            <w14:solidFill>
              <w14:schemeClr w14:val="tx1"/>
            </w14:solidFill>
          </w14:textFill>
        </w:rPr>
        <w:t>.3</w:t>
      </w:r>
      <w:r>
        <w:rPr>
          <w:rFonts w:hint="eastAsia" w:ascii="宋体" w:hAnsi="宋体" w:eastAsia="宋体" w:cs="宋体"/>
          <w:color w:val="000000" w:themeColor="text1"/>
          <w:kern w:val="0"/>
          <w:sz w:val="24"/>
          <w:szCs w:val="24"/>
          <w:highlight w:val="none"/>
          <w14:textFill>
            <w14:solidFill>
              <w14:schemeClr w14:val="tx1"/>
            </w14:solidFill>
          </w14:textFill>
        </w:rPr>
        <w:t>本项目及周边给排水、天然气等管线迁改设计工作：</w:t>
      </w:r>
    </w:p>
    <w:p w14:paraId="2EC4ECE6">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为配合项目地块的规划及工程施工需要，解决因地块周边给、排水、天然气等管道标高冲突问题，承包人需完成给排水管线、天然气管线等的迁改的施工图设计、预算及竣工图编制工作。</w:t>
      </w:r>
    </w:p>
    <w:p w14:paraId="53C0F052">
      <w:pPr>
        <w:spacing w:line="360" w:lineRule="auto"/>
        <w:ind w:firstLine="480" w:firstLineChars="200"/>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2</w:t>
      </w:r>
      <w:r>
        <w:rPr>
          <w:rFonts w:ascii="宋体" w:hAnsi="宋体" w:eastAsia="宋体" w:cs="宋体"/>
          <w:color w:val="000000" w:themeColor="text1"/>
          <w:kern w:val="0"/>
          <w:sz w:val="24"/>
          <w:szCs w:val="24"/>
          <w:highlight w:val="none"/>
          <w14:textFill>
            <w14:solidFill>
              <w14:schemeClr w14:val="tx1"/>
            </w14:solidFill>
          </w14:textFill>
        </w:rPr>
        <w:t>.4</w:t>
      </w:r>
      <w:r>
        <w:rPr>
          <w:rFonts w:hint="eastAsia" w:ascii="宋体" w:hAnsi="宋体" w:eastAsia="宋体" w:cs="宋体"/>
          <w:color w:val="000000" w:themeColor="text1"/>
          <w:kern w:val="0"/>
          <w:sz w:val="24"/>
          <w:szCs w:val="24"/>
          <w:highlight w:val="none"/>
          <w14:textFill>
            <w14:solidFill>
              <w14:schemeClr w14:val="tx1"/>
            </w14:solidFill>
          </w14:textFill>
        </w:rPr>
        <w:t>本项目通信线路迁改设计工作：</w:t>
      </w:r>
    </w:p>
    <w:p w14:paraId="2BD05F8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按照发包人与中国移动、中国联通、天河有线和交通监控等管线权属单位协商结果，投标人对本项目及周边受影响通信线路的迁改工程，进行现场勘察、施工图设计、预算编制及竣工图编制等。</w:t>
      </w:r>
    </w:p>
    <w:p w14:paraId="73EE2498">
      <w:pPr>
        <w:pStyle w:val="24"/>
        <w:ind w:left="48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w:t>
      </w:r>
      <w:r>
        <w:rPr>
          <w:rFonts w:hAnsi="宋体" w:cs="宋体"/>
          <w:color w:val="000000" w:themeColor="text1"/>
          <w:szCs w:val="24"/>
          <w:highlight w:val="none"/>
          <w14:textFill>
            <w14:solidFill>
              <w14:schemeClr w14:val="tx1"/>
            </w14:solidFill>
          </w14:textFill>
        </w:rPr>
        <w:t>.5</w:t>
      </w:r>
      <w:r>
        <w:rPr>
          <w:rFonts w:hint="eastAsia" w:hAnsi="宋体" w:cs="宋体"/>
          <w:color w:val="000000" w:themeColor="text1"/>
          <w:szCs w:val="24"/>
          <w:highlight w:val="none"/>
          <w14:textFill>
            <w14:solidFill>
              <w14:schemeClr w14:val="tx1"/>
            </w14:solidFill>
          </w14:textFill>
        </w:rPr>
        <w:t>本项目零星管线迁改设计工作：</w:t>
      </w:r>
    </w:p>
    <w:p w14:paraId="11FED7E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为解决项目因分批拆迁所引起的水、电表前等其他一切零星管线迁改问题，投标人需完成每户表前零星管线的迁改方案设计工作、预算及竣工图编制工作。</w:t>
      </w:r>
    </w:p>
    <w:p w14:paraId="78AD75FB">
      <w:pPr>
        <w:pStyle w:val="24"/>
        <w:ind w:left="480" w:firstLine="0" w:firstLineChars="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w:t>
      </w:r>
      <w:r>
        <w:rPr>
          <w:rFonts w:hAnsi="宋体" w:cs="宋体"/>
          <w:color w:val="000000" w:themeColor="text1"/>
          <w:szCs w:val="24"/>
          <w:highlight w:val="none"/>
          <w14:textFill>
            <w14:solidFill>
              <w14:schemeClr w14:val="tx1"/>
            </w14:solidFill>
          </w14:textFill>
        </w:rPr>
        <w:t>.6</w:t>
      </w:r>
      <w:r>
        <w:rPr>
          <w:rFonts w:hint="eastAsia" w:hAnsi="宋体" w:cs="宋体"/>
          <w:color w:val="000000" w:themeColor="text1"/>
          <w:szCs w:val="24"/>
          <w:highlight w:val="none"/>
          <w14:textFill>
            <w14:solidFill>
              <w14:schemeClr w14:val="tx1"/>
            </w14:solidFill>
          </w14:textFill>
        </w:rPr>
        <w:t>本项目周边交通疏解设计工作：</w:t>
      </w:r>
    </w:p>
    <w:p w14:paraId="31941FD0">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为配合项目地块的规划及工程施工需要，解决因地块周边各专业管道施工引起的交通疏解问题，承包人需完成交通疏解工程的施工图设计工作、概预算及竣工图编制工作。</w:t>
      </w:r>
    </w:p>
    <w:p w14:paraId="1A952B55">
      <w:pPr>
        <w:pStyle w:val="24"/>
        <w:ind w:firstLine="480"/>
        <w:rPr>
          <w:rFonts w:hint="eastAsia" w:hAnsi="宋体" w:cs="宋体"/>
          <w:color w:val="000000" w:themeColor="text1"/>
          <w:szCs w:val="24"/>
          <w:highlight w:val="none"/>
          <w14:textFill>
            <w14:solidFill>
              <w14:schemeClr w14:val="tx1"/>
            </w14:solidFill>
          </w14:textFill>
        </w:rPr>
      </w:pPr>
      <w:r>
        <w:rPr>
          <w:rFonts w:hint="eastAsia" w:hAnsi="宋体" w:cs="宋体"/>
          <w:color w:val="000000" w:themeColor="text1"/>
          <w:szCs w:val="24"/>
          <w:highlight w:val="none"/>
          <w14:textFill>
            <w14:solidFill>
              <w14:schemeClr w14:val="tx1"/>
            </w14:solidFill>
          </w14:textFill>
        </w:rPr>
        <w:t>2</w:t>
      </w:r>
      <w:r>
        <w:rPr>
          <w:rFonts w:hAnsi="宋体" w:cs="宋体"/>
          <w:color w:val="000000" w:themeColor="text1"/>
          <w:szCs w:val="24"/>
          <w:highlight w:val="none"/>
          <w14:textFill>
            <w14:solidFill>
              <w14:schemeClr w14:val="tx1"/>
            </w14:solidFill>
          </w14:textFill>
        </w:rPr>
        <w:t>.7</w:t>
      </w:r>
      <w:r>
        <w:rPr>
          <w:rFonts w:hint="eastAsia" w:hAnsi="宋体" w:cs="宋体"/>
          <w:color w:val="000000" w:themeColor="text1"/>
          <w:szCs w:val="24"/>
          <w:highlight w:val="none"/>
          <w14:textFill>
            <w14:solidFill>
              <w14:schemeClr w14:val="tx1"/>
            </w14:solidFill>
          </w14:textFill>
        </w:rPr>
        <w:t>管线迁改设计工作宜按以下流程进行，承包人应协助发包人开展相关工作，包括但不限于以下内容：</w:t>
      </w:r>
    </w:p>
    <w:p w14:paraId="67AC1B4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施工图设计及预算审查：组织专家对施工图设计及预算进行审查。</w:t>
      </w:r>
    </w:p>
    <w:p w14:paraId="509EF32B">
      <w:pPr>
        <w:spacing w:line="360" w:lineRule="auto"/>
        <w:ind w:firstLine="482"/>
        <w:rPr>
          <w:rFonts w:hint="eastAsia" w:ascii="宋体" w:hAnsi="宋体" w:eastAsia="宋体" w:cs="宋体"/>
          <w:color w:val="000000" w:themeColor="text1"/>
          <w:sz w:val="24"/>
          <w:szCs w:val="24"/>
          <w:highlight w:val="none"/>
          <w14:textFill>
            <w14:solidFill>
              <w14:schemeClr w14:val="tx1"/>
            </w14:solidFill>
          </w14:textFill>
        </w:rPr>
      </w:pPr>
    </w:p>
    <w:p w14:paraId="7CE38EEF">
      <w:pP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40EF709E">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七、投标文件编制要求</w:t>
      </w:r>
    </w:p>
    <w:p w14:paraId="3CC038BD">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投标文件的编制要求</w:t>
      </w:r>
    </w:p>
    <w:p w14:paraId="354D6E3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详见招标文件。</w:t>
      </w:r>
    </w:p>
    <w:p w14:paraId="768B3A94">
      <w:pPr>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56533BD9">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八、预算编制</w:t>
      </w:r>
    </w:p>
    <w:p w14:paraId="522BC5E1">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总则</w:t>
      </w:r>
    </w:p>
    <w:p w14:paraId="74531E9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施工图预算应控制在已批准的设计总概算投资范围以内。</w:t>
      </w:r>
    </w:p>
    <w:p w14:paraId="33CA004B">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1.1</w:t>
      </w:r>
      <w:r>
        <w:rPr>
          <w:rFonts w:hint="eastAsia" w:ascii="宋体" w:hAnsi="宋体" w:eastAsia="宋体" w:cs="宋体"/>
          <w:color w:val="000000" w:themeColor="text1"/>
          <w:sz w:val="24"/>
          <w:szCs w:val="24"/>
          <w:highlight w:val="none"/>
          <w14:textFill>
            <w14:solidFill>
              <w14:schemeClr w14:val="tx1"/>
            </w14:solidFill>
          </w14:textFill>
        </w:rPr>
        <w:t>预算文件组成</w:t>
      </w:r>
    </w:p>
    <w:p w14:paraId="677A0AF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.1.1</w:t>
      </w:r>
      <w:r>
        <w:rPr>
          <w:rFonts w:hint="eastAsia" w:ascii="宋体" w:hAnsi="宋体" w:eastAsia="宋体" w:cs="宋体"/>
          <w:color w:val="000000" w:themeColor="text1"/>
          <w:sz w:val="24"/>
          <w:szCs w:val="24"/>
          <w:highlight w:val="none"/>
          <w14:textFill>
            <w14:solidFill>
              <w14:schemeClr w14:val="tx1"/>
            </w14:solidFill>
          </w14:textFill>
        </w:rPr>
        <w:t>预算文件由封面、扉页（签署页）、目录、编制说明和总预算表、单项工程综合概（预）算表及单位工程预算书等组成。</w:t>
      </w:r>
    </w:p>
    <w:p w14:paraId="5002CD9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1.1.2</w:t>
      </w:r>
      <w:r>
        <w:rPr>
          <w:rFonts w:hint="eastAsia" w:ascii="宋体" w:hAnsi="宋体" w:eastAsia="宋体" w:cs="宋体"/>
          <w:color w:val="000000" w:themeColor="text1"/>
          <w:sz w:val="24"/>
          <w:szCs w:val="24"/>
          <w:highlight w:val="none"/>
          <w14:textFill>
            <w14:solidFill>
              <w14:schemeClr w14:val="tx1"/>
            </w14:solidFill>
          </w14:textFill>
        </w:rPr>
        <w:t>封面、扉页及目录封面内容包括：建设项目名称、设计阶段、篇册分册名称、编制单位及日期。扉页内容包括：建设项目名称、各级相关人员签名及其印章（含执业专用章）、编制单位及其印章、日期。目录按预算表格的顺序编排。</w:t>
      </w:r>
    </w:p>
    <w:p w14:paraId="1696E8D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.1.3</w:t>
      </w:r>
      <w:r>
        <w:rPr>
          <w:rFonts w:hint="eastAsia" w:ascii="宋体" w:hAnsi="宋体" w:eastAsia="宋体" w:cs="宋体"/>
          <w:color w:val="000000" w:themeColor="text1"/>
          <w:sz w:val="24"/>
          <w:szCs w:val="24"/>
          <w:highlight w:val="none"/>
          <w14:textFill>
            <w14:solidFill>
              <w14:schemeClr w14:val="tx1"/>
            </w14:solidFill>
          </w14:textFill>
        </w:rPr>
        <w:t>编制说明概预算文件编制完成后，应写出编制说明，文字力求简明扼要。应叙述的内容有：</w:t>
      </w:r>
    </w:p>
    <w:p w14:paraId="36701E2F">
      <w:pPr>
        <w:numPr>
          <w:ilvl w:val="0"/>
          <w:numId w:val="24"/>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工程概况：主要包括工程基本情况、编制范围、概(预)算单元划分及编制单位、主要工程内容及施工工法、结构形式、建筑面积、特殊工艺说明等内容。</w:t>
      </w:r>
    </w:p>
    <w:p w14:paraId="0642B7E3">
      <w:pPr>
        <w:numPr>
          <w:ilvl w:val="0"/>
          <w:numId w:val="24"/>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编制依据及取费标准：按合同约定。</w:t>
      </w:r>
    </w:p>
    <w:p w14:paraId="48952587">
      <w:pPr>
        <w:numPr>
          <w:ilvl w:val="0"/>
          <w:numId w:val="24"/>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预算成果：按合同约定。</w:t>
      </w:r>
    </w:p>
    <w:p w14:paraId="1CCD9060">
      <w:pPr>
        <w:numPr>
          <w:ilvl w:val="0"/>
          <w:numId w:val="24"/>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其它说明（如有）：①、与概预算有关的委托书、协议书、会议纪要主要内容；②、编制中存在的问题；③、其它与概预算有关但不能在表格里反映的事项和其它需要说明的内容。</w:t>
      </w:r>
    </w:p>
    <w:p w14:paraId="15286EAC">
      <w:pPr>
        <w:pStyle w:val="5"/>
        <w:keepNext w:val="0"/>
        <w:keepLines w:val="0"/>
        <w:snapToGrid/>
        <w:spacing w:before="120" w:beforeLines="50" w:after="0"/>
        <w:ind w:firstLine="482"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w:t>
      </w:r>
      <w:r>
        <w:rPr>
          <w:rFonts w:ascii="宋体" w:hAnsi="宋体" w:eastAsia="宋体" w:cs="宋体"/>
          <w:color w:val="000000" w:themeColor="text1"/>
          <w:sz w:val="24"/>
          <w:szCs w:val="24"/>
          <w:highlight w:val="none"/>
          <w14:textFill>
            <w14:solidFill>
              <w14:schemeClr w14:val="tx1"/>
            </w14:solidFill>
          </w14:textFill>
        </w:rPr>
        <w:t>.2</w:t>
      </w:r>
      <w:r>
        <w:rPr>
          <w:rFonts w:hint="eastAsia" w:ascii="宋体" w:hAnsi="宋体" w:eastAsia="宋体" w:cs="宋体"/>
          <w:color w:val="000000" w:themeColor="text1"/>
          <w:sz w:val="24"/>
          <w:szCs w:val="24"/>
          <w:highlight w:val="none"/>
          <w14:textFill>
            <w14:solidFill>
              <w14:schemeClr w14:val="tx1"/>
            </w14:solidFill>
          </w14:textFill>
        </w:rPr>
        <w:t>概预算表格统一，内容包括：</w:t>
      </w:r>
    </w:p>
    <w:p w14:paraId="4B2A6E03">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总概（预）算表</w:t>
      </w:r>
    </w:p>
    <w:p w14:paraId="35CB4567">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其他费用计算表</w:t>
      </w:r>
    </w:p>
    <w:p w14:paraId="523251DD">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综合概（预）算表</w:t>
      </w:r>
    </w:p>
    <w:p w14:paraId="6F7B7621">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单位工程费用汇总表</w:t>
      </w:r>
    </w:p>
    <w:p w14:paraId="6E6FD0F0">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分部分项工程和单价措施项目清单与计价表</w:t>
      </w:r>
    </w:p>
    <w:p w14:paraId="52AF7841">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综合单价计算表</w:t>
      </w:r>
    </w:p>
    <w:p w14:paraId="30A53333">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总价措施项目清单与计价表</w:t>
      </w:r>
    </w:p>
    <w:p w14:paraId="4CAA0059">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其他项目清单与计价汇总表</w:t>
      </w:r>
    </w:p>
    <w:p w14:paraId="30DC217D">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规费、税金项目清单与计价表</w:t>
      </w:r>
    </w:p>
    <w:p w14:paraId="07FD7302">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单位工程人材机汇总表</w:t>
      </w:r>
    </w:p>
    <w:p w14:paraId="2131C8DA">
      <w:pPr>
        <w:numPr>
          <w:ilvl w:val="0"/>
          <w:numId w:val="25"/>
        </w:numPr>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单位工程主材设备汇总表(机电工程)。</w:t>
      </w:r>
    </w:p>
    <w:p w14:paraId="0DF324B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根据工程建设概预算管理的需要可以增加的其它必要的表格。</w:t>
      </w:r>
    </w:p>
    <w:p w14:paraId="43D4724C">
      <w:pPr>
        <w:pStyle w:val="5"/>
        <w:keepNext w:val="0"/>
        <w:keepLines w:val="0"/>
        <w:snapToGrid/>
        <w:spacing w:before="120" w:beforeLines="50" w:after="0"/>
        <w:ind w:firstLine="482" w:firstLineChars="200"/>
        <w:rPr>
          <w:rFonts w:hint="eastAsia" w:ascii="宋体" w:hAnsi="宋体" w:eastAsia="宋体" w:cs="宋体"/>
          <w:bCs w:val="0"/>
          <w:color w:val="000000" w:themeColor="text1"/>
          <w:sz w:val="24"/>
          <w:szCs w:val="24"/>
          <w:highlight w:val="none"/>
          <w14:textFill>
            <w14:solidFill>
              <w14:schemeClr w14:val="tx1"/>
            </w14:solidFill>
          </w14:textFill>
        </w:rPr>
      </w:pPr>
      <w:r>
        <w:rPr>
          <w:rFonts w:ascii="宋体" w:hAnsi="宋体" w:eastAsia="宋体" w:cs="宋体"/>
          <w:bCs w:val="0"/>
          <w:color w:val="000000" w:themeColor="text1"/>
          <w:sz w:val="24"/>
          <w:szCs w:val="24"/>
          <w:highlight w:val="none"/>
          <w14:textFill>
            <w14:solidFill>
              <w14:schemeClr w14:val="tx1"/>
            </w14:solidFill>
          </w14:textFill>
        </w:rPr>
        <w:t>1.3</w:t>
      </w:r>
      <w:r>
        <w:rPr>
          <w:rFonts w:hint="eastAsia" w:ascii="宋体" w:hAnsi="宋体" w:eastAsia="宋体" w:cs="宋体"/>
          <w:bCs w:val="0"/>
          <w:color w:val="000000" w:themeColor="text1"/>
          <w:sz w:val="24"/>
          <w:szCs w:val="24"/>
          <w:highlight w:val="none"/>
          <w14:textFill>
            <w14:solidFill>
              <w14:schemeClr w14:val="tx1"/>
            </w14:solidFill>
          </w14:textFill>
        </w:rPr>
        <w:t xml:space="preserve"> 限额设计</w:t>
      </w:r>
    </w:p>
    <w:p w14:paraId="4831A41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1.3.1</w:t>
      </w:r>
      <w:r>
        <w:rPr>
          <w:rFonts w:hint="eastAsia" w:ascii="宋体" w:hAnsi="宋体" w:eastAsia="宋体" w:cs="宋体"/>
          <w:color w:val="000000" w:themeColor="text1"/>
          <w:sz w:val="24"/>
          <w:szCs w:val="24"/>
          <w:highlight w:val="none"/>
          <w14:textFill>
            <w14:solidFill>
              <w14:schemeClr w14:val="tx1"/>
            </w14:solidFill>
          </w14:textFill>
        </w:rPr>
        <w:t>限额设计是投资控制的有效手段，应将节约投资和科学设计有机结合，既保证工程质量又有效控制工程造价。</w:t>
      </w:r>
    </w:p>
    <w:p w14:paraId="33705E4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1.3.2</w:t>
      </w:r>
      <w:r>
        <w:rPr>
          <w:rFonts w:hint="eastAsia" w:ascii="宋体" w:hAnsi="宋体" w:eastAsia="宋体" w:cs="宋体"/>
          <w:color w:val="000000" w:themeColor="text1"/>
          <w:sz w:val="24"/>
          <w:szCs w:val="24"/>
          <w:highlight w:val="none"/>
          <w14:textFill>
            <w14:solidFill>
              <w14:schemeClr w14:val="tx1"/>
            </w14:solidFill>
          </w14:textFill>
        </w:rPr>
        <w:t>本项目采用造价限额设计：具体造价限额待概算审定后，以批复金额及合同约定为准。</w:t>
      </w:r>
    </w:p>
    <w:p w14:paraId="78DD501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1.3.3</w:t>
      </w:r>
      <w:r>
        <w:rPr>
          <w:rFonts w:hint="eastAsia" w:ascii="宋体" w:hAnsi="宋体" w:eastAsia="宋体" w:cs="宋体"/>
          <w:color w:val="000000" w:themeColor="text1"/>
          <w:sz w:val="24"/>
          <w:szCs w:val="24"/>
          <w:highlight w:val="none"/>
          <w14:textFill>
            <w14:solidFill>
              <w14:schemeClr w14:val="tx1"/>
            </w14:solidFill>
          </w14:textFill>
        </w:rPr>
        <w:t>应在限额设计范围内，要求依据建设和技术资料合理选择、运用技术经济多方案比选等技术手段，科学分析、系统考虑，不断优化设计方案，确保工程质量，严格控制成本造价，降低项目总投资。</w:t>
      </w:r>
    </w:p>
    <w:p w14:paraId="5D563FB8">
      <w:pPr>
        <w:widowControl/>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50D76D0E">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九、设计成果提交要求</w:t>
      </w:r>
    </w:p>
    <w:p w14:paraId="737F8B8C">
      <w:pPr>
        <w:widowControl/>
        <w:adjustRightInd w:val="0"/>
        <w:spacing w:before="0" w:after="0" w:line="360" w:lineRule="auto"/>
        <w:ind w:firstLine="480" w:firstLineChars="200"/>
        <w:jc w:val="both"/>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1</w:t>
      </w:r>
      <w:r>
        <w:rPr>
          <w:rFonts w:ascii="宋体" w:hAnsi="宋体" w:eastAsia="宋体" w:cs="宋体"/>
          <w:snapToGrid w:val="0"/>
          <w:color w:val="000000" w:themeColor="text1"/>
          <w:sz w:val="24"/>
          <w:szCs w:val="24"/>
          <w:highlight w:val="none"/>
          <w14:textFill>
            <w14:solidFill>
              <w14:schemeClr w14:val="tx1"/>
            </w14:solidFill>
          </w14:textFill>
        </w:rPr>
        <w:t>.</w:t>
      </w:r>
      <w:r>
        <w:rPr>
          <w:rFonts w:hint="eastAsia" w:ascii="宋体" w:hAnsi="宋体" w:eastAsia="宋体" w:cs="宋体"/>
          <w:snapToGrid w:val="0"/>
          <w:color w:val="000000" w:themeColor="text1"/>
          <w:sz w:val="24"/>
          <w:szCs w:val="24"/>
          <w:highlight w:val="none"/>
          <w14:textFill>
            <w14:solidFill>
              <w14:schemeClr w14:val="tx1"/>
            </w14:solidFill>
          </w14:textFill>
        </w:rPr>
        <w:t>承包人提交的设计成果文件应满足合同约定的时间要求；相关设计成果文件的质量须一次性通过甲方或甲方委托的第三方根据合同约定标准进行的审核。承包人设计成果文件的提交时间以符合合同约定质量的设计成果文件的提交时间为准。设计成果文件提交的时间及套数如下：</w:t>
      </w:r>
    </w:p>
    <w:p w14:paraId="7F19756A">
      <w:pPr>
        <w:ind w:firstLine="480"/>
        <w:jc w:val="cente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 xml:space="preserve"> 设计成果提交时间表</w:t>
      </w:r>
    </w:p>
    <w:tbl>
      <w:tblPr>
        <w:tblStyle w:val="42"/>
        <w:tblW w:w="8429" w:type="dxa"/>
        <w:tblInd w:w="91" w:type="dxa"/>
        <w:tblLayout w:type="fixed"/>
        <w:tblCellMar>
          <w:top w:w="0" w:type="dxa"/>
          <w:left w:w="108" w:type="dxa"/>
          <w:bottom w:w="0" w:type="dxa"/>
          <w:right w:w="108" w:type="dxa"/>
        </w:tblCellMar>
      </w:tblPr>
      <w:tblGrid>
        <w:gridCol w:w="735"/>
        <w:gridCol w:w="2447"/>
        <w:gridCol w:w="1110"/>
        <w:gridCol w:w="1483"/>
        <w:gridCol w:w="900"/>
        <w:gridCol w:w="1754"/>
      </w:tblGrid>
      <w:tr w14:paraId="72CD8481">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0EBA5195">
            <w:pPr>
              <w:widowControl/>
              <w:adjustRightInd w:val="0"/>
              <w:jc w:val="center"/>
              <w:rPr>
                <w:rFonts w:hint="eastAsia" w:ascii="宋体" w:hAnsi="宋体" w:eastAsia="宋体" w:cs="宋体"/>
                <w:b/>
                <w:bCs/>
                <w:snapToGrid w:val="0"/>
                <w:color w:val="000000" w:themeColor="text1"/>
                <w:sz w:val="24"/>
                <w:szCs w:val="24"/>
                <w:highlight w:val="none"/>
                <w14:textFill>
                  <w14:solidFill>
                    <w14:schemeClr w14:val="tx1"/>
                  </w14:solidFill>
                </w14:textFill>
              </w:rPr>
            </w:pPr>
            <w:r>
              <w:rPr>
                <w:rFonts w:hint="eastAsia" w:ascii="宋体" w:hAnsi="宋体" w:eastAsia="宋体" w:cs="宋体"/>
                <w:b/>
                <w:bCs/>
                <w:snapToGrid w:val="0"/>
                <w:color w:val="000000" w:themeColor="text1"/>
                <w:sz w:val="24"/>
                <w:szCs w:val="24"/>
                <w:highlight w:val="none"/>
                <w14:textFill>
                  <w14:solidFill>
                    <w14:schemeClr w14:val="tx1"/>
                  </w14:solidFill>
                </w14:textFill>
              </w:rPr>
              <w:t>序号</w:t>
            </w:r>
          </w:p>
        </w:tc>
        <w:tc>
          <w:tcPr>
            <w:tcW w:w="3557" w:type="dxa"/>
            <w:gridSpan w:val="2"/>
            <w:tcBorders>
              <w:top w:val="single" w:color="auto" w:sz="4" w:space="0"/>
              <w:left w:val="nil"/>
              <w:bottom w:val="single" w:color="auto" w:sz="4" w:space="0"/>
              <w:right w:val="single" w:color="auto" w:sz="4" w:space="0"/>
            </w:tcBorders>
            <w:vAlign w:val="center"/>
          </w:tcPr>
          <w:p w14:paraId="1CD86E2A">
            <w:pPr>
              <w:widowControl/>
              <w:adjustRightInd w:val="0"/>
              <w:jc w:val="center"/>
              <w:rPr>
                <w:rFonts w:hint="eastAsia" w:ascii="宋体" w:hAnsi="宋体" w:eastAsia="宋体" w:cs="宋体"/>
                <w:b/>
                <w:bCs/>
                <w:snapToGrid w:val="0"/>
                <w:color w:val="000000" w:themeColor="text1"/>
                <w:sz w:val="24"/>
                <w:szCs w:val="24"/>
                <w:highlight w:val="none"/>
                <w14:textFill>
                  <w14:solidFill>
                    <w14:schemeClr w14:val="tx1"/>
                  </w14:solidFill>
                </w14:textFill>
              </w:rPr>
            </w:pPr>
            <w:r>
              <w:rPr>
                <w:rFonts w:hint="eastAsia" w:ascii="宋体" w:hAnsi="宋体" w:eastAsia="宋体" w:cs="宋体"/>
                <w:b/>
                <w:bCs/>
                <w:snapToGrid w:val="0"/>
                <w:color w:val="000000" w:themeColor="text1"/>
                <w:sz w:val="24"/>
                <w:szCs w:val="24"/>
                <w:highlight w:val="none"/>
                <w14:textFill>
                  <w14:solidFill>
                    <w14:schemeClr w14:val="tx1"/>
                  </w14:solidFill>
                </w14:textFill>
              </w:rPr>
              <w:t>资料及文件名称</w:t>
            </w:r>
          </w:p>
        </w:tc>
        <w:tc>
          <w:tcPr>
            <w:tcW w:w="1483" w:type="dxa"/>
            <w:tcBorders>
              <w:top w:val="single" w:color="auto" w:sz="4" w:space="0"/>
              <w:left w:val="nil"/>
              <w:bottom w:val="single" w:color="auto" w:sz="4" w:space="0"/>
              <w:right w:val="single" w:color="auto" w:sz="4" w:space="0"/>
            </w:tcBorders>
            <w:vAlign w:val="center"/>
          </w:tcPr>
          <w:p w14:paraId="3606FB1A">
            <w:pPr>
              <w:widowControl/>
              <w:adjustRightInd w:val="0"/>
              <w:jc w:val="center"/>
              <w:rPr>
                <w:rFonts w:hint="eastAsia" w:ascii="宋体" w:hAnsi="宋体" w:eastAsia="宋体" w:cs="宋体"/>
                <w:b/>
                <w:bCs/>
                <w:snapToGrid w:val="0"/>
                <w:color w:val="000000" w:themeColor="text1"/>
                <w:sz w:val="24"/>
                <w:szCs w:val="24"/>
                <w:highlight w:val="none"/>
                <w14:textFill>
                  <w14:solidFill>
                    <w14:schemeClr w14:val="tx1"/>
                  </w14:solidFill>
                </w14:textFill>
              </w:rPr>
            </w:pPr>
            <w:r>
              <w:rPr>
                <w:rFonts w:hint="eastAsia" w:ascii="宋体" w:hAnsi="宋体" w:eastAsia="宋体" w:cs="宋体"/>
                <w:b/>
                <w:bCs/>
                <w:snapToGrid w:val="0"/>
                <w:color w:val="000000" w:themeColor="text1"/>
                <w:sz w:val="24"/>
                <w:szCs w:val="24"/>
                <w:highlight w:val="none"/>
                <w14:textFill>
                  <w14:solidFill>
                    <w14:schemeClr w14:val="tx1"/>
                  </w14:solidFill>
                </w14:textFill>
              </w:rPr>
              <w:t>提交日期</w:t>
            </w:r>
          </w:p>
        </w:tc>
        <w:tc>
          <w:tcPr>
            <w:tcW w:w="900" w:type="dxa"/>
            <w:tcBorders>
              <w:top w:val="single" w:color="auto" w:sz="4" w:space="0"/>
              <w:left w:val="nil"/>
              <w:bottom w:val="single" w:color="auto" w:sz="4" w:space="0"/>
              <w:right w:val="single" w:color="auto" w:sz="4" w:space="0"/>
            </w:tcBorders>
            <w:vAlign w:val="center"/>
          </w:tcPr>
          <w:p w14:paraId="44DBF6FA">
            <w:pPr>
              <w:widowControl/>
              <w:adjustRightInd w:val="0"/>
              <w:jc w:val="center"/>
              <w:rPr>
                <w:rFonts w:hint="eastAsia" w:ascii="宋体" w:hAnsi="宋体" w:eastAsia="宋体" w:cs="宋体"/>
                <w:b/>
                <w:bCs/>
                <w:snapToGrid w:val="0"/>
                <w:color w:val="000000" w:themeColor="text1"/>
                <w:sz w:val="24"/>
                <w:szCs w:val="24"/>
                <w:highlight w:val="none"/>
                <w14:textFill>
                  <w14:solidFill>
                    <w14:schemeClr w14:val="tx1"/>
                  </w14:solidFill>
                </w14:textFill>
              </w:rPr>
            </w:pPr>
            <w:r>
              <w:rPr>
                <w:rFonts w:hint="eastAsia" w:ascii="宋体" w:hAnsi="宋体" w:eastAsia="宋体" w:cs="宋体"/>
                <w:b/>
                <w:bCs/>
                <w:snapToGrid w:val="0"/>
                <w:color w:val="000000" w:themeColor="text1"/>
                <w:sz w:val="24"/>
                <w:szCs w:val="24"/>
                <w:highlight w:val="none"/>
                <w14:textFill>
                  <w14:solidFill>
                    <w14:schemeClr w14:val="tx1"/>
                  </w14:solidFill>
                </w14:textFill>
              </w:rPr>
              <w:t>套数</w:t>
            </w:r>
          </w:p>
        </w:tc>
        <w:tc>
          <w:tcPr>
            <w:tcW w:w="1754" w:type="dxa"/>
            <w:tcBorders>
              <w:top w:val="single" w:color="auto" w:sz="4" w:space="0"/>
              <w:left w:val="nil"/>
              <w:bottom w:val="single" w:color="auto" w:sz="4" w:space="0"/>
              <w:right w:val="single" w:color="auto" w:sz="4" w:space="0"/>
            </w:tcBorders>
            <w:vAlign w:val="center"/>
          </w:tcPr>
          <w:p w14:paraId="459EA931">
            <w:pPr>
              <w:widowControl/>
              <w:adjustRightInd w:val="0"/>
              <w:jc w:val="center"/>
              <w:rPr>
                <w:rFonts w:hint="eastAsia" w:ascii="宋体" w:hAnsi="宋体" w:eastAsia="宋体" w:cs="宋体"/>
                <w:b/>
                <w:bCs/>
                <w:snapToGrid w:val="0"/>
                <w:color w:val="000000" w:themeColor="text1"/>
                <w:sz w:val="24"/>
                <w:szCs w:val="24"/>
                <w:highlight w:val="none"/>
                <w14:textFill>
                  <w14:solidFill>
                    <w14:schemeClr w14:val="tx1"/>
                  </w14:solidFill>
                </w14:textFill>
              </w:rPr>
            </w:pPr>
            <w:r>
              <w:rPr>
                <w:rFonts w:hint="eastAsia" w:ascii="宋体" w:hAnsi="宋体" w:eastAsia="宋体" w:cs="宋体"/>
                <w:b/>
                <w:bCs/>
                <w:snapToGrid w:val="0"/>
                <w:color w:val="000000" w:themeColor="text1"/>
                <w:sz w:val="24"/>
                <w:szCs w:val="24"/>
                <w:highlight w:val="none"/>
                <w14:textFill>
                  <w14:solidFill>
                    <w14:schemeClr w14:val="tx1"/>
                  </w14:solidFill>
                </w14:textFill>
              </w:rPr>
              <w:t>备注</w:t>
            </w:r>
          </w:p>
        </w:tc>
      </w:tr>
      <w:tr w14:paraId="45BF175C">
        <w:tblPrEx>
          <w:tblCellMar>
            <w:top w:w="0" w:type="dxa"/>
            <w:left w:w="108" w:type="dxa"/>
            <w:bottom w:w="0" w:type="dxa"/>
            <w:right w:w="108" w:type="dxa"/>
          </w:tblCellMar>
        </w:tblPrEx>
        <w:trPr>
          <w:trHeight w:val="23" w:hRule="atLeast"/>
        </w:trPr>
        <w:tc>
          <w:tcPr>
            <w:tcW w:w="735" w:type="dxa"/>
            <w:vMerge w:val="restart"/>
            <w:tcBorders>
              <w:top w:val="single" w:color="auto" w:sz="4" w:space="0"/>
              <w:left w:val="single" w:color="auto" w:sz="4" w:space="0"/>
              <w:bottom w:val="single" w:color="auto" w:sz="4" w:space="0"/>
              <w:right w:val="single" w:color="auto" w:sz="4" w:space="0"/>
            </w:tcBorders>
            <w:vAlign w:val="center"/>
          </w:tcPr>
          <w:p w14:paraId="5161428C">
            <w:pPr>
              <w:widowControl/>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1</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1B42CE1A">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施工图（按施工图审查单位审查意见修改并审批通过的，包括主要材料设备清单、技术规范要求等文件）</w:t>
            </w:r>
          </w:p>
        </w:tc>
        <w:tc>
          <w:tcPr>
            <w:tcW w:w="1110" w:type="dxa"/>
            <w:tcBorders>
              <w:top w:val="single" w:color="auto" w:sz="4" w:space="0"/>
              <w:left w:val="single" w:color="auto" w:sz="4" w:space="0"/>
              <w:bottom w:val="single" w:color="auto" w:sz="4" w:space="0"/>
              <w:right w:val="single" w:color="auto" w:sz="4" w:space="0"/>
            </w:tcBorders>
            <w:vAlign w:val="center"/>
          </w:tcPr>
          <w:p w14:paraId="6CE97BBB">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施工报建的成果文件</w:t>
            </w:r>
          </w:p>
        </w:tc>
        <w:tc>
          <w:tcPr>
            <w:tcW w:w="1483" w:type="dxa"/>
            <w:vMerge w:val="restart"/>
            <w:tcBorders>
              <w:top w:val="single" w:color="auto" w:sz="4" w:space="0"/>
              <w:left w:val="single" w:color="auto" w:sz="4" w:space="0"/>
              <w:bottom w:val="single" w:color="auto" w:sz="4" w:space="0"/>
              <w:right w:val="single" w:color="auto" w:sz="4" w:space="0"/>
            </w:tcBorders>
            <w:vAlign w:val="center"/>
          </w:tcPr>
          <w:p w14:paraId="543CAF4A">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900" w:type="dxa"/>
            <w:tcBorders>
              <w:top w:val="single" w:color="auto" w:sz="4" w:space="0"/>
              <w:left w:val="single" w:color="auto" w:sz="4" w:space="0"/>
              <w:bottom w:val="single" w:color="auto" w:sz="4" w:space="0"/>
              <w:right w:val="single" w:color="auto" w:sz="4" w:space="0"/>
            </w:tcBorders>
            <w:vAlign w:val="center"/>
          </w:tcPr>
          <w:p w14:paraId="371D9B8D">
            <w:pPr>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4</w:t>
            </w:r>
          </w:p>
        </w:tc>
        <w:tc>
          <w:tcPr>
            <w:tcW w:w="1754" w:type="dxa"/>
            <w:tcBorders>
              <w:top w:val="single" w:color="auto" w:sz="4" w:space="0"/>
              <w:left w:val="single" w:color="auto" w:sz="4" w:space="0"/>
              <w:bottom w:val="single" w:color="auto" w:sz="4" w:space="0"/>
              <w:right w:val="single" w:color="auto" w:sz="4" w:space="0"/>
            </w:tcBorders>
            <w:vAlign w:val="center"/>
          </w:tcPr>
          <w:p w14:paraId="05E538C2">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电子文档光盘2套</w:t>
            </w:r>
          </w:p>
        </w:tc>
      </w:tr>
      <w:tr w14:paraId="4FA0645B">
        <w:tblPrEx>
          <w:tblCellMar>
            <w:top w:w="0" w:type="dxa"/>
            <w:left w:w="108" w:type="dxa"/>
            <w:bottom w:w="0" w:type="dxa"/>
            <w:right w:w="108" w:type="dxa"/>
          </w:tblCellMar>
        </w:tblPrEx>
        <w:trPr>
          <w:trHeight w:val="23" w:hRule="atLeast"/>
        </w:trPr>
        <w:tc>
          <w:tcPr>
            <w:tcW w:w="735" w:type="dxa"/>
            <w:vMerge w:val="continue"/>
            <w:tcBorders>
              <w:top w:val="single" w:color="auto" w:sz="4" w:space="0"/>
              <w:left w:val="single" w:color="auto" w:sz="4" w:space="0"/>
              <w:bottom w:val="single" w:color="auto" w:sz="4" w:space="0"/>
              <w:right w:val="single" w:color="auto" w:sz="4" w:space="0"/>
            </w:tcBorders>
            <w:vAlign w:val="center"/>
          </w:tcPr>
          <w:p w14:paraId="4EEFF6B1">
            <w:pPr>
              <w:widowControl/>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66D7CF12">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1110" w:type="dxa"/>
            <w:tcBorders>
              <w:top w:val="single" w:color="auto" w:sz="4" w:space="0"/>
              <w:left w:val="nil"/>
              <w:bottom w:val="single" w:color="auto" w:sz="4" w:space="0"/>
              <w:right w:val="single" w:color="auto" w:sz="4" w:space="0"/>
            </w:tcBorders>
            <w:vAlign w:val="center"/>
          </w:tcPr>
          <w:p w14:paraId="002FDF87">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施工图</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479EE66E">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900" w:type="dxa"/>
            <w:tcBorders>
              <w:top w:val="single" w:color="auto" w:sz="4" w:space="0"/>
              <w:left w:val="single" w:color="auto" w:sz="4" w:space="0"/>
              <w:bottom w:val="single" w:color="auto" w:sz="4" w:space="0"/>
              <w:right w:val="single" w:color="auto" w:sz="4" w:space="0"/>
            </w:tcBorders>
            <w:vAlign w:val="center"/>
          </w:tcPr>
          <w:p w14:paraId="35FAE022">
            <w:pPr>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30</w:t>
            </w:r>
          </w:p>
        </w:tc>
        <w:tc>
          <w:tcPr>
            <w:tcW w:w="1754" w:type="dxa"/>
            <w:tcBorders>
              <w:top w:val="single" w:color="auto" w:sz="4" w:space="0"/>
              <w:left w:val="single" w:color="auto" w:sz="4" w:space="0"/>
              <w:bottom w:val="single" w:color="auto" w:sz="4" w:space="0"/>
              <w:right w:val="single" w:color="auto" w:sz="4" w:space="0"/>
            </w:tcBorders>
            <w:vAlign w:val="center"/>
          </w:tcPr>
          <w:p w14:paraId="747535DD">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对各专项设计进行</w:t>
            </w:r>
            <w:r>
              <w:rPr>
                <w:rFonts w:hint="eastAsia" w:ascii="宋体" w:hAnsi="宋体" w:eastAsia="宋体" w:cs="宋体"/>
                <w:snapToGrid w:val="0"/>
                <w:color w:val="000000" w:themeColor="text1"/>
                <w:sz w:val="24"/>
                <w:szCs w:val="24"/>
                <w:highlight w:val="none"/>
                <w:u w:val="single"/>
                <w14:textFill>
                  <w14:solidFill>
                    <w14:schemeClr w14:val="tx1"/>
                  </w14:solidFill>
                </w14:textFill>
              </w:rPr>
              <w:t>总协调</w:t>
            </w:r>
            <w:r>
              <w:rPr>
                <w:rFonts w:hint="eastAsia" w:ascii="宋体" w:hAnsi="宋体" w:eastAsia="宋体" w:cs="宋体"/>
                <w:snapToGrid w:val="0"/>
                <w:color w:val="000000" w:themeColor="text1"/>
                <w:sz w:val="24"/>
                <w:szCs w:val="24"/>
                <w:highlight w:val="none"/>
                <w14:textFill>
                  <w14:solidFill>
                    <w14:schemeClr w14:val="tx1"/>
                  </w14:solidFill>
                </w14:textFill>
              </w:rPr>
              <w:t>后的设计成果文件，同时提交</w:t>
            </w:r>
            <w:r>
              <w:rPr>
                <w:rFonts w:hint="eastAsia" w:ascii="宋体" w:hAnsi="宋体" w:eastAsia="宋体" w:cs="宋体"/>
                <w:color w:val="000000" w:themeColor="text1"/>
                <w:sz w:val="24"/>
                <w:szCs w:val="24"/>
                <w:highlight w:val="none"/>
                <w14:textFill>
                  <w14:solidFill>
                    <w14:schemeClr w14:val="tx1"/>
                  </w14:solidFill>
                </w14:textFill>
              </w:rPr>
              <w:t>电子文档光盘2套</w:t>
            </w:r>
          </w:p>
        </w:tc>
      </w:tr>
      <w:tr w14:paraId="268E1F63">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5736E7AD">
            <w:pPr>
              <w:widowControl/>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2</w:t>
            </w:r>
          </w:p>
        </w:tc>
        <w:tc>
          <w:tcPr>
            <w:tcW w:w="3557" w:type="dxa"/>
            <w:gridSpan w:val="2"/>
            <w:tcBorders>
              <w:top w:val="single" w:color="auto" w:sz="4" w:space="0"/>
              <w:left w:val="single" w:color="auto" w:sz="4" w:space="0"/>
              <w:bottom w:val="single" w:color="auto" w:sz="4" w:space="0"/>
              <w:right w:val="single" w:color="auto" w:sz="4" w:space="0"/>
            </w:tcBorders>
            <w:vAlign w:val="center"/>
          </w:tcPr>
          <w:p w14:paraId="7062B1E9">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施工图预算</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15501E39">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900" w:type="dxa"/>
            <w:tcBorders>
              <w:top w:val="single" w:color="auto" w:sz="4" w:space="0"/>
              <w:left w:val="single" w:color="auto" w:sz="4" w:space="0"/>
              <w:bottom w:val="single" w:color="auto" w:sz="4" w:space="0"/>
              <w:right w:val="single" w:color="auto" w:sz="4" w:space="0"/>
            </w:tcBorders>
            <w:vAlign w:val="center"/>
          </w:tcPr>
          <w:p w14:paraId="3DA43DCF">
            <w:pPr>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10</w:t>
            </w:r>
          </w:p>
        </w:tc>
        <w:tc>
          <w:tcPr>
            <w:tcW w:w="1754" w:type="dxa"/>
            <w:tcBorders>
              <w:top w:val="single" w:color="auto" w:sz="4" w:space="0"/>
              <w:left w:val="single" w:color="auto" w:sz="4" w:space="0"/>
              <w:bottom w:val="single" w:color="auto" w:sz="4" w:space="0"/>
              <w:right w:val="single" w:color="auto" w:sz="4" w:space="0"/>
            </w:tcBorders>
            <w:vAlign w:val="center"/>
          </w:tcPr>
          <w:p w14:paraId="60E40484">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电子文档2套</w:t>
            </w:r>
          </w:p>
        </w:tc>
      </w:tr>
      <w:tr w14:paraId="023F2CD8">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3556CDDD">
            <w:pPr>
              <w:widowControl/>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3</w:t>
            </w:r>
          </w:p>
        </w:tc>
        <w:tc>
          <w:tcPr>
            <w:tcW w:w="3557" w:type="dxa"/>
            <w:gridSpan w:val="2"/>
            <w:tcBorders>
              <w:top w:val="single" w:color="auto" w:sz="4" w:space="0"/>
              <w:left w:val="single" w:color="auto" w:sz="4" w:space="0"/>
              <w:bottom w:val="single" w:color="auto" w:sz="4" w:space="0"/>
              <w:right w:val="single" w:color="auto" w:sz="4" w:space="0"/>
            </w:tcBorders>
            <w:vAlign w:val="center"/>
          </w:tcPr>
          <w:p w14:paraId="5E247A44">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竣工图</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38735A85">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900" w:type="dxa"/>
            <w:tcBorders>
              <w:top w:val="single" w:color="auto" w:sz="4" w:space="0"/>
              <w:left w:val="single" w:color="auto" w:sz="4" w:space="0"/>
              <w:bottom w:val="single" w:color="auto" w:sz="4" w:space="0"/>
              <w:right w:val="single" w:color="auto" w:sz="4" w:space="0"/>
            </w:tcBorders>
            <w:vAlign w:val="center"/>
          </w:tcPr>
          <w:p w14:paraId="3C6475A9">
            <w:pPr>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8</w:t>
            </w:r>
          </w:p>
        </w:tc>
        <w:tc>
          <w:tcPr>
            <w:tcW w:w="1754" w:type="dxa"/>
            <w:tcBorders>
              <w:top w:val="single" w:color="auto" w:sz="4" w:space="0"/>
              <w:left w:val="single" w:color="auto" w:sz="4" w:space="0"/>
              <w:bottom w:val="single" w:color="auto" w:sz="4" w:space="0"/>
              <w:right w:val="single" w:color="auto" w:sz="4" w:space="0"/>
            </w:tcBorders>
            <w:vAlign w:val="center"/>
          </w:tcPr>
          <w:p w14:paraId="7502A9F6">
            <w:pPr>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电子文档2套</w:t>
            </w:r>
          </w:p>
        </w:tc>
      </w:tr>
      <w:tr w14:paraId="0759ECDF">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4CA8124A">
            <w:pPr>
              <w:widowControl/>
              <w:adjustRightInd w:val="0"/>
              <w:jc w:val="center"/>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4</w:t>
            </w:r>
          </w:p>
        </w:tc>
        <w:tc>
          <w:tcPr>
            <w:tcW w:w="3557" w:type="dxa"/>
            <w:gridSpan w:val="2"/>
            <w:tcBorders>
              <w:top w:val="single" w:color="auto" w:sz="4" w:space="0"/>
              <w:left w:val="nil"/>
              <w:bottom w:val="single" w:color="auto" w:sz="4" w:space="0"/>
              <w:right w:val="single" w:color="auto" w:sz="4" w:space="0"/>
            </w:tcBorders>
            <w:vAlign w:val="center"/>
          </w:tcPr>
          <w:p w14:paraId="66D28716">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snapToGrid w:val="0"/>
                <w:color w:val="000000" w:themeColor="text1"/>
                <w:sz w:val="24"/>
                <w:szCs w:val="24"/>
                <w:highlight w:val="none"/>
                <w14:textFill>
                  <w14:solidFill>
                    <w14:schemeClr w14:val="tx1"/>
                  </w14:solidFill>
                </w14:textFill>
              </w:rPr>
              <w:t>其他设计文件</w:t>
            </w:r>
          </w:p>
        </w:tc>
        <w:tc>
          <w:tcPr>
            <w:tcW w:w="1483" w:type="dxa"/>
            <w:vMerge w:val="continue"/>
            <w:tcBorders>
              <w:top w:val="single" w:color="auto" w:sz="4" w:space="0"/>
              <w:left w:val="nil"/>
              <w:bottom w:val="single" w:color="auto" w:sz="4" w:space="0"/>
              <w:right w:val="single" w:color="auto" w:sz="4" w:space="0"/>
            </w:tcBorders>
            <w:vAlign w:val="center"/>
          </w:tcPr>
          <w:p w14:paraId="35953E8B">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c>
          <w:tcPr>
            <w:tcW w:w="900" w:type="dxa"/>
            <w:tcBorders>
              <w:top w:val="single" w:color="auto" w:sz="4" w:space="0"/>
              <w:left w:val="nil"/>
              <w:bottom w:val="single" w:color="auto" w:sz="4" w:space="0"/>
              <w:right w:val="single" w:color="auto" w:sz="4" w:space="0"/>
            </w:tcBorders>
            <w:vAlign w:val="center"/>
          </w:tcPr>
          <w:p w14:paraId="398D3563">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按甲方要求</w:t>
            </w:r>
          </w:p>
        </w:tc>
        <w:tc>
          <w:tcPr>
            <w:tcW w:w="1754" w:type="dxa"/>
            <w:tcBorders>
              <w:top w:val="single" w:color="auto" w:sz="4" w:space="0"/>
              <w:left w:val="nil"/>
              <w:bottom w:val="single" w:color="auto" w:sz="4" w:space="0"/>
              <w:right w:val="single" w:color="auto" w:sz="4" w:space="0"/>
            </w:tcBorders>
            <w:vAlign w:val="center"/>
          </w:tcPr>
          <w:p w14:paraId="7945D71A">
            <w:pPr>
              <w:widowControl/>
              <w:adjustRightInd w:val="0"/>
              <w:rPr>
                <w:rFonts w:hint="eastAsia" w:ascii="宋体" w:hAnsi="宋体" w:eastAsia="宋体" w:cs="宋体"/>
                <w:snapToGrid w:val="0"/>
                <w:color w:val="000000" w:themeColor="text1"/>
                <w:sz w:val="24"/>
                <w:szCs w:val="24"/>
                <w:highlight w:val="none"/>
                <w14:textFill>
                  <w14:solidFill>
                    <w14:schemeClr w14:val="tx1"/>
                  </w14:solidFill>
                </w14:textFill>
              </w:rPr>
            </w:pPr>
          </w:p>
        </w:tc>
      </w:tr>
    </w:tbl>
    <w:p w14:paraId="1FE0D432">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2.</w:t>
      </w:r>
      <w:r>
        <w:rPr>
          <w:rFonts w:hint="eastAsia" w:ascii="宋体" w:hAnsi="宋体" w:eastAsia="宋体" w:cs="宋体"/>
          <w:bCs/>
          <w:snapToGrid w:val="0"/>
          <w:color w:val="000000" w:themeColor="text1"/>
          <w:sz w:val="24"/>
          <w:szCs w:val="24"/>
          <w:highlight w:val="none"/>
          <w14:textFill>
            <w14:solidFill>
              <w14:schemeClr w14:val="tx1"/>
            </w14:solidFill>
          </w14:textFill>
        </w:rPr>
        <w:t>承包人必须按照经过甲方审批确定的设计进度计划及时提交设计中间资料，以满足发包人开展有关工作的需要，有关费用已包含在本合同约定的设计费用之内。</w:t>
      </w:r>
    </w:p>
    <w:p w14:paraId="0F3949F3">
      <w:pPr>
        <w:adjustRightInd w:val="0"/>
        <w:spacing w:line="360" w:lineRule="auto"/>
        <w:ind w:firstLine="480" w:firstLineChars="200"/>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3.</w:t>
      </w:r>
      <w:r>
        <w:rPr>
          <w:rFonts w:hint="eastAsia" w:ascii="宋体" w:hAnsi="宋体" w:eastAsia="宋体" w:cs="宋体"/>
          <w:bCs/>
          <w:snapToGrid w:val="0"/>
          <w:color w:val="000000" w:themeColor="text1"/>
          <w:sz w:val="24"/>
          <w:szCs w:val="24"/>
          <w:highlight w:val="none"/>
          <w14:textFill>
            <w14:solidFill>
              <w14:schemeClr w14:val="tx1"/>
            </w14:solidFill>
          </w14:textFill>
        </w:rPr>
        <w:t>承包人向甲方提交的各版次设计成果文件应满足勘察设计文件审批的要求及本工程各阶段建设的需要。</w:t>
      </w:r>
    </w:p>
    <w:p w14:paraId="23D6A334">
      <w:pPr>
        <w:adjustRightInd w:val="0"/>
        <w:spacing w:line="360" w:lineRule="auto"/>
        <w:ind w:firstLine="480" w:firstLineChars="200"/>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4.</w:t>
      </w:r>
      <w:r>
        <w:rPr>
          <w:rFonts w:hint="eastAsia" w:ascii="宋体" w:hAnsi="宋体" w:eastAsia="宋体" w:cs="宋体"/>
          <w:bCs/>
          <w:snapToGrid w:val="0"/>
          <w:color w:val="000000" w:themeColor="text1"/>
          <w:sz w:val="24"/>
          <w:szCs w:val="24"/>
          <w:highlight w:val="none"/>
          <w14:textFill>
            <w14:solidFill>
              <w14:schemeClr w14:val="tx1"/>
            </w14:solidFill>
          </w14:textFill>
        </w:rPr>
        <w:t>承包人按合同约定的时限将设计成果文件或资料交付至甲方指定的地点，相关费用（包括运输、邮寄、电传、关税等费用）已经含于设计费中。</w:t>
      </w:r>
    </w:p>
    <w:p w14:paraId="7C3FD701">
      <w:pPr>
        <w:adjustRightInd w:val="0"/>
        <w:spacing w:line="360" w:lineRule="auto"/>
        <w:ind w:firstLine="480" w:firstLineChars="200"/>
        <w:rPr>
          <w:rFonts w:hint="eastAsia" w:ascii="宋体" w:hAnsi="宋体" w:eastAsia="宋体" w:cs="宋体"/>
          <w:b/>
          <w:color w:val="000000" w:themeColor="text1"/>
          <w:kern w:val="44"/>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5.</w:t>
      </w:r>
      <w:r>
        <w:rPr>
          <w:rFonts w:hint="eastAsia" w:ascii="宋体" w:hAnsi="宋体" w:eastAsia="宋体" w:cs="宋体"/>
          <w:bCs/>
          <w:snapToGrid w:val="0"/>
          <w:color w:val="000000" w:themeColor="text1"/>
          <w:sz w:val="24"/>
          <w:szCs w:val="24"/>
          <w:highlight w:val="none"/>
          <w14:textFill>
            <w14:solidFill>
              <w14:schemeClr w14:val="tx1"/>
            </w14:solidFill>
          </w14:textFill>
        </w:rPr>
        <w:t>在报建过程中</w:t>
      </w:r>
      <w:r>
        <w:rPr>
          <w:rFonts w:hint="eastAsia" w:ascii="宋体" w:hAnsi="宋体" w:eastAsia="宋体" w:cs="宋体"/>
          <w:snapToGrid w:val="0"/>
          <w:color w:val="000000" w:themeColor="text1"/>
          <w:sz w:val="24"/>
          <w:szCs w:val="24"/>
          <w:highlight w:val="none"/>
          <w14:textFill>
            <w14:solidFill>
              <w14:schemeClr w14:val="tx1"/>
            </w14:solidFill>
          </w14:textFill>
        </w:rPr>
        <w:t>需要提供设计成果文件或设计中间资料的电子文档的，承包人应无偿提供。</w:t>
      </w:r>
      <w:r>
        <w:rPr>
          <w:rFonts w:hint="eastAsia" w:ascii="宋体" w:hAnsi="宋体" w:eastAsia="宋体" w:cs="宋体"/>
          <w:b/>
          <w:color w:val="000000" w:themeColor="text1"/>
          <w:kern w:val="44"/>
          <w:sz w:val="24"/>
          <w:szCs w:val="24"/>
          <w:highlight w:val="none"/>
          <w14:textFill>
            <w14:solidFill>
              <w14:schemeClr w14:val="tx1"/>
            </w14:solidFill>
          </w14:textFill>
        </w:rPr>
        <w:br w:type="page"/>
      </w:r>
    </w:p>
    <w:p w14:paraId="38284EC1">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十、设计工作管理要求</w:t>
      </w:r>
    </w:p>
    <w:p w14:paraId="7D6212A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须牵头成立设计管理部门，根据工期要求，编制总控计划及各专业专项工作计划（含设计、采购、报批、造价工作等），报批报建信息及计划一览表、设计技术问题沟通清单及应对措施一览表等，并统筹协同设计与施工，制定应对措施，确保项目目标的顺利实现。其具体工作职责包含以下主要内容：</w:t>
      </w:r>
    </w:p>
    <w:p w14:paraId="3672C15A">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1.</w:t>
      </w:r>
      <w:r>
        <w:rPr>
          <w:rFonts w:hint="eastAsia" w:ascii="宋体" w:hAnsi="宋体" w:eastAsia="宋体" w:cs="宋体"/>
          <w:bCs/>
          <w:snapToGrid w:val="0"/>
          <w:color w:val="000000" w:themeColor="text1"/>
          <w:sz w:val="24"/>
          <w:szCs w:val="24"/>
          <w:highlight w:val="none"/>
          <w14:textFill>
            <w14:solidFill>
              <w14:schemeClr w14:val="tx1"/>
            </w14:solidFill>
          </w14:textFill>
        </w:rPr>
        <w:t>编制设计管理大纲，内容包括：工作原则、团队的组织架构、工作分解、职责分工、工作流程、以及各阶段主要工作内容等；大纲应对项目设计全过程中的控制节点进行明确，存在风险进行分析，同时提出相应的对策和管理办法，确认设计管理范围，并完成《设计管理范围确认表》。</w:t>
      </w:r>
    </w:p>
    <w:p w14:paraId="6B705928">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2.</w:t>
      </w:r>
      <w:r>
        <w:rPr>
          <w:rFonts w:hint="eastAsia" w:ascii="宋体" w:hAnsi="宋体" w:eastAsia="宋体" w:cs="宋体"/>
          <w:bCs/>
          <w:snapToGrid w:val="0"/>
          <w:color w:val="000000" w:themeColor="text1"/>
          <w:sz w:val="24"/>
          <w:szCs w:val="24"/>
          <w:highlight w:val="none"/>
          <w14:textFill>
            <w14:solidFill>
              <w14:schemeClr w14:val="tx1"/>
            </w14:solidFill>
          </w14:textFill>
        </w:rPr>
        <w:t>熟悉合同/协议并进行整理归纳，了解项目各方的工作内容、职责与权利；明确发包人对设计工作的具体要求，如设计范围、设计深度、建设标准、功能定位、进度要求、造价控制等。</w:t>
      </w:r>
    </w:p>
    <w:p w14:paraId="50194DF7">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3</w:t>
      </w:r>
      <w:r>
        <w:rPr>
          <w:rFonts w:ascii="宋体" w:hAnsi="宋体" w:eastAsia="宋体" w:cs="宋体"/>
          <w:bCs/>
          <w:snapToGrid w:val="0"/>
          <w:color w:val="000000" w:themeColor="text1"/>
          <w:sz w:val="24"/>
          <w:szCs w:val="24"/>
          <w:highlight w:val="none"/>
          <w14:textFill>
            <w14:solidFill>
              <w14:schemeClr w14:val="tx1"/>
            </w14:solidFill>
          </w14:textFill>
        </w:rPr>
        <w:t>.</w:t>
      </w:r>
      <w:r>
        <w:rPr>
          <w:rFonts w:hint="eastAsia" w:ascii="宋体" w:hAnsi="宋体" w:eastAsia="宋体" w:cs="宋体"/>
          <w:bCs/>
          <w:snapToGrid w:val="0"/>
          <w:color w:val="000000" w:themeColor="text1"/>
          <w:sz w:val="24"/>
          <w:szCs w:val="24"/>
          <w:highlight w:val="none"/>
          <w14:textFill>
            <w14:solidFill>
              <w14:schemeClr w14:val="tx1"/>
            </w14:solidFill>
          </w14:textFill>
        </w:rPr>
        <w:t>召开设计启动会，分析项目背景与风险、进行合同交底、宣布《设计管理大纲》和进度要求等事宜。</w:t>
      </w:r>
    </w:p>
    <w:p w14:paraId="75D0CF13">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4.</w:t>
      </w:r>
      <w:r>
        <w:rPr>
          <w:rFonts w:hint="eastAsia" w:ascii="宋体" w:hAnsi="宋体" w:eastAsia="宋体" w:cs="宋体"/>
          <w:bCs/>
          <w:snapToGrid w:val="0"/>
          <w:color w:val="000000" w:themeColor="text1"/>
          <w:sz w:val="24"/>
          <w:szCs w:val="24"/>
          <w:highlight w:val="none"/>
          <w14:textFill>
            <w14:solidFill>
              <w14:schemeClr w14:val="tx1"/>
            </w14:solidFill>
          </w14:textFill>
        </w:rPr>
        <w:t>根据项目总进度计划编制设计总进度计划，并充分考虑政府职能部门及第三方设计咨询单位审查、专家评审，政府职能部门及规范要求的各项检测、监测、观测等影响，内容包括：施工图阶段进度计划、专项设计进度计划等，并根据阶段及项目需要，对各阶段、各项设计工作的进度计划进行拆分和细化，把控整体及分项设计工作进度。</w:t>
      </w:r>
    </w:p>
    <w:p w14:paraId="66A4FDA4">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5.</w:t>
      </w:r>
      <w:r>
        <w:rPr>
          <w:rFonts w:hint="eastAsia" w:ascii="宋体" w:hAnsi="宋体" w:eastAsia="宋体" w:cs="宋体"/>
          <w:bCs/>
          <w:snapToGrid w:val="0"/>
          <w:color w:val="000000" w:themeColor="text1"/>
          <w:sz w:val="24"/>
          <w:szCs w:val="24"/>
          <w:highlight w:val="none"/>
          <w14:textFill>
            <w14:solidFill>
              <w14:schemeClr w14:val="tx1"/>
            </w14:solidFill>
          </w14:textFill>
        </w:rPr>
        <w:t>根据计划，合理统筹项目所涉及的各专项、专业设计进度，专项、专业接口及控制点，并以设计为主导及核心，协同造价编制、报批报建、施工深化三方面同步开展工作，以落实方案效果、限额设计等目标。</w:t>
      </w:r>
    </w:p>
    <w:p w14:paraId="62A37297">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6.</w:t>
      </w:r>
      <w:r>
        <w:rPr>
          <w:rFonts w:hint="eastAsia" w:ascii="宋体" w:hAnsi="宋体" w:eastAsia="宋体" w:cs="宋体"/>
          <w:bCs/>
          <w:snapToGrid w:val="0"/>
          <w:color w:val="000000" w:themeColor="text1"/>
          <w:sz w:val="24"/>
          <w:szCs w:val="24"/>
          <w:highlight w:val="none"/>
          <w14:textFill>
            <w14:solidFill>
              <w14:schemeClr w14:val="tx1"/>
            </w14:solidFill>
          </w14:textFill>
        </w:rPr>
        <w:t>根据项目涉及的工作内容进行设计任务分解，主要包括但不限于：施工图设计、人防设计、基础加固与保护及地基处理设计、边坡与基坑支护设计等主体设计的设计内容详细划分；室内装修、弱电深化、景观绿化、消防深化、交通标识标线设计、标识导向系统设计等专业设计的设计内容详细划分；同时还包括市政及配套设施等设计内容的详细划分。</w:t>
      </w:r>
    </w:p>
    <w:p w14:paraId="336FE7EB">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7.</w:t>
      </w:r>
      <w:r>
        <w:rPr>
          <w:rFonts w:hint="eastAsia" w:ascii="宋体" w:hAnsi="宋体" w:eastAsia="宋体" w:cs="宋体"/>
          <w:bCs/>
          <w:snapToGrid w:val="0"/>
          <w:color w:val="000000" w:themeColor="text1"/>
          <w:sz w:val="24"/>
          <w:szCs w:val="24"/>
          <w:highlight w:val="none"/>
          <w14:textFill>
            <w14:solidFill>
              <w14:schemeClr w14:val="tx1"/>
            </w14:solidFill>
          </w14:textFill>
        </w:rPr>
        <w:t>完善设计输入条件；设计管理者应主动协助发包人收集各阶段设计输入资料，并及时交予设计团队；施工图阶段输入资料主要包括：施工图设计任务书、分包设计的相关设计参数。</w:t>
      </w:r>
    </w:p>
    <w:p w14:paraId="6720ECC6">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8.</w:t>
      </w:r>
      <w:r>
        <w:rPr>
          <w:rFonts w:hint="eastAsia" w:ascii="宋体" w:hAnsi="宋体" w:eastAsia="宋体" w:cs="宋体"/>
          <w:bCs/>
          <w:snapToGrid w:val="0"/>
          <w:color w:val="000000" w:themeColor="text1"/>
          <w:sz w:val="24"/>
          <w:szCs w:val="24"/>
          <w:highlight w:val="none"/>
          <w14:textFill>
            <w14:solidFill>
              <w14:schemeClr w14:val="tx1"/>
            </w14:solidFill>
          </w14:textFill>
        </w:rPr>
        <w:t>编制各阶段设计任务书，内容包括：项目概况、设计工作内容、设计界面划分、建设标准（功能、工艺、美观等要求）、设计造价要求、设计进度要求、设计成果要求。</w:t>
      </w:r>
    </w:p>
    <w:p w14:paraId="75284FED">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9</w:t>
      </w:r>
      <w:r>
        <w:rPr>
          <w:rFonts w:ascii="宋体" w:hAnsi="宋体" w:eastAsia="宋体" w:cs="宋体"/>
          <w:bCs/>
          <w:snapToGrid w:val="0"/>
          <w:color w:val="000000" w:themeColor="text1"/>
          <w:sz w:val="24"/>
          <w:szCs w:val="24"/>
          <w:highlight w:val="none"/>
          <w14:textFill>
            <w14:solidFill>
              <w14:schemeClr w14:val="tx1"/>
            </w14:solidFill>
          </w14:textFill>
        </w:rPr>
        <w:t>.</w:t>
      </w:r>
      <w:r>
        <w:rPr>
          <w:rFonts w:hint="eastAsia" w:ascii="宋体" w:hAnsi="宋体" w:eastAsia="宋体" w:cs="宋体"/>
          <w:bCs/>
          <w:snapToGrid w:val="0"/>
          <w:color w:val="000000" w:themeColor="text1"/>
          <w:sz w:val="24"/>
          <w:szCs w:val="24"/>
          <w:highlight w:val="none"/>
          <w14:textFill>
            <w14:solidFill>
              <w14:schemeClr w14:val="tx1"/>
            </w14:solidFill>
          </w14:textFill>
        </w:rPr>
        <w:t>对外包单位管理要求</w:t>
      </w:r>
    </w:p>
    <w:p w14:paraId="268F3BCC">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3"/>
          <w:sz w:val="24"/>
          <w:szCs w:val="24"/>
          <w:highlight w:val="none"/>
          <w14:textFill>
            <w14:solidFill>
              <w14:schemeClr w14:val="tx1"/>
            </w14:solidFill>
          </w14:textFill>
        </w:rPr>
        <w:t>承包人因个</w:t>
      </w:r>
      <w:r>
        <w:rPr>
          <w:rFonts w:hint="eastAsia" w:ascii="宋体" w:hAnsi="宋体" w:eastAsia="宋体" w:cs="宋体"/>
          <w:color w:val="000000" w:themeColor="text1"/>
          <w:spacing w:val="-5"/>
          <w:sz w:val="24"/>
          <w:szCs w:val="24"/>
          <w:highlight w:val="none"/>
          <w14:textFill>
            <w14:solidFill>
              <w14:schemeClr w14:val="tx1"/>
            </w14:solidFill>
          </w14:textFill>
        </w:rPr>
        <w:t>别</w:t>
      </w:r>
      <w:r>
        <w:rPr>
          <w:rFonts w:hint="eastAsia" w:ascii="宋体" w:hAnsi="宋体" w:eastAsia="宋体" w:cs="宋体"/>
          <w:color w:val="000000" w:themeColor="text1"/>
          <w:spacing w:val="-3"/>
          <w:sz w:val="24"/>
          <w:szCs w:val="24"/>
          <w:highlight w:val="none"/>
          <w14:textFill>
            <w14:solidFill>
              <w14:schemeClr w14:val="tx1"/>
            </w14:solidFill>
          </w14:textFill>
        </w:rPr>
        <w:t>专业涉</w:t>
      </w:r>
      <w:r>
        <w:rPr>
          <w:rFonts w:hint="eastAsia" w:ascii="宋体" w:hAnsi="宋体" w:eastAsia="宋体" w:cs="宋体"/>
          <w:color w:val="000000" w:themeColor="text1"/>
          <w:spacing w:val="-5"/>
          <w:sz w:val="24"/>
          <w:szCs w:val="24"/>
          <w:highlight w:val="none"/>
          <w14:textFill>
            <w14:solidFill>
              <w14:schemeClr w14:val="tx1"/>
            </w14:solidFill>
          </w14:textFill>
        </w:rPr>
        <w:t>及</w:t>
      </w:r>
      <w:r>
        <w:rPr>
          <w:rFonts w:hint="eastAsia" w:ascii="宋体" w:hAnsi="宋体" w:eastAsia="宋体" w:cs="宋体"/>
          <w:color w:val="000000" w:themeColor="text1"/>
          <w:spacing w:val="-3"/>
          <w:sz w:val="24"/>
          <w:szCs w:val="24"/>
          <w:highlight w:val="none"/>
          <w14:textFill>
            <w14:solidFill>
              <w14:schemeClr w14:val="tx1"/>
            </w14:solidFill>
          </w14:textFill>
        </w:rPr>
        <w:t>到专项</w:t>
      </w:r>
      <w:r>
        <w:rPr>
          <w:rFonts w:hint="eastAsia" w:ascii="宋体" w:hAnsi="宋体" w:eastAsia="宋体" w:cs="宋体"/>
          <w:color w:val="000000" w:themeColor="text1"/>
          <w:spacing w:val="-5"/>
          <w:sz w:val="24"/>
          <w:szCs w:val="24"/>
          <w:highlight w:val="none"/>
          <w14:textFill>
            <w14:solidFill>
              <w14:schemeClr w14:val="tx1"/>
            </w14:solidFill>
          </w14:textFill>
        </w:rPr>
        <w:t>设</w:t>
      </w:r>
      <w:r>
        <w:rPr>
          <w:rFonts w:hint="eastAsia" w:ascii="宋体" w:hAnsi="宋体" w:eastAsia="宋体" w:cs="宋体"/>
          <w:color w:val="000000" w:themeColor="text1"/>
          <w:spacing w:val="-3"/>
          <w:sz w:val="24"/>
          <w:szCs w:val="24"/>
          <w:highlight w:val="none"/>
          <w14:textFill>
            <w14:solidFill>
              <w14:schemeClr w14:val="tx1"/>
            </w14:solidFill>
          </w14:textFill>
        </w:rPr>
        <w:t>计的专</w:t>
      </w:r>
      <w:r>
        <w:rPr>
          <w:rFonts w:hint="eastAsia" w:ascii="宋体" w:hAnsi="宋体" w:eastAsia="宋体" w:cs="宋体"/>
          <w:color w:val="000000" w:themeColor="text1"/>
          <w:spacing w:val="-5"/>
          <w:sz w:val="24"/>
          <w:szCs w:val="24"/>
          <w:highlight w:val="none"/>
          <w14:textFill>
            <w14:solidFill>
              <w14:schemeClr w14:val="tx1"/>
            </w14:solidFill>
          </w14:textFill>
        </w:rPr>
        <w:t>长</w:t>
      </w:r>
      <w:r>
        <w:rPr>
          <w:rFonts w:hint="eastAsia" w:ascii="宋体" w:hAnsi="宋体" w:eastAsia="宋体" w:cs="宋体"/>
          <w:color w:val="000000" w:themeColor="text1"/>
          <w:spacing w:val="-3"/>
          <w:sz w:val="24"/>
          <w:szCs w:val="24"/>
          <w:highlight w:val="none"/>
          <w14:textFill>
            <w14:solidFill>
              <w14:schemeClr w14:val="tx1"/>
            </w14:solidFill>
          </w14:textFill>
        </w:rPr>
        <w:t>、资质</w:t>
      </w:r>
      <w:r>
        <w:rPr>
          <w:rFonts w:hint="eastAsia" w:ascii="宋体" w:hAnsi="宋体" w:eastAsia="宋体" w:cs="宋体"/>
          <w:color w:val="000000" w:themeColor="text1"/>
          <w:spacing w:val="-5"/>
          <w:sz w:val="24"/>
          <w:szCs w:val="24"/>
          <w:highlight w:val="none"/>
          <w14:textFill>
            <w14:solidFill>
              <w14:schemeClr w14:val="tx1"/>
            </w14:solidFill>
          </w14:textFill>
        </w:rPr>
        <w:t>等</w:t>
      </w:r>
      <w:r>
        <w:rPr>
          <w:rFonts w:hint="eastAsia" w:ascii="宋体" w:hAnsi="宋体" w:eastAsia="宋体" w:cs="宋体"/>
          <w:color w:val="000000" w:themeColor="text1"/>
          <w:spacing w:val="-3"/>
          <w:sz w:val="24"/>
          <w:szCs w:val="24"/>
          <w:highlight w:val="none"/>
          <w14:textFill>
            <w14:solidFill>
              <w14:schemeClr w14:val="tx1"/>
            </w14:solidFill>
          </w14:textFill>
        </w:rPr>
        <w:t>原因需</w:t>
      </w:r>
      <w:r>
        <w:rPr>
          <w:rFonts w:hint="eastAsia" w:ascii="宋体" w:hAnsi="宋体" w:eastAsia="宋体" w:cs="宋体"/>
          <w:color w:val="000000" w:themeColor="text1"/>
          <w:spacing w:val="-5"/>
          <w:sz w:val="24"/>
          <w:szCs w:val="24"/>
          <w:highlight w:val="none"/>
          <w14:textFill>
            <w14:solidFill>
              <w14:schemeClr w14:val="tx1"/>
            </w14:solidFill>
          </w14:textFill>
        </w:rPr>
        <w:t>要</w:t>
      </w:r>
      <w:r>
        <w:rPr>
          <w:rFonts w:hint="eastAsia" w:ascii="宋体" w:hAnsi="宋体" w:eastAsia="宋体" w:cs="宋体"/>
          <w:color w:val="000000" w:themeColor="text1"/>
          <w:spacing w:val="-3"/>
          <w:sz w:val="24"/>
          <w:szCs w:val="24"/>
          <w:highlight w:val="none"/>
          <w14:textFill>
            <w14:solidFill>
              <w14:schemeClr w14:val="tx1"/>
            </w14:solidFill>
          </w14:textFill>
        </w:rPr>
        <w:t>分包</w:t>
      </w:r>
      <w:r>
        <w:rPr>
          <w:rFonts w:hint="eastAsia" w:ascii="宋体" w:hAnsi="宋体" w:eastAsia="宋体" w:cs="宋体"/>
          <w:color w:val="000000" w:themeColor="text1"/>
          <w:sz w:val="24"/>
          <w:szCs w:val="24"/>
          <w:highlight w:val="none"/>
          <w14:textFill>
            <w14:solidFill>
              <w14:schemeClr w14:val="tx1"/>
            </w14:solidFill>
          </w14:textFill>
        </w:rPr>
        <w:t>专项设计，需事前征求发包人同意。</w:t>
      </w:r>
    </w:p>
    <w:p w14:paraId="5FF5CEF5">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pacing w:val="2"/>
          <w:sz w:val="24"/>
          <w:szCs w:val="24"/>
          <w:highlight w:val="none"/>
          <w14:textFill>
            <w14:solidFill>
              <w14:schemeClr w14:val="tx1"/>
            </w14:solidFill>
          </w14:textFill>
        </w:rPr>
        <w:t>须</w:t>
      </w:r>
      <w:r>
        <w:rPr>
          <w:rFonts w:hint="eastAsia" w:ascii="宋体" w:hAnsi="宋体" w:eastAsia="宋体" w:cs="宋体"/>
          <w:color w:val="000000" w:themeColor="text1"/>
          <w:sz w:val="24"/>
          <w:szCs w:val="24"/>
          <w:highlight w:val="none"/>
          <w14:textFill>
            <w14:solidFill>
              <w14:schemeClr w14:val="tx1"/>
            </w14:solidFill>
          </w14:textFill>
        </w:rPr>
        <w:t>对</w:t>
      </w:r>
      <w:r>
        <w:rPr>
          <w:rFonts w:hint="eastAsia" w:ascii="宋体" w:hAnsi="宋体" w:eastAsia="宋体" w:cs="宋体"/>
          <w:color w:val="000000" w:themeColor="text1"/>
          <w:spacing w:val="2"/>
          <w:sz w:val="24"/>
          <w:szCs w:val="24"/>
          <w:highlight w:val="none"/>
          <w14:textFill>
            <w14:solidFill>
              <w14:schemeClr w14:val="tx1"/>
            </w14:solidFill>
          </w14:textFill>
        </w:rPr>
        <w:t>自己所聘请的外部顾</w:t>
      </w:r>
      <w:r>
        <w:rPr>
          <w:rFonts w:hint="eastAsia" w:ascii="宋体" w:hAnsi="宋体" w:eastAsia="宋体" w:cs="宋体"/>
          <w:color w:val="000000" w:themeColor="text1"/>
          <w:sz w:val="24"/>
          <w:szCs w:val="24"/>
          <w:highlight w:val="none"/>
          <w14:textFill>
            <w14:solidFill>
              <w14:schemeClr w14:val="tx1"/>
            </w14:solidFill>
          </w14:textFill>
        </w:rPr>
        <w:t>问</w:t>
      </w:r>
      <w:r>
        <w:rPr>
          <w:rFonts w:hint="eastAsia" w:ascii="宋体" w:hAnsi="宋体" w:eastAsia="宋体" w:cs="宋体"/>
          <w:color w:val="000000" w:themeColor="text1"/>
          <w:spacing w:val="2"/>
          <w:sz w:val="24"/>
          <w:szCs w:val="24"/>
          <w:highlight w:val="none"/>
          <w14:textFill>
            <w14:solidFill>
              <w14:schemeClr w14:val="tx1"/>
            </w14:solidFill>
          </w14:textFill>
        </w:rPr>
        <w:t>单位进行统一管理，</w:t>
      </w:r>
      <w:r>
        <w:rPr>
          <w:rFonts w:hint="eastAsia" w:ascii="宋体" w:hAnsi="宋体" w:eastAsia="宋体" w:cs="宋体"/>
          <w:color w:val="000000" w:themeColor="text1"/>
          <w:sz w:val="24"/>
          <w:szCs w:val="24"/>
          <w:highlight w:val="none"/>
          <w14:textFill>
            <w14:solidFill>
              <w14:schemeClr w14:val="tx1"/>
            </w14:solidFill>
          </w14:textFill>
        </w:rPr>
        <w:t>须</w:t>
      </w:r>
      <w:r>
        <w:rPr>
          <w:rFonts w:hint="eastAsia" w:ascii="宋体" w:hAnsi="宋体" w:eastAsia="宋体" w:cs="宋体"/>
          <w:color w:val="000000" w:themeColor="text1"/>
          <w:spacing w:val="2"/>
          <w:sz w:val="24"/>
          <w:szCs w:val="24"/>
          <w:highlight w:val="none"/>
          <w14:textFill>
            <w14:solidFill>
              <w14:schemeClr w14:val="tx1"/>
            </w14:solidFill>
          </w14:textFill>
        </w:rPr>
        <w:t>符合本项目进度</w:t>
      </w:r>
      <w:r>
        <w:rPr>
          <w:rFonts w:hint="eastAsia" w:ascii="宋体" w:hAnsi="宋体" w:eastAsia="宋体" w:cs="宋体"/>
          <w:color w:val="000000" w:themeColor="text1"/>
          <w:sz w:val="24"/>
          <w:szCs w:val="24"/>
          <w:highlight w:val="none"/>
          <w14:textFill>
            <w14:solidFill>
              <w14:schemeClr w14:val="tx1"/>
            </w14:solidFill>
          </w14:textFill>
        </w:rPr>
        <w:t>和质量</w:t>
      </w:r>
      <w:r>
        <w:rPr>
          <w:rFonts w:hint="eastAsia" w:ascii="宋体" w:hAnsi="宋体" w:eastAsia="宋体" w:cs="宋体"/>
          <w:color w:val="000000" w:themeColor="text1"/>
          <w:spacing w:val="2"/>
          <w:sz w:val="24"/>
          <w:szCs w:val="24"/>
          <w:highlight w:val="none"/>
          <w14:textFill>
            <w14:solidFill>
              <w14:schemeClr w14:val="tx1"/>
            </w14:solidFill>
          </w14:textFill>
        </w:rPr>
        <w:t>管理的要求</w:t>
      </w:r>
      <w:r>
        <w:rPr>
          <w:rFonts w:hint="eastAsia" w:ascii="宋体" w:hAnsi="宋体" w:eastAsia="宋体" w:cs="宋体"/>
          <w:color w:val="000000" w:themeColor="text1"/>
          <w:spacing w:val="4"/>
          <w:sz w:val="24"/>
          <w:szCs w:val="24"/>
          <w:highlight w:val="none"/>
          <w14:textFill>
            <w14:solidFill>
              <w14:schemeClr w14:val="tx1"/>
            </w14:solidFill>
          </w14:textFill>
        </w:rPr>
        <w:t>，</w:t>
      </w:r>
      <w:r>
        <w:rPr>
          <w:rFonts w:hint="eastAsia" w:ascii="宋体" w:hAnsi="宋体" w:eastAsia="宋体" w:cs="宋体"/>
          <w:color w:val="000000" w:themeColor="text1"/>
          <w:spacing w:val="2"/>
          <w:sz w:val="24"/>
          <w:szCs w:val="24"/>
          <w:highlight w:val="none"/>
          <w14:textFill>
            <w14:solidFill>
              <w14:schemeClr w14:val="tx1"/>
            </w14:solidFill>
          </w14:textFill>
        </w:rPr>
        <w:t>对于服务不能满足发</w:t>
      </w:r>
      <w:r>
        <w:rPr>
          <w:rFonts w:hint="eastAsia" w:ascii="宋体" w:hAnsi="宋体" w:eastAsia="宋体" w:cs="宋体"/>
          <w:color w:val="000000" w:themeColor="text1"/>
          <w:spacing w:val="4"/>
          <w:sz w:val="24"/>
          <w:szCs w:val="24"/>
          <w:highlight w:val="none"/>
          <w14:textFill>
            <w14:solidFill>
              <w14:schemeClr w14:val="tx1"/>
            </w14:solidFill>
          </w14:textFill>
        </w:rPr>
        <w:t>包</w:t>
      </w:r>
      <w:r>
        <w:rPr>
          <w:rFonts w:hint="eastAsia" w:ascii="宋体" w:hAnsi="宋体" w:eastAsia="宋体" w:cs="宋体"/>
          <w:color w:val="000000" w:themeColor="text1"/>
          <w:spacing w:val="2"/>
          <w:sz w:val="24"/>
          <w:szCs w:val="24"/>
          <w:highlight w:val="none"/>
          <w14:textFill>
            <w14:solidFill>
              <w14:schemeClr w14:val="tx1"/>
            </w14:solidFill>
          </w14:textFill>
        </w:rPr>
        <w:t>人要求的单位及人员</w:t>
      </w:r>
      <w:r>
        <w:rPr>
          <w:rFonts w:hint="eastAsia" w:ascii="宋体" w:hAnsi="宋体" w:eastAsia="宋体" w:cs="宋体"/>
          <w:color w:val="000000" w:themeColor="text1"/>
          <w:spacing w:val="4"/>
          <w:sz w:val="24"/>
          <w:szCs w:val="24"/>
          <w:highlight w:val="none"/>
          <w14:textFill>
            <w14:solidFill>
              <w14:schemeClr w14:val="tx1"/>
            </w14:solidFill>
          </w14:textFill>
        </w:rPr>
        <w:t>，</w:t>
      </w:r>
      <w:r>
        <w:rPr>
          <w:rFonts w:hint="eastAsia" w:ascii="宋体" w:hAnsi="宋体" w:eastAsia="宋体" w:cs="宋体"/>
          <w:color w:val="000000" w:themeColor="text1"/>
          <w:spacing w:val="2"/>
          <w:sz w:val="24"/>
          <w:szCs w:val="24"/>
          <w:highlight w:val="none"/>
          <w14:textFill>
            <w14:solidFill>
              <w14:schemeClr w14:val="tx1"/>
            </w14:solidFill>
          </w14:textFill>
        </w:rPr>
        <w:t>发包人有权要求</w:t>
      </w:r>
      <w:r>
        <w:rPr>
          <w:rFonts w:hint="eastAsia" w:ascii="宋体" w:hAnsi="宋体" w:eastAsia="宋体" w:cs="宋体"/>
          <w:color w:val="000000" w:themeColor="text1"/>
          <w:sz w:val="24"/>
          <w:szCs w:val="24"/>
          <w:highlight w:val="none"/>
          <w14:textFill>
            <w14:solidFill>
              <w14:schemeClr w14:val="tx1"/>
            </w14:solidFill>
          </w14:textFill>
        </w:rPr>
        <w:t>更换，</w:t>
      </w: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不得推脱。</w:t>
      </w:r>
    </w:p>
    <w:p w14:paraId="741182A3">
      <w:pPr>
        <w:numPr>
          <w:ilvl w:val="0"/>
          <w:numId w:val="26"/>
        </w:numPr>
        <w:autoSpaceDE w:val="0"/>
        <w:autoSpaceDN w:val="0"/>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因</w:t>
      </w: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自己所聘请的外部顾问单位对本项目造成损失的，发包人有权追究中标人的责任。</w:t>
      </w:r>
    </w:p>
    <w:p w14:paraId="5ECDAE29">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与自己所聘请的外部顾问单位因按国家规定签署正式的书面合同，一切法律责任和纠纷与发包人无关。</w:t>
      </w:r>
    </w:p>
    <w:p w14:paraId="139F39FB">
      <w:pPr>
        <w:numPr>
          <w:ilvl w:val="0"/>
          <w:numId w:val="26"/>
        </w:numPr>
        <w:autoSpaceDE w:val="0"/>
        <w:autoSpaceDN w:val="0"/>
        <w:snapToGrid/>
        <w:spacing w:before="0" w:after="0" w:line="360" w:lineRule="auto"/>
        <w:ind w:left="480" w:firstLine="0"/>
        <w:jc w:val="both"/>
        <w:rPr>
          <w:rFonts w:hint="eastAsia" w:hAnsi="宋体" w:cs="宋体"/>
          <w:color w:val="000000" w:themeColor="text1"/>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当发包人委托第三方承担部分专项设计时，</w:t>
      </w: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应积极配合与协调，使之符合整个项目设计的完整性,第三方对自己的设计负责。</w:t>
      </w:r>
    </w:p>
    <w:p w14:paraId="5E8018EA">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0.</w:t>
      </w:r>
      <w:r>
        <w:rPr>
          <w:rFonts w:hint="eastAsia" w:ascii="宋体" w:hAnsi="宋体" w:eastAsia="宋体" w:cs="宋体"/>
          <w:bCs/>
          <w:snapToGrid w:val="0"/>
          <w:color w:val="000000" w:themeColor="text1"/>
          <w:sz w:val="24"/>
          <w:szCs w:val="24"/>
          <w:highlight w:val="none"/>
          <w14:textFill>
            <w14:solidFill>
              <w14:schemeClr w14:val="tx1"/>
            </w14:solidFill>
          </w14:textFill>
        </w:rPr>
        <w:t>承包人正式开展工作后5天内需向发包人提供详细的设计工作计划（包含：设计分包人进场计划、要求建设方提交相关设计资料的时间节点、每个设计阶段详细的出图计划等），设计计划需契合发包人总体设计进度计划要求。</w:t>
      </w:r>
    </w:p>
    <w:p w14:paraId="7348B4D4">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1.</w:t>
      </w:r>
      <w:r>
        <w:rPr>
          <w:rFonts w:hint="eastAsia" w:ascii="宋体" w:hAnsi="宋体" w:eastAsia="宋体" w:cs="宋体"/>
          <w:bCs/>
          <w:snapToGrid w:val="0"/>
          <w:color w:val="000000" w:themeColor="text1"/>
          <w:sz w:val="24"/>
          <w:szCs w:val="24"/>
          <w:highlight w:val="none"/>
          <w14:textFill>
            <w14:solidFill>
              <w14:schemeClr w14:val="tx1"/>
            </w14:solidFill>
          </w14:textFill>
        </w:rPr>
        <w:t>协助发包人组织召开设计相关会议，包括：设计例会、设计专题研讨会及设计阶段成果评审会等。</w:t>
      </w:r>
    </w:p>
    <w:p w14:paraId="474E1177">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2.</w:t>
      </w:r>
      <w:r>
        <w:rPr>
          <w:rFonts w:hint="eastAsia" w:ascii="宋体" w:hAnsi="宋体" w:eastAsia="宋体" w:cs="宋体"/>
          <w:bCs/>
          <w:snapToGrid w:val="0"/>
          <w:color w:val="000000" w:themeColor="text1"/>
          <w:sz w:val="24"/>
          <w:szCs w:val="24"/>
          <w:highlight w:val="none"/>
          <w14:textFill>
            <w14:solidFill>
              <w14:schemeClr w14:val="tx1"/>
            </w14:solidFill>
          </w14:textFill>
        </w:rPr>
        <w:t>在各设计阶段，组织设计团队进行设计文件内部审查，协助设计咨询单位（如有）、专项咨询单位（如有）、造价咨询单位（由发包人招标确定）进行设计文件审核，以确保设计质量，达到设计目标。</w:t>
      </w:r>
    </w:p>
    <w:p w14:paraId="1900E42A">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3.</w:t>
      </w:r>
      <w:r>
        <w:rPr>
          <w:rFonts w:hint="eastAsia" w:ascii="宋体" w:hAnsi="宋体" w:eastAsia="宋体" w:cs="宋体"/>
          <w:bCs/>
          <w:snapToGrid w:val="0"/>
          <w:color w:val="000000" w:themeColor="text1"/>
          <w:sz w:val="24"/>
          <w:szCs w:val="24"/>
          <w:highlight w:val="none"/>
          <w14:textFill>
            <w14:solidFill>
              <w14:schemeClr w14:val="tx1"/>
            </w14:solidFill>
          </w14:textFill>
        </w:rPr>
        <w:t>协助发包人办理各项报批报审工作。</w:t>
      </w:r>
    </w:p>
    <w:p w14:paraId="523DE23E">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4.</w:t>
      </w:r>
      <w:r>
        <w:rPr>
          <w:rFonts w:hint="eastAsia" w:ascii="宋体" w:hAnsi="宋体" w:eastAsia="宋体" w:cs="宋体"/>
          <w:bCs/>
          <w:snapToGrid w:val="0"/>
          <w:color w:val="000000" w:themeColor="text1"/>
          <w:sz w:val="24"/>
          <w:szCs w:val="24"/>
          <w:highlight w:val="none"/>
          <w14:textFill>
            <w14:solidFill>
              <w14:schemeClr w14:val="tx1"/>
            </w14:solidFill>
          </w14:textFill>
        </w:rPr>
        <w:t>组织设计团队编制材料、设备清单。</w:t>
      </w:r>
    </w:p>
    <w:p w14:paraId="2B1D4D33">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hint="eastAsia" w:ascii="宋体" w:hAnsi="宋体" w:eastAsia="宋体" w:cs="宋体"/>
          <w:bCs/>
          <w:snapToGrid w:val="0"/>
          <w:color w:val="000000" w:themeColor="text1"/>
          <w:sz w:val="24"/>
          <w:szCs w:val="24"/>
          <w:highlight w:val="none"/>
          <w14:textFill>
            <w14:solidFill>
              <w14:schemeClr w14:val="tx1"/>
            </w14:solidFill>
          </w14:textFill>
        </w:rPr>
        <w:t>1</w:t>
      </w:r>
      <w:r>
        <w:rPr>
          <w:rFonts w:ascii="宋体" w:hAnsi="宋体" w:eastAsia="宋体" w:cs="宋体"/>
          <w:bCs/>
          <w:snapToGrid w:val="0"/>
          <w:color w:val="000000" w:themeColor="text1"/>
          <w:sz w:val="24"/>
          <w:szCs w:val="24"/>
          <w:highlight w:val="none"/>
          <w14:textFill>
            <w14:solidFill>
              <w14:schemeClr w14:val="tx1"/>
            </w14:solidFill>
          </w14:textFill>
        </w:rPr>
        <w:t>5.</w:t>
      </w:r>
      <w:r>
        <w:rPr>
          <w:rFonts w:hint="eastAsia" w:ascii="宋体" w:hAnsi="宋体" w:eastAsia="宋体" w:cs="宋体"/>
          <w:bCs/>
          <w:snapToGrid w:val="0"/>
          <w:color w:val="000000" w:themeColor="text1"/>
          <w:sz w:val="24"/>
          <w:szCs w:val="24"/>
          <w:highlight w:val="none"/>
          <w14:textFill>
            <w14:solidFill>
              <w14:schemeClr w14:val="tx1"/>
            </w14:solidFill>
          </w14:textFill>
        </w:rPr>
        <w:t>组织进行内部设计交底与图纸会审。</w:t>
      </w:r>
    </w:p>
    <w:p w14:paraId="1E276DDA">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16.</w:t>
      </w:r>
      <w:r>
        <w:rPr>
          <w:rFonts w:hint="eastAsia" w:ascii="宋体" w:hAnsi="宋体" w:eastAsia="宋体" w:cs="宋体"/>
          <w:bCs/>
          <w:snapToGrid w:val="0"/>
          <w:color w:val="000000" w:themeColor="text1"/>
          <w:sz w:val="24"/>
          <w:szCs w:val="24"/>
          <w:highlight w:val="none"/>
          <w14:textFill>
            <w14:solidFill>
              <w14:schemeClr w14:val="tx1"/>
            </w14:solidFill>
          </w14:textFill>
        </w:rPr>
        <w:t>对设计变更进行管理。</w:t>
      </w:r>
    </w:p>
    <w:p w14:paraId="69AE133E">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17.</w:t>
      </w:r>
      <w:r>
        <w:rPr>
          <w:rFonts w:hint="eastAsia" w:ascii="宋体" w:hAnsi="宋体" w:eastAsia="宋体" w:cs="宋体"/>
          <w:bCs/>
          <w:snapToGrid w:val="0"/>
          <w:color w:val="000000" w:themeColor="text1"/>
          <w:sz w:val="24"/>
          <w:szCs w:val="24"/>
          <w:highlight w:val="none"/>
          <w14:textFill>
            <w14:solidFill>
              <w14:schemeClr w14:val="tx1"/>
            </w14:solidFill>
          </w14:textFill>
        </w:rPr>
        <w:t>组织工程中间验收。</w:t>
      </w:r>
    </w:p>
    <w:p w14:paraId="56252390">
      <w:pPr>
        <w:widowControl/>
        <w:adjustRightInd w:val="0"/>
        <w:spacing w:line="360" w:lineRule="auto"/>
        <w:ind w:firstLine="470" w:firstLineChars="196"/>
        <w:rPr>
          <w:rFonts w:hint="eastAsia" w:ascii="宋体" w:hAnsi="宋体" w:eastAsia="宋体" w:cs="宋体"/>
          <w:bCs/>
          <w:snapToGrid w:val="0"/>
          <w:color w:val="000000" w:themeColor="text1"/>
          <w:sz w:val="24"/>
          <w:szCs w:val="24"/>
          <w:highlight w:val="none"/>
          <w14:textFill>
            <w14:solidFill>
              <w14:schemeClr w14:val="tx1"/>
            </w14:solidFill>
          </w14:textFill>
        </w:rPr>
      </w:pPr>
      <w:r>
        <w:rPr>
          <w:rFonts w:ascii="宋体" w:hAnsi="宋体" w:eastAsia="宋体" w:cs="宋体"/>
          <w:bCs/>
          <w:snapToGrid w:val="0"/>
          <w:color w:val="000000" w:themeColor="text1"/>
          <w:sz w:val="24"/>
          <w:szCs w:val="24"/>
          <w:highlight w:val="none"/>
          <w14:textFill>
            <w14:solidFill>
              <w14:schemeClr w14:val="tx1"/>
            </w14:solidFill>
          </w14:textFill>
        </w:rPr>
        <w:t>18.</w:t>
      </w:r>
      <w:r>
        <w:rPr>
          <w:rFonts w:hint="eastAsia" w:ascii="宋体" w:hAnsi="宋体" w:eastAsia="宋体" w:cs="宋体"/>
          <w:bCs/>
          <w:snapToGrid w:val="0"/>
          <w:color w:val="000000" w:themeColor="text1"/>
          <w:sz w:val="24"/>
          <w:szCs w:val="24"/>
          <w:highlight w:val="none"/>
          <w14:textFill>
            <w14:solidFill>
              <w14:schemeClr w14:val="tx1"/>
            </w14:solidFill>
          </w14:textFill>
        </w:rPr>
        <w:t>关于限额设计管理要求，包括但不限于以下：</w:t>
      </w:r>
    </w:p>
    <w:p w14:paraId="69D236AF">
      <w:pPr>
        <w:numPr>
          <w:ilvl w:val="0"/>
          <w:numId w:val="27"/>
        </w:numPr>
        <w:autoSpaceDE w:val="0"/>
        <w:autoSpaceDN w:val="0"/>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的所有设计工作均要按发包人批准的各专业工程限额设计指标要求进行设计。中标人在完成各专业工程施工图设计的同时应按发包人要求编制各专业工程施工图预算报发包人审核。若施工图预算超过该限额的，中标人应无条件修改设计并控制在限额设计范围内，直至满足发包人的限额设计要求，中标人须承担由此造成的一切责任。</w:t>
      </w:r>
    </w:p>
    <w:p w14:paraId="4088BC94">
      <w:pPr>
        <w:numPr>
          <w:ilvl w:val="0"/>
          <w:numId w:val="27"/>
        </w:numPr>
        <w:autoSpaceDE w:val="0"/>
        <w:autoSpaceDN w:val="0"/>
        <w:snapToGrid/>
        <w:spacing w:before="0" w:after="0" w:line="360" w:lineRule="auto"/>
        <w:ind w:left="0"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承包人须配合发包人实施设计全过程的成本优化工作，须向发包人提供结构设计模型及计算书等成果文件。</w:t>
      </w:r>
    </w:p>
    <w:p w14:paraId="58B74DE9">
      <w:pPr>
        <w:rPr>
          <w:rFonts w:hint="eastAsia" w:ascii="宋体" w:hAnsi="宋体" w:eastAsia="宋体" w:cs="宋体"/>
          <w:b/>
          <w:color w:val="000000" w:themeColor="text1"/>
          <w:kern w:val="44"/>
          <w:sz w:val="24"/>
          <w:szCs w:val="24"/>
          <w:highlight w:val="none"/>
          <w14:textFill>
            <w14:solidFill>
              <w14:schemeClr w14:val="tx1"/>
            </w14:solidFill>
          </w14:textFill>
        </w:rPr>
      </w:pPr>
      <w:r>
        <w:rPr>
          <w:rFonts w:hint="eastAsia" w:ascii="宋体" w:hAnsi="宋体" w:eastAsia="宋体" w:cs="宋体"/>
          <w:b/>
          <w:color w:val="000000" w:themeColor="text1"/>
          <w:kern w:val="44"/>
          <w:sz w:val="24"/>
          <w:szCs w:val="24"/>
          <w:highlight w:val="none"/>
          <w14:textFill>
            <w14:solidFill>
              <w14:schemeClr w14:val="tx1"/>
            </w14:solidFill>
          </w14:textFill>
        </w:rPr>
        <w:br w:type="page"/>
      </w:r>
    </w:p>
    <w:p w14:paraId="0B34BCD0">
      <w:pPr>
        <w:pStyle w:val="2"/>
        <w:keepNext w:val="0"/>
        <w:keepLines w:val="0"/>
        <w:snapToGrid/>
        <w:spacing w:line="360" w:lineRule="auto"/>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十一、设计人员组织管理要求</w:t>
      </w:r>
    </w:p>
    <w:p w14:paraId="013C30E3">
      <w:pPr>
        <w:spacing w:line="360" w:lineRule="auto"/>
        <w:rPr>
          <w:rFonts w:hint="eastAsia" w:ascii="宋体" w:hAnsi="宋体" w:eastAsia="宋体" w:cs="宋体"/>
          <w:b/>
          <w:bCs/>
          <w:color w:val="000000" w:themeColor="text1"/>
          <w:sz w:val="24"/>
          <w:szCs w:val="24"/>
          <w:highlight w:val="none"/>
          <w14:textFill>
            <w14:solidFill>
              <w14:schemeClr w14:val="tx1"/>
            </w14:solidFill>
          </w14:textFill>
        </w:rPr>
      </w:pPr>
      <w:r>
        <w:rPr>
          <w:rFonts w:ascii="宋体" w:hAnsi="宋体" w:eastAsia="宋体" w:cs="宋体"/>
          <w:b/>
          <w:bCs/>
          <w:color w:val="000000" w:themeColor="text1"/>
          <w:sz w:val="24"/>
          <w:szCs w:val="24"/>
          <w:highlight w:val="none"/>
          <w14:textFill>
            <w14:solidFill>
              <w14:schemeClr w14:val="tx1"/>
            </w14:solidFill>
          </w14:textFill>
        </w:rPr>
        <w:t>1.</w:t>
      </w:r>
      <w:r>
        <w:rPr>
          <w:rFonts w:hint="eastAsia" w:ascii="宋体" w:hAnsi="宋体" w:eastAsia="宋体" w:cs="宋体"/>
          <w:b/>
          <w:bCs/>
          <w:color w:val="000000" w:themeColor="text1"/>
          <w:sz w:val="24"/>
          <w:szCs w:val="24"/>
          <w:highlight w:val="none"/>
          <w14:textFill>
            <w14:solidFill>
              <w14:schemeClr w14:val="tx1"/>
            </w14:solidFill>
          </w14:textFill>
        </w:rPr>
        <w:t>设计人员要求</w:t>
      </w:r>
    </w:p>
    <w:p w14:paraId="7D2C2637">
      <w:pPr>
        <w:spacing w:line="360" w:lineRule="auto"/>
        <w:ind w:firstLine="562" w:firstLineChars="200"/>
        <w:jc w:val="center"/>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8"/>
          <w:szCs w:val="28"/>
          <w:highlight w:val="none"/>
          <w14:textFill>
            <w14:solidFill>
              <w14:schemeClr w14:val="tx1"/>
            </w14:solidFill>
          </w14:textFill>
        </w:rPr>
        <w:t>各专业人员要求表</w:t>
      </w:r>
    </w:p>
    <w:tbl>
      <w:tblPr>
        <w:tblStyle w:val="42"/>
        <w:tblW w:w="85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2"/>
        <w:gridCol w:w="2124"/>
        <w:gridCol w:w="4309"/>
        <w:gridCol w:w="1296"/>
      </w:tblGrid>
      <w:tr w14:paraId="28568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5035993D">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序号</w:t>
            </w:r>
          </w:p>
        </w:tc>
        <w:tc>
          <w:tcPr>
            <w:tcW w:w="2124" w:type="dxa"/>
            <w:tcBorders>
              <w:top w:val="single" w:color="auto" w:sz="4" w:space="0"/>
              <w:left w:val="nil"/>
              <w:bottom w:val="single" w:color="auto" w:sz="4" w:space="0"/>
              <w:right w:val="single" w:color="auto" w:sz="4" w:space="0"/>
            </w:tcBorders>
            <w:vAlign w:val="center"/>
          </w:tcPr>
          <w:p w14:paraId="5E4AA8E4">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专业分工</w:t>
            </w:r>
          </w:p>
        </w:tc>
        <w:tc>
          <w:tcPr>
            <w:tcW w:w="4309" w:type="dxa"/>
            <w:tcBorders>
              <w:top w:val="single" w:color="auto" w:sz="4" w:space="0"/>
              <w:left w:val="nil"/>
              <w:bottom w:val="single" w:color="auto" w:sz="4" w:space="0"/>
              <w:right w:val="single" w:color="auto" w:sz="4" w:space="0"/>
            </w:tcBorders>
            <w:vAlign w:val="center"/>
          </w:tcPr>
          <w:p w14:paraId="2129FB1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要求</w:t>
            </w:r>
          </w:p>
        </w:tc>
        <w:tc>
          <w:tcPr>
            <w:tcW w:w="1296" w:type="dxa"/>
            <w:tcBorders>
              <w:top w:val="single" w:color="auto" w:sz="4" w:space="0"/>
              <w:left w:val="nil"/>
              <w:bottom w:val="single" w:color="auto" w:sz="4" w:space="0"/>
              <w:right w:val="single" w:color="auto" w:sz="4" w:space="0"/>
            </w:tcBorders>
            <w:vAlign w:val="center"/>
          </w:tcPr>
          <w:p w14:paraId="552C096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最低投入人数要求</w:t>
            </w:r>
          </w:p>
        </w:tc>
      </w:tr>
      <w:tr w14:paraId="03D9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01B445EB">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1</w:t>
            </w:r>
          </w:p>
        </w:tc>
        <w:tc>
          <w:tcPr>
            <w:tcW w:w="2124" w:type="dxa"/>
            <w:tcBorders>
              <w:top w:val="single" w:color="auto" w:sz="4" w:space="0"/>
              <w:left w:val="nil"/>
              <w:bottom w:val="single" w:color="auto" w:sz="4" w:space="0"/>
              <w:right w:val="single" w:color="auto" w:sz="4" w:space="0"/>
            </w:tcBorders>
            <w:vAlign w:val="center"/>
          </w:tcPr>
          <w:p w14:paraId="3868CC4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设计负责人</w:t>
            </w:r>
          </w:p>
        </w:tc>
        <w:tc>
          <w:tcPr>
            <w:tcW w:w="4309" w:type="dxa"/>
            <w:tcBorders>
              <w:top w:val="single" w:color="auto" w:sz="4" w:space="0"/>
              <w:left w:val="nil"/>
              <w:bottom w:val="single" w:color="auto" w:sz="4" w:space="0"/>
              <w:right w:val="single" w:color="auto" w:sz="4" w:space="0"/>
            </w:tcBorders>
            <w:vAlign w:val="center"/>
          </w:tcPr>
          <w:p w14:paraId="6BDC0429">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按招标公告的要求。</w:t>
            </w:r>
          </w:p>
        </w:tc>
        <w:tc>
          <w:tcPr>
            <w:tcW w:w="1296" w:type="dxa"/>
            <w:tcBorders>
              <w:top w:val="single" w:color="auto" w:sz="4" w:space="0"/>
              <w:left w:val="nil"/>
              <w:bottom w:val="single" w:color="auto" w:sz="4" w:space="0"/>
              <w:right w:val="single" w:color="auto" w:sz="4" w:space="0"/>
            </w:tcBorders>
            <w:vAlign w:val="center"/>
          </w:tcPr>
          <w:p w14:paraId="7CB00238">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5B066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373F714F">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2</w:t>
            </w:r>
          </w:p>
        </w:tc>
        <w:tc>
          <w:tcPr>
            <w:tcW w:w="2124" w:type="dxa"/>
            <w:tcBorders>
              <w:top w:val="single" w:color="auto" w:sz="4" w:space="0"/>
              <w:left w:val="nil"/>
              <w:bottom w:val="single" w:color="auto" w:sz="4" w:space="0"/>
              <w:right w:val="single" w:color="auto" w:sz="4" w:space="0"/>
            </w:tcBorders>
            <w:vAlign w:val="center"/>
          </w:tcPr>
          <w:p w14:paraId="42BD7444">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建筑专业负责人</w:t>
            </w:r>
          </w:p>
        </w:tc>
        <w:tc>
          <w:tcPr>
            <w:tcW w:w="4309" w:type="dxa"/>
            <w:tcBorders>
              <w:top w:val="single" w:color="auto" w:sz="4" w:space="0"/>
              <w:left w:val="nil"/>
              <w:bottom w:val="single" w:color="auto" w:sz="4" w:space="0"/>
              <w:right w:val="single" w:color="auto" w:sz="4" w:space="0"/>
            </w:tcBorders>
            <w:vAlign w:val="center"/>
          </w:tcPr>
          <w:p w14:paraId="4F250D9E">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具有</w:t>
            </w:r>
            <w:r>
              <w:rPr>
                <w:rFonts w:hint="eastAsia" w:ascii="宋体" w:hAnsi="宋体" w:eastAsia="宋体" w:cs="宋体"/>
                <w:color w:val="000000" w:themeColor="text1"/>
                <w:sz w:val="21"/>
                <w:szCs w:val="21"/>
                <w:highlight w:val="none"/>
                <w14:textFill>
                  <w14:solidFill>
                    <w14:schemeClr w14:val="tx1"/>
                  </w14:solidFill>
                </w14:textFill>
              </w:rPr>
              <w:t>一级注册建筑师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291C645E">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68479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02FFBADF">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3</w:t>
            </w:r>
          </w:p>
        </w:tc>
        <w:tc>
          <w:tcPr>
            <w:tcW w:w="2124" w:type="dxa"/>
            <w:tcBorders>
              <w:top w:val="single" w:color="auto" w:sz="4" w:space="0"/>
              <w:left w:val="nil"/>
              <w:bottom w:val="single" w:color="auto" w:sz="4" w:space="0"/>
              <w:right w:val="single" w:color="auto" w:sz="4" w:space="0"/>
            </w:tcBorders>
            <w:vAlign w:val="center"/>
          </w:tcPr>
          <w:p w14:paraId="5B6B00A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结构专业负责人</w:t>
            </w:r>
          </w:p>
        </w:tc>
        <w:tc>
          <w:tcPr>
            <w:tcW w:w="4309" w:type="dxa"/>
            <w:tcBorders>
              <w:top w:val="single" w:color="auto" w:sz="4" w:space="0"/>
              <w:left w:val="nil"/>
              <w:bottom w:val="single" w:color="auto" w:sz="4" w:space="0"/>
              <w:right w:val="single" w:color="auto" w:sz="4" w:space="0"/>
            </w:tcBorders>
            <w:vAlign w:val="center"/>
          </w:tcPr>
          <w:p w14:paraId="67C2713B">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具有</w:t>
            </w:r>
            <w:r>
              <w:rPr>
                <w:rFonts w:hint="eastAsia" w:ascii="宋体" w:hAnsi="宋体" w:eastAsia="宋体" w:cs="宋体"/>
                <w:color w:val="000000" w:themeColor="text1"/>
                <w:sz w:val="21"/>
                <w:szCs w:val="21"/>
                <w:highlight w:val="none"/>
                <w14:textFill>
                  <w14:solidFill>
                    <w14:schemeClr w14:val="tx1"/>
                  </w14:solidFill>
                </w14:textFill>
              </w:rPr>
              <w:t>一级注册结构工程师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4E77DA17">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00C27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5DEF61DF">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4</w:t>
            </w:r>
          </w:p>
        </w:tc>
        <w:tc>
          <w:tcPr>
            <w:tcW w:w="2124" w:type="dxa"/>
            <w:tcBorders>
              <w:top w:val="single" w:color="auto" w:sz="4" w:space="0"/>
              <w:left w:val="nil"/>
              <w:bottom w:val="single" w:color="auto" w:sz="4" w:space="0"/>
              <w:right w:val="single" w:color="auto" w:sz="4" w:space="0"/>
            </w:tcBorders>
            <w:vAlign w:val="center"/>
          </w:tcPr>
          <w:p w14:paraId="64362913">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园林专业负责人</w:t>
            </w:r>
          </w:p>
        </w:tc>
        <w:tc>
          <w:tcPr>
            <w:tcW w:w="4309" w:type="dxa"/>
            <w:tcBorders>
              <w:top w:val="single" w:color="auto" w:sz="4" w:space="0"/>
              <w:left w:val="nil"/>
              <w:bottom w:val="single" w:color="auto" w:sz="4" w:space="0"/>
              <w:right w:val="single" w:color="auto" w:sz="4" w:space="0"/>
            </w:tcBorders>
            <w:vAlign w:val="center"/>
          </w:tcPr>
          <w:p w14:paraId="230A2ACA">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本专业（含相近专业）</w:t>
            </w:r>
            <w:r>
              <w:rPr>
                <w:rFonts w:hint="default" w:ascii="宋体" w:hAnsi="宋体" w:eastAsia="宋体" w:cs="宋体"/>
                <w:color w:val="000000" w:themeColor="text1"/>
                <w:sz w:val="21"/>
                <w:szCs w:val="21"/>
                <w:highlight w:val="none"/>
                <w:lang w:val="en-US"/>
                <w14:textFill>
                  <w14:solidFill>
                    <w14:schemeClr w14:val="tx1"/>
                  </w14:solidFill>
                </w14:textFill>
              </w:rPr>
              <w:t>高</w:t>
            </w:r>
            <w:r>
              <w:rPr>
                <w:rFonts w:hint="eastAsia" w:ascii="宋体" w:hAnsi="宋体" w:eastAsia="宋体" w:cs="宋体"/>
                <w:color w:val="000000" w:themeColor="text1"/>
                <w:sz w:val="21"/>
                <w:szCs w:val="21"/>
                <w:highlight w:val="none"/>
                <w14:textFill>
                  <w14:solidFill>
                    <w14:schemeClr w14:val="tx1"/>
                  </w14:solidFill>
                </w14:textFill>
              </w:rPr>
              <w:t>级技术职称，或中级技术职称从事本专业工作10年以上（专业工作年限以取得大专（或以上）毕业证书时间起计）。</w:t>
            </w:r>
          </w:p>
        </w:tc>
        <w:tc>
          <w:tcPr>
            <w:tcW w:w="1296" w:type="dxa"/>
            <w:tcBorders>
              <w:top w:val="single" w:color="auto" w:sz="4" w:space="0"/>
              <w:left w:val="nil"/>
              <w:bottom w:val="single" w:color="auto" w:sz="4" w:space="0"/>
              <w:right w:val="single" w:color="auto" w:sz="4" w:space="0"/>
            </w:tcBorders>
            <w:vAlign w:val="center"/>
          </w:tcPr>
          <w:p w14:paraId="50D32DAF">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78045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46A262A">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5</w:t>
            </w:r>
          </w:p>
        </w:tc>
        <w:tc>
          <w:tcPr>
            <w:tcW w:w="2124" w:type="dxa"/>
            <w:tcBorders>
              <w:top w:val="single" w:color="auto" w:sz="4" w:space="0"/>
              <w:left w:val="nil"/>
              <w:bottom w:val="single" w:color="auto" w:sz="4" w:space="0"/>
              <w:right w:val="single" w:color="auto" w:sz="4" w:space="0"/>
            </w:tcBorders>
            <w:vAlign w:val="center"/>
          </w:tcPr>
          <w:p w14:paraId="595B9E09">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给排水专业负责人</w:t>
            </w:r>
          </w:p>
        </w:tc>
        <w:tc>
          <w:tcPr>
            <w:tcW w:w="4309" w:type="dxa"/>
            <w:tcBorders>
              <w:top w:val="single" w:color="auto" w:sz="4" w:space="0"/>
              <w:left w:val="nil"/>
              <w:bottom w:val="single" w:color="auto" w:sz="4" w:space="0"/>
              <w:right w:val="single" w:color="auto" w:sz="4" w:space="0"/>
            </w:tcBorders>
            <w:vAlign w:val="center"/>
          </w:tcPr>
          <w:p w14:paraId="62B207CF">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具有注册公用设备工程师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54A128A0">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41BB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38FC02D5">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6</w:t>
            </w:r>
          </w:p>
        </w:tc>
        <w:tc>
          <w:tcPr>
            <w:tcW w:w="2124" w:type="dxa"/>
            <w:tcBorders>
              <w:top w:val="single" w:color="auto" w:sz="4" w:space="0"/>
              <w:left w:val="nil"/>
              <w:bottom w:val="single" w:color="auto" w:sz="4" w:space="0"/>
              <w:right w:val="single" w:color="auto" w:sz="4" w:space="0"/>
            </w:tcBorders>
            <w:vAlign w:val="center"/>
          </w:tcPr>
          <w:p w14:paraId="05414B51">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电气专业负责人</w:t>
            </w:r>
          </w:p>
        </w:tc>
        <w:tc>
          <w:tcPr>
            <w:tcW w:w="4309" w:type="dxa"/>
            <w:tcBorders>
              <w:top w:val="single" w:color="auto" w:sz="4" w:space="0"/>
              <w:left w:val="nil"/>
              <w:bottom w:val="single" w:color="auto" w:sz="4" w:space="0"/>
              <w:right w:val="single" w:color="auto" w:sz="4" w:space="0"/>
            </w:tcBorders>
            <w:vAlign w:val="center"/>
          </w:tcPr>
          <w:p w14:paraId="3A85E24D">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具有注册电气工程师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462079E4">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1DED5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66F0E96">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7</w:t>
            </w:r>
          </w:p>
        </w:tc>
        <w:tc>
          <w:tcPr>
            <w:tcW w:w="2124" w:type="dxa"/>
            <w:tcBorders>
              <w:top w:val="single" w:color="auto" w:sz="4" w:space="0"/>
              <w:left w:val="nil"/>
              <w:bottom w:val="single" w:color="auto" w:sz="4" w:space="0"/>
              <w:right w:val="single" w:color="auto" w:sz="4" w:space="0"/>
            </w:tcBorders>
            <w:vAlign w:val="center"/>
          </w:tcPr>
          <w:p w14:paraId="3F71DB2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弱电专业负责人</w:t>
            </w:r>
          </w:p>
        </w:tc>
        <w:tc>
          <w:tcPr>
            <w:tcW w:w="4309" w:type="dxa"/>
            <w:tcBorders>
              <w:top w:val="single" w:color="auto" w:sz="4" w:space="0"/>
              <w:left w:val="nil"/>
              <w:bottom w:val="single" w:color="auto" w:sz="4" w:space="0"/>
              <w:right w:val="single" w:color="auto" w:sz="4" w:space="0"/>
            </w:tcBorders>
            <w:vAlign w:val="center"/>
          </w:tcPr>
          <w:p w14:paraId="5A421687">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具有注册电气工程师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7E2936D3">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55962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2AD5D81C">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8</w:t>
            </w:r>
          </w:p>
        </w:tc>
        <w:tc>
          <w:tcPr>
            <w:tcW w:w="2124" w:type="dxa"/>
            <w:tcBorders>
              <w:top w:val="single" w:color="auto" w:sz="4" w:space="0"/>
              <w:left w:val="nil"/>
              <w:bottom w:val="single" w:color="auto" w:sz="4" w:space="0"/>
              <w:right w:val="single" w:color="auto" w:sz="4" w:space="0"/>
            </w:tcBorders>
            <w:vAlign w:val="center"/>
          </w:tcPr>
          <w:p w14:paraId="757CA6E0">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暖通空调专业负责人</w:t>
            </w:r>
          </w:p>
        </w:tc>
        <w:tc>
          <w:tcPr>
            <w:tcW w:w="4309" w:type="dxa"/>
            <w:tcBorders>
              <w:top w:val="single" w:color="auto" w:sz="4" w:space="0"/>
              <w:left w:val="nil"/>
              <w:bottom w:val="single" w:color="auto" w:sz="4" w:space="0"/>
              <w:right w:val="single" w:color="auto" w:sz="4" w:space="0"/>
            </w:tcBorders>
            <w:vAlign w:val="center"/>
          </w:tcPr>
          <w:p w14:paraId="2854DDE3">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具有注册公用设备工程师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5C1F0BC4">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01D4D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88E082F">
            <w:pPr>
              <w:spacing w:line="360" w:lineRule="auto"/>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9</w:t>
            </w:r>
          </w:p>
        </w:tc>
        <w:tc>
          <w:tcPr>
            <w:tcW w:w="2124" w:type="dxa"/>
            <w:tcBorders>
              <w:top w:val="single" w:color="auto" w:sz="4" w:space="0"/>
              <w:left w:val="nil"/>
              <w:bottom w:val="single" w:color="auto" w:sz="4" w:space="0"/>
              <w:right w:val="single" w:color="auto" w:sz="4" w:space="0"/>
            </w:tcBorders>
            <w:vAlign w:val="center"/>
          </w:tcPr>
          <w:p w14:paraId="5555EDB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造价专业负责人</w:t>
            </w:r>
          </w:p>
        </w:tc>
        <w:tc>
          <w:tcPr>
            <w:tcW w:w="4309" w:type="dxa"/>
            <w:tcBorders>
              <w:top w:val="single" w:color="auto" w:sz="4" w:space="0"/>
              <w:left w:val="nil"/>
              <w:bottom w:val="single" w:color="auto" w:sz="4" w:space="0"/>
              <w:right w:val="single" w:color="auto" w:sz="4" w:space="0"/>
            </w:tcBorders>
            <w:vAlign w:val="center"/>
          </w:tcPr>
          <w:p w14:paraId="388CDD07">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具有一级注册造价工程师资格</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6B932A1B">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r w14:paraId="42D41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6F22BD2E">
            <w:pPr>
              <w:spacing w:line="360" w:lineRule="auto"/>
              <w:jc w:val="center"/>
              <w:rPr>
                <w:rFonts w:hint="default"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10</w:t>
            </w:r>
          </w:p>
        </w:tc>
        <w:tc>
          <w:tcPr>
            <w:tcW w:w="2124" w:type="dxa"/>
            <w:tcBorders>
              <w:top w:val="single" w:color="auto" w:sz="4" w:space="0"/>
              <w:left w:val="nil"/>
              <w:bottom w:val="single" w:color="auto" w:sz="4" w:space="0"/>
              <w:right w:val="single" w:color="auto" w:sz="4" w:space="0"/>
            </w:tcBorders>
            <w:vAlign w:val="center"/>
          </w:tcPr>
          <w:p w14:paraId="51858ABA">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智能化</w:t>
            </w:r>
            <w:r>
              <w:rPr>
                <w:rFonts w:hint="eastAsia" w:ascii="宋体" w:hAnsi="宋体" w:eastAsia="宋体" w:cs="宋体"/>
                <w:color w:val="000000" w:themeColor="text1"/>
                <w:sz w:val="21"/>
                <w:szCs w:val="21"/>
                <w:highlight w:val="none"/>
                <w14:textFill>
                  <w14:solidFill>
                    <w14:schemeClr w14:val="tx1"/>
                  </w14:solidFill>
                </w14:textFill>
              </w:rPr>
              <w:t>专业负责人</w:t>
            </w:r>
          </w:p>
        </w:tc>
        <w:tc>
          <w:tcPr>
            <w:tcW w:w="4309" w:type="dxa"/>
            <w:tcBorders>
              <w:top w:val="single" w:color="auto" w:sz="4" w:space="0"/>
              <w:left w:val="nil"/>
              <w:bottom w:val="single" w:color="auto" w:sz="4" w:space="0"/>
              <w:right w:val="single" w:color="auto" w:sz="4" w:space="0"/>
            </w:tcBorders>
            <w:vAlign w:val="center"/>
          </w:tcPr>
          <w:p w14:paraId="17D8A16C">
            <w:pPr>
              <w:spacing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具有注册电气工程师</w:t>
            </w:r>
            <w:r>
              <w:rPr>
                <w:rFonts w:hint="eastAsia" w:ascii="宋体" w:hAnsi="宋体" w:eastAsia="宋体" w:cs="宋体"/>
                <w:color w:val="000000" w:themeColor="text1"/>
                <w:sz w:val="21"/>
                <w:szCs w:val="21"/>
                <w:highlight w:val="none"/>
                <w:lang w:val="en-US" w:eastAsia="zh-CN"/>
                <w14:textFill>
                  <w14:solidFill>
                    <w14:schemeClr w14:val="tx1"/>
                  </w14:solidFill>
                </w14:textFill>
              </w:rPr>
              <w:t>资格</w:t>
            </w:r>
            <w:r>
              <w:rPr>
                <w:rFonts w:hint="eastAsia" w:ascii="宋体" w:hAnsi="宋体" w:eastAsia="宋体" w:cs="宋体"/>
                <w:color w:val="000000" w:themeColor="text1"/>
                <w:sz w:val="21"/>
                <w:szCs w:val="21"/>
                <w:highlight w:val="none"/>
                <w14:textFill>
                  <w14:solidFill>
                    <w14:schemeClr w14:val="tx1"/>
                  </w14:solidFill>
                </w14:textFill>
              </w:rPr>
              <w:t>。</w:t>
            </w:r>
          </w:p>
        </w:tc>
        <w:tc>
          <w:tcPr>
            <w:tcW w:w="1296" w:type="dxa"/>
            <w:tcBorders>
              <w:top w:val="single" w:color="auto" w:sz="4" w:space="0"/>
              <w:left w:val="nil"/>
              <w:bottom w:val="single" w:color="auto" w:sz="4" w:space="0"/>
              <w:right w:val="single" w:color="auto" w:sz="4" w:space="0"/>
            </w:tcBorders>
            <w:vAlign w:val="center"/>
          </w:tcPr>
          <w:p w14:paraId="300199BC">
            <w:pPr>
              <w:spacing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r>
    </w:tbl>
    <w:p w14:paraId="70A493CA">
      <w:pPr>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备注：</w:t>
      </w:r>
    </w:p>
    <w:p w14:paraId="74C6A324">
      <w:pPr>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（1）如有其他未提及专业应满足表中最低要求。</w:t>
      </w:r>
    </w:p>
    <w:p w14:paraId="036D988A">
      <w:pPr>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一级注册造价工程师是指根据住房城乡建设部、交通运输部、水利部、人力资源社会保障部发布的《造价工程师职业资格制度规定》、《造价工程师职业资格考试实施办法》（建人［2018］67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14:paraId="1E818E5F">
      <w:pPr>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（3）每专业其他参与设计工作人员不少于1人，要求相应专业注册工程师或本专业（含相近专业）中级或以上技术职称。</w:t>
      </w:r>
    </w:p>
    <w:p w14:paraId="6B3F9ABE">
      <w:pPr>
        <w:spacing w:line="360" w:lineRule="auto"/>
        <w:ind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 xml:space="preserve">（4）若设计工作不满足工程进度要求，发包人可要求承包人全部设计人员（包括各专业设计人和项目负责人员）驻场设计，时间可从签订设计合同开始到施工图设计完成为止。 </w:t>
      </w:r>
    </w:p>
    <w:p w14:paraId="022048C3">
      <w:pPr>
        <w:spacing w:line="360" w:lineRule="auto"/>
        <w:rPr>
          <w:rFonts w:hint="eastAsia" w:ascii="宋体" w:hAnsi="宋体" w:eastAsia="宋体" w:cs="宋体"/>
          <w:b/>
          <w:bCs/>
          <w:color w:val="000000" w:themeColor="text1"/>
          <w:sz w:val="24"/>
          <w:szCs w:val="24"/>
          <w:highlight w:val="none"/>
          <w14:textFill>
            <w14:solidFill>
              <w14:schemeClr w14:val="tx1"/>
            </w14:solidFill>
          </w14:textFill>
        </w:rPr>
      </w:pPr>
      <w:r>
        <w:rPr>
          <w:rFonts w:ascii="宋体" w:hAnsi="宋体" w:eastAsia="宋体" w:cs="宋体"/>
          <w:b/>
          <w:bCs/>
          <w:color w:val="000000" w:themeColor="text1"/>
          <w:sz w:val="24"/>
          <w:szCs w:val="24"/>
          <w:highlight w:val="none"/>
          <w14:textFill>
            <w14:solidFill>
              <w14:schemeClr w14:val="tx1"/>
            </w14:solidFill>
          </w14:textFill>
        </w:rPr>
        <w:t>2.</w:t>
      </w:r>
      <w:r>
        <w:rPr>
          <w:rFonts w:hint="eastAsia" w:ascii="宋体" w:hAnsi="宋体" w:eastAsia="宋体" w:cs="宋体"/>
          <w:b/>
          <w:bCs/>
          <w:color w:val="000000" w:themeColor="text1"/>
          <w:sz w:val="24"/>
          <w:szCs w:val="24"/>
          <w:highlight w:val="none"/>
          <w14:textFill>
            <w14:solidFill>
              <w14:schemeClr w14:val="tx1"/>
            </w14:solidFill>
          </w14:textFill>
        </w:rPr>
        <w:t>设计人员组织管理要求主要如下（包含但不限于以下要求）：</w:t>
      </w:r>
    </w:p>
    <w:p w14:paraId="2B941D4F">
      <w:pPr>
        <w:numPr>
          <w:ilvl w:val="255"/>
          <w:numId w:val="0"/>
        </w:numPr>
        <w:tabs>
          <w:tab w:val="left" w:pos="896"/>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2.1</w:t>
      </w:r>
      <w:r>
        <w:rPr>
          <w:rFonts w:hint="eastAsia" w:ascii="宋体" w:hAnsi="宋体" w:eastAsia="宋体" w:cs="宋体"/>
          <w:color w:val="000000" w:themeColor="text1"/>
          <w:sz w:val="24"/>
          <w:szCs w:val="24"/>
          <w:highlight w:val="none"/>
          <w14:textFill>
            <w14:solidFill>
              <w14:schemeClr w14:val="tx1"/>
            </w14:solidFill>
          </w14:textFill>
        </w:rPr>
        <w:t>承包人必须集中设计力量确保设计进度。</w:t>
      </w:r>
    </w:p>
    <w:p w14:paraId="6C352994">
      <w:pPr>
        <w:numPr>
          <w:ilvl w:val="255"/>
          <w:numId w:val="0"/>
        </w:numPr>
        <w:tabs>
          <w:tab w:val="left" w:pos="896"/>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2.2</w:t>
      </w:r>
      <w:r>
        <w:rPr>
          <w:rFonts w:hint="eastAsia" w:ascii="宋体" w:hAnsi="宋体" w:eastAsia="宋体" w:cs="宋体"/>
          <w:color w:val="000000" w:themeColor="text1"/>
          <w:sz w:val="24"/>
          <w:szCs w:val="24"/>
          <w:highlight w:val="none"/>
          <w14:textFill>
            <w14:solidFill>
              <w14:schemeClr w14:val="tx1"/>
            </w14:solidFill>
          </w14:textFill>
        </w:rPr>
        <w:t>承包人在明确分工各负其责的基础上，按照招标文件所列要求承诺为本项目合同约定项目指定的设计负责人、各专业设计负责人、各专业设计人、报建协调人，并向建设管理单位出具相应的授权文件。</w:t>
      </w:r>
    </w:p>
    <w:p w14:paraId="4E89075A">
      <w:pPr>
        <w:numPr>
          <w:ilvl w:val="255"/>
          <w:numId w:val="0"/>
        </w:numPr>
        <w:tabs>
          <w:tab w:val="left" w:pos="913"/>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2.3</w:t>
      </w:r>
      <w:r>
        <w:rPr>
          <w:rFonts w:hint="eastAsia" w:ascii="宋体" w:hAnsi="宋体" w:eastAsia="宋体" w:cs="宋体"/>
          <w:color w:val="000000" w:themeColor="text1"/>
          <w:sz w:val="24"/>
          <w:szCs w:val="24"/>
          <w:highlight w:val="none"/>
          <w14:textFill>
            <w14:solidFill>
              <w14:schemeClr w14:val="tx1"/>
            </w14:solidFill>
          </w14:textFill>
        </w:rPr>
        <w:t>项目设计负责人，各专业设计负责人应能够胜任所承担任务的设计、组织、计划、协调工作。</w:t>
      </w:r>
    </w:p>
    <w:p w14:paraId="79EBF9CF">
      <w:pPr>
        <w:numPr>
          <w:ilvl w:val="255"/>
          <w:numId w:val="0"/>
        </w:numPr>
        <w:tabs>
          <w:tab w:val="left" w:pos="896"/>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2.4</w:t>
      </w:r>
      <w:r>
        <w:rPr>
          <w:rFonts w:hint="eastAsia" w:ascii="宋体" w:hAnsi="宋体" w:eastAsia="宋体" w:cs="宋体"/>
          <w:color w:val="000000" w:themeColor="text1"/>
          <w:sz w:val="24"/>
          <w:szCs w:val="24"/>
          <w:highlight w:val="none"/>
          <w14:textFill>
            <w14:solidFill>
              <w14:schemeClr w14:val="tx1"/>
            </w14:solidFill>
          </w14:textFill>
        </w:rPr>
        <w:t>须报送项目设计负责人、各专业设计负责人、其他参与设计工作的主要人员姓名、年龄、学历、专业、职称、职务、相关经历和主要技术成果以及在本合同约定项目中负责的设计任务等资料。</w:t>
      </w:r>
    </w:p>
    <w:p w14:paraId="6CDB6C8A">
      <w:pPr>
        <w:numPr>
          <w:ilvl w:val="255"/>
          <w:numId w:val="0"/>
        </w:numPr>
        <w:tabs>
          <w:tab w:val="left" w:pos="896"/>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2.5</w:t>
      </w:r>
      <w:r>
        <w:rPr>
          <w:rFonts w:hint="eastAsia" w:ascii="宋体" w:hAnsi="宋体" w:eastAsia="宋体" w:cs="宋体"/>
          <w:color w:val="000000" w:themeColor="text1"/>
          <w:sz w:val="24"/>
          <w:szCs w:val="24"/>
          <w:highlight w:val="none"/>
          <w14:textFill>
            <w14:solidFill>
              <w14:schemeClr w14:val="tx1"/>
            </w14:solidFill>
          </w14:textFill>
        </w:rPr>
        <w:t>必须保证参与本项目各设计部分人员的稳定性，不可随意撤换，且短时离开本地须向项目发包人请假并制定离开后的协调人，否则必须承担相应责任。</w:t>
      </w:r>
    </w:p>
    <w:p w14:paraId="38DFCB2A">
      <w:pPr>
        <w:numPr>
          <w:ilvl w:val="255"/>
          <w:numId w:val="0"/>
        </w:numPr>
        <w:tabs>
          <w:tab w:val="left" w:pos="899"/>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2.6</w:t>
      </w:r>
      <w:r>
        <w:rPr>
          <w:rFonts w:hint="eastAsia" w:ascii="宋体" w:hAnsi="宋体" w:eastAsia="宋体" w:cs="宋体"/>
          <w:color w:val="000000" w:themeColor="text1"/>
          <w:sz w:val="24"/>
          <w:szCs w:val="24"/>
          <w:highlight w:val="none"/>
          <w14:textFill>
            <w14:solidFill>
              <w14:schemeClr w14:val="tx1"/>
            </w14:solidFill>
          </w14:textFill>
        </w:rPr>
        <w:t>发包人有权随时以书面形式要求中标人更换不合格或不称职的设计人员，无正当理由设计人不得拒绝。设计人应自接到发包人更换设计人员的书面通知之日起一周内将变更后的设计人员名录书面通知发包人，并将其业绩等资料送发包人审核，直至发包人认可。</w:t>
      </w:r>
    </w:p>
    <w:p w14:paraId="7C81ECC9">
      <w:pPr>
        <w:tabs>
          <w:tab w:val="left" w:pos="896"/>
        </w:tabs>
        <w:autoSpaceDE w:val="0"/>
        <w:autoSpaceDN w:val="0"/>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2.7</w:t>
      </w: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应安排专人（至少1名）全面配合跟进所有报审报建工作（包括提供</w:t>
      </w:r>
      <w:r>
        <w:rPr>
          <w:rFonts w:hint="eastAsia" w:ascii="宋体" w:hAnsi="宋体" w:eastAsia="宋体" w:cs="宋体"/>
          <w:color w:val="000000" w:themeColor="text1"/>
          <w:spacing w:val="-3"/>
          <w:sz w:val="24"/>
          <w:szCs w:val="24"/>
          <w:highlight w:val="none"/>
          <w14:textFill>
            <w14:solidFill>
              <w14:schemeClr w14:val="tx1"/>
            </w14:solidFill>
          </w14:textFill>
        </w:rPr>
        <w:t>项</w:t>
      </w:r>
      <w:r>
        <w:rPr>
          <w:rFonts w:hint="eastAsia" w:ascii="宋体" w:hAnsi="宋体" w:eastAsia="宋体" w:cs="宋体"/>
          <w:color w:val="000000" w:themeColor="text1"/>
          <w:spacing w:val="-5"/>
          <w:sz w:val="24"/>
          <w:szCs w:val="24"/>
          <w:highlight w:val="none"/>
          <w14:textFill>
            <w14:solidFill>
              <w14:schemeClr w14:val="tx1"/>
            </w14:solidFill>
          </w14:textFill>
        </w:rPr>
        <w:t>目</w:t>
      </w:r>
      <w:r>
        <w:rPr>
          <w:rFonts w:hint="eastAsia" w:ascii="宋体" w:hAnsi="宋体" w:eastAsia="宋体" w:cs="宋体"/>
          <w:color w:val="000000" w:themeColor="text1"/>
          <w:spacing w:val="-3"/>
          <w:sz w:val="24"/>
          <w:szCs w:val="24"/>
          <w:highlight w:val="none"/>
          <w14:textFill>
            <w14:solidFill>
              <w14:schemeClr w14:val="tx1"/>
            </w14:solidFill>
          </w14:textFill>
        </w:rPr>
        <w:t>发包人</w:t>
      </w:r>
      <w:r>
        <w:rPr>
          <w:rFonts w:hint="eastAsia" w:ascii="宋体" w:hAnsi="宋体" w:eastAsia="宋体" w:cs="宋体"/>
          <w:color w:val="000000" w:themeColor="text1"/>
          <w:spacing w:val="-5"/>
          <w:sz w:val="24"/>
          <w:szCs w:val="24"/>
          <w:highlight w:val="none"/>
          <w14:textFill>
            <w14:solidFill>
              <w14:schemeClr w14:val="tx1"/>
            </w14:solidFill>
          </w14:textFill>
        </w:rPr>
        <w:t>报</w:t>
      </w:r>
      <w:r>
        <w:rPr>
          <w:rFonts w:hint="eastAsia" w:ascii="宋体" w:hAnsi="宋体" w:eastAsia="宋体" w:cs="宋体"/>
          <w:color w:val="000000" w:themeColor="text1"/>
          <w:spacing w:val="-3"/>
          <w:sz w:val="24"/>
          <w:szCs w:val="24"/>
          <w:highlight w:val="none"/>
          <w14:textFill>
            <w14:solidFill>
              <w14:schemeClr w14:val="tx1"/>
            </w14:solidFill>
          </w14:textFill>
        </w:rPr>
        <w:t>审报建</w:t>
      </w:r>
      <w:r>
        <w:rPr>
          <w:rFonts w:hint="eastAsia" w:ascii="宋体" w:hAnsi="宋体" w:eastAsia="宋体" w:cs="宋体"/>
          <w:color w:val="000000" w:themeColor="text1"/>
          <w:spacing w:val="-5"/>
          <w:sz w:val="24"/>
          <w:szCs w:val="24"/>
          <w:highlight w:val="none"/>
          <w14:textFill>
            <w14:solidFill>
              <w14:schemeClr w14:val="tx1"/>
            </w14:solidFill>
          </w14:textFill>
        </w:rPr>
        <w:t>及</w:t>
      </w:r>
      <w:r>
        <w:rPr>
          <w:rFonts w:hint="eastAsia" w:ascii="宋体" w:hAnsi="宋体" w:eastAsia="宋体" w:cs="宋体"/>
          <w:color w:val="000000" w:themeColor="text1"/>
          <w:spacing w:val="-3"/>
          <w:sz w:val="24"/>
          <w:szCs w:val="24"/>
          <w:highlight w:val="none"/>
          <w14:textFill>
            <w14:solidFill>
              <w14:schemeClr w14:val="tx1"/>
            </w14:solidFill>
          </w14:textFill>
        </w:rPr>
        <w:t>有关外</w:t>
      </w:r>
      <w:r>
        <w:rPr>
          <w:rFonts w:hint="eastAsia" w:ascii="宋体" w:hAnsi="宋体" w:eastAsia="宋体" w:cs="宋体"/>
          <w:color w:val="000000" w:themeColor="text1"/>
          <w:spacing w:val="-5"/>
          <w:sz w:val="24"/>
          <w:szCs w:val="24"/>
          <w:highlight w:val="none"/>
          <w14:textFill>
            <w14:solidFill>
              <w14:schemeClr w14:val="tx1"/>
            </w14:solidFill>
          </w14:textFill>
        </w:rPr>
        <w:t>出</w:t>
      </w:r>
      <w:r>
        <w:rPr>
          <w:rFonts w:hint="eastAsia" w:ascii="宋体" w:hAnsi="宋体" w:eastAsia="宋体" w:cs="宋体"/>
          <w:color w:val="000000" w:themeColor="text1"/>
          <w:spacing w:val="-3"/>
          <w:sz w:val="24"/>
          <w:szCs w:val="24"/>
          <w:highlight w:val="none"/>
          <w14:textFill>
            <w14:solidFill>
              <w14:schemeClr w14:val="tx1"/>
            </w14:solidFill>
          </w14:textFill>
        </w:rPr>
        <w:t>协调所</w:t>
      </w:r>
      <w:r>
        <w:rPr>
          <w:rFonts w:hint="eastAsia" w:ascii="宋体" w:hAnsi="宋体" w:eastAsia="宋体" w:cs="宋体"/>
          <w:color w:val="000000" w:themeColor="text1"/>
          <w:spacing w:val="-5"/>
          <w:sz w:val="24"/>
          <w:szCs w:val="24"/>
          <w:highlight w:val="none"/>
          <w14:textFill>
            <w14:solidFill>
              <w14:schemeClr w14:val="tx1"/>
            </w14:solidFill>
          </w14:textFill>
        </w:rPr>
        <w:t>需</w:t>
      </w:r>
      <w:r>
        <w:rPr>
          <w:rFonts w:hint="eastAsia" w:ascii="宋体" w:hAnsi="宋体" w:eastAsia="宋体" w:cs="宋体"/>
          <w:color w:val="000000" w:themeColor="text1"/>
          <w:spacing w:val="-3"/>
          <w:sz w:val="24"/>
          <w:szCs w:val="24"/>
          <w:highlight w:val="none"/>
          <w14:textFill>
            <w14:solidFill>
              <w14:schemeClr w14:val="tx1"/>
            </w14:solidFill>
          </w14:textFill>
        </w:rPr>
        <w:t>的交通</w:t>
      </w:r>
      <w:r>
        <w:rPr>
          <w:rFonts w:hint="eastAsia" w:ascii="宋体" w:hAnsi="宋体" w:eastAsia="宋体" w:cs="宋体"/>
          <w:color w:val="000000" w:themeColor="text1"/>
          <w:spacing w:val="-5"/>
          <w:sz w:val="24"/>
          <w:szCs w:val="24"/>
          <w:highlight w:val="none"/>
          <w14:textFill>
            <w14:solidFill>
              <w14:schemeClr w14:val="tx1"/>
            </w14:solidFill>
          </w14:textFill>
        </w:rPr>
        <w:t>便</w:t>
      </w:r>
      <w:r>
        <w:rPr>
          <w:rFonts w:hint="eastAsia" w:ascii="宋体" w:hAnsi="宋体" w:eastAsia="宋体" w:cs="宋体"/>
          <w:color w:val="000000" w:themeColor="text1"/>
          <w:spacing w:val="-3"/>
          <w:sz w:val="24"/>
          <w:szCs w:val="24"/>
          <w:highlight w:val="none"/>
          <w14:textFill>
            <w14:solidFill>
              <w14:schemeClr w14:val="tx1"/>
            </w14:solidFill>
          </w14:textFill>
        </w:rPr>
        <w:t>利，包</w:t>
      </w:r>
      <w:r>
        <w:rPr>
          <w:rFonts w:hint="eastAsia" w:ascii="宋体" w:hAnsi="宋体" w:eastAsia="宋体" w:cs="宋体"/>
          <w:color w:val="000000" w:themeColor="text1"/>
          <w:spacing w:val="-5"/>
          <w:sz w:val="24"/>
          <w:szCs w:val="24"/>
          <w:highlight w:val="none"/>
          <w14:textFill>
            <w14:solidFill>
              <w14:schemeClr w14:val="tx1"/>
            </w14:solidFill>
          </w14:textFill>
        </w:rPr>
        <w:t>括</w:t>
      </w:r>
      <w:r>
        <w:rPr>
          <w:rFonts w:hint="eastAsia" w:ascii="宋体" w:hAnsi="宋体" w:eastAsia="宋体" w:cs="宋体"/>
          <w:color w:val="000000" w:themeColor="text1"/>
          <w:spacing w:val="-3"/>
          <w:sz w:val="24"/>
          <w:szCs w:val="24"/>
          <w:highlight w:val="none"/>
          <w14:textFill>
            <w14:solidFill>
              <w14:schemeClr w14:val="tx1"/>
            </w14:solidFill>
          </w14:textFill>
        </w:rPr>
        <w:t>放线测</w:t>
      </w:r>
      <w:r>
        <w:rPr>
          <w:rFonts w:hint="eastAsia" w:ascii="宋体" w:hAnsi="宋体" w:eastAsia="宋体" w:cs="宋体"/>
          <w:color w:val="000000" w:themeColor="text1"/>
          <w:spacing w:val="-5"/>
          <w:sz w:val="24"/>
          <w:szCs w:val="24"/>
          <w:highlight w:val="none"/>
          <w14:textFill>
            <w14:solidFill>
              <w14:schemeClr w14:val="tx1"/>
            </w14:solidFill>
          </w14:textFill>
        </w:rPr>
        <w:t>量</w:t>
      </w:r>
      <w:r>
        <w:rPr>
          <w:rFonts w:hint="eastAsia" w:ascii="宋体" w:hAnsi="宋体" w:eastAsia="宋体" w:cs="宋体"/>
          <w:color w:val="000000" w:themeColor="text1"/>
          <w:spacing w:val="-3"/>
          <w:sz w:val="24"/>
          <w:szCs w:val="24"/>
          <w:highlight w:val="none"/>
          <w14:textFill>
            <w14:solidFill>
              <w14:schemeClr w14:val="tx1"/>
            </w14:solidFill>
          </w14:textFill>
        </w:rPr>
        <w:t>费、公</w:t>
      </w:r>
      <w:r>
        <w:rPr>
          <w:rFonts w:hint="eastAsia" w:ascii="宋体" w:hAnsi="宋体" w:eastAsia="宋体" w:cs="宋体"/>
          <w:color w:val="000000" w:themeColor="text1"/>
          <w:spacing w:val="-5"/>
          <w:sz w:val="24"/>
          <w:szCs w:val="24"/>
          <w:highlight w:val="none"/>
          <w14:textFill>
            <w14:solidFill>
              <w14:schemeClr w14:val="tx1"/>
            </w14:solidFill>
          </w14:textFill>
        </w:rPr>
        <w:t>示</w:t>
      </w:r>
      <w:r>
        <w:rPr>
          <w:rFonts w:hint="eastAsia" w:ascii="宋体" w:hAnsi="宋体" w:eastAsia="宋体" w:cs="宋体"/>
          <w:color w:val="000000" w:themeColor="text1"/>
          <w:spacing w:val="-3"/>
          <w:sz w:val="24"/>
          <w:szCs w:val="24"/>
          <w:highlight w:val="none"/>
          <w14:textFill>
            <w14:solidFill>
              <w14:schemeClr w14:val="tx1"/>
            </w14:solidFill>
          </w14:textFill>
        </w:rPr>
        <w:t>费</w:t>
      </w:r>
      <w:r>
        <w:rPr>
          <w:rFonts w:hint="eastAsia" w:ascii="宋体" w:hAnsi="宋体" w:eastAsia="宋体" w:cs="宋体"/>
          <w:color w:val="000000" w:themeColor="text1"/>
          <w:sz w:val="24"/>
          <w:szCs w:val="24"/>
          <w:highlight w:val="none"/>
          <w14:textFill>
            <w14:solidFill>
              <w14:schemeClr w14:val="tx1"/>
            </w14:solidFill>
          </w14:textFill>
        </w:rPr>
        <w:t>、</w:t>
      </w:r>
      <w:r>
        <w:rPr>
          <w:rFonts w:hint="eastAsia" w:ascii="宋体" w:hAnsi="宋体" w:eastAsia="宋体" w:cs="宋体"/>
          <w:color w:val="000000" w:themeColor="text1"/>
          <w:spacing w:val="-3"/>
          <w:sz w:val="24"/>
          <w:szCs w:val="24"/>
          <w:highlight w:val="none"/>
          <w14:textFill>
            <w14:solidFill>
              <w14:schemeClr w14:val="tx1"/>
            </w14:solidFill>
          </w14:textFill>
        </w:rPr>
        <w:t>购</w:t>
      </w:r>
      <w:r>
        <w:rPr>
          <w:rFonts w:hint="eastAsia" w:ascii="宋体" w:hAnsi="宋体" w:eastAsia="宋体" w:cs="宋体"/>
          <w:color w:val="000000" w:themeColor="text1"/>
          <w:spacing w:val="24"/>
          <w:sz w:val="24"/>
          <w:szCs w:val="24"/>
          <w:highlight w:val="none"/>
          <w14:textFill>
            <w14:solidFill>
              <w14:schemeClr w14:val="tx1"/>
            </w14:solidFill>
          </w14:textFill>
        </w:rPr>
        <w:t>买</w:t>
      </w:r>
      <w:r>
        <w:rPr>
          <w:rFonts w:hint="eastAsia" w:ascii="宋体" w:hAnsi="宋体" w:eastAsia="宋体" w:cs="宋体"/>
          <w:color w:val="000000" w:themeColor="text1"/>
          <w:spacing w:val="-3"/>
          <w:sz w:val="24"/>
          <w:szCs w:val="24"/>
          <w:highlight w:val="none"/>
          <w14:textFill>
            <w14:solidFill>
              <w14:schemeClr w14:val="tx1"/>
            </w14:solidFill>
          </w14:textFill>
        </w:rPr>
        <w:t>地</w:t>
      </w:r>
      <w:r>
        <w:rPr>
          <w:rFonts w:hint="eastAsia" w:ascii="宋体" w:hAnsi="宋体" w:eastAsia="宋体" w:cs="宋体"/>
          <w:color w:val="000000" w:themeColor="text1"/>
          <w:sz w:val="24"/>
          <w:szCs w:val="24"/>
          <w:highlight w:val="none"/>
          <w14:textFill>
            <w14:solidFill>
              <w14:schemeClr w14:val="tx1"/>
            </w14:solidFill>
          </w14:textFill>
        </w:rPr>
        <w:t>形</w:t>
      </w:r>
      <w:r>
        <w:rPr>
          <w:rFonts w:hint="eastAsia" w:ascii="宋体" w:hAnsi="宋体" w:eastAsia="宋体" w:cs="宋体"/>
          <w:color w:val="000000" w:themeColor="text1"/>
          <w:spacing w:val="-3"/>
          <w:sz w:val="24"/>
          <w:szCs w:val="24"/>
          <w:highlight w:val="none"/>
          <w14:textFill>
            <w14:solidFill>
              <w14:schemeClr w14:val="tx1"/>
            </w14:solidFill>
          </w14:textFill>
        </w:rPr>
        <w:t>图、</w:t>
      </w:r>
      <w:r>
        <w:rPr>
          <w:rFonts w:hint="eastAsia" w:ascii="宋体" w:hAnsi="宋体" w:eastAsia="宋体" w:cs="宋体"/>
          <w:color w:val="000000" w:themeColor="text1"/>
          <w:sz w:val="24"/>
          <w:szCs w:val="24"/>
          <w:highlight w:val="none"/>
          <w14:textFill>
            <w14:solidFill>
              <w14:schemeClr w14:val="tx1"/>
            </w14:solidFill>
          </w14:textFill>
        </w:rPr>
        <w:t>管</w:t>
      </w:r>
      <w:r>
        <w:rPr>
          <w:rFonts w:hint="eastAsia" w:ascii="宋体" w:hAnsi="宋体" w:eastAsia="宋体" w:cs="宋体"/>
          <w:color w:val="000000" w:themeColor="text1"/>
          <w:spacing w:val="-3"/>
          <w:sz w:val="24"/>
          <w:szCs w:val="24"/>
          <w:highlight w:val="none"/>
          <w14:textFill>
            <w14:solidFill>
              <w14:schemeClr w14:val="tx1"/>
            </w14:solidFill>
          </w14:textFill>
        </w:rPr>
        <w:t>线</w:t>
      </w:r>
      <w:r>
        <w:rPr>
          <w:rFonts w:hint="eastAsia" w:ascii="宋体" w:hAnsi="宋体" w:eastAsia="宋体" w:cs="宋体"/>
          <w:color w:val="000000" w:themeColor="text1"/>
          <w:sz w:val="24"/>
          <w:szCs w:val="24"/>
          <w:highlight w:val="none"/>
          <w14:textFill>
            <w14:solidFill>
              <w14:schemeClr w14:val="tx1"/>
            </w14:solidFill>
          </w14:textFill>
        </w:rPr>
        <w:t>图</w:t>
      </w:r>
      <w:r>
        <w:rPr>
          <w:rFonts w:hint="eastAsia" w:ascii="宋体" w:hAnsi="宋体" w:eastAsia="宋体" w:cs="宋体"/>
          <w:color w:val="000000" w:themeColor="text1"/>
          <w:spacing w:val="-3"/>
          <w:sz w:val="24"/>
          <w:szCs w:val="24"/>
          <w:highlight w:val="none"/>
          <w14:textFill>
            <w14:solidFill>
              <w14:schemeClr w14:val="tx1"/>
            </w14:solidFill>
          </w14:textFill>
        </w:rPr>
        <w:t>纸、</w:t>
      </w:r>
      <w:r>
        <w:rPr>
          <w:rFonts w:hint="eastAsia" w:ascii="宋体" w:hAnsi="宋体" w:eastAsia="宋体" w:cs="宋体"/>
          <w:color w:val="000000" w:themeColor="text1"/>
          <w:sz w:val="24"/>
          <w:szCs w:val="24"/>
          <w:highlight w:val="none"/>
          <w14:textFill>
            <w14:solidFill>
              <w14:schemeClr w14:val="tx1"/>
            </w14:solidFill>
          </w14:textFill>
        </w:rPr>
        <w:t>加</w:t>
      </w:r>
      <w:r>
        <w:rPr>
          <w:rFonts w:hint="eastAsia" w:ascii="宋体" w:hAnsi="宋体" w:eastAsia="宋体" w:cs="宋体"/>
          <w:color w:val="000000" w:themeColor="text1"/>
          <w:spacing w:val="-3"/>
          <w:sz w:val="24"/>
          <w:szCs w:val="24"/>
          <w:highlight w:val="none"/>
          <w14:textFill>
            <w14:solidFill>
              <w14:schemeClr w14:val="tx1"/>
            </w14:solidFill>
          </w14:textFill>
        </w:rPr>
        <w:t>晒加</w:t>
      </w:r>
      <w:r>
        <w:rPr>
          <w:rFonts w:hint="eastAsia" w:ascii="宋体" w:hAnsi="宋体" w:eastAsia="宋体" w:cs="宋体"/>
          <w:color w:val="000000" w:themeColor="text1"/>
          <w:sz w:val="24"/>
          <w:szCs w:val="24"/>
          <w:highlight w:val="none"/>
          <w14:textFill>
            <w14:solidFill>
              <w14:schemeClr w14:val="tx1"/>
            </w14:solidFill>
          </w14:textFill>
        </w:rPr>
        <w:t>印</w:t>
      </w:r>
      <w:r>
        <w:rPr>
          <w:rFonts w:hint="eastAsia" w:ascii="宋体" w:hAnsi="宋体" w:eastAsia="宋体" w:cs="宋体"/>
          <w:color w:val="000000" w:themeColor="text1"/>
          <w:spacing w:val="-3"/>
          <w:sz w:val="24"/>
          <w:szCs w:val="24"/>
          <w:highlight w:val="none"/>
          <w14:textFill>
            <w14:solidFill>
              <w14:schemeClr w14:val="tx1"/>
            </w14:solidFill>
          </w14:textFill>
        </w:rPr>
        <w:t>图纸</w:t>
      </w:r>
      <w:r>
        <w:rPr>
          <w:rFonts w:hint="eastAsia" w:ascii="宋体" w:hAnsi="宋体" w:eastAsia="宋体" w:cs="宋体"/>
          <w:color w:val="000000" w:themeColor="text1"/>
          <w:sz w:val="24"/>
          <w:szCs w:val="24"/>
          <w:highlight w:val="none"/>
          <w14:textFill>
            <w14:solidFill>
              <w14:schemeClr w14:val="tx1"/>
            </w14:solidFill>
          </w14:textFill>
        </w:rPr>
        <w:t>资</w:t>
      </w:r>
      <w:r>
        <w:rPr>
          <w:rFonts w:hint="eastAsia" w:ascii="宋体" w:hAnsi="宋体" w:eastAsia="宋体" w:cs="宋体"/>
          <w:color w:val="000000" w:themeColor="text1"/>
          <w:spacing w:val="-3"/>
          <w:sz w:val="24"/>
          <w:szCs w:val="24"/>
          <w:highlight w:val="none"/>
          <w14:textFill>
            <w14:solidFill>
              <w14:schemeClr w14:val="tx1"/>
            </w14:solidFill>
          </w14:textFill>
        </w:rPr>
        <w:t>料等</w:t>
      </w:r>
      <w:r>
        <w:rPr>
          <w:rFonts w:hint="eastAsia" w:ascii="宋体" w:hAnsi="宋体" w:eastAsia="宋体" w:cs="宋体"/>
          <w:color w:val="000000" w:themeColor="text1"/>
          <w:sz w:val="24"/>
          <w:szCs w:val="24"/>
          <w:highlight w:val="none"/>
          <w14:textFill>
            <w14:solidFill>
              <w14:schemeClr w14:val="tx1"/>
            </w14:solidFill>
          </w14:textFill>
        </w:rPr>
        <w:t>相</w:t>
      </w:r>
      <w:r>
        <w:rPr>
          <w:rFonts w:hint="eastAsia" w:ascii="宋体" w:hAnsi="宋体" w:eastAsia="宋体" w:cs="宋体"/>
          <w:color w:val="000000" w:themeColor="text1"/>
          <w:spacing w:val="-3"/>
          <w:sz w:val="24"/>
          <w:szCs w:val="24"/>
          <w:highlight w:val="none"/>
          <w14:textFill>
            <w14:solidFill>
              <w14:schemeClr w14:val="tx1"/>
            </w14:solidFill>
          </w14:textFill>
        </w:rPr>
        <w:t>关</w:t>
      </w:r>
      <w:r>
        <w:rPr>
          <w:rFonts w:hint="eastAsia" w:ascii="宋体" w:hAnsi="宋体" w:eastAsia="宋体" w:cs="宋体"/>
          <w:color w:val="000000" w:themeColor="text1"/>
          <w:sz w:val="24"/>
          <w:szCs w:val="24"/>
          <w:highlight w:val="none"/>
          <w14:textFill>
            <w14:solidFill>
              <w14:schemeClr w14:val="tx1"/>
            </w14:solidFill>
          </w14:textFill>
        </w:rPr>
        <w:t>报</w:t>
      </w:r>
      <w:r>
        <w:rPr>
          <w:rFonts w:hint="eastAsia" w:ascii="宋体" w:hAnsi="宋体" w:eastAsia="宋体" w:cs="宋体"/>
          <w:color w:val="000000" w:themeColor="text1"/>
          <w:spacing w:val="-3"/>
          <w:sz w:val="24"/>
          <w:szCs w:val="24"/>
          <w:highlight w:val="none"/>
          <w14:textFill>
            <w14:solidFill>
              <w14:schemeClr w14:val="tx1"/>
            </w14:solidFill>
          </w14:textFill>
        </w:rPr>
        <w:t>建费</w:t>
      </w:r>
      <w:r>
        <w:rPr>
          <w:rFonts w:hint="eastAsia" w:ascii="宋体" w:hAnsi="宋体" w:eastAsia="宋体" w:cs="宋体"/>
          <w:color w:val="000000" w:themeColor="text1"/>
          <w:sz w:val="24"/>
          <w:szCs w:val="24"/>
          <w:highlight w:val="none"/>
          <w14:textFill>
            <w14:solidFill>
              <w14:schemeClr w14:val="tx1"/>
            </w14:solidFill>
          </w14:textFill>
        </w:rPr>
        <w:t>用</w:t>
      </w:r>
      <w:r>
        <w:rPr>
          <w:rFonts w:hint="eastAsia" w:ascii="宋体" w:hAnsi="宋体" w:eastAsia="宋体" w:cs="宋体"/>
          <w:color w:val="000000" w:themeColor="text1"/>
          <w:spacing w:val="-3"/>
          <w:sz w:val="24"/>
          <w:szCs w:val="24"/>
          <w:highlight w:val="none"/>
          <w14:textFill>
            <w14:solidFill>
              <w14:schemeClr w14:val="tx1"/>
            </w14:solidFill>
          </w14:textFill>
        </w:rPr>
        <w:t>、各</w:t>
      </w:r>
      <w:r>
        <w:rPr>
          <w:rFonts w:hint="eastAsia" w:ascii="宋体" w:hAnsi="宋体" w:eastAsia="宋体" w:cs="宋体"/>
          <w:color w:val="000000" w:themeColor="text1"/>
          <w:sz w:val="24"/>
          <w:szCs w:val="24"/>
          <w:highlight w:val="none"/>
          <w14:textFill>
            <w14:solidFill>
              <w14:schemeClr w14:val="tx1"/>
            </w14:solidFill>
          </w14:textFill>
        </w:rPr>
        <w:t>阶</w:t>
      </w:r>
      <w:r>
        <w:rPr>
          <w:rFonts w:hint="eastAsia" w:ascii="宋体" w:hAnsi="宋体" w:eastAsia="宋体" w:cs="宋体"/>
          <w:color w:val="000000" w:themeColor="text1"/>
          <w:spacing w:val="-3"/>
          <w:sz w:val="24"/>
          <w:szCs w:val="24"/>
          <w:highlight w:val="none"/>
          <w14:textFill>
            <w14:solidFill>
              <w14:schemeClr w14:val="tx1"/>
            </w14:solidFill>
          </w14:textFill>
        </w:rPr>
        <w:t>段的</w:t>
      </w:r>
      <w:r>
        <w:rPr>
          <w:rFonts w:hint="eastAsia" w:ascii="宋体" w:hAnsi="宋体" w:eastAsia="宋体" w:cs="宋体"/>
          <w:color w:val="000000" w:themeColor="text1"/>
          <w:sz w:val="24"/>
          <w:szCs w:val="24"/>
          <w:highlight w:val="none"/>
          <w14:textFill>
            <w14:solidFill>
              <w14:schemeClr w14:val="tx1"/>
            </w14:solidFill>
          </w14:textFill>
        </w:rPr>
        <w:t>汇</w:t>
      </w:r>
      <w:r>
        <w:rPr>
          <w:rFonts w:hint="eastAsia" w:ascii="宋体" w:hAnsi="宋体" w:eastAsia="宋体" w:cs="宋体"/>
          <w:color w:val="000000" w:themeColor="text1"/>
          <w:spacing w:val="-3"/>
          <w:sz w:val="24"/>
          <w:szCs w:val="24"/>
          <w:highlight w:val="none"/>
          <w14:textFill>
            <w14:solidFill>
              <w14:schemeClr w14:val="tx1"/>
            </w14:solidFill>
          </w14:textFill>
        </w:rPr>
        <w:t>报文</w:t>
      </w:r>
      <w:r>
        <w:rPr>
          <w:rFonts w:hint="eastAsia" w:ascii="宋体" w:hAnsi="宋体" w:eastAsia="宋体" w:cs="宋体"/>
          <w:color w:val="000000" w:themeColor="text1"/>
          <w:sz w:val="24"/>
          <w:szCs w:val="24"/>
          <w:highlight w:val="none"/>
          <w14:textFill>
            <w14:solidFill>
              <w14:schemeClr w14:val="tx1"/>
            </w14:solidFill>
          </w14:textFill>
        </w:rPr>
        <w:t>件</w:t>
      </w:r>
      <w:r>
        <w:rPr>
          <w:rFonts w:hint="eastAsia" w:ascii="宋体" w:hAnsi="宋体" w:eastAsia="宋体" w:cs="宋体"/>
          <w:color w:val="000000" w:themeColor="text1"/>
          <w:spacing w:val="-3"/>
          <w:sz w:val="24"/>
          <w:szCs w:val="24"/>
          <w:highlight w:val="none"/>
          <w14:textFill>
            <w14:solidFill>
              <w14:schemeClr w14:val="tx1"/>
            </w14:solidFill>
          </w14:textFill>
        </w:rPr>
        <w:t>和</w:t>
      </w:r>
      <w:r>
        <w:rPr>
          <w:rFonts w:hint="eastAsia" w:ascii="宋体" w:hAnsi="宋体" w:eastAsia="宋体" w:cs="宋体"/>
          <w:color w:val="000000" w:themeColor="text1"/>
          <w:sz w:val="24"/>
          <w:szCs w:val="24"/>
          <w:highlight w:val="none"/>
          <w14:textFill>
            <w14:solidFill>
              <w14:schemeClr w14:val="tx1"/>
            </w14:solidFill>
          </w14:textFill>
        </w:rPr>
        <w:t>送</w:t>
      </w:r>
      <w:r>
        <w:rPr>
          <w:rFonts w:hint="eastAsia" w:ascii="宋体" w:hAnsi="宋体" w:eastAsia="宋体" w:cs="宋体"/>
          <w:color w:val="000000" w:themeColor="text1"/>
          <w:spacing w:val="-3"/>
          <w:sz w:val="24"/>
          <w:szCs w:val="24"/>
          <w:highlight w:val="none"/>
          <w14:textFill>
            <w14:solidFill>
              <w14:schemeClr w14:val="tx1"/>
            </w14:solidFill>
          </w14:textFill>
        </w:rPr>
        <w:t>审</w:t>
      </w:r>
      <w:r>
        <w:rPr>
          <w:rFonts w:hint="eastAsia" w:ascii="宋体" w:hAnsi="宋体" w:eastAsia="宋体" w:cs="宋体"/>
          <w:color w:val="000000" w:themeColor="text1"/>
          <w:spacing w:val="-5"/>
          <w:sz w:val="24"/>
          <w:szCs w:val="24"/>
          <w:highlight w:val="none"/>
          <w14:textFill>
            <w14:solidFill>
              <w14:schemeClr w14:val="tx1"/>
            </w14:solidFill>
          </w14:textFill>
        </w:rPr>
        <w:t>文</w:t>
      </w:r>
      <w:r>
        <w:rPr>
          <w:rFonts w:hint="eastAsia" w:ascii="宋体" w:hAnsi="宋体" w:eastAsia="宋体" w:cs="宋体"/>
          <w:color w:val="000000" w:themeColor="text1"/>
          <w:sz w:val="24"/>
          <w:szCs w:val="24"/>
          <w:highlight w:val="none"/>
          <w14:textFill>
            <w14:solidFill>
              <w14:schemeClr w14:val="tx1"/>
            </w14:solidFill>
          </w14:textFill>
        </w:rPr>
        <w:t>件晒制费用已包含在设计费中）。</w:t>
      </w:r>
    </w:p>
    <w:p w14:paraId="1F65D5C1">
      <w:pPr>
        <w:widowControl/>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2.8</w:t>
      </w:r>
      <w:r>
        <w:rPr>
          <w:rFonts w:hint="eastAsia" w:ascii="宋体" w:hAnsi="宋体" w:eastAsia="宋体" w:cs="宋体"/>
          <w:color w:val="000000" w:themeColor="text1"/>
          <w:spacing w:val="-3"/>
          <w:sz w:val="24"/>
          <w:szCs w:val="24"/>
          <w:highlight w:val="none"/>
          <w14:textFill>
            <w14:solidFill>
              <w14:schemeClr w14:val="tx1"/>
            </w14:solidFill>
          </w14:textFill>
        </w:rPr>
        <w:t>承包人</w:t>
      </w:r>
      <w:r>
        <w:rPr>
          <w:rFonts w:hint="eastAsia" w:ascii="宋体" w:hAnsi="宋体" w:eastAsia="宋体" w:cs="宋体"/>
          <w:color w:val="000000" w:themeColor="text1"/>
          <w:sz w:val="24"/>
          <w:szCs w:val="24"/>
          <w:highlight w:val="none"/>
          <w14:textFill>
            <w14:solidFill>
              <w14:schemeClr w14:val="tx1"/>
            </w14:solidFill>
          </w14:textFill>
        </w:rPr>
        <w:t>须根据不同阶段的实际需要，安排相应阶段的专业技术人员驻场。</w:t>
      </w:r>
    </w:p>
    <w:p w14:paraId="72E28411">
      <w:pPr>
        <w:widowControl/>
        <w:spacing w:line="360" w:lineRule="auto"/>
        <w:ind w:firstLine="480" w:firstLineChars="200"/>
        <w:rPr>
          <w:rFonts w:hint="eastAsia" w:ascii="宋体" w:hAnsi="宋体" w:eastAsia="宋体" w:cs="宋体"/>
          <w:color w:val="000000" w:themeColor="text1"/>
          <w:sz w:val="24"/>
          <w:szCs w:val="24"/>
          <w:highlight w:val="none"/>
          <w:lang w:eastAsia="zh-CN"/>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2.9景观设计驻场：在景观施工期</w:t>
      </w:r>
      <w:r>
        <w:rPr>
          <w:rFonts w:hint="eastAsia" w:ascii="宋体" w:hAnsi="宋体" w:eastAsia="宋体" w:cs="宋体"/>
          <w:color w:val="000000" w:themeColor="text1"/>
          <w:sz w:val="24"/>
          <w:szCs w:val="24"/>
          <w:highlight w:val="none"/>
          <w:lang w:val="en-US" w:eastAsia="zh-CN"/>
          <w14:textFill>
            <w14:solidFill>
              <w14:schemeClr w14:val="tx1"/>
            </w14:solidFill>
          </w14:textFill>
        </w:rPr>
        <w:t>间</w:t>
      </w:r>
      <w:r>
        <w:rPr>
          <w:rFonts w:hint="eastAsia" w:ascii="宋体" w:hAnsi="宋体" w:eastAsia="宋体" w:cs="宋体"/>
          <w:color w:val="000000" w:themeColor="text1"/>
          <w:sz w:val="24"/>
          <w:szCs w:val="24"/>
          <w:highlight w:val="none"/>
          <w14:textFill>
            <w14:solidFill>
              <w14:schemeClr w14:val="tx1"/>
            </w14:solidFill>
          </w14:textFill>
        </w:rPr>
        <w:t>，设计单位应</w:t>
      </w:r>
      <w:r>
        <w:rPr>
          <w:rFonts w:hint="eastAsia" w:ascii="宋体" w:hAnsi="宋体" w:eastAsia="宋体" w:cs="宋体"/>
          <w:color w:val="000000" w:themeColor="text1"/>
          <w:sz w:val="24"/>
          <w:szCs w:val="24"/>
          <w:highlight w:val="none"/>
          <w:lang w:val="en-US" w:eastAsia="zh-CN"/>
          <w14:textFill>
            <w14:solidFill>
              <w14:schemeClr w14:val="tx1"/>
            </w14:solidFill>
          </w14:textFill>
        </w:rPr>
        <w:t>按照发包人要求</w:t>
      </w:r>
      <w:r>
        <w:rPr>
          <w:rFonts w:hint="eastAsia" w:ascii="宋体" w:hAnsi="宋体" w:eastAsia="宋体" w:cs="宋体"/>
          <w:color w:val="000000" w:themeColor="text1"/>
          <w:sz w:val="24"/>
          <w:szCs w:val="24"/>
          <w:highlight w:val="none"/>
          <w14:textFill>
            <w14:solidFill>
              <w14:schemeClr w14:val="tx1"/>
            </w14:solidFill>
          </w14:textFill>
        </w:rPr>
        <w:t>至少派项目管理、景观（软、硬景）等专业共不少于2人的团队人员驻场项目办公，时间为项目景观施工期间</w:t>
      </w:r>
      <w:r>
        <w:rPr>
          <w:rFonts w:hint="eastAsia" w:ascii="宋体" w:hAnsi="宋体" w:eastAsia="宋体" w:cs="宋体"/>
          <w:color w:val="000000" w:themeColor="text1"/>
          <w:sz w:val="24"/>
          <w:szCs w:val="24"/>
          <w:highlight w:val="none"/>
          <w:lang w:eastAsia="zh-CN"/>
          <w14:textFill>
            <w14:solidFill>
              <w14:schemeClr w14:val="tx1"/>
            </w14:solidFill>
          </w14:textFill>
        </w:rPr>
        <w:t>。</w:t>
      </w:r>
    </w:p>
    <w:p w14:paraId="20C614F9">
      <w:pPr>
        <w:widowControl/>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br w:type="page"/>
      </w:r>
    </w:p>
    <w:p w14:paraId="6A1F4F59">
      <w:pPr>
        <w:keepNext/>
        <w:keepLines/>
        <w:tabs>
          <w:tab w:val="left" w:pos="0"/>
        </w:tabs>
        <w:spacing w:line="360" w:lineRule="auto"/>
        <w:jc w:val="both"/>
        <w:outlineLvl w:val="0"/>
        <w:rPr>
          <w:rFonts w:hint="eastAsia" w:ascii="宋体" w:hAnsi="宋体" w:eastAsia="宋体" w:cs="宋体"/>
          <w:b/>
          <w:color w:val="000000" w:themeColor="text1"/>
          <w:kern w:val="44"/>
          <w:sz w:val="24"/>
          <w:szCs w:val="24"/>
          <w:highlight w:val="none"/>
          <w14:textFill>
            <w14:solidFill>
              <w14:schemeClr w14:val="tx1"/>
            </w14:solidFill>
          </w14:textFill>
        </w:rPr>
      </w:pPr>
      <w:r>
        <w:rPr>
          <w:rFonts w:hint="eastAsia" w:ascii="宋体" w:hAnsi="宋体" w:eastAsia="宋体" w:cs="宋体"/>
          <w:b/>
          <w:color w:val="000000" w:themeColor="text1"/>
          <w:kern w:val="44"/>
          <w:sz w:val="24"/>
          <w:szCs w:val="24"/>
          <w:highlight w:val="none"/>
          <w14:textFill>
            <w14:solidFill>
              <w14:schemeClr w14:val="tx1"/>
            </w14:solidFill>
          </w14:textFill>
        </w:rPr>
        <w:t>十二、附则</w:t>
      </w:r>
    </w:p>
    <w:p w14:paraId="4E3400B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1.</w:t>
      </w:r>
      <w:r>
        <w:rPr>
          <w:rFonts w:hint="eastAsia" w:ascii="宋体" w:hAnsi="宋体" w:eastAsia="宋体" w:cs="宋体"/>
          <w:color w:val="000000" w:themeColor="text1"/>
          <w:sz w:val="24"/>
          <w:szCs w:val="24"/>
          <w:highlight w:val="none"/>
          <w14:textFill>
            <w14:solidFill>
              <w14:schemeClr w14:val="tx1"/>
            </w14:solidFill>
          </w14:textFill>
        </w:rPr>
        <w:t>本任务书未提及部分，详见《设计技术标准》(如有)。</w:t>
      </w:r>
    </w:p>
    <w:p w14:paraId="3C0B6DB4">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w:t>
      </w:r>
      <w:r>
        <w:rPr>
          <w:rFonts w:hint="eastAsia" w:ascii="宋体" w:hAnsi="宋体" w:eastAsia="宋体" w:cs="宋体"/>
          <w:color w:val="000000" w:themeColor="text1"/>
          <w:sz w:val="24"/>
          <w:szCs w:val="24"/>
          <w:highlight w:val="none"/>
          <w14:textFill>
            <w14:solidFill>
              <w14:schemeClr w14:val="tx1"/>
            </w14:solidFill>
          </w14:textFill>
        </w:rPr>
        <w:t>招标期间由招标组织单位发出的有关投标答疑文件与其它文件内容有矛盾时，以日期较晚的文件为准。</w:t>
      </w:r>
    </w:p>
    <w:p w14:paraId="1D7C5F5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3.</w:t>
      </w:r>
      <w:r>
        <w:rPr>
          <w:rFonts w:hint="eastAsia" w:ascii="宋体" w:hAnsi="宋体" w:eastAsia="宋体" w:cs="宋体"/>
          <w:color w:val="000000" w:themeColor="text1"/>
          <w:sz w:val="24"/>
          <w:szCs w:val="24"/>
          <w:highlight w:val="none"/>
          <w14:textFill>
            <w14:solidFill>
              <w14:schemeClr w14:val="tx1"/>
            </w14:solidFill>
          </w14:textFill>
        </w:rPr>
        <w:t>如对本任务书有疑问，按照招标文件的相关规定进行答疑。</w:t>
      </w:r>
    </w:p>
    <w:p w14:paraId="47627B5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4.</w:t>
      </w:r>
      <w:r>
        <w:rPr>
          <w:rFonts w:hint="eastAsia" w:ascii="宋体" w:hAnsi="宋体" w:eastAsia="宋体" w:cs="宋体"/>
          <w:color w:val="000000" w:themeColor="text1"/>
          <w:sz w:val="24"/>
          <w:szCs w:val="24"/>
          <w:highlight w:val="none"/>
          <w14:textFill>
            <w14:solidFill>
              <w14:schemeClr w14:val="tx1"/>
            </w14:solidFill>
          </w14:textFill>
        </w:rPr>
        <w:t>本任务书尚未详尽之处，将在招标后补充完善。</w:t>
      </w:r>
    </w:p>
    <w:p w14:paraId="2822F101">
      <w:pPr>
        <w:widowControl/>
        <w:spacing w:line="360" w:lineRule="auto"/>
        <w:ind w:firstLine="480" w:firstLineChars="200"/>
        <w:rPr>
          <w:rFonts w:hint="eastAsia" w:ascii="宋体" w:hAnsi="宋体" w:eastAsia="宋体" w:cs="宋体"/>
          <w:b/>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5.</w:t>
      </w:r>
      <w:r>
        <w:rPr>
          <w:rFonts w:hint="eastAsia" w:ascii="宋体" w:hAnsi="宋体" w:eastAsia="宋体" w:cs="宋体"/>
          <w:color w:val="000000" w:themeColor="text1"/>
          <w:sz w:val="24"/>
          <w:szCs w:val="24"/>
          <w:highlight w:val="none"/>
          <w14:textFill>
            <w14:solidFill>
              <w14:schemeClr w14:val="tx1"/>
            </w14:solidFill>
          </w14:textFill>
        </w:rPr>
        <w:t>本任务书的解释权归发包人所有。</w:t>
      </w:r>
    </w:p>
    <w:p w14:paraId="5F848DE0">
      <w:pPr>
        <w:rPr>
          <w:rFonts w:hint="eastAsia" w:ascii="宋体" w:hAnsi="宋体" w:eastAsia="宋体" w:cs="宋体"/>
          <w:b/>
          <w:bCs/>
          <w:color w:val="000000" w:themeColor="text1"/>
          <w:sz w:val="36"/>
          <w:szCs w:val="36"/>
          <w:highlight w:val="none"/>
          <w14:textFill>
            <w14:solidFill>
              <w14:schemeClr w14:val="tx1"/>
            </w14:solidFill>
          </w14:textFill>
        </w:rPr>
      </w:pPr>
      <w:r>
        <w:rPr>
          <w:rFonts w:ascii="宋体" w:hAnsi="宋体" w:eastAsia="宋体" w:cs="宋体"/>
          <w:b/>
          <w:bCs/>
          <w:color w:val="000000" w:themeColor="text1"/>
          <w:sz w:val="36"/>
          <w:szCs w:val="36"/>
          <w:highlight w:val="none"/>
          <w14:textFill>
            <w14:solidFill>
              <w14:schemeClr w14:val="tx1"/>
            </w14:solidFill>
          </w14:textFill>
        </w:rPr>
        <w:br w:type="page"/>
      </w:r>
    </w:p>
    <w:p w14:paraId="7B43B465">
      <w:pPr>
        <w:pStyle w:val="65"/>
        <w:jc w:val="center"/>
        <w:rPr>
          <w:rFonts w:hint="eastAsia" w:ascii="宋体" w:hAnsi="宋体" w:eastAsia="宋体" w:cs="宋体"/>
          <w:b/>
          <w:bCs/>
          <w:color w:val="000000" w:themeColor="text1"/>
          <w:sz w:val="36"/>
          <w:szCs w:val="36"/>
          <w:highlight w:val="none"/>
          <w14:textFill>
            <w14:solidFill>
              <w14:schemeClr w14:val="tx1"/>
            </w14:solidFill>
          </w14:textFill>
        </w:rPr>
      </w:pPr>
    </w:p>
    <w:p w14:paraId="6F6C87B7">
      <w:pPr>
        <w:pStyle w:val="65"/>
        <w:jc w:val="center"/>
        <w:outlineLvl w:val="0"/>
        <w:rPr>
          <w:rFonts w:hint="eastAsia" w:ascii="宋体" w:hAnsi="宋体" w:eastAsia="宋体" w:cs="宋体"/>
          <w:b/>
          <w:bCs/>
          <w:color w:val="000000" w:themeColor="text1"/>
          <w:sz w:val="48"/>
          <w:szCs w:val="48"/>
          <w:highlight w:val="none"/>
          <w14:textFill>
            <w14:solidFill>
              <w14:schemeClr w14:val="tx1"/>
            </w14:solidFill>
          </w14:textFill>
        </w:rPr>
      </w:pPr>
      <w:r>
        <w:rPr>
          <w:rFonts w:hint="eastAsia" w:ascii="宋体" w:hAnsi="宋体" w:eastAsia="宋体" w:cs="宋体"/>
          <w:b/>
          <w:bCs/>
          <w:color w:val="000000" w:themeColor="text1"/>
          <w:sz w:val="36"/>
          <w:szCs w:val="36"/>
          <w:highlight w:val="none"/>
          <w14:textFill>
            <w14:solidFill>
              <w14:schemeClr w14:val="tx1"/>
            </w14:solidFill>
          </w14:textFill>
        </w:rPr>
        <w:t>第三部分 施工管理任务书</w:t>
      </w:r>
    </w:p>
    <w:p w14:paraId="319F6F97">
      <w:pPr>
        <w:jc w:val="center"/>
        <w:rPr>
          <w:rFonts w:hint="eastAsia" w:ascii="宋体" w:hAnsi="宋体" w:eastAsia="宋体" w:cs="宋体"/>
          <w:snapToGrid w:val="0"/>
          <w:color w:val="000000" w:themeColor="text1"/>
          <w:kern w:val="0"/>
          <w:highlight w:val="none"/>
          <w14:textFill>
            <w14:solidFill>
              <w14:schemeClr w14:val="tx1"/>
            </w14:solidFill>
          </w14:textFill>
        </w:rPr>
      </w:pPr>
      <w:r>
        <w:rPr>
          <w:rFonts w:hint="eastAsia" w:ascii="宋体" w:hAnsi="宋体" w:eastAsia="宋体" w:cs="宋体"/>
          <w:snapToGrid w:val="0"/>
          <w:color w:val="000000" w:themeColor="text1"/>
          <w:kern w:val="0"/>
          <w:highlight w:val="none"/>
          <w14:textFill>
            <w14:solidFill>
              <w14:schemeClr w14:val="tx1"/>
            </w14:solidFill>
          </w14:textFill>
        </w:rPr>
        <w:br w:type="page"/>
      </w:r>
    </w:p>
    <w:p w14:paraId="4C88D44A">
      <w:pPr>
        <w:pStyle w:val="6"/>
        <w:keepNext w:val="0"/>
        <w:keepLines w:val="0"/>
        <w:widowControl/>
        <w:snapToGrid/>
        <w:spacing w:line="360" w:lineRule="auto"/>
        <w:rPr>
          <w:rFonts w:hint="eastAsia" w:ascii="宋体" w:hAnsi="宋体" w:eastAsia="宋体" w:cs="宋体"/>
          <w:snapToGrid w:val="0"/>
          <w:color w:val="000000" w:themeColor="text1"/>
          <w:kern w:val="0"/>
          <w:sz w:val="24"/>
          <w:szCs w:val="24"/>
          <w:highlight w:val="none"/>
          <w14:textFill>
            <w14:solidFill>
              <w14:schemeClr w14:val="tx1"/>
            </w14:solidFill>
          </w14:textFill>
        </w:rPr>
      </w:pPr>
      <w:r>
        <w:rPr>
          <w:rFonts w:hint="eastAsia" w:ascii="宋体" w:hAnsi="宋体" w:eastAsia="宋体" w:cs="宋体"/>
          <w:snapToGrid w:val="0"/>
          <w:color w:val="000000" w:themeColor="text1"/>
          <w:kern w:val="0"/>
          <w:sz w:val="24"/>
          <w:szCs w:val="24"/>
          <w:highlight w:val="none"/>
          <w14:textFill>
            <w14:solidFill>
              <w14:schemeClr w14:val="tx1"/>
            </w14:solidFill>
          </w14:textFill>
        </w:rPr>
        <w:t>一、项目施工准备事项</w:t>
      </w:r>
    </w:p>
    <w:p w14:paraId="3844EBF5">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1、施工总平面布置</w:t>
      </w:r>
    </w:p>
    <w:p w14:paraId="471CDE03">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根据本项目规划建设内容，由承包人统筹考虑总平面布置，并按广州市安全文明施工管理相关要求执行。若因影响后续施工而产生二次或多次临建设施搬迁，承包人必须无条件服从施工安排，并恢复原状，由此引起的恢复费用，发包人不做任何补偿。</w:t>
      </w:r>
    </w:p>
    <w:p w14:paraId="397DE1EC">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2、三通一平部署</w:t>
      </w:r>
    </w:p>
    <w:p w14:paraId="2D50E37E">
      <w:pPr>
        <w:adjustRightInd w:val="0"/>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现场未具备“三通一平”条件，需承包人自行考虑。</w:t>
      </w:r>
    </w:p>
    <w:p w14:paraId="13341A90">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2.1 临水临电接驳</w:t>
      </w:r>
    </w:p>
    <w:p w14:paraId="50EBCC38">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本项目场址位于</w:t>
      </w:r>
      <w:r>
        <w:rPr>
          <w:rFonts w:hint="eastAsia" w:ascii="宋体" w:hAnsi="宋体" w:eastAsia="宋体" w:cs="宋体"/>
          <w:color w:val="000000" w:themeColor="text1"/>
          <w:sz w:val="24"/>
          <w:szCs w:val="24"/>
          <w:highlight w:val="none"/>
          <w14:textFill>
            <w14:solidFill>
              <w14:schemeClr w14:val="tx1"/>
            </w14:solidFill>
          </w14:textFill>
        </w:rPr>
        <w:t>天河区元岗街道上元岗片区信源物流地块，北近谷裕市场，南至天河区童乐幼儿园，西至元岗北街，东至上元岗社区。</w:t>
      </w:r>
      <w:r>
        <w:rPr>
          <w:rFonts w:hint="eastAsia" w:ascii="宋体" w:hAnsi="宋体" w:eastAsia="宋体" w:cs="宋体"/>
          <w:color w:val="000000" w:themeColor="text1"/>
          <w:spacing w:val="4"/>
          <w:sz w:val="24"/>
          <w:szCs w:val="24"/>
          <w:highlight w:val="none"/>
          <w14:textFill>
            <w14:solidFill>
              <w14:schemeClr w14:val="tx1"/>
            </w14:solidFill>
          </w14:textFill>
        </w:rPr>
        <w:t>投标人自行踏勘现场，由承包人负责临水临电报建报装（临电接驳点暂按照距离项目1Km考虑），临水临电接驳涉及的费用按经发包人审批确认的施工方案计取。</w:t>
      </w:r>
    </w:p>
    <w:p w14:paraId="01066C3F">
      <w:pPr>
        <w:snapToGrid/>
        <w:spacing w:before="0" w:after="0" w:line="360" w:lineRule="auto"/>
        <w:ind w:right="11"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2.2 围蔽及临时道路</w:t>
      </w:r>
    </w:p>
    <w:p w14:paraId="6E734F93">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2.2.1 围蔽的要求及范围</w:t>
      </w:r>
    </w:p>
    <w:p w14:paraId="58C0BE6D">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要求：施工期间对施工区域及周边用地范围按建设主管部门及发包人的要求进行围蔽。</w:t>
      </w:r>
    </w:p>
    <w:p w14:paraId="755642EC">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2.2.2 临时道路：</w:t>
      </w:r>
    </w:p>
    <w:p w14:paraId="09524416">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投标人自行踏勘现场。从项目外部市政路引入到项目内施工便道所涉及的费用按经发包人审批确认的施工方案计取，项目内部施工便道的费用含于投标报价中，不再另行计取。</w:t>
      </w:r>
    </w:p>
    <w:p w14:paraId="340AA648">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 临时排水及排污</w:t>
      </w:r>
    </w:p>
    <w:p w14:paraId="1799EB08">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临时排水可就近排入附近的原有排水口及市政排污口，排水沟渠管由承包人自行解决。由承包人自行修建临时排污设施，且必须设置污水处理系统，符合广州市建筑污水排放标准，费用含于投标报价中，不再另行计取。</w:t>
      </w:r>
    </w:p>
    <w:p w14:paraId="06DA4157">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3、视频监控系统安装工程</w:t>
      </w:r>
    </w:p>
    <w:p w14:paraId="7E095941">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施工现场的视频监控系统应满足《广州市建委关于广州市建筑工地安装视频监控装置的通知》(穗建筑[2006]551号)、《关于全面启动广州市社会治安视频监控系统建设有关问题的通知》（穗视频建字【2006】1号）和《广州市住房和城乡建设委员会关于全市建设工地纳入视频监管的通知》（穗建质[2017]1166号）等文件及发包单位相关要求，施工现场的视频监控应接入到发包单位，且发包单位视频监控系统软件及硬件建设由中标单位负责，</w:t>
      </w:r>
      <w:bookmarkStart w:id="568" w:name="OLE_LINK6"/>
      <w:r>
        <w:rPr>
          <w:rFonts w:hint="eastAsia" w:ascii="宋体" w:hAnsi="宋体" w:eastAsia="宋体" w:cs="宋体"/>
          <w:color w:val="000000" w:themeColor="text1"/>
          <w:spacing w:val="4"/>
          <w:sz w:val="24"/>
          <w:szCs w:val="24"/>
          <w:highlight w:val="none"/>
          <w14:textFill>
            <w14:solidFill>
              <w14:schemeClr w14:val="tx1"/>
            </w14:solidFill>
          </w14:textFill>
        </w:rPr>
        <w:t>费用含于投标报价中，不再另行计取。</w:t>
      </w:r>
      <w:bookmarkEnd w:id="568"/>
    </w:p>
    <w:p w14:paraId="499362CA">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lang w:val="en-US" w:eastAsia="zh-CN"/>
          <w14:textFill>
            <w14:solidFill>
              <w14:schemeClr w14:val="tx1"/>
            </w14:solidFill>
          </w14:textFill>
        </w:rPr>
      </w:pPr>
      <w:r>
        <w:rPr>
          <w:rFonts w:hint="eastAsia" w:ascii="宋体" w:hAnsi="宋体" w:eastAsia="宋体" w:cs="宋体"/>
          <w:color w:val="000000" w:themeColor="text1"/>
          <w:spacing w:val="4"/>
          <w:sz w:val="24"/>
          <w:szCs w:val="24"/>
          <w:highlight w:val="none"/>
          <w:lang w:val="en-US" w:eastAsia="zh-CN"/>
          <w14:textFill>
            <w14:solidFill>
              <w14:schemeClr w14:val="tx1"/>
            </w14:solidFill>
          </w14:textFill>
        </w:rPr>
        <w:t>4、绿化迁移</w:t>
      </w:r>
    </w:p>
    <w:p w14:paraId="5AF1F6F7">
      <w:pPr>
        <w:snapToGrid/>
        <w:spacing w:before="0" w:after="0" w:line="360" w:lineRule="auto"/>
        <w:ind w:firstLine="438" w:firstLineChars="177"/>
        <w:jc w:val="both"/>
        <w:rPr>
          <w:rFonts w:hint="default" w:ascii="宋体" w:hAnsi="宋体" w:eastAsia="宋体" w:cs="宋体"/>
          <w:color w:val="000000" w:themeColor="text1"/>
          <w:spacing w:val="4"/>
          <w:sz w:val="24"/>
          <w:szCs w:val="24"/>
          <w:highlight w:val="none"/>
          <w:lang w:val="en-US" w:eastAsia="zh-CN"/>
          <w14:textFill>
            <w14:solidFill>
              <w14:schemeClr w14:val="tx1"/>
            </w14:solidFill>
          </w14:textFill>
        </w:rPr>
      </w:pPr>
      <w:r>
        <w:rPr>
          <w:rFonts w:hint="eastAsia" w:ascii="宋体" w:hAnsi="宋体" w:eastAsia="宋体" w:cs="宋体"/>
          <w:color w:val="000000" w:themeColor="text1"/>
          <w:spacing w:val="4"/>
          <w:sz w:val="24"/>
          <w:szCs w:val="24"/>
          <w:highlight w:val="none"/>
          <w:lang w:val="en-US" w:eastAsia="zh-CN"/>
          <w14:textFill>
            <w14:solidFill>
              <w14:schemeClr w14:val="tx1"/>
            </w14:solidFill>
          </w14:textFill>
        </w:rPr>
        <w:t>承包人需自行踏勘现场，对于项目内不在绿迁实施单位范围内的现状苗木需负责进行绿化迁改工作（包括但不限于办理相关手续、树木迁移保护实施工程（含专章）、深化设计等内容），相关费用已包含在投标报价中，不另行计取。</w:t>
      </w:r>
    </w:p>
    <w:p w14:paraId="47B20AB9">
      <w:pPr>
        <w:pStyle w:val="2"/>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二、项目管理重点、难点</w:t>
      </w:r>
    </w:p>
    <w:p w14:paraId="14523BA5">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1、装配式建筑形式多样、制作安装精度要求高，对项目进度影响较大。因此，装配式建筑的深化设计、材料采购、生产、运输、存放、拼装、吊装、与相关工种的配合搭接等是项目管理的难点。</w:t>
      </w:r>
    </w:p>
    <w:p w14:paraId="31C6D3A7">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2、装配式工程需进行深化设计。发包人将根据工程进度对装配式等工程进行现场监造，承包人必须无条件配合。</w:t>
      </w:r>
    </w:p>
    <w:p w14:paraId="33B275AD">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材料管理是质量管理的重中之重。因此，严格实行材料看样定板制度，对进场材料严格按照定板标准组织监理验收并按相关规定进行材料检测，必须是百分百合格且与样板一致的材料才准进场使用。成套设备严格执行开箱验收制度，组织监理严格按照设计图纸和主要材料设备技术需求书列明的参数核对设备信息，确保进场设备符合设计要求。</w:t>
      </w:r>
    </w:p>
    <w:p w14:paraId="605936AD">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4、现场临设场地需统一规划，各专业的平行施工较多，因此，工序衔接、专业之间的配合垂直运输设备的使用统筹、现场材料进场堆放等诸多方面需要现场管理组重点协调，是现场管理的一项重点工作。</w:t>
      </w:r>
    </w:p>
    <w:p w14:paraId="599379F7">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5、文明施工与绿色施工，承包单位应按照广东省房屋市政工程安全生产文明施工示范工地的要求做好现场安全生产及文明施工，保证施工场地清洁、扬尘及噪音管理符合环境卫生管理的有关规定。需根据《</w:t>
      </w:r>
      <w:bookmarkStart w:id="569" w:name="OLE_LINK22"/>
      <w:r>
        <w:rPr>
          <w:rFonts w:hint="eastAsia" w:ascii="宋体" w:hAnsi="宋体" w:eastAsia="宋体" w:cs="宋体"/>
          <w:color w:val="000000" w:themeColor="text1"/>
          <w:spacing w:val="4"/>
          <w:sz w:val="24"/>
          <w:szCs w:val="24"/>
          <w:highlight w:val="none"/>
          <w14:textFill>
            <w14:solidFill>
              <w14:schemeClr w14:val="tx1"/>
            </w14:solidFill>
          </w14:textFill>
        </w:rPr>
        <w:t>建筑工程绿色施工评价标准</w:t>
      </w:r>
      <w:bookmarkEnd w:id="569"/>
      <w:r>
        <w:rPr>
          <w:rFonts w:hint="eastAsia" w:ascii="宋体" w:hAnsi="宋体" w:eastAsia="宋体" w:cs="宋体"/>
          <w:color w:val="000000" w:themeColor="text1"/>
          <w:spacing w:val="4"/>
          <w:sz w:val="24"/>
          <w:szCs w:val="24"/>
          <w:highlight w:val="none"/>
          <w14:textFill>
            <w14:solidFill>
              <w14:schemeClr w14:val="tx1"/>
            </w14:solidFill>
          </w14:textFill>
        </w:rPr>
        <w:t>》（GB/T 50640-2023）、《广州市建设工程绿色施工工作技术指引》及相关规定，按照不同阶段进行安全文明与绿色施工策划，使用可重复利用周转材料，半成品推广工厂制作到场安装，全过程标准化，实现节能减排，绿色环保，积极创新，凸显亮点。</w:t>
      </w:r>
    </w:p>
    <w:p w14:paraId="09BAE0E2">
      <w:pPr>
        <w:snapToGrid/>
        <w:spacing w:before="0" w:after="0" w:line="360" w:lineRule="auto"/>
        <w:ind w:firstLine="426"/>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6、本项目位于城市中心区域，周边道路狭窄，且场地现状标高与周边已有市政道路高差较大，施工组织及安全文明施工为本项目管控的重点及难点。</w:t>
      </w:r>
    </w:p>
    <w:p w14:paraId="70FF13ED">
      <w:pPr>
        <w:snapToGrid/>
        <w:spacing w:before="0" w:after="0" w:line="360" w:lineRule="auto"/>
        <w:ind w:firstLine="426"/>
        <w:jc w:val="both"/>
        <w:rPr>
          <w:rFonts w:hint="eastAsia" w:ascii="宋体" w:hAnsi="宋体" w:eastAsia="宋体" w:cs="宋体"/>
          <w:color w:val="000000" w:themeColor="text1"/>
          <w:sz w:val="24"/>
          <w:szCs w:val="24"/>
          <w:highlight w:val="none"/>
          <w:lang w:eastAsia="zh"/>
          <w14:textFill>
            <w14:solidFill>
              <w14:schemeClr w14:val="tx1"/>
            </w14:solidFill>
          </w14:textFill>
          <w:woUserID w:val="3"/>
        </w:rPr>
      </w:pPr>
      <w:r>
        <w:rPr>
          <w:rFonts w:hint="eastAsia" w:ascii="宋体" w:hAnsi="宋体" w:eastAsia="宋体" w:cs="宋体"/>
          <w:color w:val="000000" w:themeColor="text1"/>
          <w:sz w:val="24"/>
          <w:szCs w:val="24"/>
          <w:highlight w:val="none"/>
          <w:lang w:eastAsia="zh"/>
          <w14:textFill>
            <w14:solidFill>
              <w14:schemeClr w14:val="tx1"/>
            </w14:solidFill>
          </w14:textFill>
          <w:woUserID w:val="3"/>
        </w:rPr>
        <w:t>7、项目部分区域在现状市政道路上，承包单位应积极配合发包人办理与此相关的所有手续（包括但不限于交通疏解方案编制、组织专家论证和完成安评报告），需充分考虑其对工程建设的影响，所产生的一切费用包含在投标报价中，不另行计取，承包单位应做好相应的施工组织和安全管理，此为项目管理的一项重点及难点。</w:t>
      </w:r>
    </w:p>
    <w:p w14:paraId="2270ACA0">
      <w:pPr>
        <w:pStyle w:val="2"/>
        <w:spacing w:line="360" w:lineRule="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三、项目管理要求</w:t>
      </w:r>
    </w:p>
    <w:p w14:paraId="579B3F2E">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1、专业工程实施能力要求</w:t>
      </w:r>
    </w:p>
    <w:p w14:paraId="79D3A55E">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本项目包含基坑支护及桩基础工程、溶洞处理、软基处理、土石方工程、建筑工程、装饰装修工程、幕墙工程、人防工程、电气工程、充电桩工程、智能化工程（含通讯网络、光纤入户、有线电视、门禁对讲系统、电梯五方对讲、车库出入口管理、视频监控系统等工程）、暖通工程、给排水工程、燃气工程（满足燃气公司审核要求）、消防工程、电梯工程、防雷工程、永久用水（满足供水部门审核要求）、永电工程（从电网供电电源接入点至用户部分）、临时用水、临时用电、室外工程（包括绿化、树木迁移、室外管网、室外园建、临时道路、海绵城市等）、智能停车、标识标牌（含地下室标线）、体育场地及相关设施工程、配套市政工程及其配套设施、泛光照明工程（如有）及零星工程（包括但不限于安装或吊装构件的预埋件和连接件、楼宇门牌标识、信报箱等附属配套工程）、树木迁移保护实施工程（含专章）及历史文化遗产修缮工程（含测绘测量、鉴定、修缮报建）等。由于上述专业工程较复杂、专业性较强，故中标人须具备完成上述专业工程的能力。否则，中标人须根据国家、住房和城乡建设部和省市相关规定委托给具备相应专业承包能力且经招标人、监理单位共同认可的专业承包单位实施（主体结构工程除外）。</w:t>
      </w:r>
    </w:p>
    <w:p w14:paraId="477C094C">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2、深化设计管理要求</w:t>
      </w:r>
    </w:p>
    <w:p w14:paraId="7C7D9614">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2.1 深化设计内容。本项目以下专业工程由承包人负责深化设计：</w:t>
      </w:r>
    </w:p>
    <w:p w14:paraId="78F36590">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2.1.1装配式建筑施工、幕墙、钢结构工程、装修工程、智能化工程、燃气工程、设备机房及配电房深化设计、机电管线综合平衡、市政配套设施管线综合平衡、BIM深化设计、合同承诺书中明确的需深化的内容等；</w:t>
      </w:r>
    </w:p>
    <w:p w14:paraId="2C8C3F86">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2.1.2 其他专业工程，具体以发包人要求为准。</w:t>
      </w:r>
    </w:p>
    <w:p w14:paraId="1B6DB50C">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2.2 深化设计能力要求。承包人应具备相应的专业工程深化设计能力，如承包人不具备，则应经发包人同意依法委托相应资质的单位实施。</w:t>
      </w:r>
    </w:p>
    <w:p w14:paraId="5AC75E21">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 深化设计工作要点</w:t>
      </w:r>
    </w:p>
    <w:p w14:paraId="2D7310D9">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2.3.1 深化设计是在不改变原施工图设计功能、结构体系和设计意图的前提下，以提高施工图的可操作性和便于施工为目的，对施工图进行深化、优化和完善、力求节约投资的技术工作。有关费用已包含在合同总价中。</w:t>
      </w:r>
    </w:p>
    <w:p w14:paraId="325A2E26">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2.3.2 承包人进行深化设计时，应以设计图纸为依据，如没有合理的原因，不能进行改动；深化设计图纸报经监理单位和发包人同意批准后方可实施。如承包人的深化设计图纸达不到要求，发包人有权要求承包人对深化设计人员进行调整更换或另委托深化设计单位。</w:t>
      </w:r>
    </w:p>
    <w:p w14:paraId="48A92F10">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2.3.3 深化设计选用的材料厂家及品牌应是承包人根据招标文件《主要设备材料品牌/生产厂家推荐表》规定提交的投标文件上列明的材料厂家及品牌。如经考察，投标人选用的材料不满足工程需要，发包人有权在《主要设备材料品牌/生产厂家推荐表》中选择其他满足规定的材料厂家及品牌，合同价款不作调整。</w:t>
      </w:r>
    </w:p>
    <w:p w14:paraId="1D7F48B0">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2.3.4 深化设计须结合施工工艺要求，与各相关专业工程充分沟通，不得影响其他专业或系统的结构体系和使用功能等。</w:t>
      </w:r>
    </w:p>
    <w:p w14:paraId="3714538B">
      <w:pPr>
        <w:snapToGrid/>
        <w:spacing w:before="0" w:after="0" w:line="360" w:lineRule="auto"/>
        <w:ind w:firstLine="496" w:firstLineChars="200"/>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2.3.5 除节点设计和装配损耗之外，任何影响主要材料用量的设计变更或深化设计，承包人只有建议权，承包人有责任提出包括安全性、稳定性、合理性的设计调整方案，报设计单位审核，最后报发包人批准后由设计单位出具正式的优化设计图纸和设计变更。为方便施工的节点设计和装配损耗等导致的材料用量增加等由承包人承担，发包人不另行增加费用。</w:t>
      </w:r>
    </w:p>
    <w:p w14:paraId="21D5B98A">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2.3.6 本项目要求设立驻场深化设计部。承包人必须按投标文件中承诺的深化设计人员及发包人要求，派人进行驻场设计。相关人员的要求及管理按合同约定执行。</w:t>
      </w:r>
    </w:p>
    <w:p w14:paraId="1F3BA5E5">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2.3.7 深化设计的计量计价原则：在满足招标技术要求（包括强制性条款、推荐品牌要求）的前提下，深化设计引起的材质、参数（含规格、型号等)的调整均不作为调价的依据。</w:t>
      </w:r>
    </w:p>
    <w:p w14:paraId="4E5815F6">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2.3.8 根据本项目的特点，承包人需对深化设计进度、质量作出明确承诺，如承包人未能按进度计划或质量完成深化设计，影响到工程质量或工期时将承担合同相应的违约责任。</w:t>
      </w:r>
    </w:p>
    <w:p w14:paraId="244F5B0E">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 深化设计工作流程</w:t>
      </w:r>
    </w:p>
    <w:p w14:paraId="1364F604">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2.4.1 深化设计工作方案报审：深化设计工作开展前，承包人须报深化设计工作方案给监理单位、发包人审核，审核通过后方可正式开展深化设计工作。深化设计工作方案包括但不限于深化设计人员（含驻场设计人员）、深化设计的工作计划及具体的深化设计管理实施方案、工作流程。</w:t>
      </w:r>
    </w:p>
    <w:p w14:paraId="233EA756">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2.4.2 专家评审会：进场2-3天内，承包人需组织一次专家评审会，对其所提交的投标文件（包括图纸、技术方案、设备清单等）进行认真、详细、严格的评审，作为深化设计的指导意见。</w:t>
      </w:r>
    </w:p>
    <w:p w14:paraId="35A64457">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2.4.3 深化设计工作开展：深化设计须由承包人深化设计负责人统筹安排各项工作，并随时接受监理单位、发包人的监督检查。</w:t>
      </w:r>
    </w:p>
    <w:p w14:paraId="46989CFD">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2.4.4 深化设计文件审核：深化设计图纸（含造价文件）完成后，承包人报监理单位、发包人审核，并根据修改意见相应调整深化设计图纸。</w:t>
      </w:r>
    </w:p>
    <w:p w14:paraId="67CB7884">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2.4.5 施工图报审：经发包人同意后，按规定报施工图审查单位审查并办理施工图审查备案手续。</w:t>
      </w:r>
    </w:p>
    <w:p w14:paraId="03DB3B4B">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2.4.6 深化设计图纸审批：施工图审查合格并经发包人及项目业主审批同意后，作为施工图实施。深化设计图纸份数为20份。</w:t>
      </w:r>
    </w:p>
    <w:p w14:paraId="0C7E6FD6">
      <w:pPr>
        <w:snapToGrid/>
        <w:spacing w:before="0" w:after="0" w:line="360" w:lineRule="auto"/>
        <w:ind w:firstLine="496"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2.4.7 技术交底及</w:t>
      </w:r>
      <w:bookmarkStart w:id="570" w:name="OLE_LINK12"/>
      <w:r>
        <w:rPr>
          <w:rFonts w:hint="eastAsia" w:ascii="宋体" w:hAnsi="宋体" w:eastAsia="宋体" w:cs="宋体"/>
          <w:color w:val="000000" w:themeColor="text1"/>
          <w:spacing w:val="4"/>
          <w:sz w:val="24"/>
          <w:szCs w:val="24"/>
          <w:highlight w:val="none"/>
          <w14:textFill>
            <w14:solidFill>
              <w14:schemeClr w14:val="tx1"/>
            </w14:solidFill>
          </w14:textFill>
        </w:rPr>
        <w:t>图纸会审：深化设计图纸和</w:t>
      </w:r>
      <w:bookmarkEnd w:id="570"/>
      <w:r>
        <w:rPr>
          <w:rFonts w:hint="eastAsia" w:ascii="宋体" w:hAnsi="宋体" w:eastAsia="宋体" w:cs="宋体"/>
          <w:color w:val="000000" w:themeColor="text1"/>
          <w:spacing w:val="4"/>
          <w:sz w:val="24"/>
          <w:szCs w:val="24"/>
          <w:highlight w:val="none"/>
          <w14:textFill>
            <w14:solidFill>
              <w14:schemeClr w14:val="tx1"/>
            </w14:solidFill>
          </w14:textFill>
        </w:rPr>
        <w:t>文件经过审核确认后，应进行相应技术交底及图纸会审。</w:t>
      </w:r>
    </w:p>
    <w:p w14:paraId="69951212">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3、质量管理要求</w:t>
      </w:r>
    </w:p>
    <w:p w14:paraId="16E338A0">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 承包人应当完善质量管理制度，建立质量控制流程，进行全面质量管理（TQC），以《质量管理体系标准要求》（GB/T19000-2008）为标准，建立并保持一个有效的工程质量管理体系。为此，承包人必须做到（不限于）：</w:t>
      </w:r>
    </w:p>
    <w:p w14:paraId="25FFFDCF">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 建立完整的质量保证体系，建立并完善各项目质量管理检查制度及企业质量管理文件等；</w:t>
      </w:r>
    </w:p>
    <w:p w14:paraId="68B8C411">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3.1.2 承包人提交监理工程师批准的施工组织设计或者施工方案必须附有完备的工程质量保证措施；</w:t>
      </w:r>
    </w:p>
    <w:p w14:paraId="1346A029">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3.1.3单项工程开工前，承包人必须按要求逐级进行技术交底</w:t>
      </w:r>
      <w:r>
        <w:rPr>
          <w:rFonts w:hint="eastAsia" w:ascii="宋体" w:hAnsi="宋体" w:eastAsia="宋体" w:cs="宋体"/>
          <w:color w:val="000000" w:themeColor="text1"/>
          <w:spacing w:val="4"/>
          <w:sz w:val="24"/>
          <w:szCs w:val="24"/>
          <w:highlight w:val="none"/>
          <w14:textFill>
            <w14:solidFill>
              <w14:schemeClr w14:val="tx1"/>
            </w14:solidFill>
          </w14:textFill>
        </w:rPr>
        <w:t>，组织学习有关规程、标准、规范和工艺要求，在施工中必须按规程及工艺进行操作，并邀请监理人参加。承包人应将交底过程资料报监理人备案。</w:t>
      </w:r>
    </w:p>
    <w:p w14:paraId="177B1286">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3.1.4</w:t>
      </w:r>
      <w:r>
        <w:rPr>
          <w:rFonts w:hint="eastAsia" w:ascii="宋体" w:hAnsi="宋体" w:eastAsia="宋体" w:cs="宋体"/>
          <w:color w:val="000000" w:themeColor="text1"/>
          <w:sz w:val="24"/>
          <w:szCs w:val="24"/>
          <w:highlight w:val="none"/>
          <w14:textFill>
            <w14:solidFill>
              <w14:schemeClr w14:val="tx1"/>
            </w14:solidFill>
          </w14:textFill>
        </w:rPr>
        <w:t>承包人须承担对招标人独立发包的专业承包单位的总承包协调管理责任、工作面移交和协调管理责任、成品保护责任，质量、安全、进度、技术资料管理的管理责任，承包人应提供水电、施工机具及临建等相关设备机具的配合。</w:t>
      </w:r>
    </w:p>
    <w:p w14:paraId="6782590C">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3.2 质量通病防治</w:t>
      </w:r>
    </w:p>
    <w:p w14:paraId="0E9F0E4F">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承包人必须严格执行有关质量通病治理措施、工程建设强制性标准和有关节能、环境保护、绿色施工的规定。承包人须针对本项目制定工程质量通病防治措施方案。</w:t>
      </w:r>
    </w:p>
    <w:p w14:paraId="06F4A43A">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3.3 材料、设备质量保证</w:t>
      </w:r>
    </w:p>
    <w:p w14:paraId="724CE908">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工程所用材料设备必须符合设计要求和国家有关规范与规定。承包人须确保使用的材料设备是合格的、全新的、未使用过的，凡材料设备质量不符合要求，承包人须停工和返工，返工费用由承包人承担，工期不予顺延。</w:t>
      </w:r>
    </w:p>
    <w:p w14:paraId="0B94DF4E">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3.4 人员持证上岗</w:t>
      </w:r>
    </w:p>
    <w:p w14:paraId="69476F80">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承包人投入的施工作业人员必须具备相应的上岗证，如特种人员，还须具备特种人员作业证书，以确保施工质量。所有人员必须带证上岗，随时接受发包人、监理人检查，否则按合同约定承担违约责任。</w:t>
      </w:r>
    </w:p>
    <w:p w14:paraId="748D7C3B">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3.5 按图施工</w:t>
      </w:r>
    </w:p>
    <w:p w14:paraId="72E3D180">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承包人必须严格按审查批准的施工方案和设计图纸施工，不得擅自修改施工方案及设计图纸。</w:t>
      </w:r>
    </w:p>
    <w:p w14:paraId="28E91543">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3.6 检验与检查</w:t>
      </w:r>
    </w:p>
    <w:p w14:paraId="10E16543">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必须加强质量自检，做好原材料自检、施工过程数据记录及隐蔽工程验收等工作。监理人、发包人、行政主管部门将严格按相关规范和规定对工程质量进行检查验收，未经验收的工程不得进入下一道工序。监理人、发包人、行政主管部门检查或检验不能免除或减轻承包人按照合同约定应当承担的责任。</w:t>
      </w:r>
    </w:p>
    <w:p w14:paraId="31F67E7A">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3.7关键工序停止点检查要求</w:t>
      </w:r>
    </w:p>
    <w:p w14:paraId="585EDE91">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对于主体阶段、地下室阶段、粗装修阶段、机电阶段、装饰装修等阶段的关键工序，总承包人要坚持自检、互检、专检制度，关键工序经监理人/发包人检查放行，并形成验收记录，否则不得进行下道工序施工。需监理人/发包人进行检查、抽查的关键工序批次比例，详见《关键工序停止点验收清单》。</w:t>
      </w:r>
    </w:p>
    <w:p w14:paraId="4A8D4F1F">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3.8 现场保护</w:t>
      </w:r>
    </w:p>
    <w:p w14:paraId="2A212810">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承包人应加强工程材料、设备、半成品、成品的现场保护工作，项目移交之前造成的遗失或损坏由中标单位自行承担。</w:t>
      </w:r>
    </w:p>
    <w:p w14:paraId="550AB272">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3.9 工程技术档案管理</w:t>
      </w:r>
    </w:p>
    <w:p w14:paraId="166CA7F1">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承包人应保证按照国家、地方、行业的有关规定，准确、及时做好日常工程技术资料的记录、整理和归档移交工作，保证记录中原始数据的真实性和及时性，监理单位或发包人有权抽查承包人日常工程技术资料的整理工作，若发现未按照规定及时做好资料整理工作或发现原始记录数据不存在、不真实、不完整，经监理单位确认，发包人有权拒绝相应部分工程的工程量计量与支付，并视情节轻重，由承包人按照合同专用条款的约定承担违约责任。</w:t>
      </w:r>
    </w:p>
    <w:p w14:paraId="61738AEF">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3.10 特殊管理措施</w:t>
      </w:r>
    </w:p>
    <w:p w14:paraId="28A5F07B">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为了确保工程质量，发包人有权在工程施工过程中实施包括但不限于以下特殊质量管理措施，承包人无条件执行，相关费用已包含在合同总价中，发包人不另行补偿：本工程按照发包人制定的管理办法，实行工程质量样板引路。</w:t>
      </w:r>
    </w:p>
    <w:p w14:paraId="0107699E">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 专业工程质量管理要点</w:t>
      </w:r>
    </w:p>
    <w:p w14:paraId="146B7817">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各专业工程质量管理要点如下：</w:t>
      </w:r>
    </w:p>
    <w:p w14:paraId="79EACBD7">
      <w:pPr>
        <w:snapToGrid/>
        <w:spacing w:before="0" w:after="0" w:line="360" w:lineRule="auto"/>
        <w:ind w:firstLine="438"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 土建工程</w:t>
      </w:r>
    </w:p>
    <w:p w14:paraId="3F9AF95E">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3.11.1.1场地平整工程：按经专家论证且各方确认的土方平衡图纸施工，按规范分层回填、压实。</w:t>
      </w:r>
    </w:p>
    <w:p w14:paraId="375D6FEE">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3.11.1.2 地基基础工程：通过试桩由设计单位给定收桩的相关数据，并按该规定执行；打（压）桩顺序、承台土方开挖顺序按监理人批准的施工方案实行；承台及地梁混凝土浇筑前，必须清理完毕内部的积水、杂物；大体积混凝土按规定配料、浇筑、养护；土方回填按规范分层回填、分层压实；实行旁站监理。</w:t>
      </w:r>
    </w:p>
    <w:p w14:paraId="169BBCB4">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3.11.1.3 主体结构工程：实行样板先行；高支模、大跨度工程必须组织专家论证施工方案，施工过程必须由承包人（或发包人委托第三方）进行监测；按规定组织隐蔽工程验收；实行旁站监理。</w:t>
      </w:r>
    </w:p>
    <w:p w14:paraId="6FA3048D">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3.11.1.4 装配式工程：现场考察PC构件加工厂，并通过加工样板，确定工艺水平是否合符要求；按监理人确认的图纸预埋配件；按监理人确认的加工图制作构配件；按监理人批准的吊装方案安装PC构件。</w:t>
      </w:r>
    </w:p>
    <w:p w14:paraId="5BF29A25">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 xml:space="preserve">3.11.1.5 门窗工程：实行样板先行；门窗必须是在厂家车间生产以成品形式运抵施工现场；门窗预留洞口尺寸符合规范要求；门窗安装的固定方式及填缝符合规范要求。 </w:t>
      </w:r>
    </w:p>
    <w:p w14:paraId="05106047">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3.11.1.6 防水工程：实行样板先行；实行全过程监理旁站；试水验收合格方能隐蔽。</w:t>
      </w:r>
    </w:p>
    <w:p w14:paraId="604A274F">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3.11.1.7 保温隔热工程：按图纸及规范要求施工。</w:t>
      </w:r>
    </w:p>
    <w:p w14:paraId="17D2DF4A">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3.11.1.8 装饰装修工程：实行样板先行，实行全过程监理旁站。</w:t>
      </w:r>
    </w:p>
    <w:p w14:paraId="0FCCC857">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3.11.1.9 机电工程：实行样板先行，实行全过程监理旁站。</w:t>
      </w:r>
    </w:p>
    <w:p w14:paraId="3E2E7CC2">
      <w:pPr>
        <w:snapToGrid/>
        <w:spacing w:before="0" w:after="0" w:line="360" w:lineRule="auto"/>
        <w:ind w:firstLine="480"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3.11.1.10 燃气工程：按图纸及规范要求施工，审核燃气施工资质、专业施工方案，实行样板先行，实行全过程监理旁站。</w:t>
      </w:r>
    </w:p>
    <w:p w14:paraId="1874FF70">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3.11.1.11 智能化工程：实行样板先行，实行全过程监理旁站。</w:t>
      </w:r>
    </w:p>
    <w:p w14:paraId="5B7820CF">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3.11.1.12 市政配套设施工程：实行样板先行，实行全过程监理旁站。</w:t>
      </w:r>
    </w:p>
    <w:p w14:paraId="2A8F9D16">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3.12质量过程检查</w:t>
      </w:r>
    </w:p>
    <w:p w14:paraId="628A2071">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发包人将根据不同施工阶段进行土建过程检查、精装过程检查、交付预检等专项检查，检查标准参见附件《质量过程检查标准》，对施工单位、监理进行季度检查，施工单位综合得分85分以上或触红线项2条以内（包括两条）为合格，同时发包人将委托第三方对原材料+实体检测进行抽查，对材料抽检不合格将进行约谈，如检查分数低于85分或触碰红线项超过2条以及材料抽检不合格，将按合同条款进行违约处罚。</w:t>
      </w:r>
    </w:p>
    <w:p w14:paraId="680B8BE1">
      <w:pPr>
        <w:snapToGrid/>
        <w:spacing w:before="0" w:after="0" w:line="360" w:lineRule="auto"/>
        <w:ind w:firstLine="438" w:firstLineChars="177"/>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本技术要求</w:t>
      </w:r>
      <w:r>
        <w:rPr>
          <w:rFonts w:ascii="宋体" w:hAnsi="宋体" w:eastAsia="宋体" w:cs="宋体"/>
          <w:color w:val="000000" w:themeColor="text1"/>
          <w:spacing w:val="4"/>
          <w:sz w:val="24"/>
          <w:szCs w:val="24"/>
          <w:highlight w:val="none"/>
          <w14:textFill>
            <w14:solidFill>
              <w14:schemeClr w14:val="tx1"/>
            </w14:solidFill>
          </w14:textFill>
        </w:rPr>
        <w:t>所述的</w:t>
      </w:r>
      <w:r>
        <w:rPr>
          <w:rFonts w:hint="eastAsia" w:ascii="宋体" w:hAnsi="宋体" w:eastAsia="宋体" w:cs="宋体"/>
          <w:color w:val="000000" w:themeColor="text1"/>
          <w:spacing w:val="4"/>
          <w:sz w:val="24"/>
          <w:szCs w:val="24"/>
          <w:highlight w:val="none"/>
          <w14:textFill>
            <w14:solidFill>
              <w14:schemeClr w14:val="tx1"/>
            </w14:solidFill>
          </w14:textFill>
        </w:rPr>
        <w:t>质量检查内容及《质量过程检查标准》中介绍的检查内容不排除存在更新、调整的可能，检查标准及规则发包人有权根据当季度实际情况进行调整修改。发包人将在检查启动前对总承包人进行文件宣贯交底，总承包人应按照最新检查文件执行。</w:t>
      </w:r>
    </w:p>
    <w:p w14:paraId="1E02281B">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4、工人工资及预付款支付管理要求</w:t>
      </w:r>
    </w:p>
    <w:p w14:paraId="53C966D4">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4.1 中标后，承包人必须建设主管部门要求设立工人工资支付专用账户，通过工人工资支付专用账户，依法按时足额将工人工资直接支付到工人的工资个人账户，并按月将工人工资支付明细表报发包人备案，作为次月工程进度款的支付条件之一。承包人应当建立用工管理台账，真实、准确记录工人名册、劳动合同、劳务合同、工程进度、工时、劳务承包款和工人工资支付情况等信息，并保存两年以上备查。</w:t>
      </w:r>
    </w:p>
    <w:p w14:paraId="707AB6BE">
      <w:pPr>
        <w:snapToGrid/>
        <w:spacing w:before="0" w:after="0" w:line="360" w:lineRule="auto"/>
        <w:ind w:firstLine="496"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4.2 本工程资金支付金额以有权审批部门审批金额为准。</w:t>
      </w:r>
    </w:p>
    <w:p w14:paraId="2EC18E29">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4.3 承包人在收到发包人工程预付款后，应及时向分包单位、供应商支付备料款等相关费用。承包人如挪用预付款，或未及时向分包单位、供应商支付备料款导致工期延误的，发包人一经查实，有权对承包人按合同约定进行处罚。</w:t>
      </w:r>
    </w:p>
    <w:p w14:paraId="52778D8A">
      <w:pPr>
        <w:snapToGrid/>
        <w:spacing w:before="0" w:after="0" w:line="360" w:lineRule="auto"/>
        <w:ind w:firstLine="496" w:firstLineChars="200"/>
        <w:jc w:val="both"/>
        <w:rPr>
          <w:rFonts w:hint="eastAsia" w:ascii="宋体" w:hAnsi="宋体" w:eastAsia="宋体" w:cs="宋体"/>
          <w:color w:val="000000" w:themeColor="text1"/>
          <w:spacing w:val="4"/>
          <w:sz w:val="24"/>
          <w:szCs w:val="24"/>
          <w:highlight w:val="none"/>
          <w14:textFill>
            <w14:solidFill>
              <w14:schemeClr w14:val="tx1"/>
            </w14:solidFill>
          </w14:textFill>
        </w:rPr>
      </w:pPr>
      <w:r>
        <w:rPr>
          <w:rFonts w:hint="eastAsia" w:ascii="宋体" w:hAnsi="宋体" w:eastAsia="宋体" w:cs="宋体"/>
          <w:color w:val="000000" w:themeColor="text1"/>
          <w:spacing w:val="4"/>
          <w:sz w:val="24"/>
          <w:szCs w:val="24"/>
          <w:highlight w:val="none"/>
          <w14:textFill>
            <w14:solidFill>
              <w14:schemeClr w14:val="tx1"/>
            </w14:solidFill>
          </w14:textFill>
        </w:rPr>
        <w:t>4.4 工人工资支付管理要求须满足委托人制定的相关制度要求。</w:t>
      </w:r>
    </w:p>
    <w:p w14:paraId="4F7DCE62">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5、进度管理要求</w:t>
      </w:r>
    </w:p>
    <w:p w14:paraId="28636AFB">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5.1 进场前核实现场条件</w:t>
      </w:r>
    </w:p>
    <w:p w14:paraId="090BEFCF">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必须在收到发包人进场通知后，对开工条件进行全面摸查、分析，作出全面开工、或局部开工、或不具备开工条件的判断，并书面向监理人、招标人报告。如工程具备开工条件，承包人应就全面开工或局部开工的实际条件，合理安排相匹配的人员、材料、机械设备进场，对于大型机械设备还须报监理人、发包人批准进场方案后方能进场；如工程不具备开工条件，承包人应在收到发包人进场通知后5天内以书面形式向发包人提出延期进场的要求并说明理由，报监理单位和发包人批准后方可延期进场，否则发包人不承担由此造成承包人的损失。</w:t>
      </w:r>
    </w:p>
    <w:p w14:paraId="29FB9CC3">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5.2 进度计划编制和资源投入</w:t>
      </w:r>
    </w:p>
    <w:p w14:paraId="34B9A009">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进场后须根据项目实施总控计划、施工图纸和现场实际情况编制切实可行的实施进度计划，并按照监理工程师、甲方的要求随时修订和调整，采取一切可能的措施，确保按批准的进度计划实施工程。承包人作为总承包单位，应合理安排施工工作，统筹各专业单位的工作界面，不得影响施工进度。承包人应根据工作面的变化情况及工程进度要求，合理调配人员及施工机械设备。承包人如不根据工作面变化情况合理调整人员、施工机械设备，造成的人员、设备窝工费用发包人不予支付。</w:t>
      </w:r>
    </w:p>
    <w:p w14:paraId="503D3FC7">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5.3 工期计划</w:t>
      </w:r>
    </w:p>
    <w:p w14:paraId="58C48C35">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根据节点工期要求编制各节点机械设备、劳动力、材料投入计划并进行考核，对材料、机械设备、劳动力投入不足等情况追究施工方的违约责任。</w:t>
      </w:r>
    </w:p>
    <w:p w14:paraId="0743C212">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承包人在施工过程中需要为政府部门、建设单位、监理单位、检测单位的检查、检测预留足够的时间，其时间相应计入总工期中，不作为工期调整的依据。</w:t>
      </w:r>
    </w:p>
    <w:p w14:paraId="4D78E6D5">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承包人在施工过程中需要给各专业分包单位的施工及调试和成品保护预留足够的时间，其时间相应计入总工期中，不作为工期调整地依据。</w:t>
      </w:r>
    </w:p>
    <w:p w14:paraId="323C5F5C">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地质条件变化、地下障碍物等不作为工期调整的依据，对地质条件变化、地下障碍物的处理及排除风险作为施工风险由施工方承担。</w:t>
      </w:r>
    </w:p>
    <w:p w14:paraId="51230810">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5.4 进度计划修订与调整</w:t>
      </w:r>
    </w:p>
    <w:p w14:paraId="47F93E21">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工程实施过程中，如因不可抗力、工程设计有重大变更等非承包人原因导致工期确需调整的，承包人应及时向监理单位和发包人提出工期调整及人员、机械设备投入调整的报告，经监理单位和发包人批准后方可执行，且承包人不得因此向发包人提出人员、机械设备等窝工费用的索赔。</w:t>
      </w:r>
    </w:p>
    <w:p w14:paraId="3FD15C8B">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5.5 进度月报</w:t>
      </w:r>
    </w:p>
    <w:p w14:paraId="5DD81131">
      <w:pPr>
        <w:snapToGrid/>
        <w:spacing w:before="0" w:after="0" w:line="360" w:lineRule="auto"/>
        <w:ind w:firstLine="424" w:firstLineChars="177"/>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承包人须于每月最后一日前向总监理工程师提供综合报表（内容包括但不限于如下计划、报表或报告），经总监理工程师审核，并报发包人批准后实施： </w:t>
      </w:r>
    </w:p>
    <w:p w14:paraId="451876B1">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5.5.1 施工、安装、试验以及其他发包人工作等进展情况的图表和说明；</w:t>
      </w:r>
    </w:p>
    <w:p w14:paraId="568E41BC">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5.5.2 材料、设备、货物的采购和制造商名称、地点以及进入现场情况；</w:t>
      </w:r>
    </w:p>
    <w:p w14:paraId="2A7CB68B">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5.5.3 合同变更费用统计和安全统计；</w:t>
      </w:r>
    </w:p>
    <w:p w14:paraId="0D73C5E5">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5.5.4 实际进度与计划进度的对比，以及为消除延误正在或准备采取的措施。</w:t>
      </w:r>
    </w:p>
    <w:p w14:paraId="2D7B9C0A">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5.6 非发包人原因工期延误的处理</w:t>
      </w:r>
    </w:p>
    <w:p w14:paraId="7A1DE7CC">
      <w:pPr>
        <w:snapToGrid/>
        <w:spacing w:before="0" w:after="0"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非发包人延误工期的情况下，如果监理人或发包人书面指出承包人实施合同工程或其任何部分的进度过慢，迟于进度计划或不能按期竣工，则承包人应按照采取一切改进措施，加快工程进度。如果承包人在接到监理工程师或发包人通知后的14 天内，未能采取加快工程进度的措施，致使实际进度进一步延迟；或承包人虽然采取了改进措施，仍无法按期竣工，监理人应立即报告发包人，并抄送承包人。发包人可按照合同规定解除合同，也可将合同工程中的一部分工作交由第三方完成，由此增加的一切费用由承包人承担。即使承包人承担增加的费用，也不能免除其按照合同约定应承担的任何责任和应履行的任何义务。</w:t>
      </w:r>
    </w:p>
    <w:p w14:paraId="685277D7">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6、安全文明、职业健康与环境管理施工要求</w:t>
      </w:r>
    </w:p>
    <w:p w14:paraId="3ECC6153">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6.1安全文明施工一般规定</w:t>
      </w:r>
    </w:p>
    <w:p w14:paraId="41BE8E69">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6.1.1 根据广州市城乡建委《广州市住房和城乡建设委员会关于全市建设工地纳入视频监管的通知》（穗建质〔2017〕1166号）要求，建立并完善工地的视频监控系统。</w:t>
      </w:r>
    </w:p>
    <w:p w14:paraId="466A2324">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 承包人应按《广州市住房和城乡建设局等9部门关于印发广州市建设工程绿色施工围蔽指导图集（V2.0版）的通知 》（穗建质〔2020〕1号）实施。</w:t>
      </w:r>
    </w:p>
    <w:p w14:paraId="70D3037A">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6.1.3 严格按照《广州市城乡建设委员会关于印发广州市建设工程绿色施工工作技术指引的通知》（穗建质〔2014〕914号）要求，对建设工程全过程实施绿色施工。</w:t>
      </w:r>
    </w:p>
    <w:p w14:paraId="6A3952A2">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6.1.4 严格按照《广州市住房和城乡建设局等8部门关于印发广州市建设工程扬尘防治“6个100%”管理标准图集（V2.0版）的通知》的要求，对建设工程全过程实施扬尘防治。</w:t>
      </w:r>
    </w:p>
    <w:p w14:paraId="3423FFAC">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6.1.5严格按照《广东省建筑垃圾管理条例》的相关要求，做好施工现场建筑垃圾源头减量以及建筑垃圾综合利用。</w:t>
      </w:r>
    </w:p>
    <w:p w14:paraId="641435C2">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6.2 环境保护一般规定</w:t>
      </w:r>
    </w:p>
    <w:p w14:paraId="765F503B">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承包人应在进入现场前向监理单位提交施工期间的环境保护方案，经监理工程师批准后实施。在实施过程中所采用的材料、设备等经监理工程师和发包人同意后使用。</w:t>
      </w:r>
    </w:p>
    <w:p w14:paraId="4195D1D5">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6.3 职业健康一般规定</w:t>
      </w:r>
    </w:p>
    <w:p w14:paraId="2B9FAF86">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应依法为其履行合同所雇用的人员办理必要的证件、许可、保险和注册等，按照法律规定保障现场施工人员的劳动安全，提供劳动保护,采取有效的防止粉尘、降低噪声、控制有害气体和保障高温、高寒、高空作业安全等劳动保护措施。承包人雇佣人员在施工中受到伤害的，承包人应立即采取有效措施进行抢救和治疗。承包人应为其履行合同所雇用的人员提供必要的膳宿条件和生活环境，采取有效措施预防传染病，保证施工人员的健康。承包人需在所有施工人员进场前组织进行体检，体检报告合格方可入场，若现场出现未经体检擅自入场的施工人员，发包人有权按照合同有关约定对承包人进行处罚。</w:t>
      </w:r>
    </w:p>
    <w:p w14:paraId="281D64AC">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6.4 疫情防控规定</w:t>
      </w:r>
    </w:p>
    <w:p w14:paraId="0AABEEC8">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按照各级政府、主管部门及发包人要求做好疫情防控工作。</w:t>
      </w:r>
    </w:p>
    <w:p w14:paraId="00F42F66">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6.5 安全保证措施要求</w:t>
      </w:r>
    </w:p>
    <w:p w14:paraId="32CB0D22">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安全文明施工保证措施必须包括人员投入，安全措施费投入，安全教育培训，应急救援演练，安全检查及隐患排查整改，专项施工方案的编制、审批和实施措施，预防施工坍塌事故的措施，预防建筑起重机械伤害事故的措施等重点内容。措施项目的实施要求须满足《建筑施工安全检查标准》（JGJ59-2011）、《建筑施工现场环境与卫生标准》（JGJ146-2013）、广东省建设厅转发建设部关于印发《建筑工程安全防护、文明施工措施费用及使用管理规定》的通知（粤建管字[2005]116号）、关于印发《广东省建设厅建筑工程安全防护、文明施工措施费用管理办法》的通知（粤建管字[2007]39号）、关于印发《广州市建设工程现场文明施工管理办法》的通知（穗建质[2008]937号）、《广州市住房和城乡建设局等9部门关于印发广州市建设工程绿色施工围蔽指导图集（V2.0版）的通知 》（穗建质〔2020〕1号）、关于印发《广州市建设工程施工现场消防安全管理规定》的通知（穗建质[2011]617号）、《广州市建设工程文明施工管理规定》（广州市人民政府2011年第62号令）及发包人制定的相关规定的要求。</w:t>
      </w:r>
    </w:p>
    <w:p w14:paraId="32C3AA38">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6.6 安全生产管理人员投入要求</w:t>
      </w:r>
    </w:p>
    <w:p w14:paraId="1765F5A8">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承包人必须严格按照省市相关规定和发包人要求，足额投入安全生产管理人员，其中：专职安全员必须持证上岗，特殊工种的人员也应受过专门的培训并已取得政府有关管理机构颁发的上岗证书。</w:t>
      </w:r>
    </w:p>
    <w:p w14:paraId="3D8DFEEB">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承包人必须明确划分各人员的责任，使其在施工过程中履行自己的责任和义务。项目经理是安全第一责任人，负责安全生产的直接责任。</w:t>
      </w:r>
    </w:p>
    <w:p w14:paraId="0B794724">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承包人必须制定严格的安全技术操作规程，并定期对安全生产管理人员进行考核。</w:t>
      </w:r>
    </w:p>
    <w:p w14:paraId="46AAF011">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进场前发包人对安全管理人员进行面试，并定期考核，合格者方能入职上岗，发包人有权更换不合格安全生产管理人员。</w:t>
      </w:r>
    </w:p>
    <w:p w14:paraId="26C89AAA">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6.7 承包人对现场安全负全责</w:t>
      </w:r>
    </w:p>
    <w:p w14:paraId="78E2211B">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工程实施期间，承包人对经发包人移交的施工场地负有全过程、全面的管理责任，必须对施工场地范围内的治安秩序、安全保卫、环境卫生以及周围房屋、市政设施等全面负责，对施工场地范围内的交通道路、用水、用电、场地内的施工协调负责，确保不对周边环境、道路、行人和相邻施工现场造成不利影响，不得干扰周围居民的正常生活。承包人应加强现场治安防卫工作。在工程开工后7天内编制施工场地治安管理计划，并制定应对突发治安事件的紧急预案。在工程施工过程中，发生暴乱、爆炸等恐怖事件，以及群殴、械斗等群体性突发治安事件的，承包人应立即向发包人和当地政府报告。承包人应积极协助当地有关部门采取措施平息事态，防止事态扩大，尽量避免人员伤亡和财产损失。</w:t>
      </w:r>
    </w:p>
    <w:p w14:paraId="161CEF3D">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6.8 危险性较大工程的安全管理</w:t>
      </w:r>
    </w:p>
    <w:p w14:paraId="6F12B652">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危险性较大的分部分项工程《危险性较大的分部分项工程安全管理规定》(中华人民共和国住房和城乡建设部令第37号)等文规定执行。需单独编制危险性较大分部分项专项工程施工方案的，及要求进行专家论证的超过一定规模的危险性较大的分部分项工程，承包人应及时编制和组织论证，相关专家应选用自政府、行业协会或发包人的专家库。承包人在动力设备、输电线路、地下管道、密封防震车间、易燃易爆地段以及临街交通要道附近施工时，施工开始前应向发包人和监理人提出安全防护措施，经发包人认可后实施。 </w:t>
      </w:r>
    </w:p>
    <w:p w14:paraId="3BE96CB6">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实施爆破作业，在放射、毒害性环境中施工（含储存、运输、使用）及使用毒害性、腐蚀性物品施工时，承包人应在施工前7天以书面通知发包人和监理人，并报送相应的安全防护措施，经发包人认可后实施。</w:t>
      </w:r>
    </w:p>
    <w:p w14:paraId="04FC64F4">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6.9 安全问题应急措施及上报制度</w:t>
      </w:r>
    </w:p>
    <w:p w14:paraId="61B98828">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在工程实施期间，如遇到突发的地质变动、事先未知的地下施工障碍等影响施工安全的紧急情况，承包人应及时报告监理人和发包人，发包人应当及时下令停工并报政府有关行政管理部门采取应急措施。</w:t>
      </w:r>
    </w:p>
    <w:p w14:paraId="25A9441E">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6.10 安全文明施工费用专款专用</w:t>
      </w:r>
    </w:p>
    <w:p w14:paraId="69A707B7">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开工前，承包人应制定安全文明施工方案及年度安全文明措施费投入计划，安全文明措施费必须按照工程进度及合同条款要求足额投入，监理单位和发包人定期组织现场验收。承包人须定期上报安全文明措施费使用情况，并提供有效证明材料，上报监理单位及发包人审核。</w:t>
      </w:r>
    </w:p>
    <w:p w14:paraId="47DFE8FF">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在施工过程中必须严格执行安全文明施工方案，安全防护、文明施工的内容按承包人向发包人提交且经发包人批准的详细的施工组织设计实施，包括且不限于施工的安全设施、机具以及围网、护栏、高压线防护、管线防护、临边防护、涉铁涉路防护、施工通道等，全部按发包人或产权单位的要求统一标准、统一标识。所需安全防护、文明施工措施费必须专款专用，严禁挪用，一经发现，根据合同约定处理。</w:t>
      </w:r>
    </w:p>
    <w:p w14:paraId="73FA5F97">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6.11 承包人不按要求实施安全生产、文明施工时的特殊处理措施</w:t>
      </w:r>
    </w:p>
    <w:p w14:paraId="673225B4">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工程实施期间，监理单位、发包人或监督部门在安全文明施工检查过程中，如发现施工现场不满足国家、省、市关于安全文明生产的相关规定和发包人对本工程安全文明施工的相关要求，且不按监理单位要求在限定时间内整改完毕的，发包人可以自行或委托其他单位实施整改，所发生的费用从安全防护、文明施工措施费款项中扣除，不足部分从承包人的合同价款中扣除。</w:t>
      </w:r>
    </w:p>
    <w:p w14:paraId="09DD625B">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在工程实施期间或缺陷责任期内发生危及工程安全的事件，监理人通知承包人进行抢救，承包人声明无能力或不愿立即执行的，发包人有权自行或委托其他单位进行抢救。此类抢救按合同约定属于承包人义务的，由此增加的费用和（或）延误的工期由承包人承担。</w:t>
      </w:r>
    </w:p>
    <w:p w14:paraId="0D12E91F">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 施工现场建筑垃圾源头减量的具体要求和建筑垃圾综合利用产品的使用要求</w:t>
      </w:r>
    </w:p>
    <w:p w14:paraId="2985F63F">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6.12.1承包人应当编制建筑垃圾处理方案，采取污染防治措施，并在开工前报工程所在地县级人民政府建筑垃圾主管部门备案。建筑垃圾处理方案内容有调整的，应当及时报告接受备案的部门。建筑垃圾处理方案应当包括下列内容：</w:t>
      </w:r>
    </w:p>
    <w:p w14:paraId="13449A45">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工程概况和承包人基本信息；2）建筑垃圾产生量与种类；3）建筑垃圾源头减量、分类收集、综合利用、污染防治的措施和目标；4）需要外运的建筑垃圾种类、数量与运输的时间、路线、方式和运输单位；5）建筑垃圾回填、消纳、综合利用场所名称；6）法律、法规规定的其他内容。</w:t>
      </w:r>
    </w:p>
    <w:p w14:paraId="49DEF234">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6.12.2 建筑垃圾应当按照国家有关规定进行分类，实行分类收集、分类贮存、分类运输、分类处置。</w:t>
      </w:r>
    </w:p>
    <w:p w14:paraId="08FE8405">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6.12.3 发包人督促承包人开展建筑垃圾分类和合法装载，并及时向工程所在地县级人民政府建筑垃圾主管部门报送建筑垃圾处理方案。承包人应当建立建筑垃圾管理台账，分类收集、贮存和及时清运施工过程中产生的建筑垃圾，采取有效措施防止混合已分类的建筑垃圾。工程承包人应当将建筑垃圾的产生量与种类、清运时间、最终去向等信息在施工现场公示，接受社会监督。</w:t>
      </w:r>
    </w:p>
    <w:p w14:paraId="271B601A">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6.12.4 运输建筑垃圾应当遵守下列规定：</w:t>
      </w:r>
    </w:p>
    <w:p w14:paraId="60428655">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建立建筑垃圾运输管理台账；2）不得将工程渣土、工程泥浆与其他建筑垃圾混合运输；3）保持运输车辆、船舶等运输工具的行驶记录、卫星定位等电子装置正常使用；4）运输过程中保持运输工具整洁，采取密闭或者其他有效措施防止遗撒建筑垃圾，不得擅自倾倒、抛撒建筑垃圾；5）按照建筑垃圾处理方案确定的时间、路线、方式、场所进行运输。建筑垃圾运输车辆、船舶应当符合相应的载运技术条件。建筑垃圾处置场所为陆域的，不得采用开底式船舶运输建筑垃圾。</w:t>
      </w:r>
    </w:p>
    <w:p w14:paraId="73285041">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6.12.5工程泥浆应当在施工现场进行脱水固化处理。施工现场不具备条件的，应当采用罐装器具密闭运输至依法设置的建筑垃圾处置场所进行处置。水上工程中依法无需经脱水处理的除外。</w:t>
      </w:r>
    </w:p>
    <w:p w14:paraId="6C9BC499">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6.12.6 建筑垃圾应当按照下列方式，优先就地就近利用：1）工程渣土及脱水后的工程泥浆优先用于土方平衡、矿坑修复、环境治理、烧结制品及回填等；2）工程垃圾、拆除垃圾和装修垃圾优先用于生产再生骨料、再生砖、再生砌块、再生沥青混合料等建筑垃圾综合利用产品。具备现场综合利用条件的建设工程，应当进行建筑垃圾现场综合利用。</w:t>
      </w:r>
    </w:p>
    <w:p w14:paraId="2ED20C82">
      <w:pPr>
        <w:snapToGrid/>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6.12.7 承包人严格遵守并执行《广东省建筑垃圾管理条例》。</w:t>
      </w:r>
    </w:p>
    <w:p w14:paraId="4B36927F">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7、绿色施工管理要求</w:t>
      </w:r>
    </w:p>
    <w:p w14:paraId="079EDF9E">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7.1 施工管理要求。加强绿色施工管理，主要包括组织管理、规划管理、实施管理、评价管理和人员安全与健康管理五个方面。建立绿色施工管理体系，并制定相应的管理制度与目标；编制绿色施工方案，该方案应在施工组织设计中独立成章，并按有关规定进行审批；绿色施工应对整个施工过程实施动态管理，加强对施工策划、施工准备、材料采购、现场施工、工程验收等各阶段的管理和监督。</w:t>
      </w:r>
    </w:p>
    <w:p w14:paraId="74F55CD4">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7.2 环境保护要求。对土方作业阶段、结构安装装饰阶段作业区扬尘高度进行监控，采用喷雾、洒水等措施进行治理；同时做好对噪音与振动控制、光污染控制、水污染控制、土壤保护、建筑垃圾控制、地下设施、文物和资源保护等方面控制。</w:t>
      </w:r>
    </w:p>
    <w:p w14:paraId="03F72635">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7.3 节材与材料资源利用。优化模板及支撑体系方案，采用工具式模板、钢制大模板和早拆支撑体系，采用定型钢模、钢框木模、木塑板；钢筋制作采用专业化加工、配送；使用预拌混凝土和商品砂浆。</w:t>
      </w:r>
    </w:p>
    <w:p w14:paraId="3B817607">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7.4 推广使用节水与水资源利用技术，要求采取多种措施提高用水效率。如施工中采用先进的节水施工工艺；现场搅拌用水、养护用水应采取有效的节水措施，严禁无措施浇水养护混凝土；施工现场分别对生活用水与工程用水确定用水定额指标，并分别计量管理；大型工程的不同单项工程、不同标段、不同分包生活区，凡具备条件的应分别计量用水量；对混凝土搅拌站点等用水集中的区域和工艺点进行专项计量考核，施工现场建立雨水、中水或可再利用水的搜集利用系统。</w:t>
      </w:r>
    </w:p>
    <w:p w14:paraId="7099BBEA">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8、投资控制要求：详见合同条款。</w:t>
      </w:r>
    </w:p>
    <w:p w14:paraId="54CAE3E3">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9、材料设备管理要求</w:t>
      </w:r>
    </w:p>
    <w:p w14:paraId="06955A41">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 材料设备采购计划管理</w:t>
      </w:r>
    </w:p>
    <w:p w14:paraId="2AB41A79">
      <w:pPr>
        <w:spacing w:before="0" w:after="0" w:line="360" w:lineRule="auto"/>
        <w:ind w:firstLine="424" w:firstLineChars="177"/>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进场后应根据设计图纸及施工进度计划制定主要材料设备采购计划，及时签订采购合同（签订供货合同的时间必须至少比第一批货物计划进场的时间提前两个月+备货期），影响工程造价较大的大批量材料设备，承包人必须提前定制或锁定价格，否则由此引起的工期调整或价格调整，发包人有权不予批准。其中：</w:t>
      </w:r>
    </w:p>
    <w:p w14:paraId="5A6869E6">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9.1.1 主要材料设备采购计划需报监理单位审核，审核合格后报发包人备案，并作为第一期工程进度款的支付条件之一；</w:t>
      </w:r>
    </w:p>
    <w:p w14:paraId="72B38381">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9.1.2 主要材料设备的采购合同必须报发包人备案（具体需要备案的材料设备采购合同种类由发包人根据项目实际需要确定），作为涉及相应材料设备的中间计量进度款的支付条件之一。</w:t>
      </w:r>
    </w:p>
    <w:p w14:paraId="6BC8DBBB">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9.2 材料设备采购管理</w:t>
      </w:r>
    </w:p>
    <w:p w14:paraId="13A2761E">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承包人必须确保在满足或优于招标文件（包括招标文件各专业主要设备材料技术参数）、招标图纸和相关规范要求的条件下采购主要材料设备。甲方保留对材料设备进行集中采购的权利，乙方须无条件配合。同时承包人应承诺优先通过广州市建材集群采购管理服务综合平台采购项目所需的预拌混凝土和装配式混凝土预制构件等材料设备。其中：</w:t>
      </w:r>
    </w:p>
    <w:p w14:paraId="5A9A2700">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9.2.1 招标文件有推荐品牌范围的主要材料设备，原则上必须在推荐品牌范围内选用（具体见《主要材料设备品牌/生产厂家推荐表》）。</w:t>
      </w:r>
    </w:p>
    <w:p w14:paraId="66D71D7D">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9.2.2 若承包人选用同等或优于推荐品牌的，在采购前必须经发包人审批同意，否则，视为承包人自行更换品牌，按招标文件和合同规定承担违约责任。</w:t>
      </w:r>
    </w:p>
    <w:p w14:paraId="6593333A">
      <w:pPr>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9.2.3 不在推荐品牌范围的主要材料设备，承包人按中国名牌、国家免检产品、省知名品牌的顺序选定，同时须严格按照发包人看样定板的相关规定执行。</w:t>
      </w:r>
    </w:p>
    <w:p w14:paraId="5B212AB6">
      <w:pPr>
        <w:snapToGrid/>
        <w:spacing w:before="0" w:after="0"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9.2.4 本项目主要设备材料品牌/生产厂家推荐表，详见合同《主要设备材料推荐品牌表》。</w:t>
      </w:r>
    </w:p>
    <w:p w14:paraId="22705E83">
      <w:pPr>
        <w:spacing w:before="0" w:after="0" w:line="360" w:lineRule="auto"/>
        <w:ind w:firstLine="463" w:firstLineChars="193"/>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9.3 材料设备检验、试验管理</w:t>
      </w:r>
    </w:p>
    <w:p w14:paraId="4BE68BA0">
      <w:pPr>
        <w:spacing w:before="0" w:after="0" w:line="360" w:lineRule="auto"/>
        <w:ind w:firstLine="463" w:firstLineChars="193"/>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无论发包人是否推荐品牌范围，所有用于本工程的材料设备必须严格按合同条款的约定进行检验、试验，确保材料设备质量。材料进场批次要与见证取样检测批次一致，否则，多出批次的检测费由承包人承担。本项目应进行节能、室内环境检测，需委托具有相应资质检测机构实施的相关工作。</w:t>
      </w:r>
    </w:p>
    <w:p w14:paraId="66875044">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9.4 乙供材料设备看样定板管理</w:t>
      </w:r>
    </w:p>
    <w:p w14:paraId="701F240E">
      <w:pPr>
        <w:spacing w:before="0" w:after="0" w:line="360" w:lineRule="auto"/>
        <w:ind w:firstLine="463" w:firstLineChars="193"/>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为加强本工程所使用的乙供材料设备的质量管理，确保承包人所选购的材料设备的质量、技术性能、款式、效果等方面满足设计和使用需求，所有主要材料设备在看样定板之前，发包人、使用业主、监理单位、设计单位有权对乙供材料设备厂家的生产能力、制造水平、生产工艺等方面进行综合考察评估，考核评估合格的方能采购。如经综合考察评估不合格，发包人有权在《主要材料设备品牌/生产厂家推荐表》中选择其他满足规定的材料厂家及品牌，经考核评估合格后予以选用，合同价款不作调整。</w:t>
      </w:r>
    </w:p>
    <w:p w14:paraId="75B727BE">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9.5 乙供材料设备供应商管理</w:t>
      </w:r>
    </w:p>
    <w:p w14:paraId="0E7C8B34">
      <w:pPr>
        <w:spacing w:before="0" w:after="0" w:line="360" w:lineRule="auto"/>
        <w:ind w:firstLine="463" w:firstLineChars="193"/>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应在确定主要乙供材料设备供应商的7个工作日内，将供应商的清单明细（包括供应商的名称、联系人、联系电话、联系地址等）报监理单位和发包人备案。供应商须服从监理单位和发包人的管理，并按要求参加相关工作例会。</w:t>
      </w:r>
    </w:p>
    <w:p w14:paraId="5AF50203">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9.6 材料设备专用于本工程</w:t>
      </w:r>
    </w:p>
    <w:p w14:paraId="045B08CE">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承包人运入施工现场的材料、工程设备、施工设备以及在施工场地建设的临时设施，包括备品备件、安装工具与资料，必须专用于工程。未经发包人批准不得运出施工现场或挪作他用。</w:t>
      </w:r>
    </w:p>
    <w:p w14:paraId="336D86E7">
      <w:pPr>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571" w:name="_Toc6225"/>
      <w:bookmarkStart w:id="572" w:name="_Toc18600"/>
      <w:bookmarkStart w:id="573" w:name="_Toc4929"/>
      <w:bookmarkStart w:id="574" w:name="_Toc169722218"/>
      <w:bookmarkStart w:id="575" w:name="_Toc22500"/>
      <w:bookmarkStart w:id="576" w:name="_Toc28863"/>
      <w:bookmarkStart w:id="577" w:name="_Toc19462"/>
      <w:bookmarkStart w:id="578" w:name="_Toc15390"/>
      <w:bookmarkStart w:id="579" w:name="_Toc26943"/>
      <w:bookmarkStart w:id="580" w:name="_Toc4551"/>
      <w:bookmarkStart w:id="581" w:name="_Toc25131"/>
      <w:r>
        <w:rPr>
          <w:rFonts w:hint="eastAsia" w:ascii="宋体" w:hAnsi="宋体" w:eastAsia="宋体" w:cs="宋体"/>
          <w:color w:val="000000" w:themeColor="text1"/>
          <w:sz w:val="24"/>
          <w:highlight w:val="none"/>
          <w14:textFill>
            <w14:solidFill>
              <w14:schemeClr w14:val="tx1"/>
            </w14:solidFill>
          </w14:textFill>
        </w:rPr>
        <w:t>9.7甲供物资</w:t>
      </w:r>
      <w:r>
        <w:rPr>
          <w:rFonts w:ascii="宋体" w:hAnsi="宋体" w:eastAsia="宋体" w:cs="宋体"/>
          <w:color w:val="000000" w:themeColor="text1"/>
          <w:sz w:val="24"/>
          <w:highlight w:val="none"/>
          <w14:textFill>
            <w14:solidFill>
              <w14:schemeClr w14:val="tx1"/>
            </w14:solidFill>
          </w14:textFill>
        </w:rPr>
        <w:t>管理要求</w:t>
      </w:r>
      <w:bookmarkEnd w:id="571"/>
      <w:bookmarkEnd w:id="572"/>
      <w:bookmarkEnd w:id="573"/>
      <w:bookmarkEnd w:id="574"/>
      <w:r>
        <w:rPr>
          <w:rFonts w:hint="eastAsia" w:ascii="宋体" w:hAnsi="宋体" w:eastAsia="宋体" w:cs="宋体"/>
          <w:color w:val="000000" w:themeColor="text1"/>
          <w:sz w:val="24"/>
          <w:highlight w:val="none"/>
          <w14:textFill>
            <w14:solidFill>
              <w14:schemeClr w14:val="tx1"/>
            </w14:solidFill>
          </w14:textFill>
        </w:rPr>
        <w:t>（如有）</w:t>
      </w:r>
      <w:bookmarkEnd w:id="575"/>
      <w:bookmarkEnd w:id="576"/>
      <w:bookmarkEnd w:id="577"/>
      <w:bookmarkEnd w:id="578"/>
      <w:bookmarkEnd w:id="579"/>
      <w:bookmarkEnd w:id="580"/>
      <w:bookmarkEnd w:id="581"/>
    </w:p>
    <w:p w14:paraId="0BDD0B03">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bookmarkStart w:id="582" w:name="_Toc406435935"/>
      <w:bookmarkStart w:id="583" w:name="_Toc328755017"/>
      <w:bookmarkStart w:id="584" w:name="_Toc329131560"/>
      <w:r>
        <w:rPr>
          <w:rFonts w:hint="eastAsia" w:ascii="宋体" w:hAnsi="宋体" w:eastAsia="宋体" w:cs="宋体"/>
          <w:color w:val="000000" w:themeColor="text1"/>
          <w:sz w:val="24"/>
          <w:highlight w:val="none"/>
          <w14:textFill>
            <w14:solidFill>
              <w14:schemeClr w14:val="tx1"/>
            </w14:solidFill>
          </w14:textFill>
        </w:rPr>
        <w:t>9.7.1甲供物资</w:t>
      </w:r>
    </w:p>
    <w:p w14:paraId="39FC2352">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发包人招标，与供应商签订供货合同，发包人直接付款。</w:t>
      </w:r>
    </w:p>
    <w:p w14:paraId="18E3C13B">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9.7.2供应计划管理流程</w:t>
      </w:r>
    </w:p>
    <w:p w14:paraId="7478B000">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bookmarkStart w:id="585" w:name="_Hlk168667710"/>
      <w:bookmarkStart w:id="586" w:name="_Hlk168668529"/>
      <w:bookmarkStart w:id="587" w:name="_Toc329131558"/>
      <w:bookmarkStart w:id="588" w:name="_Toc437937241"/>
      <w:bookmarkStart w:id="589" w:name="_Toc328755015"/>
      <w:bookmarkStart w:id="590" w:name="_Toc436410800"/>
      <w:bookmarkStart w:id="591" w:name="_Toc406435933"/>
      <w:bookmarkStart w:id="592" w:name="_Toc436410967"/>
      <w:r>
        <w:rPr>
          <w:rFonts w:hint="eastAsia" w:ascii="宋体" w:hAnsi="宋体" w:eastAsia="宋体" w:cs="宋体"/>
          <w:color w:val="000000" w:themeColor="text1"/>
          <w:sz w:val="24"/>
          <w:highlight w:val="none"/>
          <w14:textFill>
            <w14:solidFill>
              <w14:schemeClr w14:val="tx1"/>
            </w14:solidFill>
          </w14:textFill>
        </w:rPr>
        <w:t>承包人应组织专业承包人共同编制并提交包含自身及专业承包人的《甲供物资供应计划表》→监理人审核确认→发包人审核确认→发包人核对供货合约、确认→发包人督促供应商确认订单→发包人督促供应商按要求及时、保质、足量交货</w:t>
      </w:r>
      <w:bookmarkEnd w:id="585"/>
      <w:r>
        <w:rPr>
          <w:rFonts w:hint="eastAsia" w:ascii="宋体" w:hAnsi="宋体" w:eastAsia="宋体" w:cs="宋体"/>
          <w:color w:val="000000" w:themeColor="text1"/>
          <w:sz w:val="24"/>
          <w:highlight w:val="none"/>
          <w14:textFill>
            <w14:solidFill>
              <w14:schemeClr w14:val="tx1"/>
            </w14:solidFill>
          </w14:textFill>
        </w:rPr>
        <w:t>。</w:t>
      </w:r>
    </w:p>
    <w:bookmarkEnd w:id="586"/>
    <w:p w14:paraId="5504D959">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9.7.3甲供物资采购供应计划编制与排产</w:t>
      </w:r>
      <w:bookmarkEnd w:id="587"/>
      <w:bookmarkEnd w:id="588"/>
      <w:bookmarkEnd w:id="589"/>
      <w:bookmarkEnd w:id="590"/>
      <w:bookmarkEnd w:id="591"/>
      <w:bookmarkEnd w:id="592"/>
      <w:r>
        <w:rPr>
          <w:rFonts w:ascii="宋体" w:hAnsi="宋体" w:eastAsia="宋体" w:cs="宋体"/>
          <w:color w:val="000000" w:themeColor="text1"/>
          <w:sz w:val="24"/>
          <w:highlight w:val="none"/>
          <w14:textFill>
            <w14:solidFill>
              <w14:schemeClr w14:val="tx1"/>
            </w14:solidFill>
          </w14:textFill>
        </w:rPr>
        <w:tab/>
      </w:r>
    </w:p>
    <w:p w14:paraId="36131428">
      <w:pPr>
        <w:pStyle w:val="63"/>
        <w:numPr>
          <w:ilvl w:val="0"/>
          <w:numId w:val="28"/>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承包人依据合同约定，根据已审批的工程总施工进度计划，考虑招标、排产、加工、运输、验收等因素，提前编制《甲供材料设备进场计划》报发包人，并对数量和规格的准确性负责。</w:t>
      </w:r>
    </w:p>
    <w:p w14:paraId="14F920CB">
      <w:pPr>
        <w:pStyle w:val="63"/>
        <w:numPr>
          <w:ilvl w:val="0"/>
          <w:numId w:val="28"/>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发包人根据每种甲供物资现场使用时间及各自的制造周期，适时向供应商发出《甲供材料设备要货订单》。</w:t>
      </w:r>
    </w:p>
    <w:p w14:paraId="346BD28E">
      <w:pPr>
        <w:spacing w:before="0" w:after="0" w:line="360" w:lineRule="auto"/>
        <w:ind w:firstLine="463" w:firstLineChars="193"/>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9.7.4甲供物资管理要求</w:t>
      </w:r>
    </w:p>
    <w:p w14:paraId="27795E04">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首批甲供物资到场：发包人在接到通知后组织监理人、承包人等参与到货验收。承包人填报《工程材料、构配件、设备报审表》，并报监理人。</w:t>
      </w:r>
    </w:p>
    <w:p w14:paraId="76187D6A">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以后批次物资进场：由监理人组织供货商、承包人、发包人等相关单位共同验收。</w:t>
      </w:r>
    </w:p>
    <w:p w14:paraId="24905407">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bookmarkStart w:id="593" w:name="_Hlk168668669"/>
      <w:r>
        <w:rPr>
          <w:rFonts w:hint="eastAsia" w:ascii="宋体" w:hAnsi="宋体" w:eastAsia="宋体" w:cs="宋体"/>
          <w:color w:val="000000" w:themeColor="text1"/>
          <w:spacing w:val="4"/>
          <w:sz w:val="24"/>
          <w:highlight w:val="none"/>
          <w14:textFill>
            <w14:solidFill>
              <w14:schemeClr w14:val="tx1"/>
            </w14:solidFill>
          </w14:textFill>
        </w:rPr>
        <w:t>参加验收人员应按供货合同、供货样板及《甲供材料要货订单》的订单信息，对到货物料的数量、外观、包装、质量等进行现场验收。</w:t>
      </w:r>
    </w:p>
    <w:bookmarkEnd w:id="593"/>
    <w:p w14:paraId="4FF46895">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各方检查验收结束后，各方需签字确认并注明意见及日期，有不合格物资需退场的应注明。</w:t>
      </w:r>
    </w:p>
    <w:p w14:paraId="6E5D0660">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若甲供物资需现场见证送检的，由监理人见证取样，由相关施工安装单位送检，检验所需费用按合同有关规定执行，检验所需时间应纳入计划。</w:t>
      </w:r>
    </w:p>
    <w:p w14:paraId="01CA8073">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对在设备工厂内做定型试验的大型设备（如制冷机组、空调机组、新风机组、水泵、冷却塔、高低压配电柜等），必要时，发包人组织相关部门（承包人及监理人）到工厂进行监督及设备试验参数的采集。</w:t>
      </w:r>
    </w:p>
    <w:p w14:paraId="50AE5AB9">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对重要物资，必要时，发包人组织监理人、承包人及专业承包人相关人员到工厂进行驻场监造，费用由各自单位承担。</w:t>
      </w:r>
    </w:p>
    <w:p w14:paraId="4BDB45B9">
      <w:pPr>
        <w:pStyle w:val="63"/>
        <w:numPr>
          <w:ilvl w:val="0"/>
          <w:numId w:val="2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所有发包人采购供应的物资由供应商运送到施工工地现场并卸货至发包人指定地点（汽车可到达区域）。到场后，由相应安装单位负责上述材料设备的二次运输和搬运、接收、验收、保管等管理工作。若因接收单位管理不当造成的损失，接收单位负责补偿。</w:t>
      </w:r>
      <w:bookmarkEnd w:id="582"/>
      <w:bookmarkEnd w:id="583"/>
      <w:bookmarkEnd w:id="584"/>
    </w:p>
    <w:p w14:paraId="360EA4DF">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10、施工管理人员配置要求</w:t>
      </w:r>
    </w:p>
    <w:p w14:paraId="6AD7D09B">
      <w:pPr>
        <w:snapToGrid/>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10.1 承包人进场即成立项目管理部负责工程管理工作。其中，施工管理人员配备要求见《施工管理主要人员配置要求》。</w:t>
      </w:r>
    </w:p>
    <w:p w14:paraId="746AC317">
      <w:pPr>
        <w:snapToGrid/>
        <w:spacing w:before="0" w:after="0" w:line="360" w:lineRule="auto"/>
        <w:ind w:firstLine="482" w:firstLineChars="200"/>
        <w:jc w:val="center"/>
        <w:rPr>
          <w:rFonts w:hint="eastAsia" w:ascii="宋体" w:hAnsi="宋体" w:eastAsia="宋体" w:cs="宋体"/>
          <w:b/>
          <w:bCs/>
          <w:color w:val="000000" w:themeColor="text1"/>
          <w:sz w:val="24"/>
          <w:highlight w:val="none"/>
          <w14:textFill>
            <w14:solidFill>
              <w14:schemeClr w14:val="tx1"/>
            </w14:solidFill>
          </w14:textFill>
        </w:rPr>
      </w:pPr>
      <w:r>
        <w:rPr>
          <w:rFonts w:hint="eastAsia" w:ascii="宋体" w:hAnsi="宋体" w:eastAsia="宋体" w:cs="宋体"/>
          <w:b/>
          <w:bCs/>
          <w:color w:val="000000" w:themeColor="text1"/>
          <w:sz w:val="24"/>
          <w:highlight w:val="none"/>
          <w14:textFill>
            <w14:solidFill>
              <w14:schemeClr w14:val="tx1"/>
            </w14:solidFill>
          </w14:textFill>
        </w:rPr>
        <w:t>施工管理主要人员配置要求</w:t>
      </w:r>
    </w:p>
    <w:tbl>
      <w:tblPr>
        <w:tblStyle w:val="42"/>
        <w:tblW w:w="919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630"/>
        <w:gridCol w:w="1905"/>
        <w:gridCol w:w="645"/>
        <w:gridCol w:w="5100"/>
        <w:gridCol w:w="915"/>
      </w:tblGrid>
      <w:tr w14:paraId="1328F1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1C1B499A">
            <w:pPr>
              <w:spacing w:before="0" w:after="0" w:line="240" w:lineRule="auto"/>
              <w:jc w:val="center"/>
              <w:rPr>
                <w:rFonts w:hint="eastAsia" w:ascii="宋体" w:hAnsi="宋体" w:eastAsia="宋体" w:cs="宋体"/>
                <w:b/>
                <w:bCs/>
                <w:color w:val="000000" w:themeColor="text1"/>
                <w:kern w:val="0"/>
                <w:sz w:val="21"/>
                <w:szCs w:val="21"/>
                <w:highlight w:val="none"/>
                <w:lang w:bidi="ar"/>
                <w14:textFill>
                  <w14:solidFill>
                    <w14:schemeClr w14:val="tx1"/>
                  </w14:solidFill>
                </w14:textFill>
              </w:rPr>
            </w:pPr>
            <w:r>
              <w:rPr>
                <w:rFonts w:hint="eastAsia" w:ascii="宋体" w:hAnsi="宋体" w:eastAsia="宋体" w:cs="宋体"/>
                <w:b/>
                <w:bCs/>
                <w:color w:val="000000" w:themeColor="text1"/>
                <w:kern w:val="0"/>
                <w:sz w:val="21"/>
                <w:szCs w:val="21"/>
                <w:highlight w:val="none"/>
                <w:lang w:bidi="ar"/>
                <w14:textFill>
                  <w14:solidFill>
                    <w14:schemeClr w14:val="tx1"/>
                  </w14:solidFill>
                </w14:textFill>
              </w:rPr>
              <w:t>序号</w:t>
            </w:r>
          </w:p>
        </w:tc>
        <w:tc>
          <w:tcPr>
            <w:tcW w:w="1905" w:type="dxa"/>
            <w:tcBorders>
              <w:tl2br w:val="nil"/>
              <w:tr2bl w:val="nil"/>
            </w:tcBorders>
            <w:tcMar>
              <w:top w:w="0" w:type="dxa"/>
              <w:left w:w="108" w:type="dxa"/>
              <w:bottom w:w="0" w:type="dxa"/>
              <w:right w:w="108" w:type="dxa"/>
            </w:tcMar>
            <w:vAlign w:val="center"/>
          </w:tcPr>
          <w:p w14:paraId="70FB4844">
            <w:pPr>
              <w:spacing w:before="0" w:after="0" w:line="240" w:lineRule="auto"/>
              <w:jc w:val="center"/>
              <w:rPr>
                <w:rFonts w:hint="eastAsia" w:ascii="宋体" w:hAnsi="宋体" w:eastAsia="宋体" w:cs="宋体"/>
                <w:b/>
                <w:bCs/>
                <w:color w:val="000000" w:themeColor="text1"/>
                <w:kern w:val="0"/>
                <w:sz w:val="21"/>
                <w:szCs w:val="21"/>
                <w:highlight w:val="none"/>
                <w:lang w:bidi="ar"/>
                <w14:textFill>
                  <w14:solidFill>
                    <w14:schemeClr w14:val="tx1"/>
                  </w14:solidFill>
                </w14:textFill>
              </w:rPr>
            </w:pPr>
            <w:r>
              <w:rPr>
                <w:rFonts w:hint="eastAsia" w:ascii="宋体" w:hAnsi="宋体" w:eastAsia="宋体" w:cs="宋体"/>
                <w:b/>
                <w:bCs/>
                <w:color w:val="000000" w:themeColor="text1"/>
                <w:kern w:val="0"/>
                <w:sz w:val="21"/>
                <w:szCs w:val="21"/>
                <w:highlight w:val="none"/>
                <w:lang w:bidi="ar"/>
                <w14:textFill>
                  <w14:solidFill>
                    <w14:schemeClr w14:val="tx1"/>
                  </w14:solidFill>
                </w14:textFill>
              </w:rPr>
              <w:t>职务</w:t>
            </w:r>
          </w:p>
        </w:tc>
        <w:tc>
          <w:tcPr>
            <w:tcW w:w="645" w:type="dxa"/>
            <w:tcBorders>
              <w:tl2br w:val="nil"/>
              <w:tr2bl w:val="nil"/>
            </w:tcBorders>
            <w:tcMar>
              <w:top w:w="0" w:type="dxa"/>
              <w:left w:w="108" w:type="dxa"/>
              <w:bottom w:w="0" w:type="dxa"/>
              <w:right w:w="108" w:type="dxa"/>
            </w:tcMar>
            <w:vAlign w:val="center"/>
          </w:tcPr>
          <w:p w14:paraId="7B79F891">
            <w:pPr>
              <w:spacing w:before="0" w:after="0" w:line="240" w:lineRule="auto"/>
              <w:jc w:val="center"/>
              <w:rPr>
                <w:rFonts w:hint="eastAsia" w:ascii="宋体" w:hAnsi="宋体" w:eastAsia="宋体" w:cs="宋体"/>
                <w:b/>
                <w:bCs/>
                <w:color w:val="000000" w:themeColor="text1"/>
                <w:kern w:val="0"/>
                <w:sz w:val="21"/>
                <w:szCs w:val="21"/>
                <w:highlight w:val="none"/>
                <w:lang w:bidi="ar"/>
                <w14:textFill>
                  <w14:solidFill>
                    <w14:schemeClr w14:val="tx1"/>
                  </w14:solidFill>
                </w14:textFill>
              </w:rPr>
            </w:pPr>
            <w:r>
              <w:rPr>
                <w:rFonts w:hint="eastAsia" w:ascii="宋体" w:hAnsi="宋体" w:eastAsia="宋体" w:cs="宋体"/>
                <w:b/>
                <w:bCs/>
                <w:color w:val="000000" w:themeColor="text1"/>
                <w:kern w:val="0"/>
                <w:sz w:val="21"/>
                <w:szCs w:val="21"/>
                <w:highlight w:val="none"/>
                <w:lang w:bidi="ar"/>
                <w14:textFill>
                  <w14:solidFill>
                    <w14:schemeClr w14:val="tx1"/>
                  </w14:solidFill>
                </w14:textFill>
              </w:rPr>
              <w:t>人数</w:t>
            </w:r>
          </w:p>
        </w:tc>
        <w:tc>
          <w:tcPr>
            <w:tcW w:w="5100" w:type="dxa"/>
            <w:tcBorders>
              <w:tl2br w:val="nil"/>
              <w:tr2bl w:val="nil"/>
            </w:tcBorders>
            <w:tcMar>
              <w:top w:w="0" w:type="dxa"/>
              <w:left w:w="108" w:type="dxa"/>
              <w:bottom w:w="0" w:type="dxa"/>
              <w:right w:w="108" w:type="dxa"/>
            </w:tcMar>
            <w:vAlign w:val="center"/>
          </w:tcPr>
          <w:p w14:paraId="7E020CE1">
            <w:pPr>
              <w:spacing w:before="0" w:after="0" w:line="240" w:lineRule="auto"/>
              <w:jc w:val="center"/>
              <w:rPr>
                <w:rFonts w:hint="eastAsia" w:ascii="宋体" w:hAnsi="宋体" w:eastAsia="宋体" w:cs="宋体"/>
                <w:b/>
                <w:bCs/>
                <w:color w:val="000000" w:themeColor="text1"/>
                <w:kern w:val="0"/>
                <w:sz w:val="21"/>
                <w:szCs w:val="21"/>
                <w:highlight w:val="none"/>
                <w:lang w:bidi="ar"/>
                <w14:textFill>
                  <w14:solidFill>
                    <w14:schemeClr w14:val="tx1"/>
                  </w14:solidFill>
                </w14:textFill>
              </w:rPr>
            </w:pPr>
            <w:r>
              <w:rPr>
                <w:rFonts w:hint="eastAsia" w:ascii="宋体" w:hAnsi="宋体" w:eastAsia="宋体" w:cs="宋体"/>
                <w:b/>
                <w:bCs/>
                <w:color w:val="000000" w:themeColor="text1"/>
                <w:kern w:val="0"/>
                <w:sz w:val="21"/>
                <w:szCs w:val="21"/>
                <w:highlight w:val="none"/>
                <w:lang w:bidi="ar"/>
                <w14:textFill>
                  <w14:solidFill>
                    <w14:schemeClr w14:val="tx1"/>
                  </w14:solidFill>
                </w14:textFill>
              </w:rPr>
              <w:t>基本任职条件</w:t>
            </w:r>
          </w:p>
        </w:tc>
        <w:tc>
          <w:tcPr>
            <w:tcW w:w="915" w:type="dxa"/>
            <w:tcBorders>
              <w:tl2br w:val="nil"/>
              <w:tr2bl w:val="nil"/>
            </w:tcBorders>
            <w:tcMar>
              <w:top w:w="0" w:type="dxa"/>
              <w:left w:w="108" w:type="dxa"/>
              <w:bottom w:w="0" w:type="dxa"/>
              <w:right w:w="108" w:type="dxa"/>
            </w:tcMar>
            <w:vAlign w:val="center"/>
          </w:tcPr>
          <w:p w14:paraId="3CCC7F83">
            <w:pPr>
              <w:spacing w:before="0" w:after="0" w:line="240" w:lineRule="auto"/>
              <w:jc w:val="center"/>
              <w:rPr>
                <w:rFonts w:hint="eastAsia" w:ascii="宋体" w:hAnsi="宋体" w:eastAsia="宋体" w:cs="宋体"/>
                <w:b/>
                <w:bCs/>
                <w:color w:val="000000" w:themeColor="text1"/>
                <w:kern w:val="0"/>
                <w:sz w:val="21"/>
                <w:szCs w:val="21"/>
                <w:highlight w:val="none"/>
                <w:lang w:bidi="ar"/>
                <w14:textFill>
                  <w14:solidFill>
                    <w14:schemeClr w14:val="tx1"/>
                  </w14:solidFill>
                </w14:textFill>
              </w:rPr>
            </w:pPr>
            <w:r>
              <w:rPr>
                <w:rFonts w:hint="eastAsia" w:ascii="宋体" w:hAnsi="宋体" w:eastAsia="宋体" w:cs="宋体"/>
                <w:b/>
                <w:bCs/>
                <w:color w:val="000000" w:themeColor="text1"/>
                <w:kern w:val="0"/>
                <w:sz w:val="21"/>
                <w:szCs w:val="21"/>
                <w:highlight w:val="none"/>
                <w:lang w:bidi="ar"/>
                <w14:textFill>
                  <w14:solidFill>
                    <w14:schemeClr w14:val="tx1"/>
                  </w14:solidFill>
                </w14:textFill>
              </w:rPr>
              <w:t>备注</w:t>
            </w:r>
          </w:p>
        </w:tc>
      </w:tr>
      <w:tr w14:paraId="167CE3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5E29FD0E">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378F2649">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施工指挥长</w:t>
            </w:r>
          </w:p>
        </w:tc>
        <w:tc>
          <w:tcPr>
            <w:tcW w:w="645" w:type="dxa"/>
            <w:tcBorders>
              <w:tl2br w:val="nil"/>
              <w:tr2bl w:val="nil"/>
            </w:tcBorders>
            <w:tcMar>
              <w:top w:w="0" w:type="dxa"/>
              <w:left w:w="108" w:type="dxa"/>
              <w:bottom w:w="0" w:type="dxa"/>
              <w:right w:w="108" w:type="dxa"/>
            </w:tcMar>
            <w:vAlign w:val="center"/>
          </w:tcPr>
          <w:p w14:paraId="3606C364">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5B54FCDF">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应由施工方现任单位董事长（或总经理）的行政职务领导担任。</w:t>
            </w:r>
          </w:p>
        </w:tc>
        <w:tc>
          <w:tcPr>
            <w:tcW w:w="915" w:type="dxa"/>
            <w:tcBorders>
              <w:tl2br w:val="nil"/>
              <w:tr2bl w:val="nil"/>
            </w:tcBorders>
            <w:tcMar>
              <w:top w:w="0" w:type="dxa"/>
              <w:left w:w="108" w:type="dxa"/>
              <w:bottom w:w="0" w:type="dxa"/>
              <w:right w:w="108" w:type="dxa"/>
            </w:tcMar>
            <w:vAlign w:val="center"/>
          </w:tcPr>
          <w:p w14:paraId="617AE54C">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8CAA3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5" w:hRule="atLeast"/>
          <w:jc w:val="center"/>
        </w:trPr>
        <w:tc>
          <w:tcPr>
            <w:tcW w:w="630" w:type="dxa"/>
            <w:tcBorders>
              <w:tl2br w:val="nil"/>
              <w:tr2bl w:val="nil"/>
            </w:tcBorders>
            <w:tcMar>
              <w:top w:w="0" w:type="dxa"/>
              <w:left w:w="108" w:type="dxa"/>
              <w:bottom w:w="0" w:type="dxa"/>
              <w:right w:w="108" w:type="dxa"/>
            </w:tcMar>
            <w:vAlign w:val="center"/>
          </w:tcPr>
          <w:p w14:paraId="38FD28DC">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48501BCE">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施工副指挥长</w:t>
            </w:r>
          </w:p>
        </w:tc>
        <w:tc>
          <w:tcPr>
            <w:tcW w:w="645" w:type="dxa"/>
            <w:tcBorders>
              <w:tl2br w:val="nil"/>
              <w:tr2bl w:val="nil"/>
            </w:tcBorders>
            <w:tcMar>
              <w:top w:w="0" w:type="dxa"/>
              <w:left w:w="108" w:type="dxa"/>
              <w:bottom w:w="0" w:type="dxa"/>
              <w:right w:w="108" w:type="dxa"/>
            </w:tcMar>
            <w:vAlign w:val="center"/>
          </w:tcPr>
          <w:p w14:paraId="0FDDF329">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0A09A9ED">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应由施工方现任单位领导班子副职或以上级别的领导担任，且应已任该职务满半年或以上。</w:t>
            </w:r>
          </w:p>
        </w:tc>
        <w:tc>
          <w:tcPr>
            <w:tcW w:w="915" w:type="dxa"/>
            <w:tcBorders>
              <w:tl2br w:val="nil"/>
              <w:tr2bl w:val="nil"/>
            </w:tcBorders>
            <w:tcMar>
              <w:top w:w="0" w:type="dxa"/>
              <w:left w:w="108" w:type="dxa"/>
              <w:bottom w:w="0" w:type="dxa"/>
              <w:right w:w="108" w:type="dxa"/>
            </w:tcMar>
            <w:vAlign w:val="center"/>
          </w:tcPr>
          <w:p w14:paraId="0505E35D">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2C94A4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09" w:hRule="atLeast"/>
          <w:jc w:val="center"/>
        </w:trPr>
        <w:tc>
          <w:tcPr>
            <w:tcW w:w="630" w:type="dxa"/>
            <w:tcBorders>
              <w:tl2br w:val="nil"/>
              <w:tr2bl w:val="nil"/>
            </w:tcBorders>
            <w:tcMar>
              <w:top w:w="0" w:type="dxa"/>
              <w:left w:w="108" w:type="dxa"/>
              <w:bottom w:w="0" w:type="dxa"/>
              <w:right w:w="108" w:type="dxa"/>
            </w:tcMar>
            <w:vAlign w:val="center"/>
          </w:tcPr>
          <w:p w14:paraId="594D8139">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2DC21042">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项目负责人（兼</w:t>
            </w:r>
            <w:r>
              <w:rPr>
                <w:rFonts w:hint="eastAsia" w:ascii="宋体" w:hAnsi="宋体" w:eastAsia="宋体" w:cs="宋体"/>
                <w:color w:val="000000" w:themeColor="text1"/>
                <w:kern w:val="0"/>
                <w:sz w:val="21"/>
                <w:szCs w:val="21"/>
                <w:highlight w:val="none"/>
                <w:lang w:bidi="ar"/>
                <w14:textFill>
                  <w14:solidFill>
                    <w14:schemeClr w14:val="tx1"/>
                  </w14:solidFill>
                </w14:textFill>
              </w:rPr>
              <w:t>施工负责人</w:t>
            </w: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w:t>
            </w:r>
          </w:p>
        </w:tc>
        <w:tc>
          <w:tcPr>
            <w:tcW w:w="645" w:type="dxa"/>
            <w:tcBorders>
              <w:tl2br w:val="nil"/>
              <w:tr2bl w:val="nil"/>
            </w:tcBorders>
            <w:tcMar>
              <w:top w:w="0" w:type="dxa"/>
              <w:left w:w="108" w:type="dxa"/>
              <w:bottom w:w="0" w:type="dxa"/>
              <w:right w:w="108" w:type="dxa"/>
            </w:tcMar>
            <w:vAlign w:val="center"/>
          </w:tcPr>
          <w:p w14:paraId="301B8E84">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5499FDC7">
            <w:pPr>
              <w:spacing w:before="0" w:after="0" w:line="240" w:lineRule="auto"/>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（按招标公告要求）</w:t>
            </w:r>
          </w:p>
        </w:tc>
        <w:tc>
          <w:tcPr>
            <w:tcW w:w="915" w:type="dxa"/>
            <w:tcBorders>
              <w:tl2br w:val="nil"/>
              <w:tr2bl w:val="nil"/>
            </w:tcBorders>
            <w:tcMar>
              <w:top w:w="0" w:type="dxa"/>
              <w:left w:w="108" w:type="dxa"/>
              <w:bottom w:w="0" w:type="dxa"/>
              <w:right w:w="108" w:type="dxa"/>
            </w:tcMar>
            <w:vAlign w:val="center"/>
          </w:tcPr>
          <w:p w14:paraId="043792F2">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1AA2A0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83" w:hRule="atLeast"/>
          <w:jc w:val="center"/>
        </w:trPr>
        <w:tc>
          <w:tcPr>
            <w:tcW w:w="630" w:type="dxa"/>
            <w:tcBorders>
              <w:tl2br w:val="nil"/>
              <w:tr2bl w:val="nil"/>
            </w:tcBorders>
            <w:tcMar>
              <w:top w:w="0" w:type="dxa"/>
              <w:left w:w="108" w:type="dxa"/>
              <w:bottom w:w="0" w:type="dxa"/>
              <w:right w:w="108" w:type="dxa"/>
            </w:tcMar>
            <w:vAlign w:val="center"/>
          </w:tcPr>
          <w:p w14:paraId="0485F3B9">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7B0EBCB3">
            <w:pPr>
              <w:spacing w:before="0" w:after="0" w:line="240" w:lineRule="auto"/>
              <w:ind w:firstLine="210" w:firstLineChars="10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项目副经理</w:t>
            </w:r>
          </w:p>
        </w:tc>
        <w:tc>
          <w:tcPr>
            <w:tcW w:w="645" w:type="dxa"/>
            <w:tcBorders>
              <w:tl2br w:val="nil"/>
              <w:tr2bl w:val="nil"/>
            </w:tcBorders>
            <w:tcMar>
              <w:top w:w="0" w:type="dxa"/>
              <w:left w:w="108" w:type="dxa"/>
              <w:bottom w:w="0" w:type="dxa"/>
              <w:right w:w="108" w:type="dxa"/>
            </w:tcMar>
            <w:vAlign w:val="center"/>
          </w:tcPr>
          <w:p w14:paraId="6FE0D10D">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77A4D3A4">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具备一级注册建造师执业资格，具有工作经验8年或以上。</w:t>
            </w:r>
          </w:p>
        </w:tc>
        <w:tc>
          <w:tcPr>
            <w:tcW w:w="915" w:type="dxa"/>
            <w:tcBorders>
              <w:tl2br w:val="nil"/>
              <w:tr2bl w:val="nil"/>
            </w:tcBorders>
            <w:tcMar>
              <w:top w:w="0" w:type="dxa"/>
              <w:left w:w="108" w:type="dxa"/>
              <w:bottom w:w="0" w:type="dxa"/>
              <w:right w:w="108" w:type="dxa"/>
            </w:tcMar>
            <w:vAlign w:val="center"/>
          </w:tcPr>
          <w:p w14:paraId="474EF329">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18CB1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61D7D4EF">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47112B8">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项目生产经理</w:t>
            </w:r>
          </w:p>
        </w:tc>
        <w:tc>
          <w:tcPr>
            <w:tcW w:w="645" w:type="dxa"/>
            <w:tcBorders>
              <w:tl2br w:val="nil"/>
              <w:tr2bl w:val="nil"/>
            </w:tcBorders>
            <w:tcMar>
              <w:top w:w="0" w:type="dxa"/>
              <w:left w:w="108" w:type="dxa"/>
              <w:bottom w:w="0" w:type="dxa"/>
              <w:right w:w="108" w:type="dxa"/>
            </w:tcMar>
            <w:vAlign w:val="center"/>
          </w:tcPr>
          <w:p w14:paraId="57A31E42">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732DFA8A">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具有土木工程类中级或以上技术职称，具有工8年或以上。</w:t>
            </w:r>
          </w:p>
        </w:tc>
        <w:tc>
          <w:tcPr>
            <w:tcW w:w="915" w:type="dxa"/>
            <w:tcBorders>
              <w:tl2br w:val="nil"/>
              <w:tr2bl w:val="nil"/>
            </w:tcBorders>
            <w:tcMar>
              <w:top w:w="0" w:type="dxa"/>
              <w:left w:w="108" w:type="dxa"/>
              <w:bottom w:w="0" w:type="dxa"/>
              <w:right w:w="108" w:type="dxa"/>
            </w:tcMar>
            <w:vAlign w:val="center"/>
          </w:tcPr>
          <w:p w14:paraId="17343C2B">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2B4FB5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5D0C957B">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76CB8B9D">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施工技术负责人</w:t>
            </w:r>
          </w:p>
        </w:tc>
        <w:tc>
          <w:tcPr>
            <w:tcW w:w="645" w:type="dxa"/>
            <w:tcBorders>
              <w:tl2br w:val="nil"/>
              <w:tr2bl w:val="nil"/>
            </w:tcBorders>
            <w:tcMar>
              <w:top w:w="0" w:type="dxa"/>
              <w:left w:w="108" w:type="dxa"/>
              <w:bottom w:w="0" w:type="dxa"/>
              <w:right w:w="108" w:type="dxa"/>
            </w:tcMar>
            <w:vAlign w:val="center"/>
          </w:tcPr>
          <w:p w14:paraId="2B538216">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4139EC37">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（按招标公告要求）</w:t>
            </w:r>
          </w:p>
        </w:tc>
        <w:tc>
          <w:tcPr>
            <w:tcW w:w="915" w:type="dxa"/>
            <w:tcBorders>
              <w:tl2br w:val="nil"/>
              <w:tr2bl w:val="nil"/>
            </w:tcBorders>
            <w:tcMar>
              <w:top w:w="0" w:type="dxa"/>
              <w:left w:w="108" w:type="dxa"/>
              <w:bottom w:w="0" w:type="dxa"/>
              <w:right w:w="108" w:type="dxa"/>
            </w:tcMar>
            <w:vAlign w:val="center"/>
          </w:tcPr>
          <w:p w14:paraId="6EB15D15">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BA385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422AA622">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9AA9B8C">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安全负责人</w:t>
            </w:r>
          </w:p>
        </w:tc>
        <w:tc>
          <w:tcPr>
            <w:tcW w:w="645" w:type="dxa"/>
            <w:tcBorders>
              <w:tl2br w:val="nil"/>
              <w:tr2bl w:val="nil"/>
            </w:tcBorders>
            <w:tcMar>
              <w:top w:w="0" w:type="dxa"/>
              <w:left w:w="108" w:type="dxa"/>
              <w:bottom w:w="0" w:type="dxa"/>
              <w:right w:w="108" w:type="dxa"/>
            </w:tcMar>
            <w:vAlign w:val="center"/>
          </w:tcPr>
          <w:p w14:paraId="50DCDC89">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E4650EE">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具有中级注册安全工程师和</w:t>
            </w: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建筑工程相关专业</w:t>
            </w:r>
            <w:r>
              <w:rPr>
                <w:rFonts w:hint="eastAsia" w:ascii="宋体" w:hAnsi="宋体" w:eastAsia="宋体" w:cs="宋体"/>
                <w:color w:val="000000" w:themeColor="text1"/>
                <w:kern w:val="0"/>
                <w:sz w:val="21"/>
                <w:szCs w:val="21"/>
                <w:highlight w:val="none"/>
                <w:lang w:bidi="ar"/>
                <w14:textFill>
                  <w14:solidFill>
                    <w14:schemeClr w14:val="tx1"/>
                  </w14:solidFill>
                </w14:textFill>
              </w:rPr>
              <w:t>中级或以上技术职称，具有在有效期内的安全生产考核合格证（</w:t>
            </w:r>
            <w:r>
              <w:rPr>
                <w:rFonts w:ascii="宋体" w:hAnsi="宋体" w:eastAsia="宋体" w:cs="宋体"/>
                <w:color w:val="000000" w:themeColor="text1"/>
                <w:kern w:val="0"/>
                <w:sz w:val="21"/>
                <w:szCs w:val="21"/>
                <w:highlight w:val="none"/>
                <w:lang w:bidi="ar"/>
                <w14:textFill>
                  <w14:solidFill>
                    <w14:schemeClr w14:val="tx1"/>
                  </w14:solidFill>
                </w14:textFill>
              </w:rPr>
              <w:t>C类）或</w:t>
            </w:r>
            <w:r>
              <w:rPr>
                <w:rFonts w:hint="eastAsia" w:ascii="宋体" w:hAnsi="宋体" w:eastAsia="宋体" w:cs="宋体"/>
                <w:color w:val="000000" w:themeColor="text1"/>
                <w:kern w:val="0"/>
                <w:sz w:val="21"/>
                <w:szCs w:val="21"/>
                <w:highlight w:val="none"/>
                <w:lang w:bidi="ar"/>
                <w14:textFill>
                  <w14:solidFill>
                    <w14:schemeClr w14:val="tx1"/>
                  </w14:solidFill>
                </w14:textFill>
              </w:rPr>
              <w:t>建筑施工企业专职安全生产管理人员安全生产考核合格证书</w:t>
            </w:r>
            <w:r>
              <w:rPr>
                <w:rFonts w:ascii="宋体" w:hAnsi="宋体" w:eastAsia="宋体" w:cs="宋体"/>
                <w:color w:val="000000" w:themeColor="text1"/>
                <w:kern w:val="0"/>
                <w:sz w:val="21"/>
                <w:szCs w:val="21"/>
                <w:highlight w:val="none"/>
                <w:lang w:bidi="ar"/>
                <w14:textFill>
                  <w14:solidFill>
                    <w14:schemeClr w14:val="tx1"/>
                  </w14:solidFill>
                </w14:textFill>
              </w:rPr>
              <w:t>。</w:t>
            </w:r>
          </w:p>
        </w:tc>
        <w:tc>
          <w:tcPr>
            <w:tcW w:w="915" w:type="dxa"/>
            <w:tcBorders>
              <w:tl2br w:val="nil"/>
              <w:tr2bl w:val="nil"/>
            </w:tcBorders>
            <w:tcMar>
              <w:top w:w="0" w:type="dxa"/>
              <w:left w:w="108" w:type="dxa"/>
              <w:bottom w:w="0" w:type="dxa"/>
              <w:right w:w="108" w:type="dxa"/>
            </w:tcMar>
            <w:vAlign w:val="center"/>
          </w:tcPr>
          <w:p w14:paraId="622FC105">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4EA0CB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7CB372BA">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4B7E2735">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资料主管</w:t>
            </w:r>
          </w:p>
        </w:tc>
        <w:tc>
          <w:tcPr>
            <w:tcW w:w="645" w:type="dxa"/>
            <w:tcBorders>
              <w:tl2br w:val="nil"/>
              <w:tr2bl w:val="nil"/>
            </w:tcBorders>
            <w:tcMar>
              <w:top w:w="0" w:type="dxa"/>
              <w:left w:w="108" w:type="dxa"/>
              <w:bottom w:w="0" w:type="dxa"/>
              <w:right w:w="108" w:type="dxa"/>
            </w:tcMar>
            <w:vAlign w:val="center"/>
          </w:tcPr>
          <w:p w14:paraId="5FBFDA29">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321BA57">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工程类相关专业大专以上学历，具有资料员岗位证书或培训证，具有工作经验5年或以上。</w:t>
            </w:r>
          </w:p>
        </w:tc>
        <w:tc>
          <w:tcPr>
            <w:tcW w:w="915" w:type="dxa"/>
            <w:tcBorders>
              <w:tl2br w:val="nil"/>
              <w:tr2bl w:val="nil"/>
            </w:tcBorders>
            <w:tcMar>
              <w:top w:w="0" w:type="dxa"/>
              <w:left w:w="108" w:type="dxa"/>
              <w:bottom w:w="0" w:type="dxa"/>
              <w:right w:w="108" w:type="dxa"/>
            </w:tcMar>
            <w:vAlign w:val="center"/>
          </w:tcPr>
          <w:p w14:paraId="03FDBE1E">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p w14:paraId="436CB76F">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1C8FA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5F3E62AB">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0FCDD7D">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商务经理</w:t>
            </w:r>
          </w:p>
        </w:tc>
        <w:tc>
          <w:tcPr>
            <w:tcW w:w="645" w:type="dxa"/>
            <w:tcBorders>
              <w:tl2br w:val="nil"/>
              <w:tr2bl w:val="nil"/>
            </w:tcBorders>
            <w:tcMar>
              <w:top w:w="0" w:type="dxa"/>
              <w:left w:w="108" w:type="dxa"/>
              <w:bottom w:w="0" w:type="dxa"/>
              <w:right w:w="108" w:type="dxa"/>
            </w:tcMar>
            <w:vAlign w:val="center"/>
          </w:tcPr>
          <w:p w14:paraId="4E10333E">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36DEA28">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具备一级注册造价工程师执业资格（或注册造价工程师执业资格），具有工作经验5年或以上。</w:t>
            </w:r>
          </w:p>
        </w:tc>
        <w:tc>
          <w:tcPr>
            <w:tcW w:w="915" w:type="dxa"/>
            <w:tcBorders>
              <w:tl2br w:val="nil"/>
              <w:tr2bl w:val="nil"/>
            </w:tcBorders>
            <w:tcMar>
              <w:top w:w="0" w:type="dxa"/>
              <w:left w:w="108" w:type="dxa"/>
              <w:bottom w:w="0" w:type="dxa"/>
              <w:right w:w="108" w:type="dxa"/>
            </w:tcMar>
            <w:vAlign w:val="center"/>
          </w:tcPr>
          <w:p w14:paraId="220EEA86">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274857E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43F238F5">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0C2FD067">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造价工程师</w:t>
            </w:r>
          </w:p>
        </w:tc>
        <w:tc>
          <w:tcPr>
            <w:tcW w:w="645" w:type="dxa"/>
            <w:tcBorders>
              <w:tl2br w:val="nil"/>
              <w:tr2bl w:val="nil"/>
            </w:tcBorders>
            <w:tcMar>
              <w:top w:w="0" w:type="dxa"/>
              <w:left w:w="108" w:type="dxa"/>
              <w:bottom w:w="0" w:type="dxa"/>
              <w:right w:w="108" w:type="dxa"/>
            </w:tcMar>
            <w:vAlign w:val="center"/>
          </w:tcPr>
          <w:p w14:paraId="6D87F112">
            <w:pPr>
              <w:widowControl/>
              <w:jc w:val="center"/>
              <w:textAlignment w:val="center"/>
              <w:rPr>
                <w:rFonts w:hint="eastAsia" w:ascii="宋体" w:hAnsi="宋体" w:eastAsia="宋体" w:cs="宋体"/>
                <w:strike/>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3</w:t>
            </w:r>
          </w:p>
        </w:tc>
        <w:tc>
          <w:tcPr>
            <w:tcW w:w="5100" w:type="dxa"/>
            <w:tcBorders>
              <w:tl2br w:val="nil"/>
              <w:tr2bl w:val="nil"/>
            </w:tcBorders>
            <w:tcMar>
              <w:top w:w="0" w:type="dxa"/>
              <w:left w:w="108" w:type="dxa"/>
              <w:bottom w:w="0" w:type="dxa"/>
              <w:right w:w="108" w:type="dxa"/>
            </w:tcMar>
            <w:vAlign w:val="center"/>
          </w:tcPr>
          <w:p w14:paraId="72ADC9A1">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具备一级注册造价工程师执业资格（或注册造价工程师执业资格），具有工作经验5年或以上。</w:t>
            </w:r>
          </w:p>
        </w:tc>
        <w:tc>
          <w:tcPr>
            <w:tcW w:w="915" w:type="dxa"/>
            <w:tcBorders>
              <w:tl2br w:val="nil"/>
              <w:tr2bl w:val="nil"/>
            </w:tcBorders>
            <w:tcMar>
              <w:top w:w="0" w:type="dxa"/>
              <w:left w:w="108" w:type="dxa"/>
              <w:bottom w:w="0" w:type="dxa"/>
              <w:right w:w="108" w:type="dxa"/>
            </w:tcMar>
            <w:vAlign w:val="center"/>
          </w:tcPr>
          <w:p w14:paraId="65D36128">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7C8585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02CC999D">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329357E7">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质量负责人</w:t>
            </w:r>
          </w:p>
        </w:tc>
        <w:tc>
          <w:tcPr>
            <w:tcW w:w="645" w:type="dxa"/>
            <w:tcBorders>
              <w:tl2br w:val="nil"/>
              <w:tr2bl w:val="nil"/>
            </w:tcBorders>
            <w:tcMar>
              <w:top w:w="0" w:type="dxa"/>
              <w:left w:w="108" w:type="dxa"/>
              <w:bottom w:w="0" w:type="dxa"/>
              <w:right w:w="108" w:type="dxa"/>
            </w:tcMar>
            <w:vAlign w:val="center"/>
          </w:tcPr>
          <w:p w14:paraId="3D886E4C">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5CC0A122">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具有土木工程类高级或以上技术职称，具有工作经验5年或以上。</w:t>
            </w:r>
          </w:p>
        </w:tc>
        <w:tc>
          <w:tcPr>
            <w:tcW w:w="915" w:type="dxa"/>
            <w:tcBorders>
              <w:tl2br w:val="nil"/>
              <w:tr2bl w:val="nil"/>
            </w:tcBorders>
            <w:tcMar>
              <w:top w:w="0" w:type="dxa"/>
              <w:left w:w="108" w:type="dxa"/>
              <w:bottom w:w="0" w:type="dxa"/>
              <w:right w:w="108" w:type="dxa"/>
            </w:tcMar>
            <w:vAlign w:val="center"/>
          </w:tcPr>
          <w:p w14:paraId="47E83B97">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0E1FD4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77B31979">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16896732">
            <w:pPr>
              <w:spacing w:before="0" w:after="0" w:line="240" w:lineRule="auto"/>
              <w:jc w:val="center"/>
              <w:rPr>
                <w:rFonts w:hint="default" w:ascii="宋体" w:hAnsi="宋体" w:eastAsia="宋体" w:cs="宋体"/>
                <w:color w:val="000000" w:themeColor="text1"/>
                <w:kern w:val="0"/>
                <w:sz w:val="21"/>
                <w:szCs w:val="21"/>
                <w:highlight w:val="none"/>
                <w:lang w:val="en-US" w:eastAsia="zh-CN" w:bidi="ar"/>
                <w14:textFill>
                  <w14:solidFill>
                    <w14:schemeClr w14:val="tx1"/>
                  </w14:solidFill>
                </w14:textFill>
              </w:rPr>
            </w:pP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专职安全员</w:t>
            </w:r>
          </w:p>
        </w:tc>
        <w:tc>
          <w:tcPr>
            <w:tcW w:w="645" w:type="dxa"/>
            <w:tcBorders>
              <w:tl2br w:val="nil"/>
              <w:tr2bl w:val="nil"/>
            </w:tcBorders>
            <w:tcMar>
              <w:top w:w="0" w:type="dxa"/>
              <w:left w:w="108" w:type="dxa"/>
              <w:bottom w:w="0" w:type="dxa"/>
              <w:right w:w="108" w:type="dxa"/>
            </w:tcMar>
            <w:vAlign w:val="center"/>
          </w:tcPr>
          <w:p w14:paraId="37C1C1F9">
            <w:pPr>
              <w:widowControl/>
              <w:jc w:val="center"/>
              <w:textAlignment w:val="cente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pP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08B80BF9">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（按招标公告要求）</w:t>
            </w:r>
          </w:p>
        </w:tc>
        <w:tc>
          <w:tcPr>
            <w:tcW w:w="915" w:type="dxa"/>
            <w:tcBorders>
              <w:tl2br w:val="nil"/>
              <w:tr2bl w:val="nil"/>
            </w:tcBorders>
            <w:tcMar>
              <w:top w:w="0" w:type="dxa"/>
              <w:left w:w="108" w:type="dxa"/>
              <w:bottom w:w="0" w:type="dxa"/>
              <w:right w:w="108" w:type="dxa"/>
            </w:tcMar>
            <w:vAlign w:val="center"/>
          </w:tcPr>
          <w:p w14:paraId="6A062705">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E7B78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1C560FB0">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4DCD47F0">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安全员</w:t>
            </w:r>
          </w:p>
        </w:tc>
        <w:tc>
          <w:tcPr>
            <w:tcW w:w="645" w:type="dxa"/>
            <w:tcBorders>
              <w:tl2br w:val="nil"/>
              <w:tr2bl w:val="nil"/>
            </w:tcBorders>
            <w:tcMar>
              <w:top w:w="0" w:type="dxa"/>
              <w:left w:w="108" w:type="dxa"/>
              <w:bottom w:w="0" w:type="dxa"/>
              <w:right w:w="108" w:type="dxa"/>
            </w:tcMar>
            <w:vAlign w:val="center"/>
          </w:tcPr>
          <w:p w14:paraId="04333EDB">
            <w:pPr>
              <w:widowControl/>
              <w:jc w:val="center"/>
              <w:textAlignment w:val="center"/>
              <w:rPr>
                <w:rFonts w:hint="eastAsia" w:ascii="宋体" w:hAnsi="宋体" w:eastAsia="宋体" w:cs="宋体"/>
                <w:color w:val="000000" w:themeColor="text1"/>
                <w:kern w:val="0"/>
                <w:sz w:val="21"/>
                <w:szCs w:val="21"/>
                <w:highlight w:val="none"/>
                <w:lang w:eastAsia="zh-CN" w:bidi="ar"/>
                <w14:textFill>
                  <w14:solidFill>
                    <w14:schemeClr w14:val="tx1"/>
                  </w14:solidFill>
                </w14:textFill>
              </w:rPr>
            </w:pPr>
            <w:r>
              <w:rPr>
                <w:rFonts w:hint="eastAsia" w:ascii="宋体" w:hAnsi="宋体" w:eastAsia="宋体" w:cs="宋体"/>
                <w:color w:val="000000" w:themeColor="text1"/>
                <w:kern w:val="0"/>
                <w:sz w:val="21"/>
                <w:szCs w:val="21"/>
                <w:highlight w:val="none"/>
                <w:lang w:val="en-US" w:eastAsia="zh-CN" w:bidi="ar"/>
                <w14:textFill>
                  <w14:solidFill>
                    <w14:schemeClr w14:val="tx1"/>
                  </w14:solidFill>
                </w14:textFill>
              </w:rPr>
              <w:t>2</w:t>
            </w:r>
          </w:p>
        </w:tc>
        <w:tc>
          <w:tcPr>
            <w:tcW w:w="5100" w:type="dxa"/>
            <w:tcBorders>
              <w:tl2br w:val="nil"/>
              <w:tr2bl w:val="nil"/>
            </w:tcBorders>
            <w:tcMar>
              <w:top w:w="0" w:type="dxa"/>
              <w:left w:w="108" w:type="dxa"/>
              <w:bottom w:w="0" w:type="dxa"/>
              <w:right w:w="108" w:type="dxa"/>
            </w:tcMar>
            <w:vAlign w:val="center"/>
          </w:tcPr>
          <w:p w14:paraId="501A1E6B">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具有在有效期内的安全生产考核合格证（C 类）或建筑施工企业专职安全生产管理人员安全生产考核合格证书。</w:t>
            </w:r>
          </w:p>
        </w:tc>
        <w:tc>
          <w:tcPr>
            <w:tcW w:w="915" w:type="dxa"/>
            <w:tcBorders>
              <w:tl2br w:val="nil"/>
              <w:tr2bl w:val="nil"/>
            </w:tcBorders>
            <w:tcMar>
              <w:top w:w="0" w:type="dxa"/>
              <w:left w:w="108" w:type="dxa"/>
              <w:bottom w:w="0" w:type="dxa"/>
              <w:right w:w="108" w:type="dxa"/>
            </w:tcMar>
            <w:vAlign w:val="center"/>
          </w:tcPr>
          <w:p w14:paraId="645B5201">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6436C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3DB14639">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7F9E8448">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土建工程师</w:t>
            </w:r>
          </w:p>
        </w:tc>
        <w:tc>
          <w:tcPr>
            <w:tcW w:w="645" w:type="dxa"/>
            <w:tcBorders>
              <w:tl2br w:val="nil"/>
              <w:tr2bl w:val="nil"/>
            </w:tcBorders>
            <w:tcMar>
              <w:top w:w="0" w:type="dxa"/>
              <w:left w:w="108" w:type="dxa"/>
              <w:bottom w:w="0" w:type="dxa"/>
              <w:right w:w="108" w:type="dxa"/>
            </w:tcMar>
            <w:vAlign w:val="center"/>
          </w:tcPr>
          <w:p w14:paraId="1827FF6F">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3</w:t>
            </w:r>
          </w:p>
        </w:tc>
        <w:tc>
          <w:tcPr>
            <w:tcW w:w="5100" w:type="dxa"/>
            <w:tcBorders>
              <w:tl2br w:val="nil"/>
              <w:tr2bl w:val="nil"/>
            </w:tcBorders>
            <w:tcMar>
              <w:top w:w="0" w:type="dxa"/>
              <w:left w:w="108" w:type="dxa"/>
              <w:bottom w:w="0" w:type="dxa"/>
              <w:right w:w="108" w:type="dxa"/>
            </w:tcMar>
            <w:vAlign w:val="center"/>
          </w:tcPr>
          <w:p w14:paraId="293A59CC">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所学专业或职称为土建类相关专业，具有中级或以上技术职称，具有工作经验8年或以上。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2A8DC1AC">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47F39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35DF02D9">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3FFB6D3F">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精装工程师</w:t>
            </w:r>
          </w:p>
        </w:tc>
        <w:tc>
          <w:tcPr>
            <w:tcW w:w="645" w:type="dxa"/>
            <w:tcBorders>
              <w:tl2br w:val="nil"/>
              <w:tr2bl w:val="nil"/>
            </w:tcBorders>
            <w:tcMar>
              <w:top w:w="0" w:type="dxa"/>
              <w:left w:w="108" w:type="dxa"/>
              <w:bottom w:w="0" w:type="dxa"/>
              <w:right w:w="108" w:type="dxa"/>
            </w:tcMar>
            <w:vAlign w:val="center"/>
          </w:tcPr>
          <w:p w14:paraId="0D58711B">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453BEAEF">
            <w:pPr>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所学专业或职称为建筑工程类相关专业，具备中级或以上技术职称。</w:t>
            </w:r>
          </w:p>
        </w:tc>
        <w:tc>
          <w:tcPr>
            <w:tcW w:w="915" w:type="dxa"/>
            <w:tcBorders>
              <w:tl2br w:val="nil"/>
              <w:tr2bl w:val="nil"/>
            </w:tcBorders>
            <w:tcMar>
              <w:top w:w="0" w:type="dxa"/>
              <w:left w:w="108" w:type="dxa"/>
              <w:bottom w:w="0" w:type="dxa"/>
              <w:right w:w="108" w:type="dxa"/>
            </w:tcMar>
            <w:vAlign w:val="center"/>
          </w:tcPr>
          <w:p w14:paraId="7CCF578C">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6B5EC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35604D93">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32B022A7">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园林工程师</w:t>
            </w:r>
          </w:p>
        </w:tc>
        <w:tc>
          <w:tcPr>
            <w:tcW w:w="645" w:type="dxa"/>
            <w:tcBorders>
              <w:tl2br w:val="nil"/>
              <w:tr2bl w:val="nil"/>
            </w:tcBorders>
            <w:tcMar>
              <w:top w:w="0" w:type="dxa"/>
              <w:left w:w="108" w:type="dxa"/>
              <w:bottom w:w="0" w:type="dxa"/>
              <w:right w:w="108" w:type="dxa"/>
            </w:tcMar>
            <w:vAlign w:val="center"/>
          </w:tcPr>
          <w:p w14:paraId="06231484">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304F3BB">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具有工程类中级或以上技术职称。</w:t>
            </w:r>
          </w:p>
        </w:tc>
        <w:tc>
          <w:tcPr>
            <w:tcW w:w="915" w:type="dxa"/>
            <w:tcBorders>
              <w:tl2br w:val="nil"/>
              <w:tr2bl w:val="nil"/>
            </w:tcBorders>
            <w:tcMar>
              <w:top w:w="0" w:type="dxa"/>
              <w:left w:w="108" w:type="dxa"/>
              <w:bottom w:w="0" w:type="dxa"/>
              <w:right w:w="108" w:type="dxa"/>
            </w:tcMar>
            <w:vAlign w:val="center"/>
          </w:tcPr>
          <w:p w14:paraId="19C86030">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01CF16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788A029B">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3C34D9C5">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电气工程师</w:t>
            </w:r>
          </w:p>
        </w:tc>
        <w:tc>
          <w:tcPr>
            <w:tcW w:w="645" w:type="dxa"/>
            <w:tcBorders>
              <w:tl2br w:val="nil"/>
              <w:tr2bl w:val="nil"/>
            </w:tcBorders>
            <w:tcMar>
              <w:top w:w="0" w:type="dxa"/>
              <w:left w:w="108" w:type="dxa"/>
              <w:bottom w:w="0" w:type="dxa"/>
              <w:right w:w="108" w:type="dxa"/>
            </w:tcMar>
            <w:vAlign w:val="center"/>
          </w:tcPr>
          <w:p w14:paraId="4EF3D71E">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6186150A">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所学专业或职称为机电类相关专业，工程类中级或以上技术职称，具有工作经验8年或以上。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0C23FFFE">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18CA18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46F3FA41">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43FD7FB0">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给排水工程师</w:t>
            </w:r>
          </w:p>
        </w:tc>
        <w:tc>
          <w:tcPr>
            <w:tcW w:w="645" w:type="dxa"/>
            <w:tcBorders>
              <w:tl2br w:val="nil"/>
              <w:tr2bl w:val="nil"/>
            </w:tcBorders>
            <w:tcMar>
              <w:top w:w="0" w:type="dxa"/>
              <w:left w:w="108" w:type="dxa"/>
              <w:bottom w:w="0" w:type="dxa"/>
              <w:right w:w="108" w:type="dxa"/>
            </w:tcMar>
            <w:vAlign w:val="center"/>
          </w:tcPr>
          <w:p w14:paraId="58FE9872">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70B29179">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所学专业或职称为给排水类相关专业，具有中级或以上技术职称，具有工作经验8年或以上。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342EE701">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453B68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100BE1A1">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7D24B1FB">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通风空调工程师</w:t>
            </w:r>
          </w:p>
        </w:tc>
        <w:tc>
          <w:tcPr>
            <w:tcW w:w="645" w:type="dxa"/>
            <w:tcBorders>
              <w:tl2br w:val="nil"/>
              <w:tr2bl w:val="nil"/>
            </w:tcBorders>
            <w:tcMar>
              <w:top w:w="0" w:type="dxa"/>
              <w:left w:w="108" w:type="dxa"/>
              <w:bottom w:w="0" w:type="dxa"/>
              <w:right w:w="108" w:type="dxa"/>
            </w:tcMar>
            <w:vAlign w:val="center"/>
          </w:tcPr>
          <w:p w14:paraId="0BD770E3">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0B7BD96F">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所学专业或职称为机电类相关专业，具有中级或以上技术职称，具有工作经验8年或以上。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68D211F9">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0845E4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2375737C">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DB069CC">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智能化工程师</w:t>
            </w:r>
          </w:p>
        </w:tc>
        <w:tc>
          <w:tcPr>
            <w:tcW w:w="645" w:type="dxa"/>
            <w:tcBorders>
              <w:tl2br w:val="nil"/>
              <w:tr2bl w:val="nil"/>
            </w:tcBorders>
            <w:tcMar>
              <w:top w:w="0" w:type="dxa"/>
              <w:left w:w="108" w:type="dxa"/>
              <w:bottom w:w="0" w:type="dxa"/>
              <w:right w:w="108" w:type="dxa"/>
            </w:tcMar>
            <w:vAlign w:val="center"/>
          </w:tcPr>
          <w:p w14:paraId="3F1FF386">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79BD250D">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所学专业或职称为机电类相关专业，具有中级或以上技术职称，具有工作经验8年或以上。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7278F788">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A81B3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69774CC0">
            <w:pPr>
              <w:pStyle w:val="63"/>
              <w:widowControl/>
              <w:numPr>
                <w:ilvl w:val="0"/>
                <w:numId w:val="30"/>
              </w:numPr>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12D6166">
            <w:pPr>
              <w:widowControl/>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市政工程师</w:t>
            </w:r>
          </w:p>
        </w:tc>
        <w:tc>
          <w:tcPr>
            <w:tcW w:w="645" w:type="dxa"/>
            <w:tcBorders>
              <w:tl2br w:val="nil"/>
              <w:tr2bl w:val="nil"/>
            </w:tcBorders>
            <w:tcMar>
              <w:top w:w="0" w:type="dxa"/>
              <w:left w:w="108" w:type="dxa"/>
              <w:bottom w:w="0" w:type="dxa"/>
              <w:right w:w="108" w:type="dxa"/>
            </w:tcMar>
            <w:vAlign w:val="center"/>
          </w:tcPr>
          <w:p w14:paraId="5B0BAE3A">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8D70585">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所学专业或职称为给市政类相关专业，具有中级或以上技术职称，具有工作经验8年或以上。</w:t>
            </w:r>
          </w:p>
        </w:tc>
        <w:tc>
          <w:tcPr>
            <w:tcW w:w="915" w:type="dxa"/>
            <w:tcBorders>
              <w:tl2br w:val="nil"/>
              <w:tr2bl w:val="nil"/>
            </w:tcBorders>
            <w:tcMar>
              <w:top w:w="0" w:type="dxa"/>
              <w:left w:w="108" w:type="dxa"/>
              <w:bottom w:w="0" w:type="dxa"/>
              <w:right w:w="108" w:type="dxa"/>
            </w:tcMar>
            <w:vAlign w:val="center"/>
          </w:tcPr>
          <w:p w14:paraId="1EC94A82">
            <w:pPr>
              <w:spacing w:before="0" w:after="0" w:line="240" w:lineRule="auto"/>
              <w:jc w:val="center"/>
              <w:rPr>
                <w:rFonts w:hint="eastAsia" w:ascii="宋体" w:hAnsi="宋体" w:eastAsia="宋体" w:cs="宋体"/>
                <w:strike/>
                <w:color w:val="000000" w:themeColor="text1"/>
                <w:sz w:val="21"/>
                <w:szCs w:val="21"/>
                <w:highlight w:val="none"/>
                <w:shd w:val="clear" w:color="auto" w:fill="FFFF00"/>
                <w14:textFill>
                  <w14:solidFill>
                    <w14:schemeClr w14:val="tx1"/>
                  </w14:solidFill>
                </w14:textFill>
              </w:rPr>
            </w:pPr>
          </w:p>
        </w:tc>
      </w:tr>
      <w:tr w14:paraId="4374CE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737139E3">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03C62C75">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测量工程师</w:t>
            </w:r>
          </w:p>
        </w:tc>
        <w:tc>
          <w:tcPr>
            <w:tcW w:w="645" w:type="dxa"/>
            <w:tcBorders>
              <w:tl2br w:val="nil"/>
              <w:tr2bl w:val="nil"/>
            </w:tcBorders>
            <w:tcMar>
              <w:top w:w="0" w:type="dxa"/>
              <w:left w:w="108" w:type="dxa"/>
              <w:bottom w:w="0" w:type="dxa"/>
              <w:right w:w="108" w:type="dxa"/>
            </w:tcMar>
            <w:vAlign w:val="center"/>
          </w:tcPr>
          <w:p w14:paraId="07F168C1">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750ABB1D">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所学专业或职称为测量专业，具有中级或 以上技术职称，具有工作经验5年或以上。</w:t>
            </w:r>
          </w:p>
        </w:tc>
        <w:tc>
          <w:tcPr>
            <w:tcW w:w="915" w:type="dxa"/>
            <w:tcBorders>
              <w:tl2br w:val="nil"/>
              <w:tr2bl w:val="nil"/>
            </w:tcBorders>
            <w:tcMar>
              <w:top w:w="0" w:type="dxa"/>
              <w:left w:w="108" w:type="dxa"/>
              <w:bottom w:w="0" w:type="dxa"/>
              <w:right w:w="108" w:type="dxa"/>
            </w:tcMar>
            <w:vAlign w:val="center"/>
          </w:tcPr>
          <w:p w14:paraId="5ED7D4F1">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09E59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1BF15AAB">
            <w:pPr>
              <w:pStyle w:val="63"/>
              <w:numPr>
                <w:ilvl w:val="0"/>
                <w:numId w:val="30"/>
              </w:numPr>
              <w:spacing w:before="0" w:after="0" w:line="240" w:lineRule="auto"/>
              <w:ind w:firstLineChars="0"/>
              <w:jc w:val="center"/>
              <w:rPr>
                <w:rFonts w:hint="eastAsia" w:ascii="宋体" w:hAnsi="宋体" w:eastAsia="宋体" w:cs="宋体"/>
                <w:strike/>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50976583">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计划管理工程师</w:t>
            </w:r>
          </w:p>
        </w:tc>
        <w:tc>
          <w:tcPr>
            <w:tcW w:w="645" w:type="dxa"/>
            <w:tcBorders>
              <w:tl2br w:val="nil"/>
              <w:tr2bl w:val="nil"/>
            </w:tcBorders>
            <w:tcMar>
              <w:top w:w="0" w:type="dxa"/>
              <w:left w:w="108" w:type="dxa"/>
              <w:bottom w:w="0" w:type="dxa"/>
              <w:right w:w="108" w:type="dxa"/>
            </w:tcMar>
            <w:vAlign w:val="center"/>
          </w:tcPr>
          <w:p w14:paraId="1306E09A">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0796C3B1">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工程类相关专业大专以上学历，具备工程 类中级或以上技术职称，具有工作经验5年或以上。</w:t>
            </w:r>
          </w:p>
        </w:tc>
        <w:tc>
          <w:tcPr>
            <w:tcW w:w="915" w:type="dxa"/>
            <w:tcBorders>
              <w:tl2br w:val="nil"/>
              <w:tr2bl w:val="nil"/>
            </w:tcBorders>
            <w:tcMar>
              <w:top w:w="0" w:type="dxa"/>
              <w:left w:w="108" w:type="dxa"/>
              <w:bottom w:w="0" w:type="dxa"/>
              <w:right w:w="108" w:type="dxa"/>
            </w:tcMar>
            <w:vAlign w:val="center"/>
          </w:tcPr>
          <w:p w14:paraId="52ACB7F9">
            <w:pPr>
              <w:spacing w:before="0" w:after="0" w:line="240" w:lineRule="auto"/>
              <w:jc w:val="center"/>
              <w:rPr>
                <w:rFonts w:hint="eastAsia" w:ascii="宋体" w:hAnsi="宋体" w:eastAsia="宋体" w:cs="宋体"/>
                <w:strike/>
                <w:color w:val="000000" w:themeColor="text1"/>
                <w:sz w:val="21"/>
                <w:szCs w:val="21"/>
                <w:highlight w:val="none"/>
                <w14:textFill>
                  <w14:solidFill>
                    <w14:schemeClr w14:val="tx1"/>
                  </w14:solidFill>
                </w14:textFill>
              </w:rPr>
            </w:pPr>
          </w:p>
        </w:tc>
      </w:tr>
      <w:tr w14:paraId="255F21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07834ECB">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F73258D">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BIM工程师</w:t>
            </w:r>
          </w:p>
        </w:tc>
        <w:tc>
          <w:tcPr>
            <w:tcW w:w="645" w:type="dxa"/>
            <w:tcBorders>
              <w:tl2br w:val="nil"/>
              <w:tr2bl w:val="nil"/>
            </w:tcBorders>
            <w:tcMar>
              <w:top w:w="0" w:type="dxa"/>
              <w:left w:w="108" w:type="dxa"/>
              <w:bottom w:w="0" w:type="dxa"/>
              <w:right w:w="108" w:type="dxa"/>
            </w:tcMar>
            <w:vAlign w:val="center"/>
          </w:tcPr>
          <w:p w14:paraId="7FEFDF2A">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500D996">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具备工程类相关专业大专以上学历，具有完整项目BIM管理经验。</w:t>
            </w:r>
          </w:p>
        </w:tc>
        <w:tc>
          <w:tcPr>
            <w:tcW w:w="915" w:type="dxa"/>
            <w:tcBorders>
              <w:tl2br w:val="nil"/>
              <w:tr2bl w:val="nil"/>
            </w:tcBorders>
            <w:tcMar>
              <w:top w:w="0" w:type="dxa"/>
              <w:left w:w="108" w:type="dxa"/>
              <w:bottom w:w="0" w:type="dxa"/>
              <w:right w:w="108" w:type="dxa"/>
            </w:tcMar>
            <w:vAlign w:val="center"/>
          </w:tcPr>
          <w:p w14:paraId="10E85CD6">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2C867C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2B66097D">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5B93DD0">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材料管理工程师</w:t>
            </w:r>
          </w:p>
        </w:tc>
        <w:tc>
          <w:tcPr>
            <w:tcW w:w="645" w:type="dxa"/>
            <w:tcBorders>
              <w:tl2br w:val="nil"/>
              <w:tr2bl w:val="nil"/>
            </w:tcBorders>
            <w:tcMar>
              <w:top w:w="0" w:type="dxa"/>
              <w:left w:w="108" w:type="dxa"/>
              <w:bottom w:w="0" w:type="dxa"/>
              <w:right w:w="108" w:type="dxa"/>
            </w:tcMar>
            <w:vAlign w:val="center"/>
          </w:tcPr>
          <w:p w14:paraId="272D2711">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BEB34C0">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工程类相关专业大专以上学历，具备工程类中级或以上技术职称，具有工作经验5年或以上。</w:t>
            </w:r>
          </w:p>
        </w:tc>
        <w:tc>
          <w:tcPr>
            <w:tcW w:w="915" w:type="dxa"/>
            <w:tcBorders>
              <w:tl2br w:val="nil"/>
              <w:tr2bl w:val="nil"/>
            </w:tcBorders>
            <w:tcMar>
              <w:top w:w="0" w:type="dxa"/>
              <w:left w:w="108" w:type="dxa"/>
              <w:bottom w:w="0" w:type="dxa"/>
              <w:right w:w="108" w:type="dxa"/>
            </w:tcMar>
            <w:vAlign w:val="center"/>
          </w:tcPr>
          <w:p w14:paraId="3230F599">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0D0F7D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59A514B8">
            <w:pPr>
              <w:pStyle w:val="63"/>
              <w:numPr>
                <w:ilvl w:val="0"/>
                <w:numId w:val="30"/>
              </w:numPr>
              <w:spacing w:before="0" w:after="0" w:line="240" w:lineRule="auto"/>
              <w:ind w:firstLineChars="0"/>
              <w:jc w:val="center"/>
              <w:rPr>
                <w:rFonts w:hint="eastAsia" w:ascii="宋体" w:hAnsi="宋体" w:eastAsia="宋体" w:cs="宋体"/>
                <w:strike/>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693DA909">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施工员</w:t>
            </w:r>
          </w:p>
        </w:tc>
        <w:tc>
          <w:tcPr>
            <w:tcW w:w="645" w:type="dxa"/>
            <w:tcBorders>
              <w:tl2br w:val="nil"/>
              <w:tr2bl w:val="nil"/>
            </w:tcBorders>
            <w:tcMar>
              <w:top w:w="0" w:type="dxa"/>
              <w:left w:w="108" w:type="dxa"/>
              <w:bottom w:w="0" w:type="dxa"/>
              <w:right w:w="108" w:type="dxa"/>
            </w:tcMar>
            <w:vAlign w:val="center"/>
          </w:tcPr>
          <w:p w14:paraId="132A374E">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4474453B">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工程类相关专业大专以上学历，具有施工员岗位证书或培训证。</w:t>
            </w:r>
          </w:p>
        </w:tc>
        <w:tc>
          <w:tcPr>
            <w:tcW w:w="915" w:type="dxa"/>
            <w:tcBorders>
              <w:tl2br w:val="nil"/>
              <w:tr2bl w:val="nil"/>
            </w:tcBorders>
            <w:tcMar>
              <w:top w:w="0" w:type="dxa"/>
              <w:left w:w="108" w:type="dxa"/>
              <w:bottom w:w="0" w:type="dxa"/>
              <w:right w:w="108" w:type="dxa"/>
            </w:tcMar>
            <w:vAlign w:val="center"/>
          </w:tcPr>
          <w:p w14:paraId="284FFBDE">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7A59B3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4AAC5168">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4DE66DF3">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HSE 管理人员</w:t>
            </w:r>
          </w:p>
        </w:tc>
        <w:tc>
          <w:tcPr>
            <w:tcW w:w="645" w:type="dxa"/>
            <w:tcBorders>
              <w:tl2br w:val="nil"/>
              <w:tr2bl w:val="nil"/>
            </w:tcBorders>
            <w:tcMar>
              <w:top w:w="0" w:type="dxa"/>
              <w:left w:w="108" w:type="dxa"/>
              <w:bottom w:w="0" w:type="dxa"/>
              <w:right w:w="108" w:type="dxa"/>
            </w:tcMar>
            <w:vAlign w:val="center"/>
          </w:tcPr>
          <w:p w14:paraId="1ED27BA1">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3</w:t>
            </w:r>
          </w:p>
        </w:tc>
        <w:tc>
          <w:tcPr>
            <w:tcW w:w="5100" w:type="dxa"/>
            <w:tcBorders>
              <w:tl2br w:val="nil"/>
              <w:tr2bl w:val="nil"/>
            </w:tcBorders>
            <w:tcMar>
              <w:top w:w="0" w:type="dxa"/>
              <w:left w:w="108" w:type="dxa"/>
              <w:bottom w:w="0" w:type="dxa"/>
              <w:right w:w="108" w:type="dxa"/>
            </w:tcMar>
            <w:vAlign w:val="center"/>
          </w:tcPr>
          <w:p w14:paraId="6DDE8888">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工程类相关专业大专以上学历，具有施工员岗位证书或培训证。具有在有效期内的安全生产考核合格证（C类）具有HSE管理经验3年或以上。</w:t>
            </w:r>
          </w:p>
        </w:tc>
        <w:tc>
          <w:tcPr>
            <w:tcW w:w="915" w:type="dxa"/>
            <w:tcBorders>
              <w:tl2br w:val="nil"/>
              <w:tr2bl w:val="nil"/>
            </w:tcBorders>
            <w:tcMar>
              <w:top w:w="0" w:type="dxa"/>
              <w:left w:w="108" w:type="dxa"/>
              <w:bottom w:w="0" w:type="dxa"/>
              <w:right w:w="108" w:type="dxa"/>
            </w:tcMar>
            <w:vAlign w:val="center"/>
          </w:tcPr>
          <w:p w14:paraId="49B4A763">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91A9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1E2CF8A8">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58EA8CE0">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质量员</w:t>
            </w:r>
          </w:p>
        </w:tc>
        <w:tc>
          <w:tcPr>
            <w:tcW w:w="645" w:type="dxa"/>
            <w:tcBorders>
              <w:tl2br w:val="nil"/>
              <w:tr2bl w:val="nil"/>
            </w:tcBorders>
            <w:tcMar>
              <w:top w:w="0" w:type="dxa"/>
              <w:left w:w="108" w:type="dxa"/>
              <w:bottom w:w="0" w:type="dxa"/>
              <w:right w:w="108" w:type="dxa"/>
            </w:tcMar>
            <w:vAlign w:val="center"/>
          </w:tcPr>
          <w:p w14:paraId="687A5BAC">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2</w:t>
            </w:r>
          </w:p>
        </w:tc>
        <w:tc>
          <w:tcPr>
            <w:tcW w:w="5100" w:type="dxa"/>
            <w:tcBorders>
              <w:tl2br w:val="nil"/>
              <w:tr2bl w:val="nil"/>
            </w:tcBorders>
            <w:tcMar>
              <w:top w:w="0" w:type="dxa"/>
              <w:left w:w="108" w:type="dxa"/>
              <w:bottom w:w="0" w:type="dxa"/>
              <w:right w:w="108" w:type="dxa"/>
            </w:tcMar>
            <w:vAlign w:val="center"/>
          </w:tcPr>
          <w:p w14:paraId="16A53D26">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工程类相关专业大专以上学历和土木工程类中级职称，具有质量员岗位证书或培训证。具有质量管理经验3年或以上。</w:t>
            </w:r>
          </w:p>
        </w:tc>
        <w:tc>
          <w:tcPr>
            <w:tcW w:w="915" w:type="dxa"/>
            <w:tcBorders>
              <w:tl2br w:val="nil"/>
              <w:tr2bl w:val="nil"/>
            </w:tcBorders>
            <w:tcMar>
              <w:top w:w="0" w:type="dxa"/>
              <w:left w:w="108" w:type="dxa"/>
              <w:bottom w:w="0" w:type="dxa"/>
              <w:right w:w="108" w:type="dxa"/>
            </w:tcMar>
            <w:vAlign w:val="center"/>
          </w:tcPr>
          <w:p w14:paraId="51E02530">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5610B55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5A52B484">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7FC8A134">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资料员</w:t>
            </w:r>
          </w:p>
        </w:tc>
        <w:tc>
          <w:tcPr>
            <w:tcW w:w="645" w:type="dxa"/>
            <w:tcBorders>
              <w:tl2br w:val="nil"/>
              <w:tr2bl w:val="nil"/>
            </w:tcBorders>
            <w:tcMar>
              <w:top w:w="0" w:type="dxa"/>
              <w:left w:w="108" w:type="dxa"/>
              <w:bottom w:w="0" w:type="dxa"/>
              <w:right w:w="108" w:type="dxa"/>
            </w:tcMar>
            <w:vAlign w:val="center"/>
          </w:tcPr>
          <w:p w14:paraId="12BFE797">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2</w:t>
            </w:r>
          </w:p>
        </w:tc>
        <w:tc>
          <w:tcPr>
            <w:tcW w:w="5100" w:type="dxa"/>
            <w:tcBorders>
              <w:tl2br w:val="nil"/>
              <w:tr2bl w:val="nil"/>
            </w:tcBorders>
            <w:tcMar>
              <w:top w:w="0" w:type="dxa"/>
              <w:left w:w="108" w:type="dxa"/>
              <w:bottom w:w="0" w:type="dxa"/>
              <w:right w:w="108" w:type="dxa"/>
            </w:tcMar>
            <w:vAlign w:val="center"/>
          </w:tcPr>
          <w:p w14:paraId="0BFD3DAB">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工程类相关专业大专以上学历，具有资料员岗位证书或培训证。</w:t>
            </w:r>
          </w:p>
        </w:tc>
        <w:tc>
          <w:tcPr>
            <w:tcW w:w="915" w:type="dxa"/>
            <w:tcBorders>
              <w:tl2br w:val="nil"/>
              <w:tr2bl w:val="nil"/>
            </w:tcBorders>
            <w:tcMar>
              <w:top w:w="0" w:type="dxa"/>
              <w:left w:w="108" w:type="dxa"/>
              <w:bottom w:w="0" w:type="dxa"/>
              <w:right w:w="108" w:type="dxa"/>
            </w:tcMar>
            <w:vAlign w:val="center"/>
          </w:tcPr>
          <w:p w14:paraId="596956D5">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6716C3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483DF338">
            <w:pPr>
              <w:pStyle w:val="63"/>
              <w:numPr>
                <w:ilvl w:val="0"/>
                <w:numId w:val="30"/>
              </w:numPr>
              <w:spacing w:before="0" w:after="0" w:line="240" w:lineRule="auto"/>
              <w:ind w:firstLineChars="0"/>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0C6D6A34">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材料员</w:t>
            </w:r>
          </w:p>
        </w:tc>
        <w:tc>
          <w:tcPr>
            <w:tcW w:w="645" w:type="dxa"/>
            <w:tcBorders>
              <w:tl2br w:val="nil"/>
              <w:tr2bl w:val="nil"/>
            </w:tcBorders>
            <w:tcMar>
              <w:top w:w="0" w:type="dxa"/>
              <w:left w:w="108" w:type="dxa"/>
              <w:bottom w:w="0" w:type="dxa"/>
              <w:right w:w="108" w:type="dxa"/>
            </w:tcMar>
            <w:vAlign w:val="center"/>
          </w:tcPr>
          <w:p w14:paraId="3BB6BC80">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1</w:t>
            </w:r>
          </w:p>
        </w:tc>
        <w:tc>
          <w:tcPr>
            <w:tcW w:w="5100" w:type="dxa"/>
            <w:tcBorders>
              <w:tl2br w:val="nil"/>
              <w:tr2bl w:val="nil"/>
            </w:tcBorders>
            <w:tcMar>
              <w:top w:w="0" w:type="dxa"/>
              <w:left w:w="108" w:type="dxa"/>
              <w:bottom w:w="0" w:type="dxa"/>
              <w:right w:w="108" w:type="dxa"/>
            </w:tcMar>
            <w:vAlign w:val="center"/>
          </w:tcPr>
          <w:p w14:paraId="1A0A5DC2">
            <w:pPr>
              <w:widowControl/>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工程类相关专业大专以上学历，具有材料员岗位证书或培训证。</w:t>
            </w:r>
          </w:p>
        </w:tc>
        <w:tc>
          <w:tcPr>
            <w:tcW w:w="915" w:type="dxa"/>
            <w:tcBorders>
              <w:tl2br w:val="nil"/>
              <w:tr2bl w:val="nil"/>
            </w:tcBorders>
            <w:tcMar>
              <w:top w:w="0" w:type="dxa"/>
              <w:left w:w="108" w:type="dxa"/>
              <w:bottom w:w="0" w:type="dxa"/>
              <w:right w:w="108" w:type="dxa"/>
            </w:tcMar>
            <w:vAlign w:val="center"/>
          </w:tcPr>
          <w:p w14:paraId="71E8D3B1">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r w14:paraId="3FCE24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54" w:hRule="atLeast"/>
          <w:jc w:val="center"/>
        </w:trPr>
        <w:tc>
          <w:tcPr>
            <w:tcW w:w="630" w:type="dxa"/>
            <w:tcBorders>
              <w:tl2br w:val="nil"/>
              <w:tr2bl w:val="nil"/>
            </w:tcBorders>
            <w:tcMar>
              <w:top w:w="0" w:type="dxa"/>
              <w:left w:w="108" w:type="dxa"/>
              <w:bottom w:w="0" w:type="dxa"/>
              <w:right w:w="108" w:type="dxa"/>
            </w:tcMar>
            <w:vAlign w:val="center"/>
          </w:tcPr>
          <w:p w14:paraId="2DC49721">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1905" w:type="dxa"/>
            <w:tcBorders>
              <w:tl2br w:val="nil"/>
              <w:tr2bl w:val="nil"/>
            </w:tcBorders>
            <w:tcMar>
              <w:top w:w="0" w:type="dxa"/>
              <w:left w:w="108" w:type="dxa"/>
              <w:bottom w:w="0" w:type="dxa"/>
              <w:right w:w="108" w:type="dxa"/>
            </w:tcMar>
            <w:vAlign w:val="center"/>
          </w:tcPr>
          <w:p w14:paraId="14269E46">
            <w:pPr>
              <w:spacing w:before="0" w:after="0" w:line="240" w:lineRule="auto"/>
              <w:jc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小计</w:t>
            </w:r>
          </w:p>
        </w:tc>
        <w:tc>
          <w:tcPr>
            <w:tcW w:w="645" w:type="dxa"/>
            <w:tcBorders>
              <w:tl2br w:val="nil"/>
              <w:tr2bl w:val="nil"/>
            </w:tcBorders>
            <w:tcMar>
              <w:top w:w="0" w:type="dxa"/>
              <w:left w:w="108" w:type="dxa"/>
              <w:bottom w:w="0" w:type="dxa"/>
              <w:right w:w="108" w:type="dxa"/>
            </w:tcMar>
            <w:vAlign w:val="center"/>
          </w:tcPr>
          <w:p w14:paraId="6FE82753">
            <w:pPr>
              <w:widowControl/>
              <w:jc w:val="center"/>
              <w:textAlignment w:val="center"/>
              <w:rPr>
                <w:rFonts w:hint="eastAsia" w:ascii="宋体" w:hAnsi="宋体" w:eastAsia="宋体" w:cs="宋体"/>
                <w:color w:val="000000" w:themeColor="text1"/>
                <w:kern w:val="0"/>
                <w:sz w:val="21"/>
                <w:szCs w:val="21"/>
                <w:highlight w:val="none"/>
                <w:lang w:bidi="ar"/>
                <w14:textFill>
                  <w14:solidFill>
                    <w14:schemeClr w14:val="tx1"/>
                  </w14:solidFill>
                </w14:textFill>
              </w:rPr>
            </w:pPr>
            <w:r>
              <w:rPr>
                <w:rFonts w:hint="eastAsia" w:ascii="宋体" w:hAnsi="宋体" w:eastAsia="宋体" w:cs="宋体"/>
                <w:color w:val="000000" w:themeColor="text1"/>
                <w:kern w:val="0"/>
                <w:sz w:val="21"/>
                <w:szCs w:val="21"/>
                <w:highlight w:val="none"/>
                <w:lang w:bidi="ar"/>
                <w14:textFill>
                  <w14:solidFill>
                    <w14:schemeClr w14:val="tx1"/>
                  </w14:solidFill>
                </w14:textFill>
              </w:rPr>
              <w:t>39</w:t>
            </w:r>
          </w:p>
        </w:tc>
        <w:tc>
          <w:tcPr>
            <w:tcW w:w="5100" w:type="dxa"/>
            <w:tcBorders>
              <w:tl2br w:val="nil"/>
              <w:tr2bl w:val="nil"/>
            </w:tcBorders>
            <w:tcMar>
              <w:top w:w="0" w:type="dxa"/>
              <w:left w:w="108" w:type="dxa"/>
              <w:bottom w:w="0" w:type="dxa"/>
              <w:right w:w="108" w:type="dxa"/>
            </w:tcMar>
            <w:vAlign w:val="center"/>
          </w:tcPr>
          <w:p w14:paraId="7C439570">
            <w:pPr>
              <w:spacing w:before="0" w:after="0" w:line="240" w:lineRule="auto"/>
              <w:rPr>
                <w:rFonts w:hint="eastAsia" w:ascii="宋体" w:hAnsi="宋体" w:eastAsia="宋体" w:cs="宋体"/>
                <w:color w:val="000000" w:themeColor="text1"/>
                <w:kern w:val="0"/>
                <w:sz w:val="21"/>
                <w:szCs w:val="21"/>
                <w:highlight w:val="none"/>
                <w:lang w:bidi="ar"/>
                <w14:textFill>
                  <w14:solidFill>
                    <w14:schemeClr w14:val="tx1"/>
                  </w14:solidFill>
                </w14:textFill>
              </w:rPr>
            </w:pPr>
          </w:p>
        </w:tc>
        <w:tc>
          <w:tcPr>
            <w:tcW w:w="915" w:type="dxa"/>
            <w:tcBorders>
              <w:tl2br w:val="nil"/>
              <w:tr2bl w:val="nil"/>
            </w:tcBorders>
            <w:tcMar>
              <w:top w:w="0" w:type="dxa"/>
              <w:left w:w="108" w:type="dxa"/>
              <w:bottom w:w="0" w:type="dxa"/>
              <w:right w:w="108" w:type="dxa"/>
            </w:tcMar>
            <w:vAlign w:val="center"/>
          </w:tcPr>
          <w:p w14:paraId="1173C347">
            <w:pPr>
              <w:spacing w:before="0" w:after="0" w:line="240" w:lineRule="auto"/>
              <w:jc w:val="center"/>
              <w:rPr>
                <w:rFonts w:hint="eastAsia" w:ascii="宋体" w:hAnsi="宋体" w:eastAsia="宋体" w:cs="宋体"/>
                <w:color w:val="000000" w:themeColor="text1"/>
                <w:sz w:val="21"/>
                <w:szCs w:val="21"/>
                <w:highlight w:val="none"/>
                <w14:textFill>
                  <w14:solidFill>
                    <w14:schemeClr w14:val="tx1"/>
                  </w14:solidFill>
                </w14:textFill>
              </w:rPr>
            </w:pPr>
          </w:p>
        </w:tc>
      </w:tr>
    </w:tbl>
    <w:p w14:paraId="306529AA">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p>
    <w:p w14:paraId="1A9D7F81">
      <w:pPr>
        <w:spacing w:before="0" w:after="0" w:line="360" w:lineRule="auto"/>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注：（1）人员工作经验时间从毕业时间起计。</w:t>
      </w:r>
    </w:p>
    <w:p w14:paraId="27313C20">
      <w:pPr>
        <w:numPr>
          <w:ilvl w:val="0"/>
          <w:numId w:val="31"/>
        </w:numPr>
        <w:snapToGrid/>
        <w:spacing w:before="0" w:after="0" w:line="360" w:lineRule="auto"/>
        <w:ind w:firstLine="420" w:firstLineChars="200"/>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一级注册造价工程师是指根据住房城乡建设部、交通运输部、水利部、人力资源社会保障部发布的《造价工程师职业资格制度规定》、《造价工程师职业资格考试实施办法》（建人［2018］67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14:paraId="26DC5D4F">
      <w:pPr>
        <w:numPr>
          <w:ilvl w:val="0"/>
          <w:numId w:val="31"/>
        </w:numPr>
        <w:snapToGrid/>
        <w:spacing w:before="0" w:after="0" w:line="360" w:lineRule="auto"/>
        <w:ind w:firstLine="420" w:firstLineChars="200"/>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上表人员均要求为投标单位正式职工，即指在投标单位已购买发布招标公告前一个月或以上社保的在职人员，须同时提供社保证明。除特别约定外，各岗位人员不得相互兼职。</w:t>
      </w:r>
    </w:p>
    <w:p w14:paraId="6EF476B0">
      <w:pPr>
        <w:numPr>
          <w:ilvl w:val="0"/>
          <w:numId w:val="31"/>
        </w:numPr>
        <w:snapToGrid/>
        <w:spacing w:before="0" w:after="0" w:line="360" w:lineRule="auto"/>
        <w:ind w:firstLine="420" w:firstLineChars="200"/>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上表管理人员在项目建设期间要求必须只服务于本项目，不得出现在本项目以外的其他项目兼职的情况。</w:t>
      </w:r>
    </w:p>
    <w:p w14:paraId="337A39B8">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10.2 人员进场管理</w:t>
      </w:r>
    </w:p>
    <w:p w14:paraId="73052461">
      <w:pPr>
        <w:spacing w:before="0" w:after="0" w:line="360" w:lineRule="auto"/>
        <w:ind w:firstLine="424" w:firstLineChars="177"/>
        <w:rPr>
          <w:rFonts w:hint="eastAsia" w:ascii="宋体" w:hAnsi="宋体" w:eastAsia="宋体" w:cs="宋体"/>
          <w:color w:val="000000" w:themeColor="text1"/>
          <w:sz w:val="24"/>
          <w:highlight w:val="none"/>
          <w:shd w:val="clear" w:color="auto" w:fill="ED41FD"/>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除合同条款另有约定外，承包人应在接到开工通知后7天内，向监理人提交承包人项目管理机构及施工现场人员安排的报告，其内容应包括合同管理、施工、技术、材料、质量、安全、财务等主要施工管理人员名单及其岗位、注册执业资格等，以及各工种技术工人的安排情况，并同时提交主要施工管理人员与承包人之间的劳动关系证明和缴纳社会保险的有效证明，安全、质量管理岗位系列人员须接受发包人面试、考核，符合发包人要求者方能正式上岗。特殊工种作业人员均应持有相应的资格证明，并报监理单位审核。</w:t>
      </w:r>
    </w:p>
    <w:p w14:paraId="27518398">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10.3 人员变更管理</w:t>
      </w:r>
    </w:p>
    <w:p w14:paraId="7D32167D">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派驻到施工现场的主要施工管理人员应相对稳定。施工过程中如有变动，承包人应及时向监理人提交施工现场人员变动情况的报告。承包人更换主要施工管理人员时，应提前7天书面通知监理人，并征得发包人书面同意。通知中应当载明继任人员的注册执业资格、管理经验等资料。承包人擅自更换主要施工管理人员，应按照合同条款约定承担违约责任。</w:t>
      </w:r>
    </w:p>
    <w:p w14:paraId="0595A310">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项目经理更换如存在下列情形之一的，将被拒绝1年内参与发包人后续工程投标:</w:t>
      </w:r>
    </w:p>
    <w:p w14:paraId="589D54C8">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10.3.1 承包人委派的项目经理长期不到位（即连续三个月或以上达不到合同约定的出勤率）。</w:t>
      </w:r>
    </w:p>
    <w:p w14:paraId="26CA70CC">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10.3.2 承包人自行调换或未按照发包人要求及时更换项目经理的。</w:t>
      </w:r>
    </w:p>
    <w:p w14:paraId="3F560A6A">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经发包人同意撤换的项目经理，自撤换之日起半年内，该项目经理不得再作为发包人后续招标项目时拟委派项目管理机构的项目经理。</w:t>
      </w:r>
    </w:p>
    <w:p w14:paraId="62DA6936">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10.4 人员撤换管理</w:t>
      </w:r>
    </w:p>
    <w:p w14:paraId="70031B40">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发包人对于承包人主要施工管理人员的资格或能力有异议的，承包人应提供资料证明被质疑人员有能力完成其岗位工作或不存在发包人所质疑的情形。发包人要求撤换不能按照合同约定履行职责及义务的主要施工管理人员的，承包人应当撤换。承包人无正当理由拒绝撤换的，应按照合同条款的约定承担违约责任。</w:t>
      </w:r>
    </w:p>
    <w:p w14:paraId="42394FE6">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10.5 人员请销假管理</w:t>
      </w:r>
    </w:p>
    <w:p w14:paraId="2BBB08E4">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按合同条款约定执行。</w:t>
      </w:r>
    </w:p>
    <w:p w14:paraId="4150E09B">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10.6 人员配合管理</w:t>
      </w:r>
    </w:p>
    <w:p w14:paraId="56C5629D">
      <w:pPr>
        <w:spacing w:before="0" w:after="0" w:line="360" w:lineRule="auto"/>
        <w:ind w:firstLine="424" w:firstLineChars="177"/>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承包人须配备交通保障设施用于现场人员的协调管理、对外联系、报批报验等工作，相关费用应包含在投标费用中。</w:t>
      </w:r>
    </w:p>
    <w:p w14:paraId="6D6505BD">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11、主要施工机械设备要求</w:t>
      </w:r>
    </w:p>
    <w:p w14:paraId="579A024B">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11.1 配备基本要求</w:t>
      </w:r>
    </w:p>
    <w:p w14:paraId="4A56E0F8">
      <w:pPr>
        <w:spacing w:before="0" w:after="0" w:line="360" w:lineRule="auto"/>
        <w:ind w:firstLine="424" w:firstLineChars="177"/>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 xml:space="preserve">本项目需投入的施工机械基本要求详见下表。投标人需根据本项目工程的特点，结合本企业的实力和资源情况配备，配备要求如下： </w:t>
      </w:r>
    </w:p>
    <w:p w14:paraId="02016F40">
      <w:pPr>
        <w:spacing w:before="0" w:after="0" w:line="240" w:lineRule="auto"/>
        <w:jc w:val="center"/>
        <w:rPr>
          <w:rFonts w:hint="eastAsia" w:ascii="宋体" w:hAnsi="宋体" w:eastAsia="宋体" w:cs="宋体"/>
          <w:b/>
          <w:bCs/>
          <w:color w:val="000000" w:themeColor="text1"/>
          <w:sz w:val="24"/>
          <w:highlight w:val="none"/>
          <w14:textFill>
            <w14:solidFill>
              <w14:schemeClr w14:val="tx1"/>
            </w14:solidFill>
          </w14:textFill>
        </w:rPr>
      </w:pPr>
      <w:r>
        <w:rPr>
          <w:rFonts w:hint="eastAsia" w:ascii="宋体" w:hAnsi="宋体" w:eastAsia="宋体" w:cs="宋体"/>
          <w:b/>
          <w:bCs/>
          <w:color w:val="000000" w:themeColor="text1"/>
          <w:sz w:val="24"/>
          <w:highlight w:val="none"/>
          <w14:textFill>
            <w14:solidFill>
              <w14:schemeClr w14:val="tx1"/>
            </w14:solidFill>
          </w14:textFill>
        </w:rPr>
        <w:t>主要施工机械设备要求</w:t>
      </w:r>
    </w:p>
    <w:tbl>
      <w:tblPr>
        <w:tblStyle w:val="42"/>
        <w:tblW w:w="0" w:type="auto"/>
        <w:jc w:val="center"/>
        <w:tblLayout w:type="fixed"/>
        <w:tblCellMar>
          <w:top w:w="0" w:type="dxa"/>
          <w:left w:w="108" w:type="dxa"/>
          <w:bottom w:w="0" w:type="dxa"/>
          <w:right w:w="108" w:type="dxa"/>
        </w:tblCellMar>
      </w:tblPr>
      <w:tblGrid>
        <w:gridCol w:w="873"/>
        <w:gridCol w:w="2433"/>
        <w:gridCol w:w="1947"/>
        <w:gridCol w:w="3540"/>
      </w:tblGrid>
      <w:tr w14:paraId="3E738F76">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C15A5F9">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序号</w:t>
            </w:r>
          </w:p>
        </w:tc>
        <w:tc>
          <w:tcPr>
            <w:tcW w:w="243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58CEC05">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设备、材料名称</w:t>
            </w:r>
          </w:p>
        </w:tc>
        <w:tc>
          <w:tcPr>
            <w:tcW w:w="1947"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A474CE0">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数量</w:t>
            </w:r>
          </w:p>
        </w:tc>
        <w:tc>
          <w:tcPr>
            <w:tcW w:w="3540"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C5D32D3">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备注</w:t>
            </w:r>
          </w:p>
        </w:tc>
      </w:tr>
      <w:tr w14:paraId="16C59260">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2536E4B">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1</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5BB1794">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塔吊</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58444A1">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 xml:space="preserve"> </w:t>
            </w:r>
            <w:r>
              <w:rPr>
                <w:rFonts w:hint="eastAsia" w:ascii="宋体" w:hAnsi="宋体" w:eastAsia="宋体" w:cs="宋体"/>
                <w:color w:val="000000" w:themeColor="text1"/>
                <w:szCs w:val="21"/>
                <w:highlight w:val="none"/>
                <w:u w:val="single"/>
                <w:lang w:eastAsia="zh"/>
                <w14:textFill>
                  <w14:solidFill>
                    <w14:schemeClr w14:val="tx1"/>
                  </w14:solidFill>
                </w14:textFill>
                <w:woUserID w:val="3"/>
              </w:rPr>
              <w:t>3</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E49D9B5">
            <w:pPr>
              <w:spacing w:before="0" w:after="0" w:line="240" w:lineRule="auto"/>
              <w:rPr>
                <w:rFonts w:hint="eastAsia" w:ascii="宋体" w:hAnsi="宋体" w:eastAsia="宋体" w:cs="宋体"/>
                <w:color w:val="000000" w:themeColor="text1"/>
                <w:sz w:val="2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1、按平面图合理排布，同时满足地下室范围材料运输及装配式构件的吊装需求。</w:t>
            </w:r>
          </w:p>
          <w:p w14:paraId="2231F376">
            <w:pPr>
              <w:spacing w:before="0" w:after="0" w:line="240" w:lineRule="auto"/>
              <w:rPr>
                <w:rFonts w:hint="eastAsia" w:ascii="宋体" w:hAnsi="宋体" w:eastAsia="宋体" w:cs="宋体"/>
                <w:color w:val="000000" w:themeColor="text1"/>
                <w:sz w:val="2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2、塔吊出厂至报装之日起不能超过24个月。</w:t>
            </w:r>
          </w:p>
          <w:p w14:paraId="7155AF56">
            <w:pPr>
              <w:spacing w:before="0" w:after="0" w:line="240" w:lineRule="auto"/>
              <w:rPr>
                <w:rFonts w:hint="eastAsia" w:ascii="宋体" w:hAnsi="宋体" w:eastAsia="宋体" w:cs="宋体"/>
                <w:color w:val="000000" w:themeColor="text1"/>
                <w:sz w:val="2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3、严禁使用事故塔吊、大修塔吊、套牌塔吊等存在异常的塔吊。</w:t>
            </w:r>
          </w:p>
          <w:p w14:paraId="7F345C4A">
            <w:pPr>
              <w:spacing w:before="0" w:after="0" w:line="240" w:lineRule="auto"/>
              <w:rPr>
                <w:rFonts w:hint="eastAsia"/>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4、标准节内塔吊司机上下的爬梯，应选择之字形楼梯，避免使用垂直爬梯。</w:t>
            </w:r>
          </w:p>
        </w:tc>
      </w:tr>
      <w:tr w14:paraId="658CA0A7">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48D1A5C">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2</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438F8B7">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冲孔桩机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8AA4E49">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 xml:space="preserve">10 </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88A1D22">
            <w:pPr>
              <w:spacing w:before="0" w:after="0" w:line="240" w:lineRule="auto"/>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现场必须配备20个备用锤，满足阶段性进度需求</w:t>
            </w:r>
          </w:p>
        </w:tc>
      </w:tr>
      <w:tr w14:paraId="258B81F6">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EFC17E2">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3</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82D248D">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旋挖桩机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6DFFAD5">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 xml:space="preserve">4 </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9A68D68">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满足阶段性进度需求</w:t>
            </w:r>
          </w:p>
        </w:tc>
      </w:tr>
      <w:tr w14:paraId="2AB5625F">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405702A">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4</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FACE523">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三轴搅拌桩</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6DF1626">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2</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761B6F9">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满足阶段性进度需求</w:t>
            </w:r>
          </w:p>
        </w:tc>
      </w:tr>
      <w:tr w14:paraId="62F2A6E1">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B8BB048">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5</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8F65E80">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静压桩机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E940BA5">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2</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08FAD28">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满足阶段性进度需求</w:t>
            </w:r>
          </w:p>
        </w:tc>
      </w:tr>
      <w:tr w14:paraId="47F1570D">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1F8ED4B">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6</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5B40AC6">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锚索钻孔机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70E0E12">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5</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13E8E99">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满足阶段性进度需求</w:t>
            </w:r>
          </w:p>
        </w:tc>
      </w:tr>
      <w:tr w14:paraId="19DE8AF2">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0A574E7">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7</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68279F7">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挖掘机（PC200以上）</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68DCD79">
            <w:pPr>
              <w:widowControl/>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5</w:t>
            </w:r>
            <w:r>
              <w:rPr>
                <w:rFonts w:hint="eastAsia" w:ascii="宋体" w:hAnsi="宋体" w:eastAsia="宋体" w:cs="宋体"/>
                <w:color w:val="000000" w:themeColor="text1"/>
                <w:kern w:val="0"/>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9108581">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满足土方开挖阶段性进度需求</w:t>
            </w:r>
          </w:p>
        </w:tc>
      </w:tr>
      <w:tr w14:paraId="2263929D">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9851AAB">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8</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25CC0CD">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双笼施工电梯</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B5D5888">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lang w:eastAsia="zh"/>
                <w14:textFill>
                  <w14:solidFill>
                    <w14:schemeClr w14:val="tx1"/>
                  </w14:solidFill>
                </w14:textFill>
                <w:woUserID w:val="3"/>
              </w:rPr>
              <w:t>4</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71A2E00">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施工电梯出厂至报装之日起不能超过24个月，满足每个单体一台</w:t>
            </w:r>
          </w:p>
        </w:tc>
      </w:tr>
      <w:tr w14:paraId="2313AE97">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0FC57FE">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9</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BC885A3">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模板及支撑体系（不含地下室）</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6BB9A4D">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不少于整层4套/栋</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61B5EE1">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确保满足结构进度要求</w:t>
            </w:r>
          </w:p>
        </w:tc>
      </w:tr>
      <w:tr w14:paraId="3C163C3F">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51D89F5">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10</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9425133">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卫生间定型组装式钢模板</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031D929">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不少于整层2套/栋</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364C63F">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卫生间返坎砼与结构砼必须同时浇筑</w:t>
            </w:r>
          </w:p>
        </w:tc>
      </w:tr>
      <w:tr w14:paraId="62C959F3">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C12232A">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11</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EDBD9C7">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地下室模板及支撑体系</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33E60C3">
            <w:pPr>
              <w:pStyle w:val="14"/>
              <w:ind w:firstLine="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一次性投入</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B12FEE5">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必须确保满足进度要求</w:t>
            </w:r>
          </w:p>
        </w:tc>
      </w:tr>
      <w:tr w14:paraId="0142FA3B">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18CB969">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12</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EB1CDD4">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单轴水泥搅拌桩机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632324E">
            <w:pPr>
              <w:pStyle w:val="14"/>
              <w:ind w:firstLine="220" w:firstLineChars="100"/>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Cs w:val="21"/>
                <w:highlight w:val="none"/>
                <w14:textFill>
                  <w14:solidFill>
                    <w14:schemeClr w14:val="tx1"/>
                  </w14:solidFill>
                </w14:textFill>
              </w:rPr>
              <w:t>不少于</w:t>
            </w:r>
            <w:r>
              <w:rPr>
                <w:rFonts w:hint="eastAsia" w:ascii="宋体" w:hAnsi="宋体" w:eastAsia="宋体" w:cs="宋体"/>
                <w:color w:val="000000" w:themeColor="text1"/>
                <w:szCs w:val="21"/>
                <w:highlight w:val="none"/>
                <w:u w:val="single"/>
                <w14:textFill>
                  <w14:solidFill>
                    <w14:schemeClr w14:val="tx1"/>
                  </w14:solidFill>
                </w14:textFill>
              </w:rPr>
              <w:t>2</w:t>
            </w:r>
            <w:r>
              <w:rPr>
                <w:rFonts w:hint="eastAsia" w:ascii="宋体" w:hAnsi="宋体" w:eastAsia="宋体" w:cs="宋体"/>
                <w:color w:val="000000" w:themeColor="text1"/>
                <w:szCs w:val="21"/>
                <w:highlight w:val="none"/>
                <w14:textFill>
                  <w14:solidFill>
                    <w14:schemeClr w14:val="tx1"/>
                  </w14:solidFill>
                </w14:textFill>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EC0B094">
            <w:pPr>
              <w:spacing w:before="0" w:after="0" w:line="240" w:lineRule="auto"/>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1"/>
                <w:highlight w:val="none"/>
                <w14:textFill>
                  <w14:solidFill>
                    <w14:schemeClr w14:val="tx1"/>
                  </w14:solidFill>
                </w14:textFill>
              </w:rPr>
              <w:t>满足阶段性进度需求</w:t>
            </w:r>
          </w:p>
        </w:tc>
      </w:tr>
    </w:tbl>
    <w:p w14:paraId="01866275">
      <w:pPr>
        <w:pStyle w:val="63"/>
        <w:spacing w:line="360" w:lineRule="auto"/>
        <w:ind w:left="960" w:leftChars="218" w:hanging="480" w:hangingChars="200"/>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注：</w:t>
      </w:r>
      <w:r>
        <w:rPr>
          <w:rFonts w:ascii="宋体" w:hAnsi="宋体" w:eastAsia="宋体"/>
          <w:color w:val="000000" w:themeColor="text1"/>
          <w:sz w:val="24"/>
          <w:szCs w:val="24"/>
          <w:highlight w:val="none"/>
          <w14:textFill>
            <w14:solidFill>
              <w14:schemeClr w14:val="tx1"/>
            </w14:solidFill>
          </w14:textFill>
        </w:rPr>
        <w:t>需配备熟练施工人员。塔吊司机、司索工、指挥工及人货梯司机需配备不少于3个班次的人员（</w:t>
      </w:r>
      <w:r>
        <w:rPr>
          <w:rFonts w:hint="eastAsia" w:ascii="宋体" w:hAnsi="宋体" w:eastAsia="宋体"/>
          <w:color w:val="000000" w:themeColor="text1"/>
          <w:sz w:val="24"/>
          <w:szCs w:val="24"/>
          <w:highlight w:val="none"/>
          <w14:textFill>
            <w14:solidFill>
              <w14:schemeClr w14:val="tx1"/>
            </w14:solidFill>
          </w14:textFill>
        </w:rPr>
        <w:t>三</w:t>
      </w:r>
      <w:r>
        <w:rPr>
          <w:rFonts w:ascii="宋体" w:hAnsi="宋体" w:eastAsia="宋体"/>
          <w:color w:val="000000" w:themeColor="text1"/>
          <w:sz w:val="24"/>
          <w:szCs w:val="24"/>
          <w:highlight w:val="none"/>
          <w14:textFill>
            <w14:solidFill>
              <w14:schemeClr w14:val="tx1"/>
            </w14:solidFill>
          </w14:textFill>
        </w:rPr>
        <w:t>班制）。</w:t>
      </w:r>
    </w:p>
    <w:p w14:paraId="1B7BDEC0">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 管理基本要求</w:t>
      </w:r>
    </w:p>
    <w:p w14:paraId="7A1D2C38">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11.2.1 承包人进场后必须按合同约定时间提交机械设备进场计划，确保机械设备来源可靠，按期进场。对于自有机械设备，承包人必须说明当前的使用情况及计划进场时间，必要时发包人有权组织现场核查；对于租凭机械设备，承包人必须随机械设备进场计划及租凭合同报发包人备案；对于新购机械设备，承包人必须随机械设备进场计划提供订购或采购合同报发包人备案。</w:t>
      </w:r>
    </w:p>
    <w:p w14:paraId="4C36684D">
      <w:pPr>
        <w:spacing w:before="0" w:after="0" w:line="360" w:lineRule="auto"/>
        <w:ind w:firstLine="480"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11.2.2 承包人必须确保机械设备的性能良好，可正常使用。对于影响工程进度较大的主要机械设备，必须有一定备用量，确保在机械设备检修或维护期间，现场仍能正常施工，主要机械设备退场必须经监理工程师及业主同意方可退场，确保进度。</w:t>
      </w:r>
    </w:p>
    <w:p w14:paraId="5E4C2F42">
      <w:pPr>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11.2.3 为确保工程进度，承包人必须无条件增加机械设备的投入，除合同约定有赶工措施费外，发包人不另行增加相关费用。</w:t>
      </w:r>
    </w:p>
    <w:p w14:paraId="2BBDD649">
      <w:pPr>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11.2.4塔吊、施工电梯等起重设备应每月至少维保2次，且塔吊、施工电梯等起重</w:t>
      </w:r>
      <w:bookmarkStart w:id="594" w:name="OLE_LINK21"/>
      <w:r>
        <w:rPr>
          <w:rFonts w:hint="eastAsia" w:ascii="宋体" w:hAnsi="宋体" w:eastAsia="宋体" w:cs="宋体"/>
          <w:color w:val="000000" w:themeColor="text1"/>
          <w:sz w:val="24"/>
          <w:highlight w:val="none"/>
          <w14:textFill>
            <w14:solidFill>
              <w14:schemeClr w14:val="tx1"/>
            </w14:solidFill>
          </w14:textFill>
        </w:rPr>
        <w:t>备除满足广州市建设主管部门要求装备的附属设备外，还应安装具有定点检修、巡查功能的设备或系统（如检到位、设备卫士等），由此产生的费用由承包人自行承担。</w:t>
      </w:r>
    </w:p>
    <w:p w14:paraId="2CD28A29">
      <w:pPr>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11.2.5塔吊、施工电梯除投入使用前需做第三方检测外，之后应每隔半年或台风等极端恶劣天气后做一次第三方检测，检测报告报监理人审查，相关费用应在投标时一并考虑。</w:t>
      </w:r>
    </w:p>
    <w:p w14:paraId="240AFFFE">
      <w:pPr>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11.2.6承包人应按照政府监管部门、业主方要求，积极配合台风等异常天气对塔吊、施工电梯等大型设备的管控举措，如加固、降节、二次检测等，由此产生的费用由承包人自行承担。</w:t>
      </w:r>
    </w:p>
    <w:bookmarkEnd w:id="594"/>
    <w:p w14:paraId="550B767C">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bookmarkStart w:id="595" w:name="_Toc2081"/>
      <w:bookmarkStart w:id="596" w:name="_Toc26418"/>
      <w:bookmarkStart w:id="597" w:name="_Toc6501"/>
      <w:bookmarkStart w:id="598" w:name="_Toc12013"/>
      <w:bookmarkStart w:id="599" w:name="_Toc2059"/>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12、施工策划管理要求</w:t>
      </w:r>
      <w:bookmarkEnd w:id="595"/>
      <w:bookmarkEnd w:id="596"/>
      <w:bookmarkEnd w:id="597"/>
      <w:bookmarkEnd w:id="598"/>
      <w:bookmarkEnd w:id="599"/>
    </w:p>
    <w:p w14:paraId="33CD4A44">
      <w:pPr>
        <w:snapToGrid/>
        <w:spacing w:before="0" w:after="0" w:line="360" w:lineRule="auto"/>
        <w:ind w:firstLine="426"/>
        <w:rPr>
          <w:rFonts w:hint="eastAsia" w:ascii="宋体" w:hAnsi="宋体" w:eastAsia="宋体" w:cs="宋体"/>
          <w:b/>
          <w:bCs/>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根据发包人要求完成项目管理策划，包括但不限于以下内容：项目投资控制评审、项目管理实施规划策划（承包人进场后1个月内完成）、项目创优策划（收到全套结构、建筑设计图纸后3个月内完成）、项目防水防渗漏策划（第一块垫层浇筑之前完成）、外立面施工管理策划（首栋塔楼出±0后1个月内完成）、精装策划（首栋塔楼第一个标准层拆模完成后1个月内）、机电安装策划（地下室顶板（不含后浇带）封闭完成1个月内）、园林景观施工策划（首栋塔楼封顶之前完成）、交付策划（所有塔楼封顶3个月内）。以上时间节点为暂定时间具体以发包人要求为准。以上策划经发包人、发包委托管理单位、监理单位以及专家评审通过后由承包人上报纸质盖章版到发包人处留档。发包人将在实施过程中对策划及深化内容进行监督查验，对于已经过审批的施工策划未能及时有效落地的，由承包人按照合同条款的约定承担违约责任，具体策划内容及要求详见附件《施工策划评审表》，策划完成及评审具体时间以发包人要求为准。</w:t>
      </w:r>
    </w:p>
    <w:p w14:paraId="65A6D6A9">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13、样板管理要求</w:t>
      </w:r>
      <w:bookmarkStart w:id="600" w:name="OLE_LINK1"/>
    </w:p>
    <w:p w14:paraId="4C8607EE">
      <w:pPr>
        <w:pStyle w:val="63"/>
        <w:numPr>
          <w:ilvl w:val="1"/>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样板实施基本要求</w:t>
      </w:r>
    </w:p>
    <w:p w14:paraId="4CEB1CF0">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全面施工前由承包人制定施工方案并选定样板施工的位置，报监理人、发包人审批。</w:t>
      </w:r>
    </w:p>
    <w:p w14:paraId="72C1F71B">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1631B16F">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样板施工质量应体现施工队伍的综合技术水平，经确定的样板施工人员应为该分项工程固定的施工人员，不得随意更换。监理人/发包人对样板操作过程进行监控，对关键点、关键部位进行旁站监督。</w:t>
      </w:r>
    </w:p>
    <w:p w14:paraId="0B70B516">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样板完成后由承包人进行自检，做好记录，报监理人、发包人验收，验收合格后方可开始现场的全面施工。</w:t>
      </w:r>
    </w:p>
    <w:p w14:paraId="7DDFC496">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ascii="宋体" w:hAnsi="宋体" w:eastAsia="宋体" w:cs="宋体"/>
          <w:color w:val="000000" w:themeColor="text1"/>
          <w:spacing w:val="4"/>
          <w:sz w:val="24"/>
          <w:highlight w:val="none"/>
          <w14:textFill>
            <w14:solidFill>
              <w14:schemeClr w14:val="tx1"/>
            </w14:solidFill>
          </w14:textFill>
        </w:rPr>
        <w:t>承包人负责</w:t>
      </w:r>
      <w:r>
        <w:rPr>
          <w:rFonts w:hint="eastAsia" w:ascii="宋体" w:hAnsi="宋体" w:eastAsia="宋体" w:cs="宋体"/>
          <w:color w:val="000000" w:themeColor="text1"/>
          <w:spacing w:val="4"/>
          <w:sz w:val="24"/>
          <w:highlight w:val="none"/>
          <w14:textFill>
            <w14:solidFill>
              <w14:schemeClr w14:val="tx1"/>
            </w14:solidFill>
          </w14:textFill>
        </w:rPr>
        <w:t>项目样板实施的整体策划工作，负责</w:t>
      </w:r>
      <w:r>
        <w:rPr>
          <w:rFonts w:ascii="宋体" w:hAnsi="宋体" w:eastAsia="宋体" w:cs="宋体"/>
          <w:color w:val="000000" w:themeColor="text1"/>
          <w:spacing w:val="4"/>
          <w:sz w:val="24"/>
          <w:highlight w:val="none"/>
          <w14:textFill>
            <w14:solidFill>
              <w14:schemeClr w14:val="tx1"/>
            </w14:solidFill>
          </w14:textFill>
        </w:rPr>
        <w:t>自身承建范围内</w:t>
      </w:r>
      <w:r>
        <w:rPr>
          <w:rFonts w:hint="eastAsia" w:ascii="宋体" w:hAnsi="宋体" w:eastAsia="宋体" w:cs="宋体"/>
          <w:color w:val="000000" w:themeColor="text1"/>
          <w:spacing w:val="4"/>
          <w:sz w:val="24"/>
          <w:highlight w:val="none"/>
          <w14:textFill>
            <w14:solidFill>
              <w14:schemeClr w14:val="tx1"/>
            </w14:solidFill>
          </w14:textFill>
        </w:rPr>
        <w:t>工作内容</w:t>
      </w:r>
      <w:r>
        <w:rPr>
          <w:rFonts w:ascii="宋体" w:hAnsi="宋体" w:eastAsia="宋体" w:cs="宋体"/>
          <w:color w:val="000000" w:themeColor="text1"/>
          <w:spacing w:val="4"/>
          <w:sz w:val="24"/>
          <w:highlight w:val="none"/>
          <w14:textFill>
            <w14:solidFill>
              <w14:schemeClr w14:val="tx1"/>
            </w14:solidFill>
          </w14:textFill>
        </w:rPr>
        <w:t>的</w:t>
      </w:r>
      <w:r>
        <w:rPr>
          <w:rFonts w:hint="eastAsia" w:ascii="宋体" w:hAnsi="宋体" w:eastAsia="宋体" w:cs="宋体"/>
          <w:color w:val="000000" w:themeColor="text1"/>
          <w:spacing w:val="4"/>
          <w:sz w:val="24"/>
          <w:highlight w:val="none"/>
          <w14:textFill>
            <w14:solidFill>
              <w14:schemeClr w14:val="tx1"/>
            </w14:solidFill>
          </w14:textFill>
        </w:rPr>
        <w:t>样板实施</w:t>
      </w:r>
      <w:r>
        <w:rPr>
          <w:rFonts w:ascii="宋体" w:hAnsi="宋体" w:eastAsia="宋体" w:cs="宋体"/>
          <w:color w:val="000000" w:themeColor="text1"/>
          <w:spacing w:val="4"/>
          <w:sz w:val="24"/>
          <w:highlight w:val="none"/>
          <w14:textFill>
            <w14:solidFill>
              <w14:schemeClr w14:val="tx1"/>
            </w14:solidFill>
          </w14:textFill>
        </w:rPr>
        <w:t>工作，</w:t>
      </w:r>
      <w:r>
        <w:rPr>
          <w:rFonts w:hint="eastAsia" w:ascii="宋体" w:hAnsi="宋体" w:eastAsia="宋体" w:cs="宋体"/>
          <w:color w:val="000000" w:themeColor="text1"/>
          <w:spacing w:val="4"/>
          <w:sz w:val="24"/>
          <w:highlight w:val="none"/>
          <w14:textFill>
            <w14:solidFill>
              <w14:schemeClr w14:val="tx1"/>
            </w14:solidFill>
          </w14:textFill>
        </w:rPr>
        <w:t>并</w:t>
      </w:r>
      <w:r>
        <w:rPr>
          <w:rFonts w:ascii="宋体" w:hAnsi="宋体" w:eastAsia="宋体" w:cs="宋体"/>
          <w:color w:val="000000" w:themeColor="text1"/>
          <w:spacing w:val="4"/>
          <w:sz w:val="24"/>
          <w:highlight w:val="none"/>
          <w14:textFill>
            <w14:solidFill>
              <w14:schemeClr w14:val="tx1"/>
            </w14:solidFill>
          </w14:textFill>
        </w:rPr>
        <w:t>协调管理所需照管的</w:t>
      </w:r>
      <w:r>
        <w:rPr>
          <w:rFonts w:hint="eastAsia" w:ascii="宋体" w:hAnsi="宋体" w:eastAsia="宋体" w:cs="宋体"/>
          <w:color w:val="000000" w:themeColor="text1"/>
          <w:spacing w:val="4"/>
          <w:sz w:val="24"/>
          <w:highlight w:val="none"/>
          <w14:textFill>
            <w14:solidFill>
              <w14:schemeClr w14:val="tx1"/>
            </w14:solidFill>
          </w14:textFill>
        </w:rPr>
        <w:t>各类专业承包</w:t>
      </w:r>
      <w:r>
        <w:rPr>
          <w:rFonts w:ascii="宋体" w:hAnsi="宋体" w:eastAsia="宋体" w:cs="宋体"/>
          <w:color w:val="000000" w:themeColor="text1"/>
          <w:spacing w:val="4"/>
          <w:sz w:val="24"/>
          <w:highlight w:val="none"/>
          <w14:textFill>
            <w14:solidFill>
              <w14:schemeClr w14:val="tx1"/>
            </w14:solidFill>
          </w14:textFill>
        </w:rPr>
        <w:t>人的</w:t>
      </w:r>
      <w:r>
        <w:rPr>
          <w:rFonts w:hint="eastAsia" w:ascii="宋体" w:hAnsi="宋体" w:eastAsia="宋体" w:cs="宋体"/>
          <w:color w:val="000000" w:themeColor="text1"/>
          <w:spacing w:val="4"/>
          <w:sz w:val="24"/>
          <w:highlight w:val="none"/>
          <w14:textFill>
            <w14:solidFill>
              <w14:schemeClr w14:val="tx1"/>
            </w14:solidFill>
          </w14:textFill>
        </w:rPr>
        <w:t>样板实施</w:t>
      </w:r>
      <w:r>
        <w:rPr>
          <w:rFonts w:ascii="宋体" w:hAnsi="宋体" w:eastAsia="宋体" w:cs="宋体"/>
          <w:color w:val="000000" w:themeColor="text1"/>
          <w:spacing w:val="4"/>
          <w:sz w:val="24"/>
          <w:highlight w:val="none"/>
          <w14:textFill>
            <w14:solidFill>
              <w14:schemeClr w14:val="tx1"/>
            </w14:solidFill>
          </w14:textFill>
        </w:rPr>
        <w:t>工作</w:t>
      </w:r>
      <w:r>
        <w:rPr>
          <w:rFonts w:hint="eastAsia" w:ascii="宋体" w:hAnsi="宋体" w:eastAsia="宋体" w:cs="宋体"/>
          <w:color w:val="000000" w:themeColor="text1"/>
          <w:spacing w:val="4"/>
          <w:sz w:val="24"/>
          <w:highlight w:val="none"/>
          <w14:textFill>
            <w14:solidFill>
              <w14:schemeClr w14:val="tx1"/>
            </w14:solidFill>
          </w14:textFill>
        </w:rPr>
        <w:t>。</w:t>
      </w:r>
    </w:p>
    <w:p w14:paraId="0C85A628">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本项目需要施工的样板清单详见《</w:t>
      </w:r>
      <w:r>
        <w:rPr>
          <w:rFonts w:ascii="宋体" w:hAnsi="宋体" w:eastAsia="宋体" w:cs="宋体"/>
          <w:color w:val="000000" w:themeColor="text1"/>
          <w:spacing w:val="4"/>
          <w:sz w:val="24"/>
          <w:highlight w:val="none"/>
          <w14:textFill>
            <w14:solidFill>
              <w14:schemeClr w14:val="tx1"/>
            </w14:solidFill>
          </w14:textFill>
        </w:rPr>
        <w:t>样板管理清单</w:t>
      </w:r>
      <w:r>
        <w:rPr>
          <w:rFonts w:hint="eastAsia" w:ascii="宋体" w:hAnsi="宋体" w:eastAsia="宋体" w:cs="宋体"/>
          <w:color w:val="000000" w:themeColor="text1"/>
          <w:spacing w:val="4"/>
          <w:sz w:val="24"/>
          <w:highlight w:val="none"/>
          <w14:textFill>
            <w14:solidFill>
              <w14:schemeClr w14:val="tx1"/>
            </w14:solidFill>
          </w14:textFill>
        </w:rPr>
        <w:t>》。</w:t>
      </w:r>
    </w:p>
    <w:p w14:paraId="7E440327">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参建单位进场后需按照《样板管理清单》编制本项目工程样板计划表并报监理人、发包人审批。</w:t>
      </w:r>
    </w:p>
    <w:p w14:paraId="1239D8F8">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大</w:t>
      </w:r>
      <w:r>
        <w:rPr>
          <w:rFonts w:ascii="宋体" w:hAnsi="宋体" w:eastAsia="宋体" w:cs="宋体"/>
          <w:color w:val="000000" w:themeColor="text1"/>
          <w:spacing w:val="4"/>
          <w:sz w:val="24"/>
          <w:highlight w:val="none"/>
          <w14:textFill>
            <w14:solidFill>
              <w14:schemeClr w14:val="tx1"/>
            </w14:solidFill>
          </w14:textFill>
        </w:rPr>
        <w:t>面积开工前，工艺样板交底完成后，</w:t>
      </w:r>
      <w:r>
        <w:rPr>
          <w:rFonts w:hint="eastAsia" w:ascii="宋体" w:hAnsi="宋体" w:eastAsia="宋体" w:cs="宋体"/>
          <w:color w:val="000000" w:themeColor="text1"/>
          <w:spacing w:val="4"/>
          <w:sz w:val="24"/>
          <w:highlight w:val="none"/>
          <w14:textFill>
            <w14:solidFill>
              <w14:schemeClr w14:val="tx1"/>
            </w14:solidFill>
          </w14:textFill>
        </w:rPr>
        <w:t>再</w:t>
      </w:r>
      <w:r>
        <w:rPr>
          <w:rFonts w:ascii="宋体" w:hAnsi="宋体" w:eastAsia="宋体" w:cs="宋体"/>
          <w:color w:val="000000" w:themeColor="text1"/>
          <w:spacing w:val="4"/>
          <w:sz w:val="24"/>
          <w:highlight w:val="none"/>
          <w14:textFill>
            <w14:solidFill>
              <w14:schemeClr w14:val="tx1"/>
            </w14:solidFill>
          </w14:textFill>
        </w:rPr>
        <w:t>实体制作施工样板，施工样板经</w:t>
      </w:r>
      <w:r>
        <w:rPr>
          <w:rFonts w:hint="eastAsia" w:ascii="宋体" w:hAnsi="宋体" w:eastAsia="宋体" w:cs="宋体"/>
          <w:color w:val="000000" w:themeColor="text1"/>
          <w:spacing w:val="4"/>
          <w:sz w:val="24"/>
          <w:highlight w:val="none"/>
          <w14:textFill>
            <w14:solidFill>
              <w14:schemeClr w14:val="tx1"/>
            </w14:solidFill>
          </w14:textFill>
        </w:rPr>
        <w:t>监理人/发包人</w:t>
      </w:r>
      <w:r>
        <w:rPr>
          <w:rFonts w:ascii="宋体" w:hAnsi="宋体" w:eastAsia="宋体" w:cs="宋体"/>
          <w:color w:val="000000" w:themeColor="text1"/>
          <w:spacing w:val="4"/>
          <w:sz w:val="24"/>
          <w:highlight w:val="none"/>
          <w14:textFill>
            <w14:solidFill>
              <w14:schemeClr w14:val="tx1"/>
            </w14:solidFill>
          </w14:textFill>
        </w:rPr>
        <w:t>验收合格后，再进行大面积施工</w:t>
      </w:r>
      <w:r>
        <w:rPr>
          <w:rFonts w:hint="eastAsia" w:ascii="宋体" w:hAnsi="宋体" w:eastAsia="宋体" w:cs="宋体"/>
          <w:color w:val="000000" w:themeColor="text1"/>
          <w:spacing w:val="4"/>
          <w:sz w:val="24"/>
          <w:highlight w:val="none"/>
          <w14:textFill>
            <w14:solidFill>
              <w14:schemeClr w14:val="tx1"/>
            </w14:solidFill>
          </w14:textFill>
        </w:rPr>
        <w:t>，样板审核表格式详见《</w:t>
      </w:r>
      <w:r>
        <w:rPr>
          <w:rFonts w:ascii="宋体" w:hAnsi="宋体" w:eastAsia="宋体" w:cs="宋体"/>
          <w:color w:val="000000" w:themeColor="text1"/>
          <w:spacing w:val="4"/>
          <w:sz w:val="24"/>
          <w:highlight w:val="none"/>
          <w14:textFill>
            <w14:solidFill>
              <w14:schemeClr w14:val="tx1"/>
            </w14:solidFill>
          </w14:textFill>
        </w:rPr>
        <w:t>样板管理清单</w:t>
      </w:r>
      <w:r>
        <w:rPr>
          <w:rFonts w:hint="eastAsia" w:ascii="宋体" w:hAnsi="宋体" w:eastAsia="宋体" w:cs="宋体"/>
          <w:color w:val="000000" w:themeColor="text1"/>
          <w:spacing w:val="4"/>
          <w:sz w:val="24"/>
          <w:highlight w:val="none"/>
          <w14:textFill>
            <w14:solidFill>
              <w14:schemeClr w14:val="tx1"/>
            </w14:solidFill>
          </w14:textFill>
        </w:rPr>
        <w:t>》。</w:t>
      </w:r>
    </w:p>
    <w:p w14:paraId="504567DA">
      <w:pPr>
        <w:pStyle w:val="63"/>
        <w:numPr>
          <w:ilvl w:val="1"/>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样板管理要求</w:t>
      </w:r>
    </w:p>
    <w:p w14:paraId="11ADF429">
      <w:pPr>
        <w:snapToGrid/>
        <w:spacing w:before="0" w:after="0" w:line="360" w:lineRule="auto"/>
        <w:ind w:firstLine="42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本项目样板设置主要分为：</w:t>
      </w:r>
    </w:p>
    <w:p w14:paraId="597C73D4">
      <w:pPr>
        <w:pStyle w:val="63"/>
        <w:numPr>
          <w:ilvl w:val="0"/>
          <w:numId w:val="33"/>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材料样板：要求设置材料封样间，样板间尺寸要符合发包人要求，保证所有主控材料百分百封样，达到材料品控管理的目的。</w:t>
      </w:r>
    </w:p>
    <w:p w14:paraId="167468EE">
      <w:pPr>
        <w:pStyle w:val="63"/>
        <w:numPr>
          <w:ilvl w:val="0"/>
          <w:numId w:val="33"/>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工艺展示样板;为工艺实体样板，项目主要工艺做法、重点控制节点，以节点模型的方式统一放置于户外的“展示样板区”，节点模型比例尺可根据实际情况进行调整；</w:t>
      </w:r>
    </w:p>
    <w:p w14:paraId="0AEA2EEE">
      <w:pPr>
        <w:pStyle w:val="63"/>
        <w:numPr>
          <w:ilvl w:val="0"/>
          <w:numId w:val="33"/>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实体工序样板：每道工序开始施工的第一块区域，严格按照规范、图纸设计要求及交底进行施工。施工完成后由承包人、设计人、监理人、发包人共同进行验收，验收合格后按照样板标准进行大面积施工。有条件的情况下还需要保留工序工艺做法，形成工序样板展示间。</w:t>
      </w:r>
    </w:p>
    <w:p w14:paraId="55172A57">
      <w:pPr>
        <w:pStyle w:val="63"/>
        <w:numPr>
          <w:ilvl w:val="0"/>
          <w:numId w:val="33"/>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大货样板：指在工序施工完成后，明确交付标准且无质量问题的建筑结构区域，即地下室、精装、外立面、景观园林大面施工前，按照交付标准首先完成一定范围的施工展示。由承包人、设计人、监理人、发包人共同进行验收，验收合格后按照样板标准进行大面积施工。</w:t>
      </w:r>
    </w:p>
    <w:p w14:paraId="74C02930">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乙供材料看样定板</w:t>
      </w:r>
    </w:p>
    <w:p w14:paraId="0AF911A0">
      <w:pPr>
        <w:pStyle w:val="63"/>
        <w:numPr>
          <w:ilvl w:val="0"/>
          <w:numId w:val="34"/>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涉及观感类：承包人按施工进度节点提供样品，经发包人现场看样签认后进行进行封样留存，保证后期进场的材料与封样样品完全一致。</w:t>
      </w:r>
    </w:p>
    <w:p w14:paraId="1025CBEB">
      <w:pPr>
        <w:pStyle w:val="63"/>
        <w:numPr>
          <w:ilvl w:val="0"/>
          <w:numId w:val="34"/>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非观感类：承包人采购的材料设备必须符合合同文件约定的规格、质量和性能，材料设备品牌选择范围应等同或相当于《主要设备材料推荐品牌表》并按看样定板制度里的申报附件要求提供资料，并经监理人审议后确定。</w:t>
      </w:r>
    </w:p>
    <w:p w14:paraId="150CB0F8">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工艺展示样板</w:t>
      </w:r>
    </w:p>
    <w:p w14:paraId="22EDCF38">
      <w:pPr>
        <w:pStyle w:val="63"/>
        <w:numPr>
          <w:ilvl w:val="0"/>
          <w:numId w:val="35"/>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承包人需按照发包人要求依据本项目设计图纸在现场制作全过程主要工序的工艺样板，根据项目工程特点在施工过程中或在施工现场划出一定范围的区域，做为样板展示区，样板区内的各专业工种细部构造均应以剖断面的形式展示。所有剖断面部位应有施工工艺标准说明、工艺流程说明、工序交接标准说明、常见的质量常见问题防治措施说明等。由此产生的任何费用发包人不另行补偿，且不得因此影响工程进度。</w:t>
      </w:r>
    </w:p>
    <w:p w14:paraId="183368DE">
      <w:pPr>
        <w:pStyle w:val="63"/>
        <w:numPr>
          <w:ilvl w:val="0"/>
          <w:numId w:val="35"/>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外墙装饰施工工程将按照要求进行上墙打样，样板位置及区域由发包人指定。承包人报价及施工组织安排时考虑此因素，后期若因外墙装饰上墙打样而产生的进度延误及所需费用均由承包人自行承担，后期不予进行费用调整且不得因此影响工程进度。</w:t>
      </w:r>
    </w:p>
    <w:p w14:paraId="074AD81B">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实体工序样板</w:t>
      </w:r>
    </w:p>
    <w:p w14:paraId="5D5133E9">
      <w:pPr>
        <w:pStyle w:val="63"/>
        <w:numPr>
          <w:ilvl w:val="0"/>
          <w:numId w:val="36"/>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正式蓝图下发后30日内，承包人需结合项目自身质量管理实际的基础上，就做样类别及范围与发包人充分沟通，编制《工程样板清单及实施计划》，经监理人审核后方可实施。</w:t>
      </w:r>
    </w:p>
    <w:p w14:paraId="0F416304">
      <w:pPr>
        <w:pStyle w:val="63"/>
        <w:numPr>
          <w:ilvl w:val="0"/>
          <w:numId w:val="36"/>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承包人应在施工前为提前了解施工工序，统一施工工艺做法，确保大面积施工按要求顺利展开，应在每一分项工程施工前，进行样板的施工,在施工完成后经监理人验收并签确样板验收确认单，样板确认过程中的整改承包人需无条件配合，工程样板清单内的所有工序均需在样板确认单签确后实施。</w:t>
      </w:r>
    </w:p>
    <w:p w14:paraId="5A803D1C">
      <w:pPr>
        <w:pStyle w:val="63"/>
        <w:numPr>
          <w:ilvl w:val="0"/>
          <w:numId w:val="36"/>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实体工序样板包含但不限于：</w:t>
      </w:r>
    </w:p>
    <w:p w14:paraId="04B53EE8">
      <w:pPr>
        <w:pStyle w:val="63"/>
        <w:numPr>
          <w:ilvl w:val="0"/>
          <w:numId w:val="36"/>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 xml:space="preserve">钢筋工程、混凝土工程（含模板工程）、砌体工程、抹灰工程、腻子工程、屋面工程、地下室底板（外墙）防水样板、CMC样板（若有）、室内地坪及楼梯踏步、机电工程、装饰装修工程（包括但不限于一个完整标准层、首层大堂、地下室电梯厅等）、园林工程（包括不限于铺装、乔木灌木草坪、铁艺、灯具、标识、垃圾桶）等。 </w:t>
      </w:r>
    </w:p>
    <w:p w14:paraId="383AF4B1">
      <w:pPr>
        <w:pStyle w:val="63"/>
        <w:numPr>
          <w:ilvl w:val="0"/>
          <w:numId w:val="36"/>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当每项实体工序样板中存在材料不同将引起工艺改变时，应分不同材料加做样板。特别说明，对于砌体/ALC样板除完成砌体/ALC外，尚应完成样板范围内所有机电专业管线、设备设施的安装工作（包括强弱电线管安装，强弱电箱安装，开关、插座及弱电设备底盒预埋，空调洞口预留，给排水管道安装），当受条件影响不能以实物安装时，应以同规格尺寸的替代物模拟安装完成。</w:t>
      </w:r>
    </w:p>
    <w:p w14:paraId="48C9FCCC">
      <w:pPr>
        <w:pStyle w:val="63"/>
        <w:numPr>
          <w:ilvl w:val="2"/>
          <w:numId w:val="32"/>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大货样板</w:t>
      </w:r>
    </w:p>
    <w:p w14:paraId="07F3F76D">
      <w:pPr>
        <w:pStyle w:val="63"/>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大货样板主要包含五类：典型户型室内交付标准、大堂装饰交付标准、标准层电梯厅交付标准、外墙装饰样板、综合机电样板（地下室及公共区域）等其他发包人要求的内容。承包人须完成对应合同工程范围内的样板施工。</w:t>
      </w:r>
    </w:p>
    <w:p w14:paraId="3567D7DB">
      <w:pPr>
        <w:pStyle w:val="63"/>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交房标准样板的具体项目及数量如下表所示：</w:t>
      </w:r>
    </w:p>
    <w:tbl>
      <w:tblPr>
        <w:tblStyle w:val="42"/>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8"/>
        <w:gridCol w:w="2430"/>
        <w:gridCol w:w="5957"/>
      </w:tblGrid>
      <w:tr w14:paraId="23B00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6BD0BC6E">
            <w:pPr>
              <w:pStyle w:val="21"/>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序号</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41D9B9ED">
            <w:pPr>
              <w:pStyle w:val="21"/>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样板名称</w:t>
            </w:r>
          </w:p>
        </w:tc>
        <w:tc>
          <w:tcPr>
            <w:tcW w:w="3224" w:type="pct"/>
            <w:tcBorders>
              <w:top w:val="single" w:color="auto" w:sz="4" w:space="0"/>
              <w:left w:val="single" w:color="auto" w:sz="4" w:space="0"/>
              <w:bottom w:val="single" w:color="auto" w:sz="4" w:space="0"/>
              <w:right w:val="single" w:color="auto" w:sz="4" w:space="0"/>
            </w:tcBorders>
            <w:shd w:val="clear" w:color="auto" w:fill="auto"/>
            <w:vAlign w:val="center"/>
          </w:tcPr>
          <w:p w14:paraId="58BE9D93">
            <w:pPr>
              <w:pStyle w:val="21"/>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验收要点</w:t>
            </w:r>
          </w:p>
        </w:tc>
      </w:tr>
      <w:tr w14:paraId="718B5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320FD7C9">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24D61715">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典型户型室内交付标准</w:t>
            </w:r>
          </w:p>
        </w:tc>
        <w:tc>
          <w:tcPr>
            <w:tcW w:w="3224" w:type="pct"/>
            <w:vMerge w:val="restart"/>
            <w:tcBorders>
              <w:top w:val="single" w:color="auto" w:sz="4" w:space="0"/>
              <w:left w:val="single" w:color="auto" w:sz="4" w:space="0"/>
              <w:right w:val="single" w:color="auto" w:sz="4" w:space="0"/>
            </w:tcBorders>
            <w:shd w:val="clear" w:color="auto" w:fill="auto"/>
            <w:vAlign w:val="center"/>
          </w:tcPr>
          <w:p w14:paraId="44404B08">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、与交付标准是否相符；</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、使用功能是否合理；</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、施工图纸是否合理；</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、界面分判是否合理；</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、感观标准是否满足要求</w:t>
            </w:r>
          </w:p>
        </w:tc>
      </w:tr>
      <w:tr w14:paraId="70EC6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0A04F79F">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7B9C363F">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大堂装饰交付标准</w:t>
            </w:r>
          </w:p>
        </w:tc>
        <w:tc>
          <w:tcPr>
            <w:tcW w:w="3224" w:type="pct"/>
            <w:vMerge w:val="continue"/>
            <w:tcBorders>
              <w:left w:val="single" w:color="auto" w:sz="4" w:space="0"/>
              <w:right w:val="single" w:color="auto" w:sz="4" w:space="0"/>
            </w:tcBorders>
            <w:shd w:val="clear" w:color="auto" w:fill="auto"/>
            <w:vAlign w:val="center"/>
          </w:tcPr>
          <w:p w14:paraId="32DA0486">
            <w:pPr>
              <w:pStyle w:val="21"/>
              <w:rPr>
                <w:rFonts w:hint="eastAsia"/>
                <w:color w:val="000000" w:themeColor="text1"/>
                <w:highlight w:val="none"/>
                <w14:textFill>
                  <w14:solidFill>
                    <w14:schemeClr w14:val="tx1"/>
                  </w14:solidFill>
                </w14:textFill>
              </w:rPr>
            </w:pPr>
          </w:p>
        </w:tc>
      </w:tr>
      <w:tr w14:paraId="366E7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3894CE17">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3FB32664">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标准层电梯厅交付标准</w:t>
            </w:r>
          </w:p>
        </w:tc>
        <w:tc>
          <w:tcPr>
            <w:tcW w:w="3224" w:type="pct"/>
            <w:vMerge w:val="continue"/>
            <w:tcBorders>
              <w:left w:val="single" w:color="auto" w:sz="4" w:space="0"/>
              <w:right w:val="single" w:color="auto" w:sz="4" w:space="0"/>
            </w:tcBorders>
            <w:shd w:val="clear" w:color="auto" w:fill="auto"/>
            <w:vAlign w:val="center"/>
          </w:tcPr>
          <w:p w14:paraId="56D4A298">
            <w:pPr>
              <w:pStyle w:val="21"/>
              <w:rPr>
                <w:rFonts w:hint="eastAsia"/>
                <w:color w:val="000000" w:themeColor="text1"/>
                <w:highlight w:val="none"/>
                <w14:textFill>
                  <w14:solidFill>
                    <w14:schemeClr w14:val="tx1"/>
                  </w14:solidFill>
                </w14:textFill>
              </w:rPr>
            </w:pPr>
          </w:p>
        </w:tc>
      </w:tr>
      <w:tr w14:paraId="789E0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474B81EE">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36C4742F">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外墙装饰样板</w:t>
            </w:r>
          </w:p>
        </w:tc>
        <w:tc>
          <w:tcPr>
            <w:tcW w:w="3224" w:type="pct"/>
            <w:vMerge w:val="continue"/>
            <w:tcBorders>
              <w:left w:val="single" w:color="auto" w:sz="4" w:space="0"/>
              <w:right w:val="single" w:color="auto" w:sz="4" w:space="0"/>
            </w:tcBorders>
            <w:shd w:val="clear" w:color="auto" w:fill="auto"/>
            <w:vAlign w:val="center"/>
          </w:tcPr>
          <w:p w14:paraId="29A9F80E">
            <w:pPr>
              <w:pStyle w:val="21"/>
              <w:rPr>
                <w:rFonts w:hint="eastAsia"/>
                <w:color w:val="000000" w:themeColor="text1"/>
                <w:highlight w:val="none"/>
                <w14:textFill>
                  <w14:solidFill>
                    <w14:schemeClr w14:val="tx1"/>
                  </w14:solidFill>
                </w14:textFill>
              </w:rPr>
            </w:pPr>
          </w:p>
        </w:tc>
      </w:tr>
      <w:tr w14:paraId="257D3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619D3D33">
            <w:pPr>
              <w:pStyle w:val="21"/>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5</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6841BA8C">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综合机电样板</w:t>
            </w:r>
          </w:p>
        </w:tc>
        <w:tc>
          <w:tcPr>
            <w:tcW w:w="3224" w:type="pct"/>
            <w:vMerge w:val="continue"/>
            <w:tcBorders>
              <w:left w:val="single" w:color="auto" w:sz="4" w:space="0"/>
              <w:right w:val="single" w:color="auto" w:sz="4" w:space="0"/>
            </w:tcBorders>
            <w:shd w:val="clear" w:color="auto" w:fill="auto"/>
            <w:vAlign w:val="center"/>
          </w:tcPr>
          <w:p w14:paraId="3C9E71B7">
            <w:pPr>
              <w:pStyle w:val="21"/>
              <w:rPr>
                <w:rFonts w:hint="eastAsia"/>
                <w:color w:val="000000" w:themeColor="text1"/>
                <w:highlight w:val="none"/>
                <w14:textFill>
                  <w14:solidFill>
                    <w14:schemeClr w14:val="tx1"/>
                  </w14:solidFill>
                </w14:textFill>
              </w:rPr>
            </w:pPr>
          </w:p>
        </w:tc>
      </w:tr>
      <w:tr w14:paraId="22CEE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51012458">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33DC22E7">
            <w:pPr>
              <w:pStyle w:val="21"/>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景观样板</w:t>
            </w:r>
          </w:p>
        </w:tc>
        <w:tc>
          <w:tcPr>
            <w:tcW w:w="3224" w:type="pct"/>
            <w:vMerge w:val="continue"/>
            <w:tcBorders>
              <w:left w:val="single" w:color="auto" w:sz="4" w:space="0"/>
              <w:bottom w:val="single" w:color="auto" w:sz="4" w:space="0"/>
              <w:right w:val="single" w:color="auto" w:sz="4" w:space="0"/>
            </w:tcBorders>
            <w:shd w:val="clear" w:color="auto" w:fill="auto"/>
            <w:vAlign w:val="center"/>
          </w:tcPr>
          <w:p w14:paraId="1F33D714">
            <w:pPr>
              <w:pStyle w:val="21"/>
              <w:rPr>
                <w:rFonts w:hint="eastAsia"/>
                <w:color w:val="000000" w:themeColor="text1"/>
                <w:highlight w:val="none"/>
                <w14:textFill>
                  <w14:solidFill>
                    <w14:schemeClr w14:val="tx1"/>
                  </w14:solidFill>
                </w14:textFill>
              </w:rPr>
            </w:pPr>
          </w:p>
        </w:tc>
      </w:tr>
    </w:tbl>
    <w:p w14:paraId="76A5D66E">
      <w:pPr>
        <w:pStyle w:val="63"/>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功能样板的工序质量要求按实地工序样板点评意见执行。</w:t>
      </w:r>
      <w:bookmarkEnd w:id="600"/>
    </w:p>
    <w:p w14:paraId="532022C9">
      <w:pPr>
        <w:pStyle w:val="6"/>
        <w:keepNext w:val="0"/>
        <w:keepLines w:val="0"/>
        <w:widowControl/>
        <w:snapToGrid/>
        <w:spacing w:line="360" w:lineRule="auto"/>
        <w:ind w:left="403"/>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14、交付示范区要求</w:t>
      </w:r>
    </w:p>
    <w:p w14:paraId="12E3575B">
      <w:pPr>
        <w:pStyle w:val="63"/>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施工蓝图下发后120天内，承包人应完成交付样板示范区专项策划，在场内合适区域打造示范区，示范区包括但不限于大货样板展示、示范区围蔽、示范区物料、示范区展板展牌等。具体示范区选址及展示时间以发包人要求为准。示范区专项策划应对交付样板间以及示范区展示范围进行详尽的施工组织与时间安排，总承包人应负责项目整体示范区策划工作并统筹各专业承包</w:t>
      </w:r>
      <w:r>
        <w:rPr>
          <w:rFonts w:ascii="宋体" w:hAnsi="宋体" w:eastAsia="宋体" w:cs="宋体"/>
          <w:color w:val="000000" w:themeColor="text1"/>
          <w:spacing w:val="4"/>
          <w:sz w:val="24"/>
          <w:highlight w:val="none"/>
          <w14:textFill>
            <w14:solidFill>
              <w14:schemeClr w14:val="tx1"/>
            </w14:solidFill>
          </w14:textFill>
        </w:rPr>
        <w:t>人</w:t>
      </w:r>
      <w:r>
        <w:rPr>
          <w:rFonts w:hint="eastAsia" w:ascii="宋体" w:hAnsi="宋体" w:eastAsia="宋体" w:cs="宋体"/>
          <w:color w:val="000000" w:themeColor="text1"/>
          <w:spacing w:val="4"/>
          <w:sz w:val="24"/>
          <w:highlight w:val="none"/>
          <w14:textFill>
            <w14:solidFill>
              <w14:schemeClr w14:val="tx1"/>
            </w14:solidFill>
          </w14:textFill>
        </w:rPr>
        <w:t>深化设计工作，以汇报形式经发包人确认后按策划实施，示范区打造产生的包括成品保护、保洁、施工便道的拆除及修建、临时围蔽的搭拆等措施费用发包人投标报价中综合考虑，不另行计取，且不得因此影响工程进度。</w:t>
      </w:r>
    </w:p>
    <w:p w14:paraId="369B0BD6">
      <w:pPr>
        <w:pStyle w:val="63"/>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交付样板示范区可分阶段进行展示：</w:t>
      </w:r>
    </w:p>
    <w:p w14:paraId="7521D90C">
      <w:pPr>
        <w:pStyle w:val="63"/>
        <w:numPr>
          <w:ilvl w:val="1"/>
          <w:numId w:val="37"/>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户内交付标准：</w:t>
      </w:r>
    </w:p>
    <w:p w14:paraId="2E908610">
      <w:pPr>
        <w:pStyle w:val="63"/>
        <w:numPr>
          <w:ilvl w:val="0"/>
          <w:numId w:val="38"/>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展示内容：户内交付标准</w:t>
      </w:r>
    </w:p>
    <w:p w14:paraId="7973F272">
      <w:pPr>
        <w:pStyle w:val="63"/>
        <w:numPr>
          <w:ilvl w:val="0"/>
          <w:numId w:val="38"/>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展示条件：</w:t>
      </w:r>
    </w:p>
    <w:p w14:paraId="7028E90F">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①室内按交付标准完成所有构造做法。</w:t>
      </w:r>
    </w:p>
    <w:p w14:paraId="6C81E925">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②自工地大门至展示楼栋具备全硬化车型道路及人行道路。</w:t>
      </w:r>
    </w:p>
    <w:p w14:paraId="4EDA24A8">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③若室外人行通道处于塔吊覆盖范围，则需设置双层防护人行通道。</w:t>
      </w:r>
    </w:p>
    <w:p w14:paraId="21BD1062">
      <w:pPr>
        <w:pStyle w:val="63"/>
        <w:numPr>
          <w:ilvl w:val="0"/>
          <w:numId w:val="38"/>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完成时间：交付样板所在楼栋出±0.00m以后5个月（或按发包人另行要求）。</w:t>
      </w:r>
    </w:p>
    <w:p w14:paraId="6D2A40C9">
      <w:pPr>
        <w:pStyle w:val="63"/>
        <w:numPr>
          <w:ilvl w:val="1"/>
          <w:numId w:val="37"/>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公共区域：</w:t>
      </w:r>
    </w:p>
    <w:p w14:paraId="09046046">
      <w:pPr>
        <w:pStyle w:val="63"/>
        <w:numPr>
          <w:ilvl w:val="0"/>
          <w:numId w:val="3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展示内容：标准层公区交付标准、水电管井交付标准、外立面效果呈现</w:t>
      </w:r>
    </w:p>
    <w:p w14:paraId="07EE1DA6">
      <w:pPr>
        <w:pStyle w:val="63"/>
        <w:numPr>
          <w:ilvl w:val="0"/>
          <w:numId w:val="3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展示条件：</w:t>
      </w:r>
    </w:p>
    <w:p w14:paraId="54F40FF7">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①示范区内楼栋交付样板所在楼层公区所有精装修完成、灯具安装完成。</w:t>
      </w:r>
    </w:p>
    <w:p w14:paraId="32156C72">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②第一道悬挑架拆除完成，水平硬防护设置完成，第一道悬挑架范围内外立面铺贴完成（不含入户大堂）</w:t>
      </w:r>
    </w:p>
    <w:p w14:paraId="7AEE1299">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③公区通电（临电）</w:t>
      </w:r>
    </w:p>
    <w:p w14:paraId="1A4C78D6">
      <w:pPr>
        <w:pStyle w:val="63"/>
        <w:numPr>
          <w:ilvl w:val="0"/>
          <w:numId w:val="39"/>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完成时间：示范区内主楼出±0.00m后6个月（或按发包人另行要求）（视情况拆除第一道悬挑外架并设置水平悬挑硬防护）。</w:t>
      </w:r>
    </w:p>
    <w:p w14:paraId="02C469F6">
      <w:pPr>
        <w:pStyle w:val="63"/>
        <w:numPr>
          <w:ilvl w:val="1"/>
          <w:numId w:val="37"/>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整体示范区：</w:t>
      </w:r>
    </w:p>
    <w:p w14:paraId="4421A908">
      <w:pPr>
        <w:pStyle w:val="63"/>
        <w:numPr>
          <w:ilvl w:val="0"/>
          <w:numId w:val="40"/>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展示内容：户内交付标准、公区及首层大堂交付标准、外立面及景观效果呈现</w:t>
      </w:r>
    </w:p>
    <w:p w14:paraId="5A5E6742">
      <w:pPr>
        <w:pStyle w:val="63"/>
        <w:numPr>
          <w:ilvl w:val="0"/>
          <w:numId w:val="40"/>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展示条件：</w:t>
      </w:r>
    </w:p>
    <w:p w14:paraId="72AC272A">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①示范区主体结构外立面完成、塔吊、外架拆除。（视情况第一道悬挑外架拆除完成，水平硬防护设置完成）</w:t>
      </w:r>
    </w:p>
    <w:p w14:paraId="51676E71">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②示范区内楼栋首层标准层公区精装修完成。</w:t>
      </w:r>
    </w:p>
    <w:p w14:paraId="0804CC61">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③示范区内楼栋首层大堂精装修完成。</w:t>
      </w:r>
    </w:p>
    <w:p w14:paraId="3B216B39">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④示范区内所有园林景观完成。</w:t>
      </w:r>
    </w:p>
    <w:p w14:paraId="0C1B3636">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⑤示范区园林景观与邻近施工区围蔽完成。</w:t>
      </w:r>
    </w:p>
    <w:p w14:paraId="0AFB7A8E">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⑥参观动线与非参观区域围蔽完成。</w:t>
      </w:r>
    </w:p>
    <w:p w14:paraId="6C995141">
      <w:pPr>
        <w:pStyle w:val="63"/>
        <w:snapToGrid/>
        <w:spacing w:before="0" w:after="0" w:line="360" w:lineRule="auto"/>
        <w:ind w:left="488" w:firstLine="0" w:firstLineChars="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⑦户内通水通电（临水临电）</w:t>
      </w:r>
    </w:p>
    <w:p w14:paraId="50CF293E">
      <w:pPr>
        <w:pStyle w:val="63"/>
        <w:numPr>
          <w:ilvl w:val="0"/>
          <w:numId w:val="40"/>
        </w:numPr>
        <w:snapToGrid/>
        <w:spacing w:before="0" w:after="0" w:line="360" w:lineRule="auto"/>
        <w:ind w:firstLine="49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完成时间：示范区内主楼出±0.00m后8个月（或按发包人另行要求）（视情况拆除第一道悬挑外架并设置水平悬挑硬防护）。</w:t>
      </w:r>
    </w:p>
    <w:p w14:paraId="366E0877">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15、竣工移交前深度清洁工作要求</w:t>
      </w:r>
    </w:p>
    <w:p w14:paraId="36478803">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本项目在竣工验收后移交前需对施工区域进行不限次数全面的深度清洁工作/精开荒，相关费用在投标报价中综合考虑，发包人不再另行支付。深度清洁要求如下：</w:t>
      </w:r>
    </w:p>
    <w:p w14:paraId="71399934">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15.1 建筑物室内（墙面、柱面、墙裙；玻璃、金属结构框；门等）表面干净、整洁，无灰尘、污垢、污渍、水迹、水渍、手印迹及其他印迹。</w:t>
      </w:r>
    </w:p>
    <w:p w14:paraId="49B74FFC">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15.2 建筑物室内涂料表面无灰尘、污渍、污垢、印迹，涂料色泽鲜艳、无色差、质感强。</w:t>
      </w:r>
    </w:p>
    <w:p w14:paraId="18844633">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15.3 建筑物室内（天花板、通风口、内嵌式灯饰）表面干净、整洁，不得有灰尘、污垢，天花板不得有缺块、掉块现象。</w:t>
      </w:r>
    </w:p>
    <w:p w14:paraId="2585C93A">
      <w:pPr>
        <w:snapToGrid/>
        <w:spacing w:before="0" w:after="0" w:line="360" w:lineRule="auto"/>
        <w:ind w:firstLine="496" w:firstLineChars="20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15.4 卫生间（坐厕器、小便器、洗脸盆、地板、墙面、门、门套等）干净、整洁，无灰尘、污渍、污垢、水渍、水迹、印迹。</w:t>
      </w:r>
    </w:p>
    <w:p w14:paraId="1885807A">
      <w:pPr>
        <w:snapToGrid/>
        <w:spacing w:before="0" w:after="0" w:line="360" w:lineRule="auto"/>
        <w:ind w:firstLine="496" w:firstLineChars="200"/>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15.5 公共区域（电梯间、楼梯间、屋面、架空层、地下室、设备间及园林景观区域）深度清洁：干净、整洁、无灰尘、垃圾杂物。</w:t>
      </w:r>
    </w:p>
    <w:p w14:paraId="549E89F5">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16、验收、移交及结算管理要求</w:t>
      </w:r>
    </w:p>
    <w:p w14:paraId="611F5A56">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 工程验收管理要求：</w:t>
      </w:r>
    </w:p>
    <w:p w14:paraId="0AD98962">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16.1.1 承包人必须在工程具备验收条件时的3周前编制验收计划（包括专业工程验收计划、消防等专项验收计划等），按工程竣工验收有关规定及验收计划分阶段逐项申报验收，确保工程一次验收合格。</w:t>
      </w:r>
    </w:p>
    <w:p w14:paraId="56783CE8">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16.1.2 竣工验收执行《房屋建筑和市政基础设施工程竣工验收规定》（建质〔2013〕171号）和《关于规范广州市房屋建筑工程和市政基础设施工程竣工验收程序的通知》（穗建质监字〔2014〕53号）、《广州市房屋建筑和市政基础设施工程竣工联合验收工作方案》（穗建质[2020]446号）（注：如有新规定则按新规定执行）。</w:t>
      </w:r>
    </w:p>
    <w:p w14:paraId="5DC574FC">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16.1.3 承包人严格按招标单位《工程验收及备案管理实施细则》执行。</w:t>
      </w:r>
    </w:p>
    <w:p w14:paraId="7B25C62E">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16.1.4 经验收评定，工程质量不合格或工程内容有尚未完成者，由承包人在商定的期限内进行修补后，再进行竣工验收，直至达到完全符合合同要求为止，并按最后验收合格的日期作为竣工日期，由此产生的一切费用均由承包人负责。</w:t>
      </w:r>
    </w:p>
    <w:p w14:paraId="7330BC5B">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16.1.5竣工验收完成后承包人须向发包人提供完整竣工资料（包含竣工图）及竣工验收报告；并做好竣工档案、竣工备案等工作。工程验收的其他要求按合同约定执行。</w:t>
      </w:r>
    </w:p>
    <w:p w14:paraId="2FB6F3C2">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16.2工程移交管理要求：</w:t>
      </w:r>
    </w:p>
    <w:p w14:paraId="18B22754">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16.2.1移交范围</w:t>
      </w:r>
    </w:p>
    <w:p w14:paraId="059B90CB">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工程项目移交的范围包括工程资料移交、工程实体移交（含备品备件）和使用维护管理移交（含设备维护培训及交底）。</w:t>
      </w:r>
    </w:p>
    <w:p w14:paraId="3C0E75F7">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■工程资料移交</w:t>
      </w:r>
    </w:p>
    <w:p w14:paraId="11D063BE">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程竣工资料包括工程建设前期有关资料、工程技术管理资料、竣工验收备案资料等。承包人在工程实施过程中及工程竣工后，应对各类工程文件档案进行收集、整理和查验，确保向发包人移交的工程文件档案资料是真实的、完整的。</w:t>
      </w:r>
    </w:p>
    <w:p w14:paraId="028F2FCB">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■工程实体移交</w:t>
      </w:r>
    </w:p>
    <w:p w14:paraId="4A2921F6">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承包人在工程移交前，应编制完整的《工程实体移交清单》（含设备材料移交清单、备品备件移交清单），并提供给发包人、监理单位和工程接收单位审核并盖章确认。</w:t>
      </w:r>
    </w:p>
    <w:p w14:paraId="2708C272">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16.2.2 移交前维护</w:t>
      </w:r>
    </w:p>
    <w:p w14:paraId="1618655C">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在工程竣工验收后至工程移交之前，承包人必须保障：智能化工程、机电工程的正常运行及维护，如在此期间发现工程或工程设备损坏或存在缺陷的，由承包人按质量保证期服务要求的约定进行修复。有关机电设备（含智能化设备）的检测、登记、使用、运行、维护、耗材、水电气等费用已包含在合同总价中，发包人不另支付；如承包人拒绝维护，且经发包人书面催告后仍未维护的，发包人有权委托第三方维护，所需费用由承包人承担。</w:t>
      </w:r>
    </w:p>
    <w:p w14:paraId="40F53B03">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16.2.3 移交计划</w:t>
      </w:r>
    </w:p>
    <w:p w14:paraId="1AE5AB99">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承包人应在进行移交工作前编写工程项目移交计划，且移交计划需报发包人及监理单位审核，在经发包人及监理单位审核同意后按计划进行移交。</w:t>
      </w:r>
    </w:p>
    <w:p w14:paraId="77F4C753">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16.2.4 工程移交</w:t>
      </w:r>
    </w:p>
    <w:p w14:paraId="048FA495">
      <w:pPr>
        <w:snapToGrid/>
        <w:spacing w:before="0" w:after="0" w:line="360" w:lineRule="auto"/>
        <w:ind w:firstLine="426"/>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工程项目移交原则上力争在工程竣工验收备案后一个月之内完成。承包人应在发包人组织的工程移交中向使用单位办理好工程移交，并做好相关的保障、维修及服务。承包人负责对工程竣工验收及工程移交中提出的质量及工程资料问题进行整改，完成整改后向监理单位提交《工程整改完工报告》申请整改后正式移交。工程移交工作的相关要求具体按发包人的《建设项目工程移交管理办法（试行）》的规定执行。</w:t>
      </w:r>
    </w:p>
    <w:p w14:paraId="15A98B20">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 工程造价（结算）管理要求：</w:t>
      </w:r>
    </w:p>
    <w:p w14:paraId="244AF76F">
      <w:pPr>
        <w:spacing w:before="0" w:after="0" w:line="360" w:lineRule="auto"/>
        <w:ind w:firstLine="438" w:firstLineChars="177"/>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 xml:space="preserve">16.3.1 </w:t>
      </w:r>
      <w:r>
        <w:rPr>
          <w:rFonts w:hint="eastAsia" w:ascii="宋体" w:hAnsi="宋体" w:eastAsia="宋体" w:cs="宋体"/>
          <w:color w:val="000000" w:themeColor="text1"/>
          <w:sz w:val="24"/>
          <w:highlight w:val="none"/>
          <w14:textFill>
            <w14:solidFill>
              <w14:schemeClr w14:val="tx1"/>
            </w14:solidFill>
          </w14:textFill>
        </w:rPr>
        <w:t>承包人须在施工图纸审定后一个月内编制施工图预算，提出施工图预算工程量与招标清单工程量之间的差异，并报监理单位和发包人审核备案。</w:t>
      </w:r>
    </w:p>
    <w:p w14:paraId="6B0328A0">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16.3.2 承包人应按发包人要求派出足够的、有能力的造价人员负责结算工作。若派出的造价人员不足或不能胜任结算工作，承包人应按发包人的要求及时更换，直至满足要求为止。</w:t>
      </w:r>
    </w:p>
    <w:p w14:paraId="733A7104">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16.3.3 承包人执行发包人下发的结算编制指引及与结算有关的文件规定。</w:t>
      </w:r>
    </w:p>
    <w:p w14:paraId="240EA010">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16.3.4 承包人须协助发包人加强投资控制，每期申请进度款的计量计价应准确，进度款的申请应与主要材料设备采购计划相匹配，严禁虚报计量或超前计量，否则严格按合同约定承担违约责任。</w:t>
      </w:r>
    </w:p>
    <w:p w14:paraId="601F5828">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16.3.5 在施工过程中发生的工程变更、工程签证等引起合同价款调增事件后，承包人未按合同约定办理变更工程预算审批的，则发包人有权根据实际情况决定是否调整合同价款以及调整的金额。</w:t>
      </w:r>
    </w:p>
    <w:p w14:paraId="2D85E846">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16.3.6 本项目总承包管理及配合服务费按承包人实际完成的总承包管理及配合服务工作进行计量支付，具体按合同约定执行。</w:t>
      </w:r>
    </w:p>
    <w:p w14:paraId="052C94EF">
      <w:pPr>
        <w:snapToGrid/>
        <w:spacing w:before="0" w:after="0" w:line="360" w:lineRule="auto"/>
        <w:ind w:firstLine="496" w:firstLineChars="200"/>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16.3.7 根据项目的实际情况，如承包人需另行租用场地用于临设之用，属于承包人自行考虑范畴，相关的费用投标时综合考虑，不再另行计量、支付。</w:t>
      </w:r>
    </w:p>
    <w:p w14:paraId="1A5A3D96">
      <w:pPr>
        <w:snapToGrid/>
        <w:spacing w:before="0" w:after="0" w:line="240" w:lineRule="auto"/>
        <w:ind w:right="11"/>
        <w:jc w:val="center"/>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b/>
          <w:color w:val="000000" w:themeColor="text1"/>
          <w:sz w:val="28"/>
          <w:szCs w:val="21"/>
          <w:highlight w:val="none"/>
          <w14:textFill>
            <w14:solidFill>
              <w14:schemeClr w14:val="tx1"/>
            </w14:solidFill>
          </w14:textFill>
        </w:rPr>
        <w:t>结算送审资料移交清单</w:t>
      </w:r>
    </w:p>
    <w:tbl>
      <w:tblPr>
        <w:tblStyle w:val="42"/>
        <w:tblW w:w="0" w:type="auto"/>
        <w:jc w:val="center"/>
        <w:tblLayout w:type="fixed"/>
        <w:tblCellMar>
          <w:top w:w="0" w:type="dxa"/>
          <w:left w:w="108" w:type="dxa"/>
          <w:bottom w:w="0" w:type="dxa"/>
          <w:right w:w="108" w:type="dxa"/>
        </w:tblCellMar>
      </w:tblPr>
      <w:tblGrid>
        <w:gridCol w:w="1460"/>
        <w:gridCol w:w="6915"/>
      </w:tblGrid>
      <w:tr w14:paraId="3E43001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2F97624">
            <w:pPr>
              <w:tabs>
                <w:tab w:val="left" w:pos="379"/>
                <w:tab w:val="center" w:pos="682"/>
              </w:tabs>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序号</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73603F8">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资料名称</w:t>
            </w:r>
          </w:p>
        </w:tc>
      </w:tr>
      <w:tr w14:paraId="44CC51AE">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B6802CC">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04010A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工程结算书及其电子文档</w:t>
            </w:r>
          </w:p>
        </w:tc>
      </w:tr>
      <w:tr w14:paraId="1969224B">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D6646B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7B3D7C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合同文件</w:t>
            </w:r>
          </w:p>
        </w:tc>
      </w:tr>
      <w:tr w14:paraId="5A057140">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155518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126011C">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工程竣工图纸（及其电子文档）</w:t>
            </w:r>
          </w:p>
        </w:tc>
      </w:tr>
      <w:tr w14:paraId="5CDC80DA">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DD69B9D">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D1C971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招标文件</w:t>
            </w:r>
          </w:p>
        </w:tc>
      </w:tr>
      <w:tr w14:paraId="798C8D6F">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24819F1">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317F7D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投标文件</w:t>
            </w:r>
          </w:p>
        </w:tc>
      </w:tr>
      <w:tr w14:paraId="4A4F051B">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01AC55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E11C212">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中标通知书</w:t>
            </w:r>
          </w:p>
        </w:tc>
      </w:tr>
      <w:tr w14:paraId="1C95D00D">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483AB1C">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A4823E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工程开工报告</w:t>
            </w:r>
          </w:p>
        </w:tc>
      </w:tr>
      <w:tr w14:paraId="12BDB518">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A5B3D9E">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957A765">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竣工验收报告</w:t>
            </w:r>
          </w:p>
        </w:tc>
      </w:tr>
      <w:tr w14:paraId="28D075F5">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2D926AC">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FAD5CDE">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工程设计变更</w:t>
            </w:r>
          </w:p>
        </w:tc>
      </w:tr>
      <w:tr w14:paraId="07CAC07D">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04A128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4B53BF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工程签证</w:t>
            </w:r>
          </w:p>
        </w:tc>
      </w:tr>
      <w:tr w14:paraId="6B717421">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84726A6">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CA25A5D">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工程量计算书（含钢筋抽料表）及其电子文档</w:t>
            </w:r>
          </w:p>
        </w:tc>
      </w:tr>
      <w:tr w14:paraId="3310114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A8107B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3126095">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工程预（概）算批复文件</w:t>
            </w:r>
          </w:p>
        </w:tc>
      </w:tr>
      <w:tr w14:paraId="14ED0A5E">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A732F1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FE1CFC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相关资金安排（批复）文件</w:t>
            </w:r>
          </w:p>
        </w:tc>
      </w:tr>
      <w:tr w14:paraId="3D26EC43">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4B3826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59E837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招标图</w:t>
            </w:r>
          </w:p>
        </w:tc>
      </w:tr>
      <w:tr w14:paraId="1AAF8BB1">
        <w:tblPrEx>
          <w:tblCellMar>
            <w:top w:w="0" w:type="dxa"/>
            <w:left w:w="108" w:type="dxa"/>
            <w:bottom w:w="0" w:type="dxa"/>
            <w:right w:w="108" w:type="dxa"/>
          </w:tblCellMar>
        </w:tblPrEx>
        <w:trPr>
          <w:trHeight w:val="437"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942935E">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A1C4C80">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图纸会审记录</w:t>
            </w:r>
          </w:p>
        </w:tc>
      </w:tr>
      <w:tr w14:paraId="5EA15696">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B8EB9D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D7BBA28">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工程洽商记录</w:t>
            </w:r>
          </w:p>
        </w:tc>
      </w:tr>
      <w:tr w14:paraId="0408D201">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E83B25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D5D015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监理合同</w:t>
            </w:r>
          </w:p>
        </w:tc>
      </w:tr>
      <w:tr w14:paraId="1D44C2F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16D25B6">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34C9D8C">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监理工程师通知或发包人施工指令</w:t>
            </w:r>
          </w:p>
        </w:tc>
      </w:tr>
      <w:tr w14:paraId="3AD68FB6">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1F7BBDE">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7EF1A7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会议纪要</w:t>
            </w:r>
          </w:p>
        </w:tc>
      </w:tr>
      <w:tr w14:paraId="29BD2796">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453FC1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4FB5A1F">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材料、设备单价呈批审核单</w:t>
            </w:r>
          </w:p>
        </w:tc>
      </w:tr>
      <w:tr w14:paraId="02CDB75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8A4748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817C42D">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综合单价呈批审核单及电子版</w:t>
            </w:r>
          </w:p>
        </w:tc>
      </w:tr>
      <w:tr w14:paraId="2268B72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9000310">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08250F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甲供材料证明</w:t>
            </w:r>
          </w:p>
        </w:tc>
      </w:tr>
      <w:tr w14:paraId="4A77B86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647E99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FD99D6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施工组织设计</w:t>
            </w:r>
          </w:p>
        </w:tc>
      </w:tr>
      <w:tr w14:paraId="7A8C7E71">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DE9B93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A737641">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工程地质勘察报告及水文资料</w:t>
            </w:r>
          </w:p>
        </w:tc>
      </w:tr>
      <w:tr w14:paraId="41157F0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ADBA54A">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7610BF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城建档案</w:t>
            </w:r>
          </w:p>
        </w:tc>
      </w:tr>
      <w:tr w14:paraId="7A84D21F">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0B68654">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54C4877">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工期逾期情况说明</w:t>
            </w:r>
          </w:p>
        </w:tc>
      </w:tr>
      <w:tr w14:paraId="44F4D192">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47DE7BF">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D306738">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合同条款修改说明</w:t>
            </w:r>
          </w:p>
        </w:tc>
      </w:tr>
      <w:tr w14:paraId="4717F2BE">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F189C30">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E2CC895">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隐蔽工程验收记录</w:t>
            </w:r>
          </w:p>
        </w:tc>
      </w:tr>
      <w:tr w14:paraId="34F4E159">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CC82B2D">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62D5A7B">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工程质量验收评定证书</w:t>
            </w:r>
          </w:p>
        </w:tc>
      </w:tr>
      <w:tr w14:paraId="32F78C17">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175E3CE">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2B132D3">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涉及税金等调整的工程款支付明细</w:t>
            </w:r>
          </w:p>
        </w:tc>
      </w:tr>
      <w:tr w14:paraId="47AE2B6F">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DC6141D">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2FE7A80">
            <w:pPr>
              <w:spacing w:before="0" w:after="0" w:line="269"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其它结算资料</w:t>
            </w:r>
          </w:p>
        </w:tc>
      </w:tr>
    </w:tbl>
    <w:p w14:paraId="7FC51E3B">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17、质保期服务管理要求</w:t>
      </w:r>
    </w:p>
    <w:p w14:paraId="4825C6A1">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在质量保证期内，承包人须做好以下工作：</w:t>
      </w:r>
    </w:p>
    <w:p w14:paraId="6C41D871">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17.1 培训工作</w:t>
      </w:r>
    </w:p>
    <w:p w14:paraId="35194B9B">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17.1.1 竣工验收合格后3个月内，承包人须针对各系统特点及项目实际情况编制使用手册、培训手册以及培训计划，并组织专人（包括主要设备供货商）对业主管理人员的进行培训工作，培训内容包括系统的功能介绍、性能介绍、操作要求、维护要求等，直至业主管理人员能熟练掌握及正常使用系统。</w:t>
      </w:r>
    </w:p>
    <w:p w14:paraId="26764A28">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17.1.2 用户培训费在措施项目清单计价表中已开列，由投标自行填报，培训期间产生的所有费用已包含在该项费用中，发包人不在另行支付其他费用。</w:t>
      </w:r>
    </w:p>
    <w:p w14:paraId="2307B9FF">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 质量保证期和售后服务</w:t>
      </w:r>
    </w:p>
    <w:p w14:paraId="7A7740D4">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17.2.1 在质量保证期内，承包人按保修协议约定免费提供设备的维修及保养服务。</w:t>
      </w:r>
    </w:p>
    <w:p w14:paraId="4BFEF303">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17.2.2 质保期内须免费提供设备的维修及保养服务，定期派工程师到现场巡查，并配合对各系统进行每年一次的年检且提供年检报告。</w:t>
      </w:r>
    </w:p>
    <w:p w14:paraId="0EBD8672">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17.2.3 质保期内设备本身质量出现问题或由于设备本身质量原因造成的任何损伤或损坏，承包人应及时给予免费维修或免费更换，由此引起的施工费、人工费、材料费等其他一切费用由承包人负责。新更换的零部件的质保期则从更换之日起计。</w:t>
      </w:r>
    </w:p>
    <w:p w14:paraId="17DB7A6A">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17.2.4承包人在故障保修响应方面应做到：承包人须在接到业主通知的1小时内予以答复；在业主要求时，承包人的技术人员须在收到业主通知后3小时之内到现场进行修理，相关的维修必须连续进行，直至故障完全修复为止。若在24小时内不能排除故障，承包人应立即采取切实有效的补救措施（包括免费提供应急设备），全力防止损失的扩大。</w:t>
      </w:r>
    </w:p>
    <w:p w14:paraId="59F3F46C">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17.2.5从工程竣工验收合格正式运行之日起的质量保证期（含潜在缺陷质量保证期）内，由于设备材料因素造成的损坏，均由承包人免费维修、更换，由于人为（非承包人人员）和自然灾害造成的损坏，收取成本费用。</w:t>
      </w:r>
    </w:p>
    <w:p w14:paraId="7EF4AABF">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17.2.6 在质量保证期结束前，承包人须与业主代表对合同项下设备进行全面的检查，对任何缺陷由承包人负责修理。在修理之后，承包人须将缺陷原因、修理的内容、完成修理及恢复正常的时间和日期等情况报告给业主。</w:t>
      </w:r>
    </w:p>
    <w:p w14:paraId="0B476796">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17.2.7 承包人必提供满足质量保证期内正常运行的备品备件和易损、易耗件，并随时优惠提供易损件，优惠提供产品更新、改造服务。</w:t>
      </w:r>
    </w:p>
    <w:p w14:paraId="4D5DA541">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17.2.8 在质量保证期内，以下主要设备提供原厂售后保修服务，若本项目的质量保证期比主要设备供应商规定的售后保修服务期长的，须相应延长主要设备的原厂售后保修服务期，所发生的相关费用由承包人承担，发包人不另行增加费用。</w:t>
      </w:r>
    </w:p>
    <w:p w14:paraId="1C999E8F">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原厂提供售后保修服务的主要设备包括不限于：空调、水泵、电气元器件、控制器、智能化设备等。</w:t>
      </w:r>
    </w:p>
    <w:p w14:paraId="4C6495A9">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17.2.9 质保期满，由承包人提出退还质量保证金申请，按要求提交《工程质量保修责任期终止证书》，经监理单位、使用单位和发包人确认后按合同要求退还。</w:t>
      </w:r>
    </w:p>
    <w:p w14:paraId="49CE59B3">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17.2.10 建设项目通过验收后，在使用过程中发现的较大质量隐患，发包人有权将合同质保期延长至隐患消除为止。</w:t>
      </w:r>
    </w:p>
    <w:p w14:paraId="0C53F1AF">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17.2.11本项目的质量保修金的支付与缺陷责任期内防水工程的质量情况挂钩。具体详见合同约定。</w:t>
      </w:r>
    </w:p>
    <w:p w14:paraId="0B6B8F42">
      <w:pPr>
        <w:pStyle w:val="6"/>
        <w:keepNext w:val="0"/>
        <w:keepLines w:val="0"/>
        <w:widowControl/>
        <w:snapToGrid/>
        <w:spacing w:line="360" w:lineRule="auto"/>
        <w:ind w:firstLine="480" w:firstLineChars="200"/>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pPr>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18、调价机制</w:t>
      </w:r>
    </w:p>
    <w:p w14:paraId="386391CC">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18.1 人工费及材料价差的调整和结算方式</w:t>
      </w:r>
    </w:p>
    <w:p w14:paraId="5EDD0923">
      <w:pPr>
        <w:snapToGrid/>
        <w:spacing w:before="0" w:after="0"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具体调价方法按合同条款约定执行。</w:t>
      </w:r>
    </w:p>
    <w:p w14:paraId="08E18E29">
      <w:pPr>
        <w:snapToGrid/>
        <w:spacing w:before="0" w:after="0" w:line="360" w:lineRule="auto"/>
        <w:ind w:firstLine="480" w:firstLineChars="200"/>
        <w:rPr>
          <w:rFonts w:ascii="宋体" w:hAnsi="宋体" w:eastAsia="宋体" w:cs="宋体"/>
          <w:color w:val="auto"/>
          <w:sz w:val="24"/>
          <w:highlight w:val="none"/>
        </w:rPr>
      </w:pPr>
      <w:r>
        <w:rPr>
          <w:rFonts w:hint="eastAsia" w:ascii="宋体" w:hAnsi="宋体" w:eastAsia="宋体" w:cs="宋体"/>
          <w:color w:val="000000" w:themeColor="text1"/>
          <w:sz w:val="24"/>
          <w:highlight w:val="none"/>
          <w14:textFill>
            <w14:solidFill>
              <w14:schemeClr w14:val="tx1"/>
            </w14:solidFill>
          </w14:textFill>
        </w:rPr>
        <w:t>18.2承包人应认真阅读合同，合理预计报价风险，中标后将不以承包人未正确理解或未合理预计风险为由要求增加任何费用。</w:t>
      </w:r>
    </w:p>
    <w:p w14:paraId="7AE4F53F">
      <w:pPr>
        <w:pStyle w:val="6"/>
        <w:keepNext w:val="0"/>
        <w:keepLines w:val="0"/>
        <w:widowControl/>
        <w:snapToGrid/>
        <w:spacing w:line="360" w:lineRule="auto"/>
        <w:ind w:firstLine="480" w:firstLineChars="200"/>
        <w:rPr>
          <w:rFonts w:ascii="宋体" w:hAnsi="宋体" w:eastAsia="宋体" w:cs="宋体"/>
          <w:b w:val="0"/>
          <w:bCs w:val="0"/>
          <w:snapToGrid w:val="0"/>
          <w:color w:val="000000" w:themeColor="text1"/>
          <w:kern w:val="0"/>
          <w:sz w:val="24"/>
          <w:szCs w:val="24"/>
          <w:highlight w:val="none"/>
          <w14:textFill>
            <w14:solidFill>
              <w14:schemeClr w14:val="tx1"/>
            </w14:solidFill>
          </w14:textFill>
        </w:rPr>
      </w:pPr>
      <w:bookmarkStart w:id="601" w:name="OLE_LINK7"/>
      <w:r>
        <w:rPr>
          <w:rFonts w:hint="eastAsia" w:ascii="宋体" w:hAnsi="宋体" w:eastAsia="宋体" w:cs="宋体"/>
          <w:b w:val="0"/>
          <w:bCs w:val="0"/>
          <w:snapToGrid w:val="0"/>
          <w:color w:val="000000" w:themeColor="text1"/>
          <w:kern w:val="0"/>
          <w:sz w:val="24"/>
          <w:szCs w:val="24"/>
          <w:highlight w:val="none"/>
          <w14:textFill>
            <w14:solidFill>
              <w14:schemeClr w14:val="tx1"/>
            </w14:solidFill>
          </w14:textFill>
        </w:rPr>
        <w:t>19、档案管理要求</w:t>
      </w:r>
    </w:p>
    <w:p w14:paraId="3CA16102">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项目档案工作总体要求</w:t>
      </w:r>
    </w:p>
    <w:p w14:paraId="16134B97">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应将项目档案工作纳入项目建设管理程序；与项目建设实行同步管理，建立项目档案工作领导责任制和相关人员岗位责任制，配备不少于两名专职档案管理人员，配合发包人开展档案管理工作；应接受国家、省、市档案局、广州城建档案馆及发包人的监督、指导，并按要求组织人员参加相关档案上岗及业务培训。</w:t>
      </w:r>
    </w:p>
    <w:p w14:paraId="7D47ACBA">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档案验收是项目验收的重要组成部分，未经档案验收或档案验收不合格的项目，不得通过验收；档案验收必须与工程实体验收同步进行。</w:t>
      </w:r>
    </w:p>
    <w:p w14:paraId="41BA69B6">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除负责自行施工部分的档案工作外，还应负责督促各分包单位按分包范围完成项目档案管理工作，负责审核、汇总、整理各分包单位归档、移交的档案，确保所承包范围内全部项目档案的完整、准确、系统。</w:t>
      </w:r>
    </w:p>
    <w:p w14:paraId="277634A0">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验收范围：全部应归档保存的各种载体的文件材料，包括纸质、电子、声像档案等；项目档案组织管理情况；档案信息化情况；项目档案安全等；国家、省、市档案行政管理部门或上级管理部门要求的验收范围。</w:t>
      </w:r>
    </w:p>
    <w:p w14:paraId="7CCD98DE">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承包人应按发包人要求的时间向发包人移交符合要求的承包范围内的项目档案。在项目档案移交之前，承包人应做好档案保管、保密工作，并根据发包人需求提供及时、良好的档案利用服务。</w:t>
      </w:r>
    </w:p>
    <w:p w14:paraId="766E6612">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项目档案的整理及质量要求</w:t>
      </w:r>
    </w:p>
    <w:p w14:paraId="044EB043">
      <w:pPr>
        <w:pStyle w:val="63"/>
        <w:numPr>
          <w:ilvl w:val="0"/>
          <w:numId w:val="4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按照DA/T 28《建设项目档案管理规范》、GB/T 50328《建设工程文件归档规范》及发包人相关档案管理制度，结合项目产生文件材料的实际情况，确保本项目竣工档案的齐全、完整、准确、系统。</w:t>
      </w:r>
    </w:p>
    <w:p w14:paraId="59CCA738">
      <w:pPr>
        <w:pStyle w:val="63"/>
        <w:numPr>
          <w:ilvl w:val="0"/>
          <w:numId w:val="4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项目文件材料的收集、整理、归档和项目档案的整理与移交，须符合DA/T 28《国家重大建设项目文件归档要求与档案整理规范》、GB/T 50328《建设工程文件归档规范》、GB/T 11822《科学技术档案案卷构成的一般要求》及发包人相关档案管理制度要求。</w:t>
      </w:r>
    </w:p>
    <w:p w14:paraId="1B3807FB">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项目档案的安全要求</w:t>
      </w:r>
    </w:p>
    <w:p w14:paraId="4F96EC98">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项目档案库房须采取防火、防盗、防有害生物和温湿度控制措施，确保档案安全保管</w:t>
      </w:r>
    </w:p>
    <w:p w14:paraId="6BFF56D6">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档案柜架、卷盒、卷皮等档案装具符合标准要求</w:t>
      </w:r>
    </w:p>
    <w:p w14:paraId="3DB344DB">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归档文件材料的制成材料符合耐久性要求</w:t>
      </w:r>
    </w:p>
    <w:p w14:paraId="21655BCE">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须采取有效措施保证档案实体和信息安全。</w:t>
      </w:r>
    </w:p>
    <w:p w14:paraId="487FA3EF">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档案验收要求</w:t>
      </w:r>
    </w:p>
    <w:p w14:paraId="63C0E735">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承包人应负责档案验收全过程相关工作，包括但不限于：</w:t>
      </w:r>
    </w:p>
    <w:p w14:paraId="7A72BED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19.4.1施工阶段</w:t>
      </w:r>
    </w:p>
    <w:p w14:paraId="1F10D943">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按照国家、省、市档案法律法规和发包人工程项目档案规章制度和标准规范收集、整理工程项目档案（包括纸质、电子、声像档案等）,若前述法律法规和制度规范没有明确的，按发包人工程项目主办部门意见执行。</w:t>
      </w:r>
    </w:p>
    <w:p w14:paraId="646BA300">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承包人按照单位工程配备专职档案管理人员，持证上岗；同时按照发包人工程项目档案管理要求配置档案归档所需的设备和档案库房。</w:t>
      </w:r>
    </w:p>
    <w:p w14:paraId="105911AB">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建设工程验收法律法规和广州市相关要求，组织分部工程档案验收和单位（子单位）工程档案预验收，及时通知发包人工程项目主办部门派人参加验收，分部工程档案整理质量达不到发包人要求的验收标准，须在规定的时间内完成整改，否则不予通过验收。</w:t>
      </w:r>
    </w:p>
    <w:p w14:paraId="4407785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19.4.2单位工程验收阶段</w:t>
      </w:r>
    </w:p>
    <w:p w14:paraId="6DA10D7A">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及通用合同条款中档案验收的有关要求，在发包人的监督指导下，配合组织单位工程档案验收管理，配合发包人验收工作。</w:t>
      </w:r>
    </w:p>
    <w:p w14:paraId="568EFA07">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单位工程验收前须按国家、省、市档案行政管理部门、上级管理部门及发包人档案管理的要求，完成各类档案（包括纸质、电子、声像档案等）的整理、立卷、编目、汇总等工作。</w:t>
      </w:r>
    </w:p>
    <w:p w14:paraId="461AD05C">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单位工程验收后按时完成整改，并及时将整改完成情况向发包人档案管理部门报备。</w:t>
      </w:r>
    </w:p>
    <w:p w14:paraId="0DB82FE4">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19.4.3档案专项验收阶段</w:t>
      </w:r>
    </w:p>
    <w:p w14:paraId="6E1208D4">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在发包人的监督指导下，配合组织各参建单位完成全部档案（包括纸质、电子、声像档案等）收集、整理、分类、组卷、汇总、目录册编制等工作。</w:t>
      </w:r>
    </w:p>
    <w:p w14:paraId="44E9A666">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重大建设项目验收的规定和要求，编制档案验收相关报告，收集、汇编见证材料，编制项目档案工作专题视频、专题画册、建设大事记等编研材料，配合组织监理单位、设计单位完成各专业档案质量报告。</w:t>
      </w:r>
    </w:p>
    <w:p w14:paraId="52A17AC9">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在发包人的监督下，配合上级档案行政管理部门组织档案验收会议，负责会务组织工作；确保建设单位、参建单位等相关主体参加档案验收会议及现场检查，组织各专业人员配合档案验收组检查档案。</w:t>
      </w:r>
    </w:p>
    <w:p w14:paraId="17F041CC">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依照档案行政管理部门专项验收意见，开展整改工作，按时完成整改，并及时将整改完成情况向上级档案行政管理部门、发包人档案管理部门报备。</w:t>
      </w:r>
    </w:p>
    <w:p w14:paraId="7718DB3D">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按照项目档案验收相关法律法规及国家、省、市档案行政管理部门的要求，完成全部验收程序，取得档案行政管理部门出具的正式验收意见。</w:t>
      </w:r>
    </w:p>
    <w:p w14:paraId="0F9FB2D7">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按照发包人一体化平台信息管理要求上传档案目录数据、电子文件及相关材料。</w:t>
      </w:r>
    </w:p>
    <w:p w14:paraId="7C9CA95C">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项目档案移交套数要求</w:t>
      </w:r>
    </w:p>
    <w:p w14:paraId="211A24A9">
      <w:pPr>
        <w:pStyle w:val="63"/>
        <w:numPr>
          <w:ilvl w:val="0"/>
          <w:numId w:val="4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应按广州市城建档案馆要求在工程竣工验收后6个月内移交一套符合规定的项目档案（包括纸质档案、电子档案、声像档案）。</w:t>
      </w:r>
    </w:p>
    <w:p w14:paraId="2652F154">
      <w:pPr>
        <w:pStyle w:val="63"/>
        <w:numPr>
          <w:ilvl w:val="0"/>
          <w:numId w:val="4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应按发包人相关档案管理要求移交指定套数的项目档案（包括纸质档案、电子档案、声像档案）。</w:t>
      </w:r>
      <w:bookmarkEnd w:id="601"/>
    </w:p>
    <w:p w14:paraId="051C43BE">
      <w:pPr>
        <w:pStyle w:val="2"/>
        <w:snapToGrid/>
        <w:spacing w:line="360" w:lineRule="auto"/>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四、BIM技术运用要求</w:t>
      </w:r>
    </w:p>
    <w:p w14:paraId="285F7590">
      <w:pPr>
        <w:snapToGrid/>
        <w:spacing w:before="0" w:after="0" w:line="360" w:lineRule="auto"/>
        <w:ind w:firstLine="426"/>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包括但不限于以下要求：</w:t>
      </w:r>
    </w:p>
    <w:p w14:paraId="712DEF39">
      <w:pPr>
        <w:spacing w:before="0" w:after="0" w:line="360" w:lineRule="auto"/>
        <w:ind w:firstLine="480" w:firstLineChars="200"/>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本项目要求充分运用BIM技术，利用BIM技术实现施工全过程的精细化管理。为保证BIM模型的延续使用原则，施工阶段的BIM模型必须建立在设计阶段BIM模型基础上进行深化，直至形成竣工模型。施工过程BIM应用包括但不限于施工虚拟建造、方案优化、施工安全模拟、进度控制、造价分析、现场巡检、施工风险预案模拟、工程变更管理、工程自动化、供应链管理、场地布局规划等。</w:t>
      </w:r>
    </w:p>
    <w:p w14:paraId="0A3F5CB7">
      <w:pPr>
        <w:spacing w:before="0" w:after="0" w:line="360" w:lineRule="auto"/>
        <w:ind w:firstLine="480" w:firstLineChars="200"/>
        <w:jc w:val="both"/>
        <w:rPr>
          <w:rFonts w:hint="eastAsia"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需在设计、施工和运营维护等全过程中运用BIM技术，达到工程建设项目全生命周期各参与方在同一多维建筑信息9模型基础上的协同工作、数据共享、信息化管理以及数据更改可追溯的，同时能做到设计、生产、施工、设备供应、专业分包、项目管理等单位的无缝对接，实现项目全寿命周期内成本节约化。</w:t>
      </w:r>
    </w:p>
    <w:p w14:paraId="3BD48776">
      <w:pPr>
        <w:spacing w:before="0" w:after="0" w:line="360" w:lineRule="auto"/>
        <w:ind w:firstLine="480" w:firstLineChars="200"/>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承包人必须按照本招标文件、项目合同的要求提交完整的项目BIM成果，包含但不限于最终完整的与竣工建筑实物一致的BIM竣工模型、施工场布模型、施工场地周边道路地下管网模型、碰撞检查报告、施工深化模型（建筑、结构、钢结构、幕墙、机电、医疗专项、智能化、消防、装修、人防、设备机房、场地、园林、市政）及图纸（平面图、立面图、剖面图、大样图、材料表等）、施工方案模拟动画及优化报告、4D进度模拟动画及优化报告、工程量清单等。竣工验收模型需按照广州市三维数字化竣工验收模型交付标准的相关要求完成竣工图三维数字化备案。</w:t>
      </w:r>
    </w:p>
    <w:p w14:paraId="635D8F6F">
      <w:pPr>
        <w:pStyle w:val="2"/>
        <w:snapToGrid/>
        <w:spacing w:line="360" w:lineRule="auto"/>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五、建筑总承包管理内容</w:t>
      </w:r>
    </w:p>
    <w:p w14:paraId="17547FCD">
      <w:pPr>
        <w:snapToGrid/>
        <w:spacing w:before="0" w:after="0" w:line="360" w:lineRule="auto"/>
        <w:ind w:left="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1、施工总承包管理内容，主要包括但不限于以下工作内容：</w:t>
      </w:r>
    </w:p>
    <w:p w14:paraId="1FB79339">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1.1 负责项目总进度计划管理和总体协调；</w:t>
      </w:r>
    </w:p>
    <w:p w14:paraId="6097AA93">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1.2 负责施工总平面布置及维护管理；</w:t>
      </w:r>
    </w:p>
    <w:p w14:paraId="3577C470">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1.3 负责日常水电、通道和道路的管理、维护和保洁；</w:t>
      </w:r>
    </w:p>
    <w:p w14:paraId="4EB7B9E7">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1.4 负责现场安全保卫（包括且不限于办公区、生活区、现场门禁、视频监控等）、社区周边关系（包括且不限于环保、环卫、城管、街道、安监、公安、交警等部门）协调等现场综合管理；</w:t>
      </w:r>
    </w:p>
    <w:p w14:paraId="7963BC1D">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1.5 负责项目竣工移交以前项目的安全文明施工、环境及职业健康管理及协调；</w:t>
      </w:r>
    </w:p>
    <w:p w14:paraId="0234A5A4">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1.6 组织办理验收、移交、竣工结算、竣工资料和竣工备案及其它管理工作；</w:t>
      </w:r>
    </w:p>
    <w:p w14:paraId="38C336DB">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2、为保证施工单位在完成本项目主体结构施工后，仍然能够保质保量地履行施工总承包管理，承包人承诺施工总承包配合服务的具体时间、人员和具体内容等。</w:t>
      </w:r>
    </w:p>
    <w:p w14:paraId="341C44D5">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3、承包单位中标后，立即成立专门的团队负责本项目的总承包管理。</w:t>
      </w:r>
    </w:p>
    <w:p w14:paraId="3B895E9E">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4、施工单位将总承包管理内容进行梳理细化，根据施工进度情况和专业单位进场情况排出配合服务工作计划，报监理单位和我司审批后实施。</w:t>
      </w:r>
    </w:p>
    <w:p w14:paraId="1FFFB8EE">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5、总承包服务内容:</w:t>
      </w:r>
    </w:p>
    <w:p w14:paraId="30663AA9">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5.1 向专业工程承包人提供施工用水、用电接驳点；</w:t>
      </w:r>
    </w:p>
    <w:p w14:paraId="5CE521B6">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5.2 向专业工程承包人提供生产、生活设施搭建场地；</w:t>
      </w:r>
    </w:p>
    <w:p w14:paraId="5D4B256C">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5.3 提供垂直运输设施、设备及管理服务；</w:t>
      </w:r>
    </w:p>
    <w:p w14:paraId="26E78610">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5.4 提供脚手架满足各专业施工要求；</w:t>
      </w:r>
    </w:p>
    <w:p w14:paraId="1B0EE7E2">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5.5 提供公共临时设施（包括且不限于应急发电机、施工临时消防设施、施工临时排水等）、公共安全防护和文明施工设施供专业单位使用，并负责管理及维护；</w:t>
      </w:r>
    </w:p>
    <w:p w14:paraId="25E29B4D">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 xml:space="preserve">5.6 提供施工测量控制基准点，随楼层向其它专业承包单位提供施工控制轴线、标高； </w:t>
      </w:r>
    </w:p>
    <w:p w14:paraId="016C966B">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5.7 配合办理专项验收备案等手续。</w:t>
      </w:r>
    </w:p>
    <w:p w14:paraId="3DD33840">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5.8 第三方检测、监测配合服务。</w:t>
      </w:r>
    </w:p>
    <w:p w14:paraId="6B21BDA0">
      <w:pPr>
        <w:snapToGrid/>
        <w:spacing w:before="0" w:after="0" w:line="360" w:lineRule="auto"/>
        <w:ind w:firstLine="426"/>
        <w:jc w:val="both"/>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5.9 合同约定的其他总承包管理服务内容。</w:t>
      </w:r>
    </w:p>
    <w:p w14:paraId="08748848">
      <w:pPr>
        <w:snapToGrid/>
        <w:spacing w:before="0" w:after="0" w:line="360" w:lineRule="auto"/>
        <w:ind w:firstLine="426"/>
        <w:jc w:val="both"/>
        <w:rPr>
          <w:rFonts w:hint="eastAsia" w:ascii="宋体" w:hAnsi="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5.10配合相关方调研、活动组织等工作</w:t>
      </w:r>
      <w:r>
        <w:rPr>
          <w:rFonts w:hint="eastAsia"/>
          <w:color w:val="000000" w:themeColor="text1"/>
          <w:highlight w:val="none"/>
          <w14:textFill>
            <w14:solidFill>
              <w14:schemeClr w14:val="tx1"/>
            </w14:solidFill>
          </w14:textFill>
        </w:rPr>
        <w:t>。</w:t>
      </w:r>
    </w:p>
    <w:p w14:paraId="799CEE05">
      <w:pPr>
        <w:keepNext/>
        <w:keepLines/>
        <w:tabs>
          <w:tab w:val="left" w:pos="0"/>
        </w:tabs>
        <w:spacing w:line="360" w:lineRule="auto"/>
        <w:outlineLvl w:val="0"/>
        <w:rPr>
          <w:rFonts w:hint="eastAsia" w:ascii="宋体" w:hAnsi="宋体" w:eastAsia="宋体" w:cs="宋体"/>
          <w:b/>
          <w:color w:val="000000" w:themeColor="text1"/>
          <w:kern w:val="44"/>
          <w:sz w:val="24"/>
          <w:szCs w:val="24"/>
          <w:highlight w:val="none"/>
          <w14:textFill>
            <w14:solidFill>
              <w14:schemeClr w14:val="tx1"/>
            </w14:solidFill>
          </w14:textFill>
        </w:rPr>
      </w:pPr>
      <w:r>
        <w:rPr>
          <w:rFonts w:hint="eastAsia" w:ascii="宋体" w:hAnsi="宋体" w:eastAsia="宋体" w:cs="宋体"/>
          <w:b/>
          <w:color w:val="000000" w:themeColor="text1"/>
          <w:kern w:val="44"/>
          <w:sz w:val="24"/>
          <w:szCs w:val="24"/>
          <w:highlight w:val="none"/>
          <w14:textFill>
            <w14:solidFill>
              <w14:schemeClr w14:val="tx1"/>
            </w14:solidFill>
          </w14:textFill>
        </w:rPr>
        <w:t>六、总体施工要求</w:t>
      </w:r>
    </w:p>
    <w:p w14:paraId="14643B0B">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bookmarkStart w:id="602" w:name="_Toc3951"/>
      <w:r>
        <w:rPr>
          <w:rFonts w:hint="eastAsia" w:ascii="宋体" w:hAnsi="宋体" w:eastAsia="宋体" w:cs="宋体"/>
          <w:color w:val="000000" w:themeColor="text1"/>
          <w:sz w:val="24"/>
          <w:highlight w:val="none"/>
          <w14:textFill>
            <w14:solidFill>
              <w14:schemeClr w14:val="tx1"/>
            </w14:solidFill>
          </w14:textFill>
        </w:rPr>
        <w:t xml:space="preserve">1. </w:t>
      </w:r>
      <w:bookmarkEnd w:id="602"/>
      <w:bookmarkStart w:id="603" w:name="_Toc87991291"/>
      <w:bookmarkStart w:id="604" w:name="_Toc35083128"/>
      <w:bookmarkStart w:id="605" w:name="_Toc104979715"/>
      <w:bookmarkStart w:id="606" w:name="_Toc106729782"/>
      <w:r>
        <w:rPr>
          <w:rFonts w:hint="eastAsia" w:ascii="宋体" w:hAnsi="宋体" w:eastAsia="宋体" w:cs="宋体"/>
          <w:color w:val="000000" w:themeColor="text1"/>
          <w:sz w:val="24"/>
          <w:highlight w:val="none"/>
          <w14:textFill>
            <w14:solidFill>
              <w14:schemeClr w14:val="tx1"/>
            </w14:solidFill>
          </w14:textFill>
        </w:rPr>
        <w:t>拟投入本项目</w:t>
      </w:r>
      <w:bookmarkEnd w:id="603"/>
      <w:bookmarkEnd w:id="604"/>
      <w:r>
        <w:rPr>
          <w:rFonts w:hint="eastAsia" w:ascii="宋体" w:hAnsi="宋体" w:eastAsia="宋体" w:cs="宋体"/>
          <w:color w:val="000000" w:themeColor="text1"/>
          <w:sz w:val="24"/>
          <w:highlight w:val="none"/>
          <w14:textFill>
            <w14:solidFill>
              <w14:schemeClr w14:val="tx1"/>
            </w14:solidFill>
          </w14:textFill>
        </w:rPr>
        <w:t>主要人员</w:t>
      </w:r>
      <w:bookmarkEnd w:id="605"/>
      <w:bookmarkEnd w:id="606"/>
      <w:r>
        <w:rPr>
          <w:rFonts w:hint="eastAsia" w:ascii="宋体" w:hAnsi="宋体" w:eastAsia="宋体" w:cs="宋体"/>
          <w:color w:val="000000" w:themeColor="text1"/>
          <w:sz w:val="24"/>
          <w:highlight w:val="none"/>
          <w14:textFill>
            <w14:solidFill>
              <w14:schemeClr w14:val="tx1"/>
            </w14:solidFill>
          </w14:textFill>
        </w:rPr>
        <w:t>要求</w:t>
      </w:r>
    </w:p>
    <w:p w14:paraId="6439C6F9">
      <w:pPr>
        <w:spacing w:line="360" w:lineRule="auto"/>
        <w:ind w:firstLine="480" w:firstLineChars="200"/>
        <w:rPr>
          <w:rFonts w:hint="eastAsia" w:ascii="宋体" w:hAnsi="宋体" w:eastAsia="宋体" w:cs="宋体"/>
          <w:color w:val="000000" w:themeColor="text1"/>
          <w:sz w:val="24"/>
          <w:highlight w:val="none"/>
          <w14:textFill>
            <w14:solidFill>
              <w14:schemeClr w14:val="tx1"/>
            </w14:solidFill>
          </w14:textFill>
        </w:rPr>
      </w:pPr>
      <w:r>
        <w:rPr>
          <w:rFonts w:ascii="宋体" w:hAnsi="宋体" w:eastAsia="宋体" w:cs="宋体"/>
          <w:color w:val="000000" w:themeColor="text1"/>
          <w:sz w:val="24"/>
          <w:highlight w:val="none"/>
          <w14:textFill>
            <w14:solidFill>
              <w14:schemeClr w14:val="tx1"/>
            </w14:solidFill>
          </w14:textFill>
        </w:rPr>
        <w:t>1</w:t>
      </w:r>
      <w:r>
        <w:rPr>
          <w:rFonts w:hint="eastAsia" w:ascii="宋体" w:hAnsi="宋体" w:eastAsia="宋体" w:cs="宋体"/>
          <w:color w:val="000000" w:themeColor="text1"/>
          <w:sz w:val="24"/>
          <w:highlight w:val="none"/>
          <w14:textFill>
            <w14:solidFill>
              <w14:schemeClr w14:val="tx1"/>
            </w14:solidFill>
          </w14:textFill>
        </w:rPr>
        <w:t xml:space="preserve">.1 </w:t>
      </w:r>
      <w:r>
        <w:rPr>
          <w:rFonts w:ascii="宋体" w:hAnsi="宋体" w:eastAsia="宋体" w:cs="宋体"/>
          <w:color w:val="000000" w:themeColor="text1"/>
          <w:sz w:val="24"/>
          <w:highlight w:val="none"/>
          <w14:textFill>
            <w14:solidFill>
              <w14:schemeClr w14:val="tx1"/>
            </w14:solidFill>
          </w14:textFill>
        </w:rPr>
        <w:t>投标所报的全部技术和管理人员均为</w:t>
      </w:r>
      <w:r>
        <w:rPr>
          <w:rFonts w:hint="eastAsia" w:ascii="宋体" w:hAnsi="宋体" w:eastAsia="宋体" w:cs="宋体"/>
          <w:color w:val="000000" w:themeColor="text1"/>
          <w:sz w:val="24"/>
          <w:highlight w:val="none"/>
          <w14:textFill>
            <w14:solidFill>
              <w14:schemeClr w14:val="tx1"/>
            </w14:solidFill>
          </w14:textFill>
        </w:rPr>
        <w:t>承包人的</w:t>
      </w:r>
      <w:r>
        <w:rPr>
          <w:rFonts w:ascii="宋体" w:hAnsi="宋体" w:eastAsia="宋体" w:cs="宋体"/>
          <w:color w:val="000000" w:themeColor="text1"/>
          <w:sz w:val="24"/>
          <w:highlight w:val="none"/>
          <w14:textFill>
            <w14:solidFill>
              <w14:schemeClr w14:val="tx1"/>
            </w14:solidFill>
          </w14:textFill>
        </w:rPr>
        <w:t>员工；</w:t>
      </w:r>
    </w:p>
    <w:p w14:paraId="17931E3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1.2 项目指挥长【（</w:t>
      </w:r>
      <w:r>
        <w:rPr>
          <w:rFonts w:ascii="宋体" w:hAnsi="宋体" w:eastAsia="宋体" w:cs="宋体"/>
          <w:color w:val="000000" w:themeColor="text1"/>
          <w:sz w:val="24"/>
          <w:highlight w:val="none"/>
          <w14:textFill>
            <w14:solidFill>
              <w14:schemeClr w14:val="tx1"/>
            </w14:solidFill>
          </w14:textFill>
        </w:rPr>
        <w:t>1</w:t>
      </w:r>
      <w:r>
        <w:rPr>
          <w:rFonts w:hint="eastAsia" w:ascii="宋体" w:hAnsi="宋体" w:eastAsia="宋体" w:cs="宋体"/>
          <w:color w:val="000000" w:themeColor="text1"/>
          <w:sz w:val="24"/>
          <w:highlight w:val="none"/>
          <w14:textFill>
            <w14:solidFill>
              <w14:schemeClr w14:val="tx1"/>
            </w14:solidFill>
          </w14:textFill>
        </w:rPr>
        <w:t>）设计指挥长应由设计方现任单位领导班子副职或以上级别的领导担任，且应已任该职务满半年或以上；（</w:t>
      </w:r>
      <w:r>
        <w:rPr>
          <w:rFonts w:ascii="宋体" w:hAnsi="宋体" w:eastAsia="宋体" w:cs="宋体"/>
          <w:color w:val="000000" w:themeColor="text1"/>
          <w:sz w:val="24"/>
          <w:highlight w:val="none"/>
          <w14:textFill>
            <w14:solidFill>
              <w14:schemeClr w14:val="tx1"/>
            </w14:solidFill>
          </w14:textFill>
        </w:rPr>
        <w:t>2</w:t>
      </w:r>
      <w:r>
        <w:rPr>
          <w:rFonts w:hint="eastAsia" w:ascii="宋体" w:hAnsi="宋体" w:eastAsia="宋体" w:cs="宋体"/>
          <w:color w:val="000000" w:themeColor="text1"/>
          <w:sz w:val="24"/>
          <w:highlight w:val="none"/>
          <w14:textFill>
            <w14:solidFill>
              <w14:schemeClr w14:val="tx1"/>
            </w14:solidFill>
          </w14:textFill>
        </w:rPr>
        <w:t>）施工指挥长应由施工方现任单位董事长（或总经理）担任；（</w:t>
      </w:r>
      <w:r>
        <w:rPr>
          <w:rFonts w:ascii="宋体" w:hAnsi="宋体" w:eastAsia="宋体" w:cs="宋体"/>
          <w:color w:val="000000" w:themeColor="text1"/>
          <w:sz w:val="24"/>
          <w:highlight w:val="none"/>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）施工副指挥长应由施工方现任单位领</w:t>
      </w:r>
      <w:r>
        <w:rPr>
          <w:rFonts w:hint="eastAsia" w:ascii="宋体" w:hAnsi="宋体" w:eastAsia="宋体" w:cs="宋体"/>
          <w:color w:val="000000" w:themeColor="text1"/>
          <w:sz w:val="24"/>
          <w:szCs w:val="24"/>
          <w:highlight w:val="none"/>
          <w14:textFill>
            <w14:solidFill>
              <w14:schemeClr w14:val="tx1"/>
            </w14:solidFill>
          </w14:textFill>
        </w:rPr>
        <w:t>导班子副职或以上级别的领导担任，且应已任该职务满半年或以上。】、项目经理（按招标公告要求）、设计负责人（按招标公告要求）、专业设计人员、施工技术负责人（按招标文件要求）、专业负责人及相关专业人员的条件完全满足招标文件和工程现场的要求；</w:t>
      </w:r>
    </w:p>
    <w:p w14:paraId="01FB0312">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 项目现场如出现质量、进度、安全等问题时，指挥长或副指挥长必须按发包人通知要求常驻现场，直到问题解决为止。发包人或发包人的上级主管部门要求指挥长或副指挥长出席现场会议的必须到场；</w:t>
      </w:r>
    </w:p>
    <w:p w14:paraId="15B169E9">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 xml:space="preserve">1.4 </w:t>
      </w:r>
      <w:r>
        <w:rPr>
          <w:rFonts w:ascii="宋体" w:hAnsi="宋体" w:eastAsia="宋体" w:cs="宋体"/>
          <w:color w:val="000000" w:themeColor="text1"/>
          <w:sz w:val="24"/>
          <w:szCs w:val="24"/>
          <w:highlight w:val="none"/>
          <w14:textFill>
            <w14:solidFill>
              <w14:schemeClr w14:val="tx1"/>
            </w14:solidFill>
          </w14:textFill>
        </w:rPr>
        <w:t>在收到发包人进场通知的3天内全部到位，</w:t>
      </w:r>
      <w:r>
        <w:rPr>
          <w:rFonts w:hint="eastAsia" w:ascii="宋体" w:hAnsi="宋体" w:eastAsia="宋体" w:cs="宋体"/>
          <w:color w:val="000000" w:themeColor="text1"/>
          <w:sz w:val="24"/>
          <w:szCs w:val="24"/>
          <w:highlight w:val="none"/>
          <w14:textFill>
            <w14:solidFill>
              <w14:schemeClr w14:val="tx1"/>
            </w14:solidFill>
          </w14:textFill>
        </w:rPr>
        <w:t>项目经理、项目总工、项目副经理、项目技术负责人、项目设计负责人等主要人员每月驻场天数不得少于</w:t>
      </w:r>
      <w:r>
        <w:rPr>
          <w:rFonts w:ascii="宋体" w:hAnsi="宋体" w:eastAsia="宋体" w:cs="宋体"/>
          <w:color w:val="000000" w:themeColor="text1"/>
          <w:sz w:val="24"/>
          <w:szCs w:val="24"/>
          <w:highlight w:val="none"/>
          <w14:textFill>
            <w14:solidFill>
              <w14:schemeClr w14:val="tx1"/>
            </w14:solidFill>
          </w14:textFill>
        </w:rPr>
        <w:t>20天，请假天数不得超过5天；</w:t>
      </w:r>
      <w:r>
        <w:rPr>
          <w:rFonts w:hint="eastAsia" w:ascii="宋体" w:hAnsi="宋体" w:eastAsia="宋体" w:cs="宋体"/>
          <w:color w:val="000000" w:themeColor="text1"/>
          <w:sz w:val="24"/>
          <w:szCs w:val="24"/>
          <w:highlight w:val="none"/>
          <w14:textFill>
            <w14:solidFill>
              <w14:schemeClr w14:val="tx1"/>
            </w14:solidFill>
          </w14:textFill>
        </w:rPr>
        <w:t>项目主要专业（建筑、结构、给排水、电气、暖通五个专业之一）的设计负责人作为设计代表常驻现场，服务于项目建设的始终。</w:t>
      </w:r>
    </w:p>
    <w:p w14:paraId="5238D51B">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1.5 主要人员每月驻场天数不应少于20天、请假天数不应超过5天，技术或管理人员需按投标承诺的人员和时间到位。</w:t>
      </w:r>
    </w:p>
    <w:p w14:paraId="695445E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1.6</w:t>
      </w:r>
      <w:bookmarkStart w:id="607" w:name="_Toc35083131"/>
      <w:bookmarkStart w:id="608" w:name="_Toc87991294"/>
      <w:bookmarkStart w:id="609" w:name="_Toc104979716"/>
      <w:r>
        <w:rPr>
          <w:rFonts w:hint="eastAsia" w:ascii="宋体" w:hAnsi="宋体" w:eastAsia="宋体" w:cs="宋体"/>
          <w:color w:val="000000" w:themeColor="text1"/>
          <w:sz w:val="24"/>
          <w:szCs w:val="24"/>
          <w:highlight w:val="none"/>
          <w14:textFill>
            <w14:solidFill>
              <w14:schemeClr w14:val="tx1"/>
            </w14:solidFill>
          </w14:textFill>
        </w:rPr>
        <w:t>按不低于《发包人要求》施工管理主要人员配置要求（工程总承包项目管理团队人员信息表人员除外）配置现场管理人员，根据项目实际进展情况和招标人的实际要求按规定时间分批次到位。</w:t>
      </w:r>
    </w:p>
    <w:p w14:paraId="610A614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bookmarkStart w:id="610" w:name="_Toc106729785"/>
      <w:r>
        <w:rPr>
          <w:rFonts w:hint="eastAsia" w:ascii="宋体" w:hAnsi="宋体" w:eastAsia="宋体" w:cs="宋体"/>
          <w:color w:val="000000" w:themeColor="text1"/>
          <w:sz w:val="24"/>
          <w:szCs w:val="24"/>
          <w:highlight w:val="none"/>
          <w14:textFill>
            <w14:solidFill>
              <w14:schemeClr w14:val="tx1"/>
            </w14:solidFill>
          </w14:textFill>
        </w:rPr>
        <w:t>2. 材料</w:t>
      </w:r>
      <w:bookmarkEnd w:id="607"/>
      <w:bookmarkEnd w:id="608"/>
      <w:r>
        <w:rPr>
          <w:rFonts w:hint="eastAsia" w:ascii="宋体" w:hAnsi="宋体" w:eastAsia="宋体" w:cs="宋体"/>
          <w:color w:val="000000" w:themeColor="text1"/>
          <w:sz w:val="24"/>
          <w:szCs w:val="24"/>
          <w:highlight w:val="none"/>
          <w14:textFill>
            <w14:solidFill>
              <w14:schemeClr w14:val="tx1"/>
            </w14:solidFill>
          </w14:textFill>
        </w:rPr>
        <w:t>设备投入要求</w:t>
      </w:r>
      <w:bookmarkEnd w:id="609"/>
      <w:bookmarkEnd w:id="610"/>
    </w:p>
    <w:p w14:paraId="6642704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t>2.1</w:t>
      </w:r>
      <w:r>
        <w:rPr>
          <w:rFonts w:hint="eastAsia" w:ascii="宋体" w:hAnsi="宋体" w:eastAsia="宋体" w:cs="宋体"/>
          <w:color w:val="000000" w:themeColor="text1"/>
          <w:sz w:val="24"/>
          <w:szCs w:val="24"/>
          <w:highlight w:val="none"/>
          <w14:textFill>
            <w14:solidFill>
              <w14:schemeClr w14:val="tx1"/>
            </w14:solidFill>
          </w14:textFill>
        </w:rPr>
        <w:t xml:space="preserve"> 所有的材料设备完全符合招标文件规定的规格、质量和性能、检验标准和方法；如招标文件中没有提及使用标准，其性能应符合中华人民共和国行业标准、验收规范要求，并保证提供材料设备参数的真实性、有效性，所有的主要材料设备在国内有成功运用业绩，保证其在正确安装、正常使用和保养条件下，在其寿命周期内，不会因为任何潜在缺陷发生安全事故，若由于承包人所提供的材料设备的潜在缺陷导致安全事故，所造成发包人直接损失由承包人负责赔偿。</w:t>
      </w:r>
    </w:p>
    <w:p w14:paraId="1DDB2AD1">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2.2 按不低于招标文件中的主要设备材料推荐品牌表中的生产厂家和品牌，且在选定后经发包人审查同意方可进场。如发生材料设备货不对板、或以低品质材料设备冒充高品质材料设备、或以低技术档次的产品冒充高技术档次产品的情况，该材料设备不得在本工程使用，发包人有权按照对项目最有利原则要求承包人更换为满足设计要求且产品质量、技术性能不低于投标时所报品牌的产品，且价格不调整，承包人愿承担有关违约责任，同时保留发包人追究承包人法律责任的权利。</w:t>
      </w:r>
    </w:p>
    <w:p w14:paraId="7C065C8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2.3 如确实需要使用替代材料设备时，应经发包人和工程师认可并办理变更手续后才能使用，并保证所选用的替代材料设备技术档次不低于招标文件的技术要求，并能满足招标文件和设计文件所要求的性能及功能。由此增加的费用由承包人承担，减少的费用由发包人从合同价款中相应扣减。</w:t>
      </w:r>
    </w:p>
    <w:p w14:paraId="1B18A79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2.4 充分了解工程严格的材料设备投入和工期要求及工程需要实施全面开工所需的设备投入要求。承包人保证在收到发包人通知后</w:t>
      </w:r>
      <w:r>
        <w:rPr>
          <w:rFonts w:ascii="宋体" w:hAnsi="宋体" w:eastAsia="宋体" w:cs="宋体"/>
          <w:color w:val="000000" w:themeColor="text1"/>
          <w:sz w:val="24"/>
          <w:szCs w:val="24"/>
          <w:highlight w:val="none"/>
          <w14:textFill>
            <w14:solidFill>
              <w14:schemeClr w14:val="tx1"/>
            </w14:solidFill>
          </w14:textFill>
        </w:rPr>
        <w:t>3</w:t>
      </w:r>
      <w:r>
        <w:rPr>
          <w:rFonts w:hint="eastAsia" w:ascii="宋体" w:hAnsi="宋体" w:eastAsia="宋体" w:cs="宋体"/>
          <w:color w:val="000000" w:themeColor="text1"/>
          <w:sz w:val="24"/>
          <w:szCs w:val="24"/>
          <w:highlight w:val="none"/>
          <w14:textFill>
            <w14:solidFill>
              <w14:schemeClr w14:val="tx1"/>
            </w14:solidFill>
          </w14:textFill>
        </w:rPr>
        <w:t>天内及施工过程中，准备并供应充足的材料设备，按投标承诺的时间全部按时到位，完全满足施工进度要求，并保证不因任何材料设备因素阻碍工期而影响投标承诺的竣工日期。若因材料设备未按投标承诺的时间投入或发包人要求时间投入，在收到书面通知后，不挑剔、不争辩，也不要求出具证明，</w:t>
      </w:r>
      <w:r>
        <w:rPr>
          <w:rFonts w:ascii="宋体" w:hAnsi="宋体" w:eastAsia="宋体" w:cs="宋体"/>
          <w:color w:val="000000" w:themeColor="text1"/>
          <w:sz w:val="24"/>
          <w:szCs w:val="24"/>
          <w:highlight w:val="none"/>
          <w14:textFill>
            <w14:solidFill>
              <w14:schemeClr w14:val="tx1"/>
            </w14:solidFill>
          </w14:textFill>
        </w:rPr>
        <w:t>5</w:t>
      </w:r>
      <w:r>
        <w:rPr>
          <w:rFonts w:hint="eastAsia" w:ascii="宋体" w:hAnsi="宋体" w:eastAsia="宋体" w:cs="宋体"/>
          <w:color w:val="000000" w:themeColor="text1"/>
          <w:sz w:val="24"/>
          <w:szCs w:val="24"/>
          <w:highlight w:val="none"/>
          <w14:textFill>
            <w14:solidFill>
              <w14:schemeClr w14:val="tx1"/>
            </w14:solidFill>
          </w14:textFill>
        </w:rPr>
        <w:t>天内整改并征得发包人批复同意，否则承包人需承担合同及工期承诺书的违约责任。</w:t>
      </w:r>
    </w:p>
    <w:p w14:paraId="1BE34CE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2.5 从发包人发出开工令起</w:t>
      </w:r>
      <w:r>
        <w:rPr>
          <w:rFonts w:ascii="宋体" w:hAnsi="宋体" w:eastAsia="宋体" w:cs="宋体"/>
          <w:color w:val="000000" w:themeColor="text1"/>
          <w:sz w:val="24"/>
          <w:szCs w:val="24"/>
          <w:highlight w:val="none"/>
          <w14:textFill>
            <w14:solidFill>
              <w14:schemeClr w14:val="tx1"/>
            </w14:solidFill>
          </w14:textFill>
        </w:rPr>
        <w:t>3</w:t>
      </w:r>
      <w:r>
        <w:rPr>
          <w:rFonts w:hint="eastAsia" w:ascii="宋体" w:hAnsi="宋体" w:eastAsia="宋体" w:cs="宋体"/>
          <w:color w:val="000000" w:themeColor="text1"/>
          <w:sz w:val="24"/>
          <w:szCs w:val="24"/>
          <w:highlight w:val="none"/>
          <w14:textFill>
            <w14:solidFill>
              <w14:schemeClr w14:val="tx1"/>
            </w14:solidFill>
          </w14:textFill>
        </w:rPr>
        <w:t>个月内完成大宗装饰装修材料（包括且不限于石材、铝合金门窗、玻璃、幕墙大理石、外墙砖、地板砖、内墙饰面砖、入户门、户内门、防火门等）和水电安装材料（包括且不限于电缆电线、灯具、开关插座、卫生洁具、配电箱等）的看样定板及签订供货协议，并完成各项专业深化图纸设计（包括且不限于铝合金门窗深化图、室内装修深化图等）。</w:t>
      </w:r>
    </w:p>
    <w:p w14:paraId="7A0A71CA">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2.6 主要设备材料推荐品牌表（详见合同）</w:t>
      </w:r>
    </w:p>
    <w:p w14:paraId="7DBC48D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2.7</w:t>
      </w:r>
      <w:bookmarkStart w:id="611" w:name="_Toc87991295"/>
      <w:bookmarkStart w:id="612" w:name="_Toc35083132"/>
      <w:bookmarkStart w:id="613" w:name="_Toc104979717"/>
      <w:bookmarkStart w:id="614" w:name="_Toc106729786"/>
      <w:r>
        <w:rPr>
          <w:rFonts w:hint="eastAsia" w:ascii="宋体" w:hAnsi="宋体" w:eastAsia="宋体" w:cs="宋体"/>
          <w:color w:val="000000" w:themeColor="text1"/>
          <w:sz w:val="24"/>
          <w:szCs w:val="24"/>
          <w:highlight w:val="none"/>
          <w14:textFill>
            <w14:solidFill>
              <w14:schemeClr w14:val="tx1"/>
            </w14:solidFill>
          </w14:textFill>
        </w:rPr>
        <w:t xml:space="preserve"> 主要施工机械及周转</w:t>
      </w:r>
      <w:bookmarkEnd w:id="611"/>
      <w:bookmarkEnd w:id="612"/>
      <w:r>
        <w:rPr>
          <w:rFonts w:hint="eastAsia" w:ascii="宋体" w:hAnsi="宋体" w:eastAsia="宋体" w:cs="宋体"/>
          <w:color w:val="000000" w:themeColor="text1"/>
          <w:sz w:val="24"/>
          <w:szCs w:val="24"/>
          <w:highlight w:val="none"/>
          <w14:textFill>
            <w14:solidFill>
              <w14:schemeClr w14:val="tx1"/>
            </w14:solidFill>
          </w14:textFill>
        </w:rPr>
        <w:t>材料投入</w:t>
      </w:r>
      <w:bookmarkEnd w:id="613"/>
      <w:bookmarkEnd w:id="614"/>
      <w:r>
        <w:rPr>
          <w:rFonts w:hint="eastAsia" w:ascii="宋体" w:hAnsi="宋体" w:eastAsia="宋体" w:cs="宋体"/>
          <w:color w:val="000000" w:themeColor="text1"/>
          <w:sz w:val="24"/>
          <w:szCs w:val="24"/>
          <w:highlight w:val="none"/>
          <w14:textFill>
            <w14:solidFill>
              <w14:schemeClr w14:val="tx1"/>
            </w14:solidFill>
          </w14:textFill>
        </w:rPr>
        <w:t>要求</w:t>
      </w:r>
    </w:p>
    <w:p w14:paraId="3B43670D">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2.7.1.按</w:t>
      </w:r>
      <w:bookmarkStart w:id="615" w:name="_Hlk117845609"/>
      <w:r>
        <w:rPr>
          <w:rFonts w:hint="eastAsia" w:ascii="宋体" w:hAnsi="宋体" w:eastAsia="宋体" w:cs="宋体"/>
          <w:color w:val="000000" w:themeColor="text1"/>
          <w:sz w:val="24"/>
          <w:szCs w:val="24"/>
          <w:highlight w:val="none"/>
          <w14:textFill>
            <w14:solidFill>
              <w14:schemeClr w14:val="tx1"/>
            </w14:solidFill>
          </w14:textFill>
        </w:rPr>
        <w:t>“三、项目管理要求”1</w:t>
      </w:r>
      <w:r>
        <w:rPr>
          <w:rFonts w:ascii="宋体" w:hAnsi="宋体" w:eastAsia="宋体" w:cs="宋体"/>
          <w:color w:val="000000" w:themeColor="text1"/>
          <w:sz w:val="24"/>
          <w:szCs w:val="24"/>
          <w:highlight w:val="none"/>
          <w14:textFill>
            <w14:solidFill>
              <w14:schemeClr w14:val="tx1"/>
            </w14:solidFill>
          </w14:textFill>
        </w:rPr>
        <w:t>1.1</w:t>
      </w:r>
      <w:r>
        <w:rPr>
          <w:rFonts w:hint="eastAsia" w:ascii="宋体" w:hAnsi="宋体" w:eastAsia="宋体" w:cs="宋体"/>
          <w:color w:val="000000" w:themeColor="text1"/>
          <w:sz w:val="24"/>
          <w:szCs w:val="24"/>
          <w:highlight w:val="none"/>
          <w14:textFill>
            <w14:solidFill>
              <w14:schemeClr w14:val="tx1"/>
            </w14:solidFill>
          </w14:textFill>
        </w:rPr>
        <w:t>中《主要施工机械设备要求》</w:t>
      </w:r>
      <w:bookmarkEnd w:id="615"/>
      <w:r>
        <w:rPr>
          <w:rFonts w:hint="eastAsia" w:ascii="宋体" w:hAnsi="宋体" w:eastAsia="宋体" w:cs="宋体"/>
          <w:color w:val="000000" w:themeColor="text1"/>
          <w:sz w:val="24"/>
          <w:szCs w:val="24"/>
          <w:highlight w:val="none"/>
          <w14:textFill>
            <w14:solidFill>
              <w14:schemeClr w14:val="tx1"/>
            </w14:solidFill>
          </w14:textFill>
        </w:rPr>
        <w:t>要求投入。</w:t>
      </w:r>
    </w:p>
    <w:p w14:paraId="23D53CC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若经发包人审查所投入的主要机械及材料未能满足本项目的要求，发包人有权提出调整设备投入以满足本项目的需要，施工机械、周转材料及配套施工人员需按审批进度计划开始施工前3天内到位。</w:t>
      </w:r>
    </w:p>
    <w:p w14:paraId="468A97EE">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 工期要求</w:t>
      </w:r>
    </w:p>
    <w:p w14:paraId="4DF37148">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3.1 承包人保证尽一切力量确保投标承诺的竣工日期，并充分了解在以后施工过程中，本工程会存在比正常项目更多的阻碍工期的情况出现，但是保证严格按照招标文件的内容执行。</w:t>
      </w:r>
    </w:p>
    <w:p w14:paraId="0F4DBF9C">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3.2 对于承包人原因造成的工期延误，工期一概不得顺延；对于非承包人原因造成的工期延误，一般节点工期相应顺延，但该项顺延以不对关键节点工期和总工期构成不利影响为限。关键节点工期一般不予调整，承包人要采取合理有效的赶工措施予以消化。</w:t>
      </w:r>
    </w:p>
    <w:p w14:paraId="34BC7F17">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3.3 配合发包人工期计划安排，按投标工期及关键节点工期完成招标范围内的各项工作。</w:t>
      </w:r>
    </w:p>
    <w:p w14:paraId="3E6470C5">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3.4 若政府要求提前竣工，提前不超过</w:t>
      </w:r>
      <w:r>
        <w:rPr>
          <w:rFonts w:ascii="宋体" w:hAnsi="宋体" w:eastAsia="宋体" w:cs="宋体"/>
          <w:color w:val="000000" w:themeColor="text1"/>
          <w:sz w:val="24"/>
          <w:szCs w:val="24"/>
          <w:highlight w:val="none"/>
          <w14:textFill>
            <w14:solidFill>
              <w14:schemeClr w14:val="tx1"/>
            </w14:solidFill>
          </w14:textFill>
        </w:rPr>
        <w:t>100</w:t>
      </w:r>
      <w:r>
        <w:rPr>
          <w:rFonts w:hint="eastAsia" w:ascii="宋体" w:hAnsi="宋体" w:eastAsia="宋体" w:cs="宋体"/>
          <w:color w:val="000000" w:themeColor="text1"/>
          <w:sz w:val="24"/>
          <w:szCs w:val="24"/>
          <w:highlight w:val="none"/>
          <w14:textFill>
            <w14:solidFill>
              <w14:schemeClr w14:val="tx1"/>
            </w14:solidFill>
          </w14:textFill>
        </w:rPr>
        <w:t>天的，承包人无条件响应政府的要求而调整工期，加大人材机投入，优化施工方案，以满足提前竣工要求。</w:t>
      </w:r>
    </w:p>
    <w:p w14:paraId="2E47001F">
      <w:pPr>
        <w:spacing w:line="360" w:lineRule="auto"/>
        <w:ind w:firstLine="480" w:firstLineChars="20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执行上述内容而需赶工的费用已综合考虑到投标总报价中，除非发包人同意，否则不再向发包人申请赶工费。</w:t>
      </w:r>
    </w:p>
    <w:p w14:paraId="74DC74D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4. 施工强度要求</w:t>
      </w:r>
    </w:p>
    <w:tbl>
      <w:tblPr>
        <w:tblStyle w:val="42"/>
        <w:tblpPr w:leftFromText="180" w:rightFromText="180" w:vertAnchor="text" w:horzAnchor="page" w:tblpX="1707" w:tblpY="972"/>
        <w:tblOverlap w:val="never"/>
        <w:tblW w:w="8804" w:type="dxa"/>
        <w:tblInd w:w="0" w:type="dxa"/>
        <w:tblLayout w:type="fixed"/>
        <w:tblCellMar>
          <w:top w:w="0" w:type="dxa"/>
          <w:left w:w="108" w:type="dxa"/>
          <w:bottom w:w="0" w:type="dxa"/>
          <w:right w:w="108" w:type="dxa"/>
        </w:tblCellMar>
      </w:tblPr>
      <w:tblGrid>
        <w:gridCol w:w="846"/>
        <w:gridCol w:w="2430"/>
        <w:gridCol w:w="1417"/>
        <w:gridCol w:w="1276"/>
        <w:gridCol w:w="2835"/>
      </w:tblGrid>
      <w:tr w14:paraId="25A893FF">
        <w:tblPrEx>
          <w:tblCellMar>
            <w:top w:w="0" w:type="dxa"/>
            <w:left w:w="108" w:type="dxa"/>
            <w:bottom w:w="0" w:type="dxa"/>
            <w:right w:w="108" w:type="dxa"/>
          </w:tblCellMar>
        </w:tblPrEx>
        <w:trPr>
          <w:trHeight w:val="270" w:hRule="atLeast"/>
        </w:trPr>
        <w:tc>
          <w:tcPr>
            <w:tcW w:w="846" w:type="dxa"/>
            <w:tcBorders>
              <w:top w:val="single" w:color="auto" w:sz="4" w:space="0"/>
              <w:left w:val="single" w:color="auto" w:sz="4" w:space="0"/>
              <w:bottom w:val="single" w:color="auto" w:sz="4" w:space="0"/>
              <w:right w:val="single" w:color="auto" w:sz="4" w:space="0"/>
            </w:tcBorders>
            <w:vAlign w:val="center"/>
          </w:tcPr>
          <w:p w14:paraId="487B0BD6">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序号</w:t>
            </w:r>
          </w:p>
        </w:tc>
        <w:tc>
          <w:tcPr>
            <w:tcW w:w="2430" w:type="dxa"/>
            <w:tcBorders>
              <w:top w:val="single" w:color="auto" w:sz="4" w:space="0"/>
              <w:left w:val="nil"/>
              <w:bottom w:val="single" w:color="auto" w:sz="4" w:space="0"/>
              <w:right w:val="single" w:color="auto" w:sz="4" w:space="0"/>
            </w:tcBorders>
            <w:vAlign w:val="center"/>
          </w:tcPr>
          <w:p w14:paraId="3381DF58">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项目名称</w:t>
            </w:r>
          </w:p>
        </w:tc>
        <w:tc>
          <w:tcPr>
            <w:tcW w:w="1417" w:type="dxa"/>
            <w:tcBorders>
              <w:top w:val="single" w:color="auto" w:sz="4" w:space="0"/>
              <w:left w:val="nil"/>
              <w:bottom w:val="single" w:color="auto" w:sz="4" w:space="0"/>
              <w:right w:val="single" w:color="auto" w:sz="4" w:space="0"/>
            </w:tcBorders>
            <w:vAlign w:val="center"/>
          </w:tcPr>
          <w:p w14:paraId="1861FB34">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日工作量</w:t>
            </w:r>
          </w:p>
        </w:tc>
        <w:tc>
          <w:tcPr>
            <w:tcW w:w="1276" w:type="dxa"/>
            <w:tcBorders>
              <w:top w:val="single" w:color="auto" w:sz="4" w:space="0"/>
              <w:left w:val="nil"/>
              <w:bottom w:val="single" w:color="auto" w:sz="4" w:space="0"/>
              <w:right w:val="single" w:color="auto" w:sz="4" w:space="0"/>
            </w:tcBorders>
            <w:vAlign w:val="center"/>
          </w:tcPr>
          <w:p w14:paraId="01EEB144">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单位</w:t>
            </w:r>
          </w:p>
        </w:tc>
        <w:tc>
          <w:tcPr>
            <w:tcW w:w="2835" w:type="dxa"/>
            <w:tcBorders>
              <w:top w:val="single" w:color="auto" w:sz="4" w:space="0"/>
              <w:left w:val="nil"/>
              <w:bottom w:val="single" w:color="auto" w:sz="4" w:space="0"/>
              <w:right w:val="single" w:color="auto" w:sz="4" w:space="0"/>
            </w:tcBorders>
            <w:vAlign w:val="center"/>
          </w:tcPr>
          <w:p w14:paraId="3D133A1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备注</w:t>
            </w:r>
          </w:p>
        </w:tc>
      </w:tr>
      <w:tr w14:paraId="749C064E">
        <w:tblPrEx>
          <w:tblCellMar>
            <w:top w:w="0" w:type="dxa"/>
            <w:left w:w="108" w:type="dxa"/>
            <w:bottom w:w="0" w:type="dxa"/>
            <w:right w:w="108" w:type="dxa"/>
          </w:tblCellMar>
        </w:tblPrEx>
        <w:trPr>
          <w:trHeight w:val="330" w:hRule="atLeast"/>
        </w:trPr>
        <w:tc>
          <w:tcPr>
            <w:tcW w:w="846" w:type="dxa"/>
            <w:tcBorders>
              <w:top w:val="single" w:color="auto" w:sz="4" w:space="0"/>
              <w:left w:val="single" w:color="auto" w:sz="4" w:space="0"/>
              <w:bottom w:val="single" w:color="auto" w:sz="4" w:space="0"/>
              <w:right w:val="single" w:color="auto" w:sz="4" w:space="0"/>
            </w:tcBorders>
            <w:vAlign w:val="center"/>
          </w:tcPr>
          <w:p w14:paraId="4F426FFB">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p>
        </w:tc>
        <w:tc>
          <w:tcPr>
            <w:tcW w:w="2430" w:type="dxa"/>
            <w:tcBorders>
              <w:top w:val="single" w:color="auto" w:sz="4" w:space="0"/>
              <w:left w:val="nil"/>
              <w:bottom w:val="single" w:color="auto" w:sz="4" w:space="0"/>
              <w:right w:val="single" w:color="auto" w:sz="4" w:space="0"/>
            </w:tcBorders>
            <w:vAlign w:val="center"/>
          </w:tcPr>
          <w:p w14:paraId="42CEE1ED">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静压桩（工程桩）</w:t>
            </w:r>
          </w:p>
        </w:tc>
        <w:tc>
          <w:tcPr>
            <w:tcW w:w="1417" w:type="dxa"/>
            <w:tcBorders>
              <w:top w:val="single" w:color="auto" w:sz="4" w:space="0"/>
              <w:left w:val="nil"/>
              <w:bottom w:val="single" w:color="auto" w:sz="4" w:space="0"/>
              <w:right w:val="single" w:color="auto" w:sz="4" w:space="0"/>
            </w:tcBorders>
            <w:vAlign w:val="center"/>
          </w:tcPr>
          <w:p w14:paraId="15BE109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30</w:t>
            </w:r>
          </w:p>
        </w:tc>
        <w:tc>
          <w:tcPr>
            <w:tcW w:w="1276" w:type="dxa"/>
            <w:tcBorders>
              <w:top w:val="single" w:color="auto" w:sz="4" w:space="0"/>
              <w:left w:val="nil"/>
              <w:bottom w:val="single" w:color="auto" w:sz="4" w:space="0"/>
              <w:right w:val="single" w:color="auto" w:sz="4" w:space="0"/>
            </w:tcBorders>
            <w:vAlign w:val="center"/>
          </w:tcPr>
          <w:p w14:paraId="378F8CB5">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根</w:t>
            </w:r>
          </w:p>
        </w:tc>
        <w:tc>
          <w:tcPr>
            <w:tcW w:w="2835" w:type="dxa"/>
            <w:tcBorders>
              <w:top w:val="single" w:color="auto" w:sz="4" w:space="0"/>
              <w:left w:val="nil"/>
              <w:bottom w:val="single" w:color="auto" w:sz="4" w:space="0"/>
              <w:right w:val="single" w:color="auto" w:sz="4" w:space="0"/>
            </w:tcBorders>
            <w:vAlign w:val="center"/>
          </w:tcPr>
          <w:p w14:paraId="1915CE67">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2A6499A1">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20AAC3B7">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p>
        </w:tc>
        <w:tc>
          <w:tcPr>
            <w:tcW w:w="2430" w:type="dxa"/>
            <w:tcBorders>
              <w:top w:val="nil"/>
              <w:left w:val="nil"/>
              <w:bottom w:val="single" w:color="auto" w:sz="4" w:space="0"/>
              <w:right w:val="single" w:color="auto" w:sz="4" w:space="0"/>
            </w:tcBorders>
            <w:vAlign w:val="center"/>
          </w:tcPr>
          <w:p w14:paraId="5223142D">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灌注桩（工程桩）</w:t>
            </w:r>
          </w:p>
        </w:tc>
        <w:tc>
          <w:tcPr>
            <w:tcW w:w="1417" w:type="dxa"/>
            <w:tcBorders>
              <w:top w:val="nil"/>
              <w:left w:val="nil"/>
              <w:bottom w:val="single" w:color="auto" w:sz="4" w:space="0"/>
              <w:right w:val="single" w:color="auto" w:sz="4" w:space="0"/>
            </w:tcBorders>
            <w:vAlign w:val="center"/>
          </w:tcPr>
          <w:p w14:paraId="26C9F43E">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4</w:t>
            </w:r>
          </w:p>
        </w:tc>
        <w:tc>
          <w:tcPr>
            <w:tcW w:w="1276" w:type="dxa"/>
            <w:tcBorders>
              <w:top w:val="nil"/>
              <w:left w:val="nil"/>
              <w:bottom w:val="single" w:color="auto" w:sz="4" w:space="0"/>
              <w:right w:val="single" w:color="auto" w:sz="4" w:space="0"/>
            </w:tcBorders>
            <w:vAlign w:val="center"/>
          </w:tcPr>
          <w:p w14:paraId="2CABA59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根</w:t>
            </w:r>
          </w:p>
        </w:tc>
        <w:tc>
          <w:tcPr>
            <w:tcW w:w="2835" w:type="dxa"/>
            <w:tcBorders>
              <w:top w:val="nil"/>
              <w:left w:val="nil"/>
              <w:bottom w:val="single" w:color="auto" w:sz="4" w:space="0"/>
              <w:right w:val="single" w:color="auto" w:sz="4" w:space="0"/>
            </w:tcBorders>
            <w:vAlign w:val="center"/>
          </w:tcPr>
          <w:p w14:paraId="4FFCA577">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3D68CCAA">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70666F55">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w:t>
            </w:r>
          </w:p>
        </w:tc>
        <w:tc>
          <w:tcPr>
            <w:tcW w:w="2430" w:type="dxa"/>
            <w:tcBorders>
              <w:top w:val="nil"/>
              <w:left w:val="nil"/>
              <w:bottom w:val="single" w:color="auto" w:sz="4" w:space="0"/>
              <w:right w:val="single" w:color="auto" w:sz="4" w:space="0"/>
            </w:tcBorders>
            <w:vAlign w:val="center"/>
          </w:tcPr>
          <w:p w14:paraId="24C9F26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旋挖灌注桩（支护桩）</w:t>
            </w:r>
          </w:p>
        </w:tc>
        <w:tc>
          <w:tcPr>
            <w:tcW w:w="1417" w:type="dxa"/>
            <w:tcBorders>
              <w:top w:val="nil"/>
              <w:left w:val="nil"/>
              <w:bottom w:val="single" w:color="auto" w:sz="4" w:space="0"/>
              <w:right w:val="single" w:color="auto" w:sz="4" w:space="0"/>
            </w:tcBorders>
            <w:vAlign w:val="center"/>
          </w:tcPr>
          <w:p w14:paraId="72657A96">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w:t>
            </w:r>
          </w:p>
        </w:tc>
        <w:tc>
          <w:tcPr>
            <w:tcW w:w="1276" w:type="dxa"/>
            <w:tcBorders>
              <w:top w:val="nil"/>
              <w:left w:val="nil"/>
              <w:bottom w:val="single" w:color="auto" w:sz="4" w:space="0"/>
              <w:right w:val="single" w:color="auto" w:sz="4" w:space="0"/>
            </w:tcBorders>
            <w:vAlign w:val="center"/>
          </w:tcPr>
          <w:p w14:paraId="3A1CC188">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根</w:t>
            </w:r>
          </w:p>
        </w:tc>
        <w:tc>
          <w:tcPr>
            <w:tcW w:w="2835" w:type="dxa"/>
            <w:tcBorders>
              <w:top w:val="nil"/>
              <w:left w:val="nil"/>
              <w:bottom w:val="single" w:color="auto" w:sz="4" w:space="0"/>
              <w:right w:val="single" w:color="auto" w:sz="4" w:space="0"/>
            </w:tcBorders>
            <w:vAlign w:val="center"/>
          </w:tcPr>
          <w:p w14:paraId="7C394DC1">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6C78DA72">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788070CB">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4</w:t>
            </w:r>
          </w:p>
        </w:tc>
        <w:tc>
          <w:tcPr>
            <w:tcW w:w="2430" w:type="dxa"/>
            <w:tcBorders>
              <w:top w:val="nil"/>
              <w:left w:val="nil"/>
              <w:bottom w:val="single" w:color="auto" w:sz="4" w:space="0"/>
              <w:right w:val="single" w:color="auto" w:sz="4" w:space="0"/>
            </w:tcBorders>
            <w:vAlign w:val="center"/>
          </w:tcPr>
          <w:p w14:paraId="7274102F">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三轴搅拌桩（支护桩）</w:t>
            </w:r>
          </w:p>
        </w:tc>
        <w:tc>
          <w:tcPr>
            <w:tcW w:w="1417" w:type="dxa"/>
            <w:tcBorders>
              <w:top w:val="nil"/>
              <w:left w:val="nil"/>
              <w:bottom w:val="single" w:color="auto" w:sz="4" w:space="0"/>
              <w:right w:val="single" w:color="auto" w:sz="4" w:space="0"/>
            </w:tcBorders>
            <w:vAlign w:val="center"/>
          </w:tcPr>
          <w:p w14:paraId="699DBF67">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300</w:t>
            </w:r>
          </w:p>
        </w:tc>
        <w:tc>
          <w:tcPr>
            <w:tcW w:w="1276" w:type="dxa"/>
            <w:tcBorders>
              <w:top w:val="nil"/>
              <w:left w:val="nil"/>
              <w:bottom w:val="single" w:color="auto" w:sz="4" w:space="0"/>
              <w:right w:val="single" w:color="auto" w:sz="4" w:space="0"/>
            </w:tcBorders>
            <w:vAlign w:val="center"/>
          </w:tcPr>
          <w:p w14:paraId="63C4B4A6">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米</w:t>
            </w:r>
          </w:p>
        </w:tc>
        <w:tc>
          <w:tcPr>
            <w:tcW w:w="2835" w:type="dxa"/>
            <w:tcBorders>
              <w:top w:val="nil"/>
              <w:left w:val="nil"/>
              <w:bottom w:val="single" w:color="auto" w:sz="4" w:space="0"/>
              <w:right w:val="single" w:color="auto" w:sz="4" w:space="0"/>
            </w:tcBorders>
            <w:vAlign w:val="center"/>
          </w:tcPr>
          <w:p w14:paraId="0C53232B">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193C0D63">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73613F9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2430" w:type="dxa"/>
            <w:tcBorders>
              <w:top w:val="nil"/>
              <w:left w:val="nil"/>
              <w:bottom w:val="single" w:color="auto" w:sz="4" w:space="0"/>
              <w:right w:val="single" w:color="auto" w:sz="4" w:space="0"/>
            </w:tcBorders>
            <w:vAlign w:val="center"/>
          </w:tcPr>
          <w:p w14:paraId="74D1B7E8">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水泥搅拌桩（支护桩）</w:t>
            </w:r>
          </w:p>
        </w:tc>
        <w:tc>
          <w:tcPr>
            <w:tcW w:w="1417" w:type="dxa"/>
            <w:tcBorders>
              <w:top w:val="nil"/>
              <w:left w:val="nil"/>
              <w:bottom w:val="single" w:color="auto" w:sz="4" w:space="0"/>
              <w:right w:val="single" w:color="auto" w:sz="4" w:space="0"/>
            </w:tcBorders>
            <w:vAlign w:val="center"/>
          </w:tcPr>
          <w:p w14:paraId="2C892BB4">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400</w:t>
            </w:r>
          </w:p>
        </w:tc>
        <w:tc>
          <w:tcPr>
            <w:tcW w:w="1276" w:type="dxa"/>
            <w:tcBorders>
              <w:top w:val="nil"/>
              <w:left w:val="nil"/>
              <w:bottom w:val="single" w:color="auto" w:sz="4" w:space="0"/>
              <w:right w:val="single" w:color="auto" w:sz="4" w:space="0"/>
            </w:tcBorders>
            <w:vAlign w:val="center"/>
          </w:tcPr>
          <w:p w14:paraId="255E6BF0">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米</w:t>
            </w:r>
          </w:p>
        </w:tc>
        <w:tc>
          <w:tcPr>
            <w:tcW w:w="2835" w:type="dxa"/>
            <w:tcBorders>
              <w:top w:val="nil"/>
              <w:left w:val="nil"/>
              <w:bottom w:val="single" w:color="auto" w:sz="4" w:space="0"/>
              <w:right w:val="single" w:color="auto" w:sz="4" w:space="0"/>
            </w:tcBorders>
            <w:vAlign w:val="center"/>
          </w:tcPr>
          <w:p w14:paraId="325F9DF8">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7BD9FC82">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2FDA3DB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6</w:t>
            </w:r>
          </w:p>
        </w:tc>
        <w:tc>
          <w:tcPr>
            <w:tcW w:w="2430" w:type="dxa"/>
            <w:tcBorders>
              <w:top w:val="nil"/>
              <w:left w:val="nil"/>
              <w:bottom w:val="single" w:color="auto" w:sz="4" w:space="0"/>
              <w:right w:val="single" w:color="auto" w:sz="4" w:space="0"/>
            </w:tcBorders>
            <w:vAlign w:val="center"/>
          </w:tcPr>
          <w:p w14:paraId="627EA2DE">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土方开挖及外运</w:t>
            </w:r>
          </w:p>
        </w:tc>
        <w:tc>
          <w:tcPr>
            <w:tcW w:w="1417" w:type="dxa"/>
            <w:tcBorders>
              <w:top w:val="nil"/>
              <w:left w:val="nil"/>
              <w:bottom w:val="single" w:color="auto" w:sz="4" w:space="0"/>
              <w:right w:val="single" w:color="auto" w:sz="4" w:space="0"/>
            </w:tcBorders>
            <w:vAlign w:val="center"/>
          </w:tcPr>
          <w:p w14:paraId="2F3B157C">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3</w:t>
            </w:r>
            <w:r>
              <w:rPr>
                <w:rFonts w:ascii="宋体" w:hAnsi="宋体" w:eastAsia="宋体"/>
                <w:color w:val="000000" w:themeColor="text1"/>
                <w:sz w:val="21"/>
                <w:szCs w:val="21"/>
                <w:highlight w:val="none"/>
                <w14:textFill>
                  <w14:solidFill>
                    <w14:schemeClr w14:val="tx1"/>
                  </w14:solidFill>
                </w14:textFill>
              </w:rPr>
              <w:t>000</w:t>
            </w:r>
          </w:p>
        </w:tc>
        <w:tc>
          <w:tcPr>
            <w:tcW w:w="1276" w:type="dxa"/>
            <w:tcBorders>
              <w:top w:val="nil"/>
              <w:left w:val="nil"/>
              <w:bottom w:val="single" w:color="auto" w:sz="4" w:space="0"/>
              <w:right w:val="single" w:color="auto" w:sz="4" w:space="0"/>
            </w:tcBorders>
            <w:vAlign w:val="center"/>
          </w:tcPr>
          <w:p w14:paraId="08B41309">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立方米</w:t>
            </w:r>
          </w:p>
        </w:tc>
        <w:tc>
          <w:tcPr>
            <w:tcW w:w="2835" w:type="dxa"/>
            <w:tcBorders>
              <w:top w:val="nil"/>
              <w:left w:val="nil"/>
              <w:bottom w:val="single" w:color="auto" w:sz="4" w:space="0"/>
              <w:right w:val="single" w:color="auto" w:sz="4" w:space="0"/>
            </w:tcBorders>
            <w:vAlign w:val="center"/>
          </w:tcPr>
          <w:p w14:paraId="7F4B03B4">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1772D211">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74B90B9F">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7</w:t>
            </w:r>
          </w:p>
        </w:tc>
        <w:tc>
          <w:tcPr>
            <w:tcW w:w="2430" w:type="dxa"/>
            <w:tcBorders>
              <w:top w:val="nil"/>
              <w:left w:val="nil"/>
              <w:bottom w:val="single" w:color="auto" w:sz="4" w:space="0"/>
              <w:right w:val="single" w:color="auto" w:sz="4" w:space="0"/>
            </w:tcBorders>
            <w:vAlign w:val="center"/>
          </w:tcPr>
          <w:p w14:paraId="79FFD176">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溶洞注浆预处理（如有）</w:t>
            </w:r>
          </w:p>
        </w:tc>
        <w:tc>
          <w:tcPr>
            <w:tcW w:w="1417" w:type="dxa"/>
            <w:tcBorders>
              <w:top w:val="nil"/>
              <w:left w:val="nil"/>
              <w:bottom w:val="single" w:color="auto" w:sz="4" w:space="0"/>
              <w:right w:val="single" w:color="auto" w:sz="4" w:space="0"/>
            </w:tcBorders>
            <w:vAlign w:val="center"/>
          </w:tcPr>
          <w:p w14:paraId="6613A210">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1555.6</w:t>
            </w:r>
          </w:p>
        </w:tc>
        <w:tc>
          <w:tcPr>
            <w:tcW w:w="1276" w:type="dxa"/>
            <w:tcBorders>
              <w:top w:val="nil"/>
              <w:left w:val="nil"/>
              <w:bottom w:val="single" w:color="auto" w:sz="4" w:space="0"/>
              <w:right w:val="single" w:color="auto" w:sz="4" w:space="0"/>
            </w:tcBorders>
            <w:vAlign w:val="center"/>
          </w:tcPr>
          <w:p w14:paraId="1A3D25F1">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立方米</w:t>
            </w:r>
          </w:p>
        </w:tc>
        <w:tc>
          <w:tcPr>
            <w:tcW w:w="2835" w:type="dxa"/>
            <w:tcBorders>
              <w:top w:val="nil"/>
              <w:left w:val="nil"/>
              <w:bottom w:val="single" w:color="auto" w:sz="4" w:space="0"/>
              <w:right w:val="single" w:color="auto" w:sz="4" w:space="0"/>
            </w:tcBorders>
            <w:vAlign w:val="center"/>
          </w:tcPr>
          <w:p w14:paraId="36E55822">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3BAF054C">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2AF1951E">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8</w:t>
            </w:r>
          </w:p>
        </w:tc>
        <w:tc>
          <w:tcPr>
            <w:tcW w:w="2430" w:type="dxa"/>
            <w:tcBorders>
              <w:top w:val="nil"/>
              <w:left w:val="nil"/>
              <w:bottom w:val="single" w:color="auto" w:sz="4" w:space="0"/>
              <w:right w:val="single" w:color="auto" w:sz="4" w:space="0"/>
            </w:tcBorders>
            <w:vAlign w:val="center"/>
          </w:tcPr>
          <w:p w14:paraId="10F2698E">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锚索</w:t>
            </w:r>
          </w:p>
        </w:tc>
        <w:tc>
          <w:tcPr>
            <w:tcW w:w="1417" w:type="dxa"/>
            <w:tcBorders>
              <w:top w:val="nil"/>
              <w:left w:val="nil"/>
              <w:bottom w:val="single" w:color="auto" w:sz="4" w:space="0"/>
              <w:right w:val="single" w:color="auto" w:sz="4" w:space="0"/>
            </w:tcBorders>
            <w:vAlign w:val="center"/>
          </w:tcPr>
          <w:p w14:paraId="3EC83544">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20</w:t>
            </w:r>
          </w:p>
        </w:tc>
        <w:tc>
          <w:tcPr>
            <w:tcW w:w="1276" w:type="dxa"/>
            <w:tcBorders>
              <w:top w:val="nil"/>
              <w:left w:val="nil"/>
              <w:bottom w:val="single" w:color="auto" w:sz="4" w:space="0"/>
              <w:right w:val="single" w:color="auto" w:sz="4" w:space="0"/>
            </w:tcBorders>
            <w:vAlign w:val="center"/>
          </w:tcPr>
          <w:p w14:paraId="21B052E3">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根</w:t>
            </w:r>
          </w:p>
        </w:tc>
        <w:tc>
          <w:tcPr>
            <w:tcW w:w="2835" w:type="dxa"/>
            <w:tcBorders>
              <w:top w:val="nil"/>
              <w:left w:val="nil"/>
              <w:bottom w:val="single" w:color="auto" w:sz="4" w:space="0"/>
              <w:right w:val="single" w:color="auto" w:sz="4" w:space="0"/>
            </w:tcBorders>
          </w:tcPr>
          <w:p w14:paraId="0468987F">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r w14:paraId="498A8707">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446B0130">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9</w:t>
            </w:r>
          </w:p>
        </w:tc>
        <w:tc>
          <w:tcPr>
            <w:tcW w:w="2430" w:type="dxa"/>
            <w:tcBorders>
              <w:top w:val="nil"/>
              <w:left w:val="nil"/>
              <w:bottom w:val="single" w:color="auto" w:sz="4" w:space="0"/>
              <w:right w:val="single" w:color="auto" w:sz="4" w:space="0"/>
            </w:tcBorders>
            <w:vAlign w:val="center"/>
          </w:tcPr>
          <w:p w14:paraId="58195A57">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喷锚</w:t>
            </w:r>
          </w:p>
        </w:tc>
        <w:tc>
          <w:tcPr>
            <w:tcW w:w="1417" w:type="dxa"/>
            <w:tcBorders>
              <w:top w:val="nil"/>
              <w:left w:val="nil"/>
              <w:bottom w:val="single" w:color="auto" w:sz="4" w:space="0"/>
              <w:right w:val="single" w:color="auto" w:sz="4" w:space="0"/>
            </w:tcBorders>
            <w:vAlign w:val="center"/>
          </w:tcPr>
          <w:p w14:paraId="5FAB9585">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1000</w:t>
            </w:r>
          </w:p>
        </w:tc>
        <w:tc>
          <w:tcPr>
            <w:tcW w:w="1276" w:type="dxa"/>
            <w:tcBorders>
              <w:top w:val="nil"/>
              <w:left w:val="nil"/>
              <w:bottom w:val="single" w:color="auto" w:sz="4" w:space="0"/>
              <w:right w:val="single" w:color="auto" w:sz="4" w:space="0"/>
            </w:tcBorders>
            <w:vAlign w:val="center"/>
          </w:tcPr>
          <w:p w14:paraId="5493E7F5">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平方米</w:t>
            </w:r>
          </w:p>
        </w:tc>
        <w:tc>
          <w:tcPr>
            <w:tcW w:w="2835" w:type="dxa"/>
            <w:tcBorders>
              <w:top w:val="nil"/>
              <w:left w:val="nil"/>
              <w:bottom w:val="single" w:color="auto" w:sz="4" w:space="0"/>
              <w:right w:val="single" w:color="auto" w:sz="4" w:space="0"/>
            </w:tcBorders>
            <w:vAlign w:val="center"/>
          </w:tcPr>
          <w:p w14:paraId="49367746">
            <w:pPr>
              <w:spacing w:line="240" w:lineRule="auto"/>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满足阶段性进度需求</w:t>
            </w:r>
          </w:p>
        </w:tc>
      </w:tr>
    </w:tbl>
    <w:p w14:paraId="626B062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4.1 严格按照本工程工期的要求，保证投入足够的人力、物力满足招标文件和工程现场的工期要求，并达到以下的施工强度。</w:t>
      </w:r>
    </w:p>
    <w:p w14:paraId="3ED74A73">
      <w:pPr>
        <w:pStyle w:val="4"/>
        <w:rPr>
          <w:color w:val="000000" w:themeColor="text1"/>
          <w:highlight w:val="none"/>
          <w14:textFill>
            <w14:solidFill>
              <w14:schemeClr w14:val="tx1"/>
            </w14:solidFill>
          </w14:textFill>
        </w:rPr>
      </w:pPr>
    </w:p>
    <w:p w14:paraId="6450008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若未能完成承诺的日工作量，在收到书面通知后，不挑剔、不争辩，也不要求出具证明，</w:t>
      </w:r>
      <w:r>
        <w:rPr>
          <w:rFonts w:ascii="宋体" w:hAnsi="宋体" w:eastAsia="宋体"/>
          <w:color w:val="000000" w:themeColor="text1"/>
          <w:sz w:val="24"/>
          <w:szCs w:val="24"/>
          <w:highlight w:val="none"/>
          <w14:textFill>
            <w14:solidFill>
              <w14:schemeClr w14:val="tx1"/>
            </w14:solidFill>
          </w14:textFill>
        </w:rPr>
        <w:t>2</w:t>
      </w:r>
      <w:r>
        <w:rPr>
          <w:rFonts w:hint="eastAsia" w:ascii="宋体" w:hAnsi="宋体" w:eastAsia="宋体"/>
          <w:color w:val="000000" w:themeColor="text1"/>
          <w:sz w:val="24"/>
          <w:szCs w:val="24"/>
          <w:highlight w:val="none"/>
          <w14:textFill>
            <w14:solidFill>
              <w14:schemeClr w14:val="tx1"/>
            </w14:solidFill>
          </w14:textFill>
        </w:rPr>
        <w:t>天内整改并征得发包人批复同意。</w:t>
      </w:r>
    </w:p>
    <w:p w14:paraId="6C314AA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5. 施工交叉作业要求</w:t>
      </w:r>
    </w:p>
    <w:p w14:paraId="3A0AD6E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承包人施工过程中要调查现场，充分预计到各种因素影响，可能导致现场交叉作业，并按发包人要求，一旦有工作面能及时分批次组织人员、材料、设备等进行施工。</w:t>
      </w:r>
    </w:p>
    <w:p w14:paraId="4CE3C9D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与其他承包人交叉作业时，如发生有工作面，经发包人协调仍未施工的情况，发包人有权指定其他承包人完成该项工程，并按发包人要求移交场地。</w:t>
      </w:r>
      <w:r>
        <w:rPr>
          <w:rFonts w:ascii="宋体" w:hAnsi="宋体" w:eastAsia="宋体"/>
          <w:color w:val="000000" w:themeColor="text1"/>
          <w:sz w:val="24"/>
          <w:szCs w:val="24"/>
          <w:highlight w:val="none"/>
          <w14:textFill>
            <w14:solidFill>
              <w14:schemeClr w14:val="tx1"/>
            </w14:solidFill>
          </w14:textFill>
        </w:rPr>
        <w:t xml:space="preserve"> </w:t>
      </w:r>
    </w:p>
    <w:p w14:paraId="59C2259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p>
    <w:p w14:paraId="0829542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6. 溶洞处理体积与质量换算要求（如有）</w:t>
      </w:r>
    </w:p>
    <w:tbl>
      <w:tblPr>
        <w:tblStyle w:val="42"/>
        <w:tblpPr w:leftFromText="180" w:rightFromText="180" w:vertAnchor="text" w:horzAnchor="page" w:tblpX="1161" w:tblpY="1982"/>
        <w:tblOverlap w:val="never"/>
        <w:tblW w:w="0" w:type="auto"/>
        <w:tblInd w:w="0" w:type="dxa"/>
        <w:tblLayout w:type="fixed"/>
        <w:tblCellMar>
          <w:top w:w="15" w:type="dxa"/>
          <w:left w:w="15" w:type="dxa"/>
          <w:bottom w:w="15" w:type="dxa"/>
          <w:right w:w="15" w:type="dxa"/>
        </w:tblCellMar>
      </w:tblPr>
      <w:tblGrid>
        <w:gridCol w:w="9287"/>
      </w:tblGrid>
      <w:tr w14:paraId="4332A137">
        <w:tblPrEx>
          <w:tblCellMar>
            <w:top w:w="15" w:type="dxa"/>
            <w:left w:w="15" w:type="dxa"/>
            <w:bottom w:w="15" w:type="dxa"/>
            <w:right w:w="15" w:type="dxa"/>
          </w:tblCellMar>
        </w:tblPrEx>
        <w:trPr>
          <w:trHeight w:val="285" w:hRule="atLeast"/>
        </w:trPr>
        <w:tc>
          <w:tcPr>
            <w:tcW w:w="9287" w:type="dxa"/>
            <w:noWrap/>
            <w:vAlign w:val="center"/>
          </w:tcPr>
          <w:p w14:paraId="348DE90F">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溶洞处理体积与质量换算表</w:t>
            </w:r>
          </w:p>
        </w:tc>
      </w:tr>
    </w:tbl>
    <w:p w14:paraId="085FA0B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保证尽一切力量确保投标承诺的施工目标，充分解在本工程溶洞处理施工过程中可能出现的不利情况；且在投标报价中已综合考虑到本工程溶洞处理可能因项目实际情况调整变动，无论工程实际情况如何变化，本工程溶洞处理材料工程量均按下表溶洞处理体积与质量换算表换算计量：</w:t>
      </w:r>
    </w:p>
    <w:tbl>
      <w:tblPr>
        <w:tblStyle w:val="42"/>
        <w:tblpPr w:leftFromText="180" w:rightFromText="180" w:vertAnchor="text" w:horzAnchor="page" w:tblpX="944" w:tblpY="73"/>
        <w:tblOverlap w:val="never"/>
        <w:tblW w:w="9987" w:type="dxa"/>
        <w:tblInd w:w="0" w:type="dxa"/>
        <w:tblLayout w:type="fixed"/>
        <w:tblCellMar>
          <w:top w:w="15" w:type="dxa"/>
          <w:left w:w="15" w:type="dxa"/>
          <w:bottom w:w="15" w:type="dxa"/>
          <w:right w:w="15" w:type="dxa"/>
        </w:tblCellMar>
      </w:tblPr>
      <w:tblGrid>
        <w:gridCol w:w="704"/>
        <w:gridCol w:w="1701"/>
        <w:gridCol w:w="2621"/>
        <w:gridCol w:w="1206"/>
        <w:gridCol w:w="1276"/>
        <w:gridCol w:w="1270"/>
        <w:gridCol w:w="1209"/>
      </w:tblGrid>
      <w:tr w14:paraId="0F30AECF">
        <w:tblPrEx>
          <w:tblCellMar>
            <w:top w:w="15" w:type="dxa"/>
            <w:left w:w="15" w:type="dxa"/>
            <w:bottom w:w="15" w:type="dxa"/>
            <w:right w:w="15" w:type="dxa"/>
          </w:tblCellMar>
        </w:tblPrEx>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57A61966">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序号</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29346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名称</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39CB03F1">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规格</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C630FD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密度（</w:t>
            </w:r>
            <w:r>
              <w:rPr>
                <w:rFonts w:ascii="宋体" w:hAnsi="宋体" w:eastAsia="宋体"/>
                <w:color w:val="000000" w:themeColor="text1"/>
                <w:sz w:val="24"/>
                <w:szCs w:val="24"/>
                <w:highlight w:val="none"/>
                <w14:textFill>
                  <w14:solidFill>
                    <w14:schemeClr w14:val="tx1"/>
                  </w14:solidFill>
                </w14:textFill>
              </w:rPr>
              <w:t>kg/m</w:t>
            </w:r>
            <w:r>
              <w:rPr>
                <w:rFonts w:hint="eastAsia" w:ascii="宋体" w:hAnsi="宋体" w:eastAsia="宋体"/>
                <w:color w:val="000000" w:themeColor="text1"/>
                <w:sz w:val="24"/>
                <w:szCs w:val="24"/>
                <w:highlight w:val="none"/>
                <w14:textFill>
                  <w14:solidFill>
                    <w14:schemeClr w14:val="tx1"/>
                  </w14:solidFill>
                </w14:textFill>
              </w:rPr>
              <w:t>³</w:t>
            </w:r>
            <w:r>
              <w:rPr>
                <w:rFonts w:ascii="宋体" w:hAnsi="宋体" w:eastAsia="宋体"/>
                <w:color w:val="000000" w:themeColor="text1"/>
                <w:sz w:val="24"/>
                <w:szCs w:val="24"/>
                <w:highlight w:val="none"/>
                <w14:textFill>
                  <w14:solidFill>
                    <w14:schemeClr w14:val="tx1"/>
                  </w14:solidFill>
                </w14:textFill>
              </w:rPr>
              <w:t>）</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F62818B">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每吨用量折算立方米</w:t>
            </w:r>
          </w:p>
          <w:p w14:paraId="4110895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m</w:t>
            </w:r>
            <w:r>
              <w:rPr>
                <w:rFonts w:hint="eastAsia" w:ascii="宋体" w:hAnsi="宋体" w:eastAsia="宋体"/>
                <w:color w:val="000000" w:themeColor="text1"/>
                <w:sz w:val="24"/>
                <w:szCs w:val="24"/>
                <w:highlight w:val="none"/>
                <w14:textFill>
                  <w14:solidFill>
                    <w14:schemeClr w14:val="tx1"/>
                  </w14:solidFill>
                </w14:textFill>
              </w:rPr>
              <w:t>³</w:t>
            </w:r>
            <w:r>
              <w:rPr>
                <w:rFonts w:ascii="宋体" w:hAnsi="宋体" w:eastAsia="宋体"/>
                <w:color w:val="000000" w:themeColor="text1"/>
                <w:sz w:val="24"/>
                <w:szCs w:val="24"/>
                <w:highlight w:val="none"/>
                <w14:textFill>
                  <w14:solidFill>
                    <w14:schemeClr w14:val="tx1"/>
                  </w14:solidFill>
                </w14:textFill>
              </w:rPr>
              <w:t>/t</w:t>
            </w:r>
            <w:r>
              <w:rPr>
                <w:rFonts w:hint="eastAsia" w:ascii="宋体" w:hAnsi="宋体" w:eastAsia="宋体"/>
                <w:color w:val="000000" w:themeColor="text1"/>
                <w:sz w:val="24"/>
                <w:szCs w:val="24"/>
                <w:highlight w:val="none"/>
                <w14:textFill>
                  <w14:solidFill>
                    <w14:schemeClr w14:val="tx1"/>
                  </w14:solidFill>
                </w14:textFill>
              </w:rPr>
              <w:t>）</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32709768">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每立方米浆液用量（</w:t>
            </w:r>
            <w:r>
              <w:rPr>
                <w:rFonts w:ascii="宋体" w:hAnsi="宋体" w:eastAsia="宋体"/>
                <w:color w:val="000000" w:themeColor="text1"/>
                <w:sz w:val="24"/>
                <w:szCs w:val="24"/>
                <w:highlight w:val="none"/>
                <w14:textFill>
                  <w14:solidFill>
                    <w14:schemeClr w14:val="tx1"/>
                  </w14:solidFill>
                </w14:textFill>
              </w:rPr>
              <w:t>kg/m</w:t>
            </w:r>
            <w:r>
              <w:rPr>
                <w:rFonts w:hint="eastAsia" w:ascii="宋体" w:hAnsi="宋体" w:eastAsia="宋体"/>
                <w:color w:val="000000" w:themeColor="text1"/>
                <w:sz w:val="24"/>
                <w:szCs w:val="24"/>
                <w:highlight w:val="none"/>
                <w14:textFill>
                  <w14:solidFill>
                    <w14:schemeClr w14:val="tx1"/>
                  </w14:solidFill>
                </w14:textFill>
              </w:rPr>
              <w:t>³）</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246D465A">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备注</w:t>
            </w:r>
          </w:p>
        </w:tc>
      </w:tr>
      <w:tr w14:paraId="72EEA536">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59AEF2F2">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7AB0D26">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水泥浆（单液浆）</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68243F79">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质量比（</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1A3E889">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1512</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81CB8F9">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0.661</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20F0DCD6">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w:t>
            </w:r>
          </w:p>
        </w:tc>
        <w:tc>
          <w:tcPr>
            <w:tcW w:w="1209" w:type="dxa"/>
            <w:vMerge w:val="restart"/>
            <w:tcBorders>
              <w:top w:val="single" w:color="000000" w:sz="4" w:space="0"/>
              <w:left w:val="single" w:color="000000" w:sz="4" w:space="0"/>
              <w:right w:val="single" w:color="000000" w:sz="4" w:space="0"/>
            </w:tcBorders>
            <w:noWrap/>
            <w:vAlign w:val="center"/>
          </w:tcPr>
          <w:p w14:paraId="5354AFF1">
            <w:pPr>
              <w:spacing w:line="240" w:lineRule="auto"/>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质量比（</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p>
        </w:tc>
      </w:tr>
      <w:tr w14:paraId="458188F0">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484501B3">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5F1E40">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4E183825">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42.5</w:t>
            </w:r>
            <w:r>
              <w:rPr>
                <w:rFonts w:hint="eastAsia" w:ascii="宋体" w:hAnsi="宋体" w:eastAsia="宋体"/>
                <w:color w:val="000000" w:themeColor="text1"/>
                <w:sz w:val="24"/>
                <w:szCs w:val="24"/>
                <w:highlight w:val="none"/>
                <w14:textFill>
                  <w14:solidFill>
                    <w14:schemeClr w14:val="tx1"/>
                  </w14:solidFill>
                </w14:textFill>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22EB471">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4CD1417">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6A88834E">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756</w:t>
            </w:r>
          </w:p>
        </w:tc>
        <w:tc>
          <w:tcPr>
            <w:tcW w:w="1209" w:type="dxa"/>
            <w:vMerge w:val="continue"/>
            <w:tcBorders>
              <w:top w:val="single" w:color="000000" w:sz="4" w:space="0"/>
              <w:left w:val="single" w:color="000000" w:sz="4" w:space="0"/>
              <w:right w:val="single" w:color="000000" w:sz="4" w:space="0"/>
            </w:tcBorders>
            <w:noWrap/>
            <w:vAlign w:val="center"/>
          </w:tcPr>
          <w:p w14:paraId="12223615">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34B61870">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156F39B4">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05720C">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水玻璃浆液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56F53763">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水玻璃浆液为水玻璃原液：水</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（体积比）</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85AA291">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1210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81B40BB">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0.826</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788F3EA4">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w:t>
            </w:r>
          </w:p>
        </w:tc>
        <w:tc>
          <w:tcPr>
            <w:tcW w:w="1209" w:type="dxa"/>
            <w:vMerge w:val="restart"/>
            <w:tcBorders>
              <w:top w:val="single" w:color="000000" w:sz="4" w:space="0"/>
              <w:left w:val="single" w:color="000000" w:sz="4" w:space="0"/>
              <w:bottom w:val="single" w:color="000000" w:sz="4" w:space="0"/>
              <w:right w:val="single" w:color="000000" w:sz="4" w:space="0"/>
            </w:tcBorders>
            <w:noWrap/>
            <w:vAlign w:val="center"/>
          </w:tcPr>
          <w:p w14:paraId="2A630B52">
            <w:pPr>
              <w:spacing w:line="240" w:lineRule="auto"/>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水玻璃原液</w:t>
            </w:r>
            <w:r>
              <w:rPr>
                <w:rFonts w:ascii="宋体" w:hAnsi="宋体" w:eastAsia="宋体"/>
                <w:color w:val="000000" w:themeColor="text1"/>
                <w:sz w:val="24"/>
                <w:szCs w:val="24"/>
                <w:highlight w:val="none"/>
                <w14:textFill>
                  <w14:solidFill>
                    <w14:schemeClr w14:val="tx1"/>
                  </w14:solidFill>
                </w14:textFill>
              </w:rPr>
              <w:t>Be=38-43</w:t>
            </w:r>
            <w:r>
              <w:rPr>
                <w:rFonts w:hint="eastAsia" w:ascii="宋体" w:hAnsi="宋体" w:eastAsia="宋体"/>
                <w:color w:val="000000" w:themeColor="text1"/>
                <w:sz w:val="24"/>
                <w:szCs w:val="24"/>
                <w:highlight w:val="none"/>
                <w14:textFill>
                  <w14:solidFill>
                    <w14:schemeClr w14:val="tx1"/>
                  </w14:solidFill>
                </w14:textFill>
              </w:rPr>
              <w:t>，水玻璃浆液为水玻璃原液：水</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（体积比）</w:t>
            </w:r>
          </w:p>
        </w:tc>
      </w:tr>
      <w:tr w14:paraId="5CB99F60">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48D45DC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61D5928">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水玻璃原液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7EF2152A">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Be=38~43</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822F0F5">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1420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5F82B4DA">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0.704</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346104D5">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710</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09033FF7">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77F93F52">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58240C0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ED4BF1">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双液浆</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1F8744A1">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单液浆：水玻璃溶液</w:t>
            </w:r>
            <w:r>
              <w:rPr>
                <w:rFonts w:ascii="宋体" w:hAnsi="宋体" w:eastAsia="宋体"/>
                <w:color w:val="000000" w:themeColor="text1"/>
                <w:sz w:val="24"/>
                <w:szCs w:val="24"/>
                <w:highlight w:val="none"/>
                <w14:textFill>
                  <w14:solidFill>
                    <w14:schemeClr w14:val="tx1"/>
                  </w14:solidFill>
                </w14:textFill>
              </w:rPr>
              <w:t>=1:1（</w:t>
            </w:r>
            <w:r>
              <w:rPr>
                <w:rFonts w:hint="eastAsia" w:ascii="宋体" w:hAnsi="宋体" w:eastAsia="宋体"/>
                <w:color w:val="000000" w:themeColor="text1"/>
                <w:sz w:val="24"/>
                <w:szCs w:val="24"/>
                <w:highlight w:val="none"/>
                <w14:textFill>
                  <w14:solidFill>
                    <w14:schemeClr w14:val="tx1"/>
                  </w14:solidFill>
                </w14:textFill>
              </w:rPr>
              <w:t>体积比）</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3609381">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1361</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4B078C7C">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0.735</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7BA55BF7">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11C61AA7">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532CBAFC">
        <w:tblPrEx>
          <w:tblCellMar>
            <w:top w:w="15" w:type="dxa"/>
            <w:left w:w="15" w:type="dxa"/>
            <w:bottom w:w="15" w:type="dxa"/>
            <w:right w:w="15" w:type="dxa"/>
          </w:tblCellMar>
        </w:tblPrEx>
        <w:trPr>
          <w:trHeight w:val="283" w:hRule="atLeast"/>
        </w:trPr>
        <w:tc>
          <w:tcPr>
            <w:tcW w:w="704" w:type="dxa"/>
            <w:vMerge w:val="continue"/>
            <w:tcBorders>
              <w:left w:val="single" w:color="000000" w:sz="4" w:space="0"/>
              <w:right w:val="single" w:color="000000" w:sz="4" w:space="0"/>
            </w:tcBorders>
            <w:noWrap/>
            <w:vAlign w:val="center"/>
          </w:tcPr>
          <w:p w14:paraId="2FFF3802">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146B15">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435CF3F9">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42.5</w:t>
            </w:r>
            <w:r>
              <w:rPr>
                <w:rFonts w:hint="eastAsia" w:ascii="宋体" w:hAnsi="宋体" w:eastAsia="宋体"/>
                <w:color w:val="000000" w:themeColor="text1"/>
                <w:sz w:val="24"/>
                <w:szCs w:val="24"/>
                <w:highlight w:val="none"/>
                <w14:textFill>
                  <w14:solidFill>
                    <w14:schemeClr w14:val="tx1"/>
                  </w14:solidFill>
                </w14:textFill>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0086E4C">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E7C4774">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40CE11EB">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378</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3C9249F9">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377B6E97">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760E341A">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9F1D27E">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水玻璃原液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6D24E7CA">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Be=38</w:t>
            </w:r>
            <w:r>
              <w:rPr>
                <w:rFonts w:hint="eastAsia" w:ascii="宋体" w:hAnsi="宋体" w:eastAsia="宋体"/>
                <w:color w:val="000000" w:themeColor="text1"/>
                <w:sz w:val="24"/>
                <w:szCs w:val="24"/>
                <w:highlight w:val="none"/>
                <w14:textFill>
                  <w14:solidFill>
                    <w14:schemeClr w14:val="tx1"/>
                  </w14:solidFill>
                </w14:textFill>
              </w:rPr>
              <w:t>～</w:t>
            </w:r>
            <w:r>
              <w:rPr>
                <w:rFonts w:ascii="宋体" w:hAnsi="宋体" w:eastAsia="宋体"/>
                <w:color w:val="000000" w:themeColor="text1"/>
                <w:sz w:val="24"/>
                <w:szCs w:val="24"/>
                <w:highlight w:val="none"/>
                <w14:textFill>
                  <w14:solidFill>
                    <w14:schemeClr w14:val="tx1"/>
                  </w14:solidFill>
                </w14:textFill>
              </w:rPr>
              <w:t>43</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BDD1D2E">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1420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CB53DA9">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0.704</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400B4EF7">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355</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0CE13A04">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27F0BB39">
        <w:tblPrEx>
          <w:tblCellMar>
            <w:top w:w="15" w:type="dxa"/>
            <w:left w:w="15" w:type="dxa"/>
            <w:bottom w:w="15" w:type="dxa"/>
            <w:right w:w="15" w:type="dxa"/>
          </w:tblCellMar>
        </w:tblPrEx>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154E671B">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BD63EE3">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片石</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653780A0">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花岗岩</w:t>
            </w:r>
            <w:r>
              <w:rPr>
                <w:rFonts w:ascii="宋体" w:hAnsi="宋体" w:eastAsia="宋体"/>
                <w:color w:val="000000" w:themeColor="text1"/>
                <w:sz w:val="24"/>
                <w:szCs w:val="24"/>
                <w:highlight w:val="none"/>
                <w14:textFill>
                  <w14:solidFill>
                    <w14:schemeClr w14:val="tx1"/>
                  </w14:solidFill>
                </w14:textFill>
              </w:rPr>
              <w:t>300Mpa</w:t>
            </w:r>
            <w:r>
              <w:rPr>
                <w:rFonts w:hint="eastAsia" w:ascii="宋体" w:hAnsi="宋体" w:eastAsia="宋体"/>
                <w:color w:val="000000" w:themeColor="text1"/>
                <w:sz w:val="24"/>
                <w:szCs w:val="24"/>
                <w:highlight w:val="none"/>
                <w14:textFill>
                  <w14:solidFill>
                    <w14:schemeClr w14:val="tx1"/>
                  </w14:solidFill>
                </w14:textFill>
              </w:rPr>
              <w:t>以上</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D4E6533">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1520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38D1EA8">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0.658</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37DDF7A9">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5972E60F">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r w14:paraId="08CB3031">
        <w:tblPrEx>
          <w:tblCellMar>
            <w:top w:w="15" w:type="dxa"/>
            <w:left w:w="15" w:type="dxa"/>
            <w:bottom w:w="15" w:type="dxa"/>
            <w:right w:w="15" w:type="dxa"/>
          </w:tblCellMar>
        </w:tblPrEx>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594B3127">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4A98EE5">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67DBA5FB">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42.5</w:t>
            </w:r>
            <w:r>
              <w:rPr>
                <w:rFonts w:hint="eastAsia" w:ascii="宋体" w:hAnsi="宋体" w:eastAsia="宋体"/>
                <w:color w:val="000000" w:themeColor="text1"/>
                <w:sz w:val="24"/>
                <w:szCs w:val="24"/>
                <w:highlight w:val="none"/>
                <w14:textFill>
                  <w14:solidFill>
                    <w14:schemeClr w14:val="tx1"/>
                  </w14:solidFill>
                </w14:textFill>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07B7043">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4A8EB1A0">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5F41278E">
            <w:pPr>
              <w:spacing w:line="240" w:lineRule="auto"/>
              <w:jc w:val="center"/>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61976A05">
            <w:pPr>
              <w:spacing w:line="240" w:lineRule="auto"/>
              <w:jc w:val="both"/>
              <w:rPr>
                <w:rFonts w:hint="eastAsia" w:ascii="宋体" w:hAnsi="宋体" w:eastAsia="宋体"/>
                <w:color w:val="000000" w:themeColor="text1"/>
                <w:sz w:val="24"/>
                <w:szCs w:val="24"/>
                <w:highlight w:val="none"/>
                <w14:textFill>
                  <w14:solidFill>
                    <w14:schemeClr w14:val="tx1"/>
                  </w14:solidFill>
                </w14:textFill>
              </w:rPr>
            </w:pPr>
          </w:p>
        </w:tc>
      </w:tr>
    </w:tbl>
    <w:p w14:paraId="76046A4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p>
    <w:p w14:paraId="226DA1D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7. 基坑支护及桩基础施工投入要求</w:t>
      </w:r>
    </w:p>
    <w:p w14:paraId="62E5DD8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保证尽一切力量确保投标承诺的质量及工期目标，在以后基坑支护及桩基础施工过程中，本工程会存在比正常项目更多困难或事件（如溶洞、土洞等）阻碍工期的情况出现，严格按照招标文件的内容执行。</w:t>
      </w:r>
      <w:r>
        <w:rPr>
          <w:rFonts w:ascii="宋体" w:hAnsi="宋体" w:eastAsia="宋体"/>
          <w:color w:val="000000" w:themeColor="text1"/>
          <w:sz w:val="24"/>
          <w:szCs w:val="24"/>
          <w:highlight w:val="none"/>
          <w14:textFill>
            <w14:solidFill>
              <w14:schemeClr w14:val="tx1"/>
            </w14:solidFill>
          </w14:textFill>
        </w:rPr>
        <w:t xml:space="preserve"> </w:t>
      </w:r>
    </w:p>
    <w:p w14:paraId="276FDDD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7.1 进场时，如因临时施工用电不足，要投入发电机等措施正常施工，不能因此理由拒绝或推迟开工和延长工期，所投入的发电机功率应满足施工的需求，且投标报价中已综合考虑到采取自行发电等措施所增加的费用。</w:t>
      </w:r>
    </w:p>
    <w:p w14:paraId="099DF5C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如因临水、临电、临建搭设等造成工期延误，在收到书面通知后，</w:t>
      </w:r>
      <w:r>
        <w:rPr>
          <w:rFonts w:ascii="宋体" w:hAnsi="宋体" w:eastAsia="宋体"/>
          <w:color w:val="000000" w:themeColor="text1"/>
          <w:sz w:val="24"/>
          <w:szCs w:val="24"/>
          <w:highlight w:val="none"/>
          <w14:textFill>
            <w14:solidFill>
              <w14:schemeClr w14:val="tx1"/>
            </w14:solidFill>
          </w14:textFill>
        </w:rPr>
        <w:t>7</w:t>
      </w:r>
      <w:r>
        <w:rPr>
          <w:rFonts w:hint="eastAsia" w:ascii="宋体" w:hAnsi="宋体" w:eastAsia="宋体"/>
          <w:color w:val="000000" w:themeColor="text1"/>
          <w:sz w:val="24"/>
          <w:szCs w:val="24"/>
          <w:highlight w:val="none"/>
          <w14:textFill>
            <w14:solidFill>
              <w14:schemeClr w14:val="tx1"/>
            </w14:solidFill>
          </w14:textFill>
        </w:rPr>
        <w:t>天内整改并征得发包人批复同意。</w:t>
      </w:r>
    </w:p>
    <w:p w14:paraId="0BEB362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7.2 确保施工进场，在施工条件允许情况下</w:t>
      </w:r>
      <w:r>
        <w:rPr>
          <w:rFonts w:ascii="宋体" w:hAnsi="宋体" w:eastAsia="宋体"/>
          <w:color w:val="000000" w:themeColor="text1"/>
          <w:sz w:val="24"/>
          <w:szCs w:val="24"/>
          <w:highlight w:val="none"/>
          <w14:textFill>
            <w14:solidFill>
              <w14:schemeClr w14:val="tx1"/>
            </w14:solidFill>
          </w14:textFill>
        </w:rPr>
        <w:t>2</w:t>
      </w:r>
      <w:r>
        <w:rPr>
          <w:rFonts w:hint="eastAsia" w:ascii="宋体" w:hAnsi="宋体" w:eastAsia="宋体"/>
          <w:color w:val="000000" w:themeColor="text1"/>
          <w:sz w:val="24"/>
          <w:szCs w:val="24"/>
          <w:highlight w:val="none"/>
          <w14:textFill>
            <w14:solidFill>
              <w14:schemeClr w14:val="tx1"/>
            </w14:solidFill>
          </w14:textFill>
        </w:rPr>
        <w:t>周内一次性投入钢护筒</w:t>
      </w:r>
      <w:r>
        <w:rPr>
          <w:rFonts w:ascii="宋体" w:hAnsi="宋体" w:eastAsia="宋体"/>
          <w:color w:val="000000" w:themeColor="text1"/>
          <w:sz w:val="24"/>
          <w:szCs w:val="24"/>
          <w:highlight w:val="none"/>
          <w14:textFill>
            <w14:solidFill>
              <w14:schemeClr w14:val="tx1"/>
            </w14:solidFill>
          </w14:textFill>
        </w:rPr>
        <w:t>100</w:t>
      </w:r>
      <w:r>
        <w:rPr>
          <w:rFonts w:hint="eastAsia" w:ascii="宋体" w:hAnsi="宋体" w:eastAsia="宋体"/>
          <w:color w:val="000000" w:themeColor="text1"/>
          <w:sz w:val="24"/>
          <w:szCs w:val="24"/>
          <w:highlight w:val="none"/>
          <w14:textFill>
            <w14:solidFill>
              <w14:schemeClr w14:val="tx1"/>
            </w14:solidFill>
          </w14:textFill>
        </w:rPr>
        <w:t>吨，并满足桩基础施工的工程需要，不得因钢护筒周转不足影响工程进度，未一次性投入足够的钢护筒造成的工期延误，在收到书面通知后，不挑剔、不争辩，也不要求出具证明，</w:t>
      </w:r>
      <w:r>
        <w:rPr>
          <w:rFonts w:ascii="宋体" w:hAnsi="宋体" w:eastAsia="宋体"/>
          <w:color w:val="000000" w:themeColor="text1"/>
          <w:sz w:val="24"/>
          <w:szCs w:val="24"/>
          <w:highlight w:val="none"/>
          <w14:textFill>
            <w14:solidFill>
              <w14:schemeClr w14:val="tx1"/>
            </w14:solidFill>
          </w14:textFill>
        </w:rPr>
        <w:t>7</w:t>
      </w:r>
      <w:r>
        <w:rPr>
          <w:rFonts w:hint="eastAsia" w:ascii="宋体" w:hAnsi="宋体" w:eastAsia="宋体"/>
          <w:color w:val="000000" w:themeColor="text1"/>
          <w:sz w:val="24"/>
          <w:szCs w:val="24"/>
          <w:highlight w:val="none"/>
          <w14:textFill>
            <w14:solidFill>
              <w14:schemeClr w14:val="tx1"/>
            </w14:solidFill>
          </w14:textFill>
        </w:rPr>
        <w:t>天内整改并征得发包人批复同意。</w:t>
      </w:r>
    </w:p>
    <w:p w14:paraId="598A367C">
      <w:pPr>
        <w:spacing w:line="360" w:lineRule="auto"/>
        <w:ind w:firstLine="424" w:firstLineChars="177"/>
        <w:rPr>
          <w:rFonts w:hint="eastAsia"/>
          <w:color w:val="000000" w:themeColor="text1"/>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7.3按施工设备配置表要求配置满足现场施工进度要求的施工机械，机械设备及配套施工人员开工前7天内到位，现场配备杂工人数不少于100人，配合桩基础施工的杂工人数不少于20人。如未能完成承诺，5天内整改并征得发包人批复同意。</w:t>
      </w:r>
    </w:p>
    <w:p w14:paraId="2659209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8 土石方运输要求</w:t>
      </w:r>
    </w:p>
    <w:p w14:paraId="4444302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严格按照本工程土石方运输施工要求，土石方运输包括且不限于：办理余泥排放证全部费用、余泥外运、弃土（含消纳费用）、购土填方（含购土费用）、泥浆外运、石方外运等。保证尽一切力量确保投标承诺的施工目标：</w:t>
      </w:r>
    </w:p>
    <w:p w14:paraId="06F70B5A">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 xml:space="preserve"> </w:t>
      </w:r>
      <w:r>
        <w:rPr>
          <w:rFonts w:hint="eastAsia" w:ascii="宋体" w:hAnsi="宋体" w:eastAsia="宋体"/>
          <w:color w:val="000000" w:themeColor="text1"/>
          <w:sz w:val="24"/>
          <w:szCs w:val="24"/>
          <w:highlight w:val="none"/>
          <w14:textFill>
            <w14:solidFill>
              <w14:schemeClr w14:val="tx1"/>
            </w14:solidFill>
          </w14:textFill>
        </w:rPr>
        <w:t>8.1、场内土石方运输：承包人</w:t>
      </w:r>
      <w:r>
        <w:rPr>
          <w:rFonts w:ascii="宋体" w:hAnsi="宋体" w:eastAsia="宋体"/>
          <w:color w:val="000000" w:themeColor="text1"/>
          <w:sz w:val="24"/>
          <w:szCs w:val="24"/>
          <w:highlight w:val="none"/>
          <w14:textFill>
            <w14:solidFill>
              <w14:schemeClr w14:val="tx1"/>
            </w14:solidFill>
          </w14:textFill>
        </w:rPr>
        <w:t>在投标报价中</w:t>
      </w:r>
      <w:r>
        <w:rPr>
          <w:rFonts w:hint="eastAsia" w:ascii="宋体" w:hAnsi="宋体" w:eastAsia="宋体"/>
          <w:color w:val="000000" w:themeColor="text1"/>
          <w:sz w:val="24"/>
          <w:szCs w:val="24"/>
          <w:highlight w:val="none"/>
          <w14:textFill>
            <w14:solidFill>
              <w14:schemeClr w14:val="tx1"/>
            </w14:solidFill>
          </w14:textFill>
        </w:rPr>
        <w:t>已综合考虑到土石方场内运输距离、转运次数等因素可能造成项目实际情况变动，无论工程实际情况如何变化，本工程土石方场内运输（包括但不限于挖、装、运、卸、堆平土石方、分层填埋及不可预见费等一切费用及风险，已在投标清单综合单价中综合考虑），按中标价格综合包干。（结算时综合单价不另作调整，发包人原因除外。）</w:t>
      </w:r>
    </w:p>
    <w:p w14:paraId="4E7B395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8.2场外土石方弃置运输</w:t>
      </w:r>
    </w:p>
    <w:p w14:paraId="68546B1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（1）本项目的土石方弃置选择合法消纳场，土石方的支付（含消纳费）以财政部门认可的合法有效的凭证为依据，按清单相应的综合单价执行。</w:t>
      </w:r>
    </w:p>
    <w:p w14:paraId="63D2EFC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lang w:eastAsia="zh-CN"/>
          <w14:textFill>
            <w14:solidFill>
              <w14:schemeClr w14:val="tx1"/>
            </w14:solidFill>
          </w14:textFill>
        </w:rPr>
        <w:t>（</w:t>
      </w:r>
      <w:r>
        <w:rPr>
          <w:rFonts w:hint="eastAsia" w:ascii="宋体" w:hAnsi="宋体" w:eastAsia="宋体"/>
          <w:color w:val="000000" w:themeColor="text1"/>
          <w:sz w:val="24"/>
          <w:szCs w:val="24"/>
          <w:highlight w:val="none"/>
          <w:lang w:val="en-US" w:eastAsia="zh-CN"/>
          <w14:textFill>
            <w14:solidFill>
              <w14:schemeClr w14:val="tx1"/>
            </w14:solidFill>
          </w14:textFill>
        </w:rPr>
        <w:t>2</w:t>
      </w:r>
      <w:r>
        <w:rPr>
          <w:rFonts w:hint="eastAsia" w:ascii="宋体" w:hAnsi="宋体" w:eastAsia="宋体"/>
          <w:color w:val="000000" w:themeColor="text1"/>
          <w:sz w:val="24"/>
          <w:szCs w:val="24"/>
          <w:highlight w:val="none"/>
          <w:lang w:eastAsia="zh-CN"/>
          <w14:textFill>
            <w14:solidFill>
              <w14:schemeClr w14:val="tx1"/>
            </w14:solidFill>
          </w14:textFill>
        </w:rPr>
        <w:t>）</w:t>
      </w:r>
      <w:r>
        <w:rPr>
          <w:rFonts w:hint="eastAsia" w:ascii="宋体" w:hAnsi="宋体" w:eastAsia="宋体"/>
          <w:color w:val="000000" w:themeColor="text1"/>
          <w:sz w:val="24"/>
          <w:szCs w:val="24"/>
          <w:highlight w:val="none"/>
          <w14:textFill>
            <w14:solidFill>
              <w14:schemeClr w14:val="tx1"/>
            </w14:solidFill>
          </w14:textFill>
        </w:rPr>
        <w:t>应严格按照经监理单位及发包人审批的土方转堆方案处置土方堆放及外运，发包人对本工程范围内多余土方拥有优先处置权，本工程与其它工程间的土方的调配要服从发包人安排。</w:t>
      </w:r>
    </w:p>
    <w:p w14:paraId="2E467C0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8.3 场外土方外购运输</w:t>
      </w:r>
    </w:p>
    <w:p w14:paraId="6110788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本项目的土方外购选择合法消纳场，土方的支付（含取土费）以财政部门认可的合法有效的凭证为依据，按清单相应的综合单价执行，最终以有权审核结算部门审定为准。</w:t>
      </w:r>
    </w:p>
    <w:p w14:paraId="4FED7D8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8.4 </w:t>
      </w:r>
      <w:r>
        <w:rPr>
          <w:rFonts w:ascii="宋体" w:hAnsi="宋体" w:eastAsia="宋体"/>
          <w:color w:val="000000" w:themeColor="text1"/>
          <w:sz w:val="24"/>
          <w:szCs w:val="24"/>
          <w:highlight w:val="none"/>
          <w14:textFill>
            <w14:solidFill>
              <w14:schemeClr w14:val="tx1"/>
            </w14:solidFill>
          </w14:textFill>
        </w:rPr>
        <w:t>现场土石方服从且严格按照发包人的土方转</w:t>
      </w:r>
      <w:r>
        <w:rPr>
          <w:rFonts w:hint="eastAsia" w:ascii="宋体" w:hAnsi="宋体" w:eastAsia="宋体"/>
          <w:color w:val="000000" w:themeColor="text1"/>
          <w:sz w:val="24"/>
          <w:szCs w:val="24"/>
          <w:highlight w:val="none"/>
          <w14:textFill>
            <w14:solidFill>
              <w14:schemeClr w14:val="tx1"/>
            </w14:solidFill>
          </w14:textFill>
        </w:rPr>
        <w:t>堆方案处置土方堆放及外运，发包人对本工程范围内多余土石方拥有优先处置权，本工程与其它工程间的土方的调配要服从发包人安排。若因发包人调配原因造成土石方外运的，按如下原则调整综合单价。</w:t>
      </w:r>
    </w:p>
    <w:p w14:paraId="64F6A39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调整办法如下：</w:t>
      </w:r>
    </w:p>
    <w:p w14:paraId="64EF1DD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（1）因发包人调配原因，按相应的中标综合单价按实结算，最终结算价以广州市财政投资评审中心审定为准。</w:t>
      </w:r>
    </w:p>
    <w:p w14:paraId="4457B0B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（2）发包人对本工程范围内多余土方拥有优先处置权，本工程与其他工程间的土方调配要服从发包人安排。</w:t>
      </w:r>
    </w:p>
    <w:p w14:paraId="73235BD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 第三方检测、监测配合要求</w:t>
      </w:r>
    </w:p>
    <w:p w14:paraId="2E87D8A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9.1 提供有关该工程检测、监测所需的相关工程技术资料；</w:t>
      </w:r>
    </w:p>
    <w:p w14:paraId="2C8FF88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9.2 现场保障足够的安全措施，符合安全施工要求，保障检测、监测人员及设备的安全；</w:t>
      </w:r>
    </w:p>
    <w:p w14:paraId="2A3F30A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9.3 协助检测、监测单位的设备进退场，包括但不限于提供场内小型机械设备吊运，安排专人协助检测、监测单位主要检测、监测设备场内搬运等，安排必须的人员配合检测、监测单位工作；</w:t>
      </w:r>
    </w:p>
    <w:p w14:paraId="553A8B6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9.4 负责协调相关方的关系，及时解决现场检测、监测作业时与相关方产生的矛盾。对由于未能协调好相关方关系而影响检测、监测工作的顺利进行，造成相应的经济损失承担责任；</w:t>
      </w:r>
    </w:p>
    <w:p w14:paraId="4202B74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9.5 现场配合工作：</w:t>
      </w:r>
    </w:p>
    <w:p w14:paraId="7D3CDB0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收到进场检测通知后，根据检测、监测单位要求做好配合工作，包括且不限于：</w:t>
      </w:r>
    </w:p>
    <w:p w14:paraId="22AA9D8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提供场地、水、电，修筑满足检测、监测要求的临时施工便道、检测用反力板、桩帽，做好挖土方、换填、检测用梯子、门式架、排水等工作；</w:t>
      </w:r>
    </w:p>
    <w:p w14:paraId="0669970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9.6 检测过程中可能造成桩头钢筋、砖胎模、垫层、承台钢筋等损坏，我司负责修复，所产生的费用我司已在投标报价中综合考虑。</w:t>
      </w:r>
    </w:p>
    <w:p w14:paraId="1BD3219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10. 冲孔灌注桩处理要求</w:t>
      </w:r>
    </w:p>
    <w:p w14:paraId="0DBB522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10.1 在接到通知</w:t>
      </w:r>
      <w:r>
        <w:rPr>
          <w:rFonts w:ascii="宋体" w:hAnsi="宋体" w:eastAsia="宋体"/>
          <w:color w:val="000000" w:themeColor="text1"/>
          <w:sz w:val="24"/>
          <w:szCs w:val="24"/>
          <w:highlight w:val="none"/>
          <w14:textFill>
            <w14:solidFill>
              <w14:schemeClr w14:val="tx1"/>
            </w14:solidFill>
          </w14:textFill>
        </w:rPr>
        <w:t>2</w:t>
      </w:r>
      <w:r>
        <w:rPr>
          <w:rFonts w:hint="eastAsia" w:ascii="宋体" w:hAnsi="宋体" w:eastAsia="宋体"/>
          <w:color w:val="000000" w:themeColor="text1"/>
          <w:sz w:val="24"/>
          <w:szCs w:val="24"/>
          <w:highlight w:val="none"/>
          <w14:textFill>
            <w14:solidFill>
              <w14:schemeClr w14:val="tx1"/>
            </w14:solidFill>
          </w14:textFill>
        </w:rPr>
        <w:t>天内投入设备，</w:t>
      </w:r>
      <w:r>
        <w:rPr>
          <w:rFonts w:ascii="宋体" w:hAnsi="宋体" w:eastAsia="宋体"/>
          <w:color w:val="000000" w:themeColor="text1"/>
          <w:sz w:val="24"/>
          <w:szCs w:val="24"/>
          <w:highlight w:val="none"/>
          <w14:textFill>
            <w14:solidFill>
              <w14:schemeClr w14:val="tx1"/>
            </w14:solidFill>
          </w14:textFill>
        </w:rPr>
        <w:t>4</w:t>
      </w:r>
      <w:r>
        <w:rPr>
          <w:rFonts w:hint="eastAsia" w:ascii="宋体" w:hAnsi="宋体" w:eastAsia="宋体"/>
          <w:color w:val="000000" w:themeColor="text1"/>
          <w:sz w:val="24"/>
          <w:szCs w:val="24"/>
          <w:highlight w:val="none"/>
          <w14:textFill>
            <w14:solidFill>
              <w14:schemeClr w14:val="tx1"/>
            </w14:solidFill>
          </w14:textFill>
        </w:rPr>
        <w:t>天内完成补强处理工作；</w:t>
      </w:r>
    </w:p>
    <w:p w14:paraId="664A740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10.2 无论何种原因造成补强处理，所产生的费用已在投标总价中综合考虑，不要求发包人现场签证、增加工程量。</w:t>
      </w:r>
    </w:p>
    <w:p w14:paraId="5152520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11. 防水工程质量问题处理要求</w:t>
      </w:r>
    </w:p>
    <w:p w14:paraId="5E2127A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若在质保期内出现渗水、漏水等影响正常办公、生活的情况，在收到通知后</w:t>
      </w:r>
      <w:r>
        <w:rPr>
          <w:rFonts w:ascii="宋体" w:hAnsi="宋体" w:eastAsia="宋体"/>
          <w:color w:val="000000" w:themeColor="text1"/>
          <w:sz w:val="24"/>
          <w:szCs w:val="24"/>
          <w:highlight w:val="none"/>
          <w14:textFill>
            <w14:solidFill>
              <w14:schemeClr w14:val="tx1"/>
            </w14:solidFill>
          </w14:textFill>
        </w:rPr>
        <w:t>24</w:t>
      </w:r>
      <w:r>
        <w:rPr>
          <w:rFonts w:hint="eastAsia" w:ascii="宋体" w:hAnsi="宋体" w:eastAsia="宋体"/>
          <w:color w:val="000000" w:themeColor="text1"/>
          <w:sz w:val="24"/>
          <w:szCs w:val="24"/>
          <w:highlight w:val="none"/>
          <w14:textFill>
            <w14:solidFill>
              <w14:schemeClr w14:val="tx1"/>
            </w14:solidFill>
          </w14:textFill>
        </w:rPr>
        <w:t>小时内必须赶到现场并及时进行维修，并赔偿由此引起的所有损失；未在约定期限内派人维修，发包人有权指定其他人员维修，费用按实际发生费用的</w:t>
      </w:r>
      <w:r>
        <w:rPr>
          <w:rFonts w:ascii="宋体" w:hAnsi="宋体" w:eastAsia="宋体"/>
          <w:color w:val="000000" w:themeColor="text1"/>
          <w:sz w:val="24"/>
          <w:szCs w:val="24"/>
          <w:highlight w:val="none"/>
          <w14:textFill>
            <w14:solidFill>
              <w14:schemeClr w14:val="tx1"/>
            </w14:solidFill>
          </w14:textFill>
        </w:rPr>
        <w:t>1.5</w:t>
      </w:r>
      <w:r>
        <w:rPr>
          <w:rFonts w:hint="eastAsia" w:ascii="宋体" w:hAnsi="宋体" w:eastAsia="宋体"/>
          <w:color w:val="000000" w:themeColor="text1"/>
          <w:sz w:val="24"/>
          <w:szCs w:val="24"/>
          <w:highlight w:val="none"/>
          <w14:textFill>
            <w14:solidFill>
              <w14:schemeClr w14:val="tx1"/>
            </w14:solidFill>
          </w14:textFill>
        </w:rPr>
        <w:t>倍从我司质保金中扣除，并赔偿由此引起的所有损失。若有出现维修项目，本工程防水项目质保期延长</w:t>
      </w:r>
      <w:r>
        <w:rPr>
          <w:rFonts w:ascii="宋体" w:hAnsi="宋体" w:eastAsia="宋体"/>
          <w:color w:val="000000" w:themeColor="text1"/>
          <w:sz w:val="24"/>
          <w:szCs w:val="24"/>
          <w:highlight w:val="none"/>
          <w14:textFill>
            <w14:solidFill>
              <w14:schemeClr w14:val="tx1"/>
            </w14:solidFill>
          </w14:textFill>
        </w:rPr>
        <w:t>6</w:t>
      </w:r>
      <w:r>
        <w:rPr>
          <w:rFonts w:hint="eastAsia" w:ascii="宋体" w:hAnsi="宋体" w:eastAsia="宋体"/>
          <w:color w:val="000000" w:themeColor="text1"/>
          <w:sz w:val="24"/>
          <w:szCs w:val="24"/>
          <w:highlight w:val="none"/>
          <w14:textFill>
            <w14:solidFill>
              <w14:schemeClr w14:val="tx1"/>
            </w14:solidFill>
          </w14:textFill>
        </w:rPr>
        <w:t>个月。</w:t>
      </w:r>
    </w:p>
    <w:p w14:paraId="38FA7D4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2. 成品保护及卫生保洁要求</w:t>
      </w:r>
    </w:p>
    <w:p w14:paraId="7CA5815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在工程整体交付使用前，负责成品保护及项目红线范围内卫生保洁工作、精开荒（不限次数）。</w:t>
      </w:r>
    </w:p>
    <w:p w14:paraId="74607B7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13. 周边管线及地下管线保护要求</w:t>
      </w:r>
    </w:p>
    <w:p w14:paraId="346D645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对周边管线及地下管线采取有效的保护措施，若造成周边管线及地下管线等损坏的，由承包人负责修复，并承担所造成的所有损失。权属单位提出的施工配合费等一切费用均由承包人承担。</w:t>
      </w:r>
    </w:p>
    <w:p w14:paraId="63B01F6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14. 施工班组投入要求</w:t>
      </w:r>
    </w:p>
    <w:p w14:paraId="76B251B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承包人保证按以下“施工班组人员投入表”投入使用。</w:t>
      </w:r>
    </w:p>
    <w:p w14:paraId="31F4DCE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表</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：主要施工班组人员投入要求表（满足阶段性进度需求）</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2076"/>
        <w:gridCol w:w="1185"/>
        <w:gridCol w:w="1316"/>
        <w:gridCol w:w="1778"/>
        <w:gridCol w:w="1416"/>
      </w:tblGrid>
      <w:tr w14:paraId="021EE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tcBorders>
              <w:top w:val="single" w:color="auto" w:sz="4" w:space="0"/>
              <w:left w:val="single" w:color="auto" w:sz="4" w:space="0"/>
              <w:bottom w:val="single" w:color="auto" w:sz="4" w:space="0"/>
              <w:right w:val="single" w:color="auto" w:sz="4" w:space="0"/>
            </w:tcBorders>
          </w:tcPr>
          <w:p w14:paraId="19CA54A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基坑支护及桩基础阶段施工班组人员投入</w:t>
            </w:r>
          </w:p>
        </w:tc>
      </w:tr>
      <w:tr w14:paraId="1B79E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7C591C6">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序号</w:t>
            </w:r>
          </w:p>
        </w:tc>
        <w:tc>
          <w:tcPr>
            <w:tcW w:w="2076" w:type="dxa"/>
            <w:tcBorders>
              <w:top w:val="single" w:color="auto" w:sz="4" w:space="0"/>
              <w:left w:val="single" w:color="auto" w:sz="4" w:space="0"/>
              <w:bottom w:val="single" w:color="auto" w:sz="4" w:space="0"/>
              <w:right w:val="single" w:color="auto" w:sz="4" w:space="0"/>
            </w:tcBorders>
          </w:tcPr>
          <w:p w14:paraId="717640C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工种</w:t>
            </w:r>
          </w:p>
        </w:tc>
        <w:tc>
          <w:tcPr>
            <w:tcW w:w="1185" w:type="dxa"/>
            <w:tcBorders>
              <w:top w:val="single" w:color="auto" w:sz="4" w:space="0"/>
              <w:left w:val="single" w:color="auto" w:sz="4" w:space="0"/>
              <w:bottom w:val="single" w:color="auto" w:sz="4" w:space="0"/>
              <w:right w:val="single" w:color="auto" w:sz="4" w:space="0"/>
            </w:tcBorders>
          </w:tcPr>
          <w:p w14:paraId="60A02021">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班组数量</w:t>
            </w:r>
          </w:p>
        </w:tc>
        <w:tc>
          <w:tcPr>
            <w:tcW w:w="1316" w:type="dxa"/>
            <w:tcBorders>
              <w:top w:val="single" w:color="auto" w:sz="4" w:space="0"/>
              <w:left w:val="single" w:color="auto" w:sz="4" w:space="0"/>
              <w:bottom w:val="single" w:color="auto" w:sz="4" w:space="0"/>
              <w:right w:val="single" w:color="auto" w:sz="4" w:space="0"/>
            </w:tcBorders>
          </w:tcPr>
          <w:p w14:paraId="79FD8C58">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人数（人）</w:t>
            </w:r>
          </w:p>
        </w:tc>
        <w:tc>
          <w:tcPr>
            <w:tcW w:w="1778" w:type="dxa"/>
            <w:tcBorders>
              <w:top w:val="single" w:color="auto" w:sz="4" w:space="0"/>
              <w:left w:val="single" w:color="auto" w:sz="4" w:space="0"/>
              <w:bottom w:val="single" w:color="auto" w:sz="4" w:space="0"/>
              <w:right w:val="single" w:color="auto" w:sz="4" w:space="0"/>
            </w:tcBorders>
          </w:tcPr>
          <w:p w14:paraId="0EFDFD9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进场日期</w:t>
            </w:r>
          </w:p>
        </w:tc>
        <w:tc>
          <w:tcPr>
            <w:tcW w:w="1416" w:type="dxa"/>
            <w:tcBorders>
              <w:top w:val="single" w:color="auto" w:sz="4" w:space="0"/>
              <w:left w:val="single" w:color="auto" w:sz="4" w:space="0"/>
              <w:bottom w:val="single" w:color="auto" w:sz="4" w:space="0"/>
              <w:right w:val="single" w:color="auto" w:sz="4" w:space="0"/>
            </w:tcBorders>
          </w:tcPr>
          <w:p w14:paraId="40F53EE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备注</w:t>
            </w:r>
          </w:p>
        </w:tc>
      </w:tr>
      <w:tr w14:paraId="79DBA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FC8C0EC">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p>
        </w:tc>
        <w:tc>
          <w:tcPr>
            <w:tcW w:w="2076" w:type="dxa"/>
            <w:tcBorders>
              <w:top w:val="single" w:color="auto" w:sz="4" w:space="0"/>
              <w:left w:val="single" w:color="auto" w:sz="4" w:space="0"/>
              <w:bottom w:val="single" w:color="auto" w:sz="4" w:space="0"/>
              <w:right w:val="single" w:color="auto" w:sz="4" w:space="0"/>
            </w:tcBorders>
          </w:tcPr>
          <w:p w14:paraId="439DE5A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冲孔机</w:t>
            </w:r>
          </w:p>
        </w:tc>
        <w:tc>
          <w:tcPr>
            <w:tcW w:w="1185" w:type="dxa"/>
            <w:tcBorders>
              <w:top w:val="single" w:color="auto" w:sz="4" w:space="0"/>
              <w:left w:val="single" w:color="auto" w:sz="4" w:space="0"/>
              <w:bottom w:val="single" w:color="auto" w:sz="4" w:space="0"/>
              <w:right w:val="single" w:color="auto" w:sz="4" w:space="0"/>
            </w:tcBorders>
          </w:tcPr>
          <w:p w14:paraId="1B8092F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20</w:t>
            </w:r>
          </w:p>
        </w:tc>
        <w:tc>
          <w:tcPr>
            <w:tcW w:w="1316" w:type="dxa"/>
            <w:tcBorders>
              <w:top w:val="single" w:color="auto" w:sz="4" w:space="0"/>
              <w:left w:val="single" w:color="auto" w:sz="4" w:space="0"/>
              <w:bottom w:val="single" w:color="auto" w:sz="4" w:space="0"/>
              <w:right w:val="single" w:color="auto" w:sz="4" w:space="0"/>
            </w:tcBorders>
          </w:tcPr>
          <w:p w14:paraId="2E939A6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80</w:t>
            </w:r>
          </w:p>
        </w:tc>
        <w:tc>
          <w:tcPr>
            <w:tcW w:w="1778" w:type="dxa"/>
            <w:tcBorders>
              <w:top w:val="single" w:color="auto" w:sz="4" w:space="0"/>
              <w:left w:val="single" w:color="auto" w:sz="4" w:space="0"/>
              <w:bottom w:val="single" w:color="auto" w:sz="4" w:space="0"/>
              <w:right w:val="single" w:color="auto" w:sz="4" w:space="0"/>
            </w:tcBorders>
          </w:tcPr>
          <w:p w14:paraId="6F980902">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69E818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609B0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A6740AF">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p>
        </w:tc>
        <w:tc>
          <w:tcPr>
            <w:tcW w:w="2076" w:type="dxa"/>
            <w:tcBorders>
              <w:top w:val="single" w:color="auto" w:sz="4" w:space="0"/>
              <w:left w:val="single" w:color="auto" w:sz="4" w:space="0"/>
              <w:bottom w:val="single" w:color="auto" w:sz="4" w:space="0"/>
              <w:right w:val="single" w:color="auto" w:sz="4" w:space="0"/>
            </w:tcBorders>
          </w:tcPr>
          <w:p w14:paraId="662968F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静压桩机</w:t>
            </w:r>
          </w:p>
        </w:tc>
        <w:tc>
          <w:tcPr>
            <w:tcW w:w="1185" w:type="dxa"/>
            <w:tcBorders>
              <w:top w:val="single" w:color="auto" w:sz="4" w:space="0"/>
              <w:left w:val="single" w:color="auto" w:sz="4" w:space="0"/>
              <w:bottom w:val="single" w:color="auto" w:sz="4" w:space="0"/>
              <w:right w:val="single" w:color="auto" w:sz="4" w:space="0"/>
            </w:tcBorders>
          </w:tcPr>
          <w:p w14:paraId="5DADB60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10</w:t>
            </w:r>
          </w:p>
        </w:tc>
        <w:tc>
          <w:tcPr>
            <w:tcW w:w="1316" w:type="dxa"/>
            <w:tcBorders>
              <w:top w:val="single" w:color="auto" w:sz="4" w:space="0"/>
              <w:left w:val="single" w:color="auto" w:sz="4" w:space="0"/>
              <w:bottom w:val="single" w:color="auto" w:sz="4" w:space="0"/>
              <w:right w:val="single" w:color="auto" w:sz="4" w:space="0"/>
            </w:tcBorders>
          </w:tcPr>
          <w:p w14:paraId="6C2C4D7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40</w:t>
            </w:r>
          </w:p>
        </w:tc>
        <w:tc>
          <w:tcPr>
            <w:tcW w:w="1778" w:type="dxa"/>
            <w:tcBorders>
              <w:top w:val="single" w:color="auto" w:sz="4" w:space="0"/>
              <w:left w:val="single" w:color="auto" w:sz="4" w:space="0"/>
              <w:bottom w:val="single" w:color="auto" w:sz="4" w:space="0"/>
              <w:right w:val="single" w:color="auto" w:sz="4" w:space="0"/>
            </w:tcBorders>
          </w:tcPr>
          <w:p w14:paraId="7AA550F4">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31FA8C9">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3943F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5BC06C0">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w:t>
            </w:r>
          </w:p>
        </w:tc>
        <w:tc>
          <w:tcPr>
            <w:tcW w:w="2076" w:type="dxa"/>
            <w:tcBorders>
              <w:top w:val="single" w:color="auto" w:sz="4" w:space="0"/>
              <w:left w:val="single" w:color="auto" w:sz="4" w:space="0"/>
              <w:bottom w:val="single" w:color="auto" w:sz="4" w:space="0"/>
              <w:right w:val="single" w:color="auto" w:sz="4" w:space="0"/>
            </w:tcBorders>
          </w:tcPr>
          <w:p w14:paraId="095BBF3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搅拌桩</w:t>
            </w:r>
          </w:p>
        </w:tc>
        <w:tc>
          <w:tcPr>
            <w:tcW w:w="1185" w:type="dxa"/>
            <w:tcBorders>
              <w:top w:val="single" w:color="auto" w:sz="4" w:space="0"/>
              <w:left w:val="single" w:color="auto" w:sz="4" w:space="0"/>
              <w:bottom w:val="single" w:color="auto" w:sz="4" w:space="0"/>
              <w:right w:val="single" w:color="auto" w:sz="4" w:space="0"/>
            </w:tcBorders>
          </w:tcPr>
          <w:p w14:paraId="1FC3045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5</w:t>
            </w:r>
          </w:p>
        </w:tc>
        <w:tc>
          <w:tcPr>
            <w:tcW w:w="1316" w:type="dxa"/>
            <w:tcBorders>
              <w:top w:val="single" w:color="auto" w:sz="4" w:space="0"/>
              <w:left w:val="single" w:color="auto" w:sz="4" w:space="0"/>
              <w:bottom w:val="single" w:color="auto" w:sz="4" w:space="0"/>
              <w:right w:val="single" w:color="auto" w:sz="4" w:space="0"/>
            </w:tcBorders>
          </w:tcPr>
          <w:p w14:paraId="178B086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20</w:t>
            </w:r>
          </w:p>
        </w:tc>
        <w:tc>
          <w:tcPr>
            <w:tcW w:w="1778" w:type="dxa"/>
            <w:tcBorders>
              <w:top w:val="single" w:color="auto" w:sz="4" w:space="0"/>
              <w:left w:val="single" w:color="auto" w:sz="4" w:space="0"/>
              <w:bottom w:val="single" w:color="auto" w:sz="4" w:space="0"/>
              <w:right w:val="single" w:color="auto" w:sz="4" w:space="0"/>
            </w:tcBorders>
          </w:tcPr>
          <w:p w14:paraId="4BCF109E">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1BD612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1F49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0B7AE57">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4</w:t>
            </w:r>
          </w:p>
        </w:tc>
        <w:tc>
          <w:tcPr>
            <w:tcW w:w="2076" w:type="dxa"/>
            <w:tcBorders>
              <w:top w:val="single" w:color="auto" w:sz="4" w:space="0"/>
              <w:left w:val="single" w:color="auto" w:sz="4" w:space="0"/>
              <w:bottom w:val="single" w:color="auto" w:sz="4" w:space="0"/>
              <w:right w:val="single" w:color="auto" w:sz="4" w:space="0"/>
            </w:tcBorders>
          </w:tcPr>
          <w:p w14:paraId="21A7F28F">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三轴搅拌桩机</w:t>
            </w:r>
          </w:p>
        </w:tc>
        <w:tc>
          <w:tcPr>
            <w:tcW w:w="1185" w:type="dxa"/>
            <w:tcBorders>
              <w:top w:val="single" w:color="auto" w:sz="4" w:space="0"/>
              <w:left w:val="single" w:color="auto" w:sz="4" w:space="0"/>
              <w:bottom w:val="single" w:color="auto" w:sz="4" w:space="0"/>
              <w:right w:val="single" w:color="auto" w:sz="4" w:space="0"/>
            </w:tcBorders>
          </w:tcPr>
          <w:p w14:paraId="43111F3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5</w:t>
            </w:r>
          </w:p>
        </w:tc>
        <w:tc>
          <w:tcPr>
            <w:tcW w:w="1316" w:type="dxa"/>
            <w:tcBorders>
              <w:top w:val="single" w:color="auto" w:sz="4" w:space="0"/>
              <w:left w:val="single" w:color="auto" w:sz="4" w:space="0"/>
              <w:bottom w:val="single" w:color="auto" w:sz="4" w:space="0"/>
              <w:right w:val="single" w:color="auto" w:sz="4" w:space="0"/>
            </w:tcBorders>
          </w:tcPr>
          <w:p w14:paraId="02E70FA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20</w:t>
            </w:r>
          </w:p>
        </w:tc>
        <w:tc>
          <w:tcPr>
            <w:tcW w:w="1778" w:type="dxa"/>
            <w:tcBorders>
              <w:top w:val="single" w:color="auto" w:sz="4" w:space="0"/>
              <w:left w:val="single" w:color="auto" w:sz="4" w:space="0"/>
              <w:bottom w:val="single" w:color="auto" w:sz="4" w:space="0"/>
              <w:right w:val="single" w:color="auto" w:sz="4" w:space="0"/>
            </w:tcBorders>
          </w:tcPr>
          <w:p w14:paraId="754F6DB3">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330608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5D2A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E50078E">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2076" w:type="dxa"/>
            <w:tcBorders>
              <w:top w:val="single" w:color="auto" w:sz="4" w:space="0"/>
              <w:left w:val="single" w:color="auto" w:sz="4" w:space="0"/>
              <w:bottom w:val="single" w:color="auto" w:sz="4" w:space="0"/>
              <w:right w:val="single" w:color="auto" w:sz="4" w:space="0"/>
            </w:tcBorders>
          </w:tcPr>
          <w:p w14:paraId="6F3EA4A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挖掘机司机</w:t>
            </w:r>
          </w:p>
        </w:tc>
        <w:tc>
          <w:tcPr>
            <w:tcW w:w="1185" w:type="dxa"/>
            <w:tcBorders>
              <w:top w:val="single" w:color="auto" w:sz="4" w:space="0"/>
              <w:left w:val="single" w:color="auto" w:sz="4" w:space="0"/>
              <w:bottom w:val="single" w:color="auto" w:sz="4" w:space="0"/>
              <w:right w:val="single" w:color="auto" w:sz="4" w:space="0"/>
            </w:tcBorders>
          </w:tcPr>
          <w:p w14:paraId="513EB0B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30</w:t>
            </w:r>
          </w:p>
        </w:tc>
        <w:tc>
          <w:tcPr>
            <w:tcW w:w="1316" w:type="dxa"/>
            <w:tcBorders>
              <w:top w:val="single" w:color="auto" w:sz="4" w:space="0"/>
              <w:left w:val="single" w:color="auto" w:sz="4" w:space="0"/>
              <w:bottom w:val="single" w:color="auto" w:sz="4" w:space="0"/>
              <w:right w:val="single" w:color="auto" w:sz="4" w:space="0"/>
            </w:tcBorders>
          </w:tcPr>
          <w:p w14:paraId="6D0E62F9">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60</w:t>
            </w:r>
          </w:p>
        </w:tc>
        <w:tc>
          <w:tcPr>
            <w:tcW w:w="1778" w:type="dxa"/>
            <w:tcBorders>
              <w:top w:val="single" w:color="auto" w:sz="4" w:space="0"/>
              <w:left w:val="single" w:color="auto" w:sz="4" w:space="0"/>
              <w:bottom w:val="single" w:color="auto" w:sz="4" w:space="0"/>
              <w:right w:val="single" w:color="auto" w:sz="4" w:space="0"/>
            </w:tcBorders>
          </w:tcPr>
          <w:p w14:paraId="5BF7EC62">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134443E">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包括</w:t>
            </w:r>
            <w:r>
              <w:rPr>
                <w:rFonts w:ascii="宋体" w:hAnsi="宋体" w:eastAsia="宋体"/>
                <w:color w:val="000000" w:themeColor="text1"/>
                <w:sz w:val="21"/>
                <w:szCs w:val="21"/>
                <w:highlight w:val="none"/>
                <w14:textFill>
                  <w14:solidFill>
                    <w14:schemeClr w14:val="tx1"/>
                  </w14:solidFill>
                </w14:textFill>
              </w:rPr>
              <w:t>5台</w:t>
            </w:r>
            <w:r>
              <w:rPr>
                <w:rFonts w:hint="eastAsia" w:ascii="宋体" w:hAnsi="宋体" w:eastAsia="宋体"/>
                <w:color w:val="000000" w:themeColor="text1"/>
                <w:sz w:val="21"/>
                <w:szCs w:val="21"/>
                <w:highlight w:val="none"/>
                <w14:textFill>
                  <w14:solidFill>
                    <w14:schemeClr w14:val="tx1"/>
                  </w14:solidFill>
                </w14:textFill>
              </w:rPr>
              <w:t>小挖机</w:t>
            </w:r>
          </w:p>
        </w:tc>
      </w:tr>
      <w:tr w14:paraId="67FC6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F0BE158">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6</w:t>
            </w:r>
          </w:p>
        </w:tc>
        <w:tc>
          <w:tcPr>
            <w:tcW w:w="2076" w:type="dxa"/>
            <w:tcBorders>
              <w:top w:val="single" w:color="auto" w:sz="4" w:space="0"/>
              <w:left w:val="single" w:color="auto" w:sz="4" w:space="0"/>
              <w:bottom w:val="single" w:color="auto" w:sz="4" w:space="0"/>
              <w:right w:val="single" w:color="auto" w:sz="4" w:space="0"/>
            </w:tcBorders>
          </w:tcPr>
          <w:p w14:paraId="15D0DB9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普工</w:t>
            </w:r>
          </w:p>
        </w:tc>
        <w:tc>
          <w:tcPr>
            <w:tcW w:w="1185" w:type="dxa"/>
            <w:tcBorders>
              <w:top w:val="single" w:color="auto" w:sz="4" w:space="0"/>
              <w:left w:val="single" w:color="auto" w:sz="4" w:space="0"/>
              <w:bottom w:val="single" w:color="auto" w:sz="4" w:space="0"/>
              <w:right w:val="single" w:color="auto" w:sz="4" w:space="0"/>
            </w:tcBorders>
          </w:tcPr>
          <w:p w14:paraId="0884010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8</w:t>
            </w:r>
          </w:p>
        </w:tc>
        <w:tc>
          <w:tcPr>
            <w:tcW w:w="1316" w:type="dxa"/>
            <w:tcBorders>
              <w:top w:val="single" w:color="auto" w:sz="4" w:space="0"/>
              <w:left w:val="single" w:color="auto" w:sz="4" w:space="0"/>
              <w:bottom w:val="single" w:color="auto" w:sz="4" w:space="0"/>
              <w:right w:val="single" w:color="auto" w:sz="4" w:space="0"/>
            </w:tcBorders>
          </w:tcPr>
          <w:p w14:paraId="4B290C1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96</w:t>
            </w:r>
          </w:p>
        </w:tc>
        <w:tc>
          <w:tcPr>
            <w:tcW w:w="1778" w:type="dxa"/>
            <w:tcBorders>
              <w:top w:val="single" w:color="auto" w:sz="4" w:space="0"/>
              <w:left w:val="single" w:color="auto" w:sz="4" w:space="0"/>
              <w:bottom w:val="single" w:color="auto" w:sz="4" w:space="0"/>
              <w:right w:val="single" w:color="auto" w:sz="4" w:space="0"/>
            </w:tcBorders>
          </w:tcPr>
          <w:p w14:paraId="00C29DD0">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52CEFE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420C3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9BD98B5">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7</w:t>
            </w:r>
          </w:p>
        </w:tc>
        <w:tc>
          <w:tcPr>
            <w:tcW w:w="2076" w:type="dxa"/>
            <w:tcBorders>
              <w:top w:val="single" w:color="auto" w:sz="4" w:space="0"/>
              <w:left w:val="single" w:color="auto" w:sz="4" w:space="0"/>
              <w:bottom w:val="single" w:color="auto" w:sz="4" w:space="0"/>
              <w:right w:val="single" w:color="auto" w:sz="4" w:space="0"/>
            </w:tcBorders>
          </w:tcPr>
          <w:p w14:paraId="5998454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电工</w:t>
            </w:r>
          </w:p>
        </w:tc>
        <w:tc>
          <w:tcPr>
            <w:tcW w:w="1185" w:type="dxa"/>
            <w:tcBorders>
              <w:top w:val="single" w:color="auto" w:sz="4" w:space="0"/>
              <w:left w:val="single" w:color="auto" w:sz="4" w:space="0"/>
              <w:bottom w:val="single" w:color="auto" w:sz="4" w:space="0"/>
              <w:right w:val="single" w:color="auto" w:sz="4" w:space="0"/>
            </w:tcBorders>
          </w:tcPr>
          <w:p w14:paraId="41A763E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1316" w:type="dxa"/>
            <w:tcBorders>
              <w:top w:val="single" w:color="auto" w:sz="4" w:space="0"/>
              <w:left w:val="single" w:color="auto" w:sz="4" w:space="0"/>
              <w:bottom w:val="single" w:color="auto" w:sz="4" w:space="0"/>
              <w:right w:val="single" w:color="auto" w:sz="4" w:space="0"/>
            </w:tcBorders>
          </w:tcPr>
          <w:p w14:paraId="4DAF7E7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25</w:t>
            </w:r>
          </w:p>
        </w:tc>
        <w:tc>
          <w:tcPr>
            <w:tcW w:w="1778" w:type="dxa"/>
            <w:tcBorders>
              <w:top w:val="single" w:color="auto" w:sz="4" w:space="0"/>
              <w:left w:val="single" w:color="auto" w:sz="4" w:space="0"/>
              <w:bottom w:val="single" w:color="auto" w:sz="4" w:space="0"/>
              <w:right w:val="single" w:color="auto" w:sz="4" w:space="0"/>
            </w:tcBorders>
          </w:tcPr>
          <w:p w14:paraId="609358E5">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FC635D7">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16AB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6A44C8B6">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8</w:t>
            </w:r>
          </w:p>
        </w:tc>
        <w:tc>
          <w:tcPr>
            <w:tcW w:w="2076" w:type="dxa"/>
            <w:tcBorders>
              <w:top w:val="single" w:color="auto" w:sz="4" w:space="0"/>
              <w:left w:val="single" w:color="auto" w:sz="4" w:space="0"/>
              <w:bottom w:val="single" w:color="auto" w:sz="4" w:space="0"/>
              <w:right w:val="single" w:color="auto" w:sz="4" w:space="0"/>
            </w:tcBorders>
          </w:tcPr>
          <w:p w14:paraId="6BD4CDA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焊工</w:t>
            </w:r>
          </w:p>
        </w:tc>
        <w:tc>
          <w:tcPr>
            <w:tcW w:w="1185" w:type="dxa"/>
            <w:tcBorders>
              <w:top w:val="single" w:color="auto" w:sz="4" w:space="0"/>
              <w:left w:val="single" w:color="auto" w:sz="4" w:space="0"/>
              <w:bottom w:val="single" w:color="auto" w:sz="4" w:space="0"/>
              <w:right w:val="single" w:color="auto" w:sz="4" w:space="0"/>
            </w:tcBorders>
          </w:tcPr>
          <w:p w14:paraId="5DE249D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1316" w:type="dxa"/>
            <w:tcBorders>
              <w:top w:val="single" w:color="auto" w:sz="4" w:space="0"/>
              <w:left w:val="single" w:color="auto" w:sz="4" w:space="0"/>
              <w:bottom w:val="single" w:color="auto" w:sz="4" w:space="0"/>
              <w:right w:val="single" w:color="auto" w:sz="4" w:space="0"/>
            </w:tcBorders>
          </w:tcPr>
          <w:p w14:paraId="4D37DD1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50</w:t>
            </w:r>
          </w:p>
        </w:tc>
        <w:tc>
          <w:tcPr>
            <w:tcW w:w="1778" w:type="dxa"/>
            <w:tcBorders>
              <w:top w:val="single" w:color="auto" w:sz="4" w:space="0"/>
              <w:left w:val="single" w:color="auto" w:sz="4" w:space="0"/>
              <w:bottom w:val="single" w:color="auto" w:sz="4" w:space="0"/>
              <w:right w:val="single" w:color="auto" w:sz="4" w:space="0"/>
            </w:tcBorders>
          </w:tcPr>
          <w:p w14:paraId="73291A89">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AEBE48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09350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BC83985">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9</w:t>
            </w:r>
          </w:p>
        </w:tc>
        <w:tc>
          <w:tcPr>
            <w:tcW w:w="2076" w:type="dxa"/>
            <w:tcBorders>
              <w:top w:val="single" w:color="auto" w:sz="4" w:space="0"/>
              <w:left w:val="single" w:color="auto" w:sz="4" w:space="0"/>
              <w:bottom w:val="single" w:color="auto" w:sz="4" w:space="0"/>
              <w:right w:val="single" w:color="auto" w:sz="4" w:space="0"/>
            </w:tcBorders>
          </w:tcPr>
          <w:p w14:paraId="5B53755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喷锚</w:t>
            </w:r>
          </w:p>
        </w:tc>
        <w:tc>
          <w:tcPr>
            <w:tcW w:w="1185" w:type="dxa"/>
            <w:tcBorders>
              <w:top w:val="single" w:color="auto" w:sz="4" w:space="0"/>
              <w:left w:val="single" w:color="auto" w:sz="4" w:space="0"/>
              <w:bottom w:val="single" w:color="auto" w:sz="4" w:space="0"/>
              <w:right w:val="single" w:color="auto" w:sz="4" w:space="0"/>
            </w:tcBorders>
          </w:tcPr>
          <w:p w14:paraId="2BCA46A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8</w:t>
            </w:r>
          </w:p>
        </w:tc>
        <w:tc>
          <w:tcPr>
            <w:tcW w:w="1316" w:type="dxa"/>
            <w:tcBorders>
              <w:top w:val="single" w:color="auto" w:sz="4" w:space="0"/>
              <w:left w:val="single" w:color="auto" w:sz="4" w:space="0"/>
              <w:bottom w:val="single" w:color="auto" w:sz="4" w:space="0"/>
              <w:right w:val="single" w:color="auto" w:sz="4" w:space="0"/>
            </w:tcBorders>
          </w:tcPr>
          <w:p w14:paraId="0A0554A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32</w:t>
            </w:r>
          </w:p>
        </w:tc>
        <w:tc>
          <w:tcPr>
            <w:tcW w:w="1778" w:type="dxa"/>
            <w:tcBorders>
              <w:top w:val="single" w:color="auto" w:sz="4" w:space="0"/>
              <w:left w:val="single" w:color="auto" w:sz="4" w:space="0"/>
              <w:bottom w:val="single" w:color="auto" w:sz="4" w:space="0"/>
              <w:right w:val="single" w:color="auto" w:sz="4" w:space="0"/>
            </w:tcBorders>
          </w:tcPr>
          <w:p w14:paraId="098D584C">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E8115F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1BFB4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204B116">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2076" w:type="dxa"/>
            <w:tcBorders>
              <w:top w:val="single" w:color="auto" w:sz="4" w:space="0"/>
              <w:left w:val="single" w:color="auto" w:sz="4" w:space="0"/>
              <w:bottom w:val="single" w:color="auto" w:sz="4" w:space="0"/>
              <w:right w:val="single" w:color="auto" w:sz="4" w:space="0"/>
            </w:tcBorders>
          </w:tcPr>
          <w:p w14:paraId="190A89B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运土汽车司机</w:t>
            </w:r>
          </w:p>
        </w:tc>
        <w:tc>
          <w:tcPr>
            <w:tcW w:w="1185" w:type="dxa"/>
            <w:tcBorders>
              <w:top w:val="single" w:color="auto" w:sz="4" w:space="0"/>
              <w:left w:val="single" w:color="auto" w:sz="4" w:space="0"/>
              <w:bottom w:val="single" w:color="auto" w:sz="4" w:space="0"/>
              <w:right w:val="single" w:color="auto" w:sz="4" w:space="0"/>
            </w:tcBorders>
          </w:tcPr>
          <w:p w14:paraId="4450DF9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120</w:t>
            </w:r>
          </w:p>
        </w:tc>
        <w:tc>
          <w:tcPr>
            <w:tcW w:w="1316" w:type="dxa"/>
            <w:tcBorders>
              <w:top w:val="single" w:color="auto" w:sz="4" w:space="0"/>
              <w:left w:val="single" w:color="auto" w:sz="4" w:space="0"/>
              <w:bottom w:val="single" w:color="auto" w:sz="4" w:space="0"/>
              <w:right w:val="single" w:color="auto" w:sz="4" w:space="0"/>
            </w:tcBorders>
          </w:tcPr>
          <w:p w14:paraId="6D9F1FC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240</w:t>
            </w:r>
          </w:p>
        </w:tc>
        <w:tc>
          <w:tcPr>
            <w:tcW w:w="1778" w:type="dxa"/>
            <w:tcBorders>
              <w:top w:val="single" w:color="auto" w:sz="4" w:space="0"/>
              <w:left w:val="single" w:color="auto" w:sz="4" w:space="0"/>
              <w:bottom w:val="single" w:color="auto" w:sz="4" w:space="0"/>
              <w:right w:val="single" w:color="auto" w:sz="4" w:space="0"/>
            </w:tcBorders>
          </w:tcPr>
          <w:p w14:paraId="0C926F9C">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8D0593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19B4A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8522" w:type="dxa"/>
            <w:gridSpan w:val="6"/>
            <w:tcBorders>
              <w:top w:val="single" w:color="auto" w:sz="4" w:space="0"/>
              <w:left w:val="single" w:color="auto" w:sz="4" w:space="0"/>
              <w:bottom w:val="single" w:color="auto" w:sz="4" w:space="0"/>
              <w:right w:val="single" w:color="auto" w:sz="4" w:space="0"/>
            </w:tcBorders>
            <w:vAlign w:val="center"/>
          </w:tcPr>
          <w:p w14:paraId="11CDA80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主体阶段施工班组人员投入</w:t>
            </w:r>
          </w:p>
        </w:tc>
      </w:tr>
      <w:tr w14:paraId="19480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2DC5417">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序号</w:t>
            </w:r>
          </w:p>
        </w:tc>
        <w:tc>
          <w:tcPr>
            <w:tcW w:w="2076" w:type="dxa"/>
            <w:tcBorders>
              <w:top w:val="single" w:color="auto" w:sz="4" w:space="0"/>
              <w:left w:val="single" w:color="auto" w:sz="4" w:space="0"/>
              <w:bottom w:val="single" w:color="auto" w:sz="4" w:space="0"/>
              <w:right w:val="single" w:color="auto" w:sz="4" w:space="0"/>
            </w:tcBorders>
          </w:tcPr>
          <w:p w14:paraId="1992BE97">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工种</w:t>
            </w:r>
          </w:p>
        </w:tc>
        <w:tc>
          <w:tcPr>
            <w:tcW w:w="1185" w:type="dxa"/>
            <w:tcBorders>
              <w:top w:val="single" w:color="auto" w:sz="4" w:space="0"/>
              <w:left w:val="single" w:color="auto" w:sz="4" w:space="0"/>
              <w:bottom w:val="single" w:color="auto" w:sz="4" w:space="0"/>
              <w:right w:val="single" w:color="auto" w:sz="4" w:space="0"/>
            </w:tcBorders>
          </w:tcPr>
          <w:p w14:paraId="2DA65E3B">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班组数量</w:t>
            </w:r>
          </w:p>
        </w:tc>
        <w:tc>
          <w:tcPr>
            <w:tcW w:w="1316" w:type="dxa"/>
            <w:tcBorders>
              <w:top w:val="single" w:color="auto" w:sz="4" w:space="0"/>
              <w:left w:val="single" w:color="auto" w:sz="4" w:space="0"/>
              <w:bottom w:val="single" w:color="auto" w:sz="4" w:space="0"/>
              <w:right w:val="single" w:color="auto" w:sz="4" w:space="0"/>
            </w:tcBorders>
          </w:tcPr>
          <w:p w14:paraId="6279B9D3">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人数（人）</w:t>
            </w:r>
          </w:p>
        </w:tc>
        <w:tc>
          <w:tcPr>
            <w:tcW w:w="1778" w:type="dxa"/>
            <w:tcBorders>
              <w:top w:val="single" w:color="auto" w:sz="4" w:space="0"/>
              <w:left w:val="single" w:color="auto" w:sz="4" w:space="0"/>
              <w:bottom w:val="single" w:color="auto" w:sz="4" w:space="0"/>
              <w:right w:val="single" w:color="auto" w:sz="4" w:space="0"/>
            </w:tcBorders>
          </w:tcPr>
          <w:p w14:paraId="72DABCE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进场日期</w:t>
            </w:r>
          </w:p>
        </w:tc>
        <w:tc>
          <w:tcPr>
            <w:tcW w:w="1416" w:type="dxa"/>
            <w:tcBorders>
              <w:top w:val="single" w:color="auto" w:sz="4" w:space="0"/>
              <w:left w:val="single" w:color="auto" w:sz="4" w:space="0"/>
              <w:bottom w:val="single" w:color="auto" w:sz="4" w:space="0"/>
              <w:right w:val="single" w:color="auto" w:sz="4" w:space="0"/>
            </w:tcBorders>
          </w:tcPr>
          <w:p w14:paraId="4C8EB1C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备注</w:t>
            </w:r>
          </w:p>
        </w:tc>
      </w:tr>
      <w:tr w14:paraId="0DE3F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A3F98D4">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p>
        </w:tc>
        <w:tc>
          <w:tcPr>
            <w:tcW w:w="2076" w:type="dxa"/>
            <w:tcBorders>
              <w:top w:val="single" w:color="auto" w:sz="4" w:space="0"/>
              <w:left w:val="single" w:color="auto" w:sz="4" w:space="0"/>
              <w:bottom w:val="single" w:color="auto" w:sz="4" w:space="0"/>
              <w:right w:val="single" w:color="auto" w:sz="4" w:space="0"/>
            </w:tcBorders>
          </w:tcPr>
          <w:p w14:paraId="74D6F29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普工</w:t>
            </w:r>
          </w:p>
        </w:tc>
        <w:tc>
          <w:tcPr>
            <w:tcW w:w="1185" w:type="dxa"/>
            <w:tcBorders>
              <w:top w:val="single" w:color="auto" w:sz="4" w:space="0"/>
              <w:left w:val="single" w:color="auto" w:sz="4" w:space="0"/>
              <w:bottom w:val="single" w:color="auto" w:sz="4" w:space="0"/>
              <w:right w:val="single" w:color="auto" w:sz="4" w:space="0"/>
            </w:tcBorders>
          </w:tcPr>
          <w:p w14:paraId="7524F17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254FD95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0350BABE">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B18B4F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47A30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D782E42">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p>
        </w:tc>
        <w:tc>
          <w:tcPr>
            <w:tcW w:w="2076" w:type="dxa"/>
            <w:tcBorders>
              <w:top w:val="single" w:color="auto" w:sz="4" w:space="0"/>
              <w:left w:val="single" w:color="auto" w:sz="4" w:space="0"/>
              <w:bottom w:val="single" w:color="auto" w:sz="4" w:space="0"/>
              <w:right w:val="single" w:color="auto" w:sz="4" w:space="0"/>
            </w:tcBorders>
          </w:tcPr>
          <w:p w14:paraId="0693A2A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砌砖</w:t>
            </w:r>
          </w:p>
        </w:tc>
        <w:tc>
          <w:tcPr>
            <w:tcW w:w="1185" w:type="dxa"/>
            <w:tcBorders>
              <w:top w:val="single" w:color="auto" w:sz="4" w:space="0"/>
              <w:left w:val="single" w:color="auto" w:sz="4" w:space="0"/>
              <w:bottom w:val="single" w:color="auto" w:sz="4" w:space="0"/>
              <w:right w:val="single" w:color="auto" w:sz="4" w:space="0"/>
            </w:tcBorders>
          </w:tcPr>
          <w:p w14:paraId="68D379C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13F34EA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781C9568">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B9CC0F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2AF29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3914844">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w:t>
            </w:r>
          </w:p>
        </w:tc>
        <w:tc>
          <w:tcPr>
            <w:tcW w:w="2076" w:type="dxa"/>
            <w:tcBorders>
              <w:top w:val="single" w:color="auto" w:sz="4" w:space="0"/>
              <w:left w:val="single" w:color="auto" w:sz="4" w:space="0"/>
              <w:bottom w:val="single" w:color="auto" w:sz="4" w:space="0"/>
              <w:right w:val="single" w:color="auto" w:sz="4" w:space="0"/>
            </w:tcBorders>
          </w:tcPr>
          <w:p w14:paraId="078E395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模板工</w:t>
            </w:r>
          </w:p>
        </w:tc>
        <w:tc>
          <w:tcPr>
            <w:tcW w:w="1185" w:type="dxa"/>
            <w:tcBorders>
              <w:top w:val="single" w:color="auto" w:sz="4" w:space="0"/>
              <w:left w:val="single" w:color="auto" w:sz="4" w:space="0"/>
              <w:bottom w:val="single" w:color="auto" w:sz="4" w:space="0"/>
              <w:right w:val="single" w:color="auto" w:sz="4" w:space="0"/>
            </w:tcBorders>
          </w:tcPr>
          <w:p w14:paraId="763B646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5F877F0F">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48</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6C2252C4">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BCE0DC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3163B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863F5B1">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4</w:t>
            </w:r>
          </w:p>
        </w:tc>
        <w:tc>
          <w:tcPr>
            <w:tcW w:w="2076" w:type="dxa"/>
            <w:tcBorders>
              <w:top w:val="single" w:color="auto" w:sz="4" w:space="0"/>
              <w:left w:val="single" w:color="auto" w:sz="4" w:space="0"/>
              <w:bottom w:val="single" w:color="auto" w:sz="4" w:space="0"/>
              <w:right w:val="single" w:color="auto" w:sz="4" w:space="0"/>
            </w:tcBorders>
          </w:tcPr>
          <w:p w14:paraId="6DD5637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钢筋工</w:t>
            </w:r>
          </w:p>
        </w:tc>
        <w:tc>
          <w:tcPr>
            <w:tcW w:w="1185" w:type="dxa"/>
            <w:tcBorders>
              <w:top w:val="single" w:color="auto" w:sz="4" w:space="0"/>
              <w:left w:val="single" w:color="auto" w:sz="4" w:space="0"/>
              <w:bottom w:val="single" w:color="auto" w:sz="4" w:space="0"/>
              <w:right w:val="single" w:color="auto" w:sz="4" w:space="0"/>
            </w:tcBorders>
          </w:tcPr>
          <w:p w14:paraId="2E558FB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237838D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w:t>
            </w:r>
            <w:r>
              <w:rPr>
                <w:rFonts w:hint="eastAsia" w:ascii="宋体" w:hAnsi="宋体" w:eastAsia="宋体"/>
                <w:color w:val="000000" w:themeColor="text1"/>
                <w:sz w:val="21"/>
                <w:szCs w:val="21"/>
                <w:highlight w:val="none"/>
                <w14:textFill>
                  <w14:solidFill>
                    <w14:schemeClr w14:val="tx1"/>
                  </w14:solidFill>
                </w14:textFill>
              </w:rPr>
              <w:t>6</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5628D775">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7DE976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5AC3B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A6EE111">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2076" w:type="dxa"/>
            <w:tcBorders>
              <w:top w:val="single" w:color="auto" w:sz="4" w:space="0"/>
              <w:left w:val="single" w:color="auto" w:sz="4" w:space="0"/>
              <w:bottom w:val="single" w:color="auto" w:sz="4" w:space="0"/>
              <w:right w:val="single" w:color="auto" w:sz="4" w:space="0"/>
            </w:tcBorders>
          </w:tcPr>
          <w:p w14:paraId="6ABD349F">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外架工</w:t>
            </w:r>
          </w:p>
        </w:tc>
        <w:tc>
          <w:tcPr>
            <w:tcW w:w="1185" w:type="dxa"/>
            <w:tcBorders>
              <w:top w:val="single" w:color="auto" w:sz="4" w:space="0"/>
              <w:left w:val="single" w:color="auto" w:sz="4" w:space="0"/>
              <w:bottom w:val="single" w:color="auto" w:sz="4" w:space="0"/>
              <w:right w:val="single" w:color="auto" w:sz="4" w:space="0"/>
            </w:tcBorders>
          </w:tcPr>
          <w:p w14:paraId="7798A3B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r>
              <w:rPr>
                <w:rFonts w:hint="eastAsia" w:ascii="宋体" w:hAnsi="宋体" w:eastAsia="宋体"/>
                <w:color w:val="000000" w:themeColor="text1"/>
                <w:sz w:val="21"/>
                <w:szCs w:val="21"/>
                <w:highlight w:val="none"/>
                <w14:textFill>
                  <w14:solidFill>
                    <w14:schemeClr w14:val="tx1"/>
                  </w14:solidFill>
                </w14:textFill>
              </w:rPr>
              <w:t>2</w:t>
            </w:r>
          </w:p>
        </w:tc>
        <w:tc>
          <w:tcPr>
            <w:tcW w:w="1316" w:type="dxa"/>
            <w:tcBorders>
              <w:top w:val="single" w:color="auto" w:sz="4" w:space="0"/>
              <w:left w:val="single" w:color="auto" w:sz="4" w:space="0"/>
              <w:bottom w:val="single" w:color="auto" w:sz="4" w:space="0"/>
              <w:right w:val="single" w:color="auto" w:sz="4" w:space="0"/>
            </w:tcBorders>
          </w:tcPr>
          <w:p w14:paraId="35CE335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r>
              <w:rPr>
                <w:rFonts w:hint="eastAsia" w:ascii="宋体" w:hAnsi="宋体" w:eastAsia="宋体"/>
                <w:color w:val="000000" w:themeColor="text1"/>
                <w:sz w:val="21"/>
                <w:szCs w:val="21"/>
                <w:highlight w:val="none"/>
                <w14:textFill>
                  <w14:solidFill>
                    <w14:schemeClr w14:val="tx1"/>
                  </w14:solidFill>
                </w14:textFill>
              </w:rPr>
              <w:t>2</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4293AA54">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5FA34A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4C4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1DF17F0">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6</w:t>
            </w:r>
          </w:p>
        </w:tc>
        <w:tc>
          <w:tcPr>
            <w:tcW w:w="2076" w:type="dxa"/>
            <w:tcBorders>
              <w:top w:val="single" w:color="auto" w:sz="4" w:space="0"/>
              <w:left w:val="single" w:color="auto" w:sz="4" w:space="0"/>
              <w:bottom w:val="single" w:color="auto" w:sz="4" w:space="0"/>
              <w:right w:val="single" w:color="auto" w:sz="4" w:space="0"/>
            </w:tcBorders>
          </w:tcPr>
          <w:p w14:paraId="06A605A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砼工</w:t>
            </w:r>
          </w:p>
        </w:tc>
        <w:tc>
          <w:tcPr>
            <w:tcW w:w="1185" w:type="dxa"/>
            <w:tcBorders>
              <w:top w:val="single" w:color="auto" w:sz="4" w:space="0"/>
              <w:left w:val="single" w:color="auto" w:sz="4" w:space="0"/>
              <w:bottom w:val="single" w:color="auto" w:sz="4" w:space="0"/>
              <w:right w:val="single" w:color="auto" w:sz="4" w:space="0"/>
            </w:tcBorders>
          </w:tcPr>
          <w:p w14:paraId="2A341C6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r>
              <w:rPr>
                <w:rFonts w:hint="eastAsia" w:ascii="宋体" w:hAnsi="宋体" w:eastAsia="宋体"/>
                <w:color w:val="000000" w:themeColor="text1"/>
                <w:sz w:val="21"/>
                <w:szCs w:val="21"/>
                <w:highlight w:val="none"/>
                <w14:textFill>
                  <w14:solidFill>
                    <w14:schemeClr w14:val="tx1"/>
                  </w14:solidFill>
                </w14:textFill>
              </w:rPr>
              <w:t>2</w:t>
            </w:r>
          </w:p>
        </w:tc>
        <w:tc>
          <w:tcPr>
            <w:tcW w:w="1316" w:type="dxa"/>
            <w:tcBorders>
              <w:top w:val="single" w:color="auto" w:sz="4" w:space="0"/>
              <w:left w:val="single" w:color="auto" w:sz="4" w:space="0"/>
              <w:bottom w:val="single" w:color="auto" w:sz="4" w:space="0"/>
              <w:right w:val="single" w:color="auto" w:sz="4" w:space="0"/>
            </w:tcBorders>
          </w:tcPr>
          <w:p w14:paraId="2C33815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r>
              <w:rPr>
                <w:rFonts w:hint="eastAsia" w:ascii="宋体" w:hAnsi="宋体" w:eastAsia="宋体"/>
                <w:color w:val="000000" w:themeColor="text1"/>
                <w:sz w:val="21"/>
                <w:szCs w:val="21"/>
                <w:highlight w:val="none"/>
                <w14:textFill>
                  <w14:solidFill>
                    <w14:schemeClr w14:val="tx1"/>
                  </w14:solidFill>
                </w14:textFill>
              </w:rPr>
              <w:t>2</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4EF627EB">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466547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5BE34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FF5B5D9">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7</w:t>
            </w:r>
          </w:p>
        </w:tc>
        <w:tc>
          <w:tcPr>
            <w:tcW w:w="2076" w:type="dxa"/>
            <w:tcBorders>
              <w:top w:val="single" w:color="auto" w:sz="4" w:space="0"/>
              <w:left w:val="single" w:color="auto" w:sz="4" w:space="0"/>
              <w:bottom w:val="single" w:color="auto" w:sz="4" w:space="0"/>
              <w:right w:val="single" w:color="auto" w:sz="4" w:space="0"/>
            </w:tcBorders>
          </w:tcPr>
          <w:p w14:paraId="304E1A6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水电工</w:t>
            </w:r>
          </w:p>
        </w:tc>
        <w:tc>
          <w:tcPr>
            <w:tcW w:w="1185" w:type="dxa"/>
            <w:tcBorders>
              <w:top w:val="single" w:color="auto" w:sz="4" w:space="0"/>
              <w:left w:val="single" w:color="auto" w:sz="4" w:space="0"/>
              <w:bottom w:val="single" w:color="auto" w:sz="4" w:space="0"/>
              <w:right w:val="single" w:color="auto" w:sz="4" w:space="0"/>
            </w:tcBorders>
          </w:tcPr>
          <w:p w14:paraId="3F58A43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46A0729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14584BC5">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1A5F7A4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D147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9DF553B">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8</w:t>
            </w:r>
          </w:p>
        </w:tc>
        <w:tc>
          <w:tcPr>
            <w:tcW w:w="2076" w:type="dxa"/>
            <w:tcBorders>
              <w:top w:val="single" w:color="auto" w:sz="4" w:space="0"/>
              <w:left w:val="single" w:color="auto" w:sz="4" w:space="0"/>
              <w:bottom w:val="single" w:color="auto" w:sz="4" w:space="0"/>
              <w:right w:val="single" w:color="auto" w:sz="4" w:space="0"/>
            </w:tcBorders>
          </w:tcPr>
          <w:p w14:paraId="47D591E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防水工</w:t>
            </w:r>
          </w:p>
        </w:tc>
        <w:tc>
          <w:tcPr>
            <w:tcW w:w="1185" w:type="dxa"/>
            <w:tcBorders>
              <w:top w:val="single" w:color="auto" w:sz="4" w:space="0"/>
              <w:left w:val="single" w:color="auto" w:sz="4" w:space="0"/>
              <w:bottom w:val="single" w:color="auto" w:sz="4" w:space="0"/>
              <w:right w:val="single" w:color="auto" w:sz="4" w:space="0"/>
            </w:tcBorders>
          </w:tcPr>
          <w:p w14:paraId="674AF9BF">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1316" w:type="dxa"/>
            <w:tcBorders>
              <w:top w:val="single" w:color="auto" w:sz="4" w:space="0"/>
              <w:left w:val="single" w:color="auto" w:sz="4" w:space="0"/>
              <w:bottom w:val="single" w:color="auto" w:sz="4" w:space="0"/>
              <w:right w:val="single" w:color="auto" w:sz="4" w:space="0"/>
            </w:tcBorders>
          </w:tcPr>
          <w:p w14:paraId="425C026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75</w:t>
            </w:r>
          </w:p>
        </w:tc>
        <w:tc>
          <w:tcPr>
            <w:tcW w:w="1778" w:type="dxa"/>
            <w:tcBorders>
              <w:top w:val="single" w:color="auto" w:sz="4" w:space="0"/>
              <w:left w:val="single" w:color="auto" w:sz="4" w:space="0"/>
              <w:bottom w:val="single" w:color="auto" w:sz="4" w:space="0"/>
              <w:right w:val="single" w:color="auto" w:sz="4" w:space="0"/>
            </w:tcBorders>
          </w:tcPr>
          <w:p w14:paraId="5ED435F4">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E26AF0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0DD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57D7050">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9</w:t>
            </w:r>
          </w:p>
        </w:tc>
        <w:tc>
          <w:tcPr>
            <w:tcW w:w="2076" w:type="dxa"/>
            <w:tcBorders>
              <w:top w:val="single" w:color="auto" w:sz="4" w:space="0"/>
              <w:left w:val="single" w:color="auto" w:sz="4" w:space="0"/>
              <w:bottom w:val="single" w:color="auto" w:sz="4" w:space="0"/>
              <w:right w:val="single" w:color="auto" w:sz="4" w:space="0"/>
            </w:tcBorders>
          </w:tcPr>
          <w:p w14:paraId="084A6689">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栏杆</w:t>
            </w:r>
          </w:p>
        </w:tc>
        <w:tc>
          <w:tcPr>
            <w:tcW w:w="1185" w:type="dxa"/>
            <w:tcBorders>
              <w:top w:val="single" w:color="auto" w:sz="4" w:space="0"/>
              <w:left w:val="single" w:color="auto" w:sz="4" w:space="0"/>
              <w:bottom w:val="single" w:color="auto" w:sz="4" w:space="0"/>
              <w:right w:val="single" w:color="auto" w:sz="4" w:space="0"/>
            </w:tcBorders>
          </w:tcPr>
          <w:p w14:paraId="294C557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1316" w:type="dxa"/>
            <w:tcBorders>
              <w:top w:val="single" w:color="auto" w:sz="4" w:space="0"/>
              <w:left w:val="single" w:color="auto" w:sz="4" w:space="0"/>
              <w:bottom w:val="single" w:color="auto" w:sz="4" w:space="0"/>
              <w:right w:val="single" w:color="auto" w:sz="4" w:space="0"/>
            </w:tcBorders>
          </w:tcPr>
          <w:p w14:paraId="7077527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50</w:t>
            </w:r>
          </w:p>
        </w:tc>
        <w:tc>
          <w:tcPr>
            <w:tcW w:w="1778" w:type="dxa"/>
            <w:tcBorders>
              <w:top w:val="single" w:color="auto" w:sz="4" w:space="0"/>
              <w:left w:val="single" w:color="auto" w:sz="4" w:space="0"/>
              <w:bottom w:val="single" w:color="auto" w:sz="4" w:space="0"/>
              <w:right w:val="single" w:color="auto" w:sz="4" w:space="0"/>
            </w:tcBorders>
          </w:tcPr>
          <w:p w14:paraId="2CA3FE85">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A67F2E2">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5445C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FB4A213">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2076" w:type="dxa"/>
            <w:tcBorders>
              <w:top w:val="single" w:color="auto" w:sz="4" w:space="0"/>
              <w:left w:val="single" w:color="auto" w:sz="4" w:space="0"/>
              <w:bottom w:val="single" w:color="auto" w:sz="4" w:space="0"/>
              <w:right w:val="single" w:color="auto" w:sz="4" w:space="0"/>
            </w:tcBorders>
          </w:tcPr>
          <w:p w14:paraId="4FBAB8A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铝合金门窗</w:t>
            </w:r>
          </w:p>
        </w:tc>
        <w:tc>
          <w:tcPr>
            <w:tcW w:w="1185" w:type="dxa"/>
            <w:tcBorders>
              <w:top w:val="single" w:color="auto" w:sz="4" w:space="0"/>
              <w:left w:val="single" w:color="auto" w:sz="4" w:space="0"/>
              <w:bottom w:val="single" w:color="auto" w:sz="4" w:space="0"/>
              <w:right w:val="single" w:color="auto" w:sz="4" w:space="0"/>
            </w:tcBorders>
          </w:tcPr>
          <w:p w14:paraId="494A9AF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1316" w:type="dxa"/>
            <w:tcBorders>
              <w:top w:val="single" w:color="auto" w:sz="4" w:space="0"/>
              <w:left w:val="single" w:color="auto" w:sz="4" w:space="0"/>
              <w:bottom w:val="single" w:color="auto" w:sz="4" w:space="0"/>
              <w:right w:val="single" w:color="auto" w:sz="4" w:space="0"/>
            </w:tcBorders>
          </w:tcPr>
          <w:p w14:paraId="4E2897D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100</w:t>
            </w:r>
          </w:p>
        </w:tc>
        <w:tc>
          <w:tcPr>
            <w:tcW w:w="1778" w:type="dxa"/>
            <w:tcBorders>
              <w:top w:val="single" w:color="auto" w:sz="4" w:space="0"/>
              <w:left w:val="single" w:color="auto" w:sz="4" w:space="0"/>
              <w:bottom w:val="single" w:color="auto" w:sz="4" w:space="0"/>
              <w:right w:val="single" w:color="auto" w:sz="4" w:space="0"/>
            </w:tcBorders>
          </w:tcPr>
          <w:p w14:paraId="06566C07">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C7AF64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0F1CA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4014439">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11</w:t>
            </w:r>
          </w:p>
        </w:tc>
        <w:tc>
          <w:tcPr>
            <w:tcW w:w="2076" w:type="dxa"/>
            <w:tcBorders>
              <w:top w:val="single" w:color="auto" w:sz="4" w:space="0"/>
              <w:left w:val="single" w:color="auto" w:sz="4" w:space="0"/>
              <w:bottom w:val="single" w:color="auto" w:sz="4" w:space="0"/>
              <w:right w:val="single" w:color="auto" w:sz="4" w:space="0"/>
            </w:tcBorders>
          </w:tcPr>
          <w:p w14:paraId="0FA2F017">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钢结构</w:t>
            </w:r>
          </w:p>
        </w:tc>
        <w:tc>
          <w:tcPr>
            <w:tcW w:w="1185" w:type="dxa"/>
            <w:tcBorders>
              <w:top w:val="single" w:color="auto" w:sz="4" w:space="0"/>
              <w:left w:val="single" w:color="auto" w:sz="4" w:space="0"/>
              <w:bottom w:val="single" w:color="auto" w:sz="4" w:space="0"/>
              <w:right w:val="single" w:color="auto" w:sz="4" w:space="0"/>
            </w:tcBorders>
          </w:tcPr>
          <w:p w14:paraId="78E14A5D">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w:t>
            </w:r>
          </w:p>
        </w:tc>
        <w:tc>
          <w:tcPr>
            <w:tcW w:w="1316" w:type="dxa"/>
            <w:tcBorders>
              <w:top w:val="single" w:color="auto" w:sz="4" w:space="0"/>
              <w:left w:val="single" w:color="auto" w:sz="4" w:space="0"/>
              <w:bottom w:val="single" w:color="auto" w:sz="4" w:space="0"/>
              <w:right w:val="single" w:color="auto" w:sz="4" w:space="0"/>
            </w:tcBorders>
          </w:tcPr>
          <w:p w14:paraId="75EED1D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10</w:t>
            </w:r>
          </w:p>
        </w:tc>
        <w:tc>
          <w:tcPr>
            <w:tcW w:w="1778" w:type="dxa"/>
            <w:tcBorders>
              <w:top w:val="single" w:color="auto" w:sz="4" w:space="0"/>
              <w:left w:val="single" w:color="auto" w:sz="4" w:space="0"/>
              <w:bottom w:val="single" w:color="auto" w:sz="4" w:space="0"/>
              <w:right w:val="single" w:color="auto" w:sz="4" w:space="0"/>
            </w:tcBorders>
          </w:tcPr>
          <w:p w14:paraId="65F4E8EA">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F9841A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63F49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93B949A">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12</w:t>
            </w:r>
          </w:p>
        </w:tc>
        <w:tc>
          <w:tcPr>
            <w:tcW w:w="2076" w:type="dxa"/>
            <w:tcBorders>
              <w:top w:val="single" w:color="auto" w:sz="4" w:space="0"/>
              <w:left w:val="single" w:color="auto" w:sz="4" w:space="0"/>
              <w:bottom w:val="single" w:color="auto" w:sz="4" w:space="0"/>
              <w:right w:val="single" w:color="auto" w:sz="4" w:space="0"/>
            </w:tcBorders>
          </w:tcPr>
          <w:p w14:paraId="5DC0C9F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电工</w:t>
            </w:r>
          </w:p>
        </w:tc>
        <w:tc>
          <w:tcPr>
            <w:tcW w:w="1185" w:type="dxa"/>
            <w:tcBorders>
              <w:top w:val="single" w:color="auto" w:sz="4" w:space="0"/>
              <w:left w:val="single" w:color="auto" w:sz="4" w:space="0"/>
              <w:bottom w:val="single" w:color="auto" w:sz="4" w:space="0"/>
              <w:right w:val="single" w:color="auto" w:sz="4" w:space="0"/>
            </w:tcBorders>
          </w:tcPr>
          <w:p w14:paraId="4811B3E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5</w:t>
            </w:r>
          </w:p>
        </w:tc>
        <w:tc>
          <w:tcPr>
            <w:tcW w:w="1316" w:type="dxa"/>
            <w:tcBorders>
              <w:top w:val="single" w:color="auto" w:sz="4" w:space="0"/>
              <w:left w:val="single" w:color="auto" w:sz="4" w:space="0"/>
              <w:bottom w:val="single" w:color="auto" w:sz="4" w:space="0"/>
              <w:right w:val="single" w:color="auto" w:sz="4" w:space="0"/>
            </w:tcBorders>
          </w:tcPr>
          <w:p w14:paraId="6A30235F">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20</w:t>
            </w:r>
          </w:p>
        </w:tc>
        <w:tc>
          <w:tcPr>
            <w:tcW w:w="1778" w:type="dxa"/>
            <w:tcBorders>
              <w:top w:val="single" w:color="auto" w:sz="4" w:space="0"/>
              <w:left w:val="single" w:color="auto" w:sz="4" w:space="0"/>
              <w:bottom w:val="single" w:color="auto" w:sz="4" w:space="0"/>
              <w:right w:val="single" w:color="auto" w:sz="4" w:space="0"/>
            </w:tcBorders>
          </w:tcPr>
          <w:p w14:paraId="53C9EE05">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4BD0EF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5C4B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8B326C4">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13</w:t>
            </w:r>
          </w:p>
        </w:tc>
        <w:tc>
          <w:tcPr>
            <w:tcW w:w="2076" w:type="dxa"/>
            <w:tcBorders>
              <w:top w:val="single" w:color="auto" w:sz="4" w:space="0"/>
              <w:left w:val="single" w:color="auto" w:sz="4" w:space="0"/>
              <w:bottom w:val="single" w:color="auto" w:sz="4" w:space="0"/>
              <w:right w:val="single" w:color="auto" w:sz="4" w:space="0"/>
            </w:tcBorders>
          </w:tcPr>
          <w:p w14:paraId="4BE2F80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装修工</w:t>
            </w:r>
          </w:p>
        </w:tc>
        <w:tc>
          <w:tcPr>
            <w:tcW w:w="1185" w:type="dxa"/>
            <w:tcBorders>
              <w:top w:val="single" w:color="auto" w:sz="4" w:space="0"/>
              <w:left w:val="single" w:color="auto" w:sz="4" w:space="0"/>
              <w:bottom w:val="single" w:color="auto" w:sz="4" w:space="0"/>
              <w:right w:val="single" w:color="auto" w:sz="4" w:space="0"/>
            </w:tcBorders>
          </w:tcPr>
          <w:p w14:paraId="5D531C88">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587A7960">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w:t>
            </w:r>
            <w:r>
              <w:rPr>
                <w:rFonts w:hint="eastAsia" w:ascii="宋体" w:hAnsi="宋体" w:eastAsia="宋体"/>
                <w:color w:val="000000" w:themeColor="text1"/>
                <w:sz w:val="21"/>
                <w:szCs w:val="21"/>
                <w:highlight w:val="none"/>
                <w14:textFill>
                  <w14:solidFill>
                    <w14:schemeClr w14:val="tx1"/>
                  </w14:solidFill>
                </w14:textFill>
              </w:rPr>
              <w:t>6</w:t>
            </w:r>
            <w:r>
              <w:rPr>
                <w:rFonts w:ascii="宋体" w:hAnsi="宋体" w:eastAsia="宋体"/>
                <w:color w:val="000000" w:themeColor="text1"/>
                <w:sz w:val="21"/>
                <w:szCs w:val="21"/>
                <w:highlight w:val="none"/>
                <w14:textFill>
                  <w14:solidFill>
                    <w14:schemeClr w14:val="tx1"/>
                  </w14:solidFill>
                </w14:textFill>
              </w:rPr>
              <w:t>0</w:t>
            </w:r>
          </w:p>
        </w:tc>
        <w:tc>
          <w:tcPr>
            <w:tcW w:w="1778" w:type="dxa"/>
            <w:tcBorders>
              <w:top w:val="single" w:color="auto" w:sz="4" w:space="0"/>
              <w:left w:val="single" w:color="auto" w:sz="4" w:space="0"/>
              <w:bottom w:val="single" w:color="auto" w:sz="4" w:space="0"/>
              <w:right w:val="single" w:color="auto" w:sz="4" w:space="0"/>
            </w:tcBorders>
          </w:tcPr>
          <w:p w14:paraId="6D8F4E42">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DBA39E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520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F3B694C">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14</w:t>
            </w:r>
          </w:p>
        </w:tc>
        <w:tc>
          <w:tcPr>
            <w:tcW w:w="2076" w:type="dxa"/>
            <w:tcBorders>
              <w:top w:val="single" w:color="auto" w:sz="4" w:space="0"/>
              <w:left w:val="single" w:color="auto" w:sz="4" w:space="0"/>
              <w:bottom w:val="single" w:color="auto" w:sz="4" w:space="0"/>
              <w:right w:val="single" w:color="auto" w:sz="4" w:space="0"/>
            </w:tcBorders>
          </w:tcPr>
          <w:p w14:paraId="3543779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园林绿化</w:t>
            </w:r>
          </w:p>
        </w:tc>
        <w:tc>
          <w:tcPr>
            <w:tcW w:w="1185" w:type="dxa"/>
            <w:tcBorders>
              <w:top w:val="single" w:color="auto" w:sz="4" w:space="0"/>
              <w:left w:val="single" w:color="auto" w:sz="4" w:space="0"/>
              <w:bottom w:val="single" w:color="auto" w:sz="4" w:space="0"/>
              <w:right w:val="single" w:color="auto" w:sz="4" w:space="0"/>
            </w:tcBorders>
          </w:tcPr>
          <w:p w14:paraId="784F42FA">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6</w:t>
            </w:r>
          </w:p>
        </w:tc>
        <w:tc>
          <w:tcPr>
            <w:tcW w:w="1316" w:type="dxa"/>
            <w:tcBorders>
              <w:top w:val="single" w:color="auto" w:sz="4" w:space="0"/>
              <w:left w:val="single" w:color="auto" w:sz="4" w:space="0"/>
              <w:bottom w:val="single" w:color="auto" w:sz="4" w:space="0"/>
              <w:right w:val="single" w:color="auto" w:sz="4" w:space="0"/>
            </w:tcBorders>
          </w:tcPr>
          <w:p w14:paraId="13C9655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300</w:t>
            </w:r>
          </w:p>
        </w:tc>
        <w:tc>
          <w:tcPr>
            <w:tcW w:w="1778" w:type="dxa"/>
            <w:tcBorders>
              <w:top w:val="single" w:color="auto" w:sz="4" w:space="0"/>
              <w:left w:val="single" w:color="auto" w:sz="4" w:space="0"/>
              <w:bottom w:val="single" w:color="auto" w:sz="4" w:space="0"/>
              <w:right w:val="single" w:color="auto" w:sz="4" w:space="0"/>
            </w:tcBorders>
          </w:tcPr>
          <w:p w14:paraId="3041591A">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604118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4F48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14C113D">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15</w:t>
            </w:r>
          </w:p>
        </w:tc>
        <w:tc>
          <w:tcPr>
            <w:tcW w:w="2076" w:type="dxa"/>
            <w:tcBorders>
              <w:top w:val="single" w:color="auto" w:sz="4" w:space="0"/>
              <w:left w:val="single" w:color="auto" w:sz="4" w:space="0"/>
              <w:bottom w:val="single" w:color="auto" w:sz="4" w:space="0"/>
              <w:right w:val="single" w:color="auto" w:sz="4" w:space="0"/>
            </w:tcBorders>
          </w:tcPr>
          <w:p w14:paraId="5E3E1186">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塔吊司机、司索工</w:t>
            </w:r>
          </w:p>
        </w:tc>
        <w:tc>
          <w:tcPr>
            <w:tcW w:w="1185" w:type="dxa"/>
            <w:tcBorders>
              <w:top w:val="single" w:color="auto" w:sz="4" w:space="0"/>
              <w:left w:val="single" w:color="auto" w:sz="4" w:space="0"/>
              <w:bottom w:val="single" w:color="auto" w:sz="4" w:space="0"/>
              <w:right w:val="single" w:color="auto" w:sz="4" w:space="0"/>
            </w:tcBorders>
          </w:tcPr>
          <w:p w14:paraId="0E331CA6">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15</w:t>
            </w:r>
          </w:p>
        </w:tc>
        <w:tc>
          <w:tcPr>
            <w:tcW w:w="1316" w:type="dxa"/>
            <w:tcBorders>
              <w:top w:val="single" w:color="auto" w:sz="4" w:space="0"/>
              <w:left w:val="single" w:color="auto" w:sz="4" w:space="0"/>
              <w:bottom w:val="single" w:color="auto" w:sz="4" w:space="0"/>
              <w:right w:val="single" w:color="auto" w:sz="4" w:space="0"/>
            </w:tcBorders>
          </w:tcPr>
          <w:p w14:paraId="59DEB88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90</w:t>
            </w:r>
          </w:p>
        </w:tc>
        <w:tc>
          <w:tcPr>
            <w:tcW w:w="1778" w:type="dxa"/>
            <w:tcBorders>
              <w:top w:val="single" w:color="auto" w:sz="4" w:space="0"/>
              <w:left w:val="single" w:color="auto" w:sz="4" w:space="0"/>
              <w:bottom w:val="single" w:color="auto" w:sz="4" w:space="0"/>
              <w:right w:val="single" w:color="auto" w:sz="4" w:space="0"/>
            </w:tcBorders>
          </w:tcPr>
          <w:p w14:paraId="505959DF">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ED9A984">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255BD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751" w:type="dxa"/>
            <w:tcBorders>
              <w:top w:val="single" w:color="auto" w:sz="4" w:space="0"/>
              <w:left w:val="single" w:color="auto" w:sz="4" w:space="0"/>
              <w:bottom w:val="single" w:color="auto" w:sz="4" w:space="0"/>
              <w:right w:val="single" w:color="auto" w:sz="4" w:space="0"/>
            </w:tcBorders>
          </w:tcPr>
          <w:p w14:paraId="3866BE30">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16</w:t>
            </w:r>
          </w:p>
        </w:tc>
        <w:tc>
          <w:tcPr>
            <w:tcW w:w="2076" w:type="dxa"/>
            <w:tcBorders>
              <w:top w:val="single" w:color="auto" w:sz="4" w:space="0"/>
              <w:left w:val="single" w:color="auto" w:sz="4" w:space="0"/>
              <w:bottom w:val="single" w:color="auto" w:sz="4" w:space="0"/>
              <w:right w:val="single" w:color="auto" w:sz="4" w:space="0"/>
            </w:tcBorders>
          </w:tcPr>
          <w:p w14:paraId="589B073C">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施工电梯</w:t>
            </w:r>
          </w:p>
        </w:tc>
        <w:tc>
          <w:tcPr>
            <w:tcW w:w="1185" w:type="dxa"/>
            <w:tcBorders>
              <w:top w:val="single" w:color="auto" w:sz="4" w:space="0"/>
              <w:left w:val="single" w:color="auto" w:sz="4" w:space="0"/>
              <w:bottom w:val="single" w:color="auto" w:sz="4" w:space="0"/>
              <w:right w:val="single" w:color="auto" w:sz="4" w:space="0"/>
            </w:tcBorders>
          </w:tcPr>
          <w:p w14:paraId="4E7173CB">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24</w:t>
            </w:r>
          </w:p>
        </w:tc>
        <w:tc>
          <w:tcPr>
            <w:tcW w:w="1316" w:type="dxa"/>
            <w:tcBorders>
              <w:top w:val="single" w:color="auto" w:sz="4" w:space="0"/>
              <w:left w:val="single" w:color="auto" w:sz="4" w:space="0"/>
              <w:bottom w:val="single" w:color="auto" w:sz="4" w:space="0"/>
              <w:right w:val="single" w:color="auto" w:sz="4" w:space="0"/>
            </w:tcBorders>
          </w:tcPr>
          <w:p w14:paraId="71741B45">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72</w:t>
            </w:r>
          </w:p>
        </w:tc>
        <w:tc>
          <w:tcPr>
            <w:tcW w:w="1778" w:type="dxa"/>
            <w:tcBorders>
              <w:top w:val="single" w:color="auto" w:sz="4" w:space="0"/>
              <w:left w:val="single" w:color="auto" w:sz="4" w:space="0"/>
              <w:bottom w:val="single" w:color="auto" w:sz="4" w:space="0"/>
              <w:right w:val="single" w:color="auto" w:sz="4" w:space="0"/>
            </w:tcBorders>
          </w:tcPr>
          <w:p w14:paraId="0E470ED2">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7103F5E">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r w14:paraId="7448C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E94A743">
            <w:pPr>
              <w:spacing w:line="240" w:lineRule="auto"/>
              <w:ind w:firstLine="21" w:firstLineChars="10"/>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17</w:t>
            </w:r>
          </w:p>
        </w:tc>
        <w:tc>
          <w:tcPr>
            <w:tcW w:w="2076" w:type="dxa"/>
            <w:tcBorders>
              <w:top w:val="single" w:color="auto" w:sz="4" w:space="0"/>
              <w:left w:val="single" w:color="auto" w:sz="4" w:space="0"/>
              <w:bottom w:val="single" w:color="auto" w:sz="4" w:space="0"/>
              <w:right w:val="single" w:color="auto" w:sz="4" w:space="0"/>
            </w:tcBorders>
          </w:tcPr>
          <w:p w14:paraId="37E19DF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焊工</w:t>
            </w:r>
          </w:p>
        </w:tc>
        <w:tc>
          <w:tcPr>
            <w:tcW w:w="1185" w:type="dxa"/>
            <w:tcBorders>
              <w:top w:val="single" w:color="auto" w:sz="4" w:space="0"/>
              <w:left w:val="single" w:color="auto" w:sz="4" w:space="0"/>
              <w:bottom w:val="single" w:color="auto" w:sz="4" w:space="0"/>
              <w:right w:val="single" w:color="auto" w:sz="4" w:space="0"/>
            </w:tcBorders>
          </w:tcPr>
          <w:p w14:paraId="6574EFE7">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2</w:t>
            </w:r>
            <w:r>
              <w:rPr>
                <w:rFonts w:hint="eastAsia" w:ascii="宋体" w:hAnsi="宋体" w:eastAsia="宋体"/>
                <w:color w:val="000000" w:themeColor="text1"/>
                <w:sz w:val="21"/>
                <w:szCs w:val="21"/>
                <w:highlight w:val="none"/>
                <w14:textFill>
                  <w14:solidFill>
                    <w14:schemeClr w14:val="tx1"/>
                  </w14:solidFill>
                </w14:textFill>
              </w:rPr>
              <w:t>4</w:t>
            </w:r>
          </w:p>
        </w:tc>
        <w:tc>
          <w:tcPr>
            <w:tcW w:w="1316" w:type="dxa"/>
            <w:tcBorders>
              <w:top w:val="single" w:color="auto" w:sz="4" w:space="0"/>
              <w:left w:val="single" w:color="auto" w:sz="4" w:space="0"/>
              <w:bottom w:val="single" w:color="auto" w:sz="4" w:space="0"/>
              <w:right w:val="single" w:color="auto" w:sz="4" w:space="0"/>
            </w:tcBorders>
          </w:tcPr>
          <w:p w14:paraId="52246A73">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r>
              <w:rPr>
                <w:rFonts w:ascii="宋体" w:hAnsi="宋体" w:eastAsia="宋体"/>
                <w:color w:val="000000" w:themeColor="text1"/>
                <w:sz w:val="21"/>
                <w:szCs w:val="21"/>
                <w:highlight w:val="none"/>
                <w14:textFill>
                  <w14:solidFill>
                    <w14:schemeClr w14:val="tx1"/>
                  </w14:solidFill>
                </w14:textFill>
              </w:rPr>
              <w:t>7</w:t>
            </w:r>
            <w:r>
              <w:rPr>
                <w:rFonts w:hint="eastAsia" w:ascii="宋体" w:hAnsi="宋体" w:eastAsia="宋体"/>
                <w:color w:val="000000" w:themeColor="text1"/>
                <w:sz w:val="21"/>
                <w:szCs w:val="21"/>
                <w:highlight w:val="none"/>
                <w14:textFill>
                  <w14:solidFill>
                    <w14:schemeClr w14:val="tx1"/>
                  </w14:solidFill>
                </w14:textFill>
              </w:rPr>
              <w:t>2</w:t>
            </w:r>
          </w:p>
        </w:tc>
        <w:tc>
          <w:tcPr>
            <w:tcW w:w="1778" w:type="dxa"/>
            <w:tcBorders>
              <w:top w:val="single" w:color="auto" w:sz="4" w:space="0"/>
              <w:left w:val="single" w:color="auto" w:sz="4" w:space="0"/>
              <w:bottom w:val="single" w:color="auto" w:sz="4" w:space="0"/>
              <w:right w:val="single" w:color="auto" w:sz="4" w:space="0"/>
            </w:tcBorders>
          </w:tcPr>
          <w:p w14:paraId="5A14AF71">
            <w:pPr>
              <w:spacing w:line="240" w:lineRule="auto"/>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eastAsia="宋体"/>
                <w:color w:val="000000" w:themeColor="text1"/>
                <w:sz w:val="21"/>
                <w:szCs w:val="21"/>
                <w:highlight w:val="none"/>
                <w14:textFill>
                  <w14:solidFill>
                    <w14:schemeClr w14:val="tx1"/>
                  </w14:solidFill>
                </w14:textFill>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69B70F1">
            <w:pPr>
              <w:spacing w:line="240" w:lineRule="auto"/>
              <w:ind w:firstLine="371" w:firstLineChars="177"/>
              <w:rPr>
                <w:rFonts w:hint="eastAsia" w:ascii="宋体" w:hAnsi="宋体" w:eastAsia="宋体"/>
                <w:color w:val="000000" w:themeColor="text1"/>
                <w:sz w:val="21"/>
                <w:szCs w:val="21"/>
                <w:highlight w:val="none"/>
                <w14:textFill>
                  <w14:solidFill>
                    <w14:schemeClr w14:val="tx1"/>
                  </w14:solidFill>
                </w14:textFill>
              </w:rPr>
            </w:pPr>
          </w:p>
        </w:tc>
      </w:tr>
    </w:tbl>
    <w:p w14:paraId="270D422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增大特殊工种的投入，实现两班制轮班作业，计划安排塔吊司机</w:t>
      </w:r>
      <w:r>
        <w:rPr>
          <w:rFonts w:ascii="宋体" w:hAnsi="宋体" w:eastAsia="宋体"/>
          <w:color w:val="000000" w:themeColor="text1"/>
          <w:sz w:val="24"/>
          <w:szCs w:val="24"/>
          <w:highlight w:val="none"/>
          <w14:textFill>
            <w14:solidFill>
              <w14:schemeClr w14:val="tx1"/>
            </w14:solidFill>
          </w14:textFill>
        </w:rPr>
        <w:t>2人/台，安排塔吊司索工4人/台，安排施工电梯司机3人/台。</w:t>
      </w:r>
    </w:p>
    <w:p w14:paraId="42B0302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组建突击班</w:t>
      </w:r>
      <w:r>
        <w:rPr>
          <w:rFonts w:ascii="宋体" w:hAnsi="宋体" w:eastAsia="宋体"/>
          <w:color w:val="000000" w:themeColor="text1"/>
          <w:sz w:val="24"/>
          <w:szCs w:val="24"/>
          <w:highlight w:val="none"/>
          <w14:textFill>
            <w14:solidFill>
              <w14:schemeClr w14:val="tx1"/>
            </w14:solidFill>
          </w14:textFill>
        </w:rPr>
        <w:t>50～80人（木工20～30、铁工20～30、水电工10～20人）突击队应对滞后区域连续突击。</w:t>
      </w:r>
    </w:p>
    <w:p w14:paraId="7C35364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15. 周边管线（建筑物、构筑物等）变形监测要求</w:t>
      </w:r>
    </w:p>
    <w:p w14:paraId="206FBB9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在工程整体交付使用前，承包人需已充分考虑现场周边管线（建筑物、构筑物、高压电塔、城际铁路、燃油管道）等情况，并加强周边管线（建筑物、构筑物、高压电塔、城际铁路、燃油管道等）变形监测和采取有效的保护措施。</w:t>
      </w:r>
    </w:p>
    <w:p w14:paraId="797BCD6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16. 基坑、高支模、主体沉降监测要求</w:t>
      </w:r>
    </w:p>
    <w:p w14:paraId="1D83711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在基坑支护和高大支模施工时，承包人需采用合理科学先进工艺，确保按图施工，确保工程安全，避免出现基坑支护和高大支模、主体沉降监测异常（或到达报警值）需要第三方监测单位增加监测点、加大监测频率（次数）的情况。不得因第三方监测单位进行监测而取消或暂停该项工作，保证与第三方监测单位独立同步实时进行基坑、高支模、主体沉降监测。</w:t>
      </w:r>
    </w:p>
    <w:p w14:paraId="56971BB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17. 工程检测承诺书要求</w:t>
      </w:r>
    </w:p>
    <w:p w14:paraId="7E0ED51A">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合理安排批次采购合格的建筑材料和设备，采用合理科学先进工艺，确保按图施工，确保工程质量，不得出现工程检测异常的情况（地质原因造成地基及基础检测结果异常除外）：①检测项目、检测数量超过现行国家、行业、省（市）规范、标准和规定的；②检测结果为不合格（或无效）的；③检测结果为不合格或无效造成复检、扩检或采用其他检测手段检测的。</w:t>
      </w:r>
    </w:p>
    <w:p w14:paraId="1A124B4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18. </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系统建立与管理要求</w:t>
      </w:r>
    </w:p>
    <w:p w14:paraId="4ADF580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承包人应充分阅读施工合同并充分了解本工程的要求,做到：</w:t>
      </w:r>
    </w:p>
    <w:p w14:paraId="7541184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18.1 在接到发包人进场通知</w:t>
      </w:r>
      <w:r>
        <w:rPr>
          <w:rFonts w:ascii="宋体" w:hAnsi="宋体" w:eastAsia="宋体"/>
          <w:color w:val="000000" w:themeColor="text1"/>
          <w:sz w:val="24"/>
          <w:szCs w:val="24"/>
          <w:highlight w:val="none"/>
          <w14:textFill>
            <w14:solidFill>
              <w14:schemeClr w14:val="tx1"/>
            </w14:solidFill>
          </w14:textFill>
        </w:rPr>
        <w:t>5</w:t>
      </w:r>
      <w:r>
        <w:rPr>
          <w:rFonts w:hint="eastAsia" w:ascii="宋体" w:hAnsi="宋体" w:eastAsia="宋体"/>
          <w:color w:val="000000" w:themeColor="text1"/>
          <w:sz w:val="24"/>
          <w:szCs w:val="24"/>
          <w:highlight w:val="none"/>
          <w14:textFill>
            <w14:solidFill>
              <w14:schemeClr w14:val="tx1"/>
            </w14:solidFill>
          </w14:textFill>
        </w:rPr>
        <w:t>天内组建</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系统管理小组，并向发包人提交</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组织架构表和执行计划书。</w:t>
      </w:r>
    </w:p>
    <w:p w14:paraId="5D4E234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18.2 确保自身</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工作开展，在</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系统管理小组成立</w:t>
      </w:r>
      <w:r>
        <w:rPr>
          <w:rFonts w:ascii="宋体" w:hAnsi="宋体" w:eastAsia="宋体"/>
          <w:color w:val="000000" w:themeColor="text1"/>
          <w:sz w:val="24"/>
          <w:szCs w:val="24"/>
          <w:highlight w:val="none"/>
          <w14:textFill>
            <w14:solidFill>
              <w14:schemeClr w14:val="tx1"/>
            </w14:solidFill>
          </w14:textFill>
        </w:rPr>
        <w:t>3</w:t>
      </w:r>
      <w:r>
        <w:rPr>
          <w:rFonts w:hint="eastAsia" w:ascii="宋体" w:hAnsi="宋体" w:eastAsia="宋体"/>
          <w:color w:val="000000" w:themeColor="text1"/>
          <w:sz w:val="24"/>
          <w:szCs w:val="24"/>
          <w:highlight w:val="none"/>
          <w14:textFill>
            <w14:solidFill>
              <w14:schemeClr w14:val="tx1"/>
            </w14:solidFill>
          </w14:textFill>
        </w:rPr>
        <w:t>天内准备工作所需的软、硬件工作条件。</w:t>
      </w:r>
    </w:p>
    <w:p w14:paraId="19AD3F6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18.3 在接到发包人进场通知</w:t>
      </w:r>
      <w:r>
        <w:rPr>
          <w:rFonts w:ascii="宋体" w:hAnsi="宋体" w:eastAsia="宋体"/>
          <w:color w:val="000000" w:themeColor="text1"/>
          <w:sz w:val="24"/>
          <w:szCs w:val="24"/>
          <w:highlight w:val="none"/>
          <w14:textFill>
            <w14:solidFill>
              <w14:schemeClr w14:val="tx1"/>
            </w14:solidFill>
          </w14:textFill>
        </w:rPr>
        <w:t>15</w:t>
      </w:r>
      <w:r>
        <w:rPr>
          <w:rFonts w:hint="eastAsia" w:ascii="宋体" w:hAnsi="宋体" w:eastAsia="宋体"/>
          <w:color w:val="000000" w:themeColor="text1"/>
          <w:sz w:val="24"/>
          <w:szCs w:val="24"/>
          <w:highlight w:val="none"/>
          <w14:textFill>
            <w14:solidFill>
              <w14:schemeClr w14:val="tx1"/>
            </w14:solidFill>
          </w14:textFill>
        </w:rPr>
        <w:t>天内，完成项目建筑结构及机电管线系统的建模工作。在工程实施的全过程中始终对信息模型进行必要的维护与管理，确保建筑信息模型与现场施工的一致性，直至竣工完成，将模型移交给发包人。</w:t>
      </w:r>
    </w:p>
    <w:p w14:paraId="2665302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18.4 在接到发包人进场通知</w:t>
      </w:r>
      <w:r>
        <w:rPr>
          <w:rFonts w:ascii="宋体" w:hAnsi="宋体" w:eastAsia="宋体"/>
          <w:color w:val="000000" w:themeColor="text1"/>
          <w:sz w:val="24"/>
          <w:szCs w:val="24"/>
          <w:highlight w:val="none"/>
          <w14:textFill>
            <w14:solidFill>
              <w14:schemeClr w14:val="tx1"/>
            </w14:solidFill>
          </w14:textFill>
        </w:rPr>
        <w:t>60</w:t>
      </w:r>
      <w:r>
        <w:rPr>
          <w:rFonts w:hint="eastAsia" w:ascii="宋体" w:hAnsi="宋体" w:eastAsia="宋体"/>
          <w:color w:val="000000" w:themeColor="text1"/>
          <w:sz w:val="24"/>
          <w:szCs w:val="24"/>
          <w:highlight w:val="none"/>
          <w14:textFill>
            <w14:solidFill>
              <w14:schemeClr w14:val="tx1"/>
            </w14:solidFill>
          </w14:textFill>
        </w:rPr>
        <w:t>天内，根据建筑信息模型完成±</w:t>
      </w:r>
      <w:r>
        <w:rPr>
          <w:rFonts w:ascii="宋体" w:hAnsi="宋体" w:eastAsia="宋体"/>
          <w:color w:val="000000" w:themeColor="text1"/>
          <w:sz w:val="24"/>
          <w:szCs w:val="24"/>
          <w:highlight w:val="none"/>
          <w14:textFill>
            <w14:solidFill>
              <w14:schemeClr w14:val="tx1"/>
            </w14:solidFill>
          </w14:textFill>
        </w:rPr>
        <w:t>0.00</w:t>
      </w:r>
      <w:r>
        <w:rPr>
          <w:rFonts w:hint="eastAsia" w:ascii="宋体" w:hAnsi="宋体" w:eastAsia="宋体"/>
          <w:color w:val="000000" w:themeColor="text1"/>
          <w:sz w:val="24"/>
          <w:szCs w:val="24"/>
          <w:highlight w:val="none"/>
          <w14:textFill>
            <w14:solidFill>
              <w14:schemeClr w14:val="tx1"/>
            </w14:solidFill>
          </w14:textFill>
        </w:rPr>
        <w:t>以下合理建筑结构、机电管线系统深化设计及优化建议；在接到发包人进场通知</w:t>
      </w:r>
      <w:r>
        <w:rPr>
          <w:rFonts w:ascii="宋体" w:hAnsi="宋体" w:eastAsia="宋体"/>
          <w:color w:val="000000" w:themeColor="text1"/>
          <w:sz w:val="24"/>
          <w:szCs w:val="24"/>
          <w:highlight w:val="none"/>
          <w14:textFill>
            <w14:solidFill>
              <w14:schemeClr w14:val="tx1"/>
            </w14:solidFill>
          </w14:textFill>
        </w:rPr>
        <w:t>120</w:t>
      </w:r>
      <w:r>
        <w:rPr>
          <w:rFonts w:hint="eastAsia" w:ascii="宋体" w:hAnsi="宋体" w:eastAsia="宋体"/>
          <w:color w:val="000000" w:themeColor="text1"/>
          <w:sz w:val="24"/>
          <w:szCs w:val="24"/>
          <w:highlight w:val="none"/>
          <w14:textFill>
            <w14:solidFill>
              <w14:schemeClr w14:val="tx1"/>
            </w14:solidFill>
          </w14:textFill>
        </w:rPr>
        <w:t>天内，根据建筑信息模型完成±</w:t>
      </w:r>
      <w:r>
        <w:rPr>
          <w:rFonts w:ascii="宋体" w:hAnsi="宋体" w:eastAsia="宋体"/>
          <w:color w:val="000000" w:themeColor="text1"/>
          <w:sz w:val="24"/>
          <w:szCs w:val="24"/>
          <w:highlight w:val="none"/>
          <w14:textFill>
            <w14:solidFill>
              <w14:schemeClr w14:val="tx1"/>
            </w14:solidFill>
          </w14:textFill>
        </w:rPr>
        <w:t>0.00</w:t>
      </w:r>
      <w:r>
        <w:rPr>
          <w:rFonts w:hint="eastAsia" w:ascii="宋体" w:hAnsi="宋体" w:eastAsia="宋体"/>
          <w:color w:val="000000" w:themeColor="text1"/>
          <w:sz w:val="24"/>
          <w:szCs w:val="24"/>
          <w:highlight w:val="none"/>
          <w14:textFill>
            <w14:solidFill>
              <w14:schemeClr w14:val="tx1"/>
            </w14:solidFill>
          </w14:textFill>
        </w:rPr>
        <w:t>以上合理建筑结构、机电管线系统深化设计及优化建议。</w:t>
      </w:r>
    </w:p>
    <w:p w14:paraId="12F404D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18.5 在项目实施服务期间，通过项目管理系统向发包人提供项目的管理过程信息。</w:t>
      </w:r>
    </w:p>
    <w:p w14:paraId="366A249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18.6 工程竣工后，</w:t>
      </w:r>
      <w:r>
        <w:rPr>
          <w:rFonts w:ascii="宋体" w:hAnsi="宋体" w:eastAsia="宋体"/>
          <w:color w:val="000000" w:themeColor="text1"/>
          <w:sz w:val="24"/>
          <w:szCs w:val="24"/>
          <w:highlight w:val="none"/>
          <w14:textFill>
            <w14:solidFill>
              <w14:schemeClr w14:val="tx1"/>
            </w14:solidFill>
          </w14:textFill>
        </w:rPr>
        <w:t>60</w:t>
      </w:r>
      <w:r>
        <w:rPr>
          <w:rFonts w:hint="eastAsia" w:ascii="宋体" w:hAnsi="宋体" w:eastAsia="宋体"/>
          <w:color w:val="000000" w:themeColor="text1"/>
          <w:sz w:val="24"/>
          <w:szCs w:val="24"/>
          <w:highlight w:val="none"/>
          <w14:textFill>
            <w14:solidFill>
              <w14:schemeClr w14:val="tx1"/>
            </w14:solidFill>
          </w14:textFill>
        </w:rPr>
        <w:t>天内完成竣工三维建筑信息模型，并于一年内无偿提供至少</w:t>
      </w:r>
      <w:r>
        <w:rPr>
          <w:rFonts w:ascii="宋体" w:hAnsi="宋体" w:eastAsia="宋体"/>
          <w:color w:val="000000" w:themeColor="text1"/>
          <w:sz w:val="24"/>
          <w:szCs w:val="24"/>
          <w:highlight w:val="none"/>
          <w14:textFill>
            <w14:solidFill>
              <w14:schemeClr w14:val="tx1"/>
            </w14:solidFill>
          </w14:textFill>
        </w:rPr>
        <w:t>3</w:t>
      </w:r>
      <w:r>
        <w:rPr>
          <w:rFonts w:hint="eastAsia" w:ascii="宋体" w:hAnsi="宋体" w:eastAsia="宋体"/>
          <w:color w:val="000000" w:themeColor="text1"/>
          <w:sz w:val="24"/>
          <w:szCs w:val="24"/>
          <w:highlight w:val="none"/>
          <w14:textFill>
            <w14:solidFill>
              <w14:schemeClr w14:val="tx1"/>
            </w14:solidFill>
          </w14:textFill>
        </w:rPr>
        <w:t>次培训及服务，以方便物业维护与管理。</w:t>
      </w:r>
    </w:p>
    <w:p w14:paraId="210B6E9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18.7 在BIM投标报价中已综合考虑</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系统建立与管理等全部费用。</w:t>
      </w:r>
    </w:p>
    <w:p w14:paraId="4E9E11E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18.8 施工单位自主进行建模，每个月工程量要求在</w:t>
      </w:r>
      <w:r>
        <w:rPr>
          <w:rFonts w:ascii="宋体" w:hAnsi="宋体" w:eastAsia="宋体"/>
          <w:color w:val="000000" w:themeColor="text1"/>
          <w:sz w:val="24"/>
          <w:szCs w:val="24"/>
          <w:highlight w:val="none"/>
          <w14:textFill>
            <w14:solidFill>
              <w14:schemeClr w14:val="tx1"/>
            </w14:solidFill>
          </w14:textFill>
        </w:rPr>
        <w:t>BIM</w:t>
      </w:r>
      <w:r>
        <w:rPr>
          <w:rFonts w:hint="eastAsia" w:ascii="宋体" w:hAnsi="宋体" w:eastAsia="宋体"/>
          <w:color w:val="000000" w:themeColor="text1"/>
          <w:sz w:val="24"/>
          <w:szCs w:val="24"/>
          <w:highlight w:val="none"/>
          <w14:textFill>
            <w14:solidFill>
              <w14:schemeClr w14:val="tx1"/>
            </w14:solidFill>
          </w14:textFill>
        </w:rPr>
        <w:t>系统中体现。</w:t>
      </w:r>
    </w:p>
    <w:p w14:paraId="2121F1EF">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19. 及时支付劳动者报酬要求</w:t>
      </w:r>
    </w:p>
    <w:p w14:paraId="2E4B32F2">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19.1 根据国家和当地劳动法规，需与本项目施工的所有劳动者（含农民工、下同）签订了劳动合同，并严格履行支付劳动报酬等合同义务。</w:t>
      </w:r>
    </w:p>
    <w:p w14:paraId="15EE2E9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19.2 工程款应优先用于支付劳动者报酬。</w:t>
      </w:r>
    </w:p>
    <w:p w14:paraId="6D7DB43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19.3 若在本项目上发生拖欠、克扣劳动者报酬行为的，或者因该项目劳动者报酬纠纷使得发包人可能涉及诉讼、仲裁、或其他不利影响时，发包人有权从承包人工程款中扣除相应款项，直接支付给相关的劳动者，并有权解除施工合同，承包人赔偿因此而给发包人造成的一切损失。</w:t>
      </w:r>
    </w:p>
    <w:p w14:paraId="0A78652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20. 专业工程深化设计要求</w:t>
      </w:r>
    </w:p>
    <w:p w14:paraId="47CD265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承包人进场后安排、落实有资质的单位编制专业工程深化设计图，包括但不限于以下（具体详图纸）内容：</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、装配式建筑节点拼装深化图；</w:t>
      </w:r>
      <w:r>
        <w:rPr>
          <w:rFonts w:ascii="宋体" w:hAnsi="宋体" w:eastAsia="宋体"/>
          <w:color w:val="000000" w:themeColor="text1"/>
          <w:sz w:val="24"/>
          <w:szCs w:val="24"/>
          <w:highlight w:val="none"/>
          <w14:textFill>
            <w14:solidFill>
              <w14:schemeClr w14:val="tx1"/>
            </w14:solidFill>
          </w14:textFill>
        </w:rPr>
        <w:t>2</w:t>
      </w:r>
      <w:r>
        <w:rPr>
          <w:rFonts w:hint="eastAsia" w:ascii="宋体" w:hAnsi="宋体" w:eastAsia="宋体"/>
          <w:color w:val="000000" w:themeColor="text1"/>
          <w:sz w:val="24"/>
          <w:szCs w:val="24"/>
          <w:highlight w:val="none"/>
          <w14:textFill>
            <w14:solidFill>
              <w14:schemeClr w14:val="tx1"/>
            </w14:solidFill>
          </w14:textFill>
        </w:rPr>
        <w:t>、装饰装修深化图；</w:t>
      </w:r>
      <w:r>
        <w:rPr>
          <w:rFonts w:ascii="宋体" w:hAnsi="宋体" w:eastAsia="宋体"/>
          <w:color w:val="000000" w:themeColor="text1"/>
          <w:sz w:val="24"/>
          <w:szCs w:val="24"/>
          <w:highlight w:val="none"/>
          <w14:textFill>
            <w14:solidFill>
              <w14:schemeClr w14:val="tx1"/>
            </w14:solidFill>
          </w14:textFill>
        </w:rPr>
        <w:t>3</w:t>
      </w:r>
      <w:r>
        <w:rPr>
          <w:rFonts w:hint="eastAsia" w:ascii="宋体" w:hAnsi="宋体" w:eastAsia="宋体"/>
          <w:color w:val="000000" w:themeColor="text1"/>
          <w:sz w:val="24"/>
          <w:szCs w:val="24"/>
          <w:highlight w:val="none"/>
          <w14:textFill>
            <w14:solidFill>
              <w14:schemeClr w14:val="tx1"/>
            </w14:solidFill>
          </w14:textFill>
        </w:rPr>
        <w:t>、幕墙深化图；</w:t>
      </w:r>
      <w:r>
        <w:rPr>
          <w:rFonts w:ascii="宋体" w:hAnsi="宋体" w:eastAsia="宋体"/>
          <w:color w:val="000000" w:themeColor="text1"/>
          <w:sz w:val="24"/>
          <w:szCs w:val="24"/>
          <w:highlight w:val="none"/>
          <w14:textFill>
            <w14:solidFill>
              <w14:schemeClr w14:val="tx1"/>
            </w14:solidFill>
          </w14:textFill>
        </w:rPr>
        <w:t>4</w:t>
      </w:r>
      <w:r>
        <w:rPr>
          <w:rFonts w:hint="eastAsia" w:ascii="宋体" w:hAnsi="宋体" w:eastAsia="宋体"/>
          <w:color w:val="000000" w:themeColor="text1"/>
          <w:sz w:val="24"/>
          <w:szCs w:val="24"/>
          <w:highlight w:val="none"/>
          <w14:textFill>
            <w14:solidFill>
              <w14:schemeClr w14:val="tx1"/>
            </w14:solidFill>
          </w14:textFill>
        </w:rPr>
        <w:t>、暖通空调及设备安装深化图；</w:t>
      </w:r>
      <w:r>
        <w:rPr>
          <w:rFonts w:ascii="宋体" w:hAnsi="宋体" w:eastAsia="宋体"/>
          <w:color w:val="000000" w:themeColor="text1"/>
          <w:sz w:val="24"/>
          <w:szCs w:val="24"/>
          <w:highlight w:val="none"/>
          <w14:textFill>
            <w14:solidFill>
              <w14:schemeClr w14:val="tx1"/>
            </w14:solidFill>
          </w14:textFill>
        </w:rPr>
        <w:t>5</w:t>
      </w:r>
      <w:r>
        <w:rPr>
          <w:rFonts w:hint="eastAsia" w:ascii="宋体" w:hAnsi="宋体" w:eastAsia="宋体"/>
          <w:color w:val="000000" w:themeColor="text1"/>
          <w:sz w:val="24"/>
          <w:szCs w:val="24"/>
          <w:highlight w:val="none"/>
          <w14:textFill>
            <w14:solidFill>
              <w14:schemeClr w14:val="tx1"/>
            </w14:solidFill>
          </w14:textFill>
        </w:rPr>
        <w:t>、钢结构图；</w:t>
      </w:r>
      <w:r>
        <w:rPr>
          <w:rFonts w:ascii="宋体" w:hAnsi="宋体" w:eastAsia="宋体"/>
          <w:color w:val="000000" w:themeColor="text1"/>
          <w:sz w:val="24"/>
          <w:szCs w:val="24"/>
          <w:highlight w:val="none"/>
          <w14:textFill>
            <w14:solidFill>
              <w14:schemeClr w14:val="tx1"/>
            </w14:solidFill>
          </w14:textFill>
        </w:rPr>
        <w:t>6</w:t>
      </w:r>
      <w:r>
        <w:rPr>
          <w:rFonts w:hint="eastAsia" w:ascii="宋体" w:hAnsi="宋体" w:eastAsia="宋体"/>
          <w:color w:val="000000" w:themeColor="text1"/>
          <w:sz w:val="24"/>
          <w:szCs w:val="24"/>
          <w:highlight w:val="none"/>
          <w14:textFill>
            <w14:solidFill>
              <w14:schemeClr w14:val="tx1"/>
            </w14:solidFill>
          </w14:textFill>
        </w:rPr>
        <w:t>、厨房专业图；</w:t>
      </w:r>
      <w:r>
        <w:rPr>
          <w:rFonts w:ascii="宋体" w:hAnsi="宋体" w:eastAsia="宋体"/>
          <w:color w:val="000000" w:themeColor="text1"/>
          <w:sz w:val="24"/>
          <w:szCs w:val="24"/>
          <w:highlight w:val="none"/>
          <w14:textFill>
            <w14:solidFill>
              <w14:schemeClr w14:val="tx1"/>
            </w14:solidFill>
          </w14:textFill>
        </w:rPr>
        <w:t>7</w:t>
      </w:r>
      <w:r>
        <w:rPr>
          <w:rFonts w:hint="eastAsia" w:ascii="宋体" w:hAnsi="宋体" w:eastAsia="宋体"/>
          <w:color w:val="000000" w:themeColor="text1"/>
          <w:sz w:val="24"/>
          <w:szCs w:val="24"/>
          <w:highlight w:val="none"/>
          <w14:textFill>
            <w14:solidFill>
              <w14:schemeClr w14:val="tx1"/>
            </w14:solidFill>
          </w14:textFill>
        </w:rPr>
        <w:t>、地下室管线综合图、室外管网综合图；</w:t>
      </w:r>
      <w:r>
        <w:rPr>
          <w:rFonts w:ascii="宋体" w:hAnsi="宋体" w:eastAsia="宋体"/>
          <w:color w:val="000000" w:themeColor="text1"/>
          <w:sz w:val="24"/>
          <w:szCs w:val="24"/>
          <w:highlight w:val="none"/>
          <w14:textFill>
            <w14:solidFill>
              <w14:schemeClr w14:val="tx1"/>
            </w14:solidFill>
          </w14:textFill>
        </w:rPr>
        <w:t>8</w:t>
      </w:r>
      <w:r>
        <w:rPr>
          <w:rFonts w:hint="eastAsia" w:ascii="宋体" w:hAnsi="宋体" w:eastAsia="宋体"/>
          <w:color w:val="000000" w:themeColor="text1"/>
          <w:sz w:val="24"/>
          <w:szCs w:val="24"/>
          <w:highlight w:val="none"/>
          <w14:textFill>
            <w14:solidFill>
              <w14:schemeClr w14:val="tx1"/>
            </w14:solidFill>
          </w14:textFill>
        </w:rPr>
        <w:t>、电井设施布置图；</w:t>
      </w:r>
      <w:r>
        <w:rPr>
          <w:rFonts w:ascii="宋体" w:hAnsi="宋体" w:eastAsia="宋体"/>
          <w:color w:val="000000" w:themeColor="text1"/>
          <w:sz w:val="24"/>
          <w:szCs w:val="24"/>
          <w:highlight w:val="none"/>
          <w14:textFill>
            <w14:solidFill>
              <w14:schemeClr w14:val="tx1"/>
            </w14:solidFill>
          </w14:textFill>
        </w:rPr>
        <w:t>9</w:t>
      </w:r>
      <w:r>
        <w:rPr>
          <w:rFonts w:hint="eastAsia" w:ascii="宋体" w:hAnsi="宋体" w:eastAsia="宋体"/>
          <w:color w:val="000000" w:themeColor="text1"/>
          <w:sz w:val="24"/>
          <w:szCs w:val="24"/>
          <w:highlight w:val="none"/>
          <w14:textFill>
            <w14:solidFill>
              <w14:schemeClr w14:val="tx1"/>
            </w14:solidFill>
          </w14:textFill>
        </w:rPr>
        <w:t>、电梯机房布置图；</w:t>
      </w:r>
      <w:r>
        <w:rPr>
          <w:rFonts w:ascii="宋体" w:hAnsi="宋体" w:eastAsia="宋体"/>
          <w:color w:val="000000" w:themeColor="text1"/>
          <w:sz w:val="24"/>
          <w:szCs w:val="24"/>
          <w:highlight w:val="none"/>
          <w14:textFill>
            <w14:solidFill>
              <w14:schemeClr w14:val="tx1"/>
            </w14:solidFill>
          </w14:textFill>
        </w:rPr>
        <w:t>10</w:t>
      </w:r>
      <w:r>
        <w:rPr>
          <w:rFonts w:hint="eastAsia" w:ascii="宋体" w:hAnsi="宋体" w:eastAsia="宋体"/>
          <w:color w:val="000000" w:themeColor="text1"/>
          <w:sz w:val="24"/>
          <w:szCs w:val="24"/>
          <w:highlight w:val="none"/>
          <w14:textFill>
            <w14:solidFill>
              <w14:schemeClr w14:val="tx1"/>
            </w14:solidFill>
          </w14:textFill>
        </w:rPr>
        <w:t>、发电机房及环保设施深化图；</w:t>
      </w:r>
      <w:r>
        <w:rPr>
          <w:rFonts w:ascii="宋体" w:hAnsi="宋体" w:eastAsia="宋体"/>
          <w:color w:val="000000" w:themeColor="text1"/>
          <w:sz w:val="24"/>
          <w:szCs w:val="24"/>
          <w:highlight w:val="none"/>
          <w14:textFill>
            <w14:solidFill>
              <w14:schemeClr w14:val="tx1"/>
            </w14:solidFill>
          </w14:textFill>
        </w:rPr>
        <w:t>11</w:t>
      </w:r>
      <w:r>
        <w:rPr>
          <w:rFonts w:hint="eastAsia" w:ascii="宋体" w:hAnsi="宋体" w:eastAsia="宋体"/>
          <w:color w:val="000000" w:themeColor="text1"/>
          <w:sz w:val="24"/>
          <w:szCs w:val="24"/>
          <w:highlight w:val="none"/>
          <w14:textFill>
            <w14:solidFill>
              <w14:schemeClr w14:val="tx1"/>
            </w14:solidFill>
          </w14:textFill>
        </w:rPr>
        <w:t>、高低压配电房深化图（须供电部门认可）；</w:t>
      </w:r>
      <w:r>
        <w:rPr>
          <w:rFonts w:ascii="宋体" w:hAnsi="宋体" w:eastAsia="宋体"/>
          <w:color w:val="000000" w:themeColor="text1"/>
          <w:sz w:val="24"/>
          <w:szCs w:val="24"/>
          <w:highlight w:val="none"/>
          <w14:textFill>
            <w14:solidFill>
              <w14:schemeClr w14:val="tx1"/>
            </w14:solidFill>
          </w14:textFill>
        </w:rPr>
        <w:t>12</w:t>
      </w:r>
      <w:r>
        <w:rPr>
          <w:rFonts w:hint="eastAsia" w:ascii="宋体" w:hAnsi="宋体" w:eastAsia="宋体"/>
          <w:color w:val="000000" w:themeColor="text1"/>
          <w:sz w:val="24"/>
          <w:szCs w:val="24"/>
          <w:highlight w:val="none"/>
          <w14:textFill>
            <w14:solidFill>
              <w14:schemeClr w14:val="tx1"/>
            </w14:solidFill>
          </w14:textFill>
        </w:rPr>
        <w:t>、给排水工程及设备机房深化图；</w:t>
      </w:r>
      <w:r>
        <w:rPr>
          <w:rFonts w:ascii="宋体" w:hAnsi="宋体" w:eastAsia="宋体"/>
          <w:color w:val="000000" w:themeColor="text1"/>
          <w:sz w:val="24"/>
          <w:szCs w:val="24"/>
          <w:highlight w:val="none"/>
          <w14:textFill>
            <w14:solidFill>
              <w14:schemeClr w14:val="tx1"/>
            </w14:solidFill>
          </w14:textFill>
        </w:rPr>
        <w:t>13</w:t>
      </w:r>
      <w:r>
        <w:rPr>
          <w:rFonts w:hint="eastAsia" w:ascii="宋体" w:hAnsi="宋体" w:eastAsia="宋体"/>
          <w:color w:val="000000" w:themeColor="text1"/>
          <w:sz w:val="24"/>
          <w:szCs w:val="24"/>
          <w:highlight w:val="none"/>
          <w14:textFill>
            <w14:solidFill>
              <w14:schemeClr w14:val="tx1"/>
            </w14:solidFill>
          </w14:textFill>
        </w:rPr>
        <w:t>、智能化系统深化图；</w:t>
      </w:r>
      <w:r>
        <w:rPr>
          <w:rFonts w:ascii="宋体" w:hAnsi="宋体" w:eastAsia="宋体"/>
          <w:color w:val="000000" w:themeColor="text1"/>
          <w:sz w:val="24"/>
          <w:szCs w:val="24"/>
          <w:highlight w:val="none"/>
          <w14:textFill>
            <w14:solidFill>
              <w14:schemeClr w14:val="tx1"/>
            </w14:solidFill>
          </w14:textFill>
        </w:rPr>
        <w:t>14</w:t>
      </w:r>
      <w:r>
        <w:rPr>
          <w:rFonts w:hint="eastAsia" w:ascii="宋体" w:hAnsi="宋体" w:eastAsia="宋体"/>
          <w:color w:val="000000" w:themeColor="text1"/>
          <w:sz w:val="24"/>
          <w:szCs w:val="24"/>
          <w:highlight w:val="none"/>
          <w14:textFill>
            <w14:solidFill>
              <w14:schemeClr w14:val="tx1"/>
            </w14:solidFill>
          </w14:textFill>
        </w:rPr>
        <w:t>、精装交房深化图；</w:t>
      </w:r>
      <w:r>
        <w:rPr>
          <w:rFonts w:ascii="宋体" w:hAnsi="宋体" w:eastAsia="宋体"/>
          <w:color w:val="000000" w:themeColor="text1"/>
          <w:sz w:val="24"/>
          <w:szCs w:val="24"/>
          <w:highlight w:val="none"/>
          <w14:textFill>
            <w14:solidFill>
              <w14:schemeClr w14:val="tx1"/>
            </w14:solidFill>
          </w14:textFill>
        </w:rPr>
        <w:t>15</w:t>
      </w:r>
      <w:r>
        <w:rPr>
          <w:rFonts w:hint="eastAsia" w:ascii="宋体" w:hAnsi="宋体" w:eastAsia="宋体"/>
          <w:color w:val="000000" w:themeColor="text1"/>
          <w:sz w:val="24"/>
          <w:szCs w:val="24"/>
          <w:highlight w:val="none"/>
          <w14:textFill>
            <w14:solidFill>
              <w14:schemeClr w14:val="tx1"/>
            </w14:solidFill>
          </w14:textFill>
        </w:rPr>
        <w:t>、园林景观深化图；</w:t>
      </w:r>
      <w:r>
        <w:rPr>
          <w:rFonts w:ascii="宋体" w:hAnsi="宋体" w:eastAsia="宋体"/>
          <w:color w:val="000000" w:themeColor="text1"/>
          <w:sz w:val="24"/>
          <w:szCs w:val="24"/>
          <w:highlight w:val="none"/>
          <w14:textFill>
            <w14:solidFill>
              <w14:schemeClr w14:val="tx1"/>
            </w14:solidFill>
          </w14:textFill>
        </w:rPr>
        <w:t>16</w:t>
      </w:r>
      <w:r>
        <w:rPr>
          <w:rFonts w:hint="eastAsia" w:ascii="宋体" w:hAnsi="宋体" w:eastAsia="宋体"/>
          <w:color w:val="000000" w:themeColor="text1"/>
          <w:sz w:val="24"/>
          <w:szCs w:val="24"/>
          <w:highlight w:val="none"/>
          <w14:textFill>
            <w14:solidFill>
              <w14:schemeClr w14:val="tx1"/>
            </w14:solidFill>
          </w14:textFill>
        </w:rPr>
        <w:t>、临水和永久用水深化图（须供水部门认可）；</w:t>
      </w:r>
      <w:r>
        <w:rPr>
          <w:rFonts w:ascii="宋体" w:hAnsi="宋体" w:eastAsia="宋体"/>
          <w:color w:val="000000" w:themeColor="text1"/>
          <w:sz w:val="24"/>
          <w:szCs w:val="24"/>
          <w:highlight w:val="none"/>
          <w14:textFill>
            <w14:solidFill>
              <w14:schemeClr w14:val="tx1"/>
            </w14:solidFill>
          </w14:textFill>
        </w:rPr>
        <w:t>17</w:t>
      </w:r>
      <w:r>
        <w:rPr>
          <w:rFonts w:hint="eastAsia" w:ascii="宋体" w:hAnsi="宋体" w:eastAsia="宋体"/>
          <w:color w:val="000000" w:themeColor="text1"/>
          <w:sz w:val="24"/>
          <w:szCs w:val="24"/>
          <w:highlight w:val="none"/>
          <w14:textFill>
            <w14:solidFill>
              <w14:schemeClr w14:val="tx1"/>
            </w14:solidFill>
          </w14:textFill>
        </w:rPr>
        <w:t>、临电和永久用电深化图（须供电部门认可）；</w:t>
      </w:r>
      <w:r>
        <w:rPr>
          <w:rFonts w:ascii="宋体" w:hAnsi="宋体" w:eastAsia="宋体"/>
          <w:color w:val="000000" w:themeColor="text1"/>
          <w:sz w:val="24"/>
          <w:szCs w:val="24"/>
          <w:highlight w:val="none"/>
          <w14:textFill>
            <w14:solidFill>
              <w14:schemeClr w14:val="tx1"/>
            </w14:solidFill>
          </w14:textFill>
        </w:rPr>
        <w:t>18</w:t>
      </w:r>
      <w:r>
        <w:rPr>
          <w:rFonts w:hint="eastAsia" w:ascii="宋体" w:hAnsi="宋体" w:eastAsia="宋体"/>
          <w:color w:val="000000" w:themeColor="text1"/>
          <w:sz w:val="24"/>
          <w:szCs w:val="24"/>
          <w:highlight w:val="none"/>
          <w14:textFill>
            <w14:solidFill>
              <w14:schemeClr w14:val="tx1"/>
            </w14:solidFill>
          </w14:textFill>
        </w:rPr>
        <w:t>、市政道路及配套设施管线综合平衡图；</w:t>
      </w:r>
      <w:r>
        <w:rPr>
          <w:rFonts w:ascii="宋体" w:hAnsi="宋体" w:eastAsia="宋体"/>
          <w:color w:val="000000" w:themeColor="text1"/>
          <w:sz w:val="24"/>
          <w:szCs w:val="24"/>
          <w:highlight w:val="none"/>
          <w14:textFill>
            <w14:solidFill>
              <w14:schemeClr w14:val="tx1"/>
            </w14:solidFill>
          </w14:textFill>
        </w:rPr>
        <w:t>19</w:t>
      </w:r>
      <w:r>
        <w:rPr>
          <w:rFonts w:hint="eastAsia" w:ascii="宋体" w:hAnsi="宋体" w:eastAsia="宋体"/>
          <w:color w:val="000000" w:themeColor="text1"/>
          <w:sz w:val="24"/>
          <w:szCs w:val="24"/>
          <w:highlight w:val="none"/>
          <w14:textFill>
            <w14:solidFill>
              <w14:schemeClr w14:val="tx1"/>
            </w14:solidFill>
          </w14:textFill>
        </w:rPr>
        <w:t>、铝合金门窗等；</w:t>
      </w:r>
      <w:r>
        <w:rPr>
          <w:rFonts w:ascii="宋体" w:hAnsi="宋体" w:eastAsia="宋体"/>
          <w:color w:val="000000" w:themeColor="text1"/>
          <w:sz w:val="24"/>
          <w:szCs w:val="24"/>
          <w:highlight w:val="none"/>
          <w14:textFill>
            <w14:solidFill>
              <w14:schemeClr w14:val="tx1"/>
            </w14:solidFill>
          </w14:textFill>
        </w:rPr>
        <w:t>20</w:t>
      </w:r>
      <w:r>
        <w:rPr>
          <w:rFonts w:hint="eastAsia" w:ascii="宋体" w:hAnsi="宋体" w:eastAsia="宋体"/>
          <w:color w:val="000000" w:themeColor="text1"/>
          <w:sz w:val="24"/>
          <w:szCs w:val="24"/>
          <w:highlight w:val="none"/>
          <w14:textFill>
            <w14:solidFill>
              <w14:schemeClr w14:val="tx1"/>
            </w14:solidFill>
          </w14:textFill>
        </w:rPr>
        <w:t>、砌体摆砖编号图；</w:t>
      </w:r>
      <w:r>
        <w:rPr>
          <w:rFonts w:ascii="宋体" w:hAnsi="宋体" w:eastAsia="宋体"/>
          <w:color w:val="000000" w:themeColor="text1"/>
          <w:sz w:val="24"/>
          <w:szCs w:val="24"/>
          <w:highlight w:val="none"/>
          <w14:textFill>
            <w14:solidFill>
              <w14:schemeClr w14:val="tx1"/>
            </w14:solidFill>
          </w14:textFill>
        </w:rPr>
        <w:t>21</w:t>
      </w:r>
      <w:r>
        <w:rPr>
          <w:rFonts w:hint="eastAsia" w:ascii="宋体" w:hAnsi="宋体" w:eastAsia="宋体"/>
          <w:color w:val="000000" w:themeColor="text1"/>
          <w:sz w:val="24"/>
          <w:szCs w:val="24"/>
          <w:highlight w:val="none"/>
          <w14:textFill>
            <w14:solidFill>
              <w14:schemeClr w14:val="tx1"/>
            </w14:solidFill>
          </w14:textFill>
        </w:rPr>
        <w:t>、人防工程深化设计图；2</w:t>
      </w:r>
      <w:r>
        <w:rPr>
          <w:rFonts w:ascii="宋体" w:hAnsi="宋体" w:eastAsia="宋体"/>
          <w:color w:val="000000" w:themeColor="text1"/>
          <w:sz w:val="24"/>
          <w:szCs w:val="24"/>
          <w:highlight w:val="none"/>
          <w14:textFill>
            <w14:solidFill>
              <w14:schemeClr w14:val="tx1"/>
            </w14:solidFill>
          </w14:textFill>
        </w:rPr>
        <w:t>2、燃气工程深化设计图；23、施工期临时交通优化设计图</w:t>
      </w:r>
      <w:r>
        <w:rPr>
          <w:rFonts w:hint="eastAsia" w:ascii="宋体" w:hAnsi="宋体" w:eastAsia="宋体"/>
          <w:color w:val="000000" w:themeColor="text1"/>
          <w:sz w:val="24"/>
          <w:szCs w:val="24"/>
          <w:highlight w:val="none"/>
          <w14:textFill>
            <w14:solidFill>
              <w14:schemeClr w14:val="tx1"/>
            </w14:solidFill>
          </w14:textFill>
        </w:rPr>
        <w:t>。并于收到开工令后</w:t>
      </w:r>
      <w:r>
        <w:rPr>
          <w:rFonts w:ascii="宋体" w:hAnsi="宋体" w:eastAsia="宋体"/>
          <w:color w:val="000000" w:themeColor="text1"/>
          <w:sz w:val="24"/>
          <w:szCs w:val="24"/>
          <w:highlight w:val="none"/>
          <w14:textFill>
            <w14:solidFill>
              <w14:schemeClr w14:val="tx1"/>
            </w14:solidFill>
          </w14:textFill>
        </w:rPr>
        <w:t>3</w:t>
      </w:r>
      <w:r>
        <w:rPr>
          <w:rFonts w:hint="eastAsia" w:ascii="宋体" w:hAnsi="宋体" w:eastAsia="宋体"/>
          <w:color w:val="000000" w:themeColor="text1"/>
          <w:sz w:val="24"/>
          <w:szCs w:val="24"/>
          <w:highlight w:val="none"/>
          <w14:textFill>
            <w14:solidFill>
              <w14:schemeClr w14:val="tx1"/>
            </w14:solidFill>
          </w14:textFill>
        </w:rPr>
        <w:t>个月完成，并完善审批手续。</w:t>
      </w:r>
    </w:p>
    <w:p w14:paraId="2443BE2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21. 水电空转要求</w:t>
      </w:r>
    </w:p>
    <w:p w14:paraId="55E2B802">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21.1 </w:t>
      </w:r>
      <w:r>
        <w:rPr>
          <w:rFonts w:ascii="宋体" w:hAnsi="宋体" w:eastAsia="宋体"/>
          <w:color w:val="000000" w:themeColor="text1"/>
          <w:sz w:val="24"/>
          <w:szCs w:val="24"/>
          <w:highlight w:val="none"/>
          <w14:textFill>
            <w14:solidFill>
              <w14:schemeClr w14:val="tx1"/>
            </w14:solidFill>
          </w14:textFill>
        </w:rPr>
        <w:t>前期的空置（损耗）费用由</w:t>
      </w:r>
      <w:r>
        <w:rPr>
          <w:rFonts w:hint="eastAsia" w:ascii="宋体" w:hAnsi="宋体" w:eastAsia="宋体"/>
          <w:color w:val="000000" w:themeColor="text1"/>
          <w:sz w:val="24"/>
          <w:szCs w:val="24"/>
          <w:highlight w:val="none"/>
          <w14:textFill>
            <w14:solidFill>
              <w14:schemeClr w14:val="tx1"/>
            </w14:solidFill>
          </w14:textFill>
        </w:rPr>
        <w:t>承包人</w:t>
      </w:r>
      <w:r>
        <w:rPr>
          <w:rFonts w:ascii="宋体" w:hAnsi="宋体" w:eastAsia="宋体"/>
          <w:color w:val="000000" w:themeColor="text1"/>
          <w:sz w:val="24"/>
          <w:szCs w:val="24"/>
          <w:highlight w:val="none"/>
          <w14:textFill>
            <w14:solidFill>
              <w14:schemeClr w14:val="tx1"/>
            </w14:solidFill>
          </w14:textFill>
        </w:rPr>
        <w:t>自行承担；</w:t>
      </w:r>
    </w:p>
    <w:p w14:paraId="75B9F66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21.2 </w:t>
      </w:r>
      <w:r>
        <w:rPr>
          <w:rFonts w:ascii="宋体" w:hAnsi="宋体" w:eastAsia="宋体"/>
          <w:color w:val="000000" w:themeColor="text1"/>
          <w:sz w:val="24"/>
          <w:szCs w:val="24"/>
          <w:highlight w:val="none"/>
          <w14:textFill>
            <w14:solidFill>
              <w14:schemeClr w14:val="tx1"/>
            </w14:solidFill>
          </w14:textFill>
        </w:rPr>
        <w:t>所产生的费用已在投标总价中综合考虑，不要求发包人增加；</w:t>
      </w:r>
    </w:p>
    <w:p w14:paraId="7A2E807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 地磅磅秤安装配合要求</w:t>
      </w:r>
    </w:p>
    <w:p w14:paraId="650263B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22.1 承包人应配合工程设计变更、工程量签证确认工作，保证无条件在项目现场安装</w:t>
      </w:r>
      <w:r>
        <w:rPr>
          <w:rFonts w:ascii="宋体" w:hAnsi="宋体" w:eastAsia="宋体"/>
          <w:color w:val="000000" w:themeColor="text1"/>
          <w:sz w:val="24"/>
          <w:szCs w:val="24"/>
          <w:highlight w:val="none"/>
          <w14:textFill>
            <w14:solidFill>
              <w14:schemeClr w14:val="tx1"/>
            </w14:solidFill>
          </w14:textFill>
        </w:rPr>
        <w:t>120</w:t>
      </w:r>
      <w:r>
        <w:rPr>
          <w:rFonts w:hint="eastAsia" w:ascii="宋体" w:hAnsi="宋体" w:eastAsia="宋体"/>
          <w:color w:val="000000" w:themeColor="text1"/>
          <w:sz w:val="24"/>
          <w:szCs w:val="24"/>
          <w:highlight w:val="none"/>
          <w14:textFill>
            <w14:solidFill>
              <w14:schemeClr w14:val="tx1"/>
            </w14:solidFill>
          </w14:textFill>
        </w:rPr>
        <w:t>吨</w:t>
      </w:r>
      <w:r>
        <w:rPr>
          <w:rFonts w:ascii="宋体" w:hAnsi="宋体" w:eastAsia="宋体"/>
          <w:color w:val="000000" w:themeColor="text1"/>
          <w:sz w:val="24"/>
          <w:szCs w:val="24"/>
          <w:highlight w:val="none"/>
          <w14:textFill>
            <w14:solidFill>
              <w14:schemeClr w14:val="tx1"/>
            </w14:solidFill>
          </w14:textFill>
        </w:rPr>
        <w:t>3M*18M</w:t>
      </w:r>
      <w:r>
        <w:rPr>
          <w:rFonts w:hint="eastAsia" w:ascii="宋体" w:hAnsi="宋体" w:eastAsia="宋体"/>
          <w:color w:val="000000" w:themeColor="text1"/>
          <w:sz w:val="24"/>
          <w:szCs w:val="24"/>
          <w:highlight w:val="none"/>
          <w14:textFill>
            <w14:solidFill>
              <w14:schemeClr w14:val="tx1"/>
            </w14:solidFill>
          </w14:textFill>
        </w:rPr>
        <w:t>地磅磅秤</w:t>
      </w:r>
      <w:r>
        <w:rPr>
          <w:rFonts w:ascii="宋体" w:hAnsi="宋体" w:eastAsia="宋体"/>
          <w:color w:val="000000" w:themeColor="text1"/>
          <w:sz w:val="24"/>
          <w:szCs w:val="24"/>
          <w:highlight w:val="none"/>
          <w14:textFill>
            <w14:solidFill>
              <w14:schemeClr w14:val="tx1"/>
            </w14:solidFill>
          </w14:textFill>
        </w:rPr>
        <w:t>1</w:t>
      </w:r>
      <w:r>
        <w:rPr>
          <w:rFonts w:hint="eastAsia" w:ascii="宋体" w:hAnsi="宋体" w:eastAsia="宋体"/>
          <w:color w:val="000000" w:themeColor="text1"/>
          <w:sz w:val="24"/>
          <w:szCs w:val="24"/>
          <w:highlight w:val="none"/>
          <w14:textFill>
            <w14:solidFill>
              <w14:schemeClr w14:val="tx1"/>
            </w14:solidFill>
          </w14:textFill>
        </w:rPr>
        <w:t>台。</w:t>
      </w:r>
    </w:p>
    <w:p w14:paraId="27B83647">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22.2 在本项目开工前安装完成，即基地处理（溶洞、土洞注浆）开工前完成，并达到使用状态；</w:t>
      </w:r>
    </w:p>
    <w:p w14:paraId="6107109E">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22.3 在本项目施工过程中，承包人保证地磅磅秤正常使用，计量准确。</w:t>
      </w:r>
    </w:p>
    <w:p w14:paraId="67155A8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22.4 在本项目施工过程中，负责地磅磅秤的计量校正、检测，维护、保养工作，不得将地磅人为撞击、损坏等。</w:t>
      </w:r>
    </w:p>
    <w:p w14:paraId="393F0B2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22.5 在本项目完工后并取得发包人同意才能安排拆除地磅磅秤。</w:t>
      </w:r>
    </w:p>
    <w:p w14:paraId="429B47F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地磅采购、安装、维修保养、拆除等费用由承包人自行承担，包括土建基础、使用过程的维护保养、拆除等，不要求发包人现场签证、增加工程量；</w:t>
      </w:r>
    </w:p>
    <w:p w14:paraId="5A2460B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23. 石材品质保障要求</w:t>
      </w:r>
    </w:p>
    <w:p w14:paraId="409F16B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23.1 </w:t>
      </w:r>
      <w:r>
        <w:rPr>
          <w:rFonts w:ascii="宋体" w:hAnsi="宋体" w:eastAsia="宋体"/>
          <w:color w:val="000000" w:themeColor="text1"/>
          <w:sz w:val="24"/>
          <w:szCs w:val="24"/>
          <w:highlight w:val="none"/>
          <w14:textFill>
            <w14:solidFill>
              <w14:schemeClr w14:val="tx1"/>
            </w14:solidFill>
          </w14:textFill>
        </w:rPr>
        <w:t>本项目使用的石材</w:t>
      </w:r>
      <w:r>
        <w:rPr>
          <w:rFonts w:hint="eastAsia" w:ascii="宋体" w:hAnsi="宋体" w:eastAsia="宋体"/>
          <w:color w:val="000000" w:themeColor="text1"/>
          <w:sz w:val="24"/>
          <w:szCs w:val="24"/>
          <w:highlight w:val="none"/>
          <w14:textFill>
            <w14:solidFill>
              <w14:schemeClr w14:val="tx1"/>
            </w14:solidFill>
          </w14:textFill>
        </w:rPr>
        <w:t>应</w:t>
      </w:r>
      <w:r>
        <w:rPr>
          <w:rFonts w:ascii="宋体" w:hAnsi="宋体" w:eastAsia="宋体"/>
          <w:color w:val="000000" w:themeColor="text1"/>
          <w:sz w:val="24"/>
          <w:szCs w:val="24"/>
          <w:highlight w:val="none"/>
          <w14:textFill>
            <w14:solidFill>
              <w14:schemeClr w14:val="tx1"/>
            </w14:solidFill>
          </w14:textFill>
        </w:rPr>
        <w:t>在生产地或加工厂加工成品件，原装正品产品。</w:t>
      </w:r>
    </w:p>
    <w:p w14:paraId="3238045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23.2 承包人应</w:t>
      </w:r>
      <w:r>
        <w:rPr>
          <w:rFonts w:ascii="宋体" w:hAnsi="宋体" w:eastAsia="宋体"/>
          <w:color w:val="000000" w:themeColor="text1"/>
          <w:sz w:val="24"/>
          <w:szCs w:val="24"/>
          <w:highlight w:val="none"/>
          <w14:textFill>
            <w14:solidFill>
              <w14:schemeClr w14:val="tx1"/>
            </w14:solidFill>
          </w14:textFill>
        </w:rPr>
        <w:t>安排专职施工员驻场加工厂进行挑选、拼板、排板。</w:t>
      </w:r>
    </w:p>
    <w:p w14:paraId="2A0C240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23.3 承包人</w:t>
      </w:r>
      <w:r>
        <w:rPr>
          <w:rFonts w:ascii="宋体" w:hAnsi="宋体" w:eastAsia="宋体"/>
          <w:color w:val="000000" w:themeColor="text1"/>
          <w:sz w:val="24"/>
          <w:szCs w:val="24"/>
          <w:highlight w:val="none"/>
          <w14:textFill>
            <w14:solidFill>
              <w14:schemeClr w14:val="tx1"/>
            </w14:solidFill>
          </w14:textFill>
        </w:rPr>
        <w:t>无条件接受发包人、监理的检查、考核。</w:t>
      </w:r>
    </w:p>
    <w:p w14:paraId="2ECDE107">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23.4 承包人</w:t>
      </w:r>
      <w:r>
        <w:rPr>
          <w:rFonts w:ascii="宋体" w:hAnsi="宋体" w:eastAsia="宋体"/>
          <w:color w:val="000000" w:themeColor="text1"/>
          <w:sz w:val="24"/>
          <w:szCs w:val="24"/>
          <w:highlight w:val="none"/>
          <w14:textFill>
            <w14:solidFill>
              <w14:schemeClr w14:val="tx1"/>
            </w14:solidFill>
          </w14:textFill>
        </w:rPr>
        <w:t>所供货与样品一致，保证所提供的货物是全新的、未使用过的，并完全符合设计及规范的要求。</w:t>
      </w:r>
    </w:p>
    <w:p w14:paraId="2B3E98E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23.5 </w:t>
      </w:r>
      <w:r>
        <w:rPr>
          <w:rFonts w:ascii="宋体" w:hAnsi="宋体" w:eastAsia="宋体"/>
          <w:color w:val="000000" w:themeColor="text1"/>
          <w:sz w:val="24"/>
          <w:szCs w:val="24"/>
          <w:highlight w:val="none"/>
          <w14:textFill>
            <w14:solidFill>
              <w14:schemeClr w14:val="tx1"/>
            </w14:solidFill>
          </w14:textFill>
        </w:rPr>
        <w:t>石材安装由专业施工单位进行施工，且需全过程跟踪石材加工、排板工作。</w:t>
      </w:r>
    </w:p>
    <w:p w14:paraId="1B7C4A62">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23.6 </w:t>
      </w:r>
      <w:r>
        <w:rPr>
          <w:rFonts w:ascii="宋体" w:hAnsi="宋体" w:eastAsia="宋体"/>
          <w:color w:val="000000" w:themeColor="text1"/>
          <w:sz w:val="24"/>
          <w:szCs w:val="24"/>
          <w:highlight w:val="none"/>
          <w14:textFill>
            <w14:solidFill>
              <w14:schemeClr w14:val="tx1"/>
            </w14:solidFill>
          </w14:textFill>
        </w:rPr>
        <w:t>石材厂家和石材安装专业施工单位</w:t>
      </w:r>
      <w:r>
        <w:rPr>
          <w:rFonts w:hint="eastAsia" w:ascii="宋体" w:hAnsi="宋体" w:eastAsia="宋体"/>
          <w:color w:val="000000" w:themeColor="text1"/>
          <w:sz w:val="24"/>
          <w:szCs w:val="24"/>
          <w:highlight w:val="none"/>
          <w14:textFill>
            <w14:solidFill>
              <w14:schemeClr w14:val="tx1"/>
            </w14:solidFill>
          </w14:textFill>
        </w:rPr>
        <w:t>应</w:t>
      </w:r>
      <w:r>
        <w:rPr>
          <w:rFonts w:ascii="宋体" w:hAnsi="宋体" w:eastAsia="宋体"/>
          <w:color w:val="000000" w:themeColor="text1"/>
          <w:sz w:val="24"/>
          <w:szCs w:val="24"/>
          <w:highlight w:val="none"/>
          <w14:textFill>
            <w14:solidFill>
              <w14:schemeClr w14:val="tx1"/>
            </w14:solidFill>
          </w14:textFill>
        </w:rPr>
        <w:t>为同一单位或长期合作伙伴。</w:t>
      </w:r>
    </w:p>
    <w:p w14:paraId="0A3E462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23.7本项目所涉及的石材进场前必须做好六面防护处理，所产生的费用包含在投标总价中。</w:t>
      </w:r>
    </w:p>
    <w:p w14:paraId="1215202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24. 水土保持监测要求</w:t>
      </w:r>
    </w:p>
    <w:p w14:paraId="4F7E580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24.1 </w:t>
      </w:r>
      <w:r>
        <w:rPr>
          <w:rFonts w:ascii="宋体" w:hAnsi="宋体" w:eastAsia="宋体"/>
          <w:color w:val="000000" w:themeColor="text1"/>
          <w:sz w:val="24"/>
          <w:szCs w:val="24"/>
          <w:highlight w:val="none"/>
          <w14:textFill>
            <w14:solidFill>
              <w14:schemeClr w14:val="tx1"/>
            </w14:solidFill>
          </w14:textFill>
        </w:rPr>
        <w:t>项目开工后，</w:t>
      </w:r>
      <w:r>
        <w:rPr>
          <w:rFonts w:hint="eastAsia" w:ascii="宋体" w:hAnsi="宋体" w:eastAsia="宋体"/>
          <w:color w:val="000000" w:themeColor="text1"/>
          <w:sz w:val="24"/>
          <w:szCs w:val="24"/>
          <w:highlight w:val="none"/>
          <w14:textFill>
            <w14:solidFill>
              <w14:schemeClr w14:val="tx1"/>
            </w14:solidFill>
          </w14:textFill>
        </w:rPr>
        <w:t>承包人</w:t>
      </w:r>
      <w:r>
        <w:rPr>
          <w:rFonts w:ascii="宋体" w:hAnsi="宋体" w:eastAsia="宋体"/>
          <w:color w:val="000000" w:themeColor="text1"/>
          <w:sz w:val="24"/>
          <w:szCs w:val="24"/>
          <w:highlight w:val="none"/>
          <w14:textFill>
            <w14:solidFill>
              <w14:schemeClr w14:val="tx1"/>
            </w14:solidFill>
          </w14:textFill>
        </w:rPr>
        <w:t>自行安排人员进行水土保持监测工作。</w:t>
      </w:r>
    </w:p>
    <w:p w14:paraId="3D0497D4">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24.2承包人</w:t>
      </w:r>
      <w:r>
        <w:rPr>
          <w:rFonts w:ascii="宋体" w:hAnsi="宋体" w:eastAsia="宋体"/>
          <w:color w:val="000000" w:themeColor="text1"/>
          <w:sz w:val="24"/>
          <w:szCs w:val="24"/>
          <w:highlight w:val="none"/>
          <w14:textFill>
            <w14:solidFill>
              <w14:schemeClr w14:val="tx1"/>
            </w14:solidFill>
          </w14:textFill>
        </w:rPr>
        <w:t>及时将监测结果上报至发包人及监理单位。</w:t>
      </w:r>
    </w:p>
    <w:p w14:paraId="7441873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24.3 承包人</w:t>
      </w:r>
      <w:r>
        <w:rPr>
          <w:rFonts w:ascii="宋体" w:hAnsi="宋体" w:eastAsia="宋体"/>
          <w:color w:val="000000" w:themeColor="text1"/>
          <w:sz w:val="24"/>
          <w:szCs w:val="24"/>
          <w:highlight w:val="none"/>
          <w14:textFill>
            <w14:solidFill>
              <w14:schemeClr w14:val="tx1"/>
            </w14:solidFill>
          </w14:textFill>
        </w:rPr>
        <w:t>收集、编制、汇总监测资料，配合</w:t>
      </w:r>
      <w:r>
        <w:rPr>
          <w:rFonts w:hint="eastAsia" w:ascii="宋体" w:hAnsi="宋体" w:eastAsia="宋体"/>
          <w:color w:val="000000" w:themeColor="text1"/>
          <w:sz w:val="24"/>
          <w:szCs w:val="24"/>
          <w:highlight w:val="none"/>
          <w14:textFill>
            <w14:solidFill>
              <w14:schemeClr w14:val="tx1"/>
            </w14:solidFill>
          </w14:textFill>
        </w:rPr>
        <w:t>发包人进行水土保持验收及备案等工作。</w:t>
      </w:r>
    </w:p>
    <w:p w14:paraId="10EC4137">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24.4 </w:t>
      </w:r>
      <w:r>
        <w:rPr>
          <w:rFonts w:ascii="宋体" w:hAnsi="宋体" w:eastAsia="宋体"/>
          <w:color w:val="000000" w:themeColor="text1"/>
          <w:sz w:val="24"/>
          <w:szCs w:val="24"/>
          <w:highlight w:val="none"/>
          <w14:textFill>
            <w14:solidFill>
              <w14:schemeClr w14:val="tx1"/>
            </w14:solidFill>
          </w14:textFill>
        </w:rPr>
        <w:t>所产生的费用已在投标总价中综合考虑，不要求发包人增加</w:t>
      </w:r>
      <w:r>
        <w:rPr>
          <w:rFonts w:hint="eastAsia" w:ascii="宋体" w:hAnsi="宋体" w:eastAsia="宋体"/>
          <w:color w:val="000000" w:themeColor="text1"/>
          <w:sz w:val="24"/>
          <w:szCs w:val="24"/>
          <w:highlight w:val="none"/>
          <w14:textFill>
            <w14:solidFill>
              <w14:schemeClr w14:val="tx1"/>
            </w14:solidFill>
          </w14:textFill>
        </w:rPr>
        <w:t>。</w:t>
      </w:r>
      <w:bookmarkStart w:id="616" w:name="_Toc104979718"/>
      <w:bookmarkStart w:id="617" w:name="_Toc106729787"/>
      <w:r>
        <w:rPr>
          <w:rFonts w:hint="eastAsia" w:ascii="宋体" w:hAnsi="宋体" w:eastAsia="宋体"/>
          <w:color w:val="000000" w:themeColor="text1"/>
          <w:sz w:val="24"/>
          <w:szCs w:val="24"/>
          <w:highlight w:val="none"/>
          <w14:textFill>
            <w14:solidFill>
              <w14:schemeClr w14:val="tx1"/>
            </w14:solidFill>
          </w14:textFill>
        </w:rPr>
        <w:t xml:space="preserve"> </w:t>
      </w:r>
      <w:bookmarkEnd w:id="616"/>
      <w:bookmarkEnd w:id="617"/>
    </w:p>
    <w:p w14:paraId="528E895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25. 文明施工与环境保护</w:t>
      </w:r>
    </w:p>
    <w:p w14:paraId="413878F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25.1 </w:t>
      </w:r>
      <w:r>
        <w:rPr>
          <w:rFonts w:ascii="宋体" w:hAnsi="宋体" w:eastAsia="宋体"/>
          <w:color w:val="000000" w:themeColor="text1"/>
          <w:sz w:val="24"/>
          <w:szCs w:val="24"/>
          <w:highlight w:val="none"/>
          <w14:textFill>
            <w14:solidFill>
              <w14:schemeClr w14:val="tx1"/>
            </w14:solidFill>
          </w14:textFill>
        </w:rPr>
        <w:t>严格落实文明施工措施</w:t>
      </w:r>
    </w:p>
    <w:p w14:paraId="2E85A72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25.2 </w:t>
      </w:r>
      <w:r>
        <w:rPr>
          <w:rFonts w:ascii="宋体" w:hAnsi="宋体" w:eastAsia="宋体"/>
          <w:color w:val="000000" w:themeColor="text1"/>
          <w:sz w:val="24"/>
          <w:szCs w:val="24"/>
          <w:highlight w:val="none"/>
          <w14:textFill>
            <w14:solidFill>
              <w14:schemeClr w14:val="tx1"/>
            </w14:solidFill>
          </w14:textFill>
        </w:rPr>
        <w:t>进入现场前提交施工期间的环境保护方案一式四份，经总监理工程师批准后实施。环境保护方案必须包括：施工现场所必须的照明灯光、护板、围护、栅栏、警告标志和值班人员名单，以及建筑垃圾、施工和生活污水、噪音、粉尘、泥浆的处理排放方案。在实施过程中所采用的材料、设备等应使总监理工程师和发包人满意。</w:t>
      </w:r>
    </w:p>
    <w:p w14:paraId="586B1E1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 xml:space="preserve">25.3 </w:t>
      </w:r>
      <w:r>
        <w:rPr>
          <w:rFonts w:ascii="宋体" w:hAnsi="宋体" w:eastAsia="宋体"/>
          <w:color w:val="000000" w:themeColor="text1"/>
          <w:sz w:val="24"/>
          <w:szCs w:val="24"/>
          <w:highlight w:val="none"/>
          <w14:textFill>
            <w14:solidFill>
              <w14:schemeClr w14:val="tx1"/>
            </w14:solidFill>
          </w14:textFill>
        </w:rPr>
        <w:t>明确扬尘污染防治责任，并制定具体的施工扬尘污染防治实施方案，在施工工地公示扬尘污染防治措施、负责人、扬尘监督管理主管部门等信息。</w:t>
      </w:r>
    </w:p>
    <w:p w14:paraId="206E7A2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25.4 采取有效防尘降尘措施，减少施工作业过程扬尘污染，并做好扬尘污染防治工作：</w:t>
      </w:r>
    </w:p>
    <w:p w14:paraId="494FFDAF">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（1）对施工现场实行封闭管理。城市范围内主要路段的施工工地应设置高度不小于2.5m的封闭围挡，一般路段的施工工地应设置高度不小于1.8m的封闭围挡。施工工地的封闭围挡应坚固、稳定、整洁、美观。</w:t>
      </w:r>
    </w:p>
    <w:p w14:paraId="1CC3F72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2）加强物料管理。施工现场的建筑材料、构件、料具应按总平面布局进行码放。在规定区域内的施工现场应使用预拌混凝土及预拌砂浆；采用现场搅拌混凝土或砂浆的场所应采取封闭、降尘、降噪措施；水泥和其它易飞扬的细颗粒建筑材料应密闭存放或采取覆盖等措施。</w:t>
      </w:r>
    </w:p>
    <w:p w14:paraId="24EE093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3）注重降尘作业。施工现场土方作业应采取防止扬尘措施，主要道路应定期清扫、洒水。拆除建筑物或构筑物时，应采用隔离、洒水等降噪、降尘措施，并应及时清理废弃物。施工进行铣刨、切割等作业时，应采取有效防扬尘措施；灰土和无机料应采用预拌进场，碾压过程中应洒水降尘。</w:t>
      </w:r>
    </w:p>
    <w:p w14:paraId="5AE509C1">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4）硬化路面和清洗车辆。施工现场的主要道路及材料加工区地面应进行硬化处理，道路应畅通，路面应平整坚实。裸露的场地和堆放的土方应采取覆盖、固化或绿化等措施。施工现场出入口应设置车辆冲洗设施，并对驶出车辆进行清洗。</w:t>
      </w:r>
    </w:p>
    <w:p w14:paraId="1FB40B7B">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（5）清运建筑垃圾。土方和建筑垃圾的运输应采用封闭式运输车辆或采取覆盖措施。建筑物内施工垃圾的清运，应采用器具或管道运输，严禁随意抛掷。施工现场严禁焚烧各类废弃物。</w:t>
      </w:r>
    </w:p>
    <w:p w14:paraId="5929236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ascii="宋体" w:hAnsi="宋体" w:eastAsia="宋体"/>
          <w:color w:val="000000" w:themeColor="text1"/>
          <w:sz w:val="24"/>
          <w:szCs w:val="24"/>
          <w:highlight w:val="none"/>
          <w14:textFill>
            <w14:solidFill>
              <w14:schemeClr w14:val="tx1"/>
            </w14:solidFill>
          </w14:textFill>
        </w:rPr>
        <w:t>（6）加强监测监控。鼓励施工工地安装在线监测和视频监控设备，并与当地有关主管部门联网。当环境空气质量指数达到中度及以上污染时，施工现场应增加洒水频次，加强覆盖措施，减少易造成大气污染的施工作业。</w:t>
      </w:r>
    </w:p>
    <w:p w14:paraId="1A402FB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w:t>
      </w:r>
      <w:r>
        <w:rPr>
          <w:rFonts w:ascii="宋体" w:hAnsi="宋体" w:eastAsia="宋体"/>
          <w:color w:val="000000" w:themeColor="text1"/>
          <w:sz w:val="24"/>
          <w:szCs w:val="24"/>
          <w:highlight w:val="none"/>
          <w14:textFill>
            <w14:solidFill>
              <w14:schemeClr w14:val="tx1"/>
            </w14:solidFill>
          </w14:textFill>
        </w:rPr>
        <w:t>7.</w:t>
      </w:r>
      <w:r>
        <w:rPr>
          <w:rFonts w:hint="eastAsia" w:ascii="宋体" w:hAnsi="宋体" w:eastAsia="宋体"/>
          <w:color w:val="000000" w:themeColor="text1"/>
          <w:sz w:val="24"/>
          <w:szCs w:val="24"/>
          <w:highlight w:val="none"/>
          <w14:textFill>
            <w14:solidFill>
              <w14:schemeClr w14:val="tx1"/>
            </w14:solidFill>
          </w14:textFill>
        </w:rPr>
        <w:t>信息化管理及智慧工地建设</w:t>
      </w:r>
    </w:p>
    <w:p w14:paraId="2B7243C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27.1 信息系统对接</w:t>
      </w:r>
    </w:p>
    <w:p w14:paraId="599F4F7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承包人自行配置优质的网络硬件、软件环境与发包人或其要求的综合管理平台对接，并配备专业的信息化管理人员，并承担相应费用。</w:t>
      </w:r>
    </w:p>
    <w:p w14:paraId="4FB91D3D">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27.2 业务管理模块对接</w:t>
      </w:r>
    </w:p>
    <w:p w14:paraId="0BA39B2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主要业务流程，通过信息化系统管理，与发包人进行业务对接。包括不限于：合同管理、设计管理（设计交底、图纸会审、施工方案等）、进度管理、巡查整改、质安管理等，在综合管理平台上实现业务流转管理。</w:t>
      </w:r>
    </w:p>
    <w:p w14:paraId="1E8419E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27.3 数据上传</w:t>
      </w:r>
    </w:p>
    <w:p w14:paraId="4CE1D07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包括但不限于以下：</w:t>
      </w:r>
    </w:p>
    <w:p w14:paraId="0E072526">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①承包人需将现场材料管理、设备管理、装配式管理相应数据录入发包人单位信息化平台，实现对现场物资材料质量管控。</w:t>
      </w:r>
    </w:p>
    <w:p w14:paraId="4328D3F5">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②承包人需将施工资料录入贵单位信息化管理平台，实现施工资料统一管理，实现实时查询、抽检、整改等业务管理功能。</w:t>
      </w:r>
    </w:p>
    <w:p w14:paraId="10583DD7">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③承包人需实现工程建设过程中的智慧工地全过程监控，并推送政府监管所需的数据，包括不限于：安全监控（塔吊升降机监控、吊钩可视化监控、无人值守深基坑监测、高支模监测、脚手架管理、临边防护预警、烟感消防预警等）、质量监控（实测实量、混凝土生产信息、关键质量检测报告等）、文明施工（视频监控、扬尘噪声、车辆管理、实名制管理、智能水电管理、安全帽</w:t>
      </w:r>
      <w:r>
        <w:rPr>
          <w:rFonts w:ascii="宋体" w:hAnsi="宋体" w:eastAsia="宋体"/>
          <w:color w:val="000000" w:themeColor="text1"/>
          <w:sz w:val="24"/>
          <w:szCs w:val="24"/>
          <w:highlight w:val="none"/>
          <w14:textFill>
            <w14:solidFill>
              <w14:schemeClr w14:val="tx1"/>
            </w14:solidFill>
          </w14:textFill>
        </w:rPr>
        <w:t>AI</w:t>
      </w:r>
      <w:r>
        <w:rPr>
          <w:rFonts w:hint="eastAsia" w:ascii="宋体" w:hAnsi="宋体" w:eastAsia="宋体"/>
          <w:color w:val="000000" w:themeColor="text1"/>
          <w:sz w:val="24"/>
          <w:szCs w:val="24"/>
          <w:highlight w:val="none"/>
          <w14:textFill>
            <w14:solidFill>
              <w14:schemeClr w14:val="tx1"/>
            </w14:solidFill>
          </w14:textFill>
        </w:rPr>
        <w:t>抓拍、联动喷淋等）等数据。</w:t>
      </w:r>
    </w:p>
    <w:p w14:paraId="244920CC">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w:t>
      </w:r>
      <w:r>
        <w:rPr>
          <w:rFonts w:ascii="宋体" w:hAnsi="宋体" w:eastAsia="宋体"/>
          <w:color w:val="000000" w:themeColor="text1"/>
          <w:sz w:val="24"/>
          <w:szCs w:val="24"/>
          <w:highlight w:val="none"/>
          <w14:textFill>
            <w14:solidFill>
              <w14:schemeClr w14:val="tx1"/>
            </w14:solidFill>
          </w14:textFill>
        </w:rPr>
        <w:t xml:space="preserve">8. </w:t>
      </w:r>
      <w:r>
        <w:rPr>
          <w:rFonts w:hint="eastAsia" w:ascii="宋体" w:hAnsi="宋体" w:eastAsia="宋体"/>
          <w:color w:val="000000" w:themeColor="text1"/>
          <w:sz w:val="24"/>
          <w:szCs w:val="24"/>
          <w:highlight w:val="none"/>
          <w14:textFill>
            <w14:solidFill>
              <w14:schemeClr w14:val="tx1"/>
            </w14:solidFill>
          </w14:textFill>
        </w:rPr>
        <w:t>落实建筑业高质量发展</w:t>
      </w:r>
    </w:p>
    <w:p w14:paraId="247BF4B9">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28.1 绿色建筑：本项目内绿色建筑不应低于国标《绿色建筑评价标准》GB/T50378-2019（2024修订版）二星级标准。（项目内需要执行绿色建筑相关要求的楼栋以初步设计审批结果为准）。</w:t>
      </w:r>
    </w:p>
    <w:p w14:paraId="4268230A">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28.2 装配式建筑：满足《广州市城中村改造项目改造主体工作评估实施细则》对本项目的要求。</w:t>
      </w:r>
      <w:r>
        <w:rPr>
          <w:rFonts w:hint="eastAsia" w:ascii="宋体" w:hAnsi="宋体" w:eastAsia="宋体"/>
          <w:color w:val="000000" w:themeColor="text1"/>
          <w:sz w:val="24"/>
          <w:szCs w:val="24"/>
          <w14:textFill>
            <w14:solidFill>
              <w14:schemeClr w14:val="tx1"/>
            </w14:solidFill>
          </w14:textFill>
        </w:rPr>
        <w:t>住宅项目至少满足广东省《装配式建筑评价标准》（DBJ/T15-163-2019）A级或者广州市《装配式建筑评价标准》（DB4401/T 151—2022）A级的要求。</w:t>
      </w:r>
    </w:p>
    <w:p w14:paraId="30151B90">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28.3 智能建造：参考《广州市城中村改造项目改造主体工作评估实施细则(试行)》的通知（穗建前期〔2025〕158号）的相关要求，从全阶段全专业标准化BIM正向设计、装配式构件数字化生产、智慧施工、智慧运维、项目全生命期数字化管理平台等方面开展工作，中标后无条件按照发包人的具体要求执行。</w:t>
      </w:r>
    </w:p>
    <w:p w14:paraId="34CF307D">
      <w:pPr>
        <w:spacing w:line="360" w:lineRule="auto"/>
        <w:ind w:firstLine="424" w:firstLineChars="177"/>
        <w:rPr>
          <w:rFonts w:hint="eastAsia"/>
          <w:color w:val="000000" w:themeColor="text1"/>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28.4其他发包人根据《广州市城中村改造项目改造主体工作评估实施细则(试行)》的通知（穗建前期〔2025〕158号）制定的相关要求。</w:t>
      </w:r>
    </w:p>
    <w:p w14:paraId="0B8408B3">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29、房屋鉴定要求</w:t>
      </w:r>
    </w:p>
    <w:p w14:paraId="634E73F9">
      <w:pPr>
        <w:spacing w:line="360" w:lineRule="auto"/>
        <w:ind w:firstLine="424" w:firstLineChars="177"/>
        <w:rPr>
          <w:rFonts w:hint="eastAsia"/>
          <w:color w:val="000000" w:themeColor="text1"/>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负责项目周边建筑物的房屋鉴定工作及出具相关报告（发包人另有委托的除外），此项工作所产生的一切费用（含检测费、专家评审费、报告编制费、配合审批费等）都包含在合同价中，不另行支付。如在实施过程中造成周边建筑物的损坏，需由承包人负责修复并承担由此造成的一切损失。</w:t>
      </w:r>
    </w:p>
    <w:p w14:paraId="53C3F318">
      <w:pPr>
        <w:spacing w:line="360" w:lineRule="auto"/>
        <w:ind w:firstLine="424" w:firstLineChars="177"/>
        <w:rPr>
          <w:rFonts w:hint="eastAsia" w:ascii="宋体" w:hAnsi="宋体"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30、无人机的应用要求</w:t>
      </w:r>
    </w:p>
    <w:p w14:paraId="1F51BF2E">
      <w:pPr>
        <w:spacing w:line="360" w:lineRule="auto"/>
        <w:ind w:firstLine="424" w:firstLineChars="177"/>
        <w:rPr>
          <w:rFonts w:hint="eastAsia" w:eastAsia="宋体"/>
          <w:color w:val="000000" w:themeColor="text1"/>
          <w:highlight w:val="none"/>
          <w14:textFill>
            <w14:solidFill>
              <w14:schemeClr w14:val="tx1"/>
            </w14:solidFill>
          </w14:textFill>
        </w:rPr>
      </w:pPr>
      <w:r>
        <w:rPr>
          <w:rFonts w:hint="eastAsia" w:ascii="宋体" w:hAnsi="宋体" w:eastAsia="宋体"/>
          <w:color w:val="000000" w:themeColor="text1"/>
          <w:sz w:val="24"/>
          <w:szCs w:val="24"/>
          <w:highlight w:val="none"/>
          <w14:textFill>
            <w14:solidFill>
              <w14:schemeClr w14:val="tx1"/>
            </w14:solidFill>
          </w14:textFill>
        </w:rPr>
        <w:t>负责利用携带拍摄装置的无人机，开展项目航拍，实现空中俯瞰项目的效果，定期提交符合发包人要求的航拍成果。（要求无人机上升高度不小于500m以上，遥控距离不小于3km以上，摄像头像素不少于2000万以上）。</w:t>
      </w:r>
    </w:p>
    <w:p w14:paraId="1E200AED">
      <w:pPr>
        <w:pStyle w:val="2"/>
        <w:snapToGrid/>
        <w:spacing w:line="360" w:lineRule="auto"/>
        <w:rPr>
          <w:rFonts w:hint="eastAsia" w:ascii="宋体" w:hAnsi="宋体" w:eastAsia="宋体" w:cs="宋体"/>
          <w:color w:val="000000" w:themeColor="text1"/>
          <w:spacing w:val="4"/>
          <w:sz w:val="24"/>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七、其他注意事项</w:t>
      </w:r>
    </w:p>
    <w:p w14:paraId="4E4FD6F3">
      <w:pPr>
        <w:snapToGrid/>
        <w:spacing w:before="0" w:after="0" w:line="360" w:lineRule="auto"/>
        <w:ind w:firstLine="426"/>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spacing w:val="4"/>
          <w:sz w:val="24"/>
          <w:highlight w:val="none"/>
          <w14:textFill>
            <w14:solidFill>
              <w14:schemeClr w14:val="tx1"/>
            </w14:solidFill>
          </w14:textFill>
        </w:rPr>
        <w:t>中标单位在合同实施过程中，如违约或有不良行为或不规范行为，或与招标人产生合同纠纷（仲裁或诉讼）的，招标人将上报建设行政主管部门，同时招标人有权在后续及其他施工招标项目中拒绝其投标。</w:t>
      </w:r>
    </w:p>
    <w:p w14:paraId="67F61299">
      <w:pPr>
        <w:widowControl/>
        <w:snapToGrid/>
        <w:spacing w:before="0" w:after="0" w:line="240" w:lineRule="auto"/>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br w:type="page"/>
      </w:r>
    </w:p>
    <w:p w14:paraId="66346E1E">
      <w:pPr>
        <w:jc w:val="center"/>
        <w:outlineLvl w:val="0"/>
        <w:rPr>
          <w:rFonts w:hint="eastAsia" w:ascii="宋体" w:hAnsi="宋体" w:eastAsia="宋体" w:cs="宋体"/>
          <w:b/>
          <w:bCs/>
          <w:color w:val="000000" w:themeColor="text1"/>
          <w:sz w:val="48"/>
          <w:szCs w:val="48"/>
          <w:highlight w:val="none"/>
          <w14:textFill>
            <w14:solidFill>
              <w14:schemeClr w14:val="tx1"/>
            </w14:solidFill>
          </w14:textFill>
        </w:rPr>
      </w:pPr>
      <w:r>
        <w:rPr>
          <w:rStyle w:val="52"/>
          <w:rFonts w:hint="eastAsia" w:ascii="宋体" w:hAnsi="宋体" w:eastAsia="宋体" w:cs="宋体"/>
          <w:color w:val="000000" w:themeColor="text1"/>
          <w:kern w:val="44"/>
          <w:sz w:val="36"/>
          <w:highlight w:val="none"/>
          <w14:textFill>
            <w14:solidFill>
              <w14:schemeClr w14:val="tx1"/>
            </w14:solidFill>
          </w14:textFill>
        </w:rPr>
        <w:t>第四部分 附件</w:t>
      </w:r>
    </w:p>
    <w:p w14:paraId="04715C61">
      <w:pPr>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附件:</w:t>
      </w:r>
    </w:p>
    <w:p w14:paraId="0BF1A2CC">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1、设计技术标准；（如有）</w:t>
      </w:r>
    </w:p>
    <w:p w14:paraId="4FFF305E">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2、建筑构造统一做法一览表；</w:t>
      </w:r>
    </w:p>
    <w:p w14:paraId="0BEF7233">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3、危险性较大的分部分项工程清单及超过一定规模的危险性较大的分部分项工程清单；</w:t>
      </w:r>
    </w:p>
    <w:p w14:paraId="7BFCBF27">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4、主要设备材料推荐品牌表</w:t>
      </w:r>
      <w:bookmarkEnd w:id="7"/>
      <w:bookmarkEnd w:id="8"/>
      <w:bookmarkEnd w:id="9"/>
      <w:bookmarkEnd w:id="10"/>
      <w:bookmarkEnd w:id="11"/>
      <w:bookmarkEnd w:id="12"/>
      <w:bookmarkEnd w:id="13"/>
      <w:r>
        <w:rPr>
          <w:rFonts w:hint="eastAsia" w:cs="宋体"/>
          <w:b w:val="0"/>
          <w:bCs/>
          <w:color w:val="000000" w:themeColor="text1"/>
          <w:highlight w:val="none"/>
          <w14:textFill>
            <w14:solidFill>
              <w14:schemeClr w14:val="tx1"/>
            </w14:solidFill>
          </w14:textFill>
        </w:rPr>
        <w:t>；</w:t>
      </w:r>
    </w:p>
    <w:p w14:paraId="2A3E36F3">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5、关键工序停止点验收清单；</w:t>
      </w:r>
    </w:p>
    <w:p w14:paraId="2FCEE4D1">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6、质量过程检查标准；</w:t>
      </w:r>
    </w:p>
    <w:p w14:paraId="2F2CE5EA">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7、施工策划评审表；</w:t>
      </w:r>
    </w:p>
    <w:p w14:paraId="687D207E">
      <w:pPr>
        <w:pStyle w:val="107"/>
        <w:ind w:left="482" w:leftChars="219" w:firstLine="57" w:firstLineChars="24"/>
        <w:jc w:val="left"/>
        <w:outlineLvl w:val="0"/>
        <w:rPr>
          <w:rFonts w:hint="eastAsia" w:cs="宋体"/>
          <w:b w:val="0"/>
          <w:bCs/>
          <w:color w:val="000000" w:themeColor="text1"/>
          <w:highlight w:val="none"/>
          <w14:textFill>
            <w14:solidFill>
              <w14:schemeClr w14:val="tx1"/>
            </w14:solidFill>
          </w14:textFill>
        </w:rPr>
      </w:pPr>
      <w:r>
        <w:rPr>
          <w:rFonts w:hint="eastAsia" w:cs="宋体"/>
          <w:b w:val="0"/>
          <w:bCs/>
          <w:color w:val="000000" w:themeColor="text1"/>
          <w:highlight w:val="none"/>
          <w14:textFill>
            <w14:solidFill>
              <w14:schemeClr w14:val="tx1"/>
            </w14:solidFill>
          </w14:textFill>
        </w:rPr>
        <w:t>8、样板管理清单。</w:t>
      </w:r>
    </w:p>
    <w:p w14:paraId="23545D7D">
      <w:pPr>
        <w:rPr>
          <w:rFonts w:hint="eastAsia" w:cs="宋体"/>
          <w:color w:val="000000" w:themeColor="text1"/>
          <w:highlight w:val="none"/>
          <w14:textFill>
            <w14:solidFill>
              <w14:schemeClr w14:val="tx1"/>
            </w14:solidFill>
          </w14:textFill>
        </w:rPr>
      </w:pPr>
      <w:r>
        <w:rPr>
          <w:rFonts w:cs="宋体"/>
          <w:color w:val="000000" w:themeColor="text1"/>
          <w:highlight w:val="none"/>
          <w14:textFill>
            <w14:solidFill>
              <w14:schemeClr w14:val="tx1"/>
            </w14:solidFill>
          </w14:textFill>
        </w:rPr>
        <w:br w:type="page"/>
      </w:r>
    </w:p>
    <w:p w14:paraId="76934479">
      <w:pPr>
        <w:pStyle w:val="107"/>
        <w:jc w:val="left"/>
        <w:outlineLvl w:val="9"/>
        <w:rPr>
          <w:rFonts w:hint="eastAsia" w:cs="宋体"/>
          <w:color w:val="000000" w:themeColor="text1"/>
          <w:sz w:val="28"/>
          <w:szCs w:val="28"/>
          <w:highlight w:val="none"/>
          <w14:textFill>
            <w14:solidFill>
              <w14:schemeClr w14:val="tx1"/>
            </w14:solidFill>
          </w14:textFill>
        </w:rPr>
      </w:pPr>
      <w:r>
        <w:rPr>
          <w:rFonts w:hint="eastAsia" w:cs="宋体"/>
          <w:color w:val="000000" w:themeColor="text1"/>
          <w:sz w:val="28"/>
          <w:szCs w:val="28"/>
          <w:highlight w:val="none"/>
          <w14:textFill>
            <w14:solidFill>
              <w14:schemeClr w14:val="tx1"/>
            </w14:solidFill>
          </w14:textFill>
        </w:rPr>
        <w:t>附件3</w:t>
      </w:r>
    </w:p>
    <w:p w14:paraId="0AB6BB6A">
      <w:pPr>
        <w:pStyle w:val="158"/>
        <w:spacing w:before="120" w:beforeLines="50" w:after="156" w:line="240" w:lineRule="auto"/>
        <w:rPr>
          <w:rFonts w:hint="eastAsia" w:ascii="宋体" w:hAnsi="宋体" w:eastAsia="宋体" w:cs="宋体"/>
          <w:color w:val="000000" w:themeColor="text1"/>
          <w:sz w:val="32"/>
          <w:szCs w:val="32"/>
          <w:highlight w:val="non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t>危险性较大的分部分项工程清单及</w:t>
      </w:r>
    </w:p>
    <w:p w14:paraId="1F4082E3">
      <w:pPr>
        <w:pStyle w:val="158"/>
        <w:spacing w:before="120" w:beforeLines="50" w:after="156" w:line="240" w:lineRule="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32"/>
          <w:szCs w:val="32"/>
          <w:highlight w:val="none"/>
          <w14:textFill>
            <w14:solidFill>
              <w14:schemeClr w14:val="tx1"/>
            </w14:solidFill>
          </w14:textFill>
        </w:rPr>
        <w:t>超过一定规模的危险性较大的分部分项工程清单</w:t>
      </w:r>
    </w:p>
    <w:p w14:paraId="08EA0CD8">
      <w:pPr>
        <w:pStyle w:val="63"/>
        <w:numPr>
          <w:ilvl w:val="0"/>
          <w:numId w:val="49"/>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根据中华人民共和国住房和城乡建设部令第37号《危险性较大的分部分项工程安全管理规定》（以下简称“37号文”），投标人在投标时须补充完善危大工程清单并明确相应的安全管理措施。</w:t>
      </w:r>
    </w:p>
    <w:p w14:paraId="15FB6DCC">
      <w:pPr>
        <w:pStyle w:val="63"/>
        <w:numPr>
          <w:ilvl w:val="0"/>
          <w:numId w:val="49"/>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招标人根据设计文件的要求及37号文的规定列出“危险性较大的分部分项工程清单及超过一定规模的危险性较大的分部分项工程清单”中与本招标项目相关的清单项，具体详第5点“打√”标识。</w:t>
      </w:r>
    </w:p>
    <w:p w14:paraId="69AFEED8">
      <w:pPr>
        <w:pStyle w:val="63"/>
        <w:numPr>
          <w:ilvl w:val="0"/>
          <w:numId w:val="50"/>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投标单位同意建设单位在清单中标识的该项请在对应项打“√”标识，并与投标文件中提供相应的安全管理措施。</w:t>
      </w:r>
    </w:p>
    <w:p w14:paraId="1D6AB61A">
      <w:pPr>
        <w:pStyle w:val="63"/>
        <w:numPr>
          <w:ilvl w:val="0"/>
          <w:numId w:val="50"/>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投标单位对清单中认为需要补充的该项请在对应项打“√”标识，并与投标文件中提供相应的安全管理措施。</w:t>
      </w:r>
    </w:p>
    <w:p w14:paraId="21D8D0EC">
      <w:pPr>
        <w:pStyle w:val="63"/>
        <w:numPr>
          <w:ilvl w:val="0"/>
          <w:numId w:val="50"/>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投标单位不同意建设单位在清单中标识的该项请在对应项打“×”标识，并在备注栏填上相关说明。</w:t>
      </w:r>
    </w:p>
    <w:p w14:paraId="15D3C088">
      <w:pPr>
        <w:pStyle w:val="63"/>
        <w:numPr>
          <w:ilvl w:val="0"/>
          <w:numId w:val="49"/>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投标单位应当在投标时根据招标人提供的下述第5点清单，在工程总承包实施方案中编制专项施工方案。</w:t>
      </w:r>
    </w:p>
    <w:p w14:paraId="778DF03A">
      <w:pPr>
        <w:pStyle w:val="63"/>
        <w:numPr>
          <w:ilvl w:val="0"/>
          <w:numId w:val="49"/>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对于超过一定规模的危大工程，中标单位应当组织召开专家论证会对专项施工方案进行论证。实行施工总承包的，由施工总承包单位组织召开专家论证会。专家论证前专项施工方案应当通过施工总承包单位审核和总监理工程师审查。</w:t>
      </w:r>
    </w:p>
    <w:p w14:paraId="1B45E492">
      <w:pPr>
        <w:pStyle w:val="63"/>
        <w:numPr>
          <w:ilvl w:val="0"/>
          <w:numId w:val="49"/>
        </w:numPr>
        <w:autoSpaceDE w:val="0"/>
        <w:autoSpaceDN w:val="0"/>
        <w:adjustRightInd w:val="0"/>
        <w:spacing w:line="276" w:lineRule="auto"/>
        <w:ind w:firstLineChars="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危险性较大的分部分项工程清单及超过一定规模的危险性较大的分部分项工程清单：</w:t>
      </w:r>
    </w:p>
    <w:tbl>
      <w:tblPr>
        <w:tblStyle w:val="42"/>
        <w:tblW w:w="9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35"/>
        <w:gridCol w:w="1038"/>
        <w:gridCol w:w="1087"/>
        <w:gridCol w:w="845"/>
      </w:tblGrid>
      <w:tr w14:paraId="4A454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vAlign w:val="center"/>
          </w:tcPr>
          <w:p w14:paraId="635E867C">
            <w:pPr>
              <w:spacing w:line="276"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一、危险性较大的分部分项工程清单</w:t>
            </w:r>
          </w:p>
        </w:tc>
        <w:tc>
          <w:tcPr>
            <w:tcW w:w="1038" w:type="dxa"/>
            <w:vAlign w:val="center"/>
          </w:tcPr>
          <w:p w14:paraId="3C5A2DE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建设单位</w:t>
            </w:r>
          </w:p>
        </w:tc>
        <w:tc>
          <w:tcPr>
            <w:tcW w:w="1087" w:type="dxa"/>
            <w:vAlign w:val="center"/>
          </w:tcPr>
          <w:p w14:paraId="6A9F84C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投标单位</w:t>
            </w:r>
          </w:p>
        </w:tc>
        <w:tc>
          <w:tcPr>
            <w:tcW w:w="845" w:type="dxa"/>
            <w:vAlign w:val="center"/>
          </w:tcPr>
          <w:p w14:paraId="04B5B74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备注</w:t>
            </w:r>
          </w:p>
        </w:tc>
      </w:tr>
      <w:tr w14:paraId="0D613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E0431C8">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一、基坑支护</w:t>
            </w:r>
          </w:p>
        </w:tc>
        <w:tc>
          <w:tcPr>
            <w:tcW w:w="1038" w:type="dxa"/>
            <w:vAlign w:val="center"/>
          </w:tcPr>
          <w:p w14:paraId="61F6BAE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516DAD7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7A4EE91">
            <w:pPr>
              <w:spacing w:line="276" w:lineRule="auto"/>
              <w:jc w:val="center"/>
              <w:rPr>
                <w:rFonts w:hint="eastAsia" w:ascii="宋体" w:hAnsi="宋体" w:eastAsia="宋体" w:cs="宋体"/>
                <w:color w:val="auto"/>
                <w:sz w:val="21"/>
                <w:szCs w:val="21"/>
                <w:highlight w:val="none"/>
              </w:rPr>
            </w:pPr>
          </w:p>
        </w:tc>
      </w:tr>
      <w:tr w14:paraId="56F17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62C879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（一）开挖深度超过3m（含3m）的基坑（槽）的土方开挖、支护、降水工程。</w:t>
            </w:r>
          </w:p>
        </w:tc>
        <w:tc>
          <w:tcPr>
            <w:tcW w:w="1038" w:type="dxa"/>
            <w:vAlign w:val="center"/>
          </w:tcPr>
          <w:p w14:paraId="555A491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03B257F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BE54E15">
            <w:pPr>
              <w:spacing w:line="276" w:lineRule="auto"/>
              <w:jc w:val="center"/>
              <w:rPr>
                <w:rFonts w:hint="eastAsia" w:ascii="宋体" w:hAnsi="宋体" w:eastAsia="宋体" w:cs="宋体"/>
                <w:color w:val="auto"/>
                <w:sz w:val="21"/>
                <w:szCs w:val="21"/>
                <w:highlight w:val="none"/>
              </w:rPr>
            </w:pPr>
          </w:p>
        </w:tc>
      </w:tr>
      <w:tr w14:paraId="0EB7A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7FD799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（二）开挖深度虽未超过3m，但地质条件、周围环境和地下管线复杂，或影响毗邻建、构筑物安全的基坑（槽）的土方开挖、支护、降水工程。</w:t>
            </w:r>
          </w:p>
        </w:tc>
        <w:tc>
          <w:tcPr>
            <w:tcW w:w="1038" w:type="dxa"/>
            <w:vAlign w:val="center"/>
          </w:tcPr>
          <w:p w14:paraId="222DE35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577E39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361EC6B">
            <w:pPr>
              <w:spacing w:line="276" w:lineRule="auto"/>
              <w:jc w:val="center"/>
              <w:rPr>
                <w:rFonts w:hint="eastAsia" w:ascii="宋体" w:hAnsi="宋体" w:eastAsia="宋体" w:cs="宋体"/>
                <w:color w:val="auto"/>
                <w:sz w:val="21"/>
                <w:szCs w:val="21"/>
                <w:highlight w:val="none"/>
              </w:rPr>
            </w:pPr>
          </w:p>
        </w:tc>
      </w:tr>
      <w:tr w14:paraId="4552B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7A662F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二、模板工程及支撑体系</w:t>
            </w:r>
          </w:p>
        </w:tc>
        <w:tc>
          <w:tcPr>
            <w:tcW w:w="1038" w:type="dxa"/>
            <w:vAlign w:val="center"/>
          </w:tcPr>
          <w:p w14:paraId="052F70E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080B193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CD3683D">
            <w:pPr>
              <w:spacing w:line="276" w:lineRule="auto"/>
              <w:jc w:val="center"/>
              <w:rPr>
                <w:rFonts w:hint="eastAsia" w:ascii="宋体" w:hAnsi="宋体" w:eastAsia="宋体" w:cs="宋体"/>
                <w:color w:val="auto"/>
                <w:sz w:val="21"/>
                <w:szCs w:val="21"/>
                <w:highlight w:val="none"/>
              </w:rPr>
            </w:pPr>
          </w:p>
        </w:tc>
      </w:tr>
      <w:tr w14:paraId="053E4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285CB0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（一）各类工具式模板工程：包括滑模、爬模、飞模、隧道模等工程。</w:t>
            </w:r>
          </w:p>
        </w:tc>
        <w:tc>
          <w:tcPr>
            <w:tcW w:w="1038" w:type="dxa"/>
            <w:vAlign w:val="center"/>
          </w:tcPr>
          <w:p w14:paraId="31CB9C7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B3F87C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F47EC39">
            <w:pPr>
              <w:spacing w:line="276" w:lineRule="auto"/>
              <w:jc w:val="center"/>
              <w:rPr>
                <w:rFonts w:hint="eastAsia" w:ascii="宋体" w:hAnsi="宋体" w:eastAsia="宋体" w:cs="宋体"/>
                <w:color w:val="auto"/>
                <w:sz w:val="21"/>
                <w:szCs w:val="21"/>
                <w:highlight w:val="none"/>
              </w:rPr>
            </w:pPr>
          </w:p>
        </w:tc>
      </w:tr>
      <w:tr w14:paraId="42E90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0A9309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混凝土模板支撑工程：搭设高度5m及以上，或搭设跨度10m及以上，或施工总荷载（荷载效应基本组合的设计值，以下简称设计值）10kN/m2及以上，或集中线荷载（设计值）15kN/m及以上，或高度大于支撑水平投影宽度且相对独立无联系构件的混凝土模板支撑工程。</w:t>
            </w:r>
          </w:p>
        </w:tc>
        <w:tc>
          <w:tcPr>
            <w:tcW w:w="1038" w:type="dxa"/>
            <w:vAlign w:val="center"/>
          </w:tcPr>
          <w:p w14:paraId="35BA43E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45CD064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577E069">
            <w:pPr>
              <w:spacing w:line="276" w:lineRule="auto"/>
              <w:jc w:val="center"/>
              <w:rPr>
                <w:rFonts w:hint="eastAsia" w:ascii="宋体" w:hAnsi="宋体" w:eastAsia="宋体" w:cs="宋体"/>
                <w:color w:val="auto"/>
                <w:sz w:val="21"/>
                <w:szCs w:val="21"/>
                <w:highlight w:val="none"/>
              </w:rPr>
            </w:pPr>
          </w:p>
        </w:tc>
      </w:tr>
      <w:tr w14:paraId="161BD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014807F">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（三）承重支撑体系：用于钢结构安装等满堂支撑体系。</w:t>
            </w:r>
          </w:p>
        </w:tc>
        <w:tc>
          <w:tcPr>
            <w:tcW w:w="1038" w:type="dxa"/>
            <w:vAlign w:val="center"/>
          </w:tcPr>
          <w:p w14:paraId="2D92395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DAF8B9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28AE910">
            <w:pPr>
              <w:spacing w:line="276" w:lineRule="auto"/>
              <w:jc w:val="center"/>
              <w:rPr>
                <w:rFonts w:hint="eastAsia" w:ascii="宋体" w:hAnsi="宋体" w:eastAsia="宋体" w:cs="宋体"/>
                <w:color w:val="auto"/>
                <w:sz w:val="21"/>
                <w:szCs w:val="21"/>
                <w:highlight w:val="none"/>
              </w:rPr>
            </w:pPr>
          </w:p>
        </w:tc>
      </w:tr>
      <w:tr w14:paraId="5BC1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4092FE8">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三、起重吊装及起重机械安装拆卸工程</w:t>
            </w:r>
          </w:p>
        </w:tc>
        <w:tc>
          <w:tcPr>
            <w:tcW w:w="1038" w:type="dxa"/>
            <w:vAlign w:val="center"/>
          </w:tcPr>
          <w:p w14:paraId="2F7F9F1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4E06031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7B1D190">
            <w:pPr>
              <w:spacing w:line="276" w:lineRule="auto"/>
              <w:jc w:val="center"/>
              <w:rPr>
                <w:rFonts w:hint="eastAsia" w:ascii="宋体" w:hAnsi="宋体" w:eastAsia="宋体" w:cs="宋体"/>
                <w:color w:val="auto"/>
                <w:sz w:val="21"/>
                <w:szCs w:val="21"/>
                <w:highlight w:val="none"/>
              </w:rPr>
            </w:pPr>
          </w:p>
        </w:tc>
      </w:tr>
      <w:tr w14:paraId="701DF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5CCA215">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（一）采用非常规起重设备、方法，且单件起吊重量在10kN及以上的起重吊装工程。</w:t>
            </w:r>
          </w:p>
        </w:tc>
        <w:tc>
          <w:tcPr>
            <w:tcW w:w="1038" w:type="dxa"/>
            <w:vAlign w:val="center"/>
          </w:tcPr>
          <w:p w14:paraId="3672B64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9C69F0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3D07B7C">
            <w:pPr>
              <w:spacing w:line="276" w:lineRule="auto"/>
              <w:jc w:val="center"/>
              <w:rPr>
                <w:rFonts w:hint="eastAsia" w:ascii="宋体" w:hAnsi="宋体" w:eastAsia="宋体" w:cs="宋体"/>
                <w:color w:val="auto"/>
                <w:sz w:val="21"/>
                <w:szCs w:val="21"/>
                <w:highlight w:val="none"/>
              </w:rPr>
            </w:pPr>
          </w:p>
        </w:tc>
      </w:tr>
      <w:tr w14:paraId="7F393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94BBA3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（二）采用起重机械进行安装的工程。</w:t>
            </w:r>
          </w:p>
        </w:tc>
        <w:tc>
          <w:tcPr>
            <w:tcW w:w="1038" w:type="dxa"/>
            <w:vAlign w:val="center"/>
          </w:tcPr>
          <w:p w14:paraId="7934932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0FDDC3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5F6FC48">
            <w:pPr>
              <w:spacing w:line="276" w:lineRule="auto"/>
              <w:jc w:val="center"/>
              <w:rPr>
                <w:rFonts w:hint="eastAsia" w:ascii="宋体" w:hAnsi="宋体" w:eastAsia="宋体" w:cs="宋体"/>
                <w:color w:val="auto"/>
                <w:sz w:val="21"/>
                <w:szCs w:val="21"/>
                <w:highlight w:val="none"/>
              </w:rPr>
            </w:pPr>
          </w:p>
        </w:tc>
      </w:tr>
      <w:tr w14:paraId="5FD5E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0941411">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（三）起重机械安装和拆卸工程。</w:t>
            </w:r>
          </w:p>
        </w:tc>
        <w:tc>
          <w:tcPr>
            <w:tcW w:w="1038" w:type="dxa"/>
            <w:vAlign w:val="center"/>
          </w:tcPr>
          <w:p w14:paraId="5BD2A91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3BAEAEA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7700754">
            <w:pPr>
              <w:spacing w:line="276" w:lineRule="auto"/>
              <w:jc w:val="center"/>
              <w:rPr>
                <w:rFonts w:hint="eastAsia" w:ascii="宋体" w:hAnsi="宋体" w:eastAsia="宋体" w:cs="宋体"/>
                <w:color w:val="auto"/>
                <w:sz w:val="21"/>
                <w:szCs w:val="21"/>
                <w:highlight w:val="none"/>
              </w:rPr>
            </w:pPr>
          </w:p>
        </w:tc>
      </w:tr>
      <w:tr w14:paraId="6004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CAE9F8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四、脚手架工程</w:t>
            </w:r>
          </w:p>
        </w:tc>
        <w:tc>
          <w:tcPr>
            <w:tcW w:w="1038" w:type="dxa"/>
            <w:vAlign w:val="center"/>
          </w:tcPr>
          <w:p w14:paraId="422B27D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0CA3E0C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5F340A9">
            <w:pPr>
              <w:spacing w:line="276" w:lineRule="auto"/>
              <w:jc w:val="center"/>
              <w:rPr>
                <w:rFonts w:hint="eastAsia" w:ascii="宋体" w:hAnsi="宋体" w:eastAsia="宋体" w:cs="宋体"/>
                <w:color w:val="auto"/>
                <w:sz w:val="21"/>
                <w:szCs w:val="21"/>
                <w:highlight w:val="none"/>
              </w:rPr>
            </w:pPr>
          </w:p>
        </w:tc>
      </w:tr>
      <w:tr w14:paraId="27E70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FCC22E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（一）搭设高度24m及以上的落地式钢管脚手架工程（包括采光井、电梯井脚手架）。</w:t>
            </w:r>
          </w:p>
        </w:tc>
        <w:tc>
          <w:tcPr>
            <w:tcW w:w="1038" w:type="dxa"/>
            <w:vAlign w:val="center"/>
          </w:tcPr>
          <w:p w14:paraId="7564A66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150A21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D685DE5">
            <w:pPr>
              <w:spacing w:line="276" w:lineRule="auto"/>
              <w:jc w:val="center"/>
              <w:rPr>
                <w:rFonts w:hint="eastAsia" w:ascii="宋体" w:hAnsi="宋体" w:eastAsia="宋体" w:cs="宋体"/>
                <w:color w:val="auto"/>
                <w:sz w:val="21"/>
                <w:szCs w:val="21"/>
                <w:highlight w:val="none"/>
              </w:rPr>
            </w:pPr>
          </w:p>
        </w:tc>
      </w:tr>
      <w:tr w14:paraId="085C9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48B2D7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（二）附着式升降脚手架工程。</w:t>
            </w:r>
          </w:p>
        </w:tc>
        <w:tc>
          <w:tcPr>
            <w:tcW w:w="1038" w:type="dxa"/>
            <w:vAlign w:val="center"/>
          </w:tcPr>
          <w:p w14:paraId="4A5B15D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23612E5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23AE47E">
            <w:pPr>
              <w:spacing w:line="276" w:lineRule="auto"/>
              <w:jc w:val="center"/>
              <w:rPr>
                <w:rFonts w:hint="eastAsia" w:ascii="宋体" w:hAnsi="宋体" w:eastAsia="宋体" w:cs="宋体"/>
                <w:color w:val="auto"/>
                <w:sz w:val="21"/>
                <w:szCs w:val="21"/>
                <w:highlight w:val="none"/>
              </w:rPr>
            </w:pPr>
          </w:p>
        </w:tc>
      </w:tr>
      <w:tr w14:paraId="27CAE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2B6436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（三）悬挑式脚手架工程。</w:t>
            </w:r>
          </w:p>
        </w:tc>
        <w:tc>
          <w:tcPr>
            <w:tcW w:w="1038" w:type="dxa"/>
            <w:vAlign w:val="center"/>
          </w:tcPr>
          <w:p w14:paraId="0545B12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DA9BEA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403907D">
            <w:pPr>
              <w:spacing w:line="276" w:lineRule="auto"/>
              <w:jc w:val="center"/>
              <w:rPr>
                <w:rFonts w:hint="eastAsia" w:ascii="宋体" w:hAnsi="宋体" w:eastAsia="宋体" w:cs="宋体"/>
                <w:color w:val="auto"/>
                <w:sz w:val="21"/>
                <w:szCs w:val="21"/>
                <w:highlight w:val="none"/>
              </w:rPr>
            </w:pPr>
          </w:p>
        </w:tc>
      </w:tr>
      <w:tr w14:paraId="73FA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F4DA87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（四）高处作业吊篮。</w:t>
            </w:r>
          </w:p>
        </w:tc>
        <w:tc>
          <w:tcPr>
            <w:tcW w:w="1038" w:type="dxa"/>
            <w:vAlign w:val="center"/>
          </w:tcPr>
          <w:p w14:paraId="5144A35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bookmarkStart w:id="618" w:name="OLE_LINK14"/>
            <w:r>
              <w:rPr>
                <w:rFonts w:hint="eastAsia" w:ascii="宋体" w:hAnsi="宋体" w:eastAsia="宋体" w:cs="宋体"/>
                <w:color w:val="auto"/>
                <w:sz w:val="21"/>
                <w:szCs w:val="21"/>
                <w:highlight w:val="none"/>
              </w:rPr>
              <w:t>√</w:t>
            </w:r>
            <w:bookmarkEnd w:id="618"/>
            <w:r>
              <w:rPr>
                <w:rFonts w:hint="eastAsia" w:ascii="宋体" w:hAnsi="宋体" w:eastAsia="宋体" w:cs="宋体"/>
                <w:color w:val="auto"/>
                <w:sz w:val="21"/>
                <w:szCs w:val="21"/>
                <w:highlight w:val="none"/>
              </w:rPr>
              <w:t xml:space="preserve"> )</w:t>
            </w:r>
          </w:p>
        </w:tc>
        <w:tc>
          <w:tcPr>
            <w:tcW w:w="1087" w:type="dxa"/>
            <w:vAlign w:val="center"/>
          </w:tcPr>
          <w:p w14:paraId="513C013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607CAC4">
            <w:pPr>
              <w:spacing w:line="276" w:lineRule="auto"/>
              <w:jc w:val="center"/>
              <w:rPr>
                <w:rFonts w:hint="eastAsia" w:ascii="宋体" w:hAnsi="宋体" w:eastAsia="宋体" w:cs="宋体"/>
                <w:color w:val="auto"/>
                <w:sz w:val="21"/>
                <w:szCs w:val="21"/>
                <w:highlight w:val="none"/>
              </w:rPr>
            </w:pPr>
          </w:p>
        </w:tc>
      </w:tr>
      <w:tr w14:paraId="3ED16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B18C058">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（五）卸料平台、操作平台工程。</w:t>
            </w:r>
          </w:p>
        </w:tc>
        <w:tc>
          <w:tcPr>
            <w:tcW w:w="1038" w:type="dxa"/>
            <w:vAlign w:val="center"/>
          </w:tcPr>
          <w:p w14:paraId="2F97EC4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250207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6F9F8FB">
            <w:pPr>
              <w:spacing w:line="276" w:lineRule="auto"/>
              <w:jc w:val="center"/>
              <w:rPr>
                <w:rFonts w:hint="eastAsia" w:ascii="宋体" w:hAnsi="宋体" w:eastAsia="宋体" w:cs="宋体"/>
                <w:color w:val="auto"/>
                <w:sz w:val="21"/>
                <w:szCs w:val="21"/>
                <w:highlight w:val="none"/>
              </w:rPr>
            </w:pPr>
          </w:p>
        </w:tc>
      </w:tr>
      <w:tr w14:paraId="4EF9E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3276761">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（六）异型脚手架工程。</w:t>
            </w:r>
          </w:p>
        </w:tc>
        <w:tc>
          <w:tcPr>
            <w:tcW w:w="1038" w:type="dxa"/>
            <w:vAlign w:val="center"/>
          </w:tcPr>
          <w:p w14:paraId="19B5B1C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A7117D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FABDAEA">
            <w:pPr>
              <w:spacing w:line="276" w:lineRule="auto"/>
              <w:jc w:val="center"/>
              <w:rPr>
                <w:rFonts w:hint="eastAsia" w:ascii="宋体" w:hAnsi="宋体" w:eastAsia="宋体" w:cs="宋体"/>
                <w:color w:val="auto"/>
                <w:sz w:val="21"/>
                <w:szCs w:val="21"/>
                <w:highlight w:val="none"/>
              </w:rPr>
            </w:pPr>
          </w:p>
        </w:tc>
      </w:tr>
      <w:tr w14:paraId="30ED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51E93FA">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五、拆除工程</w:t>
            </w:r>
          </w:p>
        </w:tc>
        <w:tc>
          <w:tcPr>
            <w:tcW w:w="1038" w:type="dxa"/>
            <w:vAlign w:val="center"/>
          </w:tcPr>
          <w:p w14:paraId="611FD12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CA6F41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BEF2864">
            <w:pPr>
              <w:spacing w:line="276" w:lineRule="auto"/>
              <w:jc w:val="center"/>
              <w:rPr>
                <w:rFonts w:hint="eastAsia" w:ascii="宋体" w:hAnsi="宋体" w:eastAsia="宋体" w:cs="宋体"/>
                <w:color w:val="auto"/>
                <w:sz w:val="21"/>
                <w:szCs w:val="21"/>
                <w:highlight w:val="none"/>
              </w:rPr>
            </w:pPr>
          </w:p>
        </w:tc>
      </w:tr>
      <w:tr w14:paraId="7218F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D5C4822">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可能影响行人、交通、电力设施、通讯设施或其它建、构筑物安全的拆除工程。</w:t>
            </w:r>
          </w:p>
        </w:tc>
        <w:tc>
          <w:tcPr>
            <w:tcW w:w="1038" w:type="dxa"/>
            <w:vAlign w:val="center"/>
          </w:tcPr>
          <w:p w14:paraId="7847F4A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B817C4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1890F33">
            <w:pPr>
              <w:spacing w:line="276" w:lineRule="auto"/>
              <w:jc w:val="center"/>
              <w:rPr>
                <w:rFonts w:hint="eastAsia" w:ascii="宋体" w:hAnsi="宋体" w:eastAsia="宋体" w:cs="宋体"/>
                <w:color w:val="auto"/>
                <w:sz w:val="21"/>
                <w:szCs w:val="21"/>
                <w:highlight w:val="none"/>
              </w:rPr>
            </w:pPr>
          </w:p>
        </w:tc>
      </w:tr>
      <w:tr w14:paraId="0932D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1DF359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六、暗挖工程</w:t>
            </w:r>
          </w:p>
        </w:tc>
        <w:tc>
          <w:tcPr>
            <w:tcW w:w="1038" w:type="dxa"/>
            <w:vAlign w:val="center"/>
          </w:tcPr>
          <w:p w14:paraId="2B17FA5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1EB813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2C9223A">
            <w:pPr>
              <w:spacing w:line="276" w:lineRule="auto"/>
              <w:jc w:val="center"/>
              <w:rPr>
                <w:rFonts w:hint="eastAsia" w:ascii="宋体" w:hAnsi="宋体" w:eastAsia="宋体" w:cs="宋体"/>
                <w:color w:val="auto"/>
                <w:sz w:val="21"/>
                <w:szCs w:val="21"/>
                <w:highlight w:val="none"/>
              </w:rPr>
            </w:pPr>
          </w:p>
        </w:tc>
      </w:tr>
      <w:tr w14:paraId="49234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FB8797F">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采用矿山法、盾构法、顶管法施工的隧道、洞室工程。</w:t>
            </w:r>
          </w:p>
        </w:tc>
        <w:tc>
          <w:tcPr>
            <w:tcW w:w="1038" w:type="dxa"/>
            <w:vAlign w:val="center"/>
          </w:tcPr>
          <w:p w14:paraId="6319EE9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4E27DE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004F477">
            <w:pPr>
              <w:spacing w:line="276" w:lineRule="auto"/>
              <w:jc w:val="center"/>
              <w:rPr>
                <w:rFonts w:hint="eastAsia" w:ascii="宋体" w:hAnsi="宋体" w:eastAsia="宋体" w:cs="宋体"/>
                <w:color w:val="auto"/>
                <w:sz w:val="21"/>
                <w:szCs w:val="21"/>
                <w:highlight w:val="none"/>
              </w:rPr>
            </w:pPr>
          </w:p>
        </w:tc>
      </w:tr>
      <w:tr w14:paraId="32D28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8B2C82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七、其它</w:t>
            </w:r>
          </w:p>
        </w:tc>
        <w:tc>
          <w:tcPr>
            <w:tcW w:w="1038" w:type="dxa"/>
            <w:vAlign w:val="center"/>
          </w:tcPr>
          <w:p w14:paraId="2DB6688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9D3BD8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B1AEBBD">
            <w:pPr>
              <w:spacing w:line="276" w:lineRule="auto"/>
              <w:jc w:val="center"/>
              <w:rPr>
                <w:rFonts w:hint="eastAsia" w:ascii="宋体" w:hAnsi="宋体" w:eastAsia="宋体" w:cs="宋体"/>
                <w:color w:val="auto"/>
                <w:sz w:val="21"/>
                <w:szCs w:val="21"/>
                <w:highlight w:val="none"/>
              </w:rPr>
            </w:pPr>
          </w:p>
        </w:tc>
      </w:tr>
      <w:tr w14:paraId="47BF7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1F6A26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（一）建筑幕墙安装工程。</w:t>
            </w:r>
          </w:p>
        </w:tc>
        <w:tc>
          <w:tcPr>
            <w:tcW w:w="1038" w:type="dxa"/>
            <w:vAlign w:val="center"/>
          </w:tcPr>
          <w:p w14:paraId="7DC13D1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952200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EA3AA0C">
            <w:pPr>
              <w:spacing w:line="276" w:lineRule="auto"/>
              <w:jc w:val="center"/>
              <w:rPr>
                <w:rFonts w:hint="eastAsia" w:ascii="宋体" w:hAnsi="宋体" w:eastAsia="宋体" w:cs="宋体"/>
                <w:color w:val="auto"/>
                <w:sz w:val="21"/>
                <w:szCs w:val="21"/>
                <w:highlight w:val="none"/>
              </w:rPr>
            </w:pPr>
          </w:p>
        </w:tc>
      </w:tr>
      <w:tr w14:paraId="52E05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67D2DA6">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（二）钢结构、网架和索膜结构安装工程。</w:t>
            </w:r>
          </w:p>
        </w:tc>
        <w:tc>
          <w:tcPr>
            <w:tcW w:w="1038" w:type="dxa"/>
            <w:vAlign w:val="center"/>
          </w:tcPr>
          <w:p w14:paraId="5B4CF5E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283368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ED09490">
            <w:pPr>
              <w:spacing w:line="276" w:lineRule="auto"/>
              <w:jc w:val="center"/>
              <w:rPr>
                <w:rFonts w:hint="eastAsia" w:ascii="宋体" w:hAnsi="宋体" w:eastAsia="宋体" w:cs="宋体"/>
                <w:color w:val="auto"/>
                <w:sz w:val="21"/>
                <w:szCs w:val="21"/>
                <w:highlight w:val="none"/>
              </w:rPr>
            </w:pPr>
          </w:p>
        </w:tc>
      </w:tr>
      <w:tr w14:paraId="77B61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30CB92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（三）人工挖孔桩工程。</w:t>
            </w:r>
          </w:p>
        </w:tc>
        <w:tc>
          <w:tcPr>
            <w:tcW w:w="1038" w:type="dxa"/>
            <w:vAlign w:val="center"/>
          </w:tcPr>
          <w:p w14:paraId="1A27AC7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F110E6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C6271D7">
            <w:pPr>
              <w:spacing w:line="276" w:lineRule="auto"/>
              <w:jc w:val="center"/>
              <w:rPr>
                <w:rFonts w:hint="eastAsia" w:ascii="宋体" w:hAnsi="宋体" w:eastAsia="宋体" w:cs="宋体"/>
                <w:color w:val="auto"/>
                <w:sz w:val="21"/>
                <w:szCs w:val="21"/>
                <w:highlight w:val="none"/>
              </w:rPr>
            </w:pPr>
          </w:p>
        </w:tc>
      </w:tr>
      <w:tr w14:paraId="2F36F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FDC867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（四）水下作业工程。</w:t>
            </w:r>
          </w:p>
        </w:tc>
        <w:tc>
          <w:tcPr>
            <w:tcW w:w="1038" w:type="dxa"/>
            <w:vAlign w:val="center"/>
          </w:tcPr>
          <w:p w14:paraId="6A1EC43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95A550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97D190D">
            <w:pPr>
              <w:spacing w:line="276" w:lineRule="auto"/>
              <w:jc w:val="center"/>
              <w:rPr>
                <w:rFonts w:hint="eastAsia" w:ascii="宋体" w:hAnsi="宋体" w:eastAsia="宋体" w:cs="宋体"/>
                <w:color w:val="auto"/>
                <w:sz w:val="21"/>
                <w:szCs w:val="21"/>
                <w:highlight w:val="none"/>
              </w:rPr>
            </w:pPr>
          </w:p>
        </w:tc>
      </w:tr>
      <w:tr w14:paraId="63D31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BED4FA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（五）装配式建筑混凝土预制构件安装工程。</w:t>
            </w:r>
          </w:p>
        </w:tc>
        <w:tc>
          <w:tcPr>
            <w:tcW w:w="1038" w:type="dxa"/>
            <w:vAlign w:val="center"/>
          </w:tcPr>
          <w:p w14:paraId="0A152D8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6980840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257227F">
            <w:pPr>
              <w:spacing w:line="276" w:lineRule="auto"/>
              <w:jc w:val="center"/>
              <w:rPr>
                <w:rFonts w:hint="eastAsia" w:ascii="宋体" w:hAnsi="宋体" w:eastAsia="宋体" w:cs="宋体"/>
                <w:color w:val="auto"/>
                <w:sz w:val="21"/>
                <w:szCs w:val="21"/>
                <w:highlight w:val="none"/>
              </w:rPr>
            </w:pPr>
          </w:p>
        </w:tc>
      </w:tr>
      <w:tr w14:paraId="0508E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50AAD0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（六）采用新技术、新工艺、新材料、新设备可能影响工程施工安全，尚无国家、行业及地方技术标准的分部分项工程。</w:t>
            </w:r>
          </w:p>
        </w:tc>
        <w:tc>
          <w:tcPr>
            <w:tcW w:w="1038" w:type="dxa"/>
            <w:vAlign w:val="center"/>
          </w:tcPr>
          <w:p w14:paraId="759D0E6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53F7BD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F7E8D8C">
            <w:pPr>
              <w:spacing w:line="276" w:lineRule="auto"/>
              <w:jc w:val="center"/>
              <w:rPr>
                <w:rFonts w:hint="eastAsia" w:ascii="宋体" w:hAnsi="宋体" w:eastAsia="宋体" w:cs="宋体"/>
                <w:color w:val="auto"/>
                <w:sz w:val="21"/>
                <w:szCs w:val="21"/>
                <w:highlight w:val="none"/>
              </w:rPr>
            </w:pPr>
          </w:p>
        </w:tc>
      </w:tr>
      <w:tr w14:paraId="70179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vAlign w:val="center"/>
          </w:tcPr>
          <w:p w14:paraId="42AAF3E3">
            <w:pPr>
              <w:widowControl/>
              <w:spacing w:line="276" w:lineRule="auto"/>
              <w:rPr>
                <w:rFonts w:hint="eastAsia" w:ascii="宋体" w:hAnsi="宋体" w:eastAsia="宋体" w:cs="宋体"/>
                <w:b/>
                <w:color w:val="auto"/>
                <w:sz w:val="21"/>
                <w:szCs w:val="21"/>
                <w:highlight w:val="none"/>
              </w:rPr>
            </w:pPr>
            <w:r>
              <w:rPr>
                <w:rFonts w:hint="eastAsia" w:ascii="宋体" w:hAnsi="宋体" w:eastAsia="宋体" w:cs="宋体"/>
                <w:b/>
                <w:bCs/>
                <w:color w:val="auto"/>
                <w:sz w:val="21"/>
                <w:szCs w:val="21"/>
                <w:highlight w:val="none"/>
              </w:rPr>
              <w:t>二、超过一定规模的危险性较大的分部分项工程清单</w:t>
            </w:r>
          </w:p>
        </w:tc>
        <w:tc>
          <w:tcPr>
            <w:tcW w:w="1038" w:type="dxa"/>
            <w:vAlign w:val="center"/>
          </w:tcPr>
          <w:p w14:paraId="335B253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AB0132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FDB0339">
            <w:pPr>
              <w:spacing w:line="276" w:lineRule="auto"/>
              <w:jc w:val="center"/>
              <w:rPr>
                <w:rFonts w:hint="eastAsia" w:ascii="宋体" w:hAnsi="宋体" w:eastAsia="宋体" w:cs="宋体"/>
                <w:color w:val="auto"/>
                <w:sz w:val="21"/>
                <w:szCs w:val="21"/>
                <w:highlight w:val="none"/>
              </w:rPr>
            </w:pPr>
          </w:p>
        </w:tc>
      </w:tr>
      <w:tr w14:paraId="7A30C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3DF4E02">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一、深基坑工程</w:t>
            </w:r>
          </w:p>
        </w:tc>
        <w:tc>
          <w:tcPr>
            <w:tcW w:w="1038" w:type="dxa"/>
            <w:vAlign w:val="center"/>
          </w:tcPr>
          <w:p w14:paraId="38C0837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4C800C7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76A75A9">
            <w:pPr>
              <w:spacing w:line="276" w:lineRule="auto"/>
              <w:jc w:val="center"/>
              <w:rPr>
                <w:rFonts w:hint="eastAsia" w:ascii="宋体" w:hAnsi="宋体" w:eastAsia="宋体" w:cs="宋体"/>
                <w:color w:val="auto"/>
                <w:sz w:val="21"/>
                <w:szCs w:val="21"/>
                <w:highlight w:val="none"/>
              </w:rPr>
            </w:pPr>
          </w:p>
        </w:tc>
      </w:tr>
      <w:tr w14:paraId="2A4B5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6135" w:type="dxa"/>
          </w:tcPr>
          <w:p w14:paraId="3C05BE06">
            <w:pPr>
              <w:spacing w:line="276" w:lineRule="auto"/>
              <w:ind w:firstLine="48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开挖深度超过5m（含5m）的基坑（槽）的土方开挖、支护、降水工程。</w:t>
            </w:r>
          </w:p>
        </w:tc>
        <w:tc>
          <w:tcPr>
            <w:tcW w:w="1038" w:type="dxa"/>
            <w:vAlign w:val="center"/>
          </w:tcPr>
          <w:p w14:paraId="4357CEB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1AA1F07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193B31E">
            <w:pPr>
              <w:spacing w:line="276" w:lineRule="auto"/>
              <w:ind w:firstLine="480"/>
              <w:jc w:val="center"/>
              <w:rPr>
                <w:rFonts w:hint="eastAsia" w:ascii="宋体" w:hAnsi="宋体" w:eastAsia="宋体" w:cs="宋体"/>
                <w:color w:val="auto"/>
                <w:sz w:val="21"/>
                <w:szCs w:val="21"/>
                <w:highlight w:val="none"/>
              </w:rPr>
            </w:pPr>
          </w:p>
        </w:tc>
      </w:tr>
      <w:tr w14:paraId="5427A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7AA9296">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二、模板工程及支撑体系</w:t>
            </w:r>
          </w:p>
        </w:tc>
        <w:tc>
          <w:tcPr>
            <w:tcW w:w="1038" w:type="dxa"/>
            <w:vAlign w:val="center"/>
          </w:tcPr>
          <w:p w14:paraId="55C644C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324980A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8D951E5">
            <w:pPr>
              <w:spacing w:line="276" w:lineRule="auto"/>
              <w:ind w:firstLine="480"/>
              <w:jc w:val="center"/>
              <w:rPr>
                <w:rFonts w:hint="eastAsia" w:ascii="宋体" w:hAnsi="宋体" w:eastAsia="宋体" w:cs="宋体"/>
                <w:color w:val="auto"/>
                <w:sz w:val="21"/>
                <w:szCs w:val="21"/>
                <w:highlight w:val="none"/>
              </w:rPr>
            </w:pPr>
          </w:p>
        </w:tc>
      </w:tr>
      <w:tr w14:paraId="6232B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01CA44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（一）各类工具式模板工程：包括滑模、爬模、飞模、隧道模等工程。</w:t>
            </w:r>
          </w:p>
        </w:tc>
        <w:tc>
          <w:tcPr>
            <w:tcW w:w="1038" w:type="dxa"/>
            <w:vAlign w:val="center"/>
          </w:tcPr>
          <w:p w14:paraId="35D6969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45C59E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5F0CE99">
            <w:pPr>
              <w:spacing w:line="276" w:lineRule="auto"/>
              <w:ind w:firstLine="480"/>
              <w:jc w:val="center"/>
              <w:rPr>
                <w:rFonts w:hint="eastAsia" w:ascii="宋体" w:hAnsi="宋体" w:eastAsia="宋体" w:cs="宋体"/>
                <w:color w:val="auto"/>
                <w:sz w:val="21"/>
                <w:szCs w:val="21"/>
                <w:highlight w:val="none"/>
              </w:rPr>
            </w:pPr>
          </w:p>
        </w:tc>
      </w:tr>
      <w:tr w14:paraId="3CA59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E9C7E1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（二）混凝土模板支撑工程：搭设高度8m及以上，或搭设跨度18m及以上，或施工总荷载（设计值）15kN/m2及以上，或集中线荷载（设计值）20kN/m及以上。</w:t>
            </w:r>
          </w:p>
        </w:tc>
        <w:tc>
          <w:tcPr>
            <w:tcW w:w="1038" w:type="dxa"/>
            <w:vAlign w:val="center"/>
          </w:tcPr>
          <w:p w14:paraId="649D1B9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A38E37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37A79F5">
            <w:pPr>
              <w:spacing w:line="276" w:lineRule="auto"/>
              <w:jc w:val="center"/>
              <w:rPr>
                <w:rFonts w:hint="eastAsia" w:ascii="宋体" w:hAnsi="宋体" w:eastAsia="宋体" w:cs="宋体"/>
                <w:color w:val="auto"/>
                <w:sz w:val="21"/>
                <w:szCs w:val="21"/>
                <w:highlight w:val="none"/>
              </w:rPr>
            </w:pPr>
          </w:p>
        </w:tc>
      </w:tr>
      <w:tr w14:paraId="5B5F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8485BF8">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（三）承重支撑体系：用于钢结构安装等满堂支撑体系，承受单点集中荷载7kN及以上。</w:t>
            </w:r>
          </w:p>
        </w:tc>
        <w:tc>
          <w:tcPr>
            <w:tcW w:w="1038" w:type="dxa"/>
            <w:vAlign w:val="center"/>
          </w:tcPr>
          <w:p w14:paraId="4AFD1BD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B223D1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B8F1685">
            <w:pPr>
              <w:spacing w:line="276" w:lineRule="auto"/>
              <w:jc w:val="center"/>
              <w:rPr>
                <w:rFonts w:hint="eastAsia" w:ascii="宋体" w:hAnsi="宋体" w:eastAsia="宋体" w:cs="宋体"/>
                <w:color w:val="auto"/>
                <w:sz w:val="21"/>
                <w:szCs w:val="21"/>
                <w:highlight w:val="none"/>
              </w:rPr>
            </w:pPr>
          </w:p>
        </w:tc>
      </w:tr>
      <w:tr w14:paraId="66B99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DB309BA">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三、起重吊装及起重机械安装拆卸工程</w:t>
            </w:r>
          </w:p>
        </w:tc>
        <w:tc>
          <w:tcPr>
            <w:tcW w:w="1038" w:type="dxa"/>
            <w:vAlign w:val="center"/>
          </w:tcPr>
          <w:p w14:paraId="58891A2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EBC640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C56BDBB">
            <w:pPr>
              <w:spacing w:line="276" w:lineRule="auto"/>
              <w:jc w:val="center"/>
              <w:rPr>
                <w:rFonts w:hint="eastAsia" w:ascii="宋体" w:hAnsi="宋体" w:eastAsia="宋体" w:cs="宋体"/>
                <w:color w:val="auto"/>
                <w:sz w:val="21"/>
                <w:szCs w:val="21"/>
                <w:highlight w:val="none"/>
              </w:rPr>
            </w:pPr>
          </w:p>
        </w:tc>
      </w:tr>
      <w:tr w14:paraId="4BF69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7EBD826">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（一）采用非常规起重设备、方法，且单件起吊重量在100kN及以上的起重吊装工程。</w:t>
            </w:r>
          </w:p>
        </w:tc>
        <w:tc>
          <w:tcPr>
            <w:tcW w:w="1038" w:type="dxa"/>
            <w:vAlign w:val="center"/>
          </w:tcPr>
          <w:p w14:paraId="2DD022F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4DA2CA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0EF0097">
            <w:pPr>
              <w:spacing w:line="276" w:lineRule="auto"/>
              <w:jc w:val="center"/>
              <w:rPr>
                <w:rFonts w:hint="eastAsia" w:ascii="宋体" w:hAnsi="宋体" w:eastAsia="宋体" w:cs="宋体"/>
                <w:color w:val="auto"/>
                <w:sz w:val="21"/>
                <w:szCs w:val="21"/>
                <w:highlight w:val="none"/>
              </w:rPr>
            </w:pPr>
          </w:p>
        </w:tc>
      </w:tr>
      <w:tr w14:paraId="130C2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DAAA3D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（二）起重量300kN及以上，或搭设总高度200m及以上，或搭设基础标高在200m及以上的起重机械安装和拆卸工程。</w:t>
            </w:r>
          </w:p>
        </w:tc>
        <w:tc>
          <w:tcPr>
            <w:tcW w:w="1038" w:type="dxa"/>
            <w:vAlign w:val="center"/>
          </w:tcPr>
          <w:p w14:paraId="265C970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91A76D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74D7EF5">
            <w:pPr>
              <w:spacing w:line="276" w:lineRule="auto"/>
              <w:jc w:val="center"/>
              <w:rPr>
                <w:rFonts w:hint="eastAsia" w:ascii="宋体" w:hAnsi="宋体" w:eastAsia="宋体" w:cs="宋体"/>
                <w:color w:val="auto"/>
                <w:sz w:val="21"/>
                <w:szCs w:val="21"/>
                <w:highlight w:val="none"/>
              </w:rPr>
            </w:pPr>
          </w:p>
        </w:tc>
      </w:tr>
      <w:tr w14:paraId="3FE22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4F1D8C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四、脚手架工程</w:t>
            </w:r>
          </w:p>
        </w:tc>
        <w:tc>
          <w:tcPr>
            <w:tcW w:w="1038" w:type="dxa"/>
            <w:vAlign w:val="center"/>
          </w:tcPr>
          <w:p w14:paraId="5D15898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E4AE8D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AD2B122">
            <w:pPr>
              <w:spacing w:line="276" w:lineRule="auto"/>
              <w:jc w:val="center"/>
              <w:rPr>
                <w:rFonts w:hint="eastAsia" w:ascii="宋体" w:hAnsi="宋体" w:eastAsia="宋体" w:cs="宋体"/>
                <w:color w:val="auto"/>
                <w:sz w:val="21"/>
                <w:szCs w:val="21"/>
                <w:highlight w:val="none"/>
              </w:rPr>
            </w:pPr>
          </w:p>
        </w:tc>
      </w:tr>
      <w:tr w14:paraId="00A65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309EA3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（一）搭设高度50m及以上的落地式钢管脚手架工程。</w:t>
            </w:r>
          </w:p>
        </w:tc>
        <w:tc>
          <w:tcPr>
            <w:tcW w:w="1038" w:type="dxa"/>
            <w:vAlign w:val="center"/>
          </w:tcPr>
          <w:p w14:paraId="0E6B347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1C9B0E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1951DD4">
            <w:pPr>
              <w:spacing w:line="276" w:lineRule="auto"/>
              <w:jc w:val="center"/>
              <w:rPr>
                <w:rFonts w:hint="eastAsia" w:ascii="宋体" w:hAnsi="宋体" w:eastAsia="宋体" w:cs="宋体"/>
                <w:color w:val="auto"/>
                <w:sz w:val="21"/>
                <w:szCs w:val="21"/>
                <w:highlight w:val="none"/>
              </w:rPr>
            </w:pPr>
          </w:p>
        </w:tc>
      </w:tr>
      <w:tr w14:paraId="459AA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8136082">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（二）提升高度在150m及以上的附着式升降脚手架工程或附着式升降操作平台工程。</w:t>
            </w:r>
          </w:p>
        </w:tc>
        <w:tc>
          <w:tcPr>
            <w:tcW w:w="1038" w:type="dxa"/>
            <w:vAlign w:val="center"/>
          </w:tcPr>
          <w:p w14:paraId="6A6A1F1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438703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436CE72">
            <w:pPr>
              <w:spacing w:line="276" w:lineRule="auto"/>
              <w:jc w:val="center"/>
              <w:rPr>
                <w:rFonts w:hint="eastAsia" w:ascii="宋体" w:hAnsi="宋体" w:eastAsia="宋体" w:cs="宋体"/>
                <w:color w:val="auto"/>
                <w:sz w:val="21"/>
                <w:szCs w:val="21"/>
                <w:highlight w:val="none"/>
              </w:rPr>
            </w:pPr>
          </w:p>
        </w:tc>
      </w:tr>
      <w:tr w14:paraId="16A30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A524588">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（三）分段架体搭设高度20m及以上的悬挑式脚手架工程。</w:t>
            </w:r>
          </w:p>
        </w:tc>
        <w:tc>
          <w:tcPr>
            <w:tcW w:w="1038" w:type="dxa"/>
            <w:vAlign w:val="center"/>
          </w:tcPr>
          <w:p w14:paraId="2142496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706A37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4BA357F">
            <w:pPr>
              <w:spacing w:line="276" w:lineRule="auto"/>
              <w:jc w:val="center"/>
              <w:rPr>
                <w:rFonts w:hint="eastAsia" w:ascii="宋体" w:hAnsi="宋体" w:eastAsia="宋体" w:cs="宋体"/>
                <w:color w:val="auto"/>
                <w:sz w:val="21"/>
                <w:szCs w:val="21"/>
                <w:highlight w:val="none"/>
              </w:rPr>
            </w:pPr>
          </w:p>
        </w:tc>
      </w:tr>
      <w:tr w14:paraId="4E2EC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7A1EF1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五、拆除工程</w:t>
            </w:r>
          </w:p>
        </w:tc>
        <w:tc>
          <w:tcPr>
            <w:tcW w:w="1038" w:type="dxa"/>
            <w:vAlign w:val="center"/>
          </w:tcPr>
          <w:p w14:paraId="6A5EE0E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4E6248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C143480">
            <w:pPr>
              <w:spacing w:line="276" w:lineRule="auto"/>
              <w:jc w:val="center"/>
              <w:rPr>
                <w:rFonts w:hint="eastAsia" w:ascii="宋体" w:hAnsi="宋体" w:eastAsia="宋体" w:cs="宋体"/>
                <w:color w:val="auto"/>
                <w:sz w:val="21"/>
                <w:szCs w:val="21"/>
                <w:highlight w:val="none"/>
              </w:rPr>
            </w:pPr>
          </w:p>
        </w:tc>
      </w:tr>
      <w:tr w14:paraId="14464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3179D5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（一）码头、桥梁、高架、烟囱、水塔或拆除中容易引起有毒有害气（液）体或粉尘扩散、易燃易爆事故发生的特殊建、构筑物的拆除工程。</w:t>
            </w:r>
          </w:p>
        </w:tc>
        <w:tc>
          <w:tcPr>
            <w:tcW w:w="1038" w:type="dxa"/>
            <w:vAlign w:val="center"/>
          </w:tcPr>
          <w:p w14:paraId="6BFD277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9DF037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B9528AD">
            <w:pPr>
              <w:spacing w:line="276" w:lineRule="auto"/>
              <w:jc w:val="center"/>
              <w:rPr>
                <w:rFonts w:hint="eastAsia" w:ascii="宋体" w:hAnsi="宋体" w:eastAsia="宋体" w:cs="宋体"/>
                <w:color w:val="auto"/>
                <w:sz w:val="21"/>
                <w:szCs w:val="21"/>
                <w:highlight w:val="none"/>
              </w:rPr>
            </w:pPr>
          </w:p>
        </w:tc>
      </w:tr>
      <w:tr w14:paraId="4451A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745B31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（二）文物保护建筑、优秀历史建筑或历史文化风貌区影响范围内的拆除工程。</w:t>
            </w:r>
          </w:p>
        </w:tc>
        <w:tc>
          <w:tcPr>
            <w:tcW w:w="1038" w:type="dxa"/>
            <w:vAlign w:val="center"/>
          </w:tcPr>
          <w:p w14:paraId="77F574C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E8E62F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7787C9E">
            <w:pPr>
              <w:spacing w:line="276" w:lineRule="auto"/>
              <w:jc w:val="center"/>
              <w:rPr>
                <w:rFonts w:hint="eastAsia" w:ascii="宋体" w:hAnsi="宋体" w:eastAsia="宋体" w:cs="宋体"/>
                <w:color w:val="auto"/>
                <w:sz w:val="21"/>
                <w:szCs w:val="21"/>
                <w:highlight w:val="none"/>
              </w:rPr>
            </w:pPr>
          </w:p>
        </w:tc>
      </w:tr>
      <w:tr w14:paraId="4CE56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C1F539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六、暗挖工程</w:t>
            </w:r>
          </w:p>
        </w:tc>
        <w:tc>
          <w:tcPr>
            <w:tcW w:w="1038" w:type="dxa"/>
            <w:vAlign w:val="center"/>
          </w:tcPr>
          <w:p w14:paraId="28D623E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A2BB47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9B76D35">
            <w:pPr>
              <w:spacing w:line="276" w:lineRule="auto"/>
              <w:jc w:val="center"/>
              <w:rPr>
                <w:rFonts w:hint="eastAsia" w:ascii="宋体" w:hAnsi="宋体" w:eastAsia="宋体" w:cs="宋体"/>
                <w:color w:val="auto"/>
                <w:sz w:val="21"/>
                <w:szCs w:val="21"/>
                <w:highlight w:val="none"/>
              </w:rPr>
            </w:pPr>
          </w:p>
        </w:tc>
      </w:tr>
      <w:tr w14:paraId="310F7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8F86A7A">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采用矿山法、盾构法、顶管法施工的隧道、洞室工程。</w:t>
            </w:r>
          </w:p>
        </w:tc>
        <w:tc>
          <w:tcPr>
            <w:tcW w:w="1038" w:type="dxa"/>
            <w:vAlign w:val="center"/>
          </w:tcPr>
          <w:p w14:paraId="0D198EE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88B2F4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EA23D1D">
            <w:pPr>
              <w:spacing w:line="276" w:lineRule="auto"/>
              <w:jc w:val="center"/>
              <w:rPr>
                <w:rFonts w:hint="eastAsia" w:ascii="宋体" w:hAnsi="宋体" w:eastAsia="宋体" w:cs="宋体"/>
                <w:color w:val="auto"/>
                <w:sz w:val="21"/>
                <w:szCs w:val="21"/>
                <w:highlight w:val="none"/>
              </w:rPr>
            </w:pPr>
          </w:p>
        </w:tc>
      </w:tr>
      <w:tr w14:paraId="4FE28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A80E66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七、其它</w:t>
            </w:r>
          </w:p>
        </w:tc>
        <w:tc>
          <w:tcPr>
            <w:tcW w:w="1038" w:type="dxa"/>
            <w:vAlign w:val="center"/>
          </w:tcPr>
          <w:p w14:paraId="7E12D18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2FD346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6CF75AF">
            <w:pPr>
              <w:spacing w:line="276" w:lineRule="auto"/>
              <w:jc w:val="center"/>
              <w:rPr>
                <w:rFonts w:hint="eastAsia" w:ascii="宋体" w:hAnsi="宋体" w:eastAsia="宋体" w:cs="宋体"/>
                <w:color w:val="auto"/>
                <w:sz w:val="21"/>
                <w:szCs w:val="21"/>
                <w:highlight w:val="none"/>
              </w:rPr>
            </w:pPr>
          </w:p>
        </w:tc>
      </w:tr>
      <w:tr w14:paraId="59A01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10E6792">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（一）施工高度50m及以上的建筑幕墙安装工程。</w:t>
            </w:r>
          </w:p>
        </w:tc>
        <w:tc>
          <w:tcPr>
            <w:tcW w:w="1038" w:type="dxa"/>
            <w:vAlign w:val="center"/>
          </w:tcPr>
          <w:p w14:paraId="60A81D1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C71A98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F820254">
            <w:pPr>
              <w:spacing w:line="276" w:lineRule="auto"/>
              <w:jc w:val="center"/>
              <w:rPr>
                <w:rFonts w:hint="eastAsia" w:ascii="宋体" w:hAnsi="宋体" w:eastAsia="宋体" w:cs="宋体"/>
                <w:color w:val="auto"/>
                <w:sz w:val="21"/>
                <w:szCs w:val="21"/>
                <w:highlight w:val="none"/>
              </w:rPr>
            </w:pPr>
          </w:p>
        </w:tc>
      </w:tr>
      <w:tr w14:paraId="4DCAD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DF6543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（二）跨度36m及以上的钢结构安装工程，或跨度60m及以上的网架和索膜结构安装工程。</w:t>
            </w:r>
          </w:p>
        </w:tc>
        <w:tc>
          <w:tcPr>
            <w:tcW w:w="1038" w:type="dxa"/>
            <w:vAlign w:val="center"/>
          </w:tcPr>
          <w:p w14:paraId="1E09AE4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46EB93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6C48FBB">
            <w:pPr>
              <w:spacing w:line="276" w:lineRule="auto"/>
              <w:jc w:val="center"/>
              <w:rPr>
                <w:rFonts w:hint="eastAsia" w:ascii="宋体" w:hAnsi="宋体" w:eastAsia="宋体" w:cs="宋体"/>
                <w:color w:val="auto"/>
                <w:sz w:val="21"/>
                <w:szCs w:val="21"/>
                <w:highlight w:val="none"/>
              </w:rPr>
            </w:pPr>
          </w:p>
        </w:tc>
      </w:tr>
      <w:tr w14:paraId="2A2BD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8F9481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（三）开挖深度16m及以上的人工挖孔桩工程。</w:t>
            </w:r>
          </w:p>
        </w:tc>
        <w:tc>
          <w:tcPr>
            <w:tcW w:w="1038" w:type="dxa"/>
            <w:vAlign w:val="center"/>
          </w:tcPr>
          <w:p w14:paraId="0E5090C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3CEC8B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EF78EBD">
            <w:pPr>
              <w:spacing w:line="276" w:lineRule="auto"/>
              <w:jc w:val="center"/>
              <w:rPr>
                <w:rFonts w:hint="eastAsia" w:ascii="宋体" w:hAnsi="宋体" w:eastAsia="宋体" w:cs="宋体"/>
                <w:color w:val="auto"/>
                <w:sz w:val="21"/>
                <w:szCs w:val="21"/>
                <w:highlight w:val="none"/>
              </w:rPr>
            </w:pPr>
          </w:p>
        </w:tc>
      </w:tr>
      <w:tr w14:paraId="0BE5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FB9CD3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（四）水下作业工程。</w:t>
            </w:r>
          </w:p>
        </w:tc>
        <w:tc>
          <w:tcPr>
            <w:tcW w:w="1038" w:type="dxa"/>
            <w:vAlign w:val="center"/>
          </w:tcPr>
          <w:p w14:paraId="4603953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27F78B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F466D8E">
            <w:pPr>
              <w:spacing w:line="276" w:lineRule="auto"/>
              <w:jc w:val="center"/>
              <w:rPr>
                <w:rFonts w:hint="eastAsia" w:ascii="宋体" w:hAnsi="宋体" w:eastAsia="宋体" w:cs="宋体"/>
                <w:color w:val="auto"/>
                <w:sz w:val="21"/>
                <w:szCs w:val="21"/>
                <w:highlight w:val="none"/>
              </w:rPr>
            </w:pPr>
          </w:p>
        </w:tc>
      </w:tr>
      <w:tr w14:paraId="31FDB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3D51FD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（五）重量1000kN及以上的大型结构整体顶升、平移、转体等施工工艺。</w:t>
            </w:r>
          </w:p>
        </w:tc>
        <w:tc>
          <w:tcPr>
            <w:tcW w:w="1038" w:type="dxa"/>
            <w:vAlign w:val="center"/>
          </w:tcPr>
          <w:p w14:paraId="2232220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850AB4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9C8A8BA">
            <w:pPr>
              <w:spacing w:line="276" w:lineRule="auto"/>
              <w:jc w:val="center"/>
              <w:rPr>
                <w:rFonts w:hint="eastAsia" w:ascii="宋体" w:hAnsi="宋体" w:eastAsia="宋体" w:cs="宋体"/>
                <w:color w:val="auto"/>
                <w:sz w:val="21"/>
                <w:szCs w:val="21"/>
                <w:highlight w:val="none"/>
              </w:rPr>
            </w:pPr>
          </w:p>
        </w:tc>
      </w:tr>
      <w:tr w14:paraId="7E742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D36FEB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（六）采用新技术、新工艺、新材料、新设备可能影响工程施工安全，尚无国家、行业及地方技术标准的分部分项工程。</w:t>
            </w:r>
          </w:p>
        </w:tc>
        <w:tc>
          <w:tcPr>
            <w:tcW w:w="1038" w:type="dxa"/>
            <w:vAlign w:val="center"/>
          </w:tcPr>
          <w:p w14:paraId="71D73A2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8DECB7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631C58A">
            <w:pPr>
              <w:spacing w:line="276" w:lineRule="auto"/>
              <w:jc w:val="center"/>
              <w:rPr>
                <w:rFonts w:hint="eastAsia" w:ascii="宋体" w:hAnsi="宋体" w:eastAsia="宋体" w:cs="宋体"/>
                <w:color w:val="auto"/>
                <w:sz w:val="21"/>
                <w:szCs w:val="21"/>
                <w:highlight w:val="none"/>
              </w:rPr>
            </w:pPr>
          </w:p>
        </w:tc>
      </w:tr>
    </w:tbl>
    <w:p w14:paraId="20A788B0">
      <w:pPr>
        <w:rPr>
          <w:rFonts w:hint="eastAsia" w:cs="宋体"/>
          <w:color w:val="000000" w:themeColor="text1"/>
          <w:highlight w:val="none"/>
          <w14:textFill>
            <w14:solidFill>
              <w14:schemeClr w14:val="tx1"/>
            </w14:solidFill>
          </w14:textFill>
        </w:rPr>
      </w:pPr>
      <w:bookmarkStart w:id="619" w:name="_GoBack"/>
      <w:bookmarkEnd w:id="619"/>
      <w:r>
        <w:rPr>
          <w:rFonts w:cs="宋体"/>
          <w:color w:val="000000" w:themeColor="text1"/>
          <w:highlight w:val="none"/>
          <w14:textFill>
            <w14:solidFill>
              <w14:schemeClr w14:val="tx1"/>
            </w14:solidFill>
          </w14:textFill>
        </w:rPr>
        <w:br w:type="page"/>
      </w:r>
    </w:p>
    <w:p w14:paraId="56337C3D">
      <w:pPr>
        <w:spacing w:before="0" w:after="0"/>
        <w:jc w:val="both"/>
        <w:rPr>
          <w:rFonts w:hint="eastAsia" w:ascii="宋体" w:hAnsi="宋体" w:eastAsia="宋体" w:cs="宋体"/>
          <w:b/>
          <w:color w:val="000000" w:themeColor="text1"/>
          <w:sz w:val="30"/>
          <w:szCs w:val="30"/>
          <w:highlight w:val="none"/>
          <w14:textFill>
            <w14:solidFill>
              <w14:schemeClr w14:val="tx1"/>
            </w14:solidFill>
          </w14:textFill>
        </w:rPr>
      </w:pPr>
      <w:r>
        <w:rPr>
          <w:rFonts w:hint="eastAsia" w:ascii="宋体" w:hAnsi="宋体" w:eastAsia="宋体" w:cs="宋体"/>
          <w:b/>
          <w:color w:val="000000" w:themeColor="text1"/>
          <w:sz w:val="30"/>
          <w:szCs w:val="30"/>
          <w:highlight w:val="none"/>
          <w:lang w:bidi="ar"/>
          <w14:textFill>
            <w14:solidFill>
              <w14:schemeClr w14:val="tx1"/>
            </w14:solidFill>
          </w14:textFill>
        </w:rPr>
        <w:t>附件4：</w:t>
      </w:r>
      <w:r>
        <w:rPr>
          <w:rFonts w:hint="eastAsia" w:ascii="宋体" w:hAnsi="宋体" w:eastAsia="宋体" w:cs="宋体"/>
          <w:b/>
          <w:color w:val="000000" w:themeColor="text1"/>
          <w:sz w:val="30"/>
          <w:szCs w:val="30"/>
          <w:highlight w:val="none"/>
          <w:lang w:val="zh-CN" w:bidi="ar"/>
          <w14:textFill>
            <w14:solidFill>
              <w14:schemeClr w14:val="tx1"/>
            </w14:solidFill>
          </w14:textFill>
        </w:rPr>
        <w:t>主要设备材料推荐品牌表</w:t>
      </w:r>
    </w:p>
    <w:p w14:paraId="103201C3">
      <w:pPr>
        <w:spacing w:before="0" w:after="0"/>
        <w:jc w:val="both"/>
        <w:rPr>
          <w:rFonts w:hint="eastAsia" w:ascii="宋体" w:hAnsi="宋体" w:eastAsia="宋体" w:cs="宋体"/>
          <w:color w:val="000000" w:themeColor="text1"/>
          <w:highlight w:val="none"/>
          <w:lang w:bidi="en-US"/>
          <w14:textFill>
            <w14:solidFill>
              <w14:schemeClr w14:val="tx1"/>
            </w14:solidFill>
          </w14:textFill>
        </w:rPr>
      </w:pPr>
      <w:r>
        <w:rPr>
          <w:rFonts w:hint="eastAsia" w:ascii="宋体" w:hAnsi="宋体" w:eastAsia="宋体" w:cs="宋体"/>
          <w:color w:val="000000" w:themeColor="text1"/>
          <w:sz w:val="21"/>
          <w:szCs w:val="20"/>
          <w:highlight w:val="none"/>
          <w:lang w:bidi="en-US"/>
          <w14:textFill>
            <w14:solidFill>
              <w14:schemeClr w14:val="tx1"/>
            </w14:solidFill>
          </w14:textFill>
        </w:rPr>
        <w:t>（主要材料设备品牌范围包括“同等”或“相当于”本表的品牌）</w:t>
      </w:r>
    </w:p>
    <w:tbl>
      <w:tblPr>
        <w:tblStyle w:val="42"/>
        <w:tblW w:w="5003"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379"/>
        <w:gridCol w:w="3833"/>
        <w:gridCol w:w="2001"/>
        <w:gridCol w:w="1220"/>
      </w:tblGrid>
      <w:tr w14:paraId="37EB7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blHeader/>
        </w:trPr>
        <w:tc>
          <w:tcPr>
            <w:tcW w:w="814" w:type="dxa"/>
            <w:vAlign w:val="center"/>
          </w:tcPr>
          <w:p w14:paraId="697A41E5">
            <w:pPr>
              <w:ind w:leftChars="-47" w:hanging="103" w:hangingChars="49"/>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序号</w:t>
            </w:r>
          </w:p>
        </w:tc>
        <w:tc>
          <w:tcPr>
            <w:tcW w:w="1379" w:type="dxa"/>
            <w:vAlign w:val="center"/>
          </w:tcPr>
          <w:p w14:paraId="123EE6E7">
            <w:pPr>
              <w:ind w:left="-108" w:leftChars="-49"/>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材料名称</w:t>
            </w:r>
          </w:p>
        </w:tc>
        <w:tc>
          <w:tcPr>
            <w:tcW w:w="3834" w:type="dxa"/>
            <w:vAlign w:val="center"/>
          </w:tcPr>
          <w:p w14:paraId="122CF74D">
            <w:pPr>
              <w:ind w:firstLine="11" w:firstLineChars="5"/>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品牌/厂家</w:t>
            </w:r>
          </w:p>
        </w:tc>
        <w:tc>
          <w:tcPr>
            <w:tcW w:w="2001" w:type="dxa"/>
            <w:vAlign w:val="center"/>
          </w:tcPr>
          <w:p w14:paraId="6217EE1B">
            <w:pPr>
              <w:ind w:left="-165" w:leftChars="-75"/>
              <w:jc w:val="right"/>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规格型号/技术参数</w:t>
            </w:r>
          </w:p>
        </w:tc>
        <w:tc>
          <w:tcPr>
            <w:tcW w:w="1220" w:type="dxa"/>
            <w:vAlign w:val="center"/>
          </w:tcPr>
          <w:p w14:paraId="4B16774C">
            <w:pPr>
              <w:ind w:left="-1" w:leftChars="-50" w:hanging="109" w:hangingChars="52"/>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备注</w:t>
            </w:r>
          </w:p>
        </w:tc>
      </w:tr>
      <w:tr w14:paraId="58085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5E64B1DD">
            <w:pPr>
              <w:ind w:firstLine="372" w:firstLineChars="177"/>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一、建筑装饰工程</w:t>
            </w:r>
          </w:p>
        </w:tc>
      </w:tr>
      <w:tr w14:paraId="18972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520B5A61">
            <w:pPr>
              <w:ind w:firstLine="372" w:firstLineChars="177"/>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1、土建材料</w:t>
            </w:r>
          </w:p>
        </w:tc>
      </w:tr>
      <w:tr w14:paraId="58DFC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99FD47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p>
        </w:tc>
        <w:tc>
          <w:tcPr>
            <w:tcW w:w="1379" w:type="dxa"/>
            <w:vAlign w:val="center"/>
          </w:tcPr>
          <w:p w14:paraId="03A62CA7">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钢筋</w:t>
            </w:r>
          </w:p>
        </w:tc>
        <w:tc>
          <w:tcPr>
            <w:tcW w:w="3834" w:type="dxa"/>
            <w:vAlign w:val="center"/>
          </w:tcPr>
          <w:p w14:paraId="190BB34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广钢、韶钢松山、武钢、柳钢、华菱、马钢、萍钢、宝武钢铁（宝钢）、湘钢</w:t>
            </w:r>
          </w:p>
        </w:tc>
        <w:tc>
          <w:tcPr>
            <w:tcW w:w="2001" w:type="dxa"/>
            <w:vAlign w:val="center"/>
          </w:tcPr>
          <w:p w14:paraId="70EA400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65A7291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1CA8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C6FCDC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1.2</w:t>
            </w:r>
          </w:p>
        </w:tc>
        <w:tc>
          <w:tcPr>
            <w:tcW w:w="1379" w:type="dxa"/>
            <w:vAlign w:val="center"/>
          </w:tcPr>
          <w:p w14:paraId="08353CB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钢板、钢型材</w:t>
            </w:r>
          </w:p>
        </w:tc>
        <w:tc>
          <w:tcPr>
            <w:tcW w:w="3834" w:type="dxa"/>
            <w:vAlign w:val="center"/>
          </w:tcPr>
          <w:p w14:paraId="7D66AC3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参照1.1</w:t>
            </w:r>
          </w:p>
        </w:tc>
        <w:tc>
          <w:tcPr>
            <w:tcW w:w="2001" w:type="dxa"/>
            <w:vAlign w:val="center"/>
          </w:tcPr>
          <w:p w14:paraId="66E8B5B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890B05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36D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104FF98">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1.3</w:t>
            </w:r>
          </w:p>
        </w:tc>
        <w:tc>
          <w:tcPr>
            <w:tcW w:w="1379" w:type="dxa"/>
            <w:vAlign w:val="center"/>
          </w:tcPr>
          <w:p w14:paraId="77CE39A4">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水泥</w:t>
            </w:r>
          </w:p>
        </w:tc>
        <w:tc>
          <w:tcPr>
            <w:tcW w:w="3834" w:type="dxa"/>
            <w:vAlign w:val="center"/>
          </w:tcPr>
          <w:p w14:paraId="3D86371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石井、金羊、粤秀牌、海螺、华润水泥</w:t>
            </w:r>
          </w:p>
        </w:tc>
        <w:tc>
          <w:tcPr>
            <w:tcW w:w="2001" w:type="dxa"/>
            <w:vAlign w:val="center"/>
          </w:tcPr>
          <w:p w14:paraId="60FC90E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4509B9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8C7D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0643F71A">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1.4</w:t>
            </w:r>
          </w:p>
        </w:tc>
        <w:tc>
          <w:tcPr>
            <w:tcW w:w="1379" w:type="dxa"/>
            <w:vAlign w:val="center"/>
          </w:tcPr>
          <w:p w14:paraId="786B5F9B">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商品混凝土</w:t>
            </w:r>
          </w:p>
        </w:tc>
        <w:tc>
          <w:tcPr>
            <w:tcW w:w="3834" w:type="dxa"/>
            <w:vAlign w:val="center"/>
          </w:tcPr>
          <w:p w14:paraId="4A3FC23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在属地区优选</w:t>
            </w:r>
          </w:p>
        </w:tc>
        <w:tc>
          <w:tcPr>
            <w:tcW w:w="2001" w:type="dxa"/>
            <w:vAlign w:val="center"/>
          </w:tcPr>
          <w:p w14:paraId="0B0B344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7E0DE95">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D75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45AB5C4D">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1.5</w:t>
            </w:r>
          </w:p>
        </w:tc>
        <w:tc>
          <w:tcPr>
            <w:tcW w:w="1379" w:type="dxa"/>
            <w:vMerge w:val="restart"/>
            <w:vAlign w:val="center"/>
          </w:tcPr>
          <w:p w14:paraId="5A00C120">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预应力管桩</w:t>
            </w:r>
          </w:p>
        </w:tc>
        <w:tc>
          <w:tcPr>
            <w:tcW w:w="3834" w:type="dxa"/>
            <w:vAlign w:val="center"/>
          </w:tcPr>
          <w:p w14:paraId="69FDC99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广州市番禺合和建材有限公司</w:t>
            </w:r>
          </w:p>
        </w:tc>
        <w:tc>
          <w:tcPr>
            <w:tcW w:w="2001" w:type="dxa"/>
            <w:vMerge w:val="restart"/>
            <w:vAlign w:val="center"/>
          </w:tcPr>
          <w:p w14:paraId="482B349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3C8E62E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C6A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9CDDEE7">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9ED354A">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3C22048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广州羊城管桩有限公司</w:t>
            </w:r>
          </w:p>
        </w:tc>
        <w:tc>
          <w:tcPr>
            <w:tcW w:w="2001" w:type="dxa"/>
            <w:vMerge w:val="continue"/>
            <w:vAlign w:val="center"/>
          </w:tcPr>
          <w:p w14:paraId="001505DE">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418EC00F">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902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90517DE">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3716927">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0DBDE4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广州三和管桩有限公司</w:t>
            </w:r>
          </w:p>
        </w:tc>
        <w:tc>
          <w:tcPr>
            <w:tcW w:w="2001" w:type="dxa"/>
            <w:vMerge w:val="continue"/>
            <w:vAlign w:val="center"/>
          </w:tcPr>
          <w:p w14:paraId="5DEB0CD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D58F6D7">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990B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B82401F">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EE2D3C7">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EE3767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广东建华管桩有限公司</w:t>
            </w:r>
          </w:p>
        </w:tc>
        <w:tc>
          <w:tcPr>
            <w:tcW w:w="2001" w:type="dxa"/>
            <w:vMerge w:val="continue"/>
            <w:vAlign w:val="center"/>
          </w:tcPr>
          <w:p w14:paraId="5745D40E">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CE508D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35A5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F7741D2">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D2516B1">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2E4527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广东宏基管桩有限公司</w:t>
            </w:r>
          </w:p>
        </w:tc>
        <w:tc>
          <w:tcPr>
            <w:tcW w:w="2001" w:type="dxa"/>
            <w:vMerge w:val="continue"/>
            <w:vAlign w:val="center"/>
          </w:tcPr>
          <w:p w14:paraId="2C3BF0ED">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2968433">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0211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2B226887">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1.6</w:t>
            </w:r>
          </w:p>
        </w:tc>
        <w:tc>
          <w:tcPr>
            <w:tcW w:w="1379" w:type="dxa"/>
            <w:vMerge w:val="restart"/>
            <w:vAlign w:val="center"/>
          </w:tcPr>
          <w:p w14:paraId="6210C6E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装配式预制构件</w:t>
            </w:r>
          </w:p>
        </w:tc>
        <w:tc>
          <w:tcPr>
            <w:tcW w:w="3834" w:type="dxa"/>
            <w:vAlign w:val="center"/>
          </w:tcPr>
          <w:p w14:paraId="38AC61A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广东建远建筑装配工业有限公司</w:t>
            </w:r>
          </w:p>
        </w:tc>
        <w:tc>
          <w:tcPr>
            <w:tcW w:w="2001" w:type="dxa"/>
            <w:vMerge w:val="restart"/>
            <w:vAlign w:val="center"/>
          </w:tcPr>
          <w:p w14:paraId="482BA25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4D00509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BE9F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FBFD6A5">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D9A4D0F">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38B1F7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广东建宇建筑科技有限公司</w:t>
            </w:r>
          </w:p>
        </w:tc>
        <w:tc>
          <w:tcPr>
            <w:tcW w:w="2001" w:type="dxa"/>
            <w:vMerge w:val="continue"/>
            <w:vAlign w:val="center"/>
          </w:tcPr>
          <w:p w14:paraId="1B435BDF">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228379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EEF7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95A6443">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BC5296B">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35D2C7DC">
            <w:pP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广州建筑湾区</w:t>
            </w:r>
          </w:p>
          <w:p w14:paraId="724A2287">
            <w:pPr>
              <w:ind w:firstLine="10" w:firstLineChars="5"/>
              <w:rPr>
                <w:rFonts w:hint="eastAsia" w:ascii="宋体" w:hAnsi="宋体"/>
                <w:color w:val="000000" w:themeColor="text1"/>
                <w:sz w:val="21"/>
                <w:szCs w:val="21"/>
                <w:highlight w:val="none"/>
                <w14:textFill>
                  <w14:solidFill>
                    <w14:schemeClr w14:val="tx1"/>
                  </w14:solidFill>
                </w14:textFill>
              </w:rPr>
            </w:pPr>
          </w:p>
          <w:p w14:paraId="211B8C8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智造科技有限公司</w:t>
            </w:r>
          </w:p>
        </w:tc>
        <w:tc>
          <w:tcPr>
            <w:tcW w:w="2001" w:type="dxa"/>
            <w:vMerge w:val="continue"/>
            <w:vAlign w:val="center"/>
          </w:tcPr>
          <w:p w14:paraId="38EBF2A3">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4EC822E4">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37F9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2B03987">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D9BEA8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181FC7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中建科技集团有限公司</w:t>
            </w:r>
          </w:p>
        </w:tc>
        <w:tc>
          <w:tcPr>
            <w:tcW w:w="2001" w:type="dxa"/>
            <w:vMerge w:val="continue"/>
            <w:vAlign w:val="center"/>
          </w:tcPr>
          <w:p w14:paraId="42BF219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9789F2F">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E06E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08AEE03">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CD9BCEF">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832007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广东中建新型建筑构件有限公司</w:t>
            </w:r>
          </w:p>
        </w:tc>
        <w:tc>
          <w:tcPr>
            <w:tcW w:w="2001" w:type="dxa"/>
            <w:vMerge w:val="continue"/>
            <w:vAlign w:val="center"/>
          </w:tcPr>
          <w:p w14:paraId="2149387D">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108EA08">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5405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9EB4AD4">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22A26522">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B0E931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中建四局绿色建筑科技（广东）有限公司</w:t>
            </w:r>
          </w:p>
        </w:tc>
        <w:tc>
          <w:tcPr>
            <w:tcW w:w="2001" w:type="dxa"/>
            <w:vMerge w:val="continue"/>
            <w:vAlign w:val="center"/>
          </w:tcPr>
          <w:p w14:paraId="092D5C4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C39ECD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86B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07B605E">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282CD47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AE066D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中山建华墙体材料有限公司</w:t>
            </w:r>
          </w:p>
        </w:tc>
        <w:tc>
          <w:tcPr>
            <w:tcW w:w="2001" w:type="dxa"/>
            <w:vMerge w:val="continue"/>
            <w:vAlign w:val="center"/>
          </w:tcPr>
          <w:p w14:paraId="6DD574F5">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0F4BFB5">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9B29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A83FC9E">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047EF139">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4F8D78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广东新瑞龙生态建材有限公司</w:t>
            </w:r>
          </w:p>
        </w:tc>
        <w:tc>
          <w:tcPr>
            <w:tcW w:w="2001" w:type="dxa"/>
            <w:vMerge w:val="continue"/>
            <w:vAlign w:val="center"/>
          </w:tcPr>
          <w:p w14:paraId="2971E669">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1A107BD">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62D3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043CE8F5">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1.7</w:t>
            </w:r>
          </w:p>
        </w:tc>
        <w:tc>
          <w:tcPr>
            <w:tcW w:w="1379" w:type="dxa"/>
            <w:vMerge w:val="restart"/>
            <w:vAlign w:val="center"/>
          </w:tcPr>
          <w:p w14:paraId="2FC1B31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蒸压加气混凝土砌块</w:t>
            </w:r>
          </w:p>
        </w:tc>
        <w:tc>
          <w:tcPr>
            <w:tcW w:w="3834" w:type="dxa"/>
            <w:vAlign w:val="center"/>
          </w:tcPr>
          <w:p w14:paraId="34FFE95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佛山市南海区水电灰砂砖厂</w:t>
            </w:r>
          </w:p>
        </w:tc>
        <w:tc>
          <w:tcPr>
            <w:tcW w:w="2001" w:type="dxa"/>
            <w:vMerge w:val="restart"/>
            <w:vAlign w:val="center"/>
          </w:tcPr>
          <w:p w14:paraId="58A6CD9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122951A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F230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08C9C21">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D4E677E">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3E52DE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广州发展环保建材有限公司</w:t>
            </w:r>
          </w:p>
        </w:tc>
        <w:tc>
          <w:tcPr>
            <w:tcW w:w="2001" w:type="dxa"/>
            <w:vMerge w:val="continue"/>
            <w:vAlign w:val="center"/>
          </w:tcPr>
          <w:p w14:paraId="1A1DFA2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B12E68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DB6E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E039AA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B515A47">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B012C8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广州市建邦建材有限公司</w:t>
            </w:r>
          </w:p>
        </w:tc>
        <w:tc>
          <w:tcPr>
            <w:tcW w:w="2001" w:type="dxa"/>
            <w:vMerge w:val="continue"/>
            <w:vAlign w:val="center"/>
          </w:tcPr>
          <w:p w14:paraId="571750D3">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484978E">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B3D0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BF3E1D4">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62B4ED1">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67B88B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广东朗道建材科技有限公司</w:t>
            </w:r>
          </w:p>
        </w:tc>
        <w:tc>
          <w:tcPr>
            <w:tcW w:w="2001" w:type="dxa"/>
            <w:vMerge w:val="continue"/>
            <w:vAlign w:val="center"/>
          </w:tcPr>
          <w:p w14:paraId="6C3961D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06B9B98">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3EEF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F5318D9">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1ED097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0D91ACE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广州市佑佳加气混凝土制品有限公司</w:t>
            </w:r>
          </w:p>
        </w:tc>
        <w:tc>
          <w:tcPr>
            <w:tcW w:w="2001" w:type="dxa"/>
            <w:vMerge w:val="continue"/>
            <w:vAlign w:val="center"/>
          </w:tcPr>
          <w:p w14:paraId="28A3892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4D1E94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A39A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11A42B5">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1.8</w:t>
            </w:r>
          </w:p>
        </w:tc>
        <w:tc>
          <w:tcPr>
            <w:tcW w:w="1379" w:type="dxa"/>
            <w:vAlign w:val="center"/>
          </w:tcPr>
          <w:p w14:paraId="077DE3D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防水涂料/防水卷材</w:t>
            </w:r>
          </w:p>
        </w:tc>
        <w:tc>
          <w:tcPr>
            <w:tcW w:w="3834" w:type="dxa"/>
            <w:vAlign w:val="center"/>
          </w:tcPr>
          <w:p w14:paraId="039B3B0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卓宝、东方雨虹、大禹九鼎、百能、台实防水、德爱威</w:t>
            </w:r>
          </w:p>
        </w:tc>
        <w:tc>
          <w:tcPr>
            <w:tcW w:w="2001" w:type="dxa"/>
            <w:vAlign w:val="center"/>
          </w:tcPr>
          <w:p w14:paraId="75352A2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39FF2F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3148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trPr>
        <w:tc>
          <w:tcPr>
            <w:tcW w:w="814" w:type="dxa"/>
            <w:vAlign w:val="center"/>
          </w:tcPr>
          <w:p w14:paraId="114CF61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1.9</w:t>
            </w:r>
          </w:p>
        </w:tc>
        <w:tc>
          <w:tcPr>
            <w:tcW w:w="1379" w:type="dxa"/>
            <w:vAlign w:val="center"/>
          </w:tcPr>
          <w:p w14:paraId="508A859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成品木门</w:t>
            </w:r>
          </w:p>
        </w:tc>
        <w:tc>
          <w:tcPr>
            <w:tcW w:w="3834" w:type="dxa"/>
            <w:vAlign w:val="center"/>
          </w:tcPr>
          <w:p w14:paraId="6D33972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林安牌、锦湖和盛、国盾门业、白云南粤、雅君园门业</w:t>
            </w:r>
          </w:p>
        </w:tc>
        <w:tc>
          <w:tcPr>
            <w:tcW w:w="2001" w:type="dxa"/>
            <w:vAlign w:val="center"/>
          </w:tcPr>
          <w:p w14:paraId="6F3B37F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DDFF05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EC5F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5ADC51D">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1.10</w:t>
            </w:r>
          </w:p>
        </w:tc>
        <w:tc>
          <w:tcPr>
            <w:tcW w:w="1379" w:type="dxa"/>
            <w:vAlign w:val="center"/>
          </w:tcPr>
          <w:p w14:paraId="566FC57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防火门</w:t>
            </w:r>
          </w:p>
        </w:tc>
        <w:tc>
          <w:tcPr>
            <w:tcW w:w="3834" w:type="dxa"/>
            <w:vAlign w:val="center"/>
          </w:tcPr>
          <w:p w14:paraId="18F787E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锦澜、锦湖和盛、白云南粤、雅君园门业、兴进消防设备</w:t>
            </w:r>
          </w:p>
        </w:tc>
        <w:tc>
          <w:tcPr>
            <w:tcW w:w="2001" w:type="dxa"/>
            <w:vAlign w:val="center"/>
          </w:tcPr>
          <w:p w14:paraId="6B26682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B77D22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必须同时满足消防验收要求</w:t>
            </w:r>
          </w:p>
        </w:tc>
      </w:tr>
      <w:tr w14:paraId="5ECDF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5" w:hRule="atLeast"/>
        </w:trPr>
        <w:tc>
          <w:tcPr>
            <w:tcW w:w="814" w:type="dxa"/>
            <w:vMerge w:val="restart"/>
            <w:vAlign w:val="center"/>
          </w:tcPr>
          <w:p w14:paraId="0CBDA64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p>
        </w:tc>
        <w:tc>
          <w:tcPr>
            <w:tcW w:w="1379" w:type="dxa"/>
            <w:vMerge w:val="restart"/>
            <w:vAlign w:val="center"/>
          </w:tcPr>
          <w:p w14:paraId="62A02118">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人防门</w:t>
            </w:r>
          </w:p>
        </w:tc>
        <w:tc>
          <w:tcPr>
            <w:tcW w:w="3834" w:type="dxa"/>
            <w:vAlign w:val="center"/>
          </w:tcPr>
          <w:p w14:paraId="34227DD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广州市羊城地下工程有限公司</w:t>
            </w:r>
          </w:p>
        </w:tc>
        <w:tc>
          <w:tcPr>
            <w:tcW w:w="2001" w:type="dxa"/>
            <w:vMerge w:val="restart"/>
            <w:vAlign w:val="center"/>
          </w:tcPr>
          <w:p w14:paraId="2A4399E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7E74B84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必须同时满足人防验收要求</w:t>
            </w:r>
          </w:p>
        </w:tc>
      </w:tr>
      <w:tr w14:paraId="6BF48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EB49B0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1AB0B65">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69E0E49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广州市海珠区城市更新投资有限公司</w:t>
            </w:r>
          </w:p>
        </w:tc>
        <w:tc>
          <w:tcPr>
            <w:tcW w:w="2001" w:type="dxa"/>
            <w:vMerge w:val="continue"/>
            <w:vAlign w:val="center"/>
          </w:tcPr>
          <w:p w14:paraId="73AEC9A6">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37AE01D">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B52B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EF6D1B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DD72294">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156793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广州南骏人防工程防护设备有限公司</w:t>
            </w:r>
          </w:p>
        </w:tc>
        <w:tc>
          <w:tcPr>
            <w:tcW w:w="2001" w:type="dxa"/>
            <w:vMerge w:val="continue"/>
            <w:vAlign w:val="center"/>
          </w:tcPr>
          <w:p w14:paraId="2D74C065">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305A9DF">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0BDA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080FCF4">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F7507A4">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67B2E0B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广州科安人防工程设备有限公司</w:t>
            </w:r>
          </w:p>
        </w:tc>
        <w:tc>
          <w:tcPr>
            <w:tcW w:w="2001" w:type="dxa"/>
            <w:vMerge w:val="continue"/>
            <w:vAlign w:val="center"/>
          </w:tcPr>
          <w:p w14:paraId="54649B69">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2AAE270">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0ED02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7BA5273">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1F9EDA0">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C1E09E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佛山华盾人防工程有限公司</w:t>
            </w:r>
          </w:p>
        </w:tc>
        <w:tc>
          <w:tcPr>
            <w:tcW w:w="2001" w:type="dxa"/>
            <w:vMerge w:val="continue"/>
            <w:vAlign w:val="center"/>
          </w:tcPr>
          <w:p w14:paraId="476E1F8F">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6BD7F79">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6C97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34B31FC">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2、装修材料</w:t>
            </w:r>
          </w:p>
        </w:tc>
      </w:tr>
      <w:tr w14:paraId="449B6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94ADAE6">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2.1</w:t>
            </w:r>
          </w:p>
        </w:tc>
        <w:tc>
          <w:tcPr>
            <w:tcW w:w="1379" w:type="dxa"/>
            <w:vAlign w:val="center"/>
          </w:tcPr>
          <w:p w14:paraId="17BC5325">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地面砖/内墙砖</w:t>
            </w:r>
          </w:p>
        </w:tc>
        <w:tc>
          <w:tcPr>
            <w:tcW w:w="3834" w:type="dxa"/>
            <w:vAlign w:val="center"/>
          </w:tcPr>
          <w:p w14:paraId="2ECE5EA7">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东鹏、金意陶、鹰牌、冠珠、新中源、马可波罗、环球、罗马利奥、建研晟创、绿美特、聚绿、世明丽</w:t>
            </w:r>
          </w:p>
        </w:tc>
        <w:tc>
          <w:tcPr>
            <w:tcW w:w="2001" w:type="dxa"/>
            <w:vAlign w:val="center"/>
          </w:tcPr>
          <w:p w14:paraId="3E11E697">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FC7F1FE">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37A2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9C575C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2.2</w:t>
            </w:r>
          </w:p>
        </w:tc>
        <w:tc>
          <w:tcPr>
            <w:tcW w:w="1379" w:type="dxa"/>
            <w:vAlign w:val="center"/>
          </w:tcPr>
          <w:p w14:paraId="474389A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外墙砖</w:t>
            </w:r>
          </w:p>
        </w:tc>
        <w:tc>
          <w:tcPr>
            <w:tcW w:w="3834" w:type="dxa"/>
            <w:vAlign w:val="center"/>
          </w:tcPr>
          <w:p w14:paraId="05041D3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东鹏、鹰牌、冠珠、白兔、环球、建研晟创、绿美特、聚绿、世明丽</w:t>
            </w:r>
          </w:p>
        </w:tc>
        <w:tc>
          <w:tcPr>
            <w:tcW w:w="2001" w:type="dxa"/>
            <w:vAlign w:val="center"/>
          </w:tcPr>
          <w:p w14:paraId="09E1892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C5712D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5882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01C6FA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2.3</w:t>
            </w:r>
          </w:p>
        </w:tc>
        <w:tc>
          <w:tcPr>
            <w:tcW w:w="1379" w:type="dxa"/>
            <w:vAlign w:val="center"/>
          </w:tcPr>
          <w:p w14:paraId="7DF33F8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内墙乳胶漆/外墙漆</w:t>
            </w:r>
          </w:p>
        </w:tc>
        <w:tc>
          <w:tcPr>
            <w:tcW w:w="3834" w:type="dxa"/>
            <w:vAlign w:val="center"/>
          </w:tcPr>
          <w:p w14:paraId="77D978F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立邦、秀珀、澜诺、集泰、糯米图、三棵树、华润漆、多乐士、电视塔牌、优爱宝、洛迪科技</w:t>
            </w:r>
          </w:p>
        </w:tc>
        <w:tc>
          <w:tcPr>
            <w:tcW w:w="2001" w:type="dxa"/>
            <w:vAlign w:val="center"/>
          </w:tcPr>
          <w:p w14:paraId="6D032C1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DBF78C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AF74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2DE0F26">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2.4</w:t>
            </w:r>
          </w:p>
        </w:tc>
        <w:tc>
          <w:tcPr>
            <w:tcW w:w="1379" w:type="dxa"/>
            <w:vAlign w:val="center"/>
          </w:tcPr>
          <w:p w14:paraId="4BF821DC">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铝合金型材</w:t>
            </w:r>
          </w:p>
        </w:tc>
        <w:tc>
          <w:tcPr>
            <w:tcW w:w="3834" w:type="dxa"/>
            <w:vAlign w:val="center"/>
          </w:tcPr>
          <w:p w14:paraId="0937D4E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凤铝、广铝、大明铝材、粤亚、坚美铝材、高登铝材、豪美新材、前进牌</w:t>
            </w:r>
          </w:p>
        </w:tc>
        <w:tc>
          <w:tcPr>
            <w:tcW w:w="2001" w:type="dxa"/>
            <w:vAlign w:val="center"/>
          </w:tcPr>
          <w:p w14:paraId="3DEF95E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2B56C604">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D2A9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C798D28">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2.5</w:t>
            </w:r>
          </w:p>
        </w:tc>
        <w:tc>
          <w:tcPr>
            <w:tcW w:w="1379" w:type="dxa"/>
            <w:vAlign w:val="center"/>
          </w:tcPr>
          <w:p w14:paraId="1E2901D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门窗五金</w:t>
            </w:r>
          </w:p>
        </w:tc>
        <w:tc>
          <w:tcPr>
            <w:tcW w:w="3834" w:type="dxa"/>
            <w:vAlign w:val="center"/>
          </w:tcPr>
          <w:p w14:paraId="263935F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坚稳、坚朗、雄进、力睿、汇禧</w:t>
            </w:r>
          </w:p>
        </w:tc>
        <w:tc>
          <w:tcPr>
            <w:tcW w:w="2001" w:type="dxa"/>
            <w:vAlign w:val="center"/>
          </w:tcPr>
          <w:p w14:paraId="7BD7B41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1D24F07C">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8F0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7" w:hRule="atLeast"/>
        </w:trPr>
        <w:tc>
          <w:tcPr>
            <w:tcW w:w="814" w:type="dxa"/>
            <w:vAlign w:val="center"/>
          </w:tcPr>
          <w:p w14:paraId="5507943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2.6</w:t>
            </w:r>
          </w:p>
        </w:tc>
        <w:tc>
          <w:tcPr>
            <w:tcW w:w="1379" w:type="dxa"/>
            <w:vAlign w:val="center"/>
          </w:tcPr>
          <w:p w14:paraId="1ECCF471">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玻璃</w:t>
            </w:r>
          </w:p>
        </w:tc>
        <w:tc>
          <w:tcPr>
            <w:tcW w:w="3834" w:type="dxa"/>
            <w:vAlign w:val="center"/>
          </w:tcPr>
          <w:p w14:paraId="37CA685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信義、东莞南玻、佛山市新兴业、真格、深圳市燎原玻璃</w:t>
            </w:r>
          </w:p>
        </w:tc>
        <w:tc>
          <w:tcPr>
            <w:tcW w:w="2001" w:type="dxa"/>
            <w:vAlign w:val="center"/>
          </w:tcPr>
          <w:p w14:paraId="6B10E06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17D249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AC27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8939F54">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2.7</w:t>
            </w:r>
          </w:p>
        </w:tc>
        <w:tc>
          <w:tcPr>
            <w:tcW w:w="1379" w:type="dxa"/>
            <w:vAlign w:val="center"/>
          </w:tcPr>
          <w:p w14:paraId="52544E41">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铝扣板</w:t>
            </w:r>
          </w:p>
        </w:tc>
        <w:tc>
          <w:tcPr>
            <w:tcW w:w="3834" w:type="dxa"/>
            <w:vAlign w:val="center"/>
          </w:tcPr>
          <w:p w14:paraId="074AED75">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广丰、金霸、欧斯龙、高登、欧德高、太铝</w:t>
            </w:r>
          </w:p>
        </w:tc>
        <w:tc>
          <w:tcPr>
            <w:tcW w:w="2001" w:type="dxa"/>
            <w:vAlign w:val="center"/>
          </w:tcPr>
          <w:p w14:paraId="60844CD0">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E83A0F4">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CF2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0289D668">
            <w:pPr>
              <w:ind w:firstLine="372" w:firstLineChars="177"/>
              <w:rPr>
                <w:rFonts w:hint="eastAsia" w:ascii="宋体" w:hAnsi="宋体"/>
                <w:b/>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二、机电安装工程</w:t>
            </w:r>
          </w:p>
        </w:tc>
      </w:tr>
      <w:tr w14:paraId="605C8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10567894">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 xml:space="preserve">3、室内给排水系统 </w:t>
            </w:r>
          </w:p>
        </w:tc>
      </w:tr>
      <w:tr w14:paraId="13B46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94A72A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3.1</w:t>
            </w:r>
          </w:p>
        </w:tc>
        <w:tc>
          <w:tcPr>
            <w:tcW w:w="1379" w:type="dxa"/>
            <w:vAlign w:val="center"/>
          </w:tcPr>
          <w:p w14:paraId="181E22C1">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内涂塑镀锌钢管</w:t>
            </w:r>
          </w:p>
        </w:tc>
        <w:tc>
          <w:tcPr>
            <w:tcW w:w="3834" w:type="dxa"/>
            <w:vAlign w:val="center"/>
          </w:tcPr>
          <w:p w14:paraId="5727F9A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华粤、穗生、华岐、珠江、华捷</w:t>
            </w:r>
          </w:p>
        </w:tc>
        <w:tc>
          <w:tcPr>
            <w:tcW w:w="2001" w:type="dxa"/>
            <w:vAlign w:val="center"/>
          </w:tcPr>
          <w:p w14:paraId="33A1C76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CJ/T120-2008《给水涂塑复合钢管》</w:t>
            </w:r>
          </w:p>
        </w:tc>
        <w:tc>
          <w:tcPr>
            <w:tcW w:w="1220" w:type="dxa"/>
            <w:vAlign w:val="center"/>
          </w:tcPr>
          <w:p w14:paraId="606B695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66DA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A63AB59">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3.2</w:t>
            </w:r>
          </w:p>
        </w:tc>
        <w:tc>
          <w:tcPr>
            <w:tcW w:w="1379" w:type="dxa"/>
            <w:vAlign w:val="center"/>
          </w:tcPr>
          <w:p w14:paraId="2CB12CB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变频调速供水设备</w:t>
            </w:r>
          </w:p>
        </w:tc>
        <w:tc>
          <w:tcPr>
            <w:tcW w:w="3834" w:type="dxa"/>
            <w:vAlign w:val="center"/>
          </w:tcPr>
          <w:p w14:paraId="240CD82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广州昌宁、白云、广一、肯富来、上海凯泉</w:t>
            </w:r>
          </w:p>
        </w:tc>
        <w:tc>
          <w:tcPr>
            <w:tcW w:w="2001" w:type="dxa"/>
            <w:vAlign w:val="center"/>
          </w:tcPr>
          <w:p w14:paraId="1BCCECB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FA20A3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DC61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7CE57C6">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3.3</w:t>
            </w:r>
          </w:p>
        </w:tc>
        <w:tc>
          <w:tcPr>
            <w:tcW w:w="1379" w:type="dxa"/>
            <w:vAlign w:val="center"/>
          </w:tcPr>
          <w:p w14:paraId="220A3C7F">
            <w:pPr>
              <w:ind w:left="-1" w:leftChars="-49" w:right="-77" w:rightChars="-35" w:hanging="107" w:hangingChars="51"/>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阀门（闸阀、止回阀、截止阀、泄压阀、冲洗阀等）</w:t>
            </w:r>
          </w:p>
        </w:tc>
        <w:tc>
          <w:tcPr>
            <w:tcW w:w="3834" w:type="dxa"/>
            <w:vAlign w:val="center"/>
          </w:tcPr>
          <w:p w14:paraId="7DBF876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良精、正丰、上海冠龙、广泉、越海、天津百利展发、佳福斯、中核苏阀、三明高中压阀门</w:t>
            </w:r>
          </w:p>
          <w:p w14:paraId="37B9C419">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2001" w:type="dxa"/>
            <w:vAlign w:val="center"/>
          </w:tcPr>
          <w:p w14:paraId="6CA4B28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56278E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7104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23191494">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3.4</w:t>
            </w:r>
          </w:p>
        </w:tc>
        <w:tc>
          <w:tcPr>
            <w:tcW w:w="1379" w:type="dxa"/>
            <w:vMerge w:val="restart"/>
            <w:vAlign w:val="center"/>
          </w:tcPr>
          <w:p w14:paraId="14374144">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卡箍</w:t>
            </w:r>
          </w:p>
        </w:tc>
        <w:tc>
          <w:tcPr>
            <w:tcW w:w="3834" w:type="dxa"/>
            <w:vAlign w:val="center"/>
          </w:tcPr>
          <w:p w14:paraId="26CF9CD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广东永泉阀门科技有限公司</w:t>
            </w:r>
          </w:p>
        </w:tc>
        <w:tc>
          <w:tcPr>
            <w:tcW w:w="2001" w:type="dxa"/>
            <w:vMerge w:val="restart"/>
            <w:vAlign w:val="center"/>
          </w:tcPr>
          <w:p w14:paraId="05C043A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3BF091A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36F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74CB669">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04FEC512">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3CDAFEB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上海威逊机械连接件有限公司</w:t>
            </w:r>
          </w:p>
        </w:tc>
        <w:tc>
          <w:tcPr>
            <w:tcW w:w="2001" w:type="dxa"/>
            <w:vMerge w:val="continue"/>
            <w:vAlign w:val="center"/>
          </w:tcPr>
          <w:p w14:paraId="386B38CE">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46F0DC2">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94E9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5B13BF8">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0B567F13">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055B78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唯特利管道设备（大连）有限公司</w:t>
            </w:r>
          </w:p>
        </w:tc>
        <w:tc>
          <w:tcPr>
            <w:tcW w:w="2001" w:type="dxa"/>
            <w:vMerge w:val="continue"/>
            <w:vAlign w:val="center"/>
          </w:tcPr>
          <w:p w14:paraId="436F3FD0">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DEFF31E">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AE3E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6F4371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1F30A9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33EAC9A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青岛威龙卡特管道系统有限公司</w:t>
            </w:r>
          </w:p>
        </w:tc>
        <w:tc>
          <w:tcPr>
            <w:tcW w:w="2001" w:type="dxa"/>
            <w:vMerge w:val="continue"/>
            <w:vAlign w:val="center"/>
          </w:tcPr>
          <w:p w14:paraId="5145FFD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5752A49">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BDE5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55709AA">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71A71EF">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C91B9F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广州越海流体科技有限公司</w:t>
            </w:r>
          </w:p>
        </w:tc>
        <w:tc>
          <w:tcPr>
            <w:tcW w:w="2001" w:type="dxa"/>
            <w:vMerge w:val="continue"/>
            <w:vAlign w:val="center"/>
          </w:tcPr>
          <w:p w14:paraId="5D98E26B">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4D3315F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BBDB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BEABAED">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711EF7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661D5CA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潍坊大海绿兵船机械集团有限公司</w:t>
            </w:r>
          </w:p>
        </w:tc>
        <w:tc>
          <w:tcPr>
            <w:tcW w:w="2001" w:type="dxa"/>
            <w:vMerge w:val="continue"/>
            <w:vAlign w:val="center"/>
          </w:tcPr>
          <w:p w14:paraId="0F77A4F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C008A11">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D71B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7E5C4D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3.5</w:t>
            </w:r>
          </w:p>
        </w:tc>
        <w:tc>
          <w:tcPr>
            <w:tcW w:w="1379" w:type="dxa"/>
            <w:vAlign w:val="center"/>
          </w:tcPr>
          <w:p w14:paraId="44BCD5A1">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卫生洁具及水暖配件</w:t>
            </w:r>
          </w:p>
        </w:tc>
        <w:tc>
          <w:tcPr>
            <w:tcW w:w="3834" w:type="dxa"/>
            <w:vAlign w:val="center"/>
          </w:tcPr>
          <w:p w14:paraId="1B5C487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欧派、冠珠、恒洁、东鹏、鹰卫浴（YING）</w:t>
            </w:r>
          </w:p>
        </w:tc>
        <w:tc>
          <w:tcPr>
            <w:tcW w:w="2001" w:type="dxa"/>
            <w:vAlign w:val="center"/>
          </w:tcPr>
          <w:p w14:paraId="3E5417C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B21096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A505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DA5A94B">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3.6</w:t>
            </w:r>
          </w:p>
        </w:tc>
        <w:tc>
          <w:tcPr>
            <w:tcW w:w="1379" w:type="dxa"/>
            <w:vAlign w:val="center"/>
          </w:tcPr>
          <w:p w14:paraId="275C556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不锈钢水箱</w:t>
            </w:r>
          </w:p>
        </w:tc>
        <w:tc>
          <w:tcPr>
            <w:tcW w:w="3834" w:type="dxa"/>
            <w:vAlign w:val="center"/>
          </w:tcPr>
          <w:p w14:paraId="1C45EC6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捷淼、广州昌宁、白云、恒德、聚源</w:t>
            </w:r>
          </w:p>
        </w:tc>
        <w:tc>
          <w:tcPr>
            <w:tcW w:w="2001" w:type="dxa"/>
            <w:vAlign w:val="center"/>
          </w:tcPr>
          <w:p w14:paraId="418AC89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43D2F6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EEBA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7F021A6">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3.7</w:t>
            </w:r>
          </w:p>
        </w:tc>
        <w:tc>
          <w:tcPr>
            <w:tcW w:w="1379" w:type="dxa"/>
            <w:vAlign w:val="center"/>
          </w:tcPr>
          <w:p w14:paraId="1247B6B2">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塑料类管材及配件</w:t>
            </w:r>
          </w:p>
        </w:tc>
        <w:tc>
          <w:tcPr>
            <w:tcW w:w="3834" w:type="dxa"/>
            <w:vAlign w:val="center"/>
          </w:tcPr>
          <w:p w14:paraId="643898E3">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枫叶、锋牌、联塑、顾地、超力</w:t>
            </w:r>
          </w:p>
        </w:tc>
        <w:tc>
          <w:tcPr>
            <w:tcW w:w="2001" w:type="dxa"/>
            <w:vAlign w:val="center"/>
          </w:tcPr>
          <w:p w14:paraId="6A4E2E94">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GB/T18742-2002《冷热水用塑料管道系统--PP第二部分管材》、 GB/T18742-2002《冷热水用塑料管道系统--PP第三部分管件》</w:t>
            </w:r>
          </w:p>
        </w:tc>
        <w:tc>
          <w:tcPr>
            <w:tcW w:w="1220" w:type="dxa"/>
            <w:vAlign w:val="center"/>
          </w:tcPr>
          <w:p w14:paraId="545DD61B">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1364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2001CD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3.8</w:t>
            </w:r>
          </w:p>
        </w:tc>
        <w:tc>
          <w:tcPr>
            <w:tcW w:w="1379" w:type="dxa"/>
            <w:vAlign w:val="center"/>
          </w:tcPr>
          <w:p w14:paraId="795E79E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潜污泵</w:t>
            </w:r>
          </w:p>
        </w:tc>
        <w:tc>
          <w:tcPr>
            <w:tcW w:w="3834" w:type="dxa"/>
            <w:vAlign w:val="center"/>
          </w:tcPr>
          <w:p w14:paraId="387890E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广一、白云、肯富来、上海申宝、上海凯泉</w:t>
            </w:r>
          </w:p>
        </w:tc>
        <w:tc>
          <w:tcPr>
            <w:tcW w:w="2001" w:type="dxa"/>
            <w:vAlign w:val="center"/>
          </w:tcPr>
          <w:p w14:paraId="045BC810">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5016AEA1">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064C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9248" w:type="dxa"/>
            <w:gridSpan w:val="5"/>
            <w:vAlign w:val="center"/>
          </w:tcPr>
          <w:p w14:paraId="6A1EF333">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 xml:space="preserve">4、室外给水系统 </w:t>
            </w:r>
          </w:p>
        </w:tc>
      </w:tr>
      <w:tr w14:paraId="1C757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67B673B">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4.1</w:t>
            </w:r>
          </w:p>
        </w:tc>
        <w:tc>
          <w:tcPr>
            <w:tcW w:w="1379" w:type="dxa"/>
            <w:vAlign w:val="center"/>
          </w:tcPr>
          <w:p w14:paraId="77342AC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HDPE钢丝网骨架复合管</w:t>
            </w:r>
          </w:p>
        </w:tc>
        <w:tc>
          <w:tcPr>
            <w:tcW w:w="3834" w:type="dxa"/>
            <w:vAlign w:val="center"/>
          </w:tcPr>
          <w:p w14:paraId="275B221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参照3.7</w:t>
            </w:r>
          </w:p>
        </w:tc>
        <w:tc>
          <w:tcPr>
            <w:tcW w:w="2001" w:type="dxa"/>
            <w:vAlign w:val="center"/>
          </w:tcPr>
          <w:p w14:paraId="6E378C9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CJ／T123—2004《给水用钢骨架聚乙烯塑料复合管》、CJ/T 124-2004《给水用钢骨架聚乙烯塑料复合管件》</w:t>
            </w:r>
          </w:p>
        </w:tc>
        <w:tc>
          <w:tcPr>
            <w:tcW w:w="1220" w:type="dxa"/>
            <w:vAlign w:val="center"/>
          </w:tcPr>
          <w:p w14:paraId="64188A1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C8B7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25D653B">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4.2</w:t>
            </w:r>
          </w:p>
        </w:tc>
        <w:tc>
          <w:tcPr>
            <w:tcW w:w="1379" w:type="dxa"/>
            <w:vAlign w:val="center"/>
          </w:tcPr>
          <w:p w14:paraId="3401635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镀锌钢管</w:t>
            </w:r>
          </w:p>
        </w:tc>
        <w:tc>
          <w:tcPr>
            <w:tcW w:w="3834" w:type="dxa"/>
            <w:vAlign w:val="center"/>
          </w:tcPr>
          <w:p w14:paraId="344C274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穗生、华粤、珠江、华捷、联塑</w:t>
            </w:r>
          </w:p>
        </w:tc>
        <w:tc>
          <w:tcPr>
            <w:tcW w:w="2001" w:type="dxa"/>
            <w:vAlign w:val="center"/>
          </w:tcPr>
          <w:p w14:paraId="688C2E4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64D939C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66B9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DFB0081">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4.3</w:t>
            </w:r>
          </w:p>
        </w:tc>
        <w:tc>
          <w:tcPr>
            <w:tcW w:w="1379" w:type="dxa"/>
            <w:vAlign w:val="center"/>
          </w:tcPr>
          <w:p w14:paraId="714F033E">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球墨铸铁给水管</w:t>
            </w:r>
          </w:p>
        </w:tc>
        <w:tc>
          <w:tcPr>
            <w:tcW w:w="3834" w:type="dxa"/>
            <w:vAlign w:val="center"/>
          </w:tcPr>
          <w:p w14:paraId="7F3C4C11">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新兴、台明、骏通、永通、晨晖管业</w:t>
            </w:r>
          </w:p>
        </w:tc>
        <w:tc>
          <w:tcPr>
            <w:tcW w:w="2001" w:type="dxa"/>
            <w:vAlign w:val="center"/>
          </w:tcPr>
          <w:p w14:paraId="473F33C4">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EB1CF53">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000C8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97DD635">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4</w:t>
            </w:r>
            <w:r>
              <w:rPr>
                <w:rFonts w:ascii="宋体" w:hAnsi="宋体"/>
                <w:color w:val="000000" w:themeColor="text1"/>
                <w:sz w:val="21"/>
                <w:szCs w:val="21"/>
                <w:highlight w:val="none"/>
                <w14:textFill>
                  <w14:solidFill>
                    <w14:schemeClr w14:val="tx1"/>
                  </w14:solidFill>
                </w14:textFill>
              </w:rPr>
              <w:t>.4</w:t>
            </w:r>
          </w:p>
        </w:tc>
        <w:tc>
          <w:tcPr>
            <w:tcW w:w="1379" w:type="dxa"/>
            <w:vAlign w:val="center"/>
          </w:tcPr>
          <w:p w14:paraId="7B8F7D2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不锈钢给水管</w:t>
            </w:r>
          </w:p>
        </w:tc>
        <w:tc>
          <w:tcPr>
            <w:tcW w:w="3834" w:type="dxa"/>
            <w:vAlign w:val="center"/>
          </w:tcPr>
          <w:p w14:paraId="4AC223F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美亚、双兴、粤华、玫德雅昌、民乐管业</w:t>
            </w:r>
          </w:p>
        </w:tc>
        <w:tc>
          <w:tcPr>
            <w:tcW w:w="2001" w:type="dxa"/>
            <w:vAlign w:val="center"/>
          </w:tcPr>
          <w:p w14:paraId="14EA242E">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757AB8B2">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A734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9248" w:type="dxa"/>
            <w:gridSpan w:val="5"/>
            <w:vAlign w:val="center"/>
          </w:tcPr>
          <w:p w14:paraId="7C044260">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 xml:space="preserve">5、室外排水系统 </w:t>
            </w:r>
          </w:p>
        </w:tc>
      </w:tr>
      <w:tr w14:paraId="5443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2" w:hRule="atLeast"/>
        </w:trPr>
        <w:tc>
          <w:tcPr>
            <w:tcW w:w="814" w:type="dxa"/>
            <w:vAlign w:val="center"/>
          </w:tcPr>
          <w:p w14:paraId="43F5282F">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5.1</w:t>
            </w:r>
          </w:p>
        </w:tc>
        <w:tc>
          <w:tcPr>
            <w:tcW w:w="1379" w:type="dxa"/>
            <w:vAlign w:val="center"/>
          </w:tcPr>
          <w:p w14:paraId="2F137B3A">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UPVC波纹管/HDPE波纹管</w:t>
            </w:r>
          </w:p>
        </w:tc>
        <w:tc>
          <w:tcPr>
            <w:tcW w:w="3834" w:type="dxa"/>
            <w:vAlign w:val="center"/>
          </w:tcPr>
          <w:p w14:paraId="196B25F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参照3.7</w:t>
            </w:r>
          </w:p>
        </w:tc>
        <w:tc>
          <w:tcPr>
            <w:tcW w:w="2001" w:type="dxa"/>
            <w:vAlign w:val="center"/>
          </w:tcPr>
          <w:p w14:paraId="3E9CD3B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17302E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A82E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2BAB8CC5">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5.2</w:t>
            </w:r>
          </w:p>
        </w:tc>
        <w:tc>
          <w:tcPr>
            <w:tcW w:w="1379" w:type="dxa"/>
            <w:vMerge w:val="restart"/>
            <w:vAlign w:val="center"/>
          </w:tcPr>
          <w:p w14:paraId="6F442899">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钢筋混凝土管</w:t>
            </w:r>
          </w:p>
        </w:tc>
        <w:tc>
          <w:tcPr>
            <w:tcW w:w="3834" w:type="dxa"/>
            <w:vAlign w:val="center"/>
          </w:tcPr>
          <w:p w14:paraId="24D656EA">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广州市萝岗区源华水泥预制件厂</w:t>
            </w:r>
          </w:p>
        </w:tc>
        <w:tc>
          <w:tcPr>
            <w:tcW w:w="2001" w:type="dxa"/>
            <w:vMerge w:val="restart"/>
            <w:vAlign w:val="center"/>
          </w:tcPr>
          <w:p w14:paraId="4DD1270C">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6BD3E19B">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32E5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AE00B0C">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014A5E0">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032C460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中山市大友建材有限公司</w:t>
            </w:r>
          </w:p>
        </w:tc>
        <w:tc>
          <w:tcPr>
            <w:tcW w:w="2001" w:type="dxa"/>
            <w:vMerge w:val="continue"/>
            <w:vAlign w:val="center"/>
          </w:tcPr>
          <w:p w14:paraId="5487A1EF">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25C1F6C">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C494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4" w:hRule="atLeast"/>
        </w:trPr>
        <w:tc>
          <w:tcPr>
            <w:tcW w:w="814" w:type="dxa"/>
            <w:vMerge w:val="continue"/>
            <w:vAlign w:val="center"/>
          </w:tcPr>
          <w:p w14:paraId="347F2BC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0DBE37E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574240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广州市千业建筑材料有限公司</w:t>
            </w:r>
          </w:p>
        </w:tc>
        <w:tc>
          <w:tcPr>
            <w:tcW w:w="2001" w:type="dxa"/>
            <w:vMerge w:val="continue"/>
            <w:vAlign w:val="center"/>
          </w:tcPr>
          <w:p w14:paraId="63975C29">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40B78A81">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D535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2878821">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247E073F">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1E8CAA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广东坤达管业有限公司</w:t>
            </w:r>
          </w:p>
        </w:tc>
        <w:tc>
          <w:tcPr>
            <w:tcW w:w="2001" w:type="dxa"/>
            <w:vMerge w:val="continue"/>
            <w:vAlign w:val="center"/>
          </w:tcPr>
          <w:p w14:paraId="2AB2BC63">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5F1EE65">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0C887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1304D31">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050E0255">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057C2CD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广州市番禺区荣成建基水泥制品厂</w:t>
            </w:r>
          </w:p>
        </w:tc>
        <w:tc>
          <w:tcPr>
            <w:tcW w:w="2001" w:type="dxa"/>
            <w:vMerge w:val="continue"/>
            <w:vAlign w:val="center"/>
          </w:tcPr>
          <w:p w14:paraId="07D09277">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78FA3B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0B57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6B59432A">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5.3</w:t>
            </w:r>
          </w:p>
        </w:tc>
        <w:tc>
          <w:tcPr>
            <w:tcW w:w="1379" w:type="dxa"/>
            <w:vMerge w:val="restart"/>
            <w:vAlign w:val="center"/>
          </w:tcPr>
          <w:p w14:paraId="5A729F2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塑料检查井</w:t>
            </w:r>
          </w:p>
        </w:tc>
        <w:tc>
          <w:tcPr>
            <w:tcW w:w="3834" w:type="dxa"/>
            <w:vAlign w:val="center"/>
          </w:tcPr>
          <w:p w14:paraId="7A50E04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广东联塑科技实业有限公司</w:t>
            </w:r>
          </w:p>
        </w:tc>
        <w:tc>
          <w:tcPr>
            <w:tcW w:w="2001" w:type="dxa"/>
            <w:vMerge w:val="restart"/>
            <w:vAlign w:val="center"/>
          </w:tcPr>
          <w:p w14:paraId="0BB9E63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75C1390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3E24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C992FA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3BC66207">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4AB752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安徽金塑管业科技有限公司</w:t>
            </w:r>
          </w:p>
        </w:tc>
        <w:tc>
          <w:tcPr>
            <w:tcW w:w="2001" w:type="dxa"/>
            <w:vMerge w:val="continue"/>
            <w:vAlign w:val="center"/>
          </w:tcPr>
          <w:p w14:paraId="00B9D4AD">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420A838">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486A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C0166E5">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CD53FDA">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3BFF4DC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台州改善塑业有限公司</w:t>
            </w:r>
          </w:p>
        </w:tc>
        <w:tc>
          <w:tcPr>
            <w:tcW w:w="2001" w:type="dxa"/>
            <w:vMerge w:val="continue"/>
            <w:vAlign w:val="center"/>
          </w:tcPr>
          <w:p w14:paraId="4C58E034">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89E1B3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07843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C6D69E6">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C846814">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7E99CB1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江苏河马井股份有限公司</w:t>
            </w:r>
          </w:p>
        </w:tc>
        <w:tc>
          <w:tcPr>
            <w:tcW w:w="2001" w:type="dxa"/>
            <w:vMerge w:val="continue"/>
            <w:vAlign w:val="center"/>
          </w:tcPr>
          <w:p w14:paraId="6D101221">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C947CC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CCFF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5DF6B57">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725DC13">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27874E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广东正德环保科技有限公司</w:t>
            </w:r>
          </w:p>
        </w:tc>
        <w:tc>
          <w:tcPr>
            <w:tcW w:w="2001" w:type="dxa"/>
            <w:vMerge w:val="continue"/>
            <w:vAlign w:val="center"/>
          </w:tcPr>
          <w:p w14:paraId="022AB8DD">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C02A710">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9793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60D700EB">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5.4</w:t>
            </w:r>
          </w:p>
        </w:tc>
        <w:tc>
          <w:tcPr>
            <w:tcW w:w="1379" w:type="dxa"/>
            <w:vMerge w:val="restart"/>
            <w:vAlign w:val="center"/>
          </w:tcPr>
          <w:p w14:paraId="334B1568">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玻璃钢化粪池</w:t>
            </w:r>
          </w:p>
        </w:tc>
        <w:tc>
          <w:tcPr>
            <w:tcW w:w="3834" w:type="dxa"/>
            <w:vAlign w:val="center"/>
          </w:tcPr>
          <w:p w14:paraId="62810F0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广州市康为环保设备有限公司</w:t>
            </w:r>
          </w:p>
        </w:tc>
        <w:tc>
          <w:tcPr>
            <w:tcW w:w="2001" w:type="dxa"/>
            <w:vMerge w:val="restart"/>
            <w:vAlign w:val="center"/>
          </w:tcPr>
          <w:p w14:paraId="0C2B182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6C4A4D0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C162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9912ED5">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1BE7F1E">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541F5E4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广州市双新环保设备有限公司</w:t>
            </w:r>
          </w:p>
        </w:tc>
        <w:tc>
          <w:tcPr>
            <w:tcW w:w="2001" w:type="dxa"/>
            <w:vMerge w:val="continue"/>
            <w:vAlign w:val="center"/>
          </w:tcPr>
          <w:p w14:paraId="5271262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59D1AE3D">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A681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A06BEF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FD998BF">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69C5B10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广州恒古机电设备有限公司</w:t>
            </w:r>
          </w:p>
        </w:tc>
        <w:tc>
          <w:tcPr>
            <w:tcW w:w="2001" w:type="dxa"/>
            <w:vMerge w:val="continue"/>
            <w:vAlign w:val="center"/>
          </w:tcPr>
          <w:p w14:paraId="60243021">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75747BD">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C4DC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565CEF2">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DC0D6FB">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7A04367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佛山健之源生物环保科技有限公司</w:t>
            </w:r>
          </w:p>
        </w:tc>
        <w:tc>
          <w:tcPr>
            <w:tcW w:w="2001" w:type="dxa"/>
            <w:vMerge w:val="continue"/>
            <w:vAlign w:val="center"/>
          </w:tcPr>
          <w:p w14:paraId="0EA99666">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AFB7896">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7C9A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F0F688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D28BAFC">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7E9A302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广州宇唐环保设备有限公司</w:t>
            </w:r>
          </w:p>
        </w:tc>
        <w:tc>
          <w:tcPr>
            <w:tcW w:w="2001" w:type="dxa"/>
            <w:vMerge w:val="continue"/>
            <w:vAlign w:val="center"/>
          </w:tcPr>
          <w:p w14:paraId="7C357957">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A7CFB83">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7758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D711D16">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 xml:space="preserve">6、消防（水）系统 </w:t>
            </w:r>
          </w:p>
        </w:tc>
      </w:tr>
      <w:tr w14:paraId="1AB6C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3ECEAAA">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6.1</w:t>
            </w:r>
          </w:p>
        </w:tc>
        <w:tc>
          <w:tcPr>
            <w:tcW w:w="1379" w:type="dxa"/>
            <w:vAlign w:val="center"/>
          </w:tcPr>
          <w:p w14:paraId="52F33620">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消防水产品</w:t>
            </w:r>
          </w:p>
          <w:p w14:paraId="57705692">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（喷头、水流指示器、湿式报警阀组、水泵接合器、信号阀等）</w:t>
            </w:r>
          </w:p>
        </w:tc>
        <w:tc>
          <w:tcPr>
            <w:tcW w:w="3834" w:type="dxa"/>
            <w:vAlign w:val="center"/>
          </w:tcPr>
          <w:p w14:paraId="0BB5FCE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胜捷、振兴、瑞城、白沙、上海金盾、川消</w:t>
            </w:r>
          </w:p>
        </w:tc>
        <w:tc>
          <w:tcPr>
            <w:tcW w:w="2001" w:type="dxa"/>
            <w:vAlign w:val="center"/>
          </w:tcPr>
          <w:p w14:paraId="5FB4DA6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82C68A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必须同时满足消防验收要求　</w:t>
            </w:r>
          </w:p>
        </w:tc>
      </w:tr>
      <w:tr w14:paraId="75869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1947350">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6.2</w:t>
            </w:r>
          </w:p>
        </w:tc>
        <w:tc>
          <w:tcPr>
            <w:tcW w:w="1379" w:type="dxa"/>
            <w:vAlign w:val="center"/>
          </w:tcPr>
          <w:p w14:paraId="6718B640">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消火栓/灭火器材</w:t>
            </w:r>
          </w:p>
        </w:tc>
        <w:tc>
          <w:tcPr>
            <w:tcW w:w="3834" w:type="dxa"/>
            <w:vAlign w:val="center"/>
          </w:tcPr>
          <w:p w14:paraId="3A14AE8F">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参照6.1</w:t>
            </w:r>
          </w:p>
        </w:tc>
        <w:tc>
          <w:tcPr>
            <w:tcW w:w="2001" w:type="dxa"/>
            <w:vAlign w:val="center"/>
          </w:tcPr>
          <w:p w14:paraId="467980B6">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E4B9B03">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必须同时满足消防验收要求</w:t>
            </w:r>
          </w:p>
        </w:tc>
      </w:tr>
      <w:tr w14:paraId="30972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6F0B874">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6.3</w:t>
            </w:r>
          </w:p>
        </w:tc>
        <w:tc>
          <w:tcPr>
            <w:tcW w:w="1379" w:type="dxa"/>
            <w:vAlign w:val="center"/>
          </w:tcPr>
          <w:p w14:paraId="1BE1161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消防水泵及控制柜</w:t>
            </w:r>
          </w:p>
        </w:tc>
        <w:tc>
          <w:tcPr>
            <w:tcW w:w="3834" w:type="dxa"/>
            <w:vAlign w:val="center"/>
          </w:tcPr>
          <w:p w14:paraId="2518D23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参照3.8</w:t>
            </w:r>
          </w:p>
        </w:tc>
        <w:tc>
          <w:tcPr>
            <w:tcW w:w="2001" w:type="dxa"/>
            <w:vAlign w:val="center"/>
          </w:tcPr>
          <w:p w14:paraId="444620E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1687D2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05945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23119C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6.4</w:t>
            </w:r>
          </w:p>
        </w:tc>
        <w:tc>
          <w:tcPr>
            <w:tcW w:w="1379" w:type="dxa"/>
            <w:vAlign w:val="center"/>
          </w:tcPr>
          <w:p w14:paraId="20B5F01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七氟丙烷自动灭火系统</w:t>
            </w:r>
          </w:p>
        </w:tc>
        <w:tc>
          <w:tcPr>
            <w:tcW w:w="3834" w:type="dxa"/>
            <w:vAlign w:val="center"/>
          </w:tcPr>
          <w:p w14:paraId="7EC82FD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参照6.1</w:t>
            </w:r>
          </w:p>
        </w:tc>
        <w:tc>
          <w:tcPr>
            <w:tcW w:w="2001" w:type="dxa"/>
            <w:vAlign w:val="center"/>
          </w:tcPr>
          <w:p w14:paraId="60E03F9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5F57BA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867A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9248" w:type="dxa"/>
            <w:gridSpan w:val="5"/>
            <w:vAlign w:val="center"/>
          </w:tcPr>
          <w:p w14:paraId="2746F667">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 xml:space="preserve">7、电气系统 </w:t>
            </w:r>
          </w:p>
        </w:tc>
      </w:tr>
      <w:tr w14:paraId="77305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B51C31A">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w:t>
            </w:r>
          </w:p>
        </w:tc>
        <w:tc>
          <w:tcPr>
            <w:tcW w:w="1379" w:type="dxa"/>
            <w:vAlign w:val="center"/>
          </w:tcPr>
          <w:p w14:paraId="3AB6BDC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高压柜/低压柜/环网柜</w:t>
            </w:r>
          </w:p>
        </w:tc>
        <w:tc>
          <w:tcPr>
            <w:tcW w:w="3834" w:type="dxa"/>
            <w:vAlign w:val="center"/>
          </w:tcPr>
          <w:p w14:paraId="0F9B1C3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施富电气、BYE白云、穗达电气、广高、金铭利、思东利、奥克斯、义明牌</w:t>
            </w:r>
          </w:p>
        </w:tc>
        <w:tc>
          <w:tcPr>
            <w:tcW w:w="2001" w:type="dxa"/>
            <w:vAlign w:val="center"/>
          </w:tcPr>
          <w:p w14:paraId="4C952D5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1F821A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必须同时满足南方电网的技术要求</w:t>
            </w:r>
          </w:p>
        </w:tc>
      </w:tr>
      <w:tr w14:paraId="0A1F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2" w:hRule="atLeast"/>
        </w:trPr>
        <w:tc>
          <w:tcPr>
            <w:tcW w:w="814" w:type="dxa"/>
            <w:vAlign w:val="center"/>
          </w:tcPr>
          <w:p w14:paraId="15261D06">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7.2</w:t>
            </w:r>
          </w:p>
        </w:tc>
        <w:tc>
          <w:tcPr>
            <w:tcW w:w="1379" w:type="dxa"/>
            <w:vAlign w:val="center"/>
          </w:tcPr>
          <w:p w14:paraId="72341CA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高压柜元器件/低压柜元器件</w:t>
            </w:r>
          </w:p>
        </w:tc>
        <w:tc>
          <w:tcPr>
            <w:tcW w:w="3834" w:type="dxa"/>
            <w:vAlign w:val="center"/>
          </w:tcPr>
          <w:p w14:paraId="543C630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BYE白云、西门子、广高、施耐德电气、奥克斯、义明牌</w:t>
            </w:r>
          </w:p>
        </w:tc>
        <w:tc>
          <w:tcPr>
            <w:tcW w:w="2001" w:type="dxa"/>
            <w:vAlign w:val="center"/>
          </w:tcPr>
          <w:p w14:paraId="2BB0B3A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4E9D86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必须同时满足南方电网的技术要求</w:t>
            </w:r>
          </w:p>
        </w:tc>
      </w:tr>
      <w:tr w14:paraId="50A54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DE7226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7.3</w:t>
            </w:r>
          </w:p>
        </w:tc>
        <w:tc>
          <w:tcPr>
            <w:tcW w:w="1379" w:type="dxa"/>
            <w:vAlign w:val="center"/>
          </w:tcPr>
          <w:p w14:paraId="27208D0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电力变压器</w:t>
            </w:r>
          </w:p>
        </w:tc>
        <w:tc>
          <w:tcPr>
            <w:tcW w:w="3834" w:type="dxa"/>
            <w:vAlign w:val="center"/>
          </w:tcPr>
          <w:p w14:paraId="26CF593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穗达电气、广高、中国中车骏发、安森普莱、海鸿、奥克斯、义明牌</w:t>
            </w:r>
          </w:p>
        </w:tc>
        <w:tc>
          <w:tcPr>
            <w:tcW w:w="2001" w:type="dxa"/>
            <w:vAlign w:val="center"/>
          </w:tcPr>
          <w:p w14:paraId="7B9EE06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GB1094.11-2007《电力变压器第11部分 干式变压器》、GB／T 1094.12-2013《电力变压器 第12部分：干式电力变压器负载导则》、GB/T10228-2015  《干式电力变压器技术参数和要求》</w:t>
            </w:r>
          </w:p>
        </w:tc>
        <w:tc>
          <w:tcPr>
            <w:tcW w:w="1220" w:type="dxa"/>
            <w:vAlign w:val="center"/>
          </w:tcPr>
          <w:p w14:paraId="1914DE6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必须同时满足南方电网的技术要求</w:t>
            </w:r>
          </w:p>
        </w:tc>
      </w:tr>
      <w:tr w14:paraId="71CE8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6F59B470">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7.4</w:t>
            </w:r>
          </w:p>
        </w:tc>
        <w:tc>
          <w:tcPr>
            <w:tcW w:w="1379" w:type="dxa"/>
            <w:vAlign w:val="center"/>
          </w:tcPr>
          <w:p w14:paraId="5F6C2864">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动力、照明配电箱</w:t>
            </w:r>
          </w:p>
        </w:tc>
        <w:tc>
          <w:tcPr>
            <w:tcW w:w="3834" w:type="dxa"/>
            <w:vAlign w:val="center"/>
          </w:tcPr>
          <w:p w14:paraId="5356805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BYE白云、穗达电气、广高、金铭利、科铭、奥克斯、义明牌</w:t>
            </w:r>
          </w:p>
        </w:tc>
        <w:tc>
          <w:tcPr>
            <w:tcW w:w="2001" w:type="dxa"/>
            <w:vAlign w:val="center"/>
          </w:tcPr>
          <w:p w14:paraId="38862E5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EABD9C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4C71E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1B1A1D1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7.5</w:t>
            </w:r>
          </w:p>
        </w:tc>
        <w:tc>
          <w:tcPr>
            <w:tcW w:w="1379" w:type="dxa"/>
            <w:vAlign w:val="center"/>
          </w:tcPr>
          <w:p w14:paraId="53D9E43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电表箱</w:t>
            </w:r>
          </w:p>
        </w:tc>
        <w:tc>
          <w:tcPr>
            <w:tcW w:w="3834" w:type="dxa"/>
            <w:vAlign w:val="center"/>
          </w:tcPr>
          <w:p w14:paraId="691550B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参考7.4</w:t>
            </w:r>
          </w:p>
        </w:tc>
        <w:tc>
          <w:tcPr>
            <w:tcW w:w="2001" w:type="dxa"/>
            <w:vAlign w:val="center"/>
          </w:tcPr>
          <w:p w14:paraId="71C79AC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188E97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8650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8D7892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7.6</w:t>
            </w:r>
          </w:p>
        </w:tc>
        <w:tc>
          <w:tcPr>
            <w:tcW w:w="1379" w:type="dxa"/>
            <w:vAlign w:val="center"/>
          </w:tcPr>
          <w:p w14:paraId="0FB6896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三箱内主要电气元器件</w:t>
            </w:r>
          </w:p>
        </w:tc>
        <w:tc>
          <w:tcPr>
            <w:tcW w:w="3834" w:type="dxa"/>
            <w:vAlign w:val="center"/>
          </w:tcPr>
          <w:p w14:paraId="68C1BFC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BYE白云、良信、天正、施耐德电气、珠江利维</w:t>
            </w:r>
          </w:p>
        </w:tc>
        <w:tc>
          <w:tcPr>
            <w:tcW w:w="2001" w:type="dxa"/>
            <w:vAlign w:val="center"/>
          </w:tcPr>
          <w:p w14:paraId="6BE8330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5FB652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BEC1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7F36CFC">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7.7</w:t>
            </w:r>
          </w:p>
        </w:tc>
        <w:tc>
          <w:tcPr>
            <w:tcW w:w="1379" w:type="dxa"/>
            <w:vAlign w:val="center"/>
          </w:tcPr>
          <w:p w14:paraId="10A8D0D9">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柴油发电机</w:t>
            </w:r>
          </w:p>
        </w:tc>
        <w:tc>
          <w:tcPr>
            <w:tcW w:w="3834" w:type="dxa"/>
            <w:vAlign w:val="center"/>
          </w:tcPr>
          <w:p w14:paraId="3760CB61">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玉柴、潍柴、东风康明斯、济柴、无锡动力</w:t>
            </w:r>
          </w:p>
        </w:tc>
        <w:tc>
          <w:tcPr>
            <w:tcW w:w="3221" w:type="dxa"/>
            <w:gridSpan w:val="2"/>
            <w:vAlign w:val="center"/>
          </w:tcPr>
          <w:p w14:paraId="17672B12">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V型12缸，四冲程，1500分/转；2、无刷﹑自励（永磁励磁）﹑自调（数字式电压调整器）﹑自通风，至载至满载电压保持1%之间；3、为24V直流电启动，可容易连续启动6冷以上，并设有柴油机带动的自动充电机。机组能在停电或紧急状态下快速自启动，启动后15秒内可正常供电。当市电恢复或紧急状态消除时，机组应能自动停机。</w:t>
            </w:r>
          </w:p>
        </w:tc>
      </w:tr>
      <w:tr w14:paraId="0CE42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BE4B575">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7.8</w:t>
            </w:r>
          </w:p>
        </w:tc>
        <w:tc>
          <w:tcPr>
            <w:tcW w:w="1379" w:type="dxa"/>
            <w:vAlign w:val="center"/>
          </w:tcPr>
          <w:p w14:paraId="70121E6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开关、插座</w:t>
            </w:r>
          </w:p>
        </w:tc>
        <w:tc>
          <w:tcPr>
            <w:tcW w:w="3834" w:type="dxa"/>
            <w:vAlign w:val="center"/>
          </w:tcPr>
          <w:p w14:paraId="0225012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松本、罗格朗、西门子、TCL、施耐德电气</w:t>
            </w:r>
          </w:p>
        </w:tc>
        <w:tc>
          <w:tcPr>
            <w:tcW w:w="2001" w:type="dxa"/>
            <w:vAlign w:val="center"/>
          </w:tcPr>
          <w:p w14:paraId="60AAF82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9FFFEF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E85E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70085F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7.9</w:t>
            </w:r>
          </w:p>
        </w:tc>
        <w:tc>
          <w:tcPr>
            <w:tcW w:w="1379" w:type="dxa"/>
            <w:vAlign w:val="center"/>
          </w:tcPr>
          <w:p w14:paraId="5A1F6E14">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电缆</w:t>
            </w:r>
          </w:p>
        </w:tc>
        <w:tc>
          <w:tcPr>
            <w:tcW w:w="3834" w:type="dxa"/>
            <w:vAlign w:val="center"/>
          </w:tcPr>
          <w:p w14:paraId="02CED4F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双菱、NAN南牌、乐光、花城、环市、南电、新兴</w:t>
            </w:r>
          </w:p>
        </w:tc>
        <w:tc>
          <w:tcPr>
            <w:tcW w:w="2001" w:type="dxa"/>
            <w:vAlign w:val="center"/>
          </w:tcPr>
          <w:p w14:paraId="53CC466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EB55B8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C553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1D357D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7.10</w:t>
            </w:r>
          </w:p>
        </w:tc>
        <w:tc>
          <w:tcPr>
            <w:tcW w:w="1379" w:type="dxa"/>
            <w:vAlign w:val="center"/>
          </w:tcPr>
          <w:p w14:paraId="43DCE42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电线</w:t>
            </w:r>
          </w:p>
        </w:tc>
        <w:tc>
          <w:tcPr>
            <w:tcW w:w="3834" w:type="dxa"/>
            <w:vAlign w:val="center"/>
          </w:tcPr>
          <w:p w14:paraId="0C28EC2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参考7</w:t>
            </w:r>
            <w:r>
              <w:rPr>
                <w:rFonts w:ascii="宋体" w:hAnsi="宋体"/>
                <w:color w:val="000000" w:themeColor="text1"/>
                <w:sz w:val="21"/>
                <w:szCs w:val="21"/>
                <w:highlight w:val="none"/>
                <w14:textFill>
                  <w14:solidFill>
                    <w14:schemeClr w14:val="tx1"/>
                  </w14:solidFill>
                </w14:textFill>
              </w:rPr>
              <w:t xml:space="preserve">.9 </w:t>
            </w:r>
          </w:p>
        </w:tc>
        <w:tc>
          <w:tcPr>
            <w:tcW w:w="2001" w:type="dxa"/>
            <w:vAlign w:val="center"/>
          </w:tcPr>
          <w:p w14:paraId="18F975E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352D0CE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9DD2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0" w:hRule="atLeast"/>
        </w:trPr>
        <w:tc>
          <w:tcPr>
            <w:tcW w:w="814" w:type="dxa"/>
            <w:vAlign w:val="center"/>
          </w:tcPr>
          <w:p w14:paraId="0C865BC9">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7.11</w:t>
            </w:r>
          </w:p>
        </w:tc>
        <w:tc>
          <w:tcPr>
            <w:tcW w:w="1379" w:type="dxa"/>
            <w:vAlign w:val="center"/>
          </w:tcPr>
          <w:p w14:paraId="197BEDF0">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母线槽</w:t>
            </w:r>
          </w:p>
        </w:tc>
        <w:tc>
          <w:tcPr>
            <w:tcW w:w="3834" w:type="dxa"/>
            <w:vAlign w:val="center"/>
          </w:tcPr>
          <w:p w14:paraId="4263C15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BYE白云、穗达电气、广州半径、南电、金铭利电气、富美</w:t>
            </w:r>
          </w:p>
        </w:tc>
        <w:tc>
          <w:tcPr>
            <w:tcW w:w="2001" w:type="dxa"/>
            <w:vAlign w:val="center"/>
          </w:tcPr>
          <w:p w14:paraId="07FD067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0ECDCB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BC1B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4465E0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7.12</w:t>
            </w:r>
          </w:p>
        </w:tc>
        <w:tc>
          <w:tcPr>
            <w:tcW w:w="1379" w:type="dxa"/>
            <w:vAlign w:val="center"/>
          </w:tcPr>
          <w:p w14:paraId="7A92D74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桥架、金属线管</w:t>
            </w:r>
          </w:p>
        </w:tc>
        <w:tc>
          <w:tcPr>
            <w:tcW w:w="3834" w:type="dxa"/>
            <w:vAlign w:val="center"/>
          </w:tcPr>
          <w:p w14:paraId="6E59FF0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天虹、宏际、中兴、QJ、文兴</w:t>
            </w:r>
          </w:p>
        </w:tc>
        <w:tc>
          <w:tcPr>
            <w:tcW w:w="2001" w:type="dxa"/>
            <w:vAlign w:val="center"/>
          </w:tcPr>
          <w:p w14:paraId="0D9ABFE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4C02E6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3742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2E02CA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7.13</w:t>
            </w:r>
          </w:p>
        </w:tc>
        <w:tc>
          <w:tcPr>
            <w:tcW w:w="1379" w:type="dxa"/>
            <w:vAlign w:val="center"/>
          </w:tcPr>
          <w:p w14:paraId="5D1E7F0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PVC塑料电线管</w:t>
            </w:r>
          </w:p>
        </w:tc>
        <w:tc>
          <w:tcPr>
            <w:tcW w:w="3834" w:type="dxa"/>
            <w:vAlign w:val="center"/>
          </w:tcPr>
          <w:p w14:paraId="75FC006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枫叶、锋牌、联塑、顾地、清塑</w:t>
            </w:r>
          </w:p>
        </w:tc>
        <w:tc>
          <w:tcPr>
            <w:tcW w:w="2001" w:type="dxa"/>
            <w:vAlign w:val="center"/>
          </w:tcPr>
          <w:p w14:paraId="5FA7D5C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4C1A21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98E9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29464536">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7.14</w:t>
            </w:r>
          </w:p>
        </w:tc>
        <w:tc>
          <w:tcPr>
            <w:tcW w:w="1379" w:type="dxa"/>
            <w:vAlign w:val="center"/>
          </w:tcPr>
          <w:p w14:paraId="07D9E05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室内照明灯具</w:t>
            </w:r>
          </w:p>
        </w:tc>
        <w:tc>
          <w:tcPr>
            <w:tcW w:w="3834" w:type="dxa"/>
            <w:vAlign w:val="center"/>
          </w:tcPr>
          <w:p w14:paraId="4C812F0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佛山照明、三雄极光、LMJ、德洛斯、TCL</w:t>
            </w:r>
          </w:p>
        </w:tc>
        <w:tc>
          <w:tcPr>
            <w:tcW w:w="2001" w:type="dxa"/>
            <w:vAlign w:val="center"/>
          </w:tcPr>
          <w:p w14:paraId="12F5A77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752723A0">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B855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trPr>
        <w:tc>
          <w:tcPr>
            <w:tcW w:w="814" w:type="dxa"/>
            <w:vAlign w:val="center"/>
          </w:tcPr>
          <w:p w14:paraId="6EC33CE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7.15</w:t>
            </w:r>
          </w:p>
        </w:tc>
        <w:tc>
          <w:tcPr>
            <w:tcW w:w="1379" w:type="dxa"/>
            <w:vAlign w:val="center"/>
          </w:tcPr>
          <w:p w14:paraId="5303CF78">
            <w:pPr>
              <w:ind w:left="-1" w:leftChars="-49" w:right="-77" w:rightChars="-35" w:hanging="107" w:hangingChars="51"/>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室外灯具（广场灯、路灯、景观灯、室外照明LED灯等）</w:t>
            </w:r>
          </w:p>
        </w:tc>
        <w:tc>
          <w:tcPr>
            <w:tcW w:w="3834" w:type="dxa"/>
            <w:vAlign w:val="center"/>
          </w:tcPr>
          <w:p w14:paraId="543B03F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三雄极光、佛山照明、雅江光电、LMJ、德洛斯</w:t>
            </w:r>
          </w:p>
        </w:tc>
        <w:tc>
          <w:tcPr>
            <w:tcW w:w="2001" w:type="dxa"/>
            <w:vAlign w:val="center"/>
          </w:tcPr>
          <w:p w14:paraId="7712E3C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AB84D9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6892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49B400D">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7.16</w:t>
            </w:r>
          </w:p>
        </w:tc>
        <w:tc>
          <w:tcPr>
            <w:tcW w:w="1379" w:type="dxa"/>
            <w:vAlign w:val="center"/>
          </w:tcPr>
          <w:p w14:paraId="12F5034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应急照明灯具</w:t>
            </w:r>
          </w:p>
        </w:tc>
        <w:tc>
          <w:tcPr>
            <w:tcW w:w="3834" w:type="dxa"/>
            <w:vAlign w:val="center"/>
          </w:tcPr>
          <w:p w14:paraId="5C8B520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三雄极光、普博消防、佛山照明、GST</w:t>
            </w:r>
            <w:r>
              <w:rPr>
                <w:rFonts w:ascii="宋体" w:hAnsi="宋体"/>
                <w:color w:val="000000" w:themeColor="text1"/>
                <w:sz w:val="21"/>
                <w:szCs w:val="21"/>
                <w:highlight w:val="none"/>
                <w14:textFill>
                  <w14:solidFill>
                    <w14:schemeClr w14:val="tx1"/>
                  </w14:solidFill>
                </w14:textFill>
              </w:rPr>
              <w:t xml:space="preserve"> </w:t>
            </w:r>
          </w:p>
        </w:tc>
        <w:tc>
          <w:tcPr>
            <w:tcW w:w="2001" w:type="dxa"/>
            <w:vAlign w:val="center"/>
          </w:tcPr>
          <w:p w14:paraId="67D66F7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880214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必须满足消防认证验收需求</w:t>
            </w:r>
          </w:p>
        </w:tc>
      </w:tr>
      <w:tr w14:paraId="48B9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7C9EDEB">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8、消防（电）系统</w:t>
            </w:r>
          </w:p>
        </w:tc>
      </w:tr>
      <w:tr w14:paraId="280C8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352E2C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8.1</w:t>
            </w:r>
          </w:p>
        </w:tc>
        <w:tc>
          <w:tcPr>
            <w:tcW w:w="1379" w:type="dxa"/>
            <w:vAlign w:val="center"/>
          </w:tcPr>
          <w:p w14:paraId="1DD1DC0F">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消防自动报警系统</w:t>
            </w:r>
          </w:p>
        </w:tc>
        <w:tc>
          <w:tcPr>
            <w:tcW w:w="3834" w:type="dxa"/>
            <w:vAlign w:val="center"/>
          </w:tcPr>
          <w:p w14:paraId="16F3EC0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利达、GST、北京西门子、普博消防、核中警</w:t>
            </w:r>
          </w:p>
        </w:tc>
        <w:tc>
          <w:tcPr>
            <w:tcW w:w="2001" w:type="dxa"/>
            <w:vAlign w:val="center"/>
          </w:tcPr>
          <w:p w14:paraId="26B31C2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404B691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5264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4B6110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8.2</w:t>
            </w:r>
          </w:p>
        </w:tc>
        <w:tc>
          <w:tcPr>
            <w:tcW w:w="1379" w:type="dxa"/>
            <w:vAlign w:val="center"/>
          </w:tcPr>
          <w:p w14:paraId="57B7655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防火卷帘</w:t>
            </w:r>
          </w:p>
        </w:tc>
        <w:tc>
          <w:tcPr>
            <w:tcW w:w="3834" w:type="dxa"/>
            <w:vAlign w:val="center"/>
          </w:tcPr>
          <w:p w14:paraId="31B6F4B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南粤、胜捷、飞风传动、白云南粤防火门</w:t>
            </w:r>
          </w:p>
        </w:tc>
        <w:tc>
          <w:tcPr>
            <w:tcW w:w="2001" w:type="dxa"/>
            <w:vAlign w:val="center"/>
          </w:tcPr>
          <w:p w14:paraId="52D63EC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034657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92AF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57ACBF12">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9、通风空调设备</w:t>
            </w:r>
          </w:p>
        </w:tc>
      </w:tr>
      <w:tr w14:paraId="5E6B4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FF1A51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9.1</w:t>
            </w:r>
          </w:p>
        </w:tc>
        <w:tc>
          <w:tcPr>
            <w:tcW w:w="1379" w:type="dxa"/>
            <w:vAlign w:val="center"/>
          </w:tcPr>
          <w:p w14:paraId="14583D9A">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冷水机组/离心风机</w:t>
            </w:r>
          </w:p>
        </w:tc>
        <w:tc>
          <w:tcPr>
            <w:tcW w:w="3834" w:type="dxa"/>
            <w:vAlign w:val="center"/>
          </w:tcPr>
          <w:p w14:paraId="183FFE4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约克YORK、日立冷机、华德羿歌、长沙远大集团、格力电器</w:t>
            </w:r>
          </w:p>
        </w:tc>
        <w:tc>
          <w:tcPr>
            <w:tcW w:w="2001" w:type="dxa"/>
            <w:vAlign w:val="center"/>
          </w:tcPr>
          <w:p w14:paraId="6A0AF8F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《公共建筑节能设计标准》GB50189-2005、《采暖通风与空气调节设计规范》GB50019-2003、《建筑节能工程施工质量验收规范》GB50411-2007</w:t>
            </w:r>
          </w:p>
        </w:tc>
        <w:tc>
          <w:tcPr>
            <w:tcW w:w="1220" w:type="dxa"/>
            <w:vAlign w:val="center"/>
          </w:tcPr>
          <w:p w14:paraId="41FE937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41E7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3FEAE2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9.2</w:t>
            </w:r>
          </w:p>
        </w:tc>
        <w:tc>
          <w:tcPr>
            <w:tcW w:w="1379" w:type="dxa"/>
            <w:vAlign w:val="center"/>
          </w:tcPr>
          <w:p w14:paraId="6C6B32A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多联机</w:t>
            </w:r>
          </w:p>
        </w:tc>
        <w:tc>
          <w:tcPr>
            <w:tcW w:w="3834" w:type="dxa"/>
            <w:vAlign w:val="center"/>
          </w:tcPr>
          <w:p w14:paraId="67841F5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格力电器、美的集团、HITACHI日立、天加、欧科空调、海尔集团</w:t>
            </w:r>
          </w:p>
        </w:tc>
        <w:tc>
          <w:tcPr>
            <w:tcW w:w="2001" w:type="dxa"/>
            <w:vAlign w:val="center"/>
          </w:tcPr>
          <w:p w14:paraId="52B4313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GB21454-2008《多联式空调（热泵）机组能效限定值及能源效率等级》、GB/T 18837-2002 《多联式空调（热泵）机组》、《公共建筑节能设计标准》GB50189-2005、《采暖通风与空气调节设计规范》GB50019-2003</w:t>
            </w:r>
          </w:p>
        </w:tc>
        <w:tc>
          <w:tcPr>
            <w:tcW w:w="1220" w:type="dxa"/>
            <w:vAlign w:val="center"/>
          </w:tcPr>
          <w:p w14:paraId="65CFE8A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0A3C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EE75DAD">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9.3</w:t>
            </w:r>
          </w:p>
        </w:tc>
        <w:tc>
          <w:tcPr>
            <w:tcW w:w="1379" w:type="dxa"/>
            <w:vAlign w:val="center"/>
          </w:tcPr>
          <w:p w14:paraId="1D01896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风机（离心风机、轴流风机、消防风机、排风机、送风机）</w:t>
            </w:r>
          </w:p>
        </w:tc>
        <w:tc>
          <w:tcPr>
            <w:tcW w:w="3834" w:type="dxa"/>
            <w:vAlign w:val="center"/>
          </w:tcPr>
          <w:p w14:paraId="5F00AF7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正野、南风股份、东莞飞达、鸿牛通风、百屋纯科技</w:t>
            </w:r>
          </w:p>
        </w:tc>
        <w:tc>
          <w:tcPr>
            <w:tcW w:w="2001" w:type="dxa"/>
            <w:vAlign w:val="center"/>
          </w:tcPr>
          <w:p w14:paraId="38588F3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公共建筑节能设计标准》GB50189-2005、《采暖通风与空气调节设计规范》GB50019-2003、《建筑节能工程施工质量验收规范》GB50411-2007</w:t>
            </w:r>
          </w:p>
        </w:tc>
        <w:tc>
          <w:tcPr>
            <w:tcW w:w="1220" w:type="dxa"/>
            <w:vAlign w:val="center"/>
          </w:tcPr>
          <w:p w14:paraId="387C390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049E6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56546CC">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9.4</w:t>
            </w:r>
          </w:p>
        </w:tc>
        <w:tc>
          <w:tcPr>
            <w:tcW w:w="1379" w:type="dxa"/>
            <w:vAlign w:val="center"/>
          </w:tcPr>
          <w:p w14:paraId="495A0375">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换气扇/排气扇</w:t>
            </w:r>
          </w:p>
        </w:tc>
        <w:tc>
          <w:tcPr>
            <w:tcW w:w="3834" w:type="dxa"/>
            <w:vAlign w:val="center"/>
          </w:tcPr>
          <w:p w14:paraId="1D438961">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金羚、正野、朗能电器、绿岛风、百屋纯科技</w:t>
            </w:r>
          </w:p>
        </w:tc>
        <w:tc>
          <w:tcPr>
            <w:tcW w:w="2001" w:type="dxa"/>
            <w:vAlign w:val="center"/>
          </w:tcPr>
          <w:p w14:paraId="42FA1AF7">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FE94F93">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2A1C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4BB0D082">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9.5</w:t>
            </w:r>
          </w:p>
        </w:tc>
        <w:tc>
          <w:tcPr>
            <w:tcW w:w="1379" w:type="dxa"/>
            <w:vMerge w:val="restart"/>
            <w:vAlign w:val="center"/>
          </w:tcPr>
          <w:p w14:paraId="593BD97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风口百叶/防雨百叶</w:t>
            </w:r>
          </w:p>
        </w:tc>
        <w:tc>
          <w:tcPr>
            <w:tcW w:w="3834" w:type="dxa"/>
            <w:vAlign w:val="center"/>
          </w:tcPr>
          <w:p w14:paraId="681202E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佛山市顺安空调设备有限公司</w:t>
            </w:r>
          </w:p>
        </w:tc>
        <w:tc>
          <w:tcPr>
            <w:tcW w:w="2001" w:type="dxa"/>
            <w:vMerge w:val="restart"/>
            <w:vAlign w:val="center"/>
          </w:tcPr>
          <w:p w14:paraId="1605D72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791C6D8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DA47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2AAFF3F">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50EDEF8">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768C83B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广州市耀安实业发展有限公司</w:t>
            </w:r>
          </w:p>
        </w:tc>
        <w:tc>
          <w:tcPr>
            <w:tcW w:w="2001" w:type="dxa"/>
            <w:vMerge w:val="continue"/>
            <w:vAlign w:val="center"/>
          </w:tcPr>
          <w:p w14:paraId="07A60975">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7C5784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D56D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A7D25A1">
            <w:pPr>
              <w:ind w:firstLine="36" w:firstLineChars="17"/>
              <w:jc w:val="center"/>
              <w:rPr>
                <w:rFonts w:hint="eastAsia" w:ascii="宋体" w:hAnsi="宋体"/>
                <w:b/>
                <w:color w:val="000000" w:themeColor="text1"/>
                <w:sz w:val="21"/>
                <w:szCs w:val="21"/>
                <w:highlight w:val="none"/>
                <w14:textFill>
                  <w14:solidFill>
                    <w14:schemeClr w14:val="tx1"/>
                  </w14:solidFill>
                </w14:textFill>
              </w:rPr>
            </w:pPr>
          </w:p>
        </w:tc>
        <w:tc>
          <w:tcPr>
            <w:tcW w:w="1379" w:type="dxa"/>
            <w:vMerge w:val="continue"/>
            <w:vAlign w:val="center"/>
          </w:tcPr>
          <w:p w14:paraId="5E1980FB">
            <w:pPr>
              <w:jc w:val="center"/>
              <w:rPr>
                <w:rFonts w:hint="eastAsia"/>
                <w:color w:val="000000" w:themeColor="text1"/>
                <w:highlight w:val="none"/>
                <w14:textFill>
                  <w14:solidFill>
                    <w14:schemeClr w14:val="tx1"/>
                  </w14:solidFill>
                </w14:textFill>
              </w:rPr>
            </w:pPr>
          </w:p>
        </w:tc>
        <w:tc>
          <w:tcPr>
            <w:tcW w:w="3834" w:type="dxa"/>
            <w:vAlign w:val="center"/>
          </w:tcPr>
          <w:p w14:paraId="137601D1">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东莞市飞达机电配套设备制造有限公司</w:t>
            </w:r>
          </w:p>
        </w:tc>
        <w:tc>
          <w:tcPr>
            <w:tcW w:w="2001" w:type="dxa"/>
            <w:vMerge w:val="continue"/>
            <w:vAlign w:val="center"/>
          </w:tcPr>
          <w:p w14:paraId="3130603B">
            <w:pPr>
              <w:ind w:firstLine="11" w:firstLineChars="5"/>
              <w:rPr>
                <w:rFonts w:hint="eastAsia"/>
                <w:color w:val="000000" w:themeColor="text1"/>
                <w:highlight w:val="none"/>
                <w14:textFill>
                  <w14:solidFill>
                    <w14:schemeClr w14:val="tx1"/>
                  </w14:solidFill>
                </w14:textFill>
              </w:rPr>
            </w:pPr>
          </w:p>
        </w:tc>
        <w:tc>
          <w:tcPr>
            <w:tcW w:w="1220" w:type="dxa"/>
            <w:vMerge w:val="continue"/>
            <w:vAlign w:val="center"/>
          </w:tcPr>
          <w:p w14:paraId="27E87ED8">
            <w:pPr>
              <w:ind w:firstLine="11" w:firstLineChars="5"/>
              <w:rPr>
                <w:rFonts w:hint="eastAsia"/>
                <w:color w:val="000000" w:themeColor="text1"/>
                <w:highlight w:val="none"/>
                <w14:textFill>
                  <w14:solidFill>
                    <w14:schemeClr w14:val="tx1"/>
                  </w14:solidFill>
                </w14:textFill>
              </w:rPr>
            </w:pPr>
          </w:p>
        </w:tc>
      </w:tr>
      <w:tr w14:paraId="1CC88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83F89BC">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2893B017">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4D71E1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佛山市鸿牛通风设备有限公司</w:t>
            </w:r>
          </w:p>
        </w:tc>
        <w:tc>
          <w:tcPr>
            <w:tcW w:w="2001" w:type="dxa"/>
            <w:vMerge w:val="continue"/>
            <w:vAlign w:val="center"/>
          </w:tcPr>
          <w:p w14:paraId="0BA98FD4">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2FF7217">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8559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3F25F2F">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43A6DE9">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097435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广州市百屋纯科技有限公司</w:t>
            </w:r>
          </w:p>
        </w:tc>
        <w:tc>
          <w:tcPr>
            <w:tcW w:w="2001" w:type="dxa"/>
            <w:vMerge w:val="continue"/>
            <w:vAlign w:val="center"/>
          </w:tcPr>
          <w:p w14:paraId="65FEFCD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2372365">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51ED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trPr>
        <w:tc>
          <w:tcPr>
            <w:tcW w:w="814" w:type="dxa"/>
            <w:vMerge w:val="restart"/>
            <w:vAlign w:val="center"/>
          </w:tcPr>
          <w:p w14:paraId="26BEE928">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9.6</w:t>
            </w:r>
          </w:p>
        </w:tc>
        <w:tc>
          <w:tcPr>
            <w:tcW w:w="1379" w:type="dxa"/>
            <w:vMerge w:val="restart"/>
            <w:vAlign w:val="center"/>
          </w:tcPr>
          <w:p w14:paraId="0503717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消声器</w:t>
            </w:r>
          </w:p>
        </w:tc>
        <w:tc>
          <w:tcPr>
            <w:tcW w:w="3834" w:type="dxa"/>
            <w:vAlign w:val="center"/>
          </w:tcPr>
          <w:p w14:paraId="70246BB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佛山市鸿牛通风设备有限公司</w:t>
            </w:r>
          </w:p>
        </w:tc>
        <w:tc>
          <w:tcPr>
            <w:tcW w:w="2001" w:type="dxa"/>
            <w:vMerge w:val="restart"/>
            <w:vAlign w:val="center"/>
          </w:tcPr>
          <w:p w14:paraId="40465AD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6618165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1B5F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0" w:hRule="atLeast"/>
        </w:trPr>
        <w:tc>
          <w:tcPr>
            <w:tcW w:w="814" w:type="dxa"/>
            <w:vMerge w:val="continue"/>
            <w:vAlign w:val="center"/>
          </w:tcPr>
          <w:p w14:paraId="4C440F9C">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A17BE5E">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BEF0F2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广州市耀安实业发展有限公司</w:t>
            </w:r>
          </w:p>
        </w:tc>
        <w:tc>
          <w:tcPr>
            <w:tcW w:w="2001" w:type="dxa"/>
            <w:vMerge w:val="continue"/>
            <w:vAlign w:val="center"/>
          </w:tcPr>
          <w:p w14:paraId="0D259122">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53D74C7">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73C7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C9E993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B694CCA">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1B3D1D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东莞市飞达机电配套设备制造有限公司</w:t>
            </w:r>
          </w:p>
        </w:tc>
        <w:tc>
          <w:tcPr>
            <w:tcW w:w="2001" w:type="dxa"/>
            <w:vMerge w:val="continue"/>
            <w:vAlign w:val="center"/>
          </w:tcPr>
          <w:p w14:paraId="3A866466">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50C66C7A">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6E5B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50E78E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673FE9E3">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9FC925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深圳中航大记公司</w:t>
            </w:r>
          </w:p>
        </w:tc>
        <w:tc>
          <w:tcPr>
            <w:tcW w:w="2001" w:type="dxa"/>
            <w:vMerge w:val="continue"/>
            <w:vAlign w:val="center"/>
          </w:tcPr>
          <w:p w14:paraId="0987DF04">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3C835F24">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0CE4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558FC8D">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1DD5469">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62FC19E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广州中金鼎人防工程有限公司</w:t>
            </w:r>
          </w:p>
        </w:tc>
        <w:tc>
          <w:tcPr>
            <w:tcW w:w="2001" w:type="dxa"/>
            <w:vMerge w:val="continue"/>
            <w:vAlign w:val="center"/>
          </w:tcPr>
          <w:p w14:paraId="7C7ACA58">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DB195D9">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497A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35791210">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9.7</w:t>
            </w:r>
          </w:p>
        </w:tc>
        <w:tc>
          <w:tcPr>
            <w:tcW w:w="1379" w:type="dxa"/>
            <w:vMerge w:val="restart"/>
            <w:vAlign w:val="center"/>
          </w:tcPr>
          <w:p w14:paraId="00B6D08D">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阀门（排气阀、防火阀、排烟防火阀等）</w:t>
            </w:r>
          </w:p>
        </w:tc>
        <w:tc>
          <w:tcPr>
            <w:tcW w:w="3834" w:type="dxa"/>
            <w:vAlign w:val="center"/>
          </w:tcPr>
          <w:p w14:paraId="006B517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佛山市顺安空调设备有限公司</w:t>
            </w:r>
          </w:p>
        </w:tc>
        <w:tc>
          <w:tcPr>
            <w:tcW w:w="2001" w:type="dxa"/>
            <w:vMerge w:val="restart"/>
            <w:vAlign w:val="center"/>
          </w:tcPr>
          <w:p w14:paraId="302039F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5F5B820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F722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9B359E2">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08C2285">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B1525F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广州市耀安实业发展有限公司</w:t>
            </w:r>
          </w:p>
        </w:tc>
        <w:tc>
          <w:tcPr>
            <w:tcW w:w="2001" w:type="dxa"/>
            <w:vMerge w:val="continue"/>
            <w:vAlign w:val="center"/>
          </w:tcPr>
          <w:p w14:paraId="655EC39B">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F82FEB3">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E9FC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85E314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0942823">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ED48FE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东莞市飞达机电配套设备制造有限公司</w:t>
            </w:r>
          </w:p>
        </w:tc>
        <w:tc>
          <w:tcPr>
            <w:tcW w:w="2001" w:type="dxa"/>
            <w:vMerge w:val="continue"/>
            <w:vAlign w:val="center"/>
          </w:tcPr>
          <w:p w14:paraId="5BA215F7">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4319EA3">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056A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1C9C0DC">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3F89AF9">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35E479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佛山市鸿牛通风设备有限公司</w:t>
            </w:r>
          </w:p>
        </w:tc>
        <w:tc>
          <w:tcPr>
            <w:tcW w:w="2001" w:type="dxa"/>
            <w:vMerge w:val="continue"/>
            <w:vAlign w:val="center"/>
          </w:tcPr>
          <w:p w14:paraId="72EDD69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294ED539">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EC3D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77E903B">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3D6FDEA8">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07BDA7D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云浮市云丰环保设备有限公司</w:t>
            </w:r>
          </w:p>
        </w:tc>
        <w:tc>
          <w:tcPr>
            <w:tcW w:w="2001" w:type="dxa"/>
            <w:vMerge w:val="continue"/>
            <w:vAlign w:val="center"/>
          </w:tcPr>
          <w:p w14:paraId="11DD215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B553449">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EBA2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7A03CC1B">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10、抗震支架</w:t>
            </w:r>
          </w:p>
        </w:tc>
      </w:tr>
      <w:tr w14:paraId="69364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581399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10.1</w:t>
            </w:r>
          </w:p>
        </w:tc>
        <w:tc>
          <w:tcPr>
            <w:tcW w:w="1379" w:type="dxa"/>
            <w:vAlign w:val="center"/>
          </w:tcPr>
          <w:p w14:paraId="098A3B22">
            <w:pPr>
              <w:ind w:left="-1" w:leftChars="-49" w:right="-77" w:rightChars="-35" w:hanging="107" w:hangingChars="51"/>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抗震支架（成品支架）</w:t>
            </w:r>
          </w:p>
        </w:tc>
        <w:tc>
          <w:tcPr>
            <w:tcW w:w="3834" w:type="dxa"/>
            <w:vAlign w:val="center"/>
          </w:tcPr>
          <w:p w14:paraId="170B377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喜利得、华侨振动、江苏</w:t>
            </w:r>
          </w:p>
          <w:p w14:paraId="245B4E82">
            <w:pPr>
              <w:ind w:firstLine="10" w:firstLineChars="5"/>
              <w:rPr>
                <w:rFonts w:hint="eastAsia" w:ascii="宋体" w:hAnsi="宋体"/>
                <w:color w:val="000000" w:themeColor="text1"/>
                <w:sz w:val="21"/>
                <w:szCs w:val="21"/>
                <w:highlight w:val="none"/>
                <w14:textFill>
                  <w14:solidFill>
                    <w14:schemeClr w14:val="tx1"/>
                  </w14:solidFill>
                </w14:textFill>
              </w:rPr>
            </w:pPr>
          </w:p>
          <w:p w14:paraId="5DDFA43F">
            <w:pPr>
              <w:ind w:firstLine="10" w:firstLineChars="5"/>
              <w:rPr>
                <w:rFonts w:hint="eastAsia" w:ascii="宋体" w:hAnsi="宋体"/>
                <w:color w:val="000000" w:themeColor="text1"/>
                <w:sz w:val="21"/>
                <w:szCs w:val="21"/>
                <w:highlight w:val="none"/>
                <w14:textFill>
                  <w14:solidFill>
                    <w14:schemeClr w14:val="tx1"/>
                  </w14:solidFill>
                </w14:textFill>
              </w:rPr>
            </w:pPr>
          </w:p>
          <w:p w14:paraId="67ACE89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迅杰、派来固、帕亮、伟固科技、冠蓝实业、凡祖</w:t>
            </w:r>
          </w:p>
        </w:tc>
        <w:tc>
          <w:tcPr>
            <w:tcW w:w="2001" w:type="dxa"/>
            <w:vAlign w:val="center"/>
          </w:tcPr>
          <w:p w14:paraId="6F64C62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813587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B63A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144E720">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11、智能化系统</w:t>
            </w:r>
          </w:p>
        </w:tc>
      </w:tr>
      <w:tr w14:paraId="7603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94D4D0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p>
        </w:tc>
        <w:tc>
          <w:tcPr>
            <w:tcW w:w="1379" w:type="dxa"/>
            <w:vAlign w:val="center"/>
          </w:tcPr>
          <w:p w14:paraId="158FD9E3">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服务器</w:t>
            </w:r>
          </w:p>
        </w:tc>
        <w:tc>
          <w:tcPr>
            <w:tcW w:w="3834" w:type="dxa"/>
            <w:vAlign w:val="center"/>
          </w:tcPr>
          <w:p w14:paraId="4AA6879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惠普、IBM、戴尔DELL、联想、浙江大华、同方</w:t>
            </w:r>
          </w:p>
        </w:tc>
        <w:tc>
          <w:tcPr>
            <w:tcW w:w="2001" w:type="dxa"/>
            <w:vAlign w:val="center"/>
          </w:tcPr>
          <w:p w14:paraId="71ADB46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FEEC4D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0602C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D0C5AF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11.2</w:t>
            </w:r>
          </w:p>
        </w:tc>
        <w:tc>
          <w:tcPr>
            <w:tcW w:w="1379" w:type="dxa"/>
            <w:vAlign w:val="center"/>
          </w:tcPr>
          <w:p w14:paraId="0E0BB1B2">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计算机</w:t>
            </w:r>
          </w:p>
        </w:tc>
        <w:tc>
          <w:tcPr>
            <w:tcW w:w="3834" w:type="dxa"/>
            <w:vAlign w:val="center"/>
          </w:tcPr>
          <w:p w14:paraId="71ACB10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戴尔DELL、惠普、联想、同方、华硕</w:t>
            </w:r>
          </w:p>
        </w:tc>
        <w:tc>
          <w:tcPr>
            <w:tcW w:w="2001" w:type="dxa"/>
            <w:vAlign w:val="center"/>
          </w:tcPr>
          <w:p w14:paraId="0910890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A65949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2D38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3AFB80F">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11.3</w:t>
            </w:r>
          </w:p>
        </w:tc>
        <w:tc>
          <w:tcPr>
            <w:tcW w:w="1379" w:type="dxa"/>
            <w:vAlign w:val="center"/>
          </w:tcPr>
          <w:p w14:paraId="7734E6DF">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打印机</w:t>
            </w:r>
          </w:p>
        </w:tc>
        <w:tc>
          <w:tcPr>
            <w:tcW w:w="3834" w:type="dxa"/>
            <w:vAlign w:val="center"/>
          </w:tcPr>
          <w:p w14:paraId="4389E78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惠普、EPSON、佳能、联想、FUJI xerox</w:t>
            </w:r>
          </w:p>
        </w:tc>
        <w:tc>
          <w:tcPr>
            <w:tcW w:w="2001" w:type="dxa"/>
            <w:vAlign w:val="center"/>
          </w:tcPr>
          <w:p w14:paraId="1C842340">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144915B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BD1F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8A3AAB9">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4</w:t>
            </w:r>
          </w:p>
        </w:tc>
        <w:tc>
          <w:tcPr>
            <w:tcW w:w="1379" w:type="dxa"/>
            <w:vAlign w:val="center"/>
          </w:tcPr>
          <w:p w14:paraId="59D93A5F">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楼宇对讲系统</w:t>
            </w:r>
          </w:p>
        </w:tc>
        <w:tc>
          <w:tcPr>
            <w:tcW w:w="3834" w:type="dxa"/>
            <w:vAlign w:val="center"/>
          </w:tcPr>
          <w:p w14:paraId="7DA12D1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先导视讯、安居宝、聚光电子、星光楼宇、浙江大华、FARBELL</w:t>
            </w:r>
          </w:p>
        </w:tc>
        <w:tc>
          <w:tcPr>
            <w:tcW w:w="2001" w:type="dxa"/>
            <w:vAlign w:val="center"/>
          </w:tcPr>
          <w:p w14:paraId="2B4AEE3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《智能建筑设计标准》GB50314-2006、《智能建筑工程质量验收规范》(GB50339-2013）</w:t>
            </w:r>
          </w:p>
        </w:tc>
        <w:tc>
          <w:tcPr>
            <w:tcW w:w="1220" w:type="dxa"/>
            <w:vAlign w:val="center"/>
          </w:tcPr>
          <w:p w14:paraId="74A1BCB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3EA4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03DE050">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5</w:t>
            </w:r>
          </w:p>
        </w:tc>
        <w:tc>
          <w:tcPr>
            <w:tcW w:w="1379" w:type="dxa"/>
            <w:vAlign w:val="center"/>
          </w:tcPr>
          <w:p w14:paraId="20D32FB6">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监控摄像机</w:t>
            </w:r>
          </w:p>
        </w:tc>
        <w:tc>
          <w:tcPr>
            <w:tcW w:w="3834" w:type="dxa"/>
            <w:vAlign w:val="center"/>
          </w:tcPr>
          <w:p w14:paraId="60DA1A01">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亚安科技、海康威视、英飞拓、宇视科技、浙江大华、BOSCH</w:t>
            </w:r>
          </w:p>
        </w:tc>
        <w:tc>
          <w:tcPr>
            <w:tcW w:w="2001" w:type="dxa"/>
            <w:vAlign w:val="center"/>
          </w:tcPr>
          <w:p w14:paraId="2A247DBE">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4F8B2A5">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748B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EE055D8">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6</w:t>
            </w:r>
          </w:p>
        </w:tc>
        <w:tc>
          <w:tcPr>
            <w:tcW w:w="1379" w:type="dxa"/>
            <w:vAlign w:val="center"/>
          </w:tcPr>
          <w:p w14:paraId="6F4A05F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监控显示器</w:t>
            </w:r>
          </w:p>
        </w:tc>
        <w:tc>
          <w:tcPr>
            <w:tcW w:w="3834" w:type="dxa"/>
            <w:vAlign w:val="center"/>
          </w:tcPr>
          <w:p w14:paraId="05D41EB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TCL、三星、Skyworth、索尼、浙江大华、LG</w:t>
            </w:r>
          </w:p>
        </w:tc>
        <w:tc>
          <w:tcPr>
            <w:tcW w:w="2001" w:type="dxa"/>
            <w:vAlign w:val="center"/>
          </w:tcPr>
          <w:p w14:paraId="35AC071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23999DD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6360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B2DF948">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7</w:t>
            </w:r>
          </w:p>
        </w:tc>
        <w:tc>
          <w:tcPr>
            <w:tcW w:w="1379" w:type="dxa"/>
            <w:vAlign w:val="center"/>
          </w:tcPr>
          <w:p w14:paraId="4DC1091C">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光纤收发器/网络光端机</w:t>
            </w:r>
          </w:p>
        </w:tc>
        <w:tc>
          <w:tcPr>
            <w:tcW w:w="3834" w:type="dxa"/>
            <w:vAlign w:val="center"/>
          </w:tcPr>
          <w:p w14:paraId="01875BB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天为电信、格林威尔、华为、广州邮通、浙江大华、安特视讯</w:t>
            </w:r>
          </w:p>
        </w:tc>
        <w:tc>
          <w:tcPr>
            <w:tcW w:w="2001" w:type="dxa"/>
            <w:vAlign w:val="center"/>
          </w:tcPr>
          <w:p w14:paraId="40D6BF4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974859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4B781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0D5C120">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8</w:t>
            </w:r>
          </w:p>
        </w:tc>
        <w:tc>
          <w:tcPr>
            <w:tcW w:w="1379" w:type="dxa"/>
            <w:vAlign w:val="center"/>
          </w:tcPr>
          <w:p w14:paraId="535ED1AC">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交换机</w:t>
            </w:r>
          </w:p>
        </w:tc>
        <w:tc>
          <w:tcPr>
            <w:tcW w:w="3834" w:type="dxa"/>
            <w:vAlign w:val="center"/>
          </w:tcPr>
          <w:p w14:paraId="779EA6CC">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华为、CISCO、TP-LINK、D-LINK、H3C、浙江大华、中兴</w:t>
            </w:r>
          </w:p>
        </w:tc>
        <w:tc>
          <w:tcPr>
            <w:tcW w:w="2001" w:type="dxa"/>
            <w:vAlign w:val="center"/>
          </w:tcPr>
          <w:p w14:paraId="1C71CEDB">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55196D04">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C4E8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9ACF1B3">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9</w:t>
            </w:r>
          </w:p>
        </w:tc>
        <w:tc>
          <w:tcPr>
            <w:tcW w:w="1379" w:type="dxa"/>
            <w:vAlign w:val="center"/>
          </w:tcPr>
          <w:p w14:paraId="5AC13B70">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监控级硬盘</w:t>
            </w:r>
          </w:p>
        </w:tc>
        <w:tc>
          <w:tcPr>
            <w:tcW w:w="3834" w:type="dxa"/>
            <w:vAlign w:val="center"/>
          </w:tcPr>
          <w:p w14:paraId="4212289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富士通、浙江大华、易拓、磐基信息、帝视尼</w:t>
            </w:r>
          </w:p>
        </w:tc>
        <w:tc>
          <w:tcPr>
            <w:tcW w:w="2001" w:type="dxa"/>
            <w:vAlign w:val="center"/>
          </w:tcPr>
          <w:p w14:paraId="4DAC91E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7065613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4EC53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C050C90">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r>
              <w:rPr>
                <w:rFonts w:ascii="宋体" w:hAnsi="宋体"/>
                <w:color w:val="000000" w:themeColor="text1"/>
                <w:sz w:val="21"/>
                <w:szCs w:val="21"/>
                <w:highlight w:val="none"/>
                <w14:textFill>
                  <w14:solidFill>
                    <w14:schemeClr w14:val="tx1"/>
                  </w14:solidFill>
                </w14:textFill>
              </w:rPr>
              <w:t>0</w:t>
            </w:r>
          </w:p>
        </w:tc>
        <w:tc>
          <w:tcPr>
            <w:tcW w:w="1379" w:type="dxa"/>
            <w:vAlign w:val="center"/>
          </w:tcPr>
          <w:p w14:paraId="18BFD23F">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电子巡更系统</w:t>
            </w:r>
          </w:p>
        </w:tc>
        <w:tc>
          <w:tcPr>
            <w:tcW w:w="3834" w:type="dxa"/>
            <w:vAlign w:val="center"/>
          </w:tcPr>
          <w:p w14:paraId="11F17DF3">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意通达、鼎信通、凯泰科技、兰德华电、浙江大华、奔恒电子</w:t>
            </w:r>
          </w:p>
        </w:tc>
        <w:tc>
          <w:tcPr>
            <w:tcW w:w="2001" w:type="dxa"/>
            <w:vAlign w:val="center"/>
          </w:tcPr>
          <w:p w14:paraId="78799C8E">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6C77E626">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695E5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EA8B05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r>
              <w:rPr>
                <w:rFonts w:ascii="宋体" w:hAnsi="宋体"/>
                <w:color w:val="000000" w:themeColor="text1"/>
                <w:sz w:val="21"/>
                <w:szCs w:val="21"/>
                <w:highlight w:val="none"/>
                <w14:textFill>
                  <w14:solidFill>
                    <w14:schemeClr w14:val="tx1"/>
                  </w14:solidFill>
                </w14:textFill>
              </w:rPr>
              <w:t>1</w:t>
            </w:r>
          </w:p>
        </w:tc>
        <w:tc>
          <w:tcPr>
            <w:tcW w:w="1379" w:type="dxa"/>
            <w:vAlign w:val="center"/>
          </w:tcPr>
          <w:p w14:paraId="28811368">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出入口控制/停车场管理系统</w:t>
            </w:r>
          </w:p>
        </w:tc>
        <w:tc>
          <w:tcPr>
            <w:tcW w:w="3834" w:type="dxa"/>
            <w:vAlign w:val="center"/>
          </w:tcPr>
          <w:p w14:paraId="7AD2398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捷顺、瑞立德、创通、浙江大华、聚光电子</w:t>
            </w:r>
          </w:p>
        </w:tc>
        <w:tc>
          <w:tcPr>
            <w:tcW w:w="2001" w:type="dxa"/>
            <w:vAlign w:val="center"/>
          </w:tcPr>
          <w:p w14:paraId="6DF6959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智能建筑设计标准》GB50314-2006、《智能建筑工程质量验收规范》(GB50339-2013）</w:t>
            </w:r>
          </w:p>
        </w:tc>
        <w:tc>
          <w:tcPr>
            <w:tcW w:w="1220" w:type="dxa"/>
            <w:vAlign w:val="center"/>
          </w:tcPr>
          <w:p w14:paraId="27D6754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5CDAB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31047F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r>
              <w:rPr>
                <w:rFonts w:ascii="宋体" w:hAnsi="宋体"/>
                <w:color w:val="000000" w:themeColor="text1"/>
                <w:sz w:val="21"/>
                <w:szCs w:val="21"/>
                <w:highlight w:val="none"/>
                <w14:textFill>
                  <w14:solidFill>
                    <w14:schemeClr w14:val="tx1"/>
                  </w14:solidFill>
                </w14:textFill>
              </w:rPr>
              <w:t>2</w:t>
            </w:r>
          </w:p>
        </w:tc>
        <w:tc>
          <w:tcPr>
            <w:tcW w:w="1379" w:type="dxa"/>
            <w:vAlign w:val="center"/>
          </w:tcPr>
          <w:p w14:paraId="02A68CC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建筑设备监控系统</w:t>
            </w:r>
          </w:p>
        </w:tc>
        <w:tc>
          <w:tcPr>
            <w:tcW w:w="3834" w:type="dxa"/>
            <w:vAlign w:val="center"/>
          </w:tcPr>
          <w:p w14:paraId="4A7470C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江森自控、同方泰德、CHNT、格瑞特、台达</w:t>
            </w:r>
          </w:p>
        </w:tc>
        <w:tc>
          <w:tcPr>
            <w:tcW w:w="2001" w:type="dxa"/>
            <w:vAlign w:val="center"/>
          </w:tcPr>
          <w:p w14:paraId="7017A07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《智能建筑设计标准》GB50314-2006、《智能建筑工程质量验收规范》(GB50339-2013）</w:t>
            </w:r>
          </w:p>
        </w:tc>
        <w:tc>
          <w:tcPr>
            <w:tcW w:w="1220" w:type="dxa"/>
            <w:vAlign w:val="center"/>
          </w:tcPr>
          <w:p w14:paraId="5573F71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221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CF42D7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11.1</w:t>
            </w:r>
            <w:r>
              <w:rPr>
                <w:rFonts w:ascii="宋体" w:hAnsi="宋体"/>
                <w:color w:val="000000" w:themeColor="text1"/>
                <w:sz w:val="21"/>
                <w:szCs w:val="21"/>
                <w:highlight w:val="none"/>
                <w14:textFill>
                  <w14:solidFill>
                    <w14:schemeClr w14:val="tx1"/>
                  </w14:solidFill>
                </w14:textFill>
              </w:rPr>
              <w:t>3</w:t>
            </w:r>
          </w:p>
        </w:tc>
        <w:tc>
          <w:tcPr>
            <w:tcW w:w="1379" w:type="dxa"/>
            <w:vAlign w:val="center"/>
          </w:tcPr>
          <w:p w14:paraId="4E820D1E">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防盗报警</w:t>
            </w:r>
          </w:p>
        </w:tc>
        <w:tc>
          <w:tcPr>
            <w:tcW w:w="3834" w:type="dxa"/>
            <w:vAlign w:val="center"/>
          </w:tcPr>
          <w:p w14:paraId="6E3E29A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BOSCH、科立信、tyco、康联、浙江大华、科鹰</w:t>
            </w:r>
          </w:p>
        </w:tc>
        <w:tc>
          <w:tcPr>
            <w:tcW w:w="2001" w:type="dxa"/>
            <w:vAlign w:val="center"/>
          </w:tcPr>
          <w:p w14:paraId="61D0481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E69F67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CC7A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8F69D9A">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14</w:t>
            </w:r>
          </w:p>
        </w:tc>
        <w:tc>
          <w:tcPr>
            <w:tcW w:w="1379" w:type="dxa"/>
            <w:vAlign w:val="center"/>
          </w:tcPr>
          <w:p w14:paraId="4808DC56">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弱电间配电箱</w:t>
            </w:r>
          </w:p>
        </w:tc>
        <w:tc>
          <w:tcPr>
            <w:tcW w:w="3834" w:type="dxa"/>
            <w:vAlign w:val="center"/>
          </w:tcPr>
          <w:p w14:paraId="16F99C5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BYE白云、基业、顺开电气、广高、南洋电器</w:t>
            </w:r>
          </w:p>
        </w:tc>
        <w:tc>
          <w:tcPr>
            <w:tcW w:w="2001" w:type="dxa"/>
            <w:vAlign w:val="center"/>
          </w:tcPr>
          <w:p w14:paraId="00EFB24A">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6977DF4">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20996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37FD29D">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15</w:t>
            </w:r>
          </w:p>
        </w:tc>
        <w:tc>
          <w:tcPr>
            <w:tcW w:w="1379" w:type="dxa"/>
            <w:vAlign w:val="center"/>
          </w:tcPr>
          <w:p w14:paraId="29BF899C">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光纤光缆</w:t>
            </w:r>
          </w:p>
        </w:tc>
        <w:tc>
          <w:tcPr>
            <w:tcW w:w="3834" w:type="dxa"/>
            <w:vAlign w:val="center"/>
          </w:tcPr>
          <w:p w14:paraId="340EDE7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长飞、TGG、亨通、Fiber Home、浙江大华、中天科技</w:t>
            </w:r>
          </w:p>
        </w:tc>
        <w:tc>
          <w:tcPr>
            <w:tcW w:w="2001" w:type="dxa"/>
            <w:vAlign w:val="center"/>
          </w:tcPr>
          <w:p w14:paraId="39796F4C">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2AF77F3">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7646E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82D9BEC">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11.</w:t>
            </w:r>
            <w:r>
              <w:rPr>
                <w:rFonts w:ascii="宋体" w:hAnsi="宋体"/>
                <w:color w:val="000000" w:themeColor="text1"/>
                <w:sz w:val="21"/>
                <w:szCs w:val="21"/>
                <w:highlight w:val="none"/>
                <w14:textFill>
                  <w14:solidFill>
                    <w14:schemeClr w14:val="tx1"/>
                  </w14:solidFill>
                </w14:textFill>
              </w:rPr>
              <w:t>16</w:t>
            </w:r>
          </w:p>
        </w:tc>
        <w:tc>
          <w:tcPr>
            <w:tcW w:w="1379" w:type="dxa"/>
            <w:vAlign w:val="center"/>
          </w:tcPr>
          <w:p w14:paraId="48C38A8B">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弱电线缆/双绞线</w:t>
            </w:r>
          </w:p>
        </w:tc>
        <w:tc>
          <w:tcPr>
            <w:tcW w:w="3834" w:type="dxa"/>
            <w:vAlign w:val="center"/>
          </w:tcPr>
          <w:p w14:paraId="10A6E03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爱谱华顿、TCL、宇洪科技、TC、中国普天</w:t>
            </w:r>
          </w:p>
        </w:tc>
        <w:tc>
          <w:tcPr>
            <w:tcW w:w="2001" w:type="dxa"/>
            <w:vAlign w:val="center"/>
          </w:tcPr>
          <w:p w14:paraId="6CF4A97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01174F3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C33D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194C3903">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12、电梯设备</w:t>
            </w:r>
          </w:p>
        </w:tc>
      </w:tr>
      <w:tr w14:paraId="062BA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C475DAE">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12.1</w:t>
            </w:r>
          </w:p>
        </w:tc>
        <w:tc>
          <w:tcPr>
            <w:tcW w:w="1379" w:type="dxa"/>
            <w:vAlign w:val="center"/>
          </w:tcPr>
          <w:p w14:paraId="28E18CB1">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电梯</w:t>
            </w:r>
          </w:p>
        </w:tc>
        <w:tc>
          <w:tcPr>
            <w:tcW w:w="3834" w:type="dxa"/>
            <w:vAlign w:val="center"/>
          </w:tcPr>
          <w:p w14:paraId="6FDF29C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日立、奥的斯、广日电梯、上海三菱、KONE通力</w:t>
            </w:r>
          </w:p>
        </w:tc>
        <w:tc>
          <w:tcPr>
            <w:tcW w:w="2001" w:type="dxa"/>
            <w:vAlign w:val="center"/>
          </w:tcPr>
          <w:p w14:paraId="5F52C26F">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电梯制造与安装安全规范（GB7588-2003）、GB 10060—2011《电梯安装验收规范》、《电梯工程施工质量验收规范》GB50301-2002</w:t>
            </w:r>
          </w:p>
        </w:tc>
        <w:tc>
          <w:tcPr>
            <w:tcW w:w="1220" w:type="dxa"/>
            <w:vAlign w:val="center"/>
          </w:tcPr>
          <w:p w14:paraId="04FA0201">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1D17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539F3093">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三、市政工程</w:t>
            </w:r>
          </w:p>
        </w:tc>
      </w:tr>
      <w:tr w14:paraId="3334F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3F6194A">
            <w:pPr>
              <w:ind w:firstLine="372" w:firstLineChars="177"/>
              <w:rPr>
                <w:rFonts w:hint="eastAsia" w:ascii="宋体" w:hAnsi="宋体"/>
                <w:color w:val="000000" w:themeColor="text1"/>
                <w:sz w:val="21"/>
                <w:szCs w:val="21"/>
                <w:highlight w:val="none"/>
                <w14:textFill>
                  <w14:solidFill>
                    <w14:schemeClr w14:val="tx1"/>
                  </w14:solidFill>
                </w14:textFill>
              </w:rPr>
            </w:pPr>
            <w:r>
              <w:rPr>
                <w:rFonts w:hint="eastAsia" w:ascii="宋体" w:hAnsi="宋体"/>
                <w:b/>
                <w:color w:val="000000" w:themeColor="text1"/>
                <w:sz w:val="21"/>
                <w:szCs w:val="21"/>
                <w:highlight w:val="none"/>
                <w14:textFill>
                  <w14:solidFill>
                    <w14:schemeClr w14:val="tx1"/>
                  </w14:solidFill>
                </w14:textFill>
              </w:rPr>
              <w:t>13、市政、绿化</w:t>
            </w:r>
          </w:p>
        </w:tc>
      </w:tr>
      <w:tr w14:paraId="5B71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12DECAC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13.</w:t>
            </w:r>
            <w:r>
              <w:rPr>
                <w:rFonts w:ascii="宋体" w:hAnsi="宋体"/>
                <w:color w:val="000000" w:themeColor="text1"/>
                <w:sz w:val="21"/>
                <w:szCs w:val="21"/>
                <w:highlight w:val="none"/>
                <w14:textFill>
                  <w14:solidFill>
                    <w14:schemeClr w14:val="tx1"/>
                  </w14:solidFill>
                </w14:textFill>
              </w:rPr>
              <w:t>1</w:t>
            </w:r>
          </w:p>
        </w:tc>
        <w:tc>
          <w:tcPr>
            <w:tcW w:w="1379" w:type="dxa"/>
            <w:vMerge w:val="restart"/>
            <w:vAlign w:val="center"/>
          </w:tcPr>
          <w:p w14:paraId="08150EB5">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井盖、井环</w:t>
            </w:r>
          </w:p>
        </w:tc>
        <w:tc>
          <w:tcPr>
            <w:tcW w:w="3834" w:type="dxa"/>
            <w:vAlign w:val="center"/>
          </w:tcPr>
          <w:p w14:paraId="2AE1D8E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广州市吉信金属制品公司</w:t>
            </w:r>
          </w:p>
        </w:tc>
        <w:tc>
          <w:tcPr>
            <w:tcW w:w="2001" w:type="dxa"/>
            <w:vMerge w:val="restart"/>
            <w:vAlign w:val="center"/>
          </w:tcPr>
          <w:p w14:paraId="354AAA4D">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满足行业主管部门要求</w:t>
            </w:r>
          </w:p>
        </w:tc>
        <w:tc>
          <w:tcPr>
            <w:tcW w:w="1220" w:type="dxa"/>
            <w:vMerge w:val="restart"/>
            <w:vAlign w:val="center"/>
          </w:tcPr>
          <w:p w14:paraId="0C740F0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4C851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F830E6D">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1CD3B05">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95E1D5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禹州市安道金属制品有限公司</w:t>
            </w:r>
          </w:p>
        </w:tc>
        <w:tc>
          <w:tcPr>
            <w:tcW w:w="2001" w:type="dxa"/>
            <w:vMerge w:val="continue"/>
            <w:vAlign w:val="center"/>
          </w:tcPr>
          <w:p w14:paraId="3A984303">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7E4F8A9A">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32A32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9FD29B3">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70357AB6">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EB18B4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广州市市维建设工程有限公司</w:t>
            </w:r>
          </w:p>
        </w:tc>
        <w:tc>
          <w:tcPr>
            <w:tcW w:w="2001" w:type="dxa"/>
            <w:vMerge w:val="continue"/>
            <w:vAlign w:val="center"/>
          </w:tcPr>
          <w:p w14:paraId="0C392A0B">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80E9628">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1444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8D495A4">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4E7D8E91">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1D3304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无锡诺龙铸造有限公司</w:t>
            </w:r>
          </w:p>
        </w:tc>
        <w:tc>
          <w:tcPr>
            <w:tcW w:w="2001" w:type="dxa"/>
            <w:vMerge w:val="continue"/>
            <w:vAlign w:val="center"/>
          </w:tcPr>
          <w:p w14:paraId="5DF031AA">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2AE3C18">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743D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4B5E7E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18D6102">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77CF3B0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广州市花都区永基冶铸厂</w:t>
            </w:r>
          </w:p>
        </w:tc>
        <w:tc>
          <w:tcPr>
            <w:tcW w:w="2001" w:type="dxa"/>
            <w:vMerge w:val="continue"/>
            <w:vAlign w:val="center"/>
          </w:tcPr>
          <w:p w14:paraId="64186950">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78CFFF3">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120B9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0B33658">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16388A10">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12155537">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广州市花都区炭步旺边冶金铸造厂</w:t>
            </w:r>
          </w:p>
        </w:tc>
        <w:tc>
          <w:tcPr>
            <w:tcW w:w="2001" w:type="dxa"/>
            <w:vMerge w:val="continue"/>
            <w:vAlign w:val="center"/>
          </w:tcPr>
          <w:p w14:paraId="5772EACF">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6EA6DA24">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33D1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622791EF">
            <w:pPr>
              <w:ind w:firstLine="35" w:firstLineChars="17"/>
              <w:jc w:val="center"/>
              <w:rPr>
                <w:rFonts w:hint="eastAsia" w:ascii="宋体" w:hAnsi="宋体"/>
                <w:b/>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13.</w:t>
            </w:r>
            <w:r>
              <w:rPr>
                <w:rFonts w:ascii="宋体" w:hAnsi="宋体"/>
                <w:color w:val="000000" w:themeColor="text1"/>
                <w:sz w:val="21"/>
                <w:szCs w:val="21"/>
                <w:highlight w:val="none"/>
                <w14:textFill>
                  <w14:solidFill>
                    <w14:schemeClr w14:val="tx1"/>
                  </w14:solidFill>
                </w14:textFill>
              </w:rPr>
              <w:t>2</w:t>
            </w:r>
          </w:p>
        </w:tc>
        <w:tc>
          <w:tcPr>
            <w:tcW w:w="1379" w:type="dxa"/>
            <w:vMerge w:val="restart"/>
            <w:vAlign w:val="center"/>
          </w:tcPr>
          <w:p w14:paraId="23165DE2">
            <w:pPr>
              <w:jc w:val="center"/>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灯杆</w:t>
            </w:r>
          </w:p>
        </w:tc>
        <w:tc>
          <w:tcPr>
            <w:tcW w:w="3834" w:type="dxa"/>
            <w:vAlign w:val="center"/>
          </w:tcPr>
          <w:p w14:paraId="2C1C7BB2">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广东雷士照明科技有限公司</w:t>
            </w:r>
          </w:p>
        </w:tc>
        <w:tc>
          <w:tcPr>
            <w:tcW w:w="2001" w:type="dxa"/>
            <w:vMerge w:val="restart"/>
            <w:vAlign w:val="center"/>
          </w:tcPr>
          <w:p w14:paraId="5BC23846">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Merge w:val="restart"/>
            <w:vAlign w:val="center"/>
          </w:tcPr>
          <w:p w14:paraId="44F5C2C0">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E997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A1FA69E">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2B4804AB">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04E7E4F9">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广州虎辉照明科技公司</w:t>
            </w:r>
          </w:p>
        </w:tc>
        <w:tc>
          <w:tcPr>
            <w:tcW w:w="2001" w:type="dxa"/>
            <w:vMerge w:val="continue"/>
            <w:vAlign w:val="center"/>
          </w:tcPr>
          <w:p w14:paraId="4F47D78F">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12255E25">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5FF82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814" w:type="dxa"/>
            <w:vMerge w:val="continue"/>
            <w:vAlign w:val="center"/>
          </w:tcPr>
          <w:p w14:paraId="20C69A42">
            <w:pPr>
              <w:ind w:firstLine="36" w:firstLineChars="17"/>
              <w:jc w:val="center"/>
              <w:rPr>
                <w:rFonts w:hint="eastAsia" w:ascii="宋体" w:hAnsi="宋体"/>
                <w:b/>
                <w:color w:val="000000" w:themeColor="text1"/>
                <w:sz w:val="21"/>
                <w:szCs w:val="21"/>
                <w:highlight w:val="none"/>
                <w14:textFill>
                  <w14:solidFill>
                    <w14:schemeClr w14:val="tx1"/>
                  </w14:solidFill>
                </w14:textFill>
              </w:rPr>
            </w:pPr>
          </w:p>
        </w:tc>
        <w:tc>
          <w:tcPr>
            <w:tcW w:w="1379" w:type="dxa"/>
            <w:vMerge w:val="continue"/>
            <w:vAlign w:val="center"/>
          </w:tcPr>
          <w:p w14:paraId="7E188CF8">
            <w:pPr>
              <w:jc w:val="center"/>
              <w:rPr>
                <w:rFonts w:hint="eastAsia"/>
                <w:color w:val="000000" w:themeColor="text1"/>
                <w:highlight w:val="none"/>
                <w14:textFill>
                  <w14:solidFill>
                    <w14:schemeClr w14:val="tx1"/>
                  </w14:solidFill>
                </w14:textFill>
              </w:rPr>
            </w:pPr>
          </w:p>
        </w:tc>
        <w:tc>
          <w:tcPr>
            <w:tcW w:w="3834" w:type="dxa"/>
            <w:vAlign w:val="center"/>
          </w:tcPr>
          <w:p w14:paraId="0EE512BD">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广州市特朗照明电气有限公司</w:t>
            </w:r>
          </w:p>
        </w:tc>
        <w:tc>
          <w:tcPr>
            <w:tcW w:w="2001" w:type="dxa"/>
            <w:vMerge w:val="continue"/>
            <w:vAlign w:val="center"/>
          </w:tcPr>
          <w:p w14:paraId="050C8DE4">
            <w:pPr>
              <w:ind w:firstLine="11" w:firstLineChars="5"/>
              <w:rPr>
                <w:rFonts w:hint="eastAsia"/>
                <w:color w:val="000000" w:themeColor="text1"/>
                <w:highlight w:val="none"/>
                <w14:textFill>
                  <w14:solidFill>
                    <w14:schemeClr w14:val="tx1"/>
                  </w14:solidFill>
                </w14:textFill>
              </w:rPr>
            </w:pPr>
          </w:p>
        </w:tc>
        <w:tc>
          <w:tcPr>
            <w:tcW w:w="1220" w:type="dxa"/>
            <w:vMerge w:val="continue"/>
            <w:vAlign w:val="center"/>
          </w:tcPr>
          <w:p w14:paraId="4DAC2444">
            <w:pPr>
              <w:ind w:firstLine="11" w:firstLineChars="5"/>
              <w:rPr>
                <w:rFonts w:hint="eastAsia"/>
                <w:color w:val="000000" w:themeColor="text1"/>
                <w:highlight w:val="none"/>
                <w14:textFill>
                  <w14:solidFill>
                    <w14:schemeClr w14:val="tx1"/>
                  </w14:solidFill>
                </w14:textFill>
              </w:rPr>
            </w:pPr>
          </w:p>
        </w:tc>
      </w:tr>
      <w:tr w14:paraId="32D70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DEEFE33">
            <w:pPr>
              <w:ind w:firstLine="36" w:firstLineChars="17"/>
              <w:jc w:val="center"/>
              <w:rPr>
                <w:rFonts w:hint="eastAsia" w:ascii="宋体" w:hAnsi="宋体"/>
                <w:b/>
                <w:color w:val="000000" w:themeColor="text1"/>
                <w:sz w:val="21"/>
                <w:szCs w:val="21"/>
                <w:highlight w:val="none"/>
                <w14:textFill>
                  <w14:solidFill>
                    <w14:schemeClr w14:val="tx1"/>
                  </w14:solidFill>
                </w14:textFill>
              </w:rPr>
            </w:pPr>
          </w:p>
        </w:tc>
        <w:tc>
          <w:tcPr>
            <w:tcW w:w="1379" w:type="dxa"/>
            <w:vMerge w:val="continue"/>
            <w:vAlign w:val="center"/>
          </w:tcPr>
          <w:p w14:paraId="649AD333">
            <w:pPr>
              <w:jc w:val="center"/>
              <w:rPr>
                <w:rFonts w:hint="eastAsia"/>
                <w:color w:val="000000" w:themeColor="text1"/>
                <w:highlight w:val="none"/>
                <w14:textFill>
                  <w14:solidFill>
                    <w14:schemeClr w14:val="tx1"/>
                  </w14:solidFill>
                </w14:textFill>
              </w:rPr>
            </w:pPr>
          </w:p>
        </w:tc>
        <w:tc>
          <w:tcPr>
            <w:tcW w:w="3834" w:type="dxa"/>
            <w:vAlign w:val="center"/>
          </w:tcPr>
          <w:p w14:paraId="22A54237">
            <w:pPr>
              <w:ind w:firstLine="10" w:firstLineChars="5"/>
              <w:rPr>
                <w:rFonts w:hint="eastAsia"/>
                <w:color w:val="000000" w:themeColor="text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江门市宏天照明有限公司</w:t>
            </w:r>
          </w:p>
        </w:tc>
        <w:tc>
          <w:tcPr>
            <w:tcW w:w="2001" w:type="dxa"/>
            <w:vMerge w:val="continue"/>
            <w:vAlign w:val="center"/>
          </w:tcPr>
          <w:p w14:paraId="38EA0708">
            <w:pPr>
              <w:ind w:firstLine="11" w:firstLineChars="5"/>
              <w:rPr>
                <w:rFonts w:hint="eastAsia"/>
                <w:color w:val="000000" w:themeColor="text1"/>
                <w:highlight w:val="none"/>
                <w14:textFill>
                  <w14:solidFill>
                    <w14:schemeClr w14:val="tx1"/>
                  </w14:solidFill>
                </w14:textFill>
              </w:rPr>
            </w:pPr>
          </w:p>
        </w:tc>
        <w:tc>
          <w:tcPr>
            <w:tcW w:w="1220" w:type="dxa"/>
            <w:vMerge w:val="continue"/>
            <w:vAlign w:val="center"/>
          </w:tcPr>
          <w:p w14:paraId="051C8996">
            <w:pPr>
              <w:ind w:firstLine="11" w:firstLineChars="5"/>
              <w:rPr>
                <w:rFonts w:hint="eastAsia"/>
                <w:color w:val="000000" w:themeColor="text1"/>
                <w:highlight w:val="none"/>
                <w14:textFill>
                  <w14:solidFill>
                    <w14:schemeClr w14:val="tx1"/>
                  </w14:solidFill>
                </w14:textFill>
              </w:rPr>
            </w:pPr>
          </w:p>
        </w:tc>
      </w:tr>
      <w:tr w14:paraId="27563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DD48780">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D5F3402">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285B09F8">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广东旭翔照明有限公司</w:t>
            </w:r>
          </w:p>
        </w:tc>
        <w:tc>
          <w:tcPr>
            <w:tcW w:w="2001" w:type="dxa"/>
            <w:vMerge w:val="continue"/>
            <w:vAlign w:val="center"/>
          </w:tcPr>
          <w:p w14:paraId="479A2F62">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0118969A">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2C898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1818B21">
            <w:pPr>
              <w:ind w:firstLine="35" w:firstLineChars="17"/>
              <w:jc w:val="center"/>
              <w:rPr>
                <w:rFonts w:hint="eastAsia" w:ascii="宋体" w:hAnsi="宋体"/>
                <w:color w:val="000000" w:themeColor="text1"/>
                <w:sz w:val="21"/>
                <w:szCs w:val="21"/>
                <w:highlight w:val="none"/>
                <w14:textFill>
                  <w14:solidFill>
                    <w14:schemeClr w14:val="tx1"/>
                  </w14:solidFill>
                </w14:textFill>
              </w:rPr>
            </w:pPr>
          </w:p>
        </w:tc>
        <w:tc>
          <w:tcPr>
            <w:tcW w:w="1379" w:type="dxa"/>
            <w:vMerge w:val="continue"/>
            <w:vAlign w:val="center"/>
          </w:tcPr>
          <w:p w14:paraId="51C32D7E">
            <w:pPr>
              <w:jc w:val="center"/>
              <w:rPr>
                <w:rFonts w:hint="eastAsia" w:ascii="宋体" w:hAnsi="宋体"/>
                <w:color w:val="000000" w:themeColor="text1"/>
                <w:sz w:val="21"/>
                <w:szCs w:val="21"/>
                <w:highlight w:val="none"/>
                <w14:textFill>
                  <w14:solidFill>
                    <w14:schemeClr w14:val="tx1"/>
                  </w14:solidFill>
                </w14:textFill>
              </w:rPr>
            </w:pPr>
          </w:p>
        </w:tc>
        <w:tc>
          <w:tcPr>
            <w:tcW w:w="3834" w:type="dxa"/>
            <w:vAlign w:val="center"/>
          </w:tcPr>
          <w:p w14:paraId="47B51B52">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中山市天贸照明电器厂</w:t>
            </w:r>
          </w:p>
        </w:tc>
        <w:tc>
          <w:tcPr>
            <w:tcW w:w="2001" w:type="dxa"/>
            <w:vMerge w:val="continue"/>
            <w:vAlign w:val="center"/>
          </w:tcPr>
          <w:p w14:paraId="09E5E12C">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Merge w:val="continue"/>
            <w:vAlign w:val="center"/>
          </w:tcPr>
          <w:p w14:paraId="52FC1A4B">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47127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376C180">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13.</w:t>
            </w:r>
            <w:r>
              <w:rPr>
                <w:rFonts w:ascii="宋体" w:hAnsi="宋体"/>
                <w:color w:val="000000" w:themeColor="text1"/>
                <w:sz w:val="21"/>
                <w:szCs w:val="21"/>
                <w:highlight w:val="none"/>
                <w14:textFill>
                  <w14:solidFill>
                    <w14:schemeClr w14:val="tx1"/>
                  </w14:solidFill>
                </w14:textFill>
              </w:rPr>
              <w:t>3</w:t>
            </w:r>
          </w:p>
        </w:tc>
        <w:tc>
          <w:tcPr>
            <w:tcW w:w="1379" w:type="dxa"/>
            <w:vAlign w:val="center"/>
          </w:tcPr>
          <w:p w14:paraId="6DEA2629">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路灯光源</w:t>
            </w:r>
          </w:p>
        </w:tc>
        <w:tc>
          <w:tcPr>
            <w:tcW w:w="3834" w:type="dxa"/>
            <w:vAlign w:val="center"/>
          </w:tcPr>
          <w:p w14:paraId="4AC6EADB">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参照7.15</w:t>
            </w:r>
          </w:p>
        </w:tc>
        <w:tc>
          <w:tcPr>
            <w:tcW w:w="2001" w:type="dxa"/>
            <w:vAlign w:val="center"/>
          </w:tcPr>
          <w:p w14:paraId="4C2CA60E">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c>
          <w:tcPr>
            <w:tcW w:w="1220" w:type="dxa"/>
            <w:vAlign w:val="center"/>
          </w:tcPr>
          <w:p w14:paraId="67EB4066">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　</w:t>
            </w:r>
          </w:p>
        </w:tc>
      </w:tr>
      <w:tr w14:paraId="30BF7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A5F9AB9">
            <w:pPr>
              <w:ind w:firstLine="373" w:firstLineChars="177"/>
              <w:rPr>
                <w:rFonts w:hint="eastAsia" w:ascii="宋体" w:hAnsi="宋体" w:eastAsia="宋体"/>
                <w:b/>
                <w:color w:val="000000" w:themeColor="text1"/>
                <w:sz w:val="21"/>
                <w:szCs w:val="21"/>
                <w:highlight w:val="none"/>
                <w14:textFill>
                  <w14:solidFill>
                    <w14:schemeClr w14:val="tx1"/>
                  </w14:solidFill>
                </w14:textFill>
              </w:rPr>
            </w:pPr>
            <w:r>
              <w:rPr>
                <w:rFonts w:hint="eastAsia" w:ascii="宋体" w:hAnsi="宋体" w:eastAsia="宋体"/>
                <w:b/>
                <w:color w:val="000000" w:themeColor="text1"/>
                <w:sz w:val="21"/>
                <w:szCs w:val="21"/>
                <w:highlight w:val="none"/>
                <w14:textFill>
                  <w14:solidFill>
                    <w14:schemeClr w14:val="tx1"/>
                  </w14:solidFill>
                </w14:textFill>
              </w:rPr>
              <w:t>四、5G室内覆盖分布系统工程</w:t>
            </w:r>
          </w:p>
        </w:tc>
      </w:tr>
      <w:tr w14:paraId="291F4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3C3DC79B">
            <w:pPr>
              <w:ind w:firstLine="373" w:firstLineChars="177"/>
              <w:rPr>
                <w:rFonts w:hint="eastAsia" w:ascii="宋体" w:hAnsi="宋体" w:eastAsia="宋体"/>
                <w:b/>
                <w:color w:val="000000" w:themeColor="text1"/>
                <w:sz w:val="21"/>
                <w:szCs w:val="21"/>
                <w:highlight w:val="none"/>
                <w14:textFill>
                  <w14:solidFill>
                    <w14:schemeClr w14:val="tx1"/>
                  </w14:solidFill>
                </w14:textFill>
              </w:rPr>
            </w:pPr>
            <w:r>
              <w:rPr>
                <w:rFonts w:hint="eastAsia" w:ascii="宋体" w:hAnsi="宋体" w:eastAsia="宋体"/>
                <w:b/>
                <w:color w:val="000000" w:themeColor="text1"/>
                <w:sz w:val="21"/>
                <w:szCs w:val="21"/>
                <w:highlight w:val="none"/>
                <w14:textFill>
                  <w14:solidFill>
                    <w14:schemeClr w14:val="tx1"/>
                  </w14:solidFill>
                </w14:textFill>
              </w:rPr>
              <w:t>14、5G室内覆盖分布系统POI用户侧无源部分</w:t>
            </w:r>
          </w:p>
        </w:tc>
      </w:tr>
      <w:tr w14:paraId="4EF90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01CAE4F">
            <w:pPr>
              <w:ind w:firstLine="35" w:firstLineChars="17"/>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14.1</w:t>
            </w:r>
          </w:p>
        </w:tc>
        <w:tc>
          <w:tcPr>
            <w:tcW w:w="1379" w:type="dxa"/>
            <w:vAlign w:val="center"/>
          </w:tcPr>
          <w:p w14:paraId="5757E962">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POI/合路器</w:t>
            </w:r>
          </w:p>
        </w:tc>
        <w:tc>
          <w:tcPr>
            <w:tcW w:w="3834" w:type="dxa"/>
            <w:vAlign w:val="center"/>
          </w:tcPr>
          <w:p w14:paraId="62A148E3">
            <w:pPr>
              <w:ind w:firstLine="10" w:firstLineChars="5"/>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ABB、施耐德、西门子、锐捷、中原天馈、大华、良信、海康威视</w:t>
            </w:r>
          </w:p>
        </w:tc>
        <w:tc>
          <w:tcPr>
            <w:tcW w:w="2001" w:type="dxa"/>
            <w:vAlign w:val="center"/>
          </w:tcPr>
          <w:p w14:paraId="60762912">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30127400">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79150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203A935">
            <w:pPr>
              <w:rPr>
                <w:rFonts w:hint="eastAsia"/>
                <w:color w:val="000000" w:themeColor="text1"/>
                <w:highlight w:val="none"/>
                <w14:textFill>
                  <w14:solidFill>
                    <w14:schemeClr w14:val="tx1"/>
                  </w14:solidFill>
                </w14:textFill>
              </w:rPr>
            </w:pPr>
          </w:p>
        </w:tc>
        <w:tc>
          <w:tcPr>
            <w:tcW w:w="1379" w:type="dxa"/>
            <w:vAlign w:val="center"/>
          </w:tcPr>
          <w:p w14:paraId="217F3198">
            <w:pPr>
              <w:rPr>
                <w:rFonts w:hint="eastAsia"/>
                <w:color w:val="000000" w:themeColor="text1"/>
                <w:highlight w:val="none"/>
                <w14:textFill>
                  <w14:solidFill>
                    <w14:schemeClr w14:val="tx1"/>
                  </w14:solidFill>
                </w14:textFill>
              </w:rPr>
            </w:pPr>
          </w:p>
        </w:tc>
        <w:tc>
          <w:tcPr>
            <w:tcW w:w="3834" w:type="dxa"/>
            <w:vAlign w:val="center"/>
          </w:tcPr>
          <w:p w14:paraId="279E57CE">
            <w:pPr>
              <w:rPr>
                <w:rFonts w:hint="eastAsia"/>
                <w:color w:val="000000" w:themeColor="text1"/>
                <w:highlight w:val="none"/>
                <w14:textFill>
                  <w14:solidFill>
                    <w14:schemeClr w14:val="tx1"/>
                  </w14:solidFill>
                </w14:textFill>
              </w:rPr>
            </w:pPr>
          </w:p>
        </w:tc>
        <w:tc>
          <w:tcPr>
            <w:tcW w:w="2001" w:type="dxa"/>
            <w:vAlign w:val="center"/>
          </w:tcPr>
          <w:p w14:paraId="009B4D89">
            <w:pPr>
              <w:rPr>
                <w:rFonts w:hint="eastAsia"/>
                <w:color w:val="000000" w:themeColor="text1"/>
                <w:highlight w:val="none"/>
                <w14:textFill>
                  <w14:solidFill>
                    <w14:schemeClr w14:val="tx1"/>
                  </w14:solidFill>
                </w14:textFill>
              </w:rPr>
            </w:pPr>
          </w:p>
        </w:tc>
        <w:tc>
          <w:tcPr>
            <w:tcW w:w="1220" w:type="dxa"/>
            <w:vAlign w:val="center"/>
          </w:tcPr>
          <w:p w14:paraId="60FA301F">
            <w:pPr>
              <w:rPr>
                <w:rFonts w:hint="eastAsia"/>
                <w:color w:val="000000" w:themeColor="text1"/>
                <w:highlight w:val="none"/>
                <w14:textFill>
                  <w14:solidFill>
                    <w14:schemeClr w14:val="tx1"/>
                  </w14:solidFill>
                </w14:textFill>
              </w:rPr>
            </w:pPr>
          </w:p>
        </w:tc>
      </w:tr>
      <w:tr w14:paraId="6676A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7BA60D1">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14.2</w:t>
            </w:r>
          </w:p>
        </w:tc>
        <w:tc>
          <w:tcPr>
            <w:tcW w:w="1379" w:type="dxa"/>
            <w:vAlign w:val="center"/>
          </w:tcPr>
          <w:p w14:paraId="042109F8">
            <w:pPr>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功分器、耦合器</w:t>
            </w:r>
          </w:p>
        </w:tc>
        <w:tc>
          <w:tcPr>
            <w:tcW w:w="3834" w:type="dxa"/>
            <w:vAlign w:val="center"/>
          </w:tcPr>
          <w:p w14:paraId="028832FC">
            <w:pPr>
              <w:ind w:firstLine="10" w:firstLineChars="5"/>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爱谱华顿、罗格朗、耐克森、北大青鸟、清华同方、中国普天</w:t>
            </w:r>
          </w:p>
        </w:tc>
        <w:tc>
          <w:tcPr>
            <w:tcW w:w="2001" w:type="dxa"/>
            <w:vAlign w:val="center"/>
          </w:tcPr>
          <w:p w14:paraId="3E189064">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4F681190">
            <w:pPr>
              <w:ind w:firstLine="10" w:firstLineChars="5"/>
              <w:rPr>
                <w:rFonts w:hint="eastAsia" w:ascii="宋体" w:hAnsi="宋体"/>
                <w:color w:val="000000" w:themeColor="text1"/>
                <w:sz w:val="21"/>
                <w:szCs w:val="21"/>
                <w:highlight w:val="none"/>
                <w14:textFill>
                  <w14:solidFill>
                    <w14:schemeClr w14:val="tx1"/>
                  </w14:solidFill>
                </w14:textFill>
              </w:rPr>
            </w:pPr>
          </w:p>
        </w:tc>
      </w:tr>
      <w:tr w14:paraId="6014A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1ABFBFF">
            <w:pPr>
              <w:ind w:firstLine="35" w:firstLineChars="17"/>
              <w:jc w:val="center"/>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14.3</w:t>
            </w:r>
          </w:p>
        </w:tc>
        <w:tc>
          <w:tcPr>
            <w:tcW w:w="1379" w:type="dxa"/>
            <w:vAlign w:val="center"/>
          </w:tcPr>
          <w:p w14:paraId="6DEF671C">
            <w:pPr>
              <w:jc w:val="center"/>
              <w:rPr>
                <w:rFonts w:hint="eastAsia" w:ascii="宋体" w:hAnsi="宋体" w:eastAsia="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馈线接头、电源线</w:t>
            </w:r>
          </w:p>
        </w:tc>
        <w:tc>
          <w:tcPr>
            <w:tcW w:w="3834" w:type="dxa"/>
            <w:vAlign w:val="center"/>
          </w:tcPr>
          <w:p w14:paraId="14539895">
            <w:pPr>
              <w:ind w:firstLine="10" w:firstLineChars="5"/>
              <w:rPr>
                <w:rFonts w:hint="eastAsia" w:ascii="宋体" w:hAnsi="宋体"/>
                <w:color w:val="000000" w:themeColor="text1"/>
                <w:sz w:val="21"/>
                <w:szCs w:val="21"/>
                <w:highlight w:val="none"/>
                <w14:textFill>
                  <w14:solidFill>
                    <w14:schemeClr w14:val="tx1"/>
                  </w14:solidFill>
                </w14:textFill>
              </w:rPr>
            </w:pPr>
            <w:r>
              <w:rPr>
                <w:rFonts w:hint="eastAsia" w:ascii="宋体" w:hAnsi="宋体"/>
                <w:color w:val="000000" w:themeColor="text1"/>
                <w:sz w:val="21"/>
                <w:szCs w:val="21"/>
                <w:highlight w:val="none"/>
                <w14:textFill>
                  <w14:solidFill>
                    <w14:schemeClr w14:val="tx1"/>
                  </w14:solidFill>
                </w14:textFill>
              </w:rPr>
              <w:t>起帆、上上、熊猫、远东</w:t>
            </w:r>
          </w:p>
        </w:tc>
        <w:tc>
          <w:tcPr>
            <w:tcW w:w="2001" w:type="dxa"/>
            <w:vAlign w:val="center"/>
          </w:tcPr>
          <w:p w14:paraId="661145E6">
            <w:pPr>
              <w:ind w:firstLine="10" w:firstLineChars="5"/>
              <w:rPr>
                <w:rFonts w:hint="eastAsia" w:ascii="宋体" w:hAnsi="宋体"/>
                <w:color w:val="000000" w:themeColor="text1"/>
                <w:sz w:val="21"/>
                <w:szCs w:val="21"/>
                <w:highlight w:val="none"/>
                <w14:textFill>
                  <w14:solidFill>
                    <w14:schemeClr w14:val="tx1"/>
                  </w14:solidFill>
                </w14:textFill>
              </w:rPr>
            </w:pPr>
          </w:p>
        </w:tc>
        <w:tc>
          <w:tcPr>
            <w:tcW w:w="1220" w:type="dxa"/>
            <w:vAlign w:val="center"/>
          </w:tcPr>
          <w:p w14:paraId="3FB3641E">
            <w:pPr>
              <w:ind w:firstLine="10" w:firstLineChars="5"/>
              <w:rPr>
                <w:rFonts w:hint="eastAsia" w:ascii="宋体" w:hAnsi="宋体"/>
                <w:color w:val="000000" w:themeColor="text1"/>
                <w:sz w:val="21"/>
                <w:szCs w:val="21"/>
                <w:highlight w:val="none"/>
                <w14:textFill>
                  <w14:solidFill>
                    <w14:schemeClr w14:val="tx1"/>
                  </w14:solidFill>
                </w14:textFill>
              </w:rPr>
            </w:pPr>
          </w:p>
        </w:tc>
      </w:tr>
    </w:tbl>
    <w:p w14:paraId="13FFE2AA">
      <w:pPr>
        <w:pStyle w:val="24"/>
        <w:widowControl/>
        <w:ind w:firstLine="0" w:firstLineChars="0"/>
        <w:rPr>
          <w:color w:val="000000" w:themeColor="text1"/>
          <w:highlight w:val="none"/>
          <w14:textFill>
            <w14:solidFill>
              <w14:schemeClr w14:val="tx1"/>
            </w14:solidFill>
          </w14:textFill>
        </w:rPr>
      </w:pPr>
    </w:p>
    <w:p w14:paraId="5AA7443C">
      <w:pPr>
        <w:pStyle w:val="107"/>
        <w:outlineLvl w:val="9"/>
        <w:rPr>
          <w:rFonts w:hint="eastAsia" w:cs="宋体"/>
          <w:color w:val="000000" w:themeColor="text1"/>
          <w:highlight w:val="none"/>
          <w14:textFill>
            <w14:solidFill>
              <w14:schemeClr w14:val="tx1"/>
            </w14:solidFill>
          </w14:textFill>
        </w:rPr>
      </w:pPr>
    </w:p>
    <w:sectPr>
      <w:headerReference r:id="rId12" w:type="default"/>
      <w:footerReference r:id="rId13" w:type="default"/>
      <w:pgSz w:w="11905" w:h="16838"/>
      <w:pgMar w:top="1440" w:right="1440" w:bottom="1440" w:left="1440" w:header="720" w:footer="720" w:gutter="0"/>
      <w:pgBorders>
        <w:top w:val="none" w:sz="0" w:space="0"/>
        <w:left w:val="none" w:sz="0" w:space="0"/>
        <w:bottom w:val="none" w:sz="0" w:space="0"/>
        <w:right w:val="none" w:sz="0" w:space="0"/>
      </w:pgBorders>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MS UI Gothic">
    <w:panose1 w:val="020B0600070205080204"/>
    <w:charset w:val="80"/>
    <w:family w:val="swiss"/>
    <w:pitch w:val="default"/>
    <w:sig w:usb0="E00002FF" w:usb1="6AC7FDFB" w:usb2="08000012" w:usb3="00000000" w:csb0="4002009F" w:csb1="DFD70000"/>
  </w:font>
  <w:font w:name="Verdana">
    <w:panose1 w:val="020B0604030504040204"/>
    <w:charset w:val="00"/>
    <w:family w:val="auto"/>
    <w:pitch w:val="default"/>
    <w:sig w:usb0="A00006FF" w:usb1="4000205B" w:usb2="00000010" w:usb3="00000000" w:csb0="2000019F"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FCF23">
    <w:pPr>
      <w:pStyle w:val="29"/>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60325" cy="231140"/>
              <wp:effectExtent l="0" t="0" r="0" b="0"/>
              <wp:wrapNone/>
              <wp:docPr id="1" name="文本框 1"/>
              <wp:cNvGraphicFramePr/>
              <a:graphic xmlns:a="http://schemas.openxmlformats.org/drawingml/2006/main">
                <a:graphicData uri="http://schemas.microsoft.com/office/word/2010/wordprocessingShape">
                  <wps:wsp>
                    <wps:cNvSpPr txBox="1"/>
                    <wps:spPr>
                      <a:xfrm>
                        <a:off x="0" y="0"/>
                        <a:ext cx="60325" cy="231140"/>
                      </a:xfrm>
                      <a:prstGeom prst="rect">
                        <a:avLst/>
                      </a:prstGeom>
                      <a:noFill/>
                      <a:ln w="6350">
                        <a:noFill/>
                      </a:ln>
                      <a:effectLst/>
                    </wps:spPr>
                    <wps:txbx>
                      <w:txbxContent>
                        <w:p w14:paraId="3AEF41B1">
                          <w:pPr>
                            <w:pStyle w:val="29"/>
                            <w:rPr>
                              <w:rFonts w:hint="eastAsia"/>
                            </w:rP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8.2pt;width:4.75pt;mso-position-horizontal:center;mso-position-horizontal-relative:margin;mso-wrap-style:none;z-index:251659264;mso-width-relative:page;mso-height-relative:page;" filled="f" stroked="f" coordsize="21600,21600" o:gfxdata="UEsDBAoAAAAAAIdO4kAAAAAAAAAAAAAAAAAEAAAAZHJzL1BLAwQUAAAACACHTuJATE/ugdIAAAAC&#10;AQAADwAAAGRycy9kb3ducmV2LnhtbE2PzU7DMBCE70i8g7VI3KjTHyoIcSq1IhyRaDhwdOMlSWuv&#10;I9tNw9uzcIHLSqMZzXxbbCZnxYgh9p4UzGcZCKTGm55aBe91dfcAIiZNRltPqOALI2zK66tC58Zf&#10;6A3HfWoFl1DMtYIupSGXMjYdOh1nfkBi79MHpxPL0EoT9IXLnZWLLFtLp3vihU4PuOuwOe3PTsGu&#10;quswYgz2A1+q5fF1u8LnSanbm3n2BCLhlP7C8IPP6FAy08GfyURhFfAj6fey93gP4qBguV6BLAv5&#10;H738BlBLAwQUAAAACACHTuJAWzPwaDQCAABgBAAADgAAAGRycy9lMm9Eb2MueG1srVTNjtMwEL4j&#10;8Q6W7zRpy65Q1XRVtipCqtiVFsTZdZwmkv9ku03KA8AbcOLCnefqc/DZSbto4bAHLs7YM/5mvm/G&#10;md90SpKDcL4xuqDjUU6J0NyUjd4V9NPH9as3lPjAdMmk0aKgR+HpzeLli3lrZ2JiaiNL4QhAtJ+1&#10;tqB1CHaWZZ7XQjE/MlZoOCvjFAvYul1WOtYCXclskufXWWtcaZ3hwnucrnonHRDdcwBNVTVcrAzf&#10;K6FDj+qEZAGUfN1YTxep2qoSPNxVlReByIKCaUgrksDexjVbzNls55itGz6UwJ5TwhNOijUaSS9Q&#10;KxYY2bvmLyjVcGe8qcKIG5X1RJIiYDHOn2jzUDMrEhdI7e1FdP//YPmHw70jTYlJoEQzhYafvn87&#10;/fh1+vmVjKM8rfUzRD1YxIXureli6HDucRhZd5VT8Qs+BH6Ie7yIK7pAOA6v8+nkihIOz2Q6Hr9O&#10;2mePd63z4Z0wikSjoA6tS4qyw8YH5EPoOSSm0mbdSJnaJzVpgT+9ytOFiwc3pI6xIg3CABP59HVH&#10;K3TbbiCzNeURHJ3ph8Rbvm5Qyob5cM8cpgK08G7CHZZKGqQ0g0VJbdyXf53HeDQLXkpaTFlBNR4V&#10;JfK9RhPjQJ4Ndza2Z0Pv1a3B2KIxqCWZuOCCPJuVM+ozHtMy5oCLaY5MBQ1n8zb0k47HyMVymYIw&#10;dpaFjX6wPEJHebxd7gPkTCpHUXolIHncYPCS+MMjiZP95z5FPf4YF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E/ugdIAAAACAQAADwAAAAAAAAABACAAAAAiAAAAZHJzL2Rvd25yZXYueG1sUEsB&#10;AhQAFAAAAAgAh07iQFsz8Gg0AgAAYAQAAA4AAAAAAAAAAQAgAAAAIQEAAGRycy9lMm9Eb2MueG1s&#10;UEsFBgAAAAAGAAYAWQEAAMcFAAAAAA==&#10;">
              <v:fill on="f" focussize="0,0"/>
              <v:stroke on="f" weight="0.5pt"/>
              <v:imagedata o:title=""/>
              <o:lock v:ext="edit" aspectratio="f"/>
              <v:textbox inset="0mm,0mm,0mm,0mm" style="mso-fit-shape-to-text:t;">
                <w:txbxContent>
                  <w:p w14:paraId="3AEF41B1">
                    <w:pPr>
                      <w:pStyle w:val="29"/>
                      <w:rPr>
                        <w:rFonts w:hint="eastAsia"/>
                      </w:rPr>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E0836">
    <w:pPr>
      <w:pStyle w:val="29"/>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80FA468">
                          <w:pPr>
                            <w:pStyle w:val="29"/>
                            <w:rPr>
                              <w:rFonts w:hint="eastAsia"/>
                            </w:rPr>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14:paraId="380FA468">
                    <w:pPr>
                      <w:pStyle w:val="29"/>
                      <w:rPr>
                        <w:rFonts w:hint="eastAsia"/>
                      </w:rPr>
                    </w:pPr>
                    <w:r>
                      <w:fldChar w:fldCharType="begin"/>
                    </w:r>
                    <w:r>
                      <w:instrText xml:space="preserve"> PAGE  \* MERGEFORMAT </w:instrText>
                    </w:r>
                    <w:r>
                      <w:fldChar w:fldCharType="separate"/>
                    </w:r>
                    <w:r>
                      <w:t>7</w:t>
                    </w:r>
                    <w:r>
                      <w:fldChar w:fldCharType="end"/>
                    </w:r>
                  </w:p>
                </w:txbxContent>
              </v:textbox>
            </v:shape>
          </w:pict>
        </mc:Fallback>
      </mc:AlternateContent>
    </w:r>
  </w:p>
  <w:p w14:paraId="4F5DE6F1">
    <w:pPr>
      <w:pStyle w:val="29"/>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43CAF">
    <w:pPr>
      <w:pStyle w:val="29"/>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87A0602">
                          <w:pPr>
                            <w:pStyle w:val="29"/>
                            <w:rPr>
                              <w:rFonts w:hint="eastAsia"/>
                            </w:rPr>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cYOQyAgAAYwQAAA4AAABkcnMvZTJvRG9jLnhtbK1UzY7aMBC+V+o7&#10;WL6XABUrhAgruoiqEuquRKuejeOQSP6TbUjoA7Rv0FMvvfe5eI797BC22vawh17C2DP+Zr5vZpjf&#10;tkqSo3C+Njqno8GQEqG5KWq9z+nnT+s3U0p8YLpg0miR05Pw9Hbx+tW8sTMxNpWRhXAEINrPGpvT&#10;KgQ7yzLPK6GYHxgrNJylcYoFHN0+KxxrgK5kNh4Ob7LGuMI6w4X3uF11TnpBdC8BNGVZc7Ey/KCE&#10;Dh2qE5IFUPJVbT1dpGrLUvBwX5ZeBCJzCqYhfZEE9i5+s8WczfaO2armlxLYS0p4xkmxWiPpFWrF&#10;AiMHV/8FpWrujDdlGHCjso5IUgQsRsNn2mwrZkXiAqm9vYru/x8s/3h8cKQucjqhRDOFhp9/fD//&#10;/H3+9Y1MojyN9TNEbS3iQvvOtBia/t7jMrJuS6fiL/gQ+CHu6SquaAPh8dF0PJ0O4eLw9QfgZ0/P&#10;rfPhvTCKRCOnDt1LorLjxocutA+J2bRZ11KmDkpNmpzevJ0M04OrB+BSx1iRZuECEyl1pUcrtLv2&#10;wnNnihNoOtPNibd8XaOUDfPhgTkMBsrH6oR7fEppkNJcLEoq477+6z7Go1/wUtJg0HKqsVeUyA8a&#10;fQRg6A3XG7ve0Ad1ZzC5I6yk5cnEAxdkb5bOqC/Yp2XMARfTHJlyGnrzLnTDjn3kYrlMQZg8y8JG&#10;by2P0FEeb5eHADmTylGUTgl0Jx4we6lPlz2Jw/3nOUU9/Tcs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Zxg5DICAABjBAAADgAAAAAAAAABACAAAAAfAQAAZHJzL2Uyb0RvYy54bWxQSwUG&#10;AAAAAAYABgBZAQAAwwUAAAAA&#10;">
              <v:fill on="f" focussize="0,0"/>
              <v:stroke on="f" weight="0.5pt"/>
              <v:imagedata o:title=""/>
              <o:lock v:ext="edit" aspectratio="f"/>
              <v:textbox inset="0mm,0mm,0mm,0mm" style="mso-fit-shape-to-text:t;">
                <w:txbxContent>
                  <w:p w14:paraId="187A0602">
                    <w:pPr>
                      <w:pStyle w:val="29"/>
                      <w:rPr>
                        <w:rFonts w:hint="eastAsia"/>
                      </w:rPr>
                    </w:pPr>
                    <w:r>
                      <w:fldChar w:fldCharType="begin"/>
                    </w:r>
                    <w:r>
                      <w:instrText xml:space="preserve"> PAGE  \* MERGEFORMAT </w:instrText>
                    </w:r>
                    <w:r>
                      <w:fldChar w:fldCharType="separate"/>
                    </w:r>
                    <w:r>
                      <w:t>9</w:t>
                    </w:r>
                    <w:r>
                      <w:fldChar w:fldCharType="end"/>
                    </w:r>
                  </w:p>
                </w:txbxContent>
              </v:textbox>
            </v:shape>
          </w:pict>
        </mc:Fallback>
      </mc:AlternateContent>
    </w:r>
  </w:p>
  <w:p w14:paraId="7958FE6E">
    <w:pPr>
      <w:pStyle w:val="29"/>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57C8">
    <w:pPr>
      <w:pStyle w:val="29"/>
      <w:jc w:val="center"/>
      <w:rPr>
        <w:rFonts w:hint="eastAsia"/>
        <w:sz w:val="21"/>
        <w:szCs w:val="21"/>
      </w:rPr>
    </w:pP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4AE56B4">
                          <w:pPr>
                            <w:pStyle w:val="29"/>
                            <w:rPr>
                              <w:rFonts w:hint="eastAsia"/>
                            </w:rPr>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14:paraId="24AE56B4">
                    <w:pPr>
                      <w:pStyle w:val="29"/>
                      <w:rPr>
                        <w:rFonts w:hint="eastAsia"/>
                      </w:rPr>
                    </w:pPr>
                    <w:r>
                      <w:fldChar w:fldCharType="begin"/>
                    </w:r>
                    <w:r>
                      <w:instrText xml:space="preserve"> PAGE  \* MERGEFORMAT </w:instrText>
                    </w:r>
                    <w:r>
                      <w:fldChar w:fldCharType="separate"/>
                    </w:r>
                    <w:r>
                      <w:t>19</w:t>
                    </w:r>
                    <w:r>
                      <w:fldChar w:fldCharType="end"/>
                    </w:r>
                  </w:p>
                </w:txbxContent>
              </v:textbox>
            </v:shape>
          </w:pict>
        </mc:Fallback>
      </mc:AlternateContent>
    </w:r>
  </w:p>
  <w:p w14:paraId="03856662">
    <w:pPr>
      <w:pStyle w:val="29"/>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0E054">
    <w:pPr>
      <w:pStyle w:val="29"/>
      <w:jc w:val="center"/>
      <w:rPr>
        <w:rFonts w:hint="eastAsia"/>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F1BC21">
                          <w:pPr>
                            <w:pStyle w:val="29"/>
                            <w:rPr>
                              <w:rFonts w:hint="eastAsia"/>
                            </w:rPr>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0AF1BC21">
                    <w:pPr>
                      <w:pStyle w:val="29"/>
                      <w:rPr>
                        <w:rFonts w:hint="eastAsia"/>
                      </w:rPr>
                    </w:pPr>
                    <w:r>
                      <w:fldChar w:fldCharType="begin"/>
                    </w:r>
                    <w:r>
                      <w:instrText xml:space="preserve"> PAGE  \* MERGEFORMAT </w:instrText>
                    </w:r>
                    <w:r>
                      <w:fldChar w:fldCharType="separate"/>
                    </w:r>
                    <w:r>
                      <w:t>51</w:t>
                    </w:r>
                    <w:r>
                      <w:fldChar w:fldCharType="end"/>
                    </w:r>
                  </w:p>
                </w:txbxContent>
              </v:textbox>
            </v:shape>
          </w:pict>
        </mc:Fallback>
      </mc:AlternateContent>
    </w:r>
  </w:p>
  <w:p w14:paraId="69AAC377">
    <w:pPr>
      <w:pStyle w:val="29"/>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12" w:lineRule="auto"/>
      </w:pPr>
      <w:r>
        <w:separator/>
      </w:r>
    </w:p>
  </w:footnote>
  <w:footnote w:type="continuationSeparator" w:id="1">
    <w:p>
      <w:pPr>
        <w:spacing w:before="0" w:after="0" w:line="312"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99672">
    <w:pPr>
      <w:pStyle w:val="30"/>
      <w:pBdr>
        <w:bottom w:val="none" w:color="auto" w:sz="0" w:space="1"/>
      </w:pBdr>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D1F10">
    <w:pPr>
      <w:pStyle w:val="30"/>
      <w:jc w:val="both"/>
      <w:rPr>
        <w:rFonts w:hint="eastAsia"/>
      </w:rPr>
    </w:pPr>
    <w:r>
      <w:rPr>
        <w:rFonts w:hint="eastAsia" w:ascii="宋体" w:hAnsi="宋体"/>
        <w:sz w:val="24"/>
      </w:rPr>
      <w:t>GIECC                        广州白云国际机场扩建工程噪音区治理项目项目建议书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858A3">
    <w:pPr>
      <w:pStyle w:val="30"/>
      <w:pBdr>
        <w:bottom w:val="none" w:color="auto" w:sz="0" w:space="1"/>
      </w:pBdr>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DFCF9">
    <w:pPr>
      <w:pStyle w:val="3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BB9FB"/>
    <w:multiLevelType w:val="singleLevel"/>
    <w:tmpl w:val="811BB9FB"/>
    <w:lvl w:ilvl="0" w:tentative="0">
      <w:start w:val="1"/>
      <w:numFmt w:val="decimal"/>
      <w:suff w:val="nothing"/>
      <w:lvlText w:val="%1、"/>
      <w:lvlJc w:val="left"/>
      <w:pPr>
        <w:ind w:left="0" w:firstLine="403"/>
      </w:pPr>
      <w:rPr>
        <w:rFonts w:hint="default"/>
      </w:rPr>
    </w:lvl>
  </w:abstractNum>
  <w:abstractNum w:abstractNumId="1">
    <w:nsid w:val="8AF496DA"/>
    <w:multiLevelType w:val="singleLevel"/>
    <w:tmpl w:val="8AF496DA"/>
    <w:lvl w:ilvl="0" w:tentative="0">
      <w:start w:val="1"/>
      <w:numFmt w:val="decimal"/>
      <w:suff w:val="nothing"/>
      <w:lvlText w:val="%1、"/>
      <w:lvlJc w:val="left"/>
      <w:pPr>
        <w:ind w:left="0" w:firstLine="403"/>
      </w:pPr>
      <w:rPr>
        <w:rFonts w:hint="default"/>
      </w:rPr>
    </w:lvl>
  </w:abstractNum>
  <w:abstractNum w:abstractNumId="2">
    <w:nsid w:val="8F34D224"/>
    <w:multiLevelType w:val="singleLevel"/>
    <w:tmpl w:val="8F34D224"/>
    <w:lvl w:ilvl="0" w:tentative="0">
      <w:start w:val="1"/>
      <w:numFmt w:val="decimal"/>
      <w:lvlText w:val="(%1)"/>
      <w:lvlJc w:val="left"/>
      <w:pPr>
        <w:ind w:left="425" w:hanging="425"/>
      </w:pPr>
      <w:rPr>
        <w:rFonts w:hint="default"/>
      </w:rPr>
    </w:lvl>
  </w:abstractNum>
  <w:abstractNum w:abstractNumId="3">
    <w:nsid w:val="967F36FE"/>
    <w:multiLevelType w:val="singleLevel"/>
    <w:tmpl w:val="967F36FE"/>
    <w:lvl w:ilvl="0" w:tentative="0">
      <w:start w:val="1"/>
      <w:numFmt w:val="decimal"/>
      <w:suff w:val="nothing"/>
      <w:lvlText w:val="%1、"/>
      <w:lvlJc w:val="left"/>
      <w:pPr>
        <w:ind w:left="0" w:firstLine="403"/>
      </w:pPr>
      <w:rPr>
        <w:rFonts w:hint="default"/>
      </w:rPr>
    </w:lvl>
  </w:abstractNum>
  <w:abstractNum w:abstractNumId="4">
    <w:nsid w:val="9EAC77C1"/>
    <w:multiLevelType w:val="singleLevel"/>
    <w:tmpl w:val="9EAC77C1"/>
    <w:lvl w:ilvl="0" w:tentative="0">
      <w:start w:val="1"/>
      <w:numFmt w:val="decimal"/>
      <w:lvlText w:val="(%1)"/>
      <w:lvlJc w:val="left"/>
      <w:pPr>
        <w:ind w:left="425" w:hanging="425"/>
      </w:pPr>
      <w:rPr>
        <w:rFonts w:hint="default"/>
      </w:rPr>
    </w:lvl>
  </w:abstractNum>
  <w:abstractNum w:abstractNumId="5">
    <w:nsid w:val="A7C74683"/>
    <w:multiLevelType w:val="singleLevel"/>
    <w:tmpl w:val="A7C74683"/>
    <w:lvl w:ilvl="0" w:tentative="0">
      <w:start w:val="1"/>
      <w:numFmt w:val="decimal"/>
      <w:lvlText w:val="(%1)"/>
      <w:lvlJc w:val="left"/>
      <w:pPr>
        <w:ind w:left="425" w:hanging="425"/>
      </w:pPr>
      <w:rPr>
        <w:rFonts w:hint="default"/>
      </w:rPr>
    </w:lvl>
  </w:abstractNum>
  <w:abstractNum w:abstractNumId="6">
    <w:nsid w:val="A92E09C8"/>
    <w:multiLevelType w:val="singleLevel"/>
    <w:tmpl w:val="A92E09C8"/>
    <w:lvl w:ilvl="0" w:tentative="0">
      <w:start w:val="1"/>
      <w:numFmt w:val="decimal"/>
      <w:lvlText w:val="(%1)"/>
      <w:lvlJc w:val="left"/>
      <w:pPr>
        <w:ind w:left="425" w:hanging="425"/>
      </w:pPr>
      <w:rPr>
        <w:rFonts w:hint="default"/>
      </w:rPr>
    </w:lvl>
  </w:abstractNum>
  <w:abstractNum w:abstractNumId="7">
    <w:nsid w:val="B975F48E"/>
    <w:multiLevelType w:val="singleLevel"/>
    <w:tmpl w:val="B975F48E"/>
    <w:lvl w:ilvl="0" w:tentative="0">
      <w:start w:val="1"/>
      <w:numFmt w:val="upperRoman"/>
      <w:lvlText w:val="%1."/>
      <w:lvlJc w:val="left"/>
      <w:pPr>
        <w:tabs>
          <w:tab w:val="left" w:pos="420"/>
        </w:tabs>
        <w:ind w:left="425" w:hanging="425"/>
      </w:pPr>
      <w:rPr>
        <w:rFonts w:hint="default"/>
      </w:rPr>
    </w:lvl>
  </w:abstractNum>
  <w:abstractNum w:abstractNumId="8">
    <w:nsid w:val="C82AE6BD"/>
    <w:multiLevelType w:val="singleLevel"/>
    <w:tmpl w:val="C82AE6BD"/>
    <w:lvl w:ilvl="0" w:tentative="0">
      <w:start w:val="1"/>
      <w:numFmt w:val="decimal"/>
      <w:suff w:val="nothing"/>
      <w:lvlText w:val="%1、"/>
      <w:lvlJc w:val="left"/>
      <w:pPr>
        <w:ind w:left="0" w:firstLine="403"/>
      </w:pPr>
      <w:rPr>
        <w:rFonts w:hint="default"/>
      </w:rPr>
    </w:lvl>
  </w:abstractNum>
  <w:abstractNum w:abstractNumId="9">
    <w:nsid w:val="E11E910D"/>
    <w:multiLevelType w:val="singleLevel"/>
    <w:tmpl w:val="E11E910D"/>
    <w:lvl w:ilvl="0" w:tentative="0">
      <w:start w:val="1"/>
      <w:numFmt w:val="decimal"/>
      <w:suff w:val="nothing"/>
      <w:lvlText w:val="%1、"/>
      <w:lvlJc w:val="left"/>
      <w:pPr>
        <w:ind w:left="0" w:firstLine="403"/>
      </w:pPr>
      <w:rPr>
        <w:rFonts w:hint="default"/>
      </w:rPr>
    </w:lvl>
  </w:abstractNum>
  <w:abstractNum w:abstractNumId="10">
    <w:nsid w:val="E3873E61"/>
    <w:multiLevelType w:val="singleLevel"/>
    <w:tmpl w:val="E3873E61"/>
    <w:lvl w:ilvl="0" w:tentative="0">
      <w:start w:val="1"/>
      <w:numFmt w:val="decimal"/>
      <w:lvlText w:val="(%1)"/>
      <w:lvlJc w:val="left"/>
      <w:pPr>
        <w:ind w:left="425" w:hanging="425"/>
      </w:pPr>
      <w:rPr>
        <w:rFonts w:hint="default"/>
      </w:rPr>
    </w:lvl>
  </w:abstractNum>
  <w:abstractNum w:abstractNumId="11">
    <w:nsid w:val="EC216FF2"/>
    <w:multiLevelType w:val="multilevel"/>
    <w:tmpl w:val="EC216FF2"/>
    <w:lvl w:ilvl="0" w:tentative="0">
      <w:start w:val="1"/>
      <w:numFmt w:val="chineseCountingThousand"/>
      <w:suff w:val="nothing"/>
      <w:lvlText w:val="%1、"/>
      <w:lvlJc w:val="center"/>
      <w:pPr>
        <w:ind w:left="2860" w:firstLine="0"/>
      </w:pPr>
      <w:rPr>
        <w:rFonts w:hint="eastAsia"/>
      </w:rPr>
    </w:lvl>
    <w:lvl w:ilvl="1" w:tentative="0">
      <w:start w:val="1"/>
      <w:numFmt w:val="decimal"/>
      <w:isLgl/>
      <w:suff w:val="space"/>
      <w:lvlText w:val="%1.%2"/>
      <w:lvlJc w:val="left"/>
      <w:pPr>
        <w:ind w:left="0" w:firstLine="0"/>
      </w:pPr>
      <w:rPr>
        <w:rFonts w:hint="default" w:ascii="Times New Roman" w:hAnsi="Times New Roman" w:cs="Times New Roman"/>
        <w:sz w:val="28"/>
        <w:szCs w:val="28"/>
      </w:rPr>
    </w:lvl>
    <w:lvl w:ilvl="2" w:tentative="0">
      <w:start w:val="1"/>
      <w:numFmt w:val="decimal"/>
      <w:isLgl/>
      <w:suff w:val="space"/>
      <w:lvlText w:val="%1.%2.%3"/>
      <w:lvlJc w:val="left"/>
      <w:pPr>
        <w:tabs>
          <w:tab w:val="left" w:pos="420"/>
        </w:tabs>
        <w:ind w:left="0" w:firstLine="0"/>
      </w:pPr>
      <w:rPr>
        <w:rFonts w:hint="default" w:ascii="宋体" w:hAnsi="宋体" w:eastAsia="宋体" w:cs="宋体"/>
        <w:sz w:val="28"/>
        <w:szCs w:val="28"/>
      </w:rPr>
    </w:lvl>
    <w:lvl w:ilvl="3" w:tentative="0">
      <w:start w:val="1"/>
      <w:numFmt w:val="decimal"/>
      <w:lvlRestart w:val="1"/>
      <w:isLgl/>
      <w:suff w:val="nothing"/>
      <w:lvlText w:val="表%1-%4"/>
      <w:lvlJc w:val="center"/>
      <w:pPr>
        <w:tabs>
          <w:tab w:val="left" w:pos="0"/>
        </w:tabs>
        <w:ind w:left="426" w:hanging="426"/>
      </w:pPr>
      <w:rPr>
        <w:rFonts w:hint="eastAsia" w:ascii="宋体" w:hAnsi="宋体" w:eastAsia="宋体" w:cs="宋体"/>
        <w:b/>
        <w:bCs/>
        <w:strike w:val="0"/>
        <w:sz w:val="24"/>
        <w:szCs w:val="24"/>
        <w:u w:val="none"/>
      </w:rPr>
    </w:lvl>
    <w:lvl w:ilvl="4" w:tentative="0">
      <w:start w:val="1"/>
      <w:numFmt w:val="decimal"/>
      <w:lvlText w:val="%1.%2.%3.%4.%5"/>
      <w:lvlJc w:val="left"/>
      <w:pPr>
        <w:ind w:left="2551" w:hanging="850"/>
      </w:pPr>
      <w:rPr>
        <w:rFonts w:hint="eastAsia"/>
      </w:rPr>
    </w:lvl>
    <w:lvl w:ilvl="5" w:tentative="0">
      <w:start w:val="1"/>
      <w:numFmt w:val="decimal"/>
      <w:suff w:val="nothing"/>
      <w:lvlText w:val="%6、"/>
      <w:lvlJc w:val="left"/>
      <w:pPr>
        <w:ind w:left="0" w:firstLine="0"/>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2">
    <w:nsid w:val="EF7F2D71"/>
    <w:multiLevelType w:val="singleLevel"/>
    <w:tmpl w:val="EF7F2D71"/>
    <w:lvl w:ilvl="0" w:tentative="0">
      <w:start w:val="2"/>
      <w:numFmt w:val="decimal"/>
      <w:suff w:val="nothing"/>
      <w:lvlText w:val="（%1）"/>
      <w:lvlJc w:val="left"/>
    </w:lvl>
  </w:abstractNum>
  <w:abstractNum w:abstractNumId="13">
    <w:nsid w:val="F0E6149F"/>
    <w:multiLevelType w:val="singleLevel"/>
    <w:tmpl w:val="F0E6149F"/>
    <w:lvl w:ilvl="0" w:tentative="0">
      <w:start w:val="10"/>
      <w:numFmt w:val="decimal"/>
      <w:suff w:val="space"/>
      <w:lvlText w:val="%1."/>
      <w:lvlJc w:val="left"/>
    </w:lvl>
  </w:abstractNum>
  <w:abstractNum w:abstractNumId="14">
    <w:nsid w:val="FD6BA031"/>
    <w:multiLevelType w:val="singleLevel"/>
    <w:tmpl w:val="FD6BA031"/>
    <w:lvl w:ilvl="0" w:tentative="0">
      <w:start w:val="1"/>
      <w:numFmt w:val="decimal"/>
      <w:suff w:val="nothing"/>
      <w:lvlText w:val="%1、"/>
      <w:lvlJc w:val="left"/>
      <w:pPr>
        <w:ind w:left="0" w:firstLine="403"/>
      </w:pPr>
      <w:rPr>
        <w:rFonts w:hint="default"/>
      </w:rPr>
    </w:lvl>
  </w:abstractNum>
  <w:abstractNum w:abstractNumId="15">
    <w:nsid w:val="00000010"/>
    <w:multiLevelType w:val="multilevel"/>
    <w:tmpl w:val="00000010"/>
    <w:lvl w:ilvl="0" w:tentative="0">
      <w:start w:val="1"/>
      <w:numFmt w:val="chineseCountingThousand"/>
      <w:pStyle w:val="105"/>
      <w:lvlText w:val="第%1条"/>
      <w:lvlJc w:val="left"/>
      <w:pPr>
        <w:tabs>
          <w:tab w:val="left" w:pos="2565"/>
        </w:tabs>
        <w:ind w:left="1845" w:firstLine="0"/>
      </w:pPr>
      <w:rPr>
        <w:rFonts w:hint="eastAsia" w:eastAsia="黑体"/>
        <w:b/>
        <w:i w:val="0"/>
        <w:color w:val="auto"/>
        <w:sz w:val="24"/>
        <w:lang w:val="en-US"/>
      </w:rPr>
    </w:lvl>
    <w:lvl w:ilvl="1" w:tentative="0">
      <w:start w:val="1"/>
      <w:numFmt w:val="decimal"/>
      <w:lvlText w:val="%2、"/>
      <w:lvlJc w:val="left"/>
      <w:pPr>
        <w:tabs>
          <w:tab w:val="left" w:pos="1140"/>
        </w:tabs>
        <w:ind w:left="420" w:firstLine="0"/>
      </w:pPr>
      <w:rPr>
        <w:rFonts w:ascii="黑体" w:hAnsi="Tahoma" w:eastAsia="黑体"/>
        <w:b w:val="0"/>
        <w:i w:val="0"/>
        <w:sz w:val="24"/>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980"/>
        </w:tabs>
        <w:ind w:left="1980" w:hanging="72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6">
    <w:nsid w:val="053621EA"/>
    <w:multiLevelType w:val="multilevel"/>
    <w:tmpl w:val="053621EA"/>
    <w:lvl w:ilvl="0" w:tentative="0">
      <w:start w:val="14"/>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7">
    <w:nsid w:val="078295EB"/>
    <w:multiLevelType w:val="singleLevel"/>
    <w:tmpl w:val="078295EB"/>
    <w:lvl w:ilvl="0" w:tentative="0">
      <w:start w:val="1"/>
      <w:numFmt w:val="decimal"/>
      <w:lvlText w:val="(%1)"/>
      <w:lvlJc w:val="left"/>
      <w:pPr>
        <w:ind w:left="425" w:hanging="425"/>
      </w:pPr>
      <w:rPr>
        <w:rFonts w:hint="default"/>
      </w:rPr>
    </w:lvl>
  </w:abstractNum>
  <w:abstractNum w:abstractNumId="18">
    <w:nsid w:val="07AC121F"/>
    <w:multiLevelType w:val="multilevel"/>
    <w:tmpl w:val="07AC121F"/>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19">
    <w:nsid w:val="0B79A66E"/>
    <w:multiLevelType w:val="singleLevel"/>
    <w:tmpl w:val="0B79A66E"/>
    <w:lvl w:ilvl="0" w:tentative="0">
      <w:start w:val="1"/>
      <w:numFmt w:val="decimal"/>
      <w:suff w:val="nothing"/>
      <w:lvlText w:val="%1、"/>
      <w:lvlJc w:val="left"/>
      <w:pPr>
        <w:ind w:left="0" w:firstLine="403"/>
      </w:pPr>
      <w:rPr>
        <w:rFonts w:hint="default"/>
      </w:rPr>
    </w:lvl>
  </w:abstractNum>
  <w:abstractNum w:abstractNumId="20">
    <w:nsid w:val="0C85790D"/>
    <w:multiLevelType w:val="multilevel"/>
    <w:tmpl w:val="0C85790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1">
    <w:nsid w:val="0CAEA2DB"/>
    <w:multiLevelType w:val="singleLevel"/>
    <w:tmpl w:val="0CAEA2DB"/>
    <w:lvl w:ilvl="0" w:tentative="0">
      <w:start w:val="1"/>
      <w:numFmt w:val="decimal"/>
      <w:lvlText w:val="(%1)"/>
      <w:lvlJc w:val="left"/>
      <w:pPr>
        <w:ind w:left="425" w:hanging="425"/>
      </w:pPr>
      <w:rPr>
        <w:rFonts w:hint="default"/>
      </w:rPr>
    </w:lvl>
  </w:abstractNum>
  <w:abstractNum w:abstractNumId="22">
    <w:nsid w:val="0FC65731"/>
    <w:multiLevelType w:val="multilevel"/>
    <w:tmpl w:val="0FC65731"/>
    <w:lvl w:ilvl="0" w:tentative="0">
      <w:start w:val="1"/>
      <w:numFmt w:val="decimal"/>
      <w:suff w:val="nothing"/>
      <w:lvlText w:val="%1"/>
      <w:lvlJc w:val="center"/>
      <w:pPr>
        <w:ind w:left="0" w:firstLine="0"/>
      </w:pPr>
      <w:rPr>
        <w:rFonts w:hint="default"/>
        <w:strike w:val="0"/>
        <w:dstrike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3">
    <w:nsid w:val="17185A54"/>
    <w:multiLevelType w:val="singleLevel"/>
    <w:tmpl w:val="17185A54"/>
    <w:lvl w:ilvl="0" w:tentative="0">
      <w:start w:val="1"/>
      <w:numFmt w:val="upperLetter"/>
      <w:lvlText w:val="%1."/>
      <w:lvlJc w:val="left"/>
      <w:pPr>
        <w:ind w:left="425" w:hanging="425"/>
      </w:pPr>
      <w:rPr>
        <w:rFonts w:hint="default"/>
      </w:rPr>
    </w:lvl>
  </w:abstractNum>
  <w:abstractNum w:abstractNumId="24">
    <w:nsid w:val="1E833B8C"/>
    <w:multiLevelType w:val="multilevel"/>
    <w:tmpl w:val="1E833B8C"/>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5">
    <w:nsid w:val="22071A99"/>
    <w:multiLevelType w:val="multilevel"/>
    <w:tmpl w:val="22071A99"/>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6">
    <w:nsid w:val="22607BF1"/>
    <w:multiLevelType w:val="multilevel"/>
    <w:tmpl w:val="22607BF1"/>
    <w:lvl w:ilvl="0" w:tentative="0">
      <w:start w:val="1"/>
      <w:numFmt w:val="decimal"/>
      <w:lvlText w:val="（%1）"/>
      <w:lvlJc w:val="left"/>
      <w:pPr>
        <w:ind w:left="1080" w:hanging="720"/>
      </w:pPr>
      <w:rPr>
        <w:rFonts w:hint="default"/>
        <w:color w:val="000000"/>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7">
    <w:nsid w:val="302B5E34"/>
    <w:multiLevelType w:val="singleLevel"/>
    <w:tmpl w:val="302B5E34"/>
    <w:lvl w:ilvl="0" w:tentative="0">
      <w:start w:val="1"/>
      <w:numFmt w:val="decimal"/>
      <w:suff w:val="nothing"/>
      <w:lvlText w:val="%1、"/>
      <w:lvlJc w:val="left"/>
      <w:pPr>
        <w:ind w:left="0" w:firstLine="403"/>
      </w:pPr>
      <w:rPr>
        <w:rFonts w:hint="default"/>
      </w:rPr>
    </w:lvl>
  </w:abstractNum>
  <w:abstractNum w:abstractNumId="28">
    <w:nsid w:val="31E97188"/>
    <w:multiLevelType w:val="multilevel"/>
    <w:tmpl w:val="31E97188"/>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9">
    <w:nsid w:val="32634638"/>
    <w:multiLevelType w:val="multilevel"/>
    <w:tmpl w:val="32634638"/>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0">
    <w:nsid w:val="38A07E93"/>
    <w:multiLevelType w:val="multilevel"/>
    <w:tmpl w:val="38A07E93"/>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1">
    <w:nsid w:val="3953AE72"/>
    <w:multiLevelType w:val="singleLevel"/>
    <w:tmpl w:val="3953AE72"/>
    <w:lvl w:ilvl="0" w:tentative="0">
      <w:start w:val="1"/>
      <w:numFmt w:val="decimal"/>
      <w:suff w:val="nothing"/>
      <w:lvlText w:val="%1、"/>
      <w:lvlJc w:val="left"/>
      <w:pPr>
        <w:ind w:left="0" w:firstLine="403"/>
      </w:pPr>
      <w:rPr>
        <w:rFonts w:hint="default"/>
      </w:rPr>
    </w:lvl>
  </w:abstractNum>
  <w:abstractNum w:abstractNumId="32">
    <w:nsid w:val="3B5025A6"/>
    <w:multiLevelType w:val="multilevel"/>
    <w:tmpl w:val="3B5025A6"/>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3">
    <w:nsid w:val="3BABDE40"/>
    <w:multiLevelType w:val="singleLevel"/>
    <w:tmpl w:val="3BABDE40"/>
    <w:lvl w:ilvl="0" w:tentative="0">
      <w:start w:val="1"/>
      <w:numFmt w:val="decimal"/>
      <w:lvlText w:val="(%1)"/>
      <w:lvlJc w:val="left"/>
      <w:pPr>
        <w:ind w:left="425" w:hanging="425"/>
      </w:pPr>
      <w:rPr>
        <w:rFonts w:hint="default"/>
      </w:rPr>
    </w:lvl>
  </w:abstractNum>
  <w:abstractNum w:abstractNumId="34">
    <w:nsid w:val="3C2D5C2D"/>
    <w:multiLevelType w:val="multilevel"/>
    <w:tmpl w:val="3C2D5C2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5">
    <w:nsid w:val="4364C7CF"/>
    <w:multiLevelType w:val="singleLevel"/>
    <w:tmpl w:val="4364C7CF"/>
    <w:lvl w:ilvl="0" w:tentative="0">
      <w:start w:val="1"/>
      <w:numFmt w:val="decimal"/>
      <w:lvlText w:val="(%1)"/>
      <w:lvlJc w:val="left"/>
      <w:pPr>
        <w:ind w:left="425" w:hanging="425"/>
      </w:pPr>
      <w:rPr>
        <w:rFonts w:hint="default"/>
      </w:rPr>
    </w:lvl>
  </w:abstractNum>
  <w:abstractNum w:abstractNumId="36">
    <w:nsid w:val="436C5456"/>
    <w:multiLevelType w:val="multilevel"/>
    <w:tmpl w:val="436C5456"/>
    <w:lvl w:ilvl="0" w:tentative="0">
      <w:start w:val="10"/>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7">
    <w:nsid w:val="48DA1851"/>
    <w:multiLevelType w:val="multilevel"/>
    <w:tmpl w:val="48DA1851"/>
    <w:lvl w:ilvl="0" w:tentative="0">
      <w:start w:val="19"/>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8">
    <w:nsid w:val="4BC504DD"/>
    <w:multiLevelType w:val="multilevel"/>
    <w:tmpl w:val="4BC504D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521A662C"/>
    <w:multiLevelType w:val="multilevel"/>
    <w:tmpl w:val="521A662C"/>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0">
    <w:nsid w:val="5800B938"/>
    <w:multiLevelType w:val="singleLevel"/>
    <w:tmpl w:val="5800B938"/>
    <w:lvl w:ilvl="0" w:tentative="0">
      <w:start w:val="1"/>
      <w:numFmt w:val="decimal"/>
      <w:lvlText w:val="(%1)"/>
      <w:lvlJc w:val="left"/>
      <w:pPr>
        <w:ind w:left="425" w:hanging="425"/>
      </w:pPr>
      <w:rPr>
        <w:rFonts w:hint="default"/>
      </w:rPr>
    </w:lvl>
  </w:abstractNum>
  <w:abstractNum w:abstractNumId="41">
    <w:nsid w:val="5B1708B9"/>
    <w:multiLevelType w:val="singleLevel"/>
    <w:tmpl w:val="5B1708B9"/>
    <w:lvl w:ilvl="0" w:tentative="0">
      <w:start w:val="1"/>
      <w:numFmt w:val="decimal"/>
      <w:suff w:val="nothing"/>
      <w:lvlText w:val="%1、"/>
      <w:lvlJc w:val="left"/>
      <w:pPr>
        <w:ind w:left="0" w:firstLine="403"/>
      </w:pPr>
      <w:rPr>
        <w:rFonts w:hint="default"/>
      </w:rPr>
    </w:lvl>
  </w:abstractNum>
  <w:abstractNum w:abstractNumId="42">
    <w:nsid w:val="5C282434"/>
    <w:multiLevelType w:val="multilevel"/>
    <w:tmpl w:val="5C282434"/>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3">
    <w:nsid w:val="64DD47A0"/>
    <w:multiLevelType w:val="multilevel"/>
    <w:tmpl w:val="64DD47A0"/>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4">
    <w:nsid w:val="64EB54DD"/>
    <w:multiLevelType w:val="multilevel"/>
    <w:tmpl w:val="64EB54D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5">
    <w:nsid w:val="66830454"/>
    <w:multiLevelType w:val="multilevel"/>
    <w:tmpl w:val="6683045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6EEF07AA"/>
    <w:multiLevelType w:val="multilevel"/>
    <w:tmpl w:val="6EEF07AA"/>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7">
    <w:nsid w:val="71A8062F"/>
    <w:multiLevelType w:val="multilevel"/>
    <w:tmpl w:val="71A8062F"/>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8">
    <w:nsid w:val="765F7A29"/>
    <w:multiLevelType w:val="multilevel"/>
    <w:tmpl w:val="765F7A29"/>
    <w:lvl w:ilvl="0" w:tentative="0">
      <w:start w:val="13"/>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9">
    <w:nsid w:val="7C7279AE"/>
    <w:multiLevelType w:val="multilevel"/>
    <w:tmpl w:val="7C7279AE"/>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num w:numId="1">
    <w:abstractNumId w:val="15"/>
  </w:num>
  <w:num w:numId="2">
    <w:abstractNumId w:val="23"/>
  </w:num>
  <w:num w:numId="3">
    <w:abstractNumId w:val="3"/>
  </w:num>
  <w:num w:numId="4">
    <w:abstractNumId w:val="19"/>
  </w:num>
  <w:num w:numId="5">
    <w:abstractNumId w:val="1"/>
  </w:num>
  <w:num w:numId="6">
    <w:abstractNumId w:val="7"/>
  </w:num>
  <w:num w:numId="7">
    <w:abstractNumId w:val="27"/>
  </w:num>
  <w:num w:numId="8">
    <w:abstractNumId w:val="14"/>
  </w:num>
  <w:num w:numId="9">
    <w:abstractNumId w:val="4"/>
  </w:num>
  <w:num w:numId="10">
    <w:abstractNumId w:val="31"/>
  </w:num>
  <w:num w:numId="11">
    <w:abstractNumId w:val="41"/>
  </w:num>
  <w:num w:numId="12">
    <w:abstractNumId w:val="9"/>
  </w:num>
  <w:num w:numId="13">
    <w:abstractNumId w:val="8"/>
  </w:num>
  <w:num w:numId="14">
    <w:abstractNumId w:val="38"/>
  </w:num>
  <w:num w:numId="15">
    <w:abstractNumId w:val="11"/>
  </w:num>
  <w:num w:numId="16">
    <w:abstractNumId w:val="13"/>
  </w:num>
  <w:num w:numId="17">
    <w:abstractNumId w:val="36"/>
  </w:num>
  <w:num w:numId="18">
    <w:abstractNumId w:val="0"/>
  </w:num>
  <w:num w:numId="19">
    <w:abstractNumId w:val="35"/>
  </w:num>
  <w:num w:numId="20">
    <w:abstractNumId w:val="40"/>
  </w:num>
  <w:num w:numId="21">
    <w:abstractNumId w:val="6"/>
  </w:num>
  <w:num w:numId="22">
    <w:abstractNumId w:val="2"/>
  </w:num>
  <w:num w:numId="23">
    <w:abstractNumId w:val="10"/>
  </w:num>
  <w:num w:numId="24">
    <w:abstractNumId w:val="33"/>
  </w:num>
  <w:num w:numId="25">
    <w:abstractNumId w:val="5"/>
  </w:num>
  <w:num w:numId="26">
    <w:abstractNumId w:val="21"/>
  </w:num>
  <w:num w:numId="27">
    <w:abstractNumId w:val="17"/>
  </w:num>
  <w:num w:numId="28">
    <w:abstractNumId w:val="29"/>
  </w:num>
  <w:num w:numId="29">
    <w:abstractNumId w:val="20"/>
  </w:num>
  <w:num w:numId="30">
    <w:abstractNumId w:val="22"/>
  </w:num>
  <w:num w:numId="31">
    <w:abstractNumId w:val="12"/>
  </w:num>
  <w:num w:numId="32">
    <w:abstractNumId w:val="48"/>
    <w:lvlOverride w:ilvl="0">
      <w:lvl w:ilvl="0" w:tentative="1">
        <w:start w:val="13"/>
        <w:numFmt w:val="decimal"/>
        <w:lvlText w:val="%1"/>
        <w:lvlJc w:val="left"/>
        <w:pPr>
          <w:ind w:left="425" w:hanging="425"/>
        </w:pPr>
        <w:rPr>
          <w:rFonts w:hint="eastAsia"/>
        </w:rPr>
      </w:lvl>
    </w:lvlOverride>
    <w:lvlOverride w:ilvl="1">
      <w:lvl w:ilvl="1" w:tentative="1">
        <w:start w:val="1"/>
        <w:numFmt w:val="decimal"/>
        <w:suff w:val="nothing"/>
        <w:lvlText w:val="%1.%2"/>
        <w:lvlJc w:val="left"/>
        <w:pPr>
          <w:ind w:left="0" w:firstLine="0"/>
        </w:pPr>
        <w:rPr>
          <w:rFonts w:hint="eastAsia"/>
        </w:rPr>
      </w:lvl>
    </w:lvlOverride>
    <w:lvlOverride w:ilvl="2">
      <w:lvl w:ilvl="2" w:tentative="1">
        <w:start w:val="1"/>
        <w:numFmt w:val="decimal"/>
        <w:suff w:val="nothing"/>
        <w:lvlText w:val="%1.%2.%3"/>
        <w:lvlJc w:val="left"/>
        <w:pPr>
          <w:ind w:left="0" w:firstLine="0"/>
        </w:pPr>
        <w:rPr>
          <w:rFonts w:hint="eastAsia"/>
        </w:rPr>
      </w:lvl>
    </w:lvlOverride>
    <w:lvlOverride w:ilvl="3">
      <w:lvl w:ilvl="3" w:tentative="1">
        <w:start w:val="1"/>
        <w:numFmt w:val="decimal"/>
        <w:lvlText w:val="%1.%2.%3.%4"/>
        <w:lvlJc w:val="left"/>
        <w:pPr>
          <w:ind w:left="1984" w:hanging="708"/>
        </w:pPr>
        <w:rPr>
          <w:rFonts w:hint="eastAsia"/>
        </w:rPr>
      </w:lvl>
    </w:lvlOverride>
    <w:lvlOverride w:ilvl="4">
      <w:lvl w:ilvl="4" w:tentative="1">
        <w:start w:val="1"/>
        <w:numFmt w:val="decimal"/>
        <w:lvlText w:val="%1.%2.%3.%4.%5"/>
        <w:lvlJc w:val="left"/>
        <w:pPr>
          <w:ind w:left="2551" w:hanging="850"/>
        </w:pPr>
        <w:rPr>
          <w:rFonts w:hint="eastAsia"/>
        </w:rPr>
      </w:lvl>
    </w:lvlOverride>
    <w:lvlOverride w:ilvl="5">
      <w:lvl w:ilvl="5" w:tentative="1">
        <w:start w:val="1"/>
        <w:numFmt w:val="decimal"/>
        <w:lvlText w:val="%1.%2.%3.%4.%5.%6"/>
        <w:lvlJc w:val="left"/>
        <w:pPr>
          <w:ind w:left="3260" w:hanging="1134"/>
        </w:pPr>
        <w:rPr>
          <w:rFonts w:hint="eastAsia"/>
        </w:rPr>
      </w:lvl>
    </w:lvlOverride>
    <w:lvlOverride w:ilvl="6">
      <w:lvl w:ilvl="6" w:tentative="1">
        <w:start w:val="1"/>
        <w:numFmt w:val="decimal"/>
        <w:lvlText w:val="%1.%2.%3.%4.%5.%6.%7"/>
        <w:lvlJc w:val="left"/>
        <w:pPr>
          <w:ind w:left="3827" w:hanging="1276"/>
        </w:pPr>
        <w:rPr>
          <w:rFonts w:hint="eastAsia"/>
        </w:rPr>
      </w:lvl>
    </w:lvlOverride>
    <w:lvlOverride w:ilvl="7">
      <w:lvl w:ilvl="7" w:tentative="1">
        <w:start w:val="1"/>
        <w:numFmt w:val="decimal"/>
        <w:lvlText w:val="%1.%2.%3.%4.%5.%6.%7.%8"/>
        <w:lvlJc w:val="left"/>
        <w:pPr>
          <w:ind w:left="4394" w:hanging="1418"/>
        </w:pPr>
        <w:rPr>
          <w:rFonts w:hint="eastAsia"/>
        </w:rPr>
      </w:lvl>
    </w:lvlOverride>
    <w:lvlOverride w:ilvl="8">
      <w:lvl w:ilvl="8" w:tentative="1">
        <w:start w:val="1"/>
        <w:numFmt w:val="decimal"/>
        <w:lvlText w:val="%1.%2.%3.%4.%5.%6.%7.%8.%9"/>
        <w:lvlJc w:val="left"/>
        <w:pPr>
          <w:ind w:left="5102" w:hanging="1700"/>
        </w:pPr>
        <w:rPr>
          <w:rFonts w:hint="eastAsia"/>
        </w:rPr>
      </w:lvl>
    </w:lvlOverride>
  </w:num>
  <w:num w:numId="33">
    <w:abstractNumId w:val="30"/>
  </w:num>
  <w:num w:numId="34">
    <w:abstractNumId w:val="32"/>
  </w:num>
  <w:num w:numId="35">
    <w:abstractNumId w:val="34"/>
  </w:num>
  <w:num w:numId="36">
    <w:abstractNumId w:val="28"/>
  </w:num>
  <w:num w:numId="37">
    <w:abstractNumId w:val="16"/>
  </w:num>
  <w:num w:numId="38">
    <w:abstractNumId w:val="42"/>
  </w:num>
  <w:num w:numId="39">
    <w:abstractNumId w:val="39"/>
  </w:num>
  <w:num w:numId="40">
    <w:abstractNumId w:val="47"/>
  </w:num>
  <w:num w:numId="41">
    <w:abstractNumId w:val="37"/>
  </w:num>
  <w:num w:numId="42">
    <w:abstractNumId w:val="46"/>
  </w:num>
  <w:num w:numId="43">
    <w:abstractNumId w:val="18"/>
  </w:num>
  <w:num w:numId="44">
    <w:abstractNumId w:val="49"/>
  </w:num>
  <w:num w:numId="45">
    <w:abstractNumId w:val="44"/>
  </w:num>
  <w:num w:numId="46">
    <w:abstractNumId w:val="43"/>
  </w:num>
  <w:num w:numId="47">
    <w:abstractNumId w:val="24"/>
  </w:num>
  <w:num w:numId="48">
    <w:abstractNumId w:val="25"/>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hideSpellingErrors/>
  <w:trackRevisions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jZDk3NzRiMTVmNWM3ZGEwNGVkN2RhYTgwZTM2NjgifQ=="/>
  </w:docVars>
  <w:rsids>
    <w:rsidRoot w:val="00E3606B"/>
    <w:rsid w:val="00001830"/>
    <w:rsid w:val="00010D7B"/>
    <w:rsid w:val="00010F31"/>
    <w:rsid w:val="00021538"/>
    <w:rsid w:val="00022DA8"/>
    <w:rsid w:val="00034162"/>
    <w:rsid w:val="00034FC1"/>
    <w:rsid w:val="00040006"/>
    <w:rsid w:val="00045F70"/>
    <w:rsid w:val="000477F7"/>
    <w:rsid w:val="00056283"/>
    <w:rsid w:val="00056A0B"/>
    <w:rsid w:val="0006732A"/>
    <w:rsid w:val="00072CE5"/>
    <w:rsid w:val="00073ADB"/>
    <w:rsid w:val="0007470C"/>
    <w:rsid w:val="00080329"/>
    <w:rsid w:val="000804B4"/>
    <w:rsid w:val="000819A9"/>
    <w:rsid w:val="00087211"/>
    <w:rsid w:val="000A0010"/>
    <w:rsid w:val="000A7373"/>
    <w:rsid w:val="000B2044"/>
    <w:rsid w:val="000B4EDD"/>
    <w:rsid w:val="000D09BC"/>
    <w:rsid w:val="000D3368"/>
    <w:rsid w:val="000D3CFD"/>
    <w:rsid w:val="000D64BD"/>
    <w:rsid w:val="000E390E"/>
    <w:rsid w:val="000E3D33"/>
    <w:rsid w:val="000E4783"/>
    <w:rsid w:val="000E5E6B"/>
    <w:rsid w:val="000F6834"/>
    <w:rsid w:val="000F6972"/>
    <w:rsid w:val="00100758"/>
    <w:rsid w:val="00106E89"/>
    <w:rsid w:val="00122213"/>
    <w:rsid w:val="00124B79"/>
    <w:rsid w:val="00126619"/>
    <w:rsid w:val="00127FCF"/>
    <w:rsid w:val="00135A20"/>
    <w:rsid w:val="00136949"/>
    <w:rsid w:val="00140628"/>
    <w:rsid w:val="001414DC"/>
    <w:rsid w:val="001446C0"/>
    <w:rsid w:val="00155824"/>
    <w:rsid w:val="00156DB3"/>
    <w:rsid w:val="00157B18"/>
    <w:rsid w:val="001617B9"/>
    <w:rsid w:val="0016308A"/>
    <w:rsid w:val="00163605"/>
    <w:rsid w:val="00167B1E"/>
    <w:rsid w:val="00181424"/>
    <w:rsid w:val="001818D8"/>
    <w:rsid w:val="00191081"/>
    <w:rsid w:val="001935DB"/>
    <w:rsid w:val="00194F36"/>
    <w:rsid w:val="00196062"/>
    <w:rsid w:val="001A0CE9"/>
    <w:rsid w:val="001C77FC"/>
    <w:rsid w:val="001C7FDB"/>
    <w:rsid w:val="001E30DC"/>
    <w:rsid w:val="001E3465"/>
    <w:rsid w:val="001E7731"/>
    <w:rsid w:val="001F0A21"/>
    <w:rsid w:val="002022ED"/>
    <w:rsid w:val="002046DE"/>
    <w:rsid w:val="002055D0"/>
    <w:rsid w:val="0021475F"/>
    <w:rsid w:val="0021518E"/>
    <w:rsid w:val="00222BCF"/>
    <w:rsid w:val="00225056"/>
    <w:rsid w:val="00225FC8"/>
    <w:rsid w:val="002345AC"/>
    <w:rsid w:val="002447C4"/>
    <w:rsid w:val="002657F9"/>
    <w:rsid w:val="0027416D"/>
    <w:rsid w:val="002764BD"/>
    <w:rsid w:val="002828BC"/>
    <w:rsid w:val="00284B35"/>
    <w:rsid w:val="002A08F5"/>
    <w:rsid w:val="002A2312"/>
    <w:rsid w:val="002A5B3C"/>
    <w:rsid w:val="002A7DFD"/>
    <w:rsid w:val="002C013F"/>
    <w:rsid w:val="002C0AC4"/>
    <w:rsid w:val="002C5BB2"/>
    <w:rsid w:val="002F00DA"/>
    <w:rsid w:val="002F5104"/>
    <w:rsid w:val="002F7A89"/>
    <w:rsid w:val="00304F19"/>
    <w:rsid w:val="00330140"/>
    <w:rsid w:val="00335F15"/>
    <w:rsid w:val="0033630C"/>
    <w:rsid w:val="00337264"/>
    <w:rsid w:val="0036006D"/>
    <w:rsid w:val="003607E1"/>
    <w:rsid w:val="0036569F"/>
    <w:rsid w:val="00371F9D"/>
    <w:rsid w:val="00372ECC"/>
    <w:rsid w:val="00383A9A"/>
    <w:rsid w:val="003A02B8"/>
    <w:rsid w:val="003A0E4E"/>
    <w:rsid w:val="003A1854"/>
    <w:rsid w:val="003A3552"/>
    <w:rsid w:val="003A5528"/>
    <w:rsid w:val="003B0266"/>
    <w:rsid w:val="003B1F9E"/>
    <w:rsid w:val="003B6D8A"/>
    <w:rsid w:val="003B77B6"/>
    <w:rsid w:val="003C716F"/>
    <w:rsid w:val="003D51D0"/>
    <w:rsid w:val="003D75D7"/>
    <w:rsid w:val="003E11A7"/>
    <w:rsid w:val="003E1C99"/>
    <w:rsid w:val="003E1F11"/>
    <w:rsid w:val="003F129A"/>
    <w:rsid w:val="00403E2E"/>
    <w:rsid w:val="00410633"/>
    <w:rsid w:val="00411330"/>
    <w:rsid w:val="00411E1C"/>
    <w:rsid w:val="00421136"/>
    <w:rsid w:val="00425861"/>
    <w:rsid w:val="00425D71"/>
    <w:rsid w:val="00433A3D"/>
    <w:rsid w:val="004536FE"/>
    <w:rsid w:val="004847B6"/>
    <w:rsid w:val="00486969"/>
    <w:rsid w:val="00492B47"/>
    <w:rsid w:val="00492E39"/>
    <w:rsid w:val="00495209"/>
    <w:rsid w:val="004A30E0"/>
    <w:rsid w:val="004A4EBB"/>
    <w:rsid w:val="004C1363"/>
    <w:rsid w:val="004C2A69"/>
    <w:rsid w:val="004C5E8B"/>
    <w:rsid w:val="004D2285"/>
    <w:rsid w:val="004D3EC3"/>
    <w:rsid w:val="004E22BA"/>
    <w:rsid w:val="00503AAD"/>
    <w:rsid w:val="00505BAE"/>
    <w:rsid w:val="005130A7"/>
    <w:rsid w:val="00513934"/>
    <w:rsid w:val="00513C89"/>
    <w:rsid w:val="005236AD"/>
    <w:rsid w:val="00524173"/>
    <w:rsid w:val="00541A70"/>
    <w:rsid w:val="005427C9"/>
    <w:rsid w:val="00543C0B"/>
    <w:rsid w:val="0054632D"/>
    <w:rsid w:val="00560ACB"/>
    <w:rsid w:val="00563EDC"/>
    <w:rsid w:val="00564435"/>
    <w:rsid w:val="00566020"/>
    <w:rsid w:val="00577A39"/>
    <w:rsid w:val="00577D32"/>
    <w:rsid w:val="00580FD2"/>
    <w:rsid w:val="005823CF"/>
    <w:rsid w:val="005860BF"/>
    <w:rsid w:val="00587FB6"/>
    <w:rsid w:val="00591A48"/>
    <w:rsid w:val="005A4C84"/>
    <w:rsid w:val="005A7869"/>
    <w:rsid w:val="005B4B47"/>
    <w:rsid w:val="005D2A3E"/>
    <w:rsid w:val="005D61E2"/>
    <w:rsid w:val="005D7571"/>
    <w:rsid w:val="005E6927"/>
    <w:rsid w:val="005E7A5D"/>
    <w:rsid w:val="005F075B"/>
    <w:rsid w:val="005F08C8"/>
    <w:rsid w:val="005F3AEB"/>
    <w:rsid w:val="005F570E"/>
    <w:rsid w:val="006010DA"/>
    <w:rsid w:val="00601B3B"/>
    <w:rsid w:val="00601D05"/>
    <w:rsid w:val="0060366E"/>
    <w:rsid w:val="00604D0C"/>
    <w:rsid w:val="006110E6"/>
    <w:rsid w:val="0061324D"/>
    <w:rsid w:val="00620052"/>
    <w:rsid w:val="00621A7D"/>
    <w:rsid w:val="006226DE"/>
    <w:rsid w:val="006324C7"/>
    <w:rsid w:val="0063342D"/>
    <w:rsid w:val="00634151"/>
    <w:rsid w:val="006379B2"/>
    <w:rsid w:val="006478DE"/>
    <w:rsid w:val="006523BB"/>
    <w:rsid w:val="0065397E"/>
    <w:rsid w:val="00657A06"/>
    <w:rsid w:val="00674AEB"/>
    <w:rsid w:val="0068074C"/>
    <w:rsid w:val="006819B5"/>
    <w:rsid w:val="00685031"/>
    <w:rsid w:val="00694AB0"/>
    <w:rsid w:val="00695867"/>
    <w:rsid w:val="00695A7B"/>
    <w:rsid w:val="006A2B48"/>
    <w:rsid w:val="006A46C3"/>
    <w:rsid w:val="006A48AF"/>
    <w:rsid w:val="006A72B0"/>
    <w:rsid w:val="006D1190"/>
    <w:rsid w:val="006E63ED"/>
    <w:rsid w:val="00704091"/>
    <w:rsid w:val="007069AA"/>
    <w:rsid w:val="00714760"/>
    <w:rsid w:val="00725330"/>
    <w:rsid w:val="00734E1A"/>
    <w:rsid w:val="00743811"/>
    <w:rsid w:val="00750810"/>
    <w:rsid w:val="0075242E"/>
    <w:rsid w:val="0075282D"/>
    <w:rsid w:val="00753D6F"/>
    <w:rsid w:val="0077094E"/>
    <w:rsid w:val="0077474E"/>
    <w:rsid w:val="00774B79"/>
    <w:rsid w:val="00781E41"/>
    <w:rsid w:val="00784CE1"/>
    <w:rsid w:val="0079474D"/>
    <w:rsid w:val="00796C33"/>
    <w:rsid w:val="007A06A2"/>
    <w:rsid w:val="007B710C"/>
    <w:rsid w:val="007C0B64"/>
    <w:rsid w:val="007C661C"/>
    <w:rsid w:val="007C6A51"/>
    <w:rsid w:val="007D35BF"/>
    <w:rsid w:val="007E2D62"/>
    <w:rsid w:val="007E7F9D"/>
    <w:rsid w:val="007F7910"/>
    <w:rsid w:val="00803579"/>
    <w:rsid w:val="00805E4F"/>
    <w:rsid w:val="008073A9"/>
    <w:rsid w:val="00817B06"/>
    <w:rsid w:val="00821777"/>
    <w:rsid w:val="00821B89"/>
    <w:rsid w:val="00823E95"/>
    <w:rsid w:val="008251F1"/>
    <w:rsid w:val="00833C67"/>
    <w:rsid w:val="008365F5"/>
    <w:rsid w:val="00840E38"/>
    <w:rsid w:val="00841E97"/>
    <w:rsid w:val="00842586"/>
    <w:rsid w:val="00843357"/>
    <w:rsid w:val="00860CE6"/>
    <w:rsid w:val="00867202"/>
    <w:rsid w:val="0087082A"/>
    <w:rsid w:val="00873FFE"/>
    <w:rsid w:val="00883F54"/>
    <w:rsid w:val="00885D9C"/>
    <w:rsid w:val="00887239"/>
    <w:rsid w:val="008902E0"/>
    <w:rsid w:val="00890980"/>
    <w:rsid w:val="008955ED"/>
    <w:rsid w:val="00896042"/>
    <w:rsid w:val="008B0DA7"/>
    <w:rsid w:val="008B4798"/>
    <w:rsid w:val="008B7E74"/>
    <w:rsid w:val="008C1547"/>
    <w:rsid w:val="008C21E4"/>
    <w:rsid w:val="008C2B8B"/>
    <w:rsid w:val="008C47FF"/>
    <w:rsid w:val="008D332F"/>
    <w:rsid w:val="008E023D"/>
    <w:rsid w:val="008E1542"/>
    <w:rsid w:val="008E3114"/>
    <w:rsid w:val="008E3850"/>
    <w:rsid w:val="008E45FE"/>
    <w:rsid w:val="008E5D16"/>
    <w:rsid w:val="008E5E78"/>
    <w:rsid w:val="008E72D2"/>
    <w:rsid w:val="008E7EAE"/>
    <w:rsid w:val="008F2714"/>
    <w:rsid w:val="00900FD9"/>
    <w:rsid w:val="0091099F"/>
    <w:rsid w:val="009210F9"/>
    <w:rsid w:val="00923E95"/>
    <w:rsid w:val="00924B6E"/>
    <w:rsid w:val="00924E6A"/>
    <w:rsid w:val="00926193"/>
    <w:rsid w:val="00930492"/>
    <w:rsid w:val="00931FF2"/>
    <w:rsid w:val="0093368B"/>
    <w:rsid w:val="00934D07"/>
    <w:rsid w:val="009365ED"/>
    <w:rsid w:val="009418A2"/>
    <w:rsid w:val="00942DD6"/>
    <w:rsid w:val="0094535B"/>
    <w:rsid w:val="009454F9"/>
    <w:rsid w:val="00946C43"/>
    <w:rsid w:val="0096384E"/>
    <w:rsid w:val="0096739E"/>
    <w:rsid w:val="009765E0"/>
    <w:rsid w:val="009806D4"/>
    <w:rsid w:val="009A1FE4"/>
    <w:rsid w:val="009B00E4"/>
    <w:rsid w:val="009B3093"/>
    <w:rsid w:val="009C0C59"/>
    <w:rsid w:val="009C6003"/>
    <w:rsid w:val="009D5879"/>
    <w:rsid w:val="009D6084"/>
    <w:rsid w:val="009D6BEA"/>
    <w:rsid w:val="009E2D8F"/>
    <w:rsid w:val="00A21248"/>
    <w:rsid w:val="00A30300"/>
    <w:rsid w:val="00A331D6"/>
    <w:rsid w:val="00A34129"/>
    <w:rsid w:val="00A40871"/>
    <w:rsid w:val="00A43E89"/>
    <w:rsid w:val="00A569B9"/>
    <w:rsid w:val="00A57E5A"/>
    <w:rsid w:val="00A62359"/>
    <w:rsid w:val="00A63FEC"/>
    <w:rsid w:val="00A6518F"/>
    <w:rsid w:val="00A758BB"/>
    <w:rsid w:val="00A76FD4"/>
    <w:rsid w:val="00A84940"/>
    <w:rsid w:val="00A94396"/>
    <w:rsid w:val="00A964E8"/>
    <w:rsid w:val="00A969C2"/>
    <w:rsid w:val="00AB004D"/>
    <w:rsid w:val="00AB2409"/>
    <w:rsid w:val="00AB43FC"/>
    <w:rsid w:val="00AC19DD"/>
    <w:rsid w:val="00AD18A6"/>
    <w:rsid w:val="00AD62F0"/>
    <w:rsid w:val="00AE3599"/>
    <w:rsid w:val="00B038EB"/>
    <w:rsid w:val="00B06821"/>
    <w:rsid w:val="00B121CC"/>
    <w:rsid w:val="00B12F4A"/>
    <w:rsid w:val="00B1792C"/>
    <w:rsid w:val="00B247AA"/>
    <w:rsid w:val="00B33D3C"/>
    <w:rsid w:val="00B4067B"/>
    <w:rsid w:val="00B47625"/>
    <w:rsid w:val="00B5206F"/>
    <w:rsid w:val="00B54F95"/>
    <w:rsid w:val="00B57C2A"/>
    <w:rsid w:val="00B74CD7"/>
    <w:rsid w:val="00B807A8"/>
    <w:rsid w:val="00B92FB4"/>
    <w:rsid w:val="00B95CDD"/>
    <w:rsid w:val="00B973A2"/>
    <w:rsid w:val="00BA07FD"/>
    <w:rsid w:val="00BA264C"/>
    <w:rsid w:val="00BA406A"/>
    <w:rsid w:val="00BC441C"/>
    <w:rsid w:val="00BE620D"/>
    <w:rsid w:val="00BE699B"/>
    <w:rsid w:val="00BE7767"/>
    <w:rsid w:val="00C00263"/>
    <w:rsid w:val="00C03165"/>
    <w:rsid w:val="00C111C0"/>
    <w:rsid w:val="00C11551"/>
    <w:rsid w:val="00C20143"/>
    <w:rsid w:val="00C24E18"/>
    <w:rsid w:val="00C2612F"/>
    <w:rsid w:val="00C327FE"/>
    <w:rsid w:val="00C34760"/>
    <w:rsid w:val="00C43A7C"/>
    <w:rsid w:val="00C45671"/>
    <w:rsid w:val="00C56755"/>
    <w:rsid w:val="00C6116B"/>
    <w:rsid w:val="00C61CEA"/>
    <w:rsid w:val="00C70F47"/>
    <w:rsid w:val="00C749FB"/>
    <w:rsid w:val="00C76EF7"/>
    <w:rsid w:val="00C945D2"/>
    <w:rsid w:val="00CB16ED"/>
    <w:rsid w:val="00CB26DD"/>
    <w:rsid w:val="00CC0303"/>
    <w:rsid w:val="00CC12C8"/>
    <w:rsid w:val="00CC4D5A"/>
    <w:rsid w:val="00CD1680"/>
    <w:rsid w:val="00CD4D4C"/>
    <w:rsid w:val="00CE117F"/>
    <w:rsid w:val="00CF27F8"/>
    <w:rsid w:val="00CF4A8D"/>
    <w:rsid w:val="00D263F5"/>
    <w:rsid w:val="00D3030A"/>
    <w:rsid w:val="00D313E9"/>
    <w:rsid w:val="00D500F3"/>
    <w:rsid w:val="00D57081"/>
    <w:rsid w:val="00D5757D"/>
    <w:rsid w:val="00D67DC1"/>
    <w:rsid w:val="00D749AD"/>
    <w:rsid w:val="00D809E4"/>
    <w:rsid w:val="00D832C2"/>
    <w:rsid w:val="00D8361E"/>
    <w:rsid w:val="00D84A23"/>
    <w:rsid w:val="00D911AE"/>
    <w:rsid w:val="00D96047"/>
    <w:rsid w:val="00D9652E"/>
    <w:rsid w:val="00D978C8"/>
    <w:rsid w:val="00DA03A0"/>
    <w:rsid w:val="00DA0445"/>
    <w:rsid w:val="00DA3720"/>
    <w:rsid w:val="00DA536D"/>
    <w:rsid w:val="00DA5C3A"/>
    <w:rsid w:val="00DA683D"/>
    <w:rsid w:val="00DA6F40"/>
    <w:rsid w:val="00DA7836"/>
    <w:rsid w:val="00DB4F47"/>
    <w:rsid w:val="00DB504C"/>
    <w:rsid w:val="00DC6F46"/>
    <w:rsid w:val="00DD0C7E"/>
    <w:rsid w:val="00DD7016"/>
    <w:rsid w:val="00DE2298"/>
    <w:rsid w:val="00DE2402"/>
    <w:rsid w:val="00DE339B"/>
    <w:rsid w:val="00DE3AD3"/>
    <w:rsid w:val="00DE5B81"/>
    <w:rsid w:val="00DF286F"/>
    <w:rsid w:val="00DF585F"/>
    <w:rsid w:val="00E04F73"/>
    <w:rsid w:val="00E068B4"/>
    <w:rsid w:val="00E16C3B"/>
    <w:rsid w:val="00E23344"/>
    <w:rsid w:val="00E3606B"/>
    <w:rsid w:val="00E4697F"/>
    <w:rsid w:val="00E521D8"/>
    <w:rsid w:val="00E54ACA"/>
    <w:rsid w:val="00E54B8A"/>
    <w:rsid w:val="00E577BA"/>
    <w:rsid w:val="00E71330"/>
    <w:rsid w:val="00E744F9"/>
    <w:rsid w:val="00E8465C"/>
    <w:rsid w:val="00E904D6"/>
    <w:rsid w:val="00E90AB9"/>
    <w:rsid w:val="00E934A9"/>
    <w:rsid w:val="00E95BE4"/>
    <w:rsid w:val="00E97457"/>
    <w:rsid w:val="00EA6CEE"/>
    <w:rsid w:val="00EA7113"/>
    <w:rsid w:val="00EA789F"/>
    <w:rsid w:val="00EB4E09"/>
    <w:rsid w:val="00ED368F"/>
    <w:rsid w:val="00EF7C22"/>
    <w:rsid w:val="00F00A6B"/>
    <w:rsid w:val="00F06A7E"/>
    <w:rsid w:val="00F11AC0"/>
    <w:rsid w:val="00F23A03"/>
    <w:rsid w:val="00F30856"/>
    <w:rsid w:val="00F31C3B"/>
    <w:rsid w:val="00F400A8"/>
    <w:rsid w:val="00F401DE"/>
    <w:rsid w:val="00F53AE0"/>
    <w:rsid w:val="00F54EAB"/>
    <w:rsid w:val="00F556BC"/>
    <w:rsid w:val="00F65C9A"/>
    <w:rsid w:val="00F70D59"/>
    <w:rsid w:val="00F762DA"/>
    <w:rsid w:val="00F8682B"/>
    <w:rsid w:val="00F93E60"/>
    <w:rsid w:val="00F96CBA"/>
    <w:rsid w:val="00FA46AC"/>
    <w:rsid w:val="00FB2B68"/>
    <w:rsid w:val="00FC1229"/>
    <w:rsid w:val="00FD1FC5"/>
    <w:rsid w:val="00FE1D49"/>
    <w:rsid w:val="00FF1540"/>
    <w:rsid w:val="00FF2120"/>
    <w:rsid w:val="00FF3FA5"/>
    <w:rsid w:val="00FF4504"/>
    <w:rsid w:val="019A277D"/>
    <w:rsid w:val="02295C36"/>
    <w:rsid w:val="02516997"/>
    <w:rsid w:val="02661B78"/>
    <w:rsid w:val="02670616"/>
    <w:rsid w:val="029311FE"/>
    <w:rsid w:val="029439C7"/>
    <w:rsid w:val="02A81B3F"/>
    <w:rsid w:val="03103BAE"/>
    <w:rsid w:val="03105E59"/>
    <w:rsid w:val="0327023E"/>
    <w:rsid w:val="033F6241"/>
    <w:rsid w:val="03942A31"/>
    <w:rsid w:val="03EE2B0A"/>
    <w:rsid w:val="03F322A9"/>
    <w:rsid w:val="03F87308"/>
    <w:rsid w:val="03FC51EF"/>
    <w:rsid w:val="03FE6732"/>
    <w:rsid w:val="040D7C57"/>
    <w:rsid w:val="04A40D64"/>
    <w:rsid w:val="04B34FC6"/>
    <w:rsid w:val="04C609C8"/>
    <w:rsid w:val="04C9495C"/>
    <w:rsid w:val="05047743"/>
    <w:rsid w:val="05850883"/>
    <w:rsid w:val="05976809"/>
    <w:rsid w:val="05C135AC"/>
    <w:rsid w:val="05CA098C"/>
    <w:rsid w:val="05D8675E"/>
    <w:rsid w:val="05E972C7"/>
    <w:rsid w:val="0603173B"/>
    <w:rsid w:val="0609596A"/>
    <w:rsid w:val="061F618C"/>
    <w:rsid w:val="065E775E"/>
    <w:rsid w:val="066466EB"/>
    <w:rsid w:val="06A9032C"/>
    <w:rsid w:val="06AC1E40"/>
    <w:rsid w:val="06AD6562"/>
    <w:rsid w:val="070457D8"/>
    <w:rsid w:val="0714493C"/>
    <w:rsid w:val="071F0864"/>
    <w:rsid w:val="0758433E"/>
    <w:rsid w:val="076610DF"/>
    <w:rsid w:val="077C659D"/>
    <w:rsid w:val="07BE5D63"/>
    <w:rsid w:val="08412A8D"/>
    <w:rsid w:val="084775F0"/>
    <w:rsid w:val="086E7883"/>
    <w:rsid w:val="08777752"/>
    <w:rsid w:val="08D444DB"/>
    <w:rsid w:val="08F05ECB"/>
    <w:rsid w:val="08F655F4"/>
    <w:rsid w:val="096FEE9B"/>
    <w:rsid w:val="09970B85"/>
    <w:rsid w:val="0A187F18"/>
    <w:rsid w:val="0A391C3C"/>
    <w:rsid w:val="0AD96F48"/>
    <w:rsid w:val="0ADF0A36"/>
    <w:rsid w:val="0AFB0D65"/>
    <w:rsid w:val="0B3F31F4"/>
    <w:rsid w:val="0BB16A87"/>
    <w:rsid w:val="0C20461B"/>
    <w:rsid w:val="0C5600D7"/>
    <w:rsid w:val="0C696A4A"/>
    <w:rsid w:val="0C9E222B"/>
    <w:rsid w:val="0CA21D1B"/>
    <w:rsid w:val="0CAF4438"/>
    <w:rsid w:val="0CB0345E"/>
    <w:rsid w:val="0CB87790"/>
    <w:rsid w:val="0CCC323C"/>
    <w:rsid w:val="0CDA2B57"/>
    <w:rsid w:val="0CDA7428"/>
    <w:rsid w:val="0D991C74"/>
    <w:rsid w:val="0DDB589B"/>
    <w:rsid w:val="0E255382"/>
    <w:rsid w:val="0E534C35"/>
    <w:rsid w:val="0E8B67DF"/>
    <w:rsid w:val="0EA33EA0"/>
    <w:rsid w:val="0ED71C56"/>
    <w:rsid w:val="0F1A7F5F"/>
    <w:rsid w:val="0F5E1F18"/>
    <w:rsid w:val="0F782114"/>
    <w:rsid w:val="0FA83403"/>
    <w:rsid w:val="0FB11199"/>
    <w:rsid w:val="0FDA07DE"/>
    <w:rsid w:val="0FE81AE1"/>
    <w:rsid w:val="0FEE34C9"/>
    <w:rsid w:val="0FF56606"/>
    <w:rsid w:val="0FF641CD"/>
    <w:rsid w:val="10020DC3"/>
    <w:rsid w:val="10577557"/>
    <w:rsid w:val="105F7F23"/>
    <w:rsid w:val="1060794F"/>
    <w:rsid w:val="10991A79"/>
    <w:rsid w:val="10C83E73"/>
    <w:rsid w:val="11067180"/>
    <w:rsid w:val="110765F0"/>
    <w:rsid w:val="11546651"/>
    <w:rsid w:val="116D7F23"/>
    <w:rsid w:val="11943BFC"/>
    <w:rsid w:val="11C75D80"/>
    <w:rsid w:val="12087AEF"/>
    <w:rsid w:val="122139F3"/>
    <w:rsid w:val="12244F80"/>
    <w:rsid w:val="1227056E"/>
    <w:rsid w:val="12665599"/>
    <w:rsid w:val="126B0E01"/>
    <w:rsid w:val="128C34F7"/>
    <w:rsid w:val="12ED1816"/>
    <w:rsid w:val="12EF5F14"/>
    <w:rsid w:val="12F6758B"/>
    <w:rsid w:val="13143D57"/>
    <w:rsid w:val="13637D2A"/>
    <w:rsid w:val="13E501E2"/>
    <w:rsid w:val="144E63E0"/>
    <w:rsid w:val="145F04F1"/>
    <w:rsid w:val="148E2AD3"/>
    <w:rsid w:val="14CB229C"/>
    <w:rsid w:val="14D032C8"/>
    <w:rsid w:val="14D42C8D"/>
    <w:rsid w:val="152403E0"/>
    <w:rsid w:val="15A0686E"/>
    <w:rsid w:val="162D415D"/>
    <w:rsid w:val="16653F89"/>
    <w:rsid w:val="169F551D"/>
    <w:rsid w:val="16AE11E8"/>
    <w:rsid w:val="16BC60CF"/>
    <w:rsid w:val="16D50F3F"/>
    <w:rsid w:val="170434D7"/>
    <w:rsid w:val="17045380"/>
    <w:rsid w:val="17263548"/>
    <w:rsid w:val="17434BD3"/>
    <w:rsid w:val="178F0AFA"/>
    <w:rsid w:val="17CE60BA"/>
    <w:rsid w:val="181D0DEF"/>
    <w:rsid w:val="181F6915"/>
    <w:rsid w:val="183121A5"/>
    <w:rsid w:val="18355E7E"/>
    <w:rsid w:val="185A2CAF"/>
    <w:rsid w:val="189448FE"/>
    <w:rsid w:val="18B84F77"/>
    <w:rsid w:val="18D97E3B"/>
    <w:rsid w:val="18F5307E"/>
    <w:rsid w:val="191777B1"/>
    <w:rsid w:val="191E27BC"/>
    <w:rsid w:val="1945721F"/>
    <w:rsid w:val="19490122"/>
    <w:rsid w:val="194D1260"/>
    <w:rsid w:val="194E3A44"/>
    <w:rsid w:val="19575C3B"/>
    <w:rsid w:val="19597C05"/>
    <w:rsid w:val="19F85670"/>
    <w:rsid w:val="1ABC0630"/>
    <w:rsid w:val="1B1C4540"/>
    <w:rsid w:val="1B342FE6"/>
    <w:rsid w:val="1B6E3F4F"/>
    <w:rsid w:val="1B7A5039"/>
    <w:rsid w:val="1B982C30"/>
    <w:rsid w:val="1BB325C6"/>
    <w:rsid w:val="1BC03F6C"/>
    <w:rsid w:val="1BC7354C"/>
    <w:rsid w:val="1C105CB0"/>
    <w:rsid w:val="1C40595E"/>
    <w:rsid w:val="1C522A29"/>
    <w:rsid w:val="1C6D1F48"/>
    <w:rsid w:val="1CA24DC3"/>
    <w:rsid w:val="1CB3587E"/>
    <w:rsid w:val="1CB47446"/>
    <w:rsid w:val="1CD6156D"/>
    <w:rsid w:val="1CDE3AE3"/>
    <w:rsid w:val="1D0D3F8F"/>
    <w:rsid w:val="1D2B7B0B"/>
    <w:rsid w:val="1D474C36"/>
    <w:rsid w:val="1D4F256F"/>
    <w:rsid w:val="1D61069A"/>
    <w:rsid w:val="1D670577"/>
    <w:rsid w:val="1D6A3F38"/>
    <w:rsid w:val="1DD42DD9"/>
    <w:rsid w:val="1DFC28DD"/>
    <w:rsid w:val="1DFC3255"/>
    <w:rsid w:val="1E022E5B"/>
    <w:rsid w:val="1E5D6BE6"/>
    <w:rsid w:val="1E814A31"/>
    <w:rsid w:val="1EA96ECE"/>
    <w:rsid w:val="1ECE2E43"/>
    <w:rsid w:val="1F69532E"/>
    <w:rsid w:val="1F721A21"/>
    <w:rsid w:val="1FC658C9"/>
    <w:rsid w:val="1FE01603"/>
    <w:rsid w:val="1FE25C23"/>
    <w:rsid w:val="1FFB0FBF"/>
    <w:rsid w:val="20124FB2"/>
    <w:rsid w:val="20457135"/>
    <w:rsid w:val="20542ED4"/>
    <w:rsid w:val="20974600"/>
    <w:rsid w:val="209B0B03"/>
    <w:rsid w:val="211A5ECC"/>
    <w:rsid w:val="21224E39"/>
    <w:rsid w:val="213A031C"/>
    <w:rsid w:val="217A6BD0"/>
    <w:rsid w:val="217B0D8B"/>
    <w:rsid w:val="21A5067B"/>
    <w:rsid w:val="21AB746C"/>
    <w:rsid w:val="21B94BF8"/>
    <w:rsid w:val="21DD67F8"/>
    <w:rsid w:val="22031B98"/>
    <w:rsid w:val="22273576"/>
    <w:rsid w:val="22FB2D4B"/>
    <w:rsid w:val="23152DEF"/>
    <w:rsid w:val="231908F9"/>
    <w:rsid w:val="23712C4B"/>
    <w:rsid w:val="2375388E"/>
    <w:rsid w:val="23943321"/>
    <w:rsid w:val="23B56380"/>
    <w:rsid w:val="23C87E61"/>
    <w:rsid w:val="2419690F"/>
    <w:rsid w:val="244558F0"/>
    <w:rsid w:val="245F1650"/>
    <w:rsid w:val="24B01689"/>
    <w:rsid w:val="24EF58C2"/>
    <w:rsid w:val="25062E30"/>
    <w:rsid w:val="250840A4"/>
    <w:rsid w:val="251F561F"/>
    <w:rsid w:val="25380CA0"/>
    <w:rsid w:val="254133D1"/>
    <w:rsid w:val="25551BC9"/>
    <w:rsid w:val="258B383C"/>
    <w:rsid w:val="25916979"/>
    <w:rsid w:val="25CC235F"/>
    <w:rsid w:val="25E55AE9"/>
    <w:rsid w:val="25EC1DEC"/>
    <w:rsid w:val="25FF38E2"/>
    <w:rsid w:val="262C161A"/>
    <w:rsid w:val="26D044DE"/>
    <w:rsid w:val="26D17B41"/>
    <w:rsid w:val="26FC5D51"/>
    <w:rsid w:val="26FD2518"/>
    <w:rsid w:val="27500F62"/>
    <w:rsid w:val="27653C19"/>
    <w:rsid w:val="27831CC9"/>
    <w:rsid w:val="27856F8C"/>
    <w:rsid w:val="27B50768"/>
    <w:rsid w:val="28731C52"/>
    <w:rsid w:val="287859C9"/>
    <w:rsid w:val="28885E11"/>
    <w:rsid w:val="29122433"/>
    <w:rsid w:val="295C3415"/>
    <w:rsid w:val="297D31F5"/>
    <w:rsid w:val="298E48DA"/>
    <w:rsid w:val="29D26BE5"/>
    <w:rsid w:val="29F0536A"/>
    <w:rsid w:val="29F85218"/>
    <w:rsid w:val="2A6E101B"/>
    <w:rsid w:val="2A760392"/>
    <w:rsid w:val="2A9F38E6"/>
    <w:rsid w:val="2ABB5CB3"/>
    <w:rsid w:val="2AC375D4"/>
    <w:rsid w:val="2AF76D80"/>
    <w:rsid w:val="2B99123F"/>
    <w:rsid w:val="2B9B5E5B"/>
    <w:rsid w:val="2BCF7E01"/>
    <w:rsid w:val="2BF276F0"/>
    <w:rsid w:val="2C057779"/>
    <w:rsid w:val="2C1764C2"/>
    <w:rsid w:val="2C2053A7"/>
    <w:rsid w:val="2C532BDA"/>
    <w:rsid w:val="2CFC2EF6"/>
    <w:rsid w:val="2D0B67E9"/>
    <w:rsid w:val="2D12358F"/>
    <w:rsid w:val="2D371BB4"/>
    <w:rsid w:val="2D647CB4"/>
    <w:rsid w:val="2D7626DC"/>
    <w:rsid w:val="2D7828F8"/>
    <w:rsid w:val="2D862BD2"/>
    <w:rsid w:val="2D9D7593"/>
    <w:rsid w:val="2DF4220E"/>
    <w:rsid w:val="2E2012C3"/>
    <w:rsid w:val="2E4D65DF"/>
    <w:rsid w:val="2E61338C"/>
    <w:rsid w:val="2E8F3097"/>
    <w:rsid w:val="2EAB4607"/>
    <w:rsid w:val="2EAE400D"/>
    <w:rsid w:val="2EC17F9C"/>
    <w:rsid w:val="2EFF4953"/>
    <w:rsid w:val="2F20265F"/>
    <w:rsid w:val="2F2208FC"/>
    <w:rsid w:val="2F2A01FC"/>
    <w:rsid w:val="2F5614CA"/>
    <w:rsid w:val="2F6852A8"/>
    <w:rsid w:val="2F7FEBA3"/>
    <w:rsid w:val="2FA95BB6"/>
    <w:rsid w:val="2FCD0BB1"/>
    <w:rsid w:val="2FD63906"/>
    <w:rsid w:val="2FF05140"/>
    <w:rsid w:val="2FF124EE"/>
    <w:rsid w:val="301F52AD"/>
    <w:rsid w:val="302E3742"/>
    <w:rsid w:val="30403475"/>
    <w:rsid w:val="304271ED"/>
    <w:rsid w:val="30542A7D"/>
    <w:rsid w:val="30893EE7"/>
    <w:rsid w:val="30950F2B"/>
    <w:rsid w:val="30D81900"/>
    <w:rsid w:val="310F7CD1"/>
    <w:rsid w:val="313308E4"/>
    <w:rsid w:val="314243E7"/>
    <w:rsid w:val="31BC4D7D"/>
    <w:rsid w:val="320261C4"/>
    <w:rsid w:val="321D581C"/>
    <w:rsid w:val="322B7D76"/>
    <w:rsid w:val="322E7A29"/>
    <w:rsid w:val="323E6274"/>
    <w:rsid w:val="32462167"/>
    <w:rsid w:val="324F44D1"/>
    <w:rsid w:val="32612F6D"/>
    <w:rsid w:val="3269799D"/>
    <w:rsid w:val="32894C60"/>
    <w:rsid w:val="32C76FCF"/>
    <w:rsid w:val="333A7C99"/>
    <w:rsid w:val="33427232"/>
    <w:rsid w:val="334A7032"/>
    <w:rsid w:val="334D791B"/>
    <w:rsid w:val="33574D5E"/>
    <w:rsid w:val="33615BDC"/>
    <w:rsid w:val="33B05E45"/>
    <w:rsid w:val="33D35665"/>
    <w:rsid w:val="33D60378"/>
    <w:rsid w:val="33EA3F37"/>
    <w:rsid w:val="342D5C6E"/>
    <w:rsid w:val="34680895"/>
    <w:rsid w:val="34BE410B"/>
    <w:rsid w:val="34D5533B"/>
    <w:rsid w:val="351312B3"/>
    <w:rsid w:val="353115DE"/>
    <w:rsid w:val="35572C59"/>
    <w:rsid w:val="35D501BC"/>
    <w:rsid w:val="35D719ED"/>
    <w:rsid w:val="35DB533C"/>
    <w:rsid w:val="35F178DE"/>
    <w:rsid w:val="36201CA5"/>
    <w:rsid w:val="36227D2F"/>
    <w:rsid w:val="3652172C"/>
    <w:rsid w:val="36984A37"/>
    <w:rsid w:val="36B50719"/>
    <w:rsid w:val="36B60D45"/>
    <w:rsid w:val="36BC355C"/>
    <w:rsid w:val="36D63769"/>
    <w:rsid w:val="376C68FE"/>
    <w:rsid w:val="37976071"/>
    <w:rsid w:val="381D3A12"/>
    <w:rsid w:val="38530603"/>
    <w:rsid w:val="38A67D7E"/>
    <w:rsid w:val="38B467AE"/>
    <w:rsid w:val="38BB18EB"/>
    <w:rsid w:val="38EA21D0"/>
    <w:rsid w:val="38FB575B"/>
    <w:rsid w:val="39254928"/>
    <w:rsid w:val="392E030F"/>
    <w:rsid w:val="393B1BB5"/>
    <w:rsid w:val="394418E0"/>
    <w:rsid w:val="39581830"/>
    <w:rsid w:val="3968080E"/>
    <w:rsid w:val="39873EC3"/>
    <w:rsid w:val="39D83EE5"/>
    <w:rsid w:val="39E547A8"/>
    <w:rsid w:val="3AC11B74"/>
    <w:rsid w:val="3AEB5C4C"/>
    <w:rsid w:val="3AF909BA"/>
    <w:rsid w:val="3B313993"/>
    <w:rsid w:val="3B557FE6"/>
    <w:rsid w:val="3B7A5413"/>
    <w:rsid w:val="3B865CB0"/>
    <w:rsid w:val="3BBA7C64"/>
    <w:rsid w:val="3BFE314F"/>
    <w:rsid w:val="3C3E10BB"/>
    <w:rsid w:val="3C4C4925"/>
    <w:rsid w:val="3C4D6CFE"/>
    <w:rsid w:val="3C8A6140"/>
    <w:rsid w:val="3CC40591"/>
    <w:rsid w:val="3CFE624A"/>
    <w:rsid w:val="3D0E7876"/>
    <w:rsid w:val="3D141416"/>
    <w:rsid w:val="3D362977"/>
    <w:rsid w:val="3D63267C"/>
    <w:rsid w:val="3D72372C"/>
    <w:rsid w:val="3D734E8A"/>
    <w:rsid w:val="3D736480"/>
    <w:rsid w:val="3DC35521"/>
    <w:rsid w:val="3DDC47DD"/>
    <w:rsid w:val="3E304B60"/>
    <w:rsid w:val="3E357291"/>
    <w:rsid w:val="3E47535C"/>
    <w:rsid w:val="3E5A7DF8"/>
    <w:rsid w:val="3E814046"/>
    <w:rsid w:val="3EC16FCC"/>
    <w:rsid w:val="3EC67F79"/>
    <w:rsid w:val="3EE34114"/>
    <w:rsid w:val="3EFB6552"/>
    <w:rsid w:val="3F294894"/>
    <w:rsid w:val="3F746008"/>
    <w:rsid w:val="3F799874"/>
    <w:rsid w:val="3FB926FD"/>
    <w:rsid w:val="3FF12096"/>
    <w:rsid w:val="401A339B"/>
    <w:rsid w:val="403311B0"/>
    <w:rsid w:val="40C2086B"/>
    <w:rsid w:val="40C84DFA"/>
    <w:rsid w:val="40C90468"/>
    <w:rsid w:val="40CA3013"/>
    <w:rsid w:val="40D27AFD"/>
    <w:rsid w:val="40EF2A79"/>
    <w:rsid w:val="41691C24"/>
    <w:rsid w:val="417D0ABD"/>
    <w:rsid w:val="422B5D33"/>
    <w:rsid w:val="426621C4"/>
    <w:rsid w:val="427E08C7"/>
    <w:rsid w:val="43A00470"/>
    <w:rsid w:val="43AD49E6"/>
    <w:rsid w:val="43D46C6D"/>
    <w:rsid w:val="43D917BF"/>
    <w:rsid w:val="43E4263E"/>
    <w:rsid w:val="43FB7987"/>
    <w:rsid w:val="441C376E"/>
    <w:rsid w:val="442D18F9"/>
    <w:rsid w:val="446B551E"/>
    <w:rsid w:val="44F16E01"/>
    <w:rsid w:val="45110C7F"/>
    <w:rsid w:val="45456DBC"/>
    <w:rsid w:val="45886D5E"/>
    <w:rsid w:val="45947F95"/>
    <w:rsid w:val="45F67C81"/>
    <w:rsid w:val="46896313"/>
    <w:rsid w:val="46AF5039"/>
    <w:rsid w:val="46C2478C"/>
    <w:rsid w:val="4743459D"/>
    <w:rsid w:val="47E309EA"/>
    <w:rsid w:val="47FE7D12"/>
    <w:rsid w:val="480602B6"/>
    <w:rsid w:val="48C60564"/>
    <w:rsid w:val="48D12A65"/>
    <w:rsid w:val="48ED1CCD"/>
    <w:rsid w:val="49064506"/>
    <w:rsid w:val="492C1D2E"/>
    <w:rsid w:val="492F7ED0"/>
    <w:rsid w:val="4955220D"/>
    <w:rsid w:val="49660D9D"/>
    <w:rsid w:val="496865DC"/>
    <w:rsid w:val="497D6232"/>
    <w:rsid w:val="49AB04EC"/>
    <w:rsid w:val="49C12369"/>
    <w:rsid w:val="49D140CF"/>
    <w:rsid w:val="49F00709"/>
    <w:rsid w:val="4A2B0285"/>
    <w:rsid w:val="4A4C6847"/>
    <w:rsid w:val="4A6A7625"/>
    <w:rsid w:val="4A802994"/>
    <w:rsid w:val="4AAF595E"/>
    <w:rsid w:val="4AC5270B"/>
    <w:rsid w:val="4AF22833"/>
    <w:rsid w:val="4AF4451A"/>
    <w:rsid w:val="4B4C7638"/>
    <w:rsid w:val="4B9A1D3E"/>
    <w:rsid w:val="4B9A5CD8"/>
    <w:rsid w:val="4BBE19C6"/>
    <w:rsid w:val="4BE5265A"/>
    <w:rsid w:val="4C26756B"/>
    <w:rsid w:val="4C3B2E73"/>
    <w:rsid w:val="4C82133E"/>
    <w:rsid w:val="4CD67C42"/>
    <w:rsid w:val="4CDF3C83"/>
    <w:rsid w:val="4CF85F6B"/>
    <w:rsid w:val="4D27760E"/>
    <w:rsid w:val="4D2E66D8"/>
    <w:rsid w:val="4DB00DC5"/>
    <w:rsid w:val="4DF37D3C"/>
    <w:rsid w:val="4E2730CC"/>
    <w:rsid w:val="4E3F7A75"/>
    <w:rsid w:val="4E6C395B"/>
    <w:rsid w:val="4EC54E1A"/>
    <w:rsid w:val="4ECB1AB8"/>
    <w:rsid w:val="4EED3F2E"/>
    <w:rsid w:val="4F0D2CAA"/>
    <w:rsid w:val="4F4026F2"/>
    <w:rsid w:val="4F4E3061"/>
    <w:rsid w:val="4F534D39"/>
    <w:rsid w:val="4F536BC0"/>
    <w:rsid w:val="4FA07362"/>
    <w:rsid w:val="4FCB34BC"/>
    <w:rsid w:val="4FF5545D"/>
    <w:rsid w:val="4FFC2ABD"/>
    <w:rsid w:val="500776F9"/>
    <w:rsid w:val="50113993"/>
    <w:rsid w:val="501E6294"/>
    <w:rsid w:val="506A2C79"/>
    <w:rsid w:val="506C70C1"/>
    <w:rsid w:val="506D7517"/>
    <w:rsid w:val="50AF18DD"/>
    <w:rsid w:val="50B213CE"/>
    <w:rsid w:val="50B27620"/>
    <w:rsid w:val="50E750E8"/>
    <w:rsid w:val="513639C0"/>
    <w:rsid w:val="51402E7D"/>
    <w:rsid w:val="51956D25"/>
    <w:rsid w:val="522001DE"/>
    <w:rsid w:val="523D4C95"/>
    <w:rsid w:val="52D57EE1"/>
    <w:rsid w:val="531319AA"/>
    <w:rsid w:val="53197521"/>
    <w:rsid w:val="53733096"/>
    <w:rsid w:val="53C21A98"/>
    <w:rsid w:val="53CC09F8"/>
    <w:rsid w:val="54030D4F"/>
    <w:rsid w:val="542B1822"/>
    <w:rsid w:val="544D7D8B"/>
    <w:rsid w:val="54857525"/>
    <w:rsid w:val="54C0055D"/>
    <w:rsid w:val="54D23DEC"/>
    <w:rsid w:val="54D27300"/>
    <w:rsid w:val="54D43CAD"/>
    <w:rsid w:val="54F621D1"/>
    <w:rsid w:val="552971E1"/>
    <w:rsid w:val="55A75279"/>
    <w:rsid w:val="55E02539"/>
    <w:rsid w:val="56221B06"/>
    <w:rsid w:val="5630526E"/>
    <w:rsid w:val="565810A1"/>
    <w:rsid w:val="569272B9"/>
    <w:rsid w:val="56B8595F"/>
    <w:rsid w:val="56F6683A"/>
    <w:rsid w:val="575D6537"/>
    <w:rsid w:val="576B4AD2"/>
    <w:rsid w:val="57F02618"/>
    <w:rsid w:val="58153B2A"/>
    <w:rsid w:val="583A23D4"/>
    <w:rsid w:val="58A2699C"/>
    <w:rsid w:val="58A81A34"/>
    <w:rsid w:val="58AA4307"/>
    <w:rsid w:val="58DB3C34"/>
    <w:rsid w:val="58E47F21"/>
    <w:rsid w:val="58FF2611"/>
    <w:rsid w:val="59205A6E"/>
    <w:rsid w:val="5928495F"/>
    <w:rsid w:val="593A5382"/>
    <w:rsid w:val="59597197"/>
    <w:rsid w:val="59D6648F"/>
    <w:rsid w:val="59D86349"/>
    <w:rsid w:val="5A1E5727"/>
    <w:rsid w:val="5A2C3F03"/>
    <w:rsid w:val="5AE43C69"/>
    <w:rsid w:val="5B1E08A3"/>
    <w:rsid w:val="5B5C6B06"/>
    <w:rsid w:val="5B7E4A2B"/>
    <w:rsid w:val="5B9E298E"/>
    <w:rsid w:val="5C0C4E98"/>
    <w:rsid w:val="5C114B89"/>
    <w:rsid w:val="5C9F3FFC"/>
    <w:rsid w:val="5CC6692D"/>
    <w:rsid w:val="5CC97269"/>
    <w:rsid w:val="5CF50FC0"/>
    <w:rsid w:val="5D04446A"/>
    <w:rsid w:val="5D090C40"/>
    <w:rsid w:val="5D2D3AF7"/>
    <w:rsid w:val="5D79399F"/>
    <w:rsid w:val="5D8A795A"/>
    <w:rsid w:val="5DB1365C"/>
    <w:rsid w:val="5DDE3089"/>
    <w:rsid w:val="5E192A8C"/>
    <w:rsid w:val="5E7A6A32"/>
    <w:rsid w:val="5EA47734"/>
    <w:rsid w:val="5EB34C8F"/>
    <w:rsid w:val="5ED6503F"/>
    <w:rsid w:val="5EDB3860"/>
    <w:rsid w:val="5FB26B3A"/>
    <w:rsid w:val="603C0CB4"/>
    <w:rsid w:val="60795A64"/>
    <w:rsid w:val="60B4267D"/>
    <w:rsid w:val="60E2116F"/>
    <w:rsid w:val="61326FAE"/>
    <w:rsid w:val="613F0A5C"/>
    <w:rsid w:val="614F39EC"/>
    <w:rsid w:val="61637BA0"/>
    <w:rsid w:val="61D26580"/>
    <w:rsid w:val="61D5316E"/>
    <w:rsid w:val="61E15E5A"/>
    <w:rsid w:val="61EF2482"/>
    <w:rsid w:val="61F817BB"/>
    <w:rsid w:val="61FA4982"/>
    <w:rsid w:val="623B0F85"/>
    <w:rsid w:val="62CD70A4"/>
    <w:rsid w:val="62DA7A71"/>
    <w:rsid w:val="632E4E68"/>
    <w:rsid w:val="634E31D8"/>
    <w:rsid w:val="635A4089"/>
    <w:rsid w:val="63626C83"/>
    <w:rsid w:val="63847969"/>
    <w:rsid w:val="638D614B"/>
    <w:rsid w:val="63A94039"/>
    <w:rsid w:val="63AF74DC"/>
    <w:rsid w:val="63FC2C34"/>
    <w:rsid w:val="63FF1C76"/>
    <w:rsid w:val="640D63D2"/>
    <w:rsid w:val="64A37553"/>
    <w:rsid w:val="64DE058B"/>
    <w:rsid w:val="650A43FB"/>
    <w:rsid w:val="65735178"/>
    <w:rsid w:val="657B7F91"/>
    <w:rsid w:val="65A60E3B"/>
    <w:rsid w:val="65B03CD6"/>
    <w:rsid w:val="65C0401D"/>
    <w:rsid w:val="65E144AD"/>
    <w:rsid w:val="66573A13"/>
    <w:rsid w:val="666A1688"/>
    <w:rsid w:val="66754F1F"/>
    <w:rsid w:val="66897701"/>
    <w:rsid w:val="669C425A"/>
    <w:rsid w:val="66A67654"/>
    <w:rsid w:val="66CD28BF"/>
    <w:rsid w:val="66F35CB5"/>
    <w:rsid w:val="66F8358E"/>
    <w:rsid w:val="67187863"/>
    <w:rsid w:val="6727621A"/>
    <w:rsid w:val="672A245F"/>
    <w:rsid w:val="67650AF0"/>
    <w:rsid w:val="67BB77DC"/>
    <w:rsid w:val="67BC362F"/>
    <w:rsid w:val="67E946FC"/>
    <w:rsid w:val="68025172"/>
    <w:rsid w:val="680B4215"/>
    <w:rsid w:val="683D68AF"/>
    <w:rsid w:val="68772494"/>
    <w:rsid w:val="688753E3"/>
    <w:rsid w:val="6896496E"/>
    <w:rsid w:val="68A5389A"/>
    <w:rsid w:val="69286279"/>
    <w:rsid w:val="694D1AF9"/>
    <w:rsid w:val="696411DB"/>
    <w:rsid w:val="69695723"/>
    <w:rsid w:val="6A06384E"/>
    <w:rsid w:val="6A3048AE"/>
    <w:rsid w:val="6A40212B"/>
    <w:rsid w:val="6A9F068D"/>
    <w:rsid w:val="6ABD240C"/>
    <w:rsid w:val="6ABE6E95"/>
    <w:rsid w:val="6AD870E9"/>
    <w:rsid w:val="6ADC731B"/>
    <w:rsid w:val="6B4759DA"/>
    <w:rsid w:val="6B5477F9"/>
    <w:rsid w:val="6B7E5284"/>
    <w:rsid w:val="6B8031C7"/>
    <w:rsid w:val="6BDB515C"/>
    <w:rsid w:val="6C2B2308"/>
    <w:rsid w:val="6C3870FA"/>
    <w:rsid w:val="6C3A079D"/>
    <w:rsid w:val="6C4B3AAF"/>
    <w:rsid w:val="6C5055CD"/>
    <w:rsid w:val="6C5F63CA"/>
    <w:rsid w:val="6CFD7EAA"/>
    <w:rsid w:val="6D6108A6"/>
    <w:rsid w:val="6D6A73AF"/>
    <w:rsid w:val="6D7A70D0"/>
    <w:rsid w:val="6D8A50A2"/>
    <w:rsid w:val="6DD93FE6"/>
    <w:rsid w:val="6E10454B"/>
    <w:rsid w:val="6E4F56EC"/>
    <w:rsid w:val="6E8616EC"/>
    <w:rsid w:val="6EA81EBB"/>
    <w:rsid w:val="6EBF7C57"/>
    <w:rsid w:val="6EEE0610"/>
    <w:rsid w:val="6F070893"/>
    <w:rsid w:val="6F240921"/>
    <w:rsid w:val="6F505485"/>
    <w:rsid w:val="6F6F4C02"/>
    <w:rsid w:val="6F966F72"/>
    <w:rsid w:val="6FC018AC"/>
    <w:rsid w:val="6FD809F9"/>
    <w:rsid w:val="6FF66B71"/>
    <w:rsid w:val="700215D2"/>
    <w:rsid w:val="700222B2"/>
    <w:rsid w:val="70153D32"/>
    <w:rsid w:val="70441100"/>
    <w:rsid w:val="70A16363"/>
    <w:rsid w:val="70AD36ED"/>
    <w:rsid w:val="70C42D2B"/>
    <w:rsid w:val="710547C7"/>
    <w:rsid w:val="710A6CC4"/>
    <w:rsid w:val="7123359C"/>
    <w:rsid w:val="713954C7"/>
    <w:rsid w:val="71664295"/>
    <w:rsid w:val="71C32FE3"/>
    <w:rsid w:val="71ED630E"/>
    <w:rsid w:val="72065E82"/>
    <w:rsid w:val="72146BC2"/>
    <w:rsid w:val="722D066E"/>
    <w:rsid w:val="72635250"/>
    <w:rsid w:val="727138BB"/>
    <w:rsid w:val="72965F01"/>
    <w:rsid w:val="72CB65F3"/>
    <w:rsid w:val="72DC45D5"/>
    <w:rsid w:val="72EE72CB"/>
    <w:rsid w:val="732C0596"/>
    <w:rsid w:val="73412411"/>
    <w:rsid w:val="734C0309"/>
    <w:rsid w:val="7364640B"/>
    <w:rsid w:val="73780388"/>
    <w:rsid w:val="73C2272E"/>
    <w:rsid w:val="74886410"/>
    <w:rsid w:val="748D1686"/>
    <w:rsid w:val="7490285F"/>
    <w:rsid w:val="749277FD"/>
    <w:rsid w:val="74C460BA"/>
    <w:rsid w:val="74DE7B2A"/>
    <w:rsid w:val="74F717E2"/>
    <w:rsid w:val="75324707"/>
    <w:rsid w:val="756D47FB"/>
    <w:rsid w:val="75A36571"/>
    <w:rsid w:val="75D827AD"/>
    <w:rsid w:val="75ED3686"/>
    <w:rsid w:val="75FB71EF"/>
    <w:rsid w:val="76045978"/>
    <w:rsid w:val="76320737"/>
    <w:rsid w:val="766C1283"/>
    <w:rsid w:val="76764AC8"/>
    <w:rsid w:val="76903014"/>
    <w:rsid w:val="76DA5057"/>
    <w:rsid w:val="76F358AB"/>
    <w:rsid w:val="77043E82"/>
    <w:rsid w:val="77614232"/>
    <w:rsid w:val="777F6687"/>
    <w:rsid w:val="77996139"/>
    <w:rsid w:val="77ED0DBA"/>
    <w:rsid w:val="78120820"/>
    <w:rsid w:val="781D00C9"/>
    <w:rsid w:val="782C2386"/>
    <w:rsid w:val="78300CA6"/>
    <w:rsid w:val="7842109B"/>
    <w:rsid w:val="784D4E3B"/>
    <w:rsid w:val="7859399F"/>
    <w:rsid w:val="786D1EFA"/>
    <w:rsid w:val="789708FF"/>
    <w:rsid w:val="78E21FA1"/>
    <w:rsid w:val="79037DA4"/>
    <w:rsid w:val="79426EE3"/>
    <w:rsid w:val="79450F83"/>
    <w:rsid w:val="797236F7"/>
    <w:rsid w:val="7993773F"/>
    <w:rsid w:val="79E47F9A"/>
    <w:rsid w:val="79EB757B"/>
    <w:rsid w:val="7A100661"/>
    <w:rsid w:val="7A20128A"/>
    <w:rsid w:val="7A212F9C"/>
    <w:rsid w:val="7A2544C3"/>
    <w:rsid w:val="7A3C7DD6"/>
    <w:rsid w:val="7A8F4FCE"/>
    <w:rsid w:val="7A902D98"/>
    <w:rsid w:val="7A9C1E1C"/>
    <w:rsid w:val="7B095F0A"/>
    <w:rsid w:val="7B3D7370"/>
    <w:rsid w:val="7B637EF6"/>
    <w:rsid w:val="7B8626B2"/>
    <w:rsid w:val="7BA97FC7"/>
    <w:rsid w:val="7BBEB041"/>
    <w:rsid w:val="7BF546E1"/>
    <w:rsid w:val="7C0A4C0C"/>
    <w:rsid w:val="7C2D5C29"/>
    <w:rsid w:val="7C336FB7"/>
    <w:rsid w:val="7C385727"/>
    <w:rsid w:val="7C5739AD"/>
    <w:rsid w:val="7CAB57A7"/>
    <w:rsid w:val="7CE23473"/>
    <w:rsid w:val="7CE64566"/>
    <w:rsid w:val="7D3350C5"/>
    <w:rsid w:val="7D356644"/>
    <w:rsid w:val="7D71202A"/>
    <w:rsid w:val="7D8E26F7"/>
    <w:rsid w:val="7DA57939"/>
    <w:rsid w:val="7DC10D1E"/>
    <w:rsid w:val="7DC3531E"/>
    <w:rsid w:val="7DEC2C45"/>
    <w:rsid w:val="7DF478B8"/>
    <w:rsid w:val="7E250825"/>
    <w:rsid w:val="7E590F57"/>
    <w:rsid w:val="7E5C69D0"/>
    <w:rsid w:val="7E65648D"/>
    <w:rsid w:val="7E9300B5"/>
    <w:rsid w:val="7EA44CAC"/>
    <w:rsid w:val="7EB4618D"/>
    <w:rsid w:val="7EC67CEE"/>
    <w:rsid w:val="7EF02F3D"/>
    <w:rsid w:val="7F4A3514"/>
    <w:rsid w:val="7F6C2F0C"/>
    <w:rsid w:val="7F71407E"/>
    <w:rsid w:val="7F807128"/>
    <w:rsid w:val="7F9B559F"/>
    <w:rsid w:val="7FA06540"/>
    <w:rsid w:val="7FBB354B"/>
    <w:rsid w:val="9F94374D"/>
    <w:rsid w:val="A3F805F2"/>
    <w:rsid w:val="BBEFA407"/>
    <w:rsid w:val="CBDEC8B7"/>
    <w:rsid w:val="DFCD281D"/>
    <w:rsid w:val="E6BF0BA4"/>
    <w:rsid w:val="F76FE484"/>
    <w:rsid w:val="F8DE15CF"/>
    <w:rsid w:val="F99F7507"/>
    <w:rsid w:val="FBDFF592"/>
    <w:rsid w:val="FD5F5955"/>
    <w:rsid w:val="FF7C5577"/>
    <w:rsid w:val="FFFF520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 w:semiHidden="0" w:name="heading 7"/>
    <w:lsdException w:qFormat="1" w:unhideWhenUsed="0" w:uiPriority="9"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312" w:lineRule="auto"/>
    </w:pPr>
    <w:rPr>
      <w:rFonts w:asciiTheme="minorHAnsi" w:hAnsiTheme="minorHAnsi" w:eastAsiaTheme="minorEastAsia" w:cstheme="minorBidi"/>
      <w:color w:val="333333"/>
      <w:kern w:val="2"/>
      <w:sz w:val="22"/>
      <w:szCs w:val="22"/>
      <w:lang w:val="en-US" w:eastAsia="zh-CN" w:bidi="ar-SA"/>
    </w:rPr>
  </w:style>
  <w:style w:type="paragraph" w:styleId="2">
    <w:name w:val="heading 1"/>
    <w:basedOn w:val="1"/>
    <w:next w:val="3"/>
    <w:link w:val="157"/>
    <w:qFormat/>
    <w:uiPriority w:val="0"/>
    <w:pPr>
      <w:keepNext/>
      <w:keepLines/>
      <w:spacing w:before="0" w:after="0" w:line="408" w:lineRule="auto"/>
      <w:outlineLvl w:val="0"/>
    </w:pPr>
    <w:rPr>
      <w:rFonts w:eastAsia="仿宋_GB2312"/>
      <w:b/>
      <w:bCs/>
      <w:color w:val="1A1A1A"/>
      <w:sz w:val="28"/>
      <w:szCs w:val="36"/>
    </w:rPr>
  </w:style>
  <w:style w:type="paragraph" w:styleId="5">
    <w:name w:val="heading 2"/>
    <w:basedOn w:val="1"/>
    <w:next w:val="1"/>
    <w:link w:val="53"/>
    <w:unhideWhenUsed/>
    <w:qFormat/>
    <w:uiPriority w:val="0"/>
    <w:pPr>
      <w:keepNext/>
      <w:keepLines/>
      <w:spacing w:before="260" w:after="260" w:line="360" w:lineRule="auto"/>
      <w:outlineLvl w:val="1"/>
    </w:pPr>
    <w:rPr>
      <w:rFonts w:eastAsia="仿宋_GB2312" w:asciiTheme="majorHAnsi" w:hAnsiTheme="majorHAnsi" w:cstheme="majorBidi"/>
      <w:b/>
      <w:bCs/>
      <w:sz w:val="28"/>
      <w:szCs w:val="32"/>
    </w:rPr>
  </w:style>
  <w:style w:type="paragraph" w:styleId="6">
    <w:name w:val="heading 3"/>
    <w:basedOn w:val="1"/>
    <w:next w:val="1"/>
    <w:link w:val="54"/>
    <w:qFormat/>
    <w:uiPriority w:val="0"/>
    <w:pPr>
      <w:keepNext/>
      <w:keepLines/>
      <w:spacing w:before="0" w:after="0" w:line="408" w:lineRule="auto"/>
      <w:outlineLvl w:val="2"/>
    </w:pPr>
    <w:rPr>
      <w:b/>
      <w:bCs/>
      <w:color w:val="1A1A1A"/>
      <w:sz w:val="28"/>
      <w:szCs w:val="28"/>
    </w:rPr>
  </w:style>
  <w:style w:type="paragraph" w:styleId="7">
    <w:name w:val="heading 4"/>
    <w:basedOn w:val="1"/>
    <w:next w:val="1"/>
    <w:link w:val="55"/>
    <w:qFormat/>
    <w:uiPriority w:val="0"/>
    <w:pPr>
      <w:tabs>
        <w:tab w:val="left" w:pos="0"/>
      </w:tabs>
      <w:snapToGrid/>
      <w:spacing w:before="0" w:after="0" w:line="360" w:lineRule="auto"/>
      <w:ind w:left="426" w:hanging="426"/>
      <w:jc w:val="center"/>
      <w:outlineLvl w:val="3"/>
    </w:pPr>
    <w:rPr>
      <w:rFonts w:ascii="Arial" w:hAnsi="Arial" w:eastAsia="宋体" w:cs="Times New Roman"/>
      <w:b/>
      <w:color w:val="auto"/>
      <w:sz w:val="24"/>
      <w:szCs w:val="20"/>
    </w:rPr>
  </w:style>
  <w:style w:type="paragraph" w:styleId="8">
    <w:name w:val="heading 5"/>
    <w:basedOn w:val="1"/>
    <w:next w:val="1"/>
    <w:link w:val="56"/>
    <w:qFormat/>
    <w:uiPriority w:val="0"/>
    <w:pPr>
      <w:keepNext/>
      <w:keepLines/>
      <w:snapToGrid/>
      <w:spacing w:before="280" w:after="290" w:line="374" w:lineRule="auto"/>
      <w:jc w:val="both"/>
      <w:outlineLvl w:val="4"/>
    </w:pPr>
    <w:rPr>
      <w:rFonts w:ascii="Times New Roman" w:hAnsi="Times New Roman" w:eastAsia="宋体" w:cs="Times New Roman"/>
      <w:b/>
      <w:color w:val="auto"/>
      <w:sz w:val="28"/>
      <w:szCs w:val="20"/>
    </w:rPr>
  </w:style>
  <w:style w:type="paragraph" w:styleId="9">
    <w:name w:val="heading 6"/>
    <w:basedOn w:val="1"/>
    <w:next w:val="1"/>
    <w:link w:val="57"/>
    <w:qFormat/>
    <w:uiPriority w:val="0"/>
    <w:pPr>
      <w:keepNext/>
      <w:keepLines/>
      <w:tabs>
        <w:tab w:val="left" w:pos="1152"/>
      </w:tabs>
      <w:snapToGrid/>
      <w:spacing w:before="0" w:after="0" w:line="360" w:lineRule="auto"/>
      <w:jc w:val="center"/>
      <w:outlineLvl w:val="5"/>
    </w:pPr>
    <w:rPr>
      <w:rFonts w:ascii="Arial" w:hAnsi="Arial" w:eastAsia="黑体" w:cs="Times New Roman"/>
      <w:b/>
      <w:color w:val="auto"/>
      <w:sz w:val="24"/>
      <w:szCs w:val="20"/>
    </w:rPr>
  </w:style>
  <w:style w:type="paragraph" w:styleId="10">
    <w:name w:val="heading 7"/>
    <w:basedOn w:val="1"/>
    <w:next w:val="1"/>
    <w:link w:val="58"/>
    <w:qFormat/>
    <w:uiPriority w:val="9"/>
    <w:pPr>
      <w:keepNext/>
      <w:keepLines/>
      <w:tabs>
        <w:tab w:val="left" w:pos="1296"/>
      </w:tabs>
      <w:snapToGrid/>
      <w:spacing w:before="240" w:after="64" w:line="319" w:lineRule="auto"/>
      <w:ind w:left="1296" w:hanging="1296"/>
      <w:jc w:val="both"/>
      <w:outlineLvl w:val="6"/>
    </w:pPr>
    <w:rPr>
      <w:rFonts w:ascii="Times New Roman" w:hAnsi="Times New Roman" w:eastAsia="宋体" w:cs="Times New Roman"/>
      <w:b/>
      <w:color w:val="auto"/>
      <w:sz w:val="24"/>
      <w:szCs w:val="20"/>
    </w:rPr>
  </w:style>
  <w:style w:type="paragraph" w:styleId="11">
    <w:name w:val="heading 8"/>
    <w:basedOn w:val="1"/>
    <w:next w:val="1"/>
    <w:link w:val="59"/>
    <w:qFormat/>
    <w:uiPriority w:val="9"/>
    <w:pPr>
      <w:keepNext/>
      <w:keepLines/>
      <w:snapToGrid/>
      <w:spacing w:before="0" w:after="0" w:line="317" w:lineRule="auto"/>
      <w:jc w:val="both"/>
      <w:outlineLvl w:val="7"/>
    </w:pPr>
    <w:rPr>
      <w:rFonts w:ascii="Arial" w:hAnsi="Arial" w:eastAsia="黑体" w:cs="Times New Roman"/>
      <w:color w:val="auto"/>
      <w:sz w:val="24"/>
      <w:szCs w:val="21"/>
    </w:rPr>
  </w:style>
  <w:style w:type="paragraph" w:styleId="12">
    <w:name w:val="heading 9"/>
    <w:basedOn w:val="1"/>
    <w:next w:val="1"/>
    <w:link w:val="60"/>
    <w:qFormat/>
    <w:uiPriority w:val="0"/>
    <w:pPr>
      <w:keepNext/>
      <w:keepLines/>
      <w:tabs>
        <w:tab w:val="left" w:pos="1584"/>
      </w:tabs>
      <w:snapToGrid/>
      <w:spacing w:before="240" w:after="64" w:line="319" w:lineRule="auto"/>
      <w:ind w:left="1584" w:hanging="1584"/>
      <w:jc w:val="both"/>
      <w:outlineLvl w:val="8"/>
    </w:pPr>
    <w:rPr>
      <w:rFonts w:ascii="Arial" w:hAnsi="Arial" w:eastAsia="黑体" w:cs="Times New Roman"/>
      <w:color w:val="auto"/>
      <w:sz w:val="21"/>
      <w:szCs w:val="20"/>
    </w:r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3">
    <w:name w:val="Body Text First Indent"/>
    <w:basedOn w:val="4"/>
    <w:link w:val="79"/>
    <w:qFormat/>
    <w:uiPriority w:val="0"/>
    <w:pPr>
      <w:ind w:firstLine="420" w:firstLineChars="100"/>
    </w:pPr>
  </w:style>
  <w:style w:type="paragraph" w:styleId="4">
    <w:name w:val="Body Text"/>
    <w:basedOn w:val="1"/>
    <w:link w:val="72"/>
    <w:qFormat/>
    <w:uiPriority w:val="99"/>
    <w:pPr>
      <w:snapToGrid/>
      <w:spacing w:before="0" w:after="120" w:line="240" w:lineRule="auto"/>
      <w:jc w:val="both"/>
    </w:pPr>
    <w:rPr>
      <w:rFonts w:ascii="Times New Roman" w:hAnsi="Times New Roman" w:eastAsia="宋体" w:cs="Times New Roman"/>
      <w:color w:val="auto"/>
      <w:sz w:val="21"/>
      <w:szCs w:val="20"/>
    </w:rPr>
  </w:style>
  <w:style w:type="paragraph" w:styleId="13">
    <w:name w:val="toc 7"/>
    <w:basedOn w:val="1"/>
    <w:next w:val="1"/>
    <w:qFormat/>
    <w:uiPriority w:val="39"/>
    <w:pPr>
      <w:snapToGrid/>
      <w:spacing w:before="0" w:after="0" w:line="240" w:lineRule="auto"/>
      <w:ind w:left="1050"/>
    </w:pPr>
    <w:rPr>
      <w:rFonts w:ascii="Times New Roman" w:hAnsi="Times New Roman" w:eastAsia="宋体" w:cs="Times New Roman"/>
      <w:color w:val="auto"/>
      <w:sz w:val="20"/>
      <w:szCs w:val="20"/>
    </w:rPr>
  </w:style>
  <w:style w:type="paragraph" w:styleId="14">
    <w:name w:val="Normal Indent"/>
    <w:basedOn w:val="1"/>
    <w:qFormat/>
    <w:uiPriority w:val="0"/>
    <w:pPr>
      <w:ind w:firstLine="420"/>
    </w:pPr>
    <w:rPr>
      <w:szCs w:val="20"/>
    </w:rPr>
  </w:style>
  <w:style w:type="paragraph" w:styleId="15">
    <w:name w:val="caption"/>
    <w:next w:val="1"/>
    <w:qFormat/>
    <w:uiPriority w:val="0"/>
    <w:pPr>
      <w:jc w:val="center"/>
    </w:pPr>
    <w:rPr>
      <w:rFonts w:ascii="Times New Roman" w:hAnsi="Times New Roman" w:eastAsia="宋体" w:cs="Times New Roman"/>
      <w:b/>
      <w:kern w:val="2"/>
      <w:sz w:val="21"/>
      <w:lang w:val="en-US" w:eastAsia="zh-CN" w:bidi="ar-SA"/>
    </w:rPr>
  </w:style>
  <w:style w:type="paragraph" w:styleId="16">
    <w:name w:val="Document Map"/>
    <w:basedOn w:val="1"/>
    <w:link w:val="70"/>
    <w:qFormat/>
    <w:uiPriority w:val="0"/>
    <w:pPr>
      <w:shd w:val="clear" w:color="auto" w:fill="000080"/>
      <w:snapToGrid/>
      <w:spacing w:before="0" w:after="0" w:line="240" w:lineRule="auto"/>
      <w:jc w:val="both"/>
    </w:pPr>
    <w:rPr>
      <w:rFonts w:ascii="Times New Roman" w:hAnsi="Times New Roman" w:eastAsia="宋体" w:cs="Times New Roman"/>
      <w:color w:val="auto"/>
      <w:sz w:val="21"/>
      <w:szCs w:val="20"/>
    </w:rPr>
  </w:style>
  <w:style w:type="paragraph" w:styleId="17">
    <w:name w:val="annotation text"/>
    <w:basedOn w:val="1"/>
    <w:link w:val="62"/>
    <w:unhideWhenUsed/>
    <w:qFormat/>
    <w:uiPriority w:val="0"/>
  </w:style>
  <w:style w:type="paragraph" w:styleId="18">
    <w:name w:val="Body Text 3"/>
    <w:basedOn w:val="1"/>
    <w:link w:val="71"/>
    <w:qFormat/>
    <w:uiPriority w:val="0"/>
    <w:pPr>
      <w:snapToGrid/>
      <w:spacing w:before="0" w:after="0" w:line="240" w:lineRule="auto"/>
      <w:jc w:val="center"/>
    </w:pPr>
    <w:rPr>
      <w:rFonts w:ascii="Times New Roman" w:hAnsi="Times New Roman" w:eastAsia="宋体" w:cs="Times New Roman"/>
      <w:color w:val="auto"/>
      <w:sz w:val="24"/>
      <w:szCs w:val="20"/>
    </w:rPr>
  </w:style>
  <w:style w:type="paragraph" w:styleId="19">
    <w:name w:val="Body Text Indent"/>
    <w:basedOn w:val="1"/>
    <w:link w:val="73"/>
    <w:qFormat/>
    <w:uiPriority w:val="0"/>
    <w:pPr>
      <w:snapToGrid/>
      <w:spacing w:before="0" w:after="0" w:line="500" w:lineRule="exact"/>
      <w:ind w:firstLine="403" w:firstLineChars="168"/>
      <w:jc w:val="both"/>
    </w:pPr>
    <w:rPr>
      <w:rFonts w:ascii="宋体" w:hAnsi="宋体" w:eastAsia="宋体" w:cs="Times New Roman"/>
      <w:color w:val="000000"/>
      <w:sz w:val="24"/>
      <w:szCs w:val="20"/>
    </w:rPr>
  </w:style>
  <w:style w:type="paragraph" w:styleId="20">
    <w:name w:val="List 2"/>
    <w:basedOn w:val="1"/>
    <w:qFormat/>
    <w:uiPriority w:val="0"/>
    <w:pPr>
      <w:snapToGrid/>
      <w:spacing w:before="0" w:after="0" w:line="240" w:lineRule="auto"/>
      <w:ind w:left="100" w:leftChars="200" w:hanging="200" w:hangingChars="200"/>
      <w:jc w:val="both"/>
    </w:pPr>
    <w:rPr>
      <w:rFonts w:ascii="Times New Roman" w:hAnsi="Times New Roman" w:eastAsia="宋体" w:cs="Times New Roman"/>
      <w:color w:val="auto"/>
      <w:sz w:val="21"/>
      <w:szCs w:val="24"/>
    </w:rPr>
  </w:style>
  <w:style w:type="paragraph" w:styleId="21">
    <w:name w:val="Block Text"/>
    <w:basedOn w:val="1"/>
    <w:link w:val="159"/>
    <w:qFormat/>
    <w:uiPriority w:val="0"/>
    <w:pPr>
      <w:adjustRightInd w:val="0"/>
      <w:spacing w:before="0" w:after="0" w:line="240" w:lineRule="auto"/>
      <w:jc w:val="center"/>
      <w:textAlignment w:val="baseline"/>
    </w:pPr>
    <w:rPr>
      <w:rFonts w:ascii="宋体" w:hAnsi="宋体" w:eastAsia="宋体" w:cs="宋体"/>
      <w:color w:val="auto"/>
      <w:kern w:val="0"/>
      <w:sz w:val="21"/>
      <w:szCs w:val="20"/>
    </w:rPr>
  </w:style>
  <w:style w:type="paragraph" w:styleId="22">
    <w:name w:val="toc 5"/>
    <w:basedOn w:val="1"/>
    <w:next w:val="1"/>
    <w:qFormat/>
    <w:uiPriority w:val="39"/>
    <w:pPr>
      <w:snapToGrid/>
      <w:spacing w:before="0" w:after="0" w:line="240" w:lineRule="auto"/>
      <w:ind w:left="630"/>
    </w:pPr>
    <w:rPr>
      <w:rFonts w:ascii="Times New Roman" w:hAnsi="Times New Roman" w:eastAsia="宋体" w:cs="Times New Roman"/>
      <w:color w:val="auto"/>
      <w:sz w:val="20"/>
      <w:szCs w:val="20"/>
    </w:rPr>
  </w:style>
  <w:style w:type="paragraph" w:styleId="23">
    <w:name w:val="toc 3"/>
    <w:basedOn w:val="1"/>
    <w:next w:val="1"/>
    <w:qFormat/>
    <w:uiPriority w:val="39"/>
    <w:pPr>
      <w:spacing w:before="0" w:after="0" w:line="360" w:lineRule="auto"/>
      <w:ind w:left="400" w:leftChars="400"/>
    </w:pPr>
    <w:rPr>
      <w:rFonts w:ascii="Times New Roman" w:hAnsi="Times New Roman" w:eastAsia="宋体" w:cs="Times New Roman"/>
      <w:color w:val="auto"/>
      <w:sz w:val="24"/>
      <w:szCs w:val="20"/>
    </w:rPr>
  </w:style>
  <w:style w:type="paragraph" w:styleId="24">
    <w:name w:val="Plain Text"/>
    <w:basedOn w:val="1"/>
    <w:link w:val="74"/>
    <w:qFormat/>
    <w:uiPriority w:val="0"/>
    <w:pPr>
      <w:snapToGrid/>
      <w:spacing w:before="0" w:after="0" w:line="360" w:lineRule="auto"/>
      <w:ind w:firstLine="200" w:firstLineChars="200"/>
      <w:jc w:val="both"/>
    </w:pPr>
    <w:rPr>
      <w:rFonts w:ascii="宋体" w:hAnsi="Courier New" w:eastAsia="宋体" w:cs="Times New Roman"/>
      <w:color w:val="auto"/>
      <w:sz w:val="24"/>
      <w:szCs w:val="20"/>
    </w:rPr>
  </w:style>
  <w:style w:type="paragraph" w:styleId="25">
    <w:name w:val="toc 8"/>
    <w:basedOn w:val="1"/>
    <w:next w:val="1"/>
    <w:qFormat/>
    <w:uiPriority w:val="39"/>
    <w:pPr>
      <w:snapToGrid/>
      <w:spacing w:before="0" w:after="0" w:line="240" w:lineRule="auto"/>
      <w:ind w:left="1260"/>
    </w:pPr>
    <w:rPr>
      <w:rFonts w:ascii="Times New Roman" w:hAnsi="Times New Roman" w:eastAsia="宋体" w:cs="Times New Roman"/>
      <w:color w:val="auto"/>
      <w:sz w:val="20"/>
      <w:szCs w:val="20"/>
    </w:rPr>
  </w:style>
  <w:style w:type="paragraph" w:styleId="26">
    <w:name w:val="Date"/>
    <w:basedOn w:val="1"/>
    <w:next w:val="1"/>
    <w:link w:val="75"/>
    <w:semiHidden/>
    <w:unhideWhenUsed/>
    <w:qFormat/>
    <w:uiPriority w:val="99"/>
    <w:pPr>
      <w:snapToGrid/>
      <w:spacing w:before="0" w:after="0" w:line="240" w:lineRule="auto"/>
      <w:ind w:left="100" w:leftChars="2500"/>
      <w:jc w:val="both"/>
    </w:pPr>
    <w:rPr>
      <w:rFonts w:ascii="Times New Roman" w:hAnsi="Times New Roman" w:eastAsia="宋体" w:cs="Times New Roman"/>
      <w:color w:val="auto"/>
      <w:sz w:val="21"/>
      <w:szCs w:val="21"/>
    </w:rPr>
  </w:style>
  <w:style w:type="paragraph" w:styleId="27">
    <w:name w:val="Body Text Indent 2"/>
    <w:basedOn w:val="1"/>
    <w:link w:val="76"/>
    <w:qFormat/>
    <w:uiPriority w:val="0"/>
    <w:pPr>
      <w:snapToGrid/>
      <w:spacing w:before="0" w:after="0" w:line="500" w:lineRule="exact"/>
      <w:ind w:firstLine="480" w:firstLineChars="200"/>
      <w:jc w:val="both"/>
    </w:pPr>
    <w:rPr>
      <w:rFonts w:ascii="宋体" w:hAnsi="宋体" w:eastAsia="宋体" w:cs="Times New Roman"/>
      <w:color w:val="auto"/>
      <w:sz w:val="24"/>
      <w:szCs w:val="20"/>
    </w:rPr>
  </w:style>
  <w:style w:type="paragraph" w:styleId="28">
    <w:name w:val="Balloon Text"/>
    <w:basedOn w:val="1"/>
    <w:link w:val="68"/>
    <w:unhideWhenUsed/>
    <w:qFormat/>
    <w:uiPriority w:val="0"/>
    <w:pPr>
      <w:spacing w:before="0" w:after="0" w:line="240" w:lineRule="auto"/>
    </w:pPr>
    <w:rPr>
      <w:sz w:val="18"/>
      <w:szCs w:val="18"/>
    </w:rPr>
  </w:style>
  <w:style w:type="paragraph" w:styleId="29">
    <w:name w:val="footer"/>
    <w:basedOn w:val="1"/>
    <w:link w:val="67"/>
    <w:unhideWhenUsed/>
    <w:qFormat/>
    <w:uiPriority w:val="99"/>
    <w:pPr>
      <w:tabs>
        <w:tab w:val="center" w:pos="4153"/>
        <w:tab w:val="right" w:pos="8306"/>
      </w:tabs>
      <w:spacing w:line="240" w:lineRule="auto"/>
    </w:pPr>
    <w:rPr>
      <w:sz w:val="18"/>
      <w:szCs w:val="18"/>
    </w:rPr>
  </w:style>
  <w:style w:type="paragraph" w:styleId="30">
    <w:name w:val="header"/>
    <w:basedOn w:val="1"/>
    <w:link w:val="66"/>
    <w:unhideWhenUsed/>
    <w:qFormat/>
    <w:uiPriority w:val="99"/>
    <w:pPr>
      <w:pBdr>
        <w:bottom w:val="single" w:color="auto" w:sz="6" w:space="1"/>
      </w:pBdr>
      <w:tabs>
        <w:tab w:val="center" w:pos="4153"/>
        <w:tab w:val="right" w:pos="8306"/>
      </w:tabs>
      <w:spacing w:line="240" w:lineRule="auto"/>
      <w:jc w:val="center"/>
    </w:pPr>
    <w:rPr>
      <w:sz w:val="18"/>
      <w:szCs w:val="18"/>
    </w:rPr>
  </w:style>
  <w:style w:type="paragraph" w:styleId="31">
    <w:name w:val="toc 1"/>
    <w:basedOn w:val="1"/>
    <w:next w:val="1"/>
    <w:unhideWhenUsed/>
    <w:qFormat/>
    <w:uiPriority w:val="39"/>
    <w:pPr>
      <w:widowControl/>
      <w:snapToGrid/>
      <w:spacing w:before="0" w:after="100" w:line="259" w:lineRule="auto"/>
    </w:pPr>
    <w:rPr>
      <w:rFonts w:cs="Times New Roman"/>
      <w:color w:val="auto"/>
      <w:kern w:val="0"/>
    </w:rPr>
  </w:style>
  <w:style w:type="paragraph" w:styleId="32">
    <w:name w:val="toc 4"/>
    <w:basedOn w:val="1"/>
    <w:next w:val="1"/>
    <w:qFormat/>
    <w:uiPriority w:val="39"/>
    <w:pPr>
      <w:snapToGrid/>
      <w:spacing w:before="0" w:after="0" w:line="240" w:lineRule="auto"/>
      <w:ind w:left="420"/>
    </w:pPr>
    <w:rPr>
      <w:rFonts w:ascii="Times New Roman" w:hAnsi="Times New Roman" w:eastAsia="宋体" w:cs="Times New Roman"/>
      <w:color w:val="auto"/>
      <w:sz w:val="20"/>
      <w:szCs w:val="20"/>
    </w:rPr>
  </w:style>
  <w:style w:type="paragraph" w:styleId="33">
    <w:name w:val="footnote text"/>
    <w:basedOn w:val="1"/>
    <w:link w:val="77"/>
    <w:qFormat/>
    <w:uiPriority w:val="0"/>
    <w:pPr>
      <w:spacing w:before="0" w:after="0" w:line="240" w:lineRule="auto"/>
    </w:pPr>
    <w:rPr>
      <w:rFonts w:ascii="Times New Roman" w:hAnsi="Times New Roman" w:eastAsia="宋体" w:cs="Times New Roman"/>
      <w:color w:val="auto"/>
      <w:sz w:val="18"/>
      <w:szCs w:val="20"/>
    </w:rPr>
  </w:style>
  <w:style w:type="paragraph" w:styleId="34">
    <w:name w:val="toc 6"/>
    <w:basedOn w:val="1"/>
    <w:next w:val="1"/>
    <w:qFormat/>
    <w:uiPriority w:val="39"/>
    <w:pPr>
      <w:snapToGrid/>
      <w:spacing w:before="0" w:after="0" w:line="240" w:lineRule="auto"/>
      <w:ind w:left="840"/>
    </w:pPr>
    <w:rPr>
      <w:rFonts w:ascii="Times New Roman" w:hAnsi="Times New Roman" w:eastAsia="宋体" w:cs="Times New Roman"/>
      <w:color w:val="auto"/>
      <w:sz w:val="20"/>
      <w:szCs w:val="20"/>
    </w:rPr>
  </w:style>
  <w:style w:type="paragraph" w:styleId="35">
    <w:name w:val="toc 2"/>
    <w:basedOn w:val="1"/>
    <w:next w:val="1"/>
    <w:unhideWhenUsed/>
    <w:qFormat/>
    <w:uiPriority w:val="39"/>
    <w:pPr>
      <w:widowControl/>
      <w:snapToGrid/>
      <w:spacing w:before="0" w:after="100" w:line="259" w:lineRule="auto"/>
      <w:ind w:left="220"/>
    </w:pPr>
    <w:rPr>
      <w:rFonts w:cs="Times New Roman"/>
      <w:color w:val="auto"/>
      <w:kern w:val="0"/>
    </w:rPr>
  </w:style>
  <w:style w:type="paragraph" w:styleId="36">
    <w:name w:val="toc 9"/>
    <w:basedOn w:val="1"/>
    <w:next w:val="1"/>
    <w:qFormat/>
    <w:uiPriority w:val="39"/>
    <w:pPr>
      <w:snapToGrid/>
      <w:spacing w:before="0" w:after="0" w:line="240" w:lineRule="auto"/>
      <w:ind w:left="1470"/>
    </w:pPr>
    <w:rPr>
      <w:rFonts w:ascii="Times New Roman" w:hAnsi="Times New Roman" w:eastAsia="宋体" w:cs="Times New Roman"/>
      <w:color w:val="auto"/>
      <w:sz w:val="20"/>
      <w:szCs w:val="20"/>
    </w:rPr>
  </w:style>
  <w:style w:type="paragraph" w:styleId="37">
    <w:name w:val="Body Text 2"/>
    <w:basedOn w:val="1"/>
    <w:link w:val="78"/>
    <w:qFormat/>
    <w:uiPriority w:val="0"/>
    <w:pPr>
      <w:snapToGrid/>
      <w:spacing w:before="0" w:after="0" w:line="240" w:lineRule="auto"/>
      <w:jc w:val="both"/>
    </w:pPr>
    <w:rPr>
      <w:rFonts w:ascii="Times New Roman" w:hAnsi="Times New Roman" w:eastAsia="宋体" w:cs="Times New Roman"/>
      <w:color w:val="auto"/>
      <w:sz w:val="24"/>
      <w:szCs w:val="20"/>
    </w:rPr>
  </w:style>
  <w:style w:type="paragraph" w:styleId="38">
    <w:name w:val="Normal (Web)"/>
    <w:basedOn w:val="1"/>
    <w:unhideWhenUsed/>
    <w:qFormat/>
    <w:uiPriority w:val="0"/>
    <w:pPr>
      <w:snapToGrid/>
      <w:spacing w:before="0" w:beforeAutospacing="1" w:after="0" w:afterAutospacing="1" w:line="240" w:lineRule="auto"/>
    </w:pPr>
    <w:rPr>
      <w:rFonts w:ascii="Times New Roman" w:hAnsi="Times New Roman" w:eastAsia="宋体" w:cs="Times New Roman"/>
      <w:color w:val="auto"/>
      <w:kern w:val="0"/>
      <w:sz w:val="24"/>
      <w:szCs w:val="21"/>
    </w:rPr>
  </w:style>
  <w:style w:type="paragraph" w:styleId="39">
    <w:name w:val="Title"/>
    <w:basedOn w:val="1"/>
    <w:next w:val="1"/>
    <w:link w:val="152"/>
    <w:qFormat/>
    <w:uiPriority w:val="9"/>
    <w:pPr>
      <w:keepNext/>
      <w:keepLines/>
      <w:spacing w:before="0" w:after="0" w:line="408" w:lineRule="auto"/>
      <w:jc w:val="center"/>
      <w:outlineLvl w:val="0"/>
    </w:pPr>
    <w:rPr>
      <w:b/>
      <w:bCs/>
      <w:color w:val="1A1A1A"/>
      <w:sz w:val="48"/>
      <w:szCs w:val="48"/>
    </w:rPr>
  </w:style>
  <w:style w:type="paragraph" w:styleId="40">
    <w:name w:val="annotation subject"/>
    <w:basedOn w:val="17"/>
    <w:next w:val="17"/>
    <w:link w:val="69"/>
    <w:semiHidden/>
    <w:unhideWhenUsed/>
    <w:qFormat/>
    <w:uiPriority w:val="0"/>
    <w:rPr>
      <w:b/>
      <w:bCs/>
    </w:rPr>
  </w:style>
  <w:style w:type="paragraph" w:styleId="41">
    <w:name w:val="Body Text First Indent 2"/>
    <w:basedOn w:val="19"/>
    <w:link w:val="153"/>
    <w:qFormat/>
    <w:uiPriority w:val="0"/>
    <w:pPr>
      <w:spacing w:after="120"/>
      <w:ind w:left="420" w:leftChars="200" w:firstLine="420"/>
    </w:pPr>
    <w:rPr>
      <w:rFonts w:ascii="Times New Roman"/>
      <w:kern w:val="0"/>
      <w:sz w:val="20"/>
      <w:szCs w:val="24"/>
    </w:rPr>
  </w:style>
  <w:style w:type="table" w:styleId="43">
    <w:name w:val="Table Grid"/>
    <w:basedOn w:val="42"/>
    <w:qFormat/>
    <w:uiPriority w:val="5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character" w:styleId="45">
    <w:name w:val="Strong"/>
    <w:basedOn w:val="44"/>
    <w:qFormat/>
    <w:uiPriority w:val="22"/>
    <w:rPr>
      <w:b/>
    </w:rPr>
  </w:style>
  <w:style w:type="character" w:styleId="46">
    <w:name w:val="page number"/>
    <w:basedOn w:val="44"/>
    <w:qFormat/>
    <w:uiPriority w:val="0"/>
  </w:style>
  <w:style w:type="character" w:styleId="47">
    <w:name w:val="FollowedHyperlink"/>
    <w:basedOn w:val="44"/>
    <w:unhideWhenUsed/>
    <w:qFormat/>
    <w:uiPriority w:val="0"/>
    <w:rPr>
      <w:color w:val="954F72" w:themeColor="followedHyperlink"/>
      <w:u w:val="single"/>
      <w14:textFill>
        <w14:solidFill>
          <w14:schemeClr w14:val="folHlink"/>
        </w14:solidFill>
      </w14:textFill>
    </w:rPr>
  </w:style>
  <w:style w:type="character" w:styleId="48">
    <w:name w:val="Emphasis"/>
    <w:basedOn w:val="44"/>
    <w:qFormat/>
    <w:uiPriority w:val="0"/>
    <w:rPr>
      <w:i/>
      <w:iCs/>
    </w:rPr>
  </w:style>
  <w:style w:type="character" w:styleId="49">
    <w:name w:val="Hyperlink"/>
    <w:qFormat/>
    <w:uiPriority w:val="99"/>
    <w:rPr>
      <w:rFonts w:ascii="Calibri" w:hAnsi="Calibri" w:eastAsia="宋体" w:cs="Times New Roman"/>
      <w:color w:val="0000FF"/>
      <w:u w:val="single"/>
    </w:rPr>
  </w:style>
  <w:style w:type="character" w:styleId="50">
    <w:name w:val="annotation reference"/>
    <w:basedOn w:val="44"/>
    <w:unhideWhenUsed/>
    <w:qFormat/>
    <w:uiPriority w:val="0"/>
    <w:rPr>
      <w:sz w:val="21"/>
      <w:szCs w:val="21"/>
    </w:rPr>
  </w:style>
  <w:style w:type="character" w:styleId="51">
    <w:name w:val="footnote reference"/>
    <w:basedOn w:val="44"/>
    <w:qFormat/>
    <w:uiPriority w:val="0"/>
    <w:rPr>
      <w:vertAlign w:val="superscript"/>
    </w:rPr>
  </w:style>
  <w:style w:type="character" w:customStyle="1" w:styleId="52">
    <w:name w:val="标题 1 字符"/>
    <w:basedOn w:val="44"/>
    <w:qFormat/>
    <w:uiPriority w:val="0"/>
    <w:rPr>
      <w:rFonts w:eastAsia="仿宋_GB2312"/>
      <w:b/>
      <w:bCs/>
      <w:color w:val="1A1A1A"/>
      <w:kern w:val="2"/>
      <w:sz w:val="28"/>
      <w:szCs w:val="36"/>
    </w:rPr>
  </w:style>
  <w:style w:type="character" w:customStyle="1" w:styleId="53">
    <w:name w:val="标题 2 字符"/>
    <w:basedOn w:val="44"/>
    <w:link w:val="5"/>
    <w:qFormat/>
    <w:uiPriority w:val="0"/>
    <w:rPr>
      <w:rFonts w:eastAsia="仿宋_GB2312" w:asciiTheme="majorHAnsi" w:hAnsiTheme="majorHAnsi" w:cstheme="majorBidi"/>
      <w:b/>
      <w:bCs/>
      <w:sz w:val="28"/>
      <w:szCs w:val="32"/>
    </w:rPr>
  </w:style>
  <w:style w:type="character" w:customStyle="1" w:styleId="54">
    <w:name w:val="标题 3 字符"/>
    <w:link w:val="6"/>
    <w:qFormat/>
    <w:uiPriority w:val="0"/>
    <w:rPr>
      <w:b/>
      <w:bCs/>
      <w:color w:val="1A1A1A"/>
      <w:sz w:val="28"/>
      <w:szCs w:val="28"/>
    </w:rPr>
  </w:style>
  <w:style w:type="character" w:customStyle="1" w:styleId="55">
    <w:name w:val="标题 4 字符"/>
    <w:basedOn w:val="44"/>
    <w:link w:val="7"/>
    <w:qFormat/>
    <w:uiPriority w:val="0"/>
    <w:rPr>
      <w:rFonts w:ascii="Arial" w:hAnsi="Arial" w:eastAsia="宋体" w:cs="Times New Roman"/>
      <w:b/>
      <w:kern w:val="2"/>
      <w:sz w:val="24"/>
    </w:rPr>
  </w:style>
  <w:style w:type="character" w:customStyle="1" w:styleId="56">
    <w:name w:val="标题 5 字符"/>
    <w:basedOn w:val="44"/>
    <w:link w:val="8"/>
    <w:qFormat/>
    <w:uiPriority w:val="0"/>
    <w:rPr>
      <w:rFonts w:ascii="Times New Roman" w:hAnsi="Times New Roman" w:eastAsia="宋体" w:cs="Times New Roman"/>
      <w:b/>
      <w:kern w:val="2"/>
      <w:sz w:val="28"/>
    </w:rPr>
  </w:style>
  <w:style w:type="character" w:customStyle="1" w:styleId="57">
    <w:name w:val="标题 6 字符"/>
    <w:basedOn w:val="44"/>
    <w:link w:val="9"/>
    <w:qFormat/>
    <w:uiPriority w:val="0"/>
    <w:rPr>
      <w:rFonts w:ascii="Arial" w:hAnsi="Arial" w:eastAsia="黑体" w:cs="Times New Roman"/>
      <w:b/>
      <w:kern w:val="2"/>
      <w:sz w:val="24"/>
    </w:rPr>
  </w:style>
  <w:style w:type="character" w:customStyle="1" w:styleId="58">
    <w:name w:val="标题 7 字符"/>
    <w:basedOn w:val="44"/>
    <w:link w:val="10"/>
    <w:qFormat/>
    <w:uiPriority w:val="9"/>
    <w:rPr>
      <w:rFonts w:ascii="Times New Roman" w:hAnsi="Times New Roman" w:eastAsia="宋体" w:cs="Times New Roman"/>
      <w:b/>
      <w:kern w:val="2"/>
      <w:sz w:val="24"/>
    </w:rPr>
  </w:style>
  <w:style w:type="character" w:customStyle="1" w:styleId="59">
    <w:name w:val="标题 8 字符"/>
    <w:basedOn w:val="44"/>
    <w:link w:val="11"/>
    <w:qFormat/>
    <w:uiPriority w:val="9"/>
    <w:rPr>
      <w:rFonts w:ascii="Arial" w:hAnsi="Arial" w:eastAsia="黑体" w:cs="Times New Roman"/>
      <w:kern w:val="2"/>
      <w:sz w:val="24"/>
      <w:szCs w:val="21"/>
    </w:rPr>
  </w:style>
  <w:style w:type="character" w:customStyle="1" w:styleId="60">
    <w:name w:val="标题 9 字符"/>
    <w:basedOn w:val="44"/>
    <w:link w:val="12"/>
    <w:qFormat/>
    <w:uiPriority w:val="0"/>
    <w:rPr>
      <w:rFonts w:ascii="Arial" w:hAnsi="Arial" w:eastAsia="黑体" w:cs="Times New Roman"/>
      <w:kern w:val="2"/>
      <w:sz w:val="21"/>
    </w:rPr>
  </w:style>
  <w:style w:type="paragraph" w:customStyle="1" w:styleId="61">
    <w:name w:val="样式 宋体 行距: 1.5 倍行距"/>
    <w:basedOn w:val="1"/>
    <w:qFormat/>
    <w:uiPriority w:val="0"/>
    <w:pPr>
      <w:jc w:val="center"/>
    </w:pPr>
    <w:rPr>
      <w:rFonts w:ascii="Times New Roman" w:hAnsi="Times New Roman"/>
      <w:b/>
      <w:szCs w:val="20"/>
    </w:rPr>
  </w:style>
  <w:style w:type="character" w:customStyle="1" w:styleId="62">
    <w:name w:val="批注文字 字符1"/>
    <w:basedOn w:val="44"/>
    <w:link w:val="17"/>
    <w:qFormat/>
    <w:uiPriority w:val="0"/>
  </w:style>
  <w:style w:type="paragraph" w:styleId="63">
    <w:name w:val="List Paragraph"/>
    <w:basedOn w:val="1"/>
    <w:qFormat/>
    <w:uiPriority w:val="34"/>
    <w:pPr>
      <w:ind w:firstLine="420" w:firstLineChars="200"/>
    </w:pPr>
  </w:style>
  <w:style w:type="paragraph" w:customStyle="1" w:styleId="64">
    <w:name w:val="TOC 标题1"/>
    <w:basedOn w:val="2"/>
    <w:next w:val="1"/>
    <w:unhideWhenUsed/>
    <w:qFormat/>
    <w:uiPriority w:val="39"/>
    <w:pPr>
      <w:widowControl/>
      <w:snapToGrid/>
      <w:spacing w:before="240" w:line="259" w:lineRule="auto"/>
      <w:outlineLvl w:val="9"/>
    </w:pPr>
    <w:rPr>
      <w:rFonts w:asciiTheme="majorHAnsi" w:hAnsiTheme="majorHAnsi" w:eastAsiaTheme="majorEastAsia" w:cstheme="majorBidi"/>
      <w:b w:val="0"/>
      <w:bCs w:val="0"/>
      <w:color w:val="2F5597" w:themeColor="accent1" w:themeShade="BF"/>
      <w:kern w:val="0"/>
      <w:sz w:val="32"/>
      <w:szCs w:val="32"/>
    </w:rPr>
  </w:style>
  <w:style w:type="paragraph" w:styleId="65">
    <w:name w:val="No Spacing"/>
    <w:qFormat/>
    <w:uiPriority w:val="1"/>
    <w:pPr>
      <w:widowControl w:val="0"/>
      <w:snapToGrid w:val="0"/>
    </w:pPr>
    <w:rPr>
      <w:rFonts w:asciiTheme="minorHAnsi" w:hAnsiTheme="minorHAnsi" w:eastAsiaTheme="minorEastAsia" w:cstheme="minorBidi"/>
      <w:color w:val="333333"/>
      <w:kern w:val="2"/>
      <w:sz w:val="22"/>
      <w:szCs w:val="22"/>
      <w:lang w:val="en-US" w:eastAsia="zh-CN" w:bidi="ar-SA"/>
    </w:rPr>
  </w:style>
  <w:style w:type="character" w:customStyle="1" w:styleId="66">
    <w:name w:val="页眉 字符"/>
    <w:basedOn w:val="44"/>
    <w:link w:val="30"/>
    <w:qFormat/>
    <w:uiPriority w:val="99"/>
    <w:rPr>
      <w:color w:val="333333"/>
      <w:kern w:val="2"/>
      <w:sz w:val="18"/>
      <w:szCs w:val="18"/>
    </w:rPr>
  </w:style>
  <w:style w:type="character" w:customStyle="1" w:styleId="67">
    <w:name w:val="页脚 字符"/>
    <w:basedOn w:val="44"/>
    <w:link w:val="29"/>
    <w:qFormat/>
    <w:uiPriority w:val="99"/>
    <w:rPr>
      <w:color w:val="333333"/>
      <w:kern w:val="2"/>
      <w:sz w:val="18"/>
      <w:szCs w:val="18"/>
    </w:rPr>
  </w:style>
  <w:style w:type="character" w:customStyle="1" w:styleId="68">
    <w:name w:val="批注框文本 字符"/>
    <w:basedOn w:val="44"/>
    <w:link w:val="28"/>
    <w:qFormat/>
    <w:uiPriority w:val="0"/>
    <w:rPr>
      <w:color w:val="333333"/>
      <w:kern w:val="2"/>
      <w:sz w:val="18"/>
      <w:szCs w:val="18"/>
    </w:rPr>
  </w:style>
  <w:style w:type="character" w:customStyle="1" w:styleId="69">
    <w:name w:val="批注主题 字符"/>
    <w:basedOn w:val="62"/>
    <w:link w:val="40"/>
    <w:semiHidden/>
    <w:qFormat/>
    <w:uiPriority w:val="0"/>
    <w:rPr>
      <w:b/>
      <w:bCs/>
      <w:color w:val="333333"/>
      <w:kern w:val="2"/>
      <w:sz w:val="22"/>
      <w:szCs w:val="22"/>
    </w:rPr>
  </w:style>
  <w:style w:type="character" w:customStyle="1" w:styleId="70">
    <w:name w:val="文档结构图 字符"/>
    <w:basedOn w:val="44"/>
    <w:link w:val="16"/>
    <w:qFormat/>
    <w:uiPriority w:val="0"/>
    <w:rPr>
      <w:rFonts w:ascii="Times New Roman" w:hAnsi="Times New Roman" w:eastAsia="宋体" w:cs="Times New Roman"/>
      <w:kern w:val="2"/>
      <w:sz w:val="21"/>
      <w:shd w:val="clear" w:color="auto" w:fill="000080"/>
    </w:rPr>
  </w:style>
  <w:style w:type="character" w:customStyle="1" w:styleId="71">
    <w:name w:val="正文文本 3 字符"/>
    <w:basedOn w:val="44"/>
    <w:link w:val="18"/>
    <w:qFormat/>
    <w:uiPriority w:val="0"/>
    <w:rPr>
      <w:rFonts w:ascii="Times New Roman" w:hAnsi="Times New Roman" w:eastAsia="宋体" w:cs="Times New Roman"/>
      <w:kern w:val="2"/>
      <w:sz w:val="24"/>
    </w:rPr>
  </w:style>
  <w:style w:type="character" w:customStyle="1" w:styleId="72">
    <w:name w:val="正文文本 字符"/>
    <w:basedOn w:val="44"/>
    <w:link w:val="4"/>
    <w:qFormat/>
    <w:uiPriority w:val="99"/>
    <w:rPr>
      <w:rFonts w:ascii="Times New Roman" w:hAnsi="Times New Roman" w:eastAsia="宋体" w:cs="Times New Roman"/>
      <w:kern w:val="2"/>
      <w:sz w:val="21"/>
    </w:rPr>
  </w:style>
  <w:style w:type="character" w:customStyle="1" w:styleId="73">
    <w:name w:val="正文文本缩进 字符"/>
    <w:basedOn w:val="44"/>
    <w:link w:val="19"/>
    <w:qFormat/>
    <w:uiPriority w:val="0"/>
    <w:rPr>
      <w:rFonts w:ascii="宋体" w:hAnsi="宋体" w:eastAsia="宋体" w:cs="Times New Roman"/>
      <w:color w:val="000000"/>
      <w:kern w:val="2"/>
      <w:sz w:val="24"/>
    </w:rPr>
  </w:style>
  <w:style w:type="character" w:customStyle="1" w:styleId="74">
    <w:name w:val="纯文本 字符"/>
    <w:basedOn w:val="44"/>
    <w:link w:val="24"/>
    <w:qFormat/>
    <w:uiPriority w:val="0"/>
    <w:rPr>
      <w:rFonts w:ascii="宋体" w:hAnsi="Courier New" w:eastAsia="宋体" w:cs="Times New Roman"/>
      <w:kern w:val="2"/>
      <w:sz w:val="24"/>
    </w:rPr>
  </w:style>
  <w:style w:type="character" w:customStyle="1" w:styleId="75">
    <w:name w:val="日期 字符"/>
    <w:basedOn w:val="44"/>
    <w:link w:val="26"/>
    <w:semiHidden/>
    <w:qFormat/>
    <w:uiPriority w:val="99"/>
    <w:rPr>
      <w:rFonts w:ascii="Times New Roman" w:hAnsi="Times New Roman" w:eastAsia="宋体" w:cs="Times New Roman"/>
      <w:kern w:val="2"/>
      <w:sz w:val="21"/>
      <w:szCs w:val="21"/>
    </w:rPr>
  </w:style>
  <w:style w:type="character" w:customStyle="1" w:styleId="76">
    <w:name w:val="正文文本缩进 2 字符"/>
    <w:basedOn w:val="44"/>
    <w:link w:val="27"/>
    <w:qFormat/>
    <w:uiPriority w:val="0"/>
    <w:rPr>
      <w:rFonts w:ascii="宋体" w:hAnsi="宋体" w:eastAsia="宋体" w:cs="Times New Roman"/>
      <w:kern w:val="2"/>
      <w:sz w:val="24"/>
    </w:rPr>
  </w:style>
  <w:style w:type="character" w:customStyle="1" w:styleId="77">
    <w:name w:val="脚注文本 字符"/>
    <w:basedOn w:val="44"/>
    <w:link w:val="33"/>
    <w:qFormat/>
    <w:uiPriority w:val="0"/>
    <w:rPr>
      <w:rFonts w:ascii="Times New Roman" w:hAnsi="Times New Roman" w:eastAsia="宋体" w:cs="Times New Roman"/>
      <w:kern w:val="2"/>
      <w:sz w:val="18"/>
    </w:rPr>
  </w:style>
  <w:style w:type="character" w:customStyle="1" w:styleId="78">
    <w:name w:val="正文文本 2 字符"/>
    <w:basedOn w:val="44"/>
    <w:link w:val="37"/>
    <w:qFormat/>
    <w:uiPriority w:val="0"/>
    <w:rPr>
      <w:rFonts w:ascii="Times New Roman" w:hAnsi="Times New Roman" w:eastAsia="宋体" w:cs="Times New Roman"/>
      <w:kern w:val="2"/>
      <w:sz w:val="24"/>
    </w:rPr>
  </w:style>
  <w:style w:type="character" w:customStyle="1" w:styleId="79">
    <w:name w:val="正文文本首行缩进 字符"/>
    <w:basedOn w:val="72"/>
    <w:link w:val="3"/>
    <w:qFormat/>
    <w:uiPriority w:val="0"/>
    <w:rPr>
      <w:rFonts w:ascii="Times New Roman" w:hAnsi="Times New Roman" w:eastAsia="宋体" w:cs="Times New Roman"/>
      <w:kern w:val="2"/>
      <w:sz w:val="21"/>
    </w:rPr>
  </w:style>
  <w:style w:type="paragraph" w:customStyle="1" w:styleId="80">
    <w:name w:val="List Paragraph1"/>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character" w:customStyle="1" w:styleId="81">
    <w:name w:val="15"/>
    <w:basedOn w:val="44"/>
    <w:qFormat/>
    <w:uiPriority w:val="0"/>
    <w:rPr>
      <w:rFonts w:hint="default" w:ascii="Times New Roman" w:hAnsi="Times New Roman" w:eastAsia="宋体" w:cs="Times New Roman"/>
      <w:kern w:val="2"/>
      <w:sz w:val="28"/>
      <w:szCs w:val="28"/>
    </w:rPr>
  </w:style>
  <w:style w:type="character" w:customStyle="1" w:styleId="82">
    <w:name w:val="16"/>
    <w:basedOn w:val="44"/>
    <w:qFormat/>
    <w:uiPriority w:val="0"/>
    <w:rPr>
      <w:rFonts w:hint="default" w:ascii="Times New Roman" w:hAnsi="Times New Roman" w:cs="Times New Roman"/>
      <w:color w:val="0563C1"/>
      <w:u w:val="single"/>
    </w:rPr>
  </w:style>
  <w:style w:type="paragraph" w:customStyle="1" w:styleId="83">
    <w:name w:val="Default"/>
    <w:unhideWhenUsed/>
    <w:qFormat/>
    <w:uiPriority w:val="0"/>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84">
    <w:name w:val="列表段落1"/>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85">
    <w:name w:val="列出段落1"/>
    <w:basedOn w:val="1"/>
    <w:qFormat/>
    <w:uiPriority w:val="34"/>
    <w:pPr>
      <w:snapToGrid/>
      <w:spacing w:before="100" w:beforeAutospacing="1" w:after="100" w:afterAutospacing="1" w:line="240" w:lineRule="auto"/>
      <w:ind w:left="425" w:hanging="425"/>
      <w:jc w:val="both"/>
    </w:pPr>
    <w:rPr>
      <w:rFonts w:ascii="Times New Roman" w:hAnsi="Times New Roman" w:eastAsia="宋体" w:cs="Times New Roman"/>
      <w:color w:val="auto"/>
      <w:sz w:val="21"/>
      <w:szCs w:val="21"/>
    </w:rPr>
  </w:style>
  <w:style w:type="paragraph" w:customStyle="1" w:styleId="86">
    <w:name w:val="WPSOffice手动目录 1"/>
    <w:qFormat/>
    <w:uiPriority w:val="0"/>
    <w:rPr>
      <w:rFonts w:asciiTheme="minorHAnsi" w:hAnsiTheme="minorHAnsi" w:eastAsiaTheme="minorEastAsia" w:cstheme="minorBidi"/>
      <w:lang w:val="en-US" w:eastAsia="zh-CN" w:bidi="ar-SA"/>
    </w:rPr>
  </w:style>
  <w:style w:type="paragraph" w:customStyle="1" w:styleId="87">
    <w:name w:val="正文11"/>
    <w:qFormat/>
    <w:uiPriority w:val="0"/>
    <w:pPr>
      <w:widowControl w:val="0"/>
      <w:spacing w:line="360" w:lineRule="auto"/>
      <w:ind w:firstLine="200" w:firstLineChars="200"/>
    </w:pPr>
    <w:rPr>
      <w:rFonts w:asciiTheme="minorHAnsi" w:hAnsiTheme="minorHAnsi" w:eastAsiaTheme="minorEastAsia" w:cstheme="minorBidi"/>
      <w:sz w:val="24"/>
      <w:lang w:val="en-US" w:eastAsia="zh-CN" w:bidi="ar-SA"/>
    </w:rPr>
  </w:style>
  <w:style w:type="paragraph" w:customStyle="1" w:styleId="88">
    <w:name w:val="列出段落3"/>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89">
    <w:name w:val="列出段落2"/>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90">
    <w:name w:val="样式1"/>
    <w:basedOn w:val="1"/>
    <w:qFormat/>
    <w:uiPriority w:val="0"/>
    <w:pPr>
      <w:snapToGrid/>
      <w:spacing w:before="0" w:after="0" w:line="360" w:lineRule="auto"/>
      <w:jc w:val="both"/>
    </w:pPr>
    <w:rPr>
      <w:rFonts w:ascii="宋体" w:hAnsi="宋体" w:eastAsia="宋体" w:cs="宋体"/>
      <w:color w:val="000000"/>
      <w:sz w:val="21"/>
      <w:szCs w:val="21"/>
    </w:rPr>
  </w:style>
  <w:style w:type="paragraph" w:customStyle="1" w:styleId="91">
    <w:name w:val="表名称"/>
    <w:qFormat/>
    <w:uiPriority w:val="0"/>
    <w:pPr>
      <w:spacing w:before="120" w:after="120"/>
      <w:jc w:val="center"/>
    </w:pPr>
    <w:rPr>
      <w:rFonts w:ascii="Times New Roman" w:hAnsi="Times New Roman" w:eastAsia="宋体" w:cs="Times New Roman"/>
      <w:sz w:val="21"/>
      <w:szCs w:val="21"/>
      <w:lang w:val="en-US" w:eastAsia="zh-CN" w:bidi="ar-SA"/>
    </w:rPr>
  </w:style>
  <w:style w:type="character" w:customStyle="1" w:styleId="92">
    <w:name w:val="Char Char Char2"/>
    <w:qFormat/>
    <w:uiPriority w:val="0"/>
    <w:rPr>
      <w:rFonts w:eastAsia="宋体"/>
      <w:kern w:val="2"/>
      <w:sz w:val="28"/>
      <w:szCs w:val="24"/>
      <w:lang w:val="en-US" w:eastAsia="zh-CN" w:bidi="ar-SA"/>
    </w:rPr>
  </w:style>
  <w:style w:type="character" w:customStyle="1" w:styleId="93">
    <w:name w:val="font01"/>
    <w:basedOn w:val="44"/>
    <w:qFormat/>
    <w:uiPriority w:val="0"/>
    <w:rPr>
      <w:rFonts w:hint="eastAsia" w:ascii="宋体" w:hAnsi="宋体" w:eastAsia="宋体" w:cs="宋体"/>
      <w:color w:val="000000"/>
      <w:sz w:val="18"/>
      <w:szCs w:val="18"/>
      <w:u w:val="none"/>
    </w:rPr>
  </w:style>
  <w:style w:type="character" w:customStyle="1" w:styleId="94">
    <w:name w:val="font11"/>
    <w:basedOn w:val="44"/>
    <w:qFormat/>
    <w:uiPriority w:val="0"/>
    <w:rPr>
      <w:rFonts w:hint="eastAsia" w:ascii="宋体" w:hAnsi="宋体" w:eastAsia="宋体" w:cs="宋体"/>
      <w:color w:val="000000"/>
      <w:sz w:val="18"/>
      <w:szCs w:val="18"/>
      <w:u w:val="none"/>
    </w:rPr>
  </w:style>
  <w:style w:type="character" w:customStyle="1" w:styleId="95">
    <w:name w:val="font21"/>
    <w:basedOn w:val="44"/>
    <w:qFormat/>
    <w:uiPriority w:val="0"/>
    <w:rPr>
      <w:rFonts w:hint="eastAsia" w:ascii="宋体" w:hAnsi="宋体" w:eastAsia="宋体" w:cs="宋体"/>
      <w:color w:val="000000"/>
      <w:sz w:val="18"/>
      <w:szCs w:val="18"/>
      <w:u w:val="none"/>
    </w:rPr>
  </w:style>
  <w:style w:type="paragraph" w:customStyle="1" w:styleId="96">
    <w:name w:val="大标题"/>
    <w:basedOn w:val="1"/>
    <w:qFormat/>
    <w:uiPriority w:val="0"/>
    <w:pPr>
      <w:snapToGrid/>
      <w:spacing w:before="0" w:beforeLines="50" w:after="0" w:line="240" w:lineRule="auto"/>
      <w:ind w:firstLine="482"/>
      <w:jc w:val="center"/>
    </w:pPr>
    <w:rPr>
      <w:rFonts w:ascii="Arial" w:hAnsi="Arial" w:eastAsia="黑体" w:cs="宋体"/>
      <w:b/>
      <w:bCs/>
      <w:color w:val="auto"/>
      <w:sz w:val="36"/>
      <w:szCs w:val="36"/>
    </w:rPr>
  </w:style>
  <w:style w:type="paragraph" w:customStyle="1" w:styleId="97">
    <w:name w:val="1-图"/>
    <w:qFormat/>
    <w:uiPriority w:val="34"/>
    <w:pPr>
      <w:spacing w:before="100" w:beforeAutospacing="1" w:after="100" w:afterAutospacing="1"/>
      <w:ind w:left="425" w:hanging="425"/>
    </w:pPr>
    <w:rPr>
      <w:rFonts w:ascii="Times New Roman" w:hAnsi="Times New Roman" w:eastAsia="宋体" w:cs="Times New Roman"/>
      <w:kern w:val="2"/>
      <w:sz w:val="21"/>
      <w:szCs w:val="21"/>
      <w:lang w:val="en-US" w:eastAsia="zh-CN" w:bidi="ar-SA"/>
    </w:rPr>
  </w:style>
  <w:style w:type="paragraph" w:customStyle="1" w:styleId="98">
    <w:name w:val="1-正文"/>
    <w:basedOn w:val="97"/>
    <w:qFormat/>
    <w:uiPriority w:val="0"/>
    <w:pPr>
      <w:spacing w:before="0" w:beforeAutospacing="0" w:after="0" w:afterAutospacing="0" w:line="360" w:lineRule="auto"/>
      <w:ind w:left="0" w:firstLine="420" w:firstLineChars="200"/>
    </w:pPr>
  </w:style>
  <w:style w:type="paragraph" w:customStyle="1" w:styleId="99">
    <w:name w:val="1-表内容"/>
    <w:qFormat/>
    <w:uiPriority w:val="0"/>
    <w:pPr>
      <w:jc w:val="center"/>
    </w:pPr>
    <w:rPr>
      <w:rFonts w:ascii="Times New Roman" w:hAnsi="Times New Roman" w:eastAsia="宋体" w:cs="Times New Roman"/>
      <w:color w:val="000000"/>
      <w:sz w:val="21"/>
      <w:szCs w:val="24"/>
      <w:lang w:val="en-US" w:eastAsia="zh-CN" w:bidi="ar-SA"/>
    </w:rPr>
  </w:style>
  <w:style w:type="paragraph" w:customStyle="1" w:styleId="100">
    <w:name w:val="表格"/>
    <w:qFormat/>
    <w:uiPriority w:val="0"/>
    <w:pPr>
      <w:jc w:val="center"/>
    </w:pPr>
    <w:rPr>
      <w:rFonts w:ascii="等线" w:hAnsi="等线" w:eastAsia="黑体" w:cs="Times New Roman"/>
      <w:kern w:val="2"/>
      <w:sz w:val="21"/>
      <w:szCs w:val="24"/>
      <w:lang w:val="en-US" w:eastAsia="zh-CN" w:bidi="ar-SA"/>
    </w:rPr>
  </w:style>
  <w:style w:type="character" w:customStyle="1" w:styleId="101">
    <w:name w:val="font12"/>
    <w:basedOn w:val="44"/>
    <w:qFormat/>
    <w:uiPriority w:val="0"/>
    <w:rPr>
      <w:rFonts w:hint="default" w:ascii="Times New Roman" w:hAnsi="Times New Roman" w:cs="Times New Roman"/>
      <w:color w:val="000000"/>
      <w:sz w:val="18"/>
      <w:szCs w:val="18"/>
      <w:u w:val="none"/>
    </w:rPr>
  </w:style>
  <w:style w:type="character" w:customStyle="1" w:styleId="102">
    <w:name w:val="批注文字 字符"/>
    <w:basedOn w:val="44"/>
    <w:qFormat/>
    <w:uiPriority w:val="0"/>
    <w:rPr>
      <w:rFonts w:ascii="Times New Roman" w:hAnsi="Times New Roman"/>
      <w:kern w:val="2"/>
      <w:sz w:val="21"/>
    </w:rPr>
  </w:style>
  <w:style w:type="paragraph" w:customStyle="1" w:styleId="103">
    <w:name w:val="Char"/>
    <w:basedOn w:val="1"/>
    <w:qFormat/>
    <w:uiPriority w:val="0"/>
    <w:pPr>
      <w:snapToGrid/>
      <w:spacing w:before="0" w:after="0" w:line="240" w:lineRule="auto"/>
      <w:jc w:val="both"/>
    </w:pPr>
    <w:rPr>
      <w:rFonts w:ascii="Times New Roman" w:hAnsi="Times New Roman" w:eastAsia="宋体" w:cs="Times New Roman"/>
      <w:color w:val="auto"/>
      <w:sz w:val="30"/>
      <w:szCs w:val="24"/>
    </w:rPr>
  </w:style>
  <w:style w:type="paragraph" w:customStyle="1" w:styleId="104">
    <w:name w:val="标题 40"/>
    <w:basedOn w:val="7"/>
    <w:qFormat/>
    <w:uiPriority w:val="0"/>
    <w:rPr>
      <w:rFonts w:ascii="宋体" w:hAnsi="宋体"/>
    </w:rPr>
  </w:style>
  <w:style w:type="paragraph" w:customStyle="1" w:styleId="105">
    <w:name w:val="条文1"/>
    <w:basedOn w:val="1"/>
    <w:qFormat/>
    <w:uiPriority w:val="0"/>
    <w:pPr>
      <w:numPr>
        <w:ilvl w:val="0"/>
        <w:numId w:val="1"/>
      </w:numPr>
      <w:snapToGrid/>
      <w:spacing w:before="0" w:after="0" w:line="360" w:lineRule="auto"/>
      <w:jc w:val="both"/>
    </w:pPr>
    <w:rPr>
      <w:rFonts w:ascii="MS UI Gothic" w:hAnsi="MS UI Gothic" w:eastAsia="宋体" w:cs="Times New Roman"/>
      <w:color w:val="auto"/>
      <w:kern w:val="44"/>
      <w:sz w:val="24"/>
      <w:szCs w:val="20"/>
    </w:rPr>
  </w:style>
  <w:style w:type="paragraph" w:customStyle="1" w:styleId="106">
    <w:name w:val="样式 标题 2 + 宋体"/>
    <w:basedOn w:val="5"/>
    <w:qFormat/>
    <w:uiPriority w:val="0"/>
    <w:pPr>
      <w:tabs>
        <w:tab w:val="left" w:pos="0"/>
      </w:tabs>
      <w:snapToGrid/>
      <w:spacing w:before="100" w:beforeLines="50" w:beforeAutospacing="1" w:after="100" w:afterAutospacing="1"/>
      <w:jc w:val="both"/>
    </w:pPr>
    <w:rPr>
      <w:rFonts w:ascii="宋体" w:hAnsi="宋体" w:eastAsia="宋体" w:cs="Times New Roman"/>
      <w:bCs w:val="0"/>
      <w:color w:val="auto"/>
      <w:szCs w:val="20"/>
    </w:rPr>
  </w:style>
  <w:style w:type="paragraph" w:customStyle="1" w:styleId="107">
    <w:name w:val="标题4"/>
    <w:basedOn w:val="7"/>
    <w:qFormat/>
    <w:uiPriority w:val="0"/>
    <w:rPr>
      <w:rFonts w:ascii="宋体" w:hAnsi="宋体"/>
    </w:rPr>
  </w:style>
  <w:style w:type="paragraph" w:customStyle="1" w:styleId="108">
    <w:name w:val="2"/>
    <w:basedOn w:val="1"/>
    <w:next w:val="109"/>
    <w:qFormat/>
    <w:uiPriority w:val="0"/>
    <w:pPr>
      <w:snapToGrid/>
      <w:spacing w:before="0" w:after="0" w:line="240" w:lineRule="auto"/>
      <w:jc w:val="both"/>
    </w:pPr>
    <w:rPr>
      <w:rFonts w:ascii="Times New Roman" w:hAnsi="Courier New" w:eastAsia="宋体" w:cs="Times New Roman"/>
      <w:color w:val="auto"/>
      <w:sz w:val="21"/>
      <w:szCs w:val="20"/>
    </w:rPr>
  </w:style>
  <w:style w:type="paragraph" w:customStyle="1" w:styleId="109">
    <w:name w:val="纯文本1"/>
    <w:basedOn w:val="1"/>
    <w:qFormat/>
    <w:uiPriority w:val="0"/>
    <w:pPr>
      <w:snapToGrid/>
      <w:spacing w:before="0" w:after="0" w:line="360" w:lineRule="auto"/>
      <w:jc w:val="both"/>
    </w:pPr>
    <w:rPr>
      <w:rFonts w:ascii="宋体" w:hAnsi="Courier New" w:eastAsia="宋体" w:cs="Times New Roman"/>
      <w:color w:val="auto"/>
      <w:sz w:val="24"/>
      <w:szCs w:val="20"/>
    </w:rPr>
  </w:style>
  <w:style w:type="paragraph" w:customStyle="1" w:styleId="110">
    <w:name w:val="标题5"/>
    <w:basedOn w:val="8"/>
    <w:qFormat/>
    <w:uiPriority w:val="0"/>
    <w:pPr>
      <w:spacing w:line="360" w:lineRule="auto"/>
    </w:pPr>
  </w:style>
  <w:style w:type="paragraph" w:customStyle="1" w:styleId="111">
    <w:name w:val="默认段落字体 Para Char"/>
    <w:basedOn w:val="1"/>
    <w:qFormat/>
    <w:uiPriority w:val="0"/>
    <w:pPr>
      <w:snapToGrid/>
      <w:spacing w:before="0" w:after="0" w:line="240" w:lineRule="auto"/>
      <w:jc w:val="both"/>
    </w:pPr>
    <w:rPr>
      <w:rFonts w:ascii="Times New Roman" w:hAnsi="Times New Roman" w:eastAsia="宋体" w:cs="Times New Roman"/>
      <w:color w:val="auto"/>
      <w:sz w:val="21"/>
      <w:szCs w:val="20"/>
    </w:rPr>
  </w:style>
  <w:style w:type="paragraph" w:customStyle="1" w:styleId="112">
    <w:name w:val="Char1"/>
    <w:basedOn w:val="1"/>
    <w:qFormat/>
    <w:uiPriority w:val="0"/>
    <w:pPr>
      <w:snapToGrid/>
      <w:spacing w:before="0" w:after="0" w:line="240" w:lineRule="auto"/>
      <w:jc w:val="both"/>
    </w:pPr>
    <w:rPr>
      <w:rFonts w:ascii="Times New Roman" w:hAnsi="Times New Roman" w:eastAsia="宋体" w:cs="Times New Roman"/>
      <w:color w:val="auto"/>
      <w:sz w:val="30"/>
      <w:szCs w:val="24"/>
    </w:rPr>
  </w:style>
  <w:style w:type="paragraph" w:customStyle="1" w:styleId="113">
    <w:name w:val="Char Char Char Char Char Char1 Char"/>
    <w:basedOn w:val="1"/>
    <w:qFormat/>
    <w:uiPriority w:val="0"/>
    <w:pPr>
      <w:widowControl/>
      <w:snapToGrid/>
      <w:spacing w:before="0" w:after="160" w:line="240" w:lineRule="exact"/>
    </w:pPr>
    <w:rPr>
      <w:rFonts w:ascii="Verdana" w:hAnsi="Verdana" w:eastAsia="仿宋_GB2312" w:cs="Times New Roman"/>
      <w:color w:val="auto"/>
      <w:kern w:val="0"/>
      <w:sz w:val="24"/>
      <w:szCs w:val="20"/>
      <w:lang w:eastAsia="en-US"/>
    </w:rPr>
  </w:style>
  <w:style w:type="character" w:customStyle="1" w:styleId="114">
    <w:name w:val="lefter2"/>
    <w:basedOn w:val="44"/>
    <w:qFormat/>
    <w:uiPriority w:val="0"/>
  </w:style>
  <w:style w:type="paragraph" w:customStyle="1" w:styleId="115">
    <w:name w:val="CM1"/>
    <w:basedOn w:val="1"/>
    <w:next w:val="1"/>
    <w:qFormat/>
    <w:uiPriority w:val="99"/>
    <w:pPr>
      <w:autoSpaceDE w:val="0"/>
      <w:autoSpaceDN w:val="0"/>
      <w:adjustRightInd w:val="0"/>
      <w:snapToGrid/>
      <w:spacing w:before="0" w:after="0" w:line="240" w:lineRule="auto"/>
    </w:pPr>
    <w:rPr>
      <w:rFonts w:ascii="宋体" w:eastAsia="宋体"/>
      <w:color w:val="auto"/>
      <w:kern w:val="0"/>
      <w:sz w:val="24"/>
      <w:szCs w:val="24"/>
    </w:rPr>
  </w:style>
  <w:style w:type="paragraph" w:customStyle="1" w:styleId="116">
    <w:name w:val="CM59"/>
    <w:basedOn w:val="1"/>
    <w:next w:val="1"/>
    <w:qFormat/>
    <w:uiPriority w:val="99"/>
    <w:pPr>
      <w:autoSpaceDE w:val="0"/>
      <w:autoSpaceDN w:val="0"/>
      <w:adjustRightInd w:val="0"/>
      <w:snapToGrid/>
      <w:spacing w:before="0" w:after="0" w:line="240" w:lineRule="auto"/>
    </w:pPr>
    <w:rPr>
      <w:rFonts w:ascii="宋体" w:eastAsia="宋体"/>
      <w:color w:val="auto"/>
      <w:kern w:val="0"/>
      <w:sz w:val="24"/>
      <w:szCs w:val="24"/>
    </w:rPr>
  </w:style>
  <w:style w:type="paragraph" w:customStyle="1" w:styleId="117">
    <w:name w:val="CM2"/>
    <w:basedOn w:val="1"/>
    <w:next w:val="1"/>
    <w:qFormat/>
    <w:uiPriority w:val="99"/>
    <w:pPr>
      <w:autoSpaceDE w:val="0"/>
      <w:autoSpaceDN w:val="0"/>
      <w:adjustRightInd w:val="0"/>
      <w:snapToGrid/>
      <w:spacing w:before="0" w:after="0" w:line="320" w:lineRule="atLeast"/>
    </w:pPr>
    <w:rPr>
      <w:rFonts w:ascii="宋体" w:eastAsia="宋体"/>
      <w:color w:val="auto"/>
      <w:kern w:val="0"/>
      <w:sz w:val="24"/>
      <w:szCs w:val="24"/>
    </w:rPr>
  </w:style>
  <w:style w:type="paragraph" w:customStyle="1" w:styleId="118">
    <w:name w:val="CM62"/>
    <w:basedOn w:val="83"/>
    <w:next w:val="83"/>
    <w:qFormat/>
    <w:uiPriority w:val="99"/>
    <w:rPr>
      <w:rFonts w:hint="default" w:hAnsiTheme="minorHAnsi" w:cstheme="minorBidi"/>
      <w:color w:val="auto"/>
      <w:szCs w:val="24"/>
    </w:rPr>
  </w:style>
  <w:style w:type="paragraph" w:customStyle="1" w:styleId="119">
    <w:name w:val="CM63"/>
    <w:basedOn w:val="83"/>
    <w:next w:val="83"/>
    <w:qFormat/>
    <w:uiPriority w:val="99"/>
    <w:rPr>
      <w:rFonts w:hint="default" w:hAnsiTheme="minorHAnsi" w:cstheme="minorBidi"/>
      <w:color w:val="auto"/>
      <w:szCs w:val="24"/>
    </w:rPr>
  </w:style>
  <w:style w:type="paragraph" w:customStyle="1" w:styleId="120">
    <w:name w:val="CM12"/>
    <w:basedOn w:val="83"/>
    <w:next w:val="83"/>
    <w:qFormat/>
    <w:uiPriority w:val="99"/>
    <w:pPr>
      <w:spacing w:line="318" w:lineRule="atLeast"/>
    </w:pPr>
    <w:rPr>
      <w:rFonts w:hint="default" w:hAnsiTheme="minorHAnsi" w:cstheme="minorBidi"/>
      <w:color w:val="auto"/>
      <w:szCs w:val="24"/>
    </w:rPr>
  </w:style>
  <w:style w:type="paragraph" w:customStyle="1" w:styleId="121">
    <w:name w:val="CM11"/>
    <w:basedOn w:val="83"/>
    <w:next w:val="83"/>
    <w:qFormat/>
    <w:uiPriority w:val="99"/>
    <w:pPr>
      <w:spacing w:line="320" w:lineRule="atLeast"/>
    </w:pPr>
    <w:rPr>
      <w:rFonts w:hint="default" w:hAnsiTheme="minorHAnsi" w:cstheme="minorBidi"/>
      <w:color w:val="auto"/>
      <w:szCs w:val="24"/>
    </w:rPr>
  </w:style>
  <w:style w:type="paragraph" w:customStyle="1" w:styleId="122">
    <w:name w:val="CM20"/>
    <w:basedOn w:val="83"/>
    <w:next w:val="83"/>
    <w:qFormat/>
    <w:uiPriority w:val="99"/>
    <w:pPr>
      <w:spacing w:line="318" w:lineRule="atLeast"/>
    </w:pPr>
    <w:rPr>
      <w:rFonts w:hint="default" w:hAnsiTheme="minorHAnsi" w:cstheme="minorBidi"/>
      <w:color w:val="auto"/>
      <w:szCs w:val="24"/>
    </w:rPr>
  </w:style>
  <w:style w:type="paragraph" w:customStyle="1" w:styleId="123">
    <w:name w:val="CM3"/>
    <w:basedOn w:val="83"/>
    <w:next w:val="83"/>
    <w:qFormat/>
    <w:uiPriority w:val="99"/>
    <w:pPr>
      <w:spacing w:line="318" w:lineRule="atLeast"/>
    </w:pPr>
    <w:rPr>
      <w:rFonts w:hint="default" w:hAnsiTheme="minorHAnsi" w:cstheme="minorBidi"/>
      <w:color w:val="auto"/>
      <w:szCs w:val="24"/>
    </w:rPr>
  </w:style>
  <w:style w:type="paragraph" w:customStyle="1" w:styleId="124">
    <w:name w:val="CM21"/>
    <w:basedOn w:val="83"/>
    <w:next w:val="83"/>
    <w:qFormat/>
    <w:uiPriority w:val="99"/>
    <w:pPr>
      <w:spacing w:line="320" w:lineRule="atLeast"/>
    </w:pPr>
    <w:rPr>
      <w:rFonts w:hint="default" w:hAnsiTheme="minorHAnsi" w:cstheme="minorBidi"/>
      <w:color w:val="auto"/>
      <w:szCs w:val="24"/>
    </w:rPr>
  </w:style>
  <w:style w:type="paragraph" w:customStyle="1" w:styleId="125">
    <w:name w:val="CM22"/>
    <w:basedOn w:val="83"/>
    <w:next w:val="83"/>
    <w:qFormat/>
    <w:uiPriority w:val="99"/>
    <w:pPr>
      <w:spacing w:line="318" w:lineRule="atLeast"/>
    </w:pPr>
    <w:rPr>
      <w:rFonts w:hint="default" w:hAnsiTheme="minorHAnsi" w:cstheme="minorBidi"/>
      <w:color w:val="auto"/>
      <w:szCs w:val="24"/>
    </w:rPr>
  </w:style>
  <w:style w:type="paragraph" w:customStyle="1" w:styleId="126">
    <w:name w:val="CM65"/>
    <w:basedOn w:val="83"/>
    <w:next w:val="83"/>
    <w:qFormat/>
    <w:uiPriority w:val="99"/>
    <w:rPr>
      <w:rFonts w:hint="default" w:hAnsiTheme="minorHAnsi" w:cstheme="minorBidi"/>
      <w:color w:val="auto"/>
      <w:szCs w:val="24"/>
    </w:rPr>
  </w:style>
  <w:style w:type="paragraph" w:customStyle="1" w:styleId="127">
    <w:name w:val="CM19"/>
    <w:basedOn w:val="83"/>
    <w:next w:val="83"/>
    <w:qFormat/>
    <w:uiPriority w:val="99"/>
    <w:pPr>
      <w:spacing w:line="318" w:lineRule="atLeast"/>
    </w:pPr>
    <w:rPr>
      <w:rFonts w:hint="default" w:hAnsiTheme="minorHAnsi" w:cstheme="minorBidi"/>
      <w:color w:val="auto"/>
      <w:szCs w:val="24"/>
    </w:rPr>
  </w:style>
  <w:style w:type="paragraph" w:customStyle="1" w:styleId="128">
    <w:name w:val="CM26"/>
    <w:basedOn w:val="83"/>
    <w:next w:val="83"/>
    <w:qFormat/>
    <w:uiPriority w:val="99"/>
    <w:pPr>
      <w:spacing w:line="316" w:lineRule="atLeast"/>
    </w:pPr>
    <w:rPr>
      <w:rFonts w:hint="default" w:hAnsiTheme="minorHAnsi" w:cstheme="minorBidi"/>
      <w:color w:val="auto"/>
      <w:szCs w:val="24"/>
    </w:rPr>
  </w:style>
  <w:style w:type="paragraph" w:customStyle="1" w:styleId="129">
    <w:name w:val="CM27"/>
    <w:basedOn w:val="83"/>
    <w:next w:val="83"/>
    <w:qFormat/>
    <w:uiPriority w:val="99"/>
    <w:pPr>
      <w:spacing w:line="320" w:lineRule="atLeast"/>
    </w:pPr>
    <w:rPr>
      <w:rFonts w:hint="default" w:hAnsiTheme="minorHAnsi" w:cstheme="minorBidi"/>
      <w:color w:val="auto"/>
      <w:szCs w:val="24"/>
    </w:rPr>
  </w:style>
  <w:style w:type="paragraph" w:customStyle="1" w:styleId="130">
    <w:name w:val="CM16"/>
    <w:basedOn w:val="83"/>
    <w:next w:val="83"/>
    <w:qFormat/>
    <w:uiPriority w:val="99"/>
    <w:pPr>
      <w:spacing w:line="316" w:lineRule="atLeast"/>
    </w:pPr>
    <w:rPr>
      <w:rFonts w:hint="default" w:hAnsiTheme="minorHAnsi" w:cstheme="minorBidi"/>
      <w:color w:val="auto"/>
      <w:szCs w:val="24"/>
    </w:rPr>
  </w:style>
  <w:style w:type="paragraph" w:customStyle="1" w:styleId="131">
    <w:name w:val="CM60"/>
    <w:basedOn w:val="83"/>
    <w:next w:val="83"/>
    <w:qFormat/>
    <w:uiPriority w:val="99"/>
    <w:rPr>
      <w:rFonts w:hint="default" w:hAnsiTheme="minorHAnsi" w:cstheme="minorBidi"/>
      <w:color w:val="auto"/>
      <w:szCs w:val="24"/>
    </w:rPr>
  </w:style>
  <w:style w:type="paragraph" w:customStyle="1" w:styleId="132">
    <w:name w:val="CM10"/>
    <w:basedOn w:val="83"/>
    <w:next w:val="83"/>
    <w:qFormat/>
    <w:uiPriority w:val="99"/>
    <w:pPr>
      <w:spacing w:line="320" w:lineRule="atLeast"/>
    </w:pPr>
    <w:rPr>
      <w:rFonts w:hint="default" w:hAnsiTheme="minorHAnsi" w:cstheme="minorBidi"/>
      <w:color w:val="auto"/>
      <w:szCs w:val="24"/>
    </w:rPr>
  </w:style>
  <w:style w:type="paragraph" w:customStyle="1" w:styleId="133">
    <w:name w:val="CM13"/>
    <w:basedOn w:val="83"/>
    <w:next w:val="83"/>
    <w:qFormat/>
    <w:uiPriority w:val="99"/>
    <w:pPr>
      <w:spacing w:line="320" w:lineRule="atLeast"/>
    </w:pPr>
    <w:rPr>
      <w:rFonts w:hint="default" w:hAnsiTheme="minorHAnsi" w:cstheme="minorBidi"/>
      <w:color w:val="auto"/>
      <w:szCs w:val="24"/>
    </w:rPr>
  </w:style>
  <w:style w:type="paragraph" w:customStyle="1" w:styleId="134">
    <w:name w:val="CM64"/>
    <w:basedOn w:val="83"/>
    <w:next w:val="83"/>
    <w:qFormat/>
    <w:uiPriority w:val="99"/>
    <w:rPr>
      <w:rFonts w:hint="default" w:hAnsiTheme="minorHAnsi" w:cstheme="minorBidi"/>
      <w:color w:val="auto"/>
      <w:szCs w:val="24"/>
    </w:rPr>
  </w:style>
  <w:style w:type="paragraph" w:customStyle="1" w:styleId="135">
    <w:name w:val="CM31"/>
    <w:basedOn w:val="83"/>
    <w:next w:val="83"/>
    <w:qFormat/>
    <w:uiPriority w:val="99"/>
    <w:pPr>
      <w:spacing w:line="318" w:lineRule="atLeast"/>
    </w:pPr>
    <w:rPr>
      <w:rFonts w:hint="default" w:hAnsiTheme="minorHAnsi" w:cstheme="minorBidi"/>
      <w:color w:val="auto"/>
      <w:szCs w:val="24"/>
    </w:rPr>
  </w:style>
  <w:style w:type="paragraph" w:customStyle="1" w:styleId="136">
    <w:name w:val="CM30"/>
    <w:basedOn w:val="83"/>
    <w:next w:val="83"/>
    <w:qFormat/>
    <w:uiPriority w:val="99"/>
    <w:pPr>
      <w:spacing w:line="320" w:lineRule="atLeast"/>
    </w:pPr>
    <w:rPr>
      <w:rFonts w:hint="default" w:hAnsiTheme="minorHAnsi" w:cstheme="minorBidi"/>
      <w:color w:val="auto"/>
      <w:szCs w:val="24"/>
    </w:rPr>
  </w:style>
  <w:style w:type="paragraph" w:customStyle="1" w:styleId="137">
    <w:name w:val="CM32"/>
    <w:basedOn w:val="83"/>
    <w:next w:val="83"/>
    <w:qFormat/>
    <w:uiPriority w:val="99"/>
    <w:pPr>
      <w:spacing w:line="320" w:lineRule="atLeast"/>
    </w:pPr>
    <w:rPr>
      <w:rFonts w:hint="default" w:hAnsiTheme="minorHAnsi" w:cstheme="minorBidi"/>
      <w:color w:val="auto"/>
      <w:szCs w:val="24"/>
    </w:rPr>
  </w:style>
  <w:style w:type="paragraph" w:customStyle="1" w:styleId="138">
    <w:name w:val="CM41"/>
    <w:basedOn w:val="83"/>
    <w:next w:val="83"/>
    <w:qFormat/>
    <w:uiPriority w:val="99"/>
    <w:pPr>
      <w:spacing w:line="313" w:lineRule="atLeast"/>
    </w:pPr>
    <w:rPr>
      <w:rFonts w:hint="default" w:hAnsiTheme="minorHAnsi" w:cstheme="minorBidi"/>
      <w:color w:val="auto"/>
      <w:szCs w:val="24"/>
    </w:rPr>
  </w:style>
  <w:style w:type="paragraph" w:customStyle="1" w:styleId="139">
    <w:name w:val="CM42"/>
    <w:basedOn w:val="83"/>
    <w:next w:val="83"/>
    <w:qFormat/>
    <w:uiPriority w:val="99"/>
    <w:pPr>
      <w:spacing w:line="316" w:lineRule="atLeast"/>
    </w:pPr>
    <w:rPr>
      <w:rFonts w:hint="default" w:hAnsiTheme="minorHAnsi" w:cstheme="minorBidi"/>
      <w:color w:val="auto"/>
      <w:szCs w:val="24"/>
    </w:rPr>
  </w:style>
  <w:style w:type="paragraph" w:customStyle="1" w:styleId="140">
    <w:name w:val="CM43"/>
    <w:basedOn w:val="83"/>
    <w:next w:val="83"/>
    <w:qFormat/>
    <w:uiPriority w:val="99"/>
    <w:pPr>
      <w:spacing w:line="313" w:lineRule="atLeast"/>
    </w:pPr>
    <w:rPr>
      <w:rFonts w:hint="default" w:hAnsiTheme="minorHAnsi" w:cstheme="minorBidi"/>
      <w:color w:val="auto"/>
      <w:szCs w:val="24"/>
    </w:rPr>
  </w:style>
  <w:style w:type="paragraph" w:customStyle="1" w:styleId="141">
    <w:name w:val="CM44"/>
    <w:basedOn w:val="83"/>
    <w:next w:val="83"/>
    <w:qFormat/>
    <w:uiPriority w:val="99"/>
    <w:pPr>
      <w:spacing w:line="313" w:lineRule="atLeast"/>
    </w:pPr>
    <w:rPr>
      <w:rFonts w:hint="default" w:hAnsiTheme="minorHAnsi" w:cstheme="minorBidi"/>
      <w:color w:val="auto"/>
      <w:szCs w:val="24"/>
    </w:rPr>
  </w:style>
  <w:style w:type="paragraph" w:customStyle="1" w:styleId="142">
    <w:name w:val="CM39"/>
    <w:basedOn w:val="83"/>
    <w:next w:val="83"/>
    <w:qFormat/>
    <w:uiPriority w:val="99"/>
    <w:pPr>
      <w:spacing w:line="316" w:lineRule="atLeast"/>
    </w:pPr>
    <w:rPr>
      <w:rFonts w:hint="default" w:hAnsiTheme="minorHAnsi" w:cstheme="minorBidi"/>
      <w:color w:val="auto"/>
      <w:szCs w:val="24"/>
    </w:rPr>
  </w:style>
  <w:style w:type="paragraph" w:customStyle="1" w:styleId="143">
    <w:name w:val="CM61"/>
    <w:basedOn w:val="83"/>
    <w:next w:val="83"/>
    <w:qFormat/>
    <w:uiPriority w:val="99"/>
    <w:rPr>
      <w:rFonts w:hint="default" w:hAnsiTheme="minorHAnsi" w:cstheme="minorBidi"/>
      <w:color w:val="auto"/>
      <w:szCs w:val="24"/>
    </w:rPr>
  </w:style>
  <w:style w:type="paragraph" w:customStyle="1" w:styleId="144">
    <w:name w:val="CM29"/>
    <w:basedOn w:val="83"/>
    <w:next w:val="83"/>
    <w:qFormat/>
    <w:uiPriority w:val="99"/>
    <w:pPr>
      <w:spacing w:line="318" w:lineRule="atLeast"/>
    </w:pPr>
    <w:rPr>
      <w:rFonts w:hint="default" w:hAnsiTheme="minorHAnsi" w:cstheme="minorBidi"/>
      <w:color w:val="auto"/>
      <w:szCs w:val="24"/>
    </w:rPr>
  </w:style>
  <w:style w:type="paragraph" w:customStyle="1" w:styleId="145">
    <w:name w:val="CM4"/>
    <w:basedOn w:val="83"/>
    <w:next w:val="83"/>
    <w:qFormat/>
    <w:uiPriority w:val="99"/>
    <w:pPr>
      <w:spacing w:line="318" w:lineRule="atLeast"/>
    </w:pPr>
    <w:rPr>
      <w:rFonts w:hint="default" w:hAnsiTheme="minorHAnsi" w:cstheme="minorBidi"/>
      <w:color w:val="auto"/>
      <w:szCs w:val="24"/>
    </w:rPr>
  </w:style>
  <w:style w:type="paragraph" w:customStyle="1" w:styleId="146">
    <w:name w:val="投标正文"/>
    <w:basedOn w:val="1"/>
    <w:link w:val="147"/>
    <w:qFormat/>
    <w:uiPriority w:val="0"/>
    <w:pPr>
      <w:snapToGrid/>
      <w:spacing w:before="0" w:after="0" w:line="360" w:lineRule="auto"/>
      <w:ind w:firstLine="200" w:firstLineChars="200"/>
      <w:jc w:val="both"/>
    </w:pPr>
    <w:rPr>
      <w:rFonts w:ascii="Times New Roman" w:hAnsi="Times New Roman" w:eastAsia="宋体" w:cs="Times New Roman"/>
      <w:color w:val="auto"/>
      <w:sz w:val="24"/>
      <w:szCs w:val="24"/>
    </w:rPr>
  </w:style>
  <w:style w:type="character" w:customStyle="1" w:styleId="147">
    <w:name w:val="投标正文 Char"/>
    <w:basedOn w:val="44"/>
    <w:link w:val="146"/>
    <w:qFormat/>
    <w:uiPriority w:val="0"/>
    <w:rPr>
      <w:rFonts w:ascii="Times New Roman" w:hAnsi="Times New Roman" w:eastAsia="宋体" w:cs="Times New Roman"/>
      <w:kern w:val="2"/>
      <w:sz w:val="24"/>
      <w:szCs w:val="24"/>
    </w:rPr>
  </w:style>
  <w:style w:type="paragraph" w:customStyle="1" w:styleId="148">
    <w:name w:val="Normal_2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49">
    <w:name w:val="Table Paragraph"/>
    <w:basedOn w:val="1"/>
    <w:qFormat/>
    <w:uiPriority w:val="1"/>
    <w:pPr>
      <w:autoSpaceDE w:val="0"/>
      <w:autoSpaceDN w:val="0"/>
      <w:snapToGrid/>
      <w:spacing w:before="16" w:after="0" w:line="240" w:lineRule="auto"/>
      <w:ind w:left="95"/>
      <w:jc w:val="center"/>
    </w:pPr>
    <w:rPr>
      <w:rFonts w:ascii="仿宋_GB2312" w:hAnsi="仿宋_GB2312" w:eastAsia="仿宋_GB2312" w:cs="仿宋_GB2312"/>
      <w:color w:val="auto"/>
      <w:kern w:val="0"/>
      <w:lang w:eastAsia="en-US"/>
    </w:rPr>
  </w:style>
  <w:style w:type="paragraph" w:customStyle="1" w:styleId="150">
    <w:name w:val="A正文"/>
    <w:basedOn w:val="1"/>
    <w:link w:val="151"/>
    <w:qFormat/>
    <w:uiPriority w:val="0"/>
    <w:pPr>
      <w:snapToGrid/>
      <w:spacing w:before="0" w:after="0" w:line="360" w:lineRule="auto"/>
      <w:ind w:firstLine="200" w:firstLineChars="200"/>
      <w:jc w:val="both"/>
    </w:pPr>
    <w:rPr>
      <w:rFonts w:ascii="Times New Roman" w:hAnsi="Times New Roman" w:eastAsia="宋体" w:cs="Times New Roman"/>
      <w:color w:val="auto"/>
      <w:sz w:val="24"/>
      <w:szCs w:val="24"/>
      <w:lang w:val="zh-CN"/>
    </w:rPr>
  </w:style>
  <w:style w:type="character" w:customStyle="1" w:styleId="151">
    <w:name w:val="A正文 Char Char"/>
    <w:link w:val="150"/>
    <w:qFormat/>
    <w:uiPriority w:val="0"/>
    <w:rPr>
      <w:rFonts w:ascii="Times New Roman" w:hAnsi="Times New Roman" w:eastAsia="宋体" w:cs="Times New Roman"/>
      <w:kern w:val="2"/>
      <w:sz w:val="24"/>
      <w:szCs w:val="24"/>
      <w:lang w:val="zh-CN"/>
    </w:rPr>
  </w:style>
  <w:style w:type="character" w:customStyle="1" w:styleId="152">
    <w:name w:val="标题 字符"/>
    <w:basedOn w:val="44"/>
    <w:link w:val="39"/>
    <w:qFormat/>
    <w:uiPriority w:val="9"/>
    <w:rPr>
      <w:b/>
      <w:bCs/>
      <w:color w:val="1A1A1A"/>
      <w:kern w:val="2"/>
      <w:sz w:val="48"/>
      <w:szCs w:val="48"/>
    </w:rPr>
  </w:style>
  <w:style w:type="character" w:customStyle="1" w:styleId="153">
    <w:name w:val="正文文本首行缩进 2 字符"/>
    <w:basedOn w:val="73"/>
    <w:link w:val="41"/>
    <w:qFormat/>
    <w:uiPriority w:val="0"/>
    <w:rPr>
      <w:rFonts w:ascii="Times New Roman" w:hAnsi="宋体" w:eastAsia="宋体" w:cs="Times New Roman"/>
      <w:color w:val="000000"/>
      <w:kern w:val="2"/>
      <w:sz w:val="24"/>
      <w:szCs w:val="24"/>
    </w:rPr>
  </w:style>
  <w:style w:type="table" w:customStyle="1" w:styleId="154">
    <w:name w:val="网格型1"/>
    <w:basedOn w:val="42"/>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5">
    <w:name w:val="修订1"/>
    <w:hidden/>
    <w:semiHidden/>
    <w:qFormat/>
    <w:uiPriority w:val="99"/>
    <w:rPr>
      <w:rFonts w:asciiTheme="minorHAnsi" w:hAnsiTheme="minorHAnsi" w:eastAsiaTheme="minorEastAsia" w:cstheme="minorBidi"/>
      <w:color w:val="333333"/>
      <w:kern w:val="2"/>
      <w:sz w:val="22"/>
      <w:szCs w:val="22"/>
      <w:lang w:val="en-US" w:eastAsia="zh-CN" w:bidi="ar-SA"/>
    </w:rPr>
  </w:style>
  <w:style w:type="paragraph" w:customStyle="1" w:styleId="156">
    <w:name w:val="修订2"/>
    <w:hidden/>
    <w:semiHidden/>
    <w:qFormat/>
    <w:uiPriority w:val="99"/>
    <w:rPr>
      <w:rFonts w:asciiTheme="minorHAnsi" w:hAnsiTheme="minorHAnsi" w:eastAsiaTheme="minorEastAsia" w:cstheme="minorBidi"/>
      <w:color w:val="333333"/>
      <w:kern w:val="2"/>
      <w:sz w:val="22"/>
      <w:szCs w:val="22"/>
      <w:lang w:val="en-US" w:eastAsia="zh-CN" w:bidi="ar-SA"/>
    </w:rPr>
  </w:style>
  <w:style w:type="character" w:customStyle="1" w:styleId="157">
    <w:name w:val="标题 1 字符1"/>
    <w:basedOn w:val="44"/>
    <w:link w:val="2"/>
    <w:qFormat/>
    <w:uiPriority w:val="0"/>
    <w:rPr>
      <w:rFonts w:eastAsia="仿宋_GB2312"/>
      <w:b/>
      <w:bCs/>
      <w:color w:val="1A1A1A"/>
      <w:kern w:val="2"/>
      <w:sz w:val="28"/>
      <w:szCs w:val="36"/>
    </w:rPr>
  </w:style>
  <w:style w:type="paragraph" w:customStyle="1" w:styleId="158">
    <w:name w:val="正题"/>
    <w:basedOn w:val="1"/>
    <w:next w:val="1"/>
    <w:qFormat/>
    <w:uiPriority w:val="0"/>
    <w:pPr>
      <w:topLinePunct/>
      <w:adjustRightInd w:val="0"/>
      <w:spacing w:line="360" w:lineRule="auto"/>
      <w:jc w:val="center"/>
    </w:pPr>
    <w:rPr>
      <w:rFonts w:eastAsia="黑体"/>
      <w:b/>
      <w:spacing w:val="4"/>
      <w:kern w:val="0"/>
      <w:sz w:val="36"/>
      <w:szCs w:val="36"/>
      <w:lang w:val="zh-CN"/>
    </w:rPr>
  </w:style>
  <w:style w:type="character" w:customStyle="1" w:styleId="159">
    <w:name w:val="文本块 字符"/>
    <w:link w:val="21"/>
    <w:qFormat/>
    <w:uiPriority w:val="0"/>
    <w:rPr>
      <w:rFonts w:ascii="宋体" w:hAnsi="宋体" w:cs="宋体"/>
      <w:sz w:val="21"/>
    </w:rPr>
  </w:style>
  <w:style w:type="paragraph" w:customStyle="1" w:styleId="160">
    <w:name w:val="修订3"/>
    <w:hidden/>
    <w:unhideWhenUsed/>
    <w:qFormat/>
    <w:uiPriority w:val="99"/>
    <w:rPr>
      <w:rFonts w:asciiTheme="minorHAnsi" w:hAnsiTheme="minorHAnsi" w:eastAsiaTheme="minorEastAsia" w:cstheme="minorBidi"/>
      <w:color w:val="333333"/>
      <w:kern w:val="2"/>
      <w:sz w:val="22"/>
      <w:szCs w:val="22"/>
      <w:lang w:val="en-US" w:eastAsia="zh-CN" w:bidi="ar-SA"/>
    </w:rPr>
  </w:style>
  <w:style w:type="character" w:customStyle="1" w:styleId="161">
    <w:name w:val="style51"/>
    <w:basedOn w:val="44"/>
    <w:qFormat/>
    <w:uiPriority w:val="0"/>
    <w:rPr>
      <w:b/>
      <w:bCs/>
      <w:sz w:val="24"/>
      <w:szCs w:val="24"/>
    </w:rPr>
  </w:style>
  <w:style w:type="paragraph" w:customStyle="1" w:styleId="162">
    <w:name w:val="修订4"/>
    <w:hidden/>
    <w:unhideWhenUsed/>
    <w:qFormat/>
    <w:uiPriority w:val="99"/>
    <w:rPr>
      <w:rFonts w:asciiTheme="minorHAnsi" w:hAnsiTheme="minorHAnsi" w:eastAsiaTheme="minorEastAsia" w:cstheme="minorBidi"/>
      <w:color w:val="333333"/>
      <w:kern w:val="2"/>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277</Pages>
  <Words>26439</Words>
  <Characters>29316</Characters>
  <Lines>1323</Lines>
  <Paragraphs>372</Paragraphs>
  <TotalTime>1</TotalTime>
  <ScaleCrop>false</ScaleCrop>
  <LinksUpToDate>false</LinksUpToDate>
  <CharactersWithSpaces>30068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2025-04-29T00:48:00Z</dcterms:created>
  <dc:creator>Administrator.DESKTOP-3UOE1TA</dc:creator>
  <cp:lastModifiedBy>北京中交建设工程咨询有限公司[北京中交建设工程咨询有限公司]</cp:lastModifiedBy>
  <cp:lastPrinted>2025-05-19T20:33:00Z</cp:lastPrinted>
  <dcterms:modified xsi:type="dcterms:W3CDTF">2025-06-26T12:08:00Z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DCFFEEC9C9FE3BEF5FED5768CC5816D6_43</vt:lpwstr>
  </property>
  <property fmtid="{D5CDD505-2E9C-101B-9397-08002B2CF9AE}" pid="4" name="KSOTemplateDocerSaveRecord">
    <vt:lpwstr>eyJoZGlkIjoiMDFjZDk3NzRiMTVmNWM3ZGEwNGVkN2RhYTgwZTM2NjgiLCJ1c2VySWQiOiIxNjAxMzk4MzYzIn0=</vt:lpwstr>
  </property>
</Properties>
</file>