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7B3B0">
      <w:pPr>
        <w:spacing w:line="360" w:lineRule="auto"/>
        <w:jc w:val="center"/>
        <w:rPr>
          <w:rFonts w:hint="eastAsia" w:ascii="宋体" w:hAnsi="宋体" w:cs="宋体"/>
          <w:b/>
          <w:color w:val="auto"/>
          <w:sz w:val="44"/>
          <w:szCs w:val="48"/>
          <w:highlight w:val="none"/>
        </w:rPr>
      </w:pPr>
    </w:p>
    <w:p w14:paraId="40F8B2F9">
      <w:pPr>
        <w:jc w:val="center"/>
        <w:rPr>
          <w:rFonts w:hint="eastAsia" w:ascii="宋体" w:hAnsi="宋体" w:cs="宋体"/>
          <w:b/>
          <w:color w:val="auto"/>
          <w:sz w:val="48"/>
          <w:szCs w:val="52"/>
          <w:highlight w:val="none"/>
        </w:rPr>
      </w:pPr>
    </w:p>
    <w:p w14:paraId="5C2C5E05">
      <w:pPr>
        <w:spacing w:line="480" w:lineRule="auto"/>
        <w:jc w:val="center"/>
        <w:outlineLvl w:val="0"/>
        <w:rPr>
          <w:rFonts w:hint="eastAsia" w:ascii="宋体" w:hAnsi="宋体" w:cs="宋体"/>
          <w:b/>
          <w:color w:val="auto"/>
          <w:sz w:val="52"/>
          <w:szCs w:val="52"/>
          <w:highlight w:val="none"/>
          <w:lang w:eastAsia="zh-CN"/>
        </w:rPr>
      </w:pPr>
      <w:bookmarkStart w:id="0" w:name="_Toc28253"/>
      <w:r>
        <w:rPr>
          <w:rFonts w:hint="eastAsia" w:ascii="宋体" w:hAnsi="宋体" w:cs="宋体"/>
          <w:b/>
          <w:color w:val="auto"/>
          <w:sz w:val="52"/>
          <w:szCs w:val="52"/>
          <w:highlight w:val="none"/>
        </w:rPr>
        <w:t xml:space="preserve"> </w:t>
      </w:r>
      <w:bookmarkEnd w:id="0"/>
      <w:r>
        <w:rPr>
          <w:rFonts w:hint="eastAsia" w:ascii="宋体" w:hAnsi="宋体" w:cs="宋体"/>
          <w:b/>
          <w:color w:val="auto"/>
          <w:sz w:val="52"/>
          <w:szCs w:val="52"/>
          <w:highlight w:val="none"/>
          <w:lang w:eastAsia="zh-CN"/>
        </w:rPr>
        <w:t>广东省技师学院新校区建设（一期）</w:t>
      </w:r>
    </w:p>
    <w:p w14:paraId="788B048E">
      <w:pPr>
        <w:spacing w:line="480" w:lineRule="auto"/>
        <w:jc w:val="center"/>
        <w:outlineLvl w:val="0"/>
        <w:rPr>
          <w:rFonts w:hint="eastAsia" w:ascii="宋体" w:hAnsi="宋体" w:cs="宋体"/>
          <w:b/>
          <w:color w:val="auto"/>
          <w:sz w:val="52"/>
          <w:szCs w:val="52"/>
          <w:highlight w:val="none"/>
        </w:rPr>
      </w:pPr>
      <w:r>
        <w:rPr>
          <w:rFonts w:hint="eastAsia" w:ascii="宋体" w:hAnsi="宋体" w:cs="宋体"/>
          <w:b/>
          <w:color w:val="auto"/>
          <w:sz w:val="52"/>
          <w:szCs w:val="52"/>
          <w:highlight w:val="none"/>
          <w:lang w:eastAsia="zh-CN"/>
        </w:rPr>
        <w:t>项目</w:t>
      </w:r>
      <w:r>
        <w:rPr>
          <w:rFonts w:hint="eastAsia" w:ascii="宋体" w:hAnsi="宋体" w:cs="宋体"/>
          <w:b/>
          <w:color w:val="auto"/>
          <w:sz w:val="52"/>
          <w:szCs w:val="52"/>
          <w:highlight w:val="none"/>
        </w:rPr>
        <w:t>施工总承包</w:t>
      </w:r>
    </w:p>
    <w:p w14:paraId="265BECA7">
      <w:pPr>
        <w:pStyle w:val="7"/>
        <w:rPr>
          <w:rFonts w:hint="eastAsia" w:ascii="宋体" w:hAnsi="宋体" w:cs="宋体"/>
          <w:color w:val="auto"/>
          <w:highlight w:val="none"/>
        </w:rPr>
      </w:pPr>
    </w:p>
    <w:p w14:paraId="4BDC5330">
      <w:pPr>
        <w:rPr>
          <w:rFonts w:hint="eastAsia" w:ascii="宋体" w:hAnsi="宋体" w:cs="宋体"/>
          <w:color w:val="auto"/>
          <w:highlight w:val="none"/>
        </w:rPr>
      </w:pPr>
    </w:p>
    <w:p w14:paraId="5522D47A">
      <w:pPr>
        <w:pStyle w:val="2"/>
        <w:rPr>
          <w:rFonts w:hint="eastAsia" w:hAnsi="宋体" w:cs="宋体"/>
          <w:color w:val="auto"/>
          <w:highlight w:val="none"/>
        </w:rPr>
      </w:pPr>
    </w:p>
    <w:p w14:paraId="4DCC45CA">
      <w:pPr>
        <w:rPr>
          <w:rFonts w:hint="eastAsia" w:ascii="宋体" w:hAnsi="宋体" w:cs="宋体"/>
          <w:color w:val="auto"/>
          <w:highlight w:val="none"/>
        </w:rPr>
      </w:pPr>
    </w:p>
    <w:p w14:paraId="66401627">
      <w:pPr>
        <w:pStyle w:val="2"/>
        <w:rPr>
          <w:rFonts w:hint="eastAsia" w:hAnsi="宋体" w:cs="宋体"/>
          <w:color w:val="auto"/>
          <w:highlight w:val="none"/>
        </w:rPr>
      </w:pPr>
    </w:p>
    <w:p w14:paraId="360AA85A">
      <w:pPr>
        <w:pStyle w:val="2"/>
        <w:rPr>
          <w:rFonts w:hint="eastAsia" w:hAnsi="宋体" w:cs="宋体"/>
          <w:color w:val="auto"/>
          <w:highlight w:val="none"/>
        </w:rPr>
      </w:pPr>
    </w:p>
    <w:p w14:paraId="439A1B4A">
      <w:pPr>
        <w:pStyle w:val="2"/>
        <w:rPr>
          <w:rFonts w:hint="eastAsia" w:hAnsi="宋体" w:cs="宋体"/>
          <w:color w:val="auto"/>
          <w:highlight w:val="none"/>
        </w:rPr>
      </w:pPr>
    </w:p>
    <w:p w14:paraId="6931EF99">
      <w:pPr>
        <w:rPr>
          <w:rFonts w:hint="eastAsia" w:ascii="宋体" w:hAnsi="宋体" w:cs="宋体"/>
          <w:color w:val="auto"/>
          <w:highlight w:val="none"/>
        </w:rPr>
      </w:pPr>
    </w:p>
    <w:p w14:paraId="1AB58FB4">
      <w:pPr>
        <w:rPr>
          <w:rFonts w:hint="eastAsia" w:ascii="宋体" w:hAnsi="宋体" w:cs="宋体"/>
          <w:color w:val="auto"/>
          <w:highlight w:val="none"/>
        </w:rPr>
      </w:pPr>
    </w:p>
    <w:p w14:paraId="3839B367">
      <w:pPr>
        <w:spacing w:line="360" w:lineRule="auto"/>
        <w:jc w:val="center"/>
        <w:rPr>
          <w:rFonts w:hint="eastAsia"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 xml:space="preserve"> 招标文件</w:t>
      </w:r>
    </w:p>
    <w:p w14:paraId="02AD22F2">
      <w:pPr>
        <w:jc w:val="center"/>
        <w:rPr>
          <w:rFonts w:hint="eastAsia" w:ascii="宋体" w:hAnsi="宋体" w:cs="宋体"/>
          <w:b/>
          <w:color w:val="auto"/>
          <w:sz w:val="84"/>
          <w:szCs w:val="84"/>
          <w:highlight w:val="none"/>
        </w:rPr>
      </w:pPr>
    </w:p>
    <w:p w14:paraId="36E4C672">
      <w:pPr>
        <w:pStyle w:val="2"/>
        <w:rPr>
          <w:rFonts w:hint="eastAsia" w:hAnsi="宋体" w:cs="宋体"/>
          <w:color w:val="auto"/>
          <w:highlight w:val="none"/>
        </w:rPr>
      </w:pPr>
    </w:p>
    <w:p w14:paraId="47CD0C9E">
      <w:pPr>
        <w:rPr>
          <w:rFonts w:hint="eastAsia" w:ascii="宋体" w:hAnsi="宋体" w:cs="宋体"/>
          <w:color w:val="auto"/>
          <w:highlight w:val="none"/>
        </w:rPr>
      </w:pPr>
    </w:p>
    <w:p w14:paraId="5D7C389C">
      <w:pPr>
        <w:pStyle w:val="2"/>
        <w:rPr>
          <w:rFonts w:hint="eastAsia" w:hAnsi="宋体" w:cs="宋体"/>
          <w:color w:val="auto"/>
          <w:sz w:val="52"/>
          <w:highlight w:val="none"/>
        </w:rPr>
      </w:pPr>
    </w:p>
    <w:p w14:paraId="43DA2F99">
      <w:pPr>
        <w:spacing w:line="360" w:lineRule="auto"/>
        <w:rPr>
          <w:rFonts w:hint="eastAsia" w:ascii="宋体" w:hAnsi="宋体" w:cs="宋体"/>
          <w:color w:val="auto"/>
          <w:sz w:val="30"/>
          <w:szCs w:val="30"/>
          <w:highlight w:val="none"/>
        </w:rPr>
      </w:pPr>
    </w:p>
    <w:p w14:paraId="191A9C9D">
      <w:pPr>
        <w:spacing w:line="360" w:lineRule="auto"/>
        <w:ind w:firstLine="1285" w:firstLineChars="400"/>
        <w:rPr>
          <w:rFonts w:hint="eastAsia" w:ascii="宋体" w:hAnsi="宋体" w:cs="宋体"/>
          <w:b/>
          <w:bCs/>
          <w:color w:val="auto"/>
          <w:sz w:val="32"/>
          <w:szCs w:val="30"/>
          <w:highlight w:val="none"/>
          <w:lang w:val="zh-CN"/>
        </w:rPr>
      </w:pPr>
      <w:r>
        <w:rPr>
          <w:rFonts w:hint="eastAsia" w:ascii="宋体" w:hAnsi="宋体" w:cs="宋体"/>
          <w:b/>
          <w:bCs/>
          <w:color w:val="auto"/>
          <w:sz w:val="32"/>
          <w:szCs w:val="30"/>
          <w:highlight w:val="none"/>
          <w:lang w:val="zh-CN"/>
        </w:rPr>
        <w:t xml:space="preserve">招   标   人：广东省代建项目管理局 </w:t>
      </w:r>
    </w:p>
    <w:p w14:paraId="498334BB">
      <w:pPr>
        <w:spacing w:line="360" w:lineRule="auto"/>
        <w:ind w:firstLine="1285" w:firstLineChars="400"/>
        <w:rPr>
          <w:rFonts w:hint="eastAsia" w:ascii="宋体" w:hAnsi="宋体" w:cs="宋体"/>
          <w:b/>
          <w:bCs/>
          <w:color w:val="auto"/>
          <w:sz w:val="32"/>
          <w:szCs w:val="30"/>
          <w:highlight w:val="none"/>
          <w:lang w:val="zh-CN"/>
        </w:rPr>
      </w:pPr>
      <w:r>
        <w:rPr>
          <w:rFonts w:hint="eastAsia" w:ascii="宋体" w:hAnsi="宋体" w:cs="宋体"/>
          <w:b/>
          <w:bCs/>
          <w:color w:val="auto"/>
          <w:sz w:val="32"/>
          <w:szCs w:val="30"/>
          <w:highlight w:val="none"/>
          <w:lang w:val="zh-CN"/>
        </w:rPr>
        <w:t>招标代理机构：广东省机电设备招标有限公司</w:t>
      </w:r>
    </w:p>
    <w:p w14:paraId="09A79FA8">
      <w:pPr>
        <w:spacing w:line="360" w:lineRule="auto"/>
        <w:ind w:firstLine="1285" w:firstLineChars="400"/>
        <w:rPr>
          <w:rFonts w:hint="eastAsia" w:ascii="宋体" w:hAnsi="宋体" w:cs="宋体"/>
          <w:b/>
          <w:bCs/>
          <w:color w:val="auto"/>
          <w:sz w:val="32"/>
          <w:szCs w:val="30"/>
          <w:highlight w:val="none"/>
          <w:lang w:val="zh-CN"/>
        </w:rPr>
      </w:pPr>
      <w:r>
        <w:rPr>
          <w:rFonts w:hint="eastAsia" w:ascii="宋体" w:hAnsi="宋体" w:cs="宋体"/>
          <w:b/>
          <w:bCs/>
          <w:color w:val="auto"/>
          <w:sz w:val="32"/>
          <w:szCs w:val="30"/>
          <w:highlight w:val="none"/>
          <w:lang w:val="zh-CN"/>
        </w:rPr>
        <w:t>日        期：2025年</w:t>
      </w:r>
      <w:r>
        <w:rPr>
          <w:rFonts w:hint="eastAsia" w:ascii="宋体" w:hAnsi="宋体" w:cs="宋体"/>
          <w:b/>
          <w:bCs/>
          <w:color w:val="auto"/>
          <w:sz w:val="32"/>
          <w:szCs w:val="30"/>
          <w:highlight w:val="none"/>
          <w:lang w:val="en-US" w:eastAsia="zh-CN"/>
        </w:rPr>
        <w:t>6</w:t>
      </w:r>
      <w:r>
        <w:rPr>
          <w:rFonts w:hint="eastAsia" w:ascii="宋体" w:hAnsi="宋体" w:cs="宋体"/>
          <w:b/>
          <w:bCs/>
          <w:color w:val="auto"/>
          <w:sz w:val="32"/>
          <w:szCs w:val="30"/>
          <w:highlight w:val="none"/>
          <w:lang w:val="zh-CN"/>
        </w:rPr>
        <w:t>月</w:t>
      </w:r>
    </w:p>
    <w:p w14:paraId="72A7AD68">
      <w:pPr>
        <w:ind w:firstLine="1107" w:firstLineChars="525"/>
        <w:rPr>
          <w:rStyle w:val="58"/>
          <w:rFonts w:hint="eastAsia" w:ascii="宋体" w:hAnsi="宋体" w:cs="宋体"/>
          <w:b/>
          <w:bCs/>
          <w:color w:val="auto"/>
          <w:highlight w:val="none"/>
        </w:rPr>
      </w:pPr>
    </w:p>
    <w:p w14:paraId="1C46BDEA">
      <w:pPr>
        <w:jc w:val="center"/>
        <w:rPr>
          <w:rStyle w:val="58"/>
          <w:rFonts w:hint="eastAsia" w:ascii="宋体" w:hAnsi="宋体" w:cs="宋体"/>
          <w:b/>
          <w:bCs/>
          <w:color w:val="auto"/>
          <w:sz w:val="32"/>
          <w:szCs w:val="32"/>
          <w:highlight w:val="none"/>
          <w:u w:val="none"/>
        </w:rPr>
      </w:pPr>
    </w:p>
    <w:p w14:paraId="52444157">
      <w:pPr>
        <w:pStyle w:val="2"/>
        <w:rPr>
          <w:rStyle w:val="58"/>
          <w:rFonts w:hint="eastAsia" w:hAnsi="宋体" w:cs="宋体"/>
          <w:b/>
          <w:bCs/>
          <w:color w:val="auto"/>
          <w:sz w:val="32"/>
          <w:szCs w:val="32"/>
          <w:highlight w:val="none"/>
          <w:u w:val="none"/>
        </w:rPr>
      </w:pPr>
    </w:p>
    <w:p w14:paraId="510756E5">
      <w:pPr>
        <w:rPr>
          <w:rFonts w:hint="eastAsia" w:ascii="宋体" w:hAnsi="宋体" w:cs="宋体"/>
          <w:color w:val="auto"/>
          <w:highlight w:val="none"/>
        </w:rPr>
        <w:sectPr>
          <w:headerReference r:id="rId3" w:type="default"/>
          <w:headerReference r:id="rId4" w:type="even"/>
          <w:footerReference r:id="rId5" w:type="even"/>
          <w:endnotePr>
            <w:numFmt w:val="decimal"/>
          </w:endnotePr>
          <w:pgSz w:w="11906" w:h="16838"/>
          <w:pgMar w:top="1134" w:right="1418" w:bottom="1247" w:left="1418" w:header="851" w:footer="907" w:gutter="0"/>
          <w:pgNumType w:start="1"/>
          <w:cols w:space="720" w:num="1"/>
          <w:titlePg/>
          <w:docGrid w:type="lines" w:linePitch="312" w:charSpace="0"/>
        </w:sectPr>
      </w:pPr>
    </w:p>
    <w:p w14:paraId="686E0301">
      <w:pPr>
        <w:pStyle w:val="110"/>
        <w:rPr>
          <w:rFonts w:hint="eastAsia"/>
          <w:color w:val="auto"/>
          <w:highlight w:val="none"/>
        </w:rPr>
      </w:pPr>
    </w:p>
    <w:p w14:paraId="14266F38">
      <w:pPr>
        <w:pStyle w:val="2"/>
        <w:rPr>
          <w:rFonts w:hint="eastAsia" w:hAnsi="宋体" w:cs="宋体"/>
          <w:color w:val="auto"/>
          <w:highlight w:val="none"/>
        </w:rPr>
      </w:pPr>
    </w:p>
    <w:p w14:paraId="388858CB">
      <w:pPr>
        <w:jc w:val="center"/>
        <w:rPr>
          <w:rStyle w:val="58"/>
          <w:rFonts w:hint="eastAsia" w:ascii="宋体" w:hAnsi="宋体" w:cs="宋体"/>
          <w:b/>
          <w:bCs/>
          <w:color w:val="auto"/>
          <w:sz w:val="36"/>
          <w:szCs w:val="36"/>
          <w:highlight w:val="none"/>
          <w:u w:val="none"/>
        </w:rPr>
      </w:pPr>
      <w:r>
        <w:rPr>
          <w:rStyle w:val="58"/>
          <w:rFonts w:hint="eastAsia" w:ascii="宋体" w:hAnsi="宋体" w:cs="宋体"/>
          <w:b/>
          <w:bCs/>
          <w:color w:val="auto"/>
          <w:sz w:val="36"/>
          <w:szCs w:val="36"/>
          <w:highlight w:val="none"/>
          <w:u w:val="none"/>
        </w:rPr>
        <w:t>目  录</w:t>
      </w:r>
    </w:p>
    <w:p w14:paraId="4367C48D">
      <w:pPr>
        <w:pStyle w:val="2"/>
        <w:rPr>
          <w:rFonts w:hint="eastAsia" w:hAnsi="宋体" w:cs="宋体"/>
          <w:color w:val="auto"/>
          <w:highlight w:val="none"/>
        </w:rPr>
      </w:pPr>
    </w:p>
    <w:p w14:paraId="01140F85">
      <w:pPr>
        <w:pStyle w:val="378"/>
        <w:tabs>
          <w:tab w:val="right" w:leader="dot" w:pos="9070"/>
        </w:tabs>
        <w:spacing w:line="480" w:lineRule="auto"/>
        <w:rPr>
          <w:rFonts w:hint="eastAsia" w:ascii="宋体" w:hAnsi="宋体" w:cs="宋体"/>
          <w:color w:val="auto"/>
          <w:sz w:val="24"/>
          <w:szCs w:val="24"/>
          <w:highlight w:val="none"/>
        </w:rPr>
      </w:pPr>
      <w:bookmarkStart w:id="1" w:name="_Toc2272545"/>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"1-2" \h \u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_Toc13946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第一章 投标须知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_Toc13946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B88C1DA">
      <w:pPr>
        <w:pStyle w:val="378"/>
        <w:tabs>
          <w:tab w:val="right" w:leader="dot" w:pos="9070"/>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_Toc8083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第二章 开标、评标及定标办法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_Toc8083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B41621E">
      <w:pPr>
        <w:pStyle w:val="378"/>
        <w:tabs>
          <w:tab w:val="right" w:leader="dot" w:pos="9070"/>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_Toc10169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第三章 合同条款</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_Toc10169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27B8CA5">
      <w:pPr>
        <w:pStyle w:val="378"/>
        <w:tabs>
          <w:tab w:val="right" w:leader="dot" w:pos="9070"/>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_Toc18961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第四章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_Toc18961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63B43B7">
      <w:pPr>
        <w:pStyle w:val="378"/>
        <w:tabs>
          <w:tab w:val="right" w:leader="dot" w:pos="9070"/>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_Toc16792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第五章 技术条件（工程建设标准）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_Toc16792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A04B123">
      <w:pPr>
        <w:pStyle w:val="378"/>
        <w:tabs>
          <w:tab w:val="right" w:leader="dot" w:pos="9070"/>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_Toc20349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第六章 图纸及勘察资料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_Toc20349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A5EA619">
      <w:pPr>
        <w:pStyle w:val="378"/>
        <w:tabs>
          <w:tab w:val="right" w:leader="dot" w:pos="9070"/>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_Toc3583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第七章 工程量清单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_Toc3583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C61C0A5">
      <w:pPr>
        <w:pStyle w:val="378"/>
        <w:tabs>
          <w:tab w:val="right" w:leader="dot" w:pos="9070"/>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_Toc6942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第八章 最高投标限价</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_Toc6942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110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6A3CBA8">
      <w:pPr>
        <w:pStyle w:val="227"/>
        <w:spacing w:before="62" w:after="62" w:line="480" w:lineRule="auto"/>
        <w:rPr>
          <w:rFonts w:hint="eastAsia" w:hAnsi="宋体" w:cs="宋体"/>
          <w:color w:val="auto"/>
          <w:highlight w:val="none"/>
        </w:rPr>
      </w:pPr>
      <w:r>
        <w:rPr>
          <w:rFonts w:hint="eastAsia" w:hAnsi="宋体" w:cs="宋体"/>
          <w:color w:val="auto"/>
          <w:sz w:val="24"/>
          <w:szCs w:val="24"/>
          <w:highlight w:val="none"/>
        </w:rPr>
        <w:fldChar w:fldCharType="end"/>
      </w:r>
    </w:p>
    <w:p w14:paraId="165C5B35">
      <w:pPr>
        <w:widowControl/>
        <w:jc w:val="left"/>
        <w:rPr>
          <w:rFonts w:hint="eastAsia" w:ascii="宋体" w:hAnsi="宋体" w:cs="宋体"/>
          <w:b/>
          <w:color w:val="auto"/>
          <w:kern w:val="44"/>
          <w:sz w:val="24"/>
          <w:szCs w:val="24"/>
          <w:highlight w:val="none"/>
        </w:rPr>
      </w:pPr>
      <w:r>
        <w:rPr>
          <w:rFonts w:hint="eastAsia" w:ascii="宋体" w:hAnsi="宋体" w:cs="宋体"/>
          <w:color w:val="auto"/>
          <w:sz w:val="24"/>
          <w:szCs w:val="24"/>
          <w:highlight w:val="none"/>
        </w:rPr>
        <w:br w:type="page"/>
      </w:r>
    </w:p>
    <w:p w14:paraId="4C734579">
      <w:pPr>
        <w:pStyle w:val="3"/>
        <w:jc w:val="center"/>
        <w:rPr>
          <w:rFonts w:hint="eastAsia" w:cs="宋体"/>
          <w:color w:val="auto"/>
          <w:sz w:val="36"/>
          <w:szCs w:val="36"/>
          <w:highlight w:val="none"/>
        </w:rPr>
      </w:pPr>
      <w:bookmarkStart w:id="2" w:name="_Toc100130467"/>
      <w:bookmarkStart w:id="3" w:name="_Toc13946"/>
      <w:r>
        <w:rPr>
          <w:rFonts w:hint="eastAsia" w:cs="宋体"/>
          <w:color w:val="auto"/>
          <w:sz w:val="36"/>
          <w:szCs w:val="36"/>
          <w:highlight w:val="none"/>
        </w:rPr>
        <w:t>第一章 投标须知</w:t>
      </w:r>
      <w:bookmarkEnd w:id="1"/>
      <w:bookmarkEnd w:id="2"/>
      <w:bookmarkEnd w:id="3"/>
    </w:p>
    <w:p w14:paraId="381BC21D">
      <w:pPr>
        <w:pStyle w:val="4"/>
        <w:rPr>
          <w:rFonts w:hint="eastAsia" w:cs="宋体"/>
          <w:color w:val="auto"/>
          <w:highlight w:val="none"/>
        </w:rPr>
      </w:pPr>
      <w:bookmarkStart w:id="4" w:name="_Toc2272546"/>
      <w:bookmarkStart w:id="5" w:name="_Toc100130468"/>
      <w:bookmarkStart w:id="6" w:name="_Toc17320"/>
      <w:r>
        <w:rPr>
          <w:rFonts w:hint="eastAsia" w:cs="宋体"/>
          <w:color w:val="auto"/>
          <w:highlight w:val="none"/>
        </w:rPr>
        <w:t>一、投标须知前附表</w:t>
      </w:r>
      <w:bookmarkEnd w:id="4"/>
      <w:bookmarkEnd w:id="5"/>
      <w:bookmarkEnd w:id="6"/>
    </w:p>
    <w:p w14:paraId="598B4E49">
      <w:pPr>
        <w:pStyle w:val="7"/>
        <w:spacing w:line="360" w:lineRule="auto"/>
        <w:ind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5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686"/>
        <w:gridCol w:w="5981"/>
      </w:tblGrid>
      <w:tr w14:paraId="4D80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blHeader/>
        </w:trPr>
        <w:tc>
          <w:tcPr>
            <w:tcW w:w="702" w:type="dxa"/>
            <w:noWrap w:val="0"/>
            <w:vAlign w:val="center"/>
          </w:tcPr>
          <w:p w14:paraId="5410F063">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w:t>
            </w:r>
          </w:p>
        </w:tc>
        <w:tc>
          <w:tcPr>
            <w:tcW w:w="981" w:type="dxa"/>
            <w:noWrap w:val="0"/>
            <w:vAlign w:val="center"/>
          </w:tcPr>
          <w:p w14:paraId="466FEDE4">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1686" w:type="dxa"/>
            <w:noWrap w:val="0"/>
            <w:vAlign w:val="center"/>
          </w:tcPr>
          <w:p w14:paraId="2A235806">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内容</w:t>
            </w:r>
          </w:p>
        </w:tc>
        <w:tc>
          <w:tcPr>
            <w:tcW w:w="5981" w:type="dxa"/>
            <w:noWrap w:val="0"/>
            <w:vAlign w:val="center"/>
          </w:tcPr>
          <w:p w14:paraId="3048BDCA">
            <w:pPr>
              <w:pStyle w:val="27"/>
              <w:spacing w:line="276" w:lineRule="auto"/>
              <w:jc w:val="center"/>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说明与要求</w:t>
            </w:r>
          </w:p>
        </w:tc>
      </w:tr>
      <w:tr w14:paraId="0AD9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noWrap w:val="0"/>
            <w:vAlign w:val="center"/>
          </w:tcPr>
          <w:p w14:paraId="64DED909">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81" w:type="dxa"/>
            <w:noWrap w:val="0"/>
            <w:vAlign w:val="center"/>
          </w:tcPr>
          <w:p w14:paraId="37E2737B">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86" w:type="dxa"/>
            <w:noWrap w:val="0"/>
            <w:vAlign w:val="center"/>
          </w:tcPr>
          <w:p w14:paraId="182CE197">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定义</w:t>
            </w:r>
          </w:p>
        </w:tc>
        <w:tc>
          <w:tcPr>
            <w:tcW w:w="5981" w:type="dxa"/>
            <w:noWrap w:val="0"/>
            <w:vAlign w:val="center"/>
          </w:tcPr>
          <w:p w14:paraId="715E3E4D">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广东省代建项目管理局</w:t>
            </w:r>
          </w:p>
          <w:p w14:paraId="33D78808">
            <w:pPr>
              <w:spacing w:line="36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广东省机电设备招标有限公司</w:t>
            </w:r>
          </w:p>
          <w:p w14:paraId="5B4508F5">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lang w:eastAsia="zh-CN"/>
              </w:rPr>
              <w:t>广东省建筑设计研究院有限公司</w:t>
            </w:r>
          </w:p>
          <w:p w14:paraId="5F164D49">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     /     </w:t>
            </w:r>
          </w:p>
          <w:p w14:paraId="432F8BD9">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 xml:space="preserve">     /     </w:t>
            </w:r>
          </w:p>
        </w:tc>
      </w:tr>
      <w:tr w14:paraId="2C85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noWrap w:val="0"/>
            <w:vAlign w:val="center"/>
          </w:tcPr>
          <w:p w14:paraId="168E5E4F">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81" w:type="dxa"/>
            <w:noWrap w:val="0"/>
            <w:vAlign w:val="center"/>
          </w:tcPr>
          <w:p w14:paraId="12FDACA1">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686" w:type="dxa"/>
            <w:noWrap w:val="0"/>
            <w:vAlign w:val="center"/>
          </w:tcPr>
          <w:p w14:paraId="558F284E">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工程名称</w:t>
            </w:r>
          </w:p>
        </w:tc>
        <w:tc>
          <w:tcPr>
            <w:tcW w:w="5981" w:type="dxa"/>
            <w:noWrap w:val="0"/>
            <w:vAlign w:val="center"/>
          </w:tcPr>
          <w:p w14:paraId="1774CE36">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lang w:eastAsia="zh-CN"/>
              </w:rPr>
              <w:t>广东省技师学院新校区建设（一期）项目</w:t>
            </w:r>
            <w:r>
              <w:rPr>
                <w:rFonts w:hint="eastAsia" w:ascii="宋体" w:hAnsi="宋体" w:cs="宋体"/>
                <w:color w:val="auto"/>
                <w:szCs w:val="21"/>
                <w:highlight w:val="none"/>
                <w:u w:val="single"/>
              </w:rPr>
              <w:t>施工总承包</w:t>
            </w:r>
          </w:p>
        </w:tc>
      </w:tr>
      <w:tr w14:paraId="43AB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2" w:type="dxa"/>
            <w:noWrap w:val="0"/>
            <w:vAlign w:val="center"/>
          </w:tcPr>
          <w:p w14:paraId="27FC629D">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81" w:type="dxa"/>
            <w:noWrap w:val="0"/>
            <w:vAlign w:val="center"/>
          </w:tcPr>
          <w:p w14:paraId="12E8A361">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686" w:type="dxa"/>
            <w:noWrap w:val="0"/>
            <w:vAlign w:val="center"/>
          </w:tcPr>
          <w:p w14:paraId="3222FD18">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5981" w:type="dxa"/>
            <w:noWrap w:val="0"/>
            <w:vAlign w:val="center"/>
          </w:tcPr>
          <w:p w14:paraId="771F36E9">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详见招标公告</w:t>
            </w:r>
          </w:p>
        </w:tc>
      </w:tr>
      <w:tr w14:paraId="668F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02" w:type="dxa"/>
            <w:noWrap w:val="0"/>
            <w:vAlign w:val="center"/>
          </w:tcPr>
          <w:p w14:paraId="35F339A0">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981" w:type="dxa"/>
            <w:noWrap w:val="0"/>
            <w:vAlign w:val="center"/>
          </w:tcPr>
          <w:p w14:paraId="69BC140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686" w:type="dxa"/>
            <w:noWrap w:val="0"/>
            <w:vAlign w:val="center"/>
          </w:tcPr>
          <w:p w14:paraId="629DA2DE">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5981" w:type="dxa"/>
            <w:noWrap w:val="0"/>
            <w:vAlign w:val="center"/>
          </w:tcPr>
          <w:p w14:paraId="2BFD9568">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详见招标公告</w:t>
            </w:r>
          </w:p>
        </w:tc>
      </w:tr>
      <w:tr w14:paraId="638C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2" w:type="dxa"/>
            <w:noWrap w:val="0"/>
            <w:vAlign w:val="center"/>
          </w:tcPr>
          <w:p w14:paraId="04E6C30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981" w:type="dxa"/>
            <w:noWrap w:val="0"/>
            <w:vAlign w:val="center"/>
          </w:tcPr>
          <w:p w14:paraId="5D70965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686" w:type="dxa"/>
            <w:noWrap w:val="0"/>
            <w:vAlign w:val="center"/>
          </w:tcPr>
          <w:p w14:paraId="335F652F">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承包方式</w:t>
            </w:r>
          </w:p>
        </w:tc>
        <w:tc>
          <w:tcPr>
            <w:tcW w:w="5981" w:type="dxa"/>
            <w:noWrap w:val="0"/>
            <w:vAlign w:val="center"/>
          </w:tcPr>
          <w:p w14:paraId="171DD06E">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（1）包工、包料、包工期、包质量、包安全、包文明施工。综合单价包干、项目措施费包干。</w:t>
            </w:r>
          </w:p>
          <w:p w14:paraId="7667AC7B">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（2）负责本项目的施工总承包管理配合服务，即对发包人与本招标工程中标单位联合招标的其它专业工程以及为发包人依法直接供应的材料设备设施提供总承包管理和配合服务。</w:t>
            </w:r>
          </w:p>
          <w:p w14:paraId="09915B3A">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（3）负责编制本项目的竣工图（费用包已含在建安工程费，不在另行支付）。</w:t>
            </w:r>
          </w:p>
        </w:tc>
      </w:tr>
      <w:tr w14:paraId="41C3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2" w:type="dxa"/>
            <w:vMerge w:val="restart"/>
            <w:noWrap w:val="0"/>
            <w:vAlign w:val="center"/>
          </w:tcPr>
          <w:p w14:paraId="28AB5541">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981" w:type="dxa"/>
            <w:vMerge w:val="restart"/>
            <w:noWrap w:val="0"/>
            <w:vAlign w:val="center"/>
          </w:tcPr>
          <w:p w14:paraId="72AB84AB">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686" w:type="dxa"/>
            <w:noWrap w:val="0"/>
            <w:vAlign w:val="center"/>
          </w:tcPr>
          <w:p w14:paraId="0B6B1B13">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981" w:type="dxa"/>
            <w:noWrap w:val="0"/>
            <w:vAlign w:val="center"/>
          </w:tcPr>
          <w:p w14:paraId="724C310B">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工程质量标准：符合设计图纸要求和国家、省、市相关法律法规规定要求及行业颁发的工程质量验收标准。按照国家最新颁布《建筑工程施工质量验收统一标准》及相应配套的各专业验收规范，一次验收合格，</w:t>
            </w:r>
            <w:r>
              <w:rPr>
                <w:rFonts w:hint="eastAsia" w:ascii="宋体" w:hAnsi="宋体" w:cs="宋体"/>
                <w:color w:val="auto"/>
                <w:szCs w:val="21"/>
                <w:highlight w:val="none"/>
                <w:u w:val="single"/>
                <w:lang w:val="en-US" w:eastAsia="zh-CN"/>
              </w:rPr>
              <w:t>达到</w:t>
            </w:r>
            <w:r>
              <w:rPr>
                <w:rFonts w:hint="eastAsia"/>
                <w:color w:val="auto"/>
                <w:highlight w:val="none"/>
                <w:u w:val="single"/>
              </w:rPr>
              <w:t>广东省建设工程施工质量评价</w:t>
            </w:r>
            <w:r>
              <w:rPr>
                <w:rFonts w:hint="eastAsia"/>
                <w:color w:val="auto"/>
                <w:highlight w:val="none"/>
                <w:u w:val="single"/>
                <w:lang w:val="en-US" w:eastAsia="zh-CN"/>
              </w:rPr>
              <w:t>标准</w:t>
            </w:r>
            <w:r>
              <w:rPr>
                <w:rFonts w:hint="eastAsia"/>
                <w:color w:val="auto"/>
                <w:highlight w:val="none"/>
                <w:u w:val="single"/>
                <w:lang w:eastAsia="zh-CN"/>
              </w:rPr>
              <w:t>，</w:t>
            </w:r>
            <w:r>
              <w:rPr>
                <w:rFonts w:hint="eastAsia"/>
                <w:color w:val="auto"/>
                <w:highlight w:val="none"/>
                <w:u w:val="single"/>
                <w:lang w:val="en-US" w:eastAsia="zh-CN"/>
              </w:rPr>
              <w:t>在</w:t>
            </w:r>
            <w:r>
              <w:rPr>
                <w:rFonts w:hint="eastAsia" w:ascii="宋体" w:hAnsi="宋体" w:cs="宋体"/>
                <w:color w:val="auto"/>
                <w:szCs w:val="21"/>
                <w:highlight w:val="none"/>
                <w:u w:val="single"/>
              </w:rPr>
              <w:t>广东省建设工程优质奖</w:t>
            </w:r>
            <w:r>
              <w:rPr>
                <w:rFonts w:hint="eastAsia" w:ascii="宋体" w:hAnsi="宋体" w:cs="宋体"/>
                <w:color w:val="auto"/>
                <w:szCs w:val="21"/>
                <w:highlight w:val="none"/>
                <w:u w:val="single"/>
                <w:lang w:val="en-US" w:eastAsia="zh-CN"/>
              </w:rPr>
              <w:t>恢复评审时</w:t>
            </w:r>
            <w:r>
              <w:rPr>
                <w:rFonts w:hint="eastAsia" w:ascii="宋体" w:hAnsi="宋体" w:cs="宋体"/>
                <w:color w:val="auto"/>
                <w:szCs w:val="21"/>
                <w:highlight w:val="none"/>
                <w:u w:val="single"/>
              </w:rPr>
              <w:t>确保获得广东省建设工程优质奖。</w:t>
            </w:r>
          </w:p>
        </w:tc>
      </w:tr>
      <w:tr w14:paraId="242D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2" w:type="dxa"/>
            <w:vMerge w:val="continue"/>
            <w:noWrap w:val="0"/>
            <w:vAlign w:val="center"/>
          </w:tcPr>
          <w:p w14:paraId="072B3FCD">
            <w:pPr>
              <w:spacing w:line="276" w:lineRule="auto"/>
              <w:jc w:val="center"/>
              <w:rPr>
                <w:rFonts w:hint="eastAsia" w:ascii="宋体" w:hAnsi="宋体" w:cs="宋体"/>
                <w:color w:val="auto"/>
                <w:szCs w:val="21"/>
                <w:highlight w:val="none"/>
              </w:rPr>
            </w:pPr>
          </w:p>
        </w:tc>
        <w:tc>
          <w:tcPr>
            <w:tcW w:w="981" w:type="dxa"/>
            <w:vMerge w:val="continue"/>
            <w:noWrap w:val="0"/>
            <w:vAlign w:val="center"/>
          </w:tcPr>
          <w:p w14:paraId="457BD734">
            <w:pPr>
              <w:spacing w:line="276" w:lineRule="auto"/>
              <w:jc w:val="center"/>
              <w:rPr>
                <w:rFonts w:hint="eastAsia" w:ascii="宋体" w:hAnsi="宋体" w:cs="宋体"/>
                <w:color w:val="auto"/>
                <w:szCs w:val="21"/>
                <w:highlight w:val="none"/>
              </w:rPr>
            </w:pPr>
          </w:p>
        </w:tc>
        <w:tc>
          <w:tcPr>
            <w:tcW w:w="1686" w:type="dxa"/>
            <w:noWrap w:val="0"/>
            <w:vAlign w:val="center"/>
          </w:tcPr>
          <w:p w14:paraId="22E5D11D">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安全生产文明施工控制目标</w:t>
            </w:r>
          </w:p>
        </w:tc>
        <w:tc>
          <w:tcPr>
            <w:tcW w:w="5981" w:type="dxa"/>
            <w:noWrap w:val="0"/>
            <w:vAlign w:val="center"/>
          </w:tcPr>
          <w:p w14:paraId="6A219F00">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安全生产文明施工控制目标：确保不发生一般事故等级及以上的安全生产事故且死亡人数为零，达到广东省房屋市政工程安全生产文明施工示范工地的要求（最终由项目监理人及发包人根据相关标准进行核实），保证施工场地清洁、扬尘及噪音管理符合环境卫生管理的有关规定。并确保获得广东省房屋市政工程安全生产文明施工示范工地奖。</w:t>
            </w:r>
          </w:p>
        </w:tc>
      </w:tr>
      <w:tr w14:paraId="6BBA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02" w:type="dxa"/>
            <w:noWrap w:val="0"/>
            <w:vAlign w:val="center"/>
          </w:tcPr>
          <w:p w14:paraId="34579F90">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981" w:type="dxa"/>
            <w:noWrap w:val="0"/>
            <w:vAlign w:val="center"/>
          </w:tcPr>
          <w:p w14:paraId="7E3C97F8">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686" w:type="dxa"/>
            <w:noWrap w:val="0"/>
            <w:vAlign w:val="center"/>
          </w:tcPr>
          <w:p w14:paraId="7E308462">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5981" w:type="dxa"/>
            <w:noWrap w:val="0"/>
            <w:vAlign w:val="center"/>
          </w:tcPr>
          <w:p w14:paraId="6F390B23">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详见招标公告</w:t>
            </w:r>
          </w:p>
        </w:tc>
      </w:tr>
      <w:tr w14:paraId="06D5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02" w:type="dxa"/>
            <w:noWrap w:val="0"/>
            <w:vAlign w:val="center"/>
          </w:tcPr>
          <w:p w14:paraId="162C8E89">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981" w:type="dxa"/>
            <w:noWrap w:val="0"/>
            <w:vAlign w:val="center"/>
          </w:tcPr>
          <w:p w14:paraId="7F203873">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686" w:type="dxa"/>
            <w:noWrap w:val="0"/>
            <w:vAlign w:val="center"/>
          </w:tcPr>
          <w:p w14:paraId="4CEACF86">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工期要求</w:t>
            </w:r>
          </w:p>
        </w:tc>
        <w:tc>
          <w:tcPr>
            <w:tcW w:w="5981" w:type="dxa"/>
            <w:noWrap w:val="0"/>
            <w:vAlign w:val="center"/>
          </w:tcPr>
          <w:p w14:paraId="337605C8">
            <w:pPr>
              <w:pStyle w:val="3"/>
              <w:spacing w:line="240" w:lineRule="auto"/>
              <w:rPr>
                <w:rFonts w:hint="eastAsia"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lang w:val="en-US" w:eastAsia="zh-CN"/>
              </w:rPr>
              <w:t>1106</w:t>
            </w:r>
            <w:r>
              <w:rPr>
                <w:rFonts w:hint="eastAsia" w:cs="宋体"/>
                <w:color w:val="auto"/>
                <w:sz w:val="21"/>
                <w:szCs w:val="21"/>
                <w:highlight w:val="none"/>
              </w:rPr>
              <w:t>日历天。</w:t>
            </w:r>
          </w:p>
        </w:tc>
      </w:tr>
      <w:tr w14:paraId="3E70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2" w:type="dxa"/>
            <w:noWrap w:val="0"/>
            <w:vAlign w:val="center"/>
          </w:tcPr>
          <w:p w14:paraId="72EBB42F">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981" w:type="dxa"/>
            <w:noWrap w:val="0"/>
            <w:vAlign w:val="center"/>
          </w:tcPr>
          <w:p w14:paraId="360B19C5">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686" w:type="dxa"/>
            <w:noWrap w:val="0"/>
            <w:vAlign w:val="center"/>
          </w:tcPr>
          <w:p w14:paraId="2047820E">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5981" w:type="dxa"/>
            <w:noWrap w:val="0"/>
            <w:vAlign w:val="center"/>
          </w:tcPr>
          <w:p w14:paraId="628D1588">
            <w:pPr>
              <w:spacing w:line="36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项目建设资金除省人力资源社会保障厅前期已安排的38290万元外，其余资金从省级促进就业创业发展专项资金中分年度安排，具体安排金额视项目建设进度和项目建设单位自筹情况统筹考虑，提前一年按程序编制纳入下年预算。</w:t>
            </w:r>
          </w:p>
        </w:tc>
      </w:tr>
      <w:tr w14:paraId="1848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02" w:type="dxa"/>
            <w:noWrap w:val="0"/>
            <w:vAlign w:val="center"/>
          </w:tcPr>
          <w:p w14:paraId="5CF5C494">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981" w:type="dxa"/>
            <w:noWrap w:val="0"/>
            <w:vAlign w:val="center"/>
          </w:tcPr>
          <w:p w14:paraId="67B607F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4.1</w:t>
            </w:r>
          </w:p>
        </w:tc>
        <w:tc>
          <w:tcPr>
            <w:tcW w:w="1686" w:type="dxa"/>
            <w:noWrap w:val="0"/>
            <w:vAlign w:val="center"/>
          </w:tcPr>
          <w:p w14:paraId="276F59C6">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981" w:type="dxa"/>
            <w:noWrap w:val="0"/>
            <w:vAlign w:val="center"/>
          </w:tcPr>
          <w:p w14:paraId="592F34A1">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详见招标公告</w:t>
            </w:r>
          </w:p>
        </w:tc>
      </w:tr>
      <w:tr w14:paraId="7F7A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2" w:type="dxa"/>
            <w:noWrap w:val="0"/>
            <w:vAlign w:val="center"/>
          </w:tcPr>
          <w:p w14:paraId="7F947FC5">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981" w:type="dxa"/>
            <w:noWrap w:val="0"/>
            <w:vAlign w:val="center"/>
          </w:tcPr>
          <w:p w14:paraId="6E2C4A61">
            <w:pPr>
              <w:spacing w:line="276" w:lineRule="auto"/>
              <w:ind w:firstLine="458"/>
              <w:jc w:val="center"/>
              <w:rPr>
                <w:rFonts w:hint="eastAsia" w:ascii="宋体" w:hAnsi="宋体" w:cs="宋体"/>
                <w:color w:val="auto"/>
                <w:szCs w:val="21"/>
                <w:highlight w:val="none"/>
              </w:rPr>
            </w:pPr>
          </w:p>
        </w:tc>
        <w:tc>
          <w:tcPr>
            <w:tcW w:w="1686" w:type="dxa"/>
            <w:noWrap w:val="0"/>
            <w:vAlign w:val="center"/>
          </w:tcPr>
          <w:p w14:paraId="5CD25EDF">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资格审查方式</w:t>
            </w:r>
          </w:p>
        </w:tc>
        <w:tc>
          <w:tcPr>
            <w:tcW w:w="5981" w:type="dxa"/>
            <w:noWrap w:val="0"/>
            <w:vAlign w:val="center"/>
          </w:tcPr>
          <w:p w14:paraId="2F51F052">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详见招标公告</w:t>
            </w:r>
          </w:p>
        </w:tc>
      </w:tr>
      <w:tr w14:paraId="390C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noWrap w:val="0"/>
            <w:vAlign w:val="center"/>
          </w:tcPr>
          <w:p w14:paraId="446F5711">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981" w:type="dxa"/>
            <w:noWrap w:val="0"/>
            <w:vAlign w:val="center"/>
          </w:tcPr>
          <w:p w14:paraId="371A14E2">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686" w:type="dxa"/>
            <w:noWrap w:val="0"/>
            <w:vAlign w:val="center"/>
          </w:tcPr>
          <w:p w14:paraId="1F294349">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981" w:type="dxa"/>
            <w:noWrap w:val="0"/>
            <w:vAlign w:val="center"/>
          </w:tcPr>
          <w:p w14:paraId="6A8CD8D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工程量清单计价，</w:t>
            </w:r>
            <w:r>
              <w:rPr>
                <w:rFonts w:hint="eastAsia" w:ascii="宋体" w:hAnsi="宋体" w:cs="宋体"/>
                <w:color w:val="auto"/>
                <w:szCs w:val="21"/>
                <w:highlight w:val="none"/>
                <w:u w:val="single"/>
              </w:rPr>
              <w:t>按国家、省有关计价规范执行</w:t>
            </w:r>
            <w:r>
              <w:rPr>
                <w:rFonts w:hint="eastAsia" w:ascii="宋体" w:hAnsi="宋体" w:cs="宋体"/>
                <w:color w:val="auto"/>
                <w:szCs w:val="21"/>
                <w:highlight w:val="none"/>
              </w:rPr>
              <w:t>。</w:t>
            </w:r>
          </w:p>
        </w:tc>
      </w:tr>
      <w:tr w14:paraId="2A69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noWrap w:val="0"/>
            <w:vAlign w:val="center"/>
          </w:tcPr>
          <w:p w14:paraId="44DFA848">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981" w:type="dxa"/>
            <w:noWrap w:val="0"/>
            <w:vAlign w:val="center"/>
          </w:tcPr>
          <w:p w14:paraId="4659F1CF">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1686" w:type="dxa"/>
            <w:noWrap w:val="0"/>
            <w:vAlign w:val="center"/>
          </w:tcPr>
          <w:p w14:paraId="0EEEC9F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981" w:type="dxa"/>
            <w:noWrap w:val="0"/>
            <w:vAlign w:val="center"/>
          </w:tcPr>
          <w:p w14:paraId="48163C0A">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日历天。（从投标截止之日计起）。</w:t>
            </w:r>
          </w:p>
        </w:tc>
      </w:tr>
      <w:tr w14:paraId="17CA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02" w:type="dxa"/>
            <w:noWrap w:val="0"/>
            <w:vAlign w:val="center"/>
          </w:tcPr>
          <w:p w14:paraId="731F7FC0">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981" w:type="dxa"/>
            <w:noWrap w:val="0"/>
            <w:vAlign w:val="center"/>
          </w:tcPr>
          <w:p w14:paraId="1C4906AD">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16.1</w:t>
            </w:r>
          </w:p>
        </w:tc>
        <w:tc>
          <w:tcPr>
            <w:tcW w:w="1686" w:type="dxa"/>
            <w:noWrap w:val="0"/>
            <w:vAlign w:val="center"/>
          </w:tcPr>
          <w:p w14:paraId="2C14BCD8">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981" w:type="dxa"/>
            <w:noWrap w:val="0"/>
            <w:vAlign w:val="center"/>
          </w:tcPr>
          <w:p w14:paraId="36966C45">
            <w:pPr>
              <w:pStyle w:val="2"/>
              <w:rPr>
                <w:rFonts w:hAnsi="宋体"/>
                <w:b/>
                <w:color w:val="auto"/>
                <w:sz w:val="21"/>
                <w:szCs w:val="21"/>
                <w:highlight w:val="none"/>
              </w:rPr>
            </w:pPr>
            <w:r>
              <w:rPr>
                <w:rFonts w:hint="eastAsia" w:hAnsi="宋体" w:cs="宋体"/>
                <w:color w:val="auto"/>
                <w:sz w:val="21"/>
                <w:szCs w:val="21"/>
                <w:highlight w:val="none"/>
                <w:lang w:bidi="ar"/>
              </w:rPr>
              <w:t>■</w:t>
            </w:r>
            <w:r>
              <w:rPr>
                <w:rFonts w:hint="eastAsia" w:hAnsi="宋体" w:cs="宋体"/>
                <w:b/>
                <w:color w:val="auto"/>
                <w:sz w:val="21"/>
                <w:szCs w:val="21"/>
                <w:highlight w:val="none"/>
              </w:rPr>
              <w:t>方式一：本项目不收投标保证金。</w:t>
            </w:r>
          </w:p>
          <w:p w14:paraId="6870E143">
            <w:pPr>
              <w:widowControl/>
              <w:jc w:val="left"/>
              <w:rPr>
                <w:rFonts w:ascii="宋体" w:hAnsi="宋体" w:cs="宋体"/>
                <w:bCs/>
                <w:color w:val="auto"/>
                <w:kern w:val="0"/>
                <w:szCs w:val="21"/>
                <w:highlight w:val="none"/>
              </w:rPr>
            </w:pPr>
            <w:r>
              <w:rPr>
                <w:rFonts w:hint="eastAsia" w:ascii="宋体" w:hAnsi="宋体" w:cs="宋体"/>
                <w:color w:val="auto"/>
                <w:szCs w:val="21"/>
                <w:highlight w:val="none"/>
                <w:lang w:bidi="ar"/>
              </w:rPr>
              <w:t>□</w:t>
            </w:r>
            <w:r>
              <w:rPr>
                <w:rFonts w:hint="eastAsia" w:ascii="宋体" w:hAnsi="宋体" w:cs="宋体"/>
                <w:b/>
                <w:color w:val="auto"/>
                <w:kern w:val="0"/>
                <w:szCs w:val="21"/>
                <w:highlight w:val="none"/>
              </w:rPr>
              <w:t>方式二：本项目收取投标保证金</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万元人民币，缴纳时间在</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之前。</w:t>
            </w:r>
          </w:p>
          <w:p w14:paraId="1E97FCFE">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注：</w:t>
            </w:r>
          </w:p>
          <w:p w14:paraId="3598DAA0">
            <w:pPr>
              <w:widowControl/>
              <w:jc w:val="left"/>
              <w:rPr>
                <w:rFonts w:ascii="宋体" w:hAnsi="宋体" w:cs="宋体"/>
                <w:b/>
                <w:color w:val="auto"/>
                <w:kern w:val="0"/>
                <w:szCs w:val="21"/>
                <w:highlight w:val="none"/>
              </w:rPr>
            </w:pPr>
            <w:r>
              <w:rPr>
                <w:rFonts w:hint="eastAsia" w:ascii="宋体" w:hAnsi="宋体" w:cs="宋体"/>
                <w:b/>
                <w:bCs/>
                <w:color w:val="auto"/>
                <w:kern w:val="0"/>
                <w:szCs w:val="21"/>
                <w:highlight w:val="none"/>
              </w:rPr>
              <w:t>1、</w:t>
            </w:r>
            <w:r>
              <w:rPr>
                <w:rFonts w:hint="eastAsia" w:ascii="宋体" w:hAnsi="宋体" w:cs="宋体"/>
                <w:b/>
                <w:color w:val="auto"/>
                <w:kern w:val="0"/>
                <w:szCs w:val="21"/>
                <w:highlight w:val="none"/>
              </w:rPr>
              <w:t>政府投资项目不得收取投标保证金。</w:t>
            </w:r>
            <w:r>
              <w:rPr>
                <w:rFonts w:hint="eastAsia" w:ascii="宋体" w:hAnsi="宋体" w:cs="宋体"/>
                <w:bCs/>
                <w:color w:val="auto"/>
                <w:kern w:val="0"/>
                <w:szCs w:val="21"/>
                <w:highlight w:val="none"/>
              </w:rPr>
              <w:t>鼓励招标人对简单小额项目不要求提供投标担保，对中小企业投标人免除投标担保。</w:t>
            </w:r>
          </w:p>
          <w:p w14:paraId="7D433886">
            <w:pPr>
              <w:widowControl/>
              <w:jc w:val="left"/>
              <w:rPr>
                <w:rFonts w:ascii="宋体" w:hAnsi="宋体" w:cs="宋体"/>
                <w:bCs/>
                <w:color w:val="auto"/>
                <w:kern w:val="0"/>
                <w:szCs w:val="21"/>
                <w:highlight w:val="none"/>
              </w:rPr>
            </w:pPr>
            <w:r>
              <w:rPr>
                <w:rFonts w:hint="eastAsia" w:ascii="宋体" w:hAnsi="宋体" w:cs="宋体"/>
                <w:b/>
                <w:color w:val="auto"/>
                <w:kern w:val="0"/>
                <w:szCs w:val="21"/>
                <w:highlight w:val="none"/>
              </w:rPr>
              <w:t>2、</w:t>
            </w:r>
            <w:r>
              <w:rPr>
                <w:rFonts w:hint="eastAsia" w:ascii="宋体" w:hAnsi="宋体" w:cs="宋体"/>
                <w:bCs/>
                <w:color w:val="auto"/>
                <w:kern w:val="0"/>
                <w:szCs w:val="21"/>
                <w:highlight w:val="none"/>
              </w:rPr>
              <w:t>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495EB92B">
            <w:pPr>
              <w:pStyle w:val="49"/>
              <w:spacing w:line="276" w:lineRule="auto"/>
              <w:ind w:firstLine="0"/>
              <w:rPr>
                <w:rFonts w:hint="eastAsia"/>
                <w:color w:val="auto"/>
                <w:highlight w:val="none"/>
                <w:lang w:bidi="ar"/>
              </w:rPr>
            </w:pPr>
            <w:r>
              <w:rPr>
                <w:rFonts w:hint="eastAsia" w:cs="宋体"/>
                <w:bCs/>
                <w:color w:val="auto"/>
                <w:sz w:val="21"/>
                <w:szCs w:val="21"/>
                <w:highlight w:val="none"/>
              </w:rPr>
              <w:t>3、招标人在免收投标保证金的同时，应约定免交投标保证金的投标人存在16.4条款所列情形的后续处理措施。</w:t>
            </w:r>
          </w:p>
        </w:tc>
      </w:tr>
      <w:tr w14:paraId="3C70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noWrap w:val="0"/>
            <w:vAlign w:val="center"/>
          </w:tcPr>
          <w:p w14:paraId="49C9C22B">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981" w:type="dxa"/>
            <w:noWrap w:val="0"/>
            <w:vAlign w:val="center"/>
          </w:tcPr>
          <w:p w14:paraId="1B42154C">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86" w:type="dxa"/>
            <w:noWrap w:val="0"/>
            <w:vAlign w:val="center"/>
          </w:tcPr>
          <w:p w14:paraId="276EC4E4">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5981" w:type="dxa"/>
            <w:noWrap w:val="0"/>
            <w:vAlign w:val="center"/>
          </w:tcPr>
          <w:p w14:paraId="23E5C9B4">
            <w:pPr>
              <w:pStyle w:val="27"/>
              <w:spacing w:line="360" w:lineRule="exac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u w:val="single"/>
              </w:rPr>
              <w:t>招标人不集中组织，由投标人自行踏勘。</w:t>
            </w:r>
          </w:p>
        </w:tc>
      </w:tr>
      <w:tr w14:paraId="2264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noWrap w:val="0"/>
            <w:vAlign w:val="center"/>
          </w:tcPr>
          <w:p w14:paraId="12409E13">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981" w:type="dxa"/>
            <w:noWrap w:val="0"/>
            <w:vAlign w:val="center"/>
          </w:tcPr>
          <w:p w14:paraId="1DC5BFC1">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686" w:type="dxa"/>
            <w:noWrap w:val="0"/>
            <w:vAlign w:val="center"/>
          </w:tcPr>
          <w:p w14:paraId="41BADD49">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投标答疑</w:t>
            </w:r>
          </w:p>
        </w:tc>
        <w:tc>
          <w:tcPr>
            <w:tcW w:w="5981" w:type="dxa"/>
            <w:noWrap w:val="0"/>
            <w:vAlign w:val="center"/>
          </w:tcPr>
          <w:p w14:paraId="32CCB10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1、疑问提交时间：</w:t>
            </w:r>
            <w:r>
              <w:rPr>
                <w:rFonts w:hint="eastAsia" w:ascii="宋体" w:hAnsi="宋体" w:cs="宋体"/>
                <w:color w:val="auto"/>
                <w:szCs w:val="21"/>
                <w:highlight w:val="none"/>
                <w:u w:val="single"/>
              </w:rPr>
              <w:t>在递交投标文件截止日期前18日</w:t>
            </w:r>
            <w:r>
              <w:rPr>
                <w:rFonts w:hint="eastAsia" w:ascii="宋体" w:hAnsi="宋体" w:cs="宋体"/>
                <w:color w:val="auto"/>
                <w:szCs w:val="21"/>
                <w:highlight w:val="none"/>
              </w:rPr>
              <w:t>；</w:t>
            </w:r>
          </w:p>
          <w:p w14:paraId="5FB4DD2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交易平台提交。提问一律不得署名。</w:t>
            </w:r>
          </w:p>
          <w:p w14:paraId="72C7A84E">
            <w:pPr>
              <w:rPr>
                <w:rFonts w:hint="eastAsia" w:ascii="宋体" w:hAnsi="宋体" w:cs="宋体"/>
                <w:color w:val="auto"/>
                <w:szCs w:val="21"/>
                <w:highlight w:val="none"/>
              </w:rPr>
            </w:pPr>
            <w:r>
              <w:rPr>
                <w:rFonts w:hint="eastAsia" w:ascii="宋体" w:hAnsi="宋体" w:cs="宋体"/>
                <w:color w:val="auto"/>
                <w:szCs w:val="21"/>
                <w:highlight w:val="none"/>
              </w:rPr>
              <w:t>3、招标人澄清、修补或答疑期限：</w:t>
            </w:r>
            <w:r>
              <w:rPr>
                <w:rFonts w:hint="eastAsia" w:ascii="宋体" w:hAnsi="宋体" w:cs="宋体"/>
                <w:color w:val="auto"/>
                <w:szCs w:val="21"/>
                <w:highlight w:val="none"/>
                <w:u w:val="single"/>
              </w:rPr>
              <w:t>在递交投标文件截止日期前15日</w:t>
            </w:r>
            <w:r>
              <w:rPr>
                <w:rFonts w:hint="eastAsia" w:ascii="宋体" w:hAnsi="宋体" w:cs="宋体"/>
                <w:color w:val="auto"/>
                <w:szCs w:val="21"/>
                <w:highlight w:val="none"/>
              </w:rPr>
              <w:t>；</w:t>
            </w:r>
          </w:p>
          <w:p w14:paraId="41E9357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4、网上答疑的操作指南为：</w:t>
            </w:r>
            <w:r>
              <w:rPr>
                <w:rFonts w:hint="eastAsia" w:ascii="宋体" w:hAnsi="宋体" w:cs="宋体"/>
                <w:color w:val="auto"/>
                <w:szCs w:val="21"/>
                <w:highlight w:val="none"/>
                <w:u w:val="single"/>
              </w:rPr>
              <w:t>登陆广州交易集团有限公司（广州公共资源交易中心）网站→进入交易业务/</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"http://ggzy.gz.gov.cn/jyywjsgcfwjzzbgg/index.jhtml"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u w:val="single"/>
              </w:rPr>
              <w:t>建设工程</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rPr>
              <w:t xml:space="preserve"> “网上答疑”专区→通过项目编号或名称找到所需的项目→在上述的答疑时间内点击“提问”→登录系统进入到提问区域→无记名或匿名提出问题以及查看所有的问题。</w:t>
            </w:r>
          </w:p>
        </w:tc>
      </w:tr>
      <w:tr w14:paraId="5F4F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noWrap w:val="0"/>
            <w:vAlign w:val="center"/>
          </w:tcPr>
          <w:p w14:paraId="2297B7DE">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981" w:type="dxa"/>
            <w:noWrap w:val="0"/>
            <w:vAlign w:val="center"/>
          </w:tcPr>
          <w:p w14:paraId="2E54F454">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686" w:type="dxa"/>
            <w:noWrap w:val="0"/>
            <w:vAlign w:val="center"/>
          </w:tcPr>
          <w:p w14:paraId="4B2A8340">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5981" w:type="dxa"/>
            <w:noWrap w:val="0"/>
            <w:vAlign w:val="center"/>
          </w:tcPr>
          <w:p w14:paraId="5951893C">
            <w:pPr>
              <w:spacing w:line="276" w:lineRule="auto"/>
              <w:rPr>
                <w:rFonts w:hint="eastAsia" w:ascii="宋体" w:hAnsi="宋体" w:cs="宋体"/>
                <w:strike/>
                <w:color w:val="auto"/>
                <w:szCs w:val="21"/>
                <w:highlight w:val="none"/>
              </w:rPr>
            </w:pPr>
            <w:r>
              <w:rPr>
                <w:rFonts w:hint="eastAsia" w:ascii="宋体" w:hAnsi="宋体" w:cs="宋体"/>
                <w:color w:val="auto"/>
                <w:szCs w:val="21"/>
                <w:highlight w:val="none"/>
                <w:u w:val="single"/>
                <w:lang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14:paraId="2125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02" w:type="dxa"/>
            <w:noWrap w:val="0"/>
            <w:vAlign w:val="center"/>
          </w:tcPr>
          <w:p w14:paraId="762D0713">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981" w:type="dxa"/>
            <w:noWrap w:val="0"/>
            <w:vAlign w:val="center"/>
          </w:tcPr>
          <w:p w14:paraId="00BC42E0">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686" w:type="dxa"/>
            <w:noWrap w:val="0"/>
            <w:vAlign w:val="center"/>
          </w:tcPr>
          <w:p w14:paraId="451A2F62">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开标开始时间和地点</w:t>
            </w:r>
          </w:p>
        </w:tc>
        <w:tc>
          <w:tcPr>
            <w:tcW w:w="5981" w:type="dxa"/>
            <w:noWrap w:val="0"/>
            <w:vAlign w:val="center"/>
          </w:tcPr>
          <w:p w14:paraId="2D2B605E">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（技术标和经济标同时开标）</w:t>
            </w:r>
          </w:p>
          <w:p w14:paraId="11CB3E50">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lang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开标室。</w:t>
            </w: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广州交易集团有限公司（广州公共资源交易中心）最新相关指引</w:t>
            </w:r>
            <w:r>
              <w:rPr>
                <w:rFonts w:hint="eastAsia" w:ascii="宋体" w:hAnsi="宋体" w:cs="宋体"/>
                <w:color w:val="auto"/>
                <w:szCs w:val="21"/>
                <w:highlight w:val="none"/>
              </w:rPr>
              <w:t>。</w:t>
            </w:r>
          </w:p>
          <w:p w14:paraId="2F89313E">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14:paraId="1156779F">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lang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lang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广州交易集团有限公司（广州公共资源交易中心）  开标室</w:t>
            </w:r>
            <w:r>
              <w:rPr>
                <w:rFonts w:hint="eastAsia" w:ascii="宋体" w:hAnsi="宋体" w:cs="宋体"/>
                <w:color w:val="auto"/>
                <w:szCs w:val="21"/>
                <w:highlight w:val="none"/>
              </w:rPr>
              <w:t>。</w:t>
            </w:r>
          </w:p>
          <w:p w14:paraId="4D4BE20D">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上述时间及地点是否有改变，请密切留意补充公告和招标答疑纪要的相关信息。</w:t>
            </w:r>
          </w:p>
          <w:p w14:paraId="4D063C22">
            <w:pPr>
              <w:spacing w:line="276" w:lineRule="auto"/>
              <w:rPr>
                <w:rFonts w:hint="eastAsia" w:ascii="宋体" w:hAnsi="宋体" w:cs="宋体"/>
                <w:color w:val="auto"/>
                <w:szCs w:val="21"/>
                <w:highlight w:val="none"/>
                <w:u w:val="single"/>
              </w:rPr>
            </w:pPr>
            <w:r>
              <w:rPr>
                <w:rFonts w:hint="eastAsia" w:ascii="宋体" w:hAnsi="宋体" w:cs="宋体"/>
                <w:b/>
                <w:bCs/>
                <w:color w:val="auto"/>
                <w:szCs w:val="21"/>
                <w:highlight w:val="none"/>
                <w:u w:val="single"/>
              </w:rPr>
              <w:t>请各投标人密切留意广州交易集团有限公司（广州公共资源交易中心）公布本项目的日程安排，投标人可登录广州交易集团有限公司（广州公共资源交易中心）网站首页，点击“建设工程”专栏中的“项目查询（日程安排、答疑纪要）”输入项目编号或项目名称查询最新信息安排。</w:t>
            </w:r>
          </w:p>
        </w:tc>
      </w:tr>
      <w:tr w14:paraId="7C74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02" w:type="dxa"/>
            <w:noWrap w:val="0"/>
            <w:vAlign w:val="center"/>
          </w:tcPr>
          <w:p w14:paraId="1866BE48">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981" w:type="dxa"/>
            <w:noWrap w:val="0"/>
            <w:vAlign w:val="center"/>
          </w:tcPr>
          <w:p w14:paraId="0999E8A0">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686" w:type="dxa"/>
            <w:noWrap w:val="0"/>
            <w:vAlign w:val="center"/>
          </w:tcPr>
          <w:p w14:paraId="63E89E19">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开标评标办法</w:t>
            </w:r>
          </w:p>
        </w:tc>
        <w:tc>
          <w:tcPr>
            <w:tcW w:w="5981" w:type="dxa"/>
            <w:noWrap w:val="0"/>
            <w:vAlign w:val="center"/>
          </w:tcPr>
          <w:p w14:paraId="62F83380">
            <w:pPr>
              <w:spacing w:after="120"/>
              <w:rPr>
                <w:rFonts w:ascii="宋体" w:hAnsi="宋体" w:cs="宋体"/>
                <w:color w:val="auto"/>
                <w:szCs w:val="21"/>
                <w:highlight w:val="none"/>
              </w:rPr>
            </w:pPr>
            <w:r>
              <w:rPr>
                <w:rFonts w:hint="eastAsia" w:ascii="宋体" w:hAnsi="宋体" w:cs="宋体"/>
                <w:color w:val="auto"/>
                <w:szCs w:val="21"/>
                <w:highlight w:val="none"/>
              </w:rPr>
              <w:t>方式一：选取</w:t>
            </w:r>
            <w:r>
              <w:rPr>
                <w:rFonts w:hint="eastAsia" w:ascii="宋体" w:hAnsi="宋体" w:cs="宋体"/>
                <w:color w:val="auto"/>
                <w:szCs w:val="21"/>
                <w:highlight w:val="none"/>
                <w:u w:val="single"/>
              </w:rPr>
              <w:t>办法六（适合综合评分法三，技术标与经济标同时开启），采用两阶段综合评标法，具体内容如下：</w:t>
            </w:r>
          </w:p>
          <w:p w14:paraId="75E4AE99">
            <w:pPr>
              <w:widowControl/>
              <w:jc w:val="left"/>
              <w:rPr>
                <w:rFonts w:hint="eastAsia" w:ascii="宋体" w:hAnsi="宋体" w:cs="宋体"/>
                <w:b/>
                <w:color w:val="auto"/>
                <w:kern w:val="0"/>
                <w:szCs w:val="21"/>
                <w:highlight w:val="none"/>
                <w:u w:val="single"/>
                <w:lang w:bidi="ar"/>
              </w:rPr>
            </w:pPr>
            <w:r>
              <w:rPr>
                <w:rFonts w:hint="eastAsia" w:ascii="宋体" w:hAnsi="宋体" w:cs="宋体"/>
                <w:b/>
                <w:color w:val="auto"/>
                <w:kern w:val="0"/>
                <w:szCs w:val="21"/>
                <w:highlight w:val="none"/>
                <w:u w:val="single"/>
                <w:lang w:bidi="ar"/>
              </w:rPr>
              <w:t>第一阶段得分=</w:t>
            </w:r>
            <w:r>
              <w:rPr>
                <w:rFonts w:hint="eastAsia" w:ascii="宋体" w:hAnsi="宋体" w:cs="宋体"/>
                <w:b/>
                <w:color w:val="auto"/>
                <w:kern w:val="0"/>
                <w:szCs w:val="21"/>
                <w:highlight w:val="none"/>
                <w:u w:val="single"/>
                <w:lang w:eastAsia="zh-CN" w:bidi="ar"/>
              </w:rPr>
              <w:t>投标报价</w:t>
            </w:r>
            <w:r>
              <w:rPr>
                <w:rFonts w:hint="eastAsia" w:ascii="宋体" w:hAnsi="宋体" w:cs="宋体"/>
                <w:b/>
                <w:color w:val="auto"/>
                <w:kern w:val="0"/>
                <w:szCs w:val="21"/>
                <w:highlight w:val="none"/>
                <w:u w:val="single"/>
                <w:lang w:bidi="ar"/>
              </w:rPr>
              <w:t>得分</w:t>
            </w:r>
            <w:r>
              <w:rPr>
                <w:rFonts w:hint="eastAsia" w:ascii="宋体" w:hAnsi="宋体" w:eastAsia="宋体" w:cs="宋体"/>
                <w:b/>
                <w:color w:val="auto"/>
                <w:kern w:val="0"/>
                <w:sz w:val="21"/>
                <w:szCs w:val="21"/>
                <w:highlight w:val="none"/>
                <w:u w:val="single"/>
                <w:lang w:bidi="ar"/>
              </w:rPr>
              <w:t>（100分）</w:t>
            </w:r>
            <w:r>
              <w:rPr>
                <w:rFonts w:hint="eastAsia" w:ascii="宋体" w:hAnsi="宋体" w:cs="宋体"/>
                <w:b/>
                <w:color w:val="auto"/>
                <w:kern w:val="0"/>
                <w:szCs w:val="21"/>
                <w:highlight w:val="none"/>
                <w:u w:val="single"/>
                <w:lang w:bidi="ar"/>
              </w:rPr>
              <w:t>×</w:t>
            </w:r>
            <w:r>
              <w:rPr>
                <w:rFonts w:hint="eastAsia" w:ascii="宋体" w:hAnsi="宋体" w:cs="宋体"/>
                <w:b/>
                <w:color w:val="auto"/>
                <w:kern w:val="0"/>
                <w:szCs w:val="21"/>
                <w:highlight w:val="none"/>
                <w:u w:val="single"/>
                <w:lang w:eastAsia="zh-CN" w:bidi="ar"/>
              </w:rPr>
              <w:t>投标报价</w:t>
            </w:r>
            <w:r>
              <w:rPr>
                <w:rFonts w:hint="eastAsia" w:ascii="宋体" w:hAnsi="宋体" w:cs="宋体"/>
                <w:b/>
                <w:color w:val="auto"/>
                <w:kern w:val="0"/>
                <w:szCs w:val="21"/>
                <w:highlight w:val="none"/>
                <w:u w:val="single"/>
                <w:lang w:bidi="ar"/>
              </w:rPr>
              <w:t>分权重（</w:t>
            </w:r>
            <w:r>
              <w:rPr>
                <w:rFonts w:hint="eastAsia" w:ascii="宋体" w:hAnsi="宋体" w:cs="宋体"/>
                <w:b/>
                <w:color w:val="auto"/>
                <w:kern w:val="0"/>
                <w:szCs w:val="21"/>
                <w:highlight w:val="none"/>
                <w:u w:val="single"/>
                <w:lang w:val="en-US" w:eastAsia="zh-CN" w:bidi="ar"/>
              </w:rPr>
              <w:t>4</w:t>
            </w:r>
            <w:r>
              <w:rPr>
                <w:rFonts w:hint="eastAsia" w:ascii="宋体" w:hAnsi="宋体" w:cs="宋体"/>
                <w:b/>
                <w:color w:val="auto"/>
                <w:kern w:val="0"/>
                <w:szCs w:val="21"/>
                <w:highlight w:val="none"/>
                <w:u w:val="single"/>
                <w:lang w:bidi="ar"/>
              </w:rPr>
              <w:t>0%）+技术得分</w:t>
            </w:r>
            <w:r>
              <w:rPr>
                <w:rFonts w:hint="eastAsia" w:ascii="宋体" w:hAnsi="宋体" w:eastAsia="宋体" w:cs="宋体"/>
                <w:b/>
                <w:color w:val="auto"/>
                <w:kern w:val="0"/>
                <w:sz w:val="21"/>
                <w:szCs w:val="21"/>
                <w:highlight w:val="none"/>
                <w:u w:val="single"/>
                <w:lang w:bidi="ar"/>
              </w:rPr>
              <w:t>（100分）</w:t>
            </w:r>
            <w:r>
              <w:rPr>
                <w:rFonts w:hint="eastAsia" w:ascii="宋体" w:hAnsi="宋体" w:cs="宋体"/>
                <w:b/>
                <w:color w:val="auto"/>
                <w:kern w:val="0"/>
                <w:szCs w:val="21"/>
                <w:highlight w:val="none"/>
                <w:u w:val="single"/>
                <w:lang w:bidi="ar"/>
              </w:rPr>
              <w:t>×技术分权重（</w:t>
            </w:r>
            <w:r>
              <w:rPr>
                <w:rFonts w:hint="eastAsia" w:ascii="宋体" w:hAnsi="宋体" w:cs="宋体"/>
                <w:b/>
                <w:color w:val="auto"/>
                <w:kern w:val="0"/>
                <w:szCs w:val="21"/>
                <w:highlight w:val="none"/>
                <w:u w:val="single"/>
                <w:lang w:val="en-US" w:eastAsia="zh-CN" w:bidi="ar"/>
              </w:rPr>
              <w:t>6</w:t>
            </w:r>
            <w:r>
              <w:rPr>
                <w:rFonts w:hint="eastAsia" w:ascii="宋体" w:hAnsi="宋体" w:cs="宋体"/>
                <w:b/>
                <w:color w:val="auto"/>
                <w:kern w:val="0"/>
                <w:szCs w:val="21"/>
                <w:highlight w:val="none"/>
                <w:u w:val="single"/>
                <w:lang w:bidi="ar"/>
              </w:rPr>
              <w:t>0%）。</w:t>
            </w:r>
          </w:p>
          <w:p w14:paraId="6DAB0D14">
            <w:pPr>
              <w:pStyle w:val="48"/>
              <w:spacing w:after="0" w:line="276" w:lineRule="auto"/>
              <w:ind w:firstLine="0"/>
              <w:rPr>
                <w:rFonts w:hint="eastAsia" w:ascii="宋体" w:hAnsi="宋体" w:cs="宋体"/>
                <w:b/>
                <w:color w:val="auto"/>
                <w:sz w:val="21"/>
                <w:szCs w:val="21"/>
                <w:highlight w:val="none"/>
                <w:u w:val="single"/>
                <w:lang w:bidi="ar"/>
              </w:rPr>
            </w:pPr>
            <w:r>
              <w:rPr>
                <w:rFonts w:hint="eastAsia" w:ascii="宋体" w:hAnsi="宋体" w:eastAsia="宋体" w:cs="宋体"/>
                <w:b/>
                <w:bCs w:val="0"/>
                <w:color w:val="auto"/>
                <w:sz w:val="21"/>
                <w:szCs w:val="21"/>
                <w:highlight w:val="none"/>
                <w:u w:val="single"/>
                <w:lang w:bidi="ar"/>
              </w:rPr>
              <w:t>第二阶段得分（</w:t>
            </w:r>
            <w:r>
              <w:rPr>
                <w:rFonts w:hint="eastAsia" w:ascii="宋体" w:hAnsi="宋体" w:eastAsia="宋体" w:cs="宋体"/>
                <w:b/>
                <w:color w:val="auto"/>
                <w:sz w:val="21"/>
                <w:szCs w:val="21"/>
                <w:highlight w:val="none"/>
                <w:u w:val="single"/>
                <w:lang w:bidi="ar"/>
              </w:rPr>
              <w:t>总得分</w:t>
            </w:r>
            <w:r>
              <w:rPr>
                <w:rFonts w:hint="eastAsia" w:ascii="宋体" w:hAnsi="宋体" w:eastAsia="宋体" w:cs="宋体"/>
                <w:b/>
                <w:color w:val="auto"/>
                <w:sz w:val="21"/>
                <w:szCs w:val="21"/>
                <w:highlight w:val="none"/>
                <w:u w:val="single"/>
                <w:lang w:eastAsia="zh-CN" w:bidi="ar"/>
              </w:rPr>
              <w:t>，</w:t>
            </w:r>
            <w:r>
              <w:rPr>
                <w:rFonts w:hint="eastAsia" w:ascii="宋体" w:hAnsi="宋体" w:eastAsia="宋体" w:cs="宋体"/>
                <w:b/>
                <w:color w:val="auto"/>
                <w:sz w:val="21"/>
                <w:szCs w:val="21"/>
                <w:highlight w:val="none"/>
                <w:u w:val="single"/>
                <w:lang w:bidi="ar"/>
              </w:rPr>
              <w:t>满分为100分）=</w:t>
            </w:r>
            <w:r>
              <w:rPr>
                <w:rFonts w:hint="eastAsia" w:ascii="宋体" w:hAnsi="宋体" w:eastAsia="宋体" w:cs="宋体"/>
                <w:b/>
                <w:color w:val="auto"/>
                <w:kern w:val="0"/>
                <w:sz w:val="21"/>
                <w:szCs w:val="21"/>
                <w:highlight w:val="none"/>
                <w:u w:val="single"/>
                <w:lang w:eastAsia="zh-CN" w:bidi="ar"/>
              </w:rPr>
              <w:t>投标报价</w:t>
            </w:r>
            <w:r>
              <w:rPr>
                <w:rFonts w:hint="eastAsia" w:ascii="宋体" w:hAnsi="宋体" w:eastAsia="宋体" w:cs="宋体"/>
                <w:b/>
                <w:color w:val="auto"/>
                <w:kern w:val="0"/>
                <w:sz w:val="21"/>
                <w:szCs w:val="21"/>
                <w:highlight w:val="none"/>
                <w:u w:val="single"/>
                <w:lang w:bidi="ar"/>
              </w:rPr>
              <w:t>得分（100分）×</w:t>
            </w:r>
            <w:r>
              <w:rPr>
                <w:rFonts w:hint="eastAsia" w:ascii="宋体" w:hAnsi="宋体" w:eastAsia="宋体" w:cs="宋体"/>
                <w:b/>
                <w:color w:val="auto"/>
                <w:kern w:val="0"/>
                <w:sz w:val="21"/>
                <w:szCs w:val="21"/>
                <w:highlight w:val="none"/>
                <w:u w:val="single"/>
                <w:lang w:eastAsia="zh-CN" w:bidi="ar"/>
              </w:rPr>
              <w:t>投标报价</w:t>
            </w:r>
            <w:r>
              <w:rPr>
                <w:rFonts w:hint="eastAsia" w:ascii="宋体" w:hAnsi="宋体" w:eastAsia="宋体" w:cs="宋体"/>
                <w:b/>
                <w:color w:val="auto"/>
                <w:kern w:val="0"/>
                <w:sz w:val="21"/>
                <w:szCs w:val="21"/>
                <w:highlight w:val="none"/>
                <w:u w:val="single"/>
                <w:lang w:bidi="ar"/>
              </w:rPr>
              <w:t>分权重（</w:t>
            </w:r>
            <w:r>
              <w:rPr>
                <w:rFonts w:hint="eastAsia" w:ascii="宋体" w:hAnsi="宋体" w:eastAsia="宋体" w:cs="宋体"/>
                <w:b/>
                <w:color w:val="auto"/>
                <w:kern w:val="0"/>
                <w:sz w:val="21"/>
                <w:szCs w:val="21"/>
                <w:highlight w:val="none"/>
                <w:u w:val="single"/>
                <w:lang w:val="en-US" w:eastAsia="zh-CN" w:bidi="ar"/>
              </w:rPr>
              <w:t>7</w:t>
            </w:r>
            <w:r>
              <w:rPr>
                <w:rFonts w:hint="eastAsia" w:ascii="宋体" w:hAnsi="宋体" w:eastAsia="宋体" w:cs="宋体"/>
                <w:b/>
                <w:color w:val="auto"/>
                <w:kern w:val="0"/>
                <w:sz w:val="21"/>
                <w:szCs w:val="21"/>
                <w:highlight w:val="none"/>
                <w:u w:val="single"/>
                <w:lang w:bidi="ar"/>
              </w:rPr>
              <w:t>0%）</w:t>
            </w:r>
            <w:r>
              <w:rPr>
                <w:rFonts w:hint="eastAsia" w:ascii="宋体" w:hAnsi="宋体" w:eastAsia="宋体" w:cs="宋体"/>
                <w:b/>
                <w:color w:val="auto"/>
                <w:sz w:val="21"/>
                <w:szCs w:val="21"/>
                <w:highlight w:val="none"/>
                <w:u w:val="single"/>
                <w:lang w:bidi="ar"/>
              </w:rPr>
              <w:t>+项</w:t>
            </w:r>
            <w:r>
              <w:rPr>
                <w:rFonts w:hint="eastAsia" w:ascii="宋体" w:hAnsi="宋体" w:eastAsia="宋体" w:cs="宋体"/>
                <w:b/>
                <w:bCs w:val="0"/>
                <w:color w:val="auto"/>
                <w:sz w:val="21"/>
                <w:szCs w:val="21"/>
                <w:highlight w:val="none"/>
                <w:u w:val="single"/>
                <w:lang w:bidi="ar"/>
              </w:rPr>
              <w:t>目管理班子答辩得分（</w:t>
            </w:r>
            <w:r>
              <w:rPr>
                <w:rFonts w:hint="eastAsia" w:ascii="宋体" w:hAnsi="宋体" w:eastAsia="宋体" w:cs="宋体"/>
                <w:b/>
                <w:bCs w:val="0"/>
                <w:color w:val="auto"/>
                <w:sz w:val="21"/>
                <w:szCs w:val="21"/>
                <w:highlight w:val="none"/>
                <w:u w:val="single"/>
                <w:lang w:val="en-US" w:eastAsia="zh-CN" w:bidi="ar"/>
              </w:rPr>
              <w:t>2</w:t>
            </w:r>
            <w:r>
              <w:rPr>
                <w:rFonts w:hint="eastAsia" w:ascii="宋体" w:hAnsi="宋体" w:eastAsia="宋体" w:cs="宋体"/>
                <w:b/>
                <w:bCs w:val="0"/>
                <w:color w:val="auto"/>
                <w:sz w:val="21"/>
                <w:szCs w:val="21"/>
                <w:highlight w:val="none"/>
                <w:u w:val="single"/>
                <w:lang w:bidi="ar"/>
              </w:rPr>
              <w:t>0分）</w:t>
            </w:r>
            <w:r>
              <w:rPr>
                <w:rFonts w:hint="eastAsia" w:ascii="宋体" w:hAnsi="宋体" w:eastAsia="宋体" w:cs="宋体"/>
                <w:b/>
                <w:bCs w:val="0"/>
                <w:color w:val="auto"/>
                <w:kern w:val="0"/>
                <w:sz w:val="21"/>
                <w:szCs w:val="21"/>
                <w:highlight w:val="none"/>
                <w:u w:val="single"/>
                <w:lang w:bidi="ar"/>
              </w:rPr>
              <w:t>×</w:t>
            </w:r>
            <w:r>
              <w:rPr>
                <w:rFonts w:hint="eastAsia" w:ascii="宋体" w:hAnsi="宋体" w:eastAsia="宋体" w:cs="宋体"/>
                <w:b/>
                <w:bCs w:val="0"/>
                <w:color w:val="auto"/>
                <w:sz w:val="21"/>
                <w:szCs w:val="21"/>
                <w:highlight w:val="none"/>
                <w:u w:val="single"/>
                <w:lang w:bidi="ar"/>
              </w:rPr>
              <w:t>项目管理班子答辩</w:t>
            </w:r>
            <w:r>
              <w:rPr>
                <w:rFonts w:hint="eastAsia" w:ascii="宋体" w:hAnsi="宋体" w:eastAsia="宋体" w:cs="宋体"/>
                <w:b/>
                <w:bCs w:val="0"/>
                <w:color w:val="auto"/>
                <w:sz w:val="21"/>
                <w:szCs w:val="21"/>
                <w:highlight w:val="none"/>
                <w:u w:val="single"/>
                <w:lang w:val="en-US" w:eastAsia="zh-CN" w:bidi="ar"/>
              </w:rPr>
              <w:t>分</w:t>
            </w:r>
            <w:r>
              <w:rPr>
                <w:rFonts w:hint="eastAsia" w:ascii="宋体" w:hAnsi="宋体" w:eastAsia="宋体" w:cs="宋体"/>
                <w:b/>
                <w:bCs w:val="0"/>
                <w:color w:val="auto"/>
                <w:sz w:val="21"/>
                <w:szCs w:val="21"/>
                <w:highlight w:val="none"/>
                <w:u w:val="single"/>
                <w:lang w:bidi="ar"/>
              </w:rPr>
              <w:t>权重（100%）</w:t>
            </w:r>
            <w:r>
              <w:rPr>
                <w:rFonts w:hint="eastAsia" w:ascii="宋体" w:hAnsi="宋体" w:eastAsia="宋体" w:cs="宋体"/>
                <w:b/>
                <w:bCs w:val="0"/>
                <w:color w:val="auto"/>
                <w:sz w:val="21"/>
                <w:szCs w:val="21"/>
                <w:highlight w:val="none"/>
                <w:u w:val="single"/>
                <w:lang w:val="en-US" w:eastAsia="zh-CN" w:bidi="ar"/>
              </w:rPr>
              <w:t>+</w:t>
            </w:r>
            <w:r>
              <w:rPr>
                <w:rFonts w:hint="eastAsia" w:ascii="宋体" w:hAnsi="宋体" w:eastAsia="宋体" w:cs="宋体"/>
                <w:b/>
                <w:bCs w:val="0"/>
                <w:color w:val="auto"/>
                <w:kern w:val="0"/>
                <w:sz w:val="21"/>
                <w:szCs w:val="21"/>
                <w:highlight w:val="none"/>
                <w:u w:val="single"/>
                <w:lang w:bidi="ar"/>
              </w:rPr>
              <w:t>施工组织设计</w:t>
            </w:r>
            <w:r>
              <w:rPr>
                <w:rFonts w:hint="eastAsia" w:ascii="宋体" w:hAnsi="宋体" w:eastAsia="宋体" w:cs="宋体"/>
                <w:b/>
                <w:bCs w:val="0"/>
                <w:color w:val="auto"/>
                <w:kern w:val="0"/>
                <w:sz w:val="21"/>
                <w:szCs w:val="21"/>
                <w:highlight w:val="none"/>
                <w:u w:val="single"/>
                <w:lang w:val="en-US" w:eastAsia="zh-CN" w:bidi="ar"/>
              </w:rPr>
              <w:t>得分</w:t>
            </w:r>
            <w:r>
              <w:rPr>
                <w:rFonts w:hint="eastAsia" w:ascii="宋体" w:hAnsi="宋体" w:eastAsia="宋体" w:cs="宋体"/>
                <w:b/>
                <w:bCs w:val="0"/>
                <w:color w:val="auto"/>
                <w:sz w:val="21"/>
                <w:szCs w:val="21"/>
                <w:highlight w:val="none"/>
                <w:u w:val="single"/>
                <w:lang w:bidi="ar"/>
              </w:rPr>
              <w:t>（</w:t>
            </w:r>
            <w:r>
              <w:rPr>
                <w:rFonts w:hint="eastAsia" w:ascii="宋体" w:hAnsi="宋体" w:eastAsia="宋体" w:cs="宋体"/>
                <w:b/>
                <w:bCs w:val="0"/>
                <w:color w:val="auto"/>
                <w:sz w:val="21"/>
                <w:szCs w:val="21"/>
                <w:highlight w:val="none"/>
                <w:u w:val="single"/>
                <w:lang w:eastAsia="zh-CN" w:bidi="ar"/>
              </w:rPr>
              <w:t>1</w:t>
            </w:r>
            <w:r>
              <w:rPr>
                <w:rFonts w:hint="eastAsia" w:ascii="宋体" w:hAnsi="宋体" w:eastAsia="宋体" w:cs="宋体"/>
                <w:b/>
                <w:bCs w:val="0"/>
                <w:color w:val="auto"/>
                <w:sz w:val="21"/>
                <w:szCs w:val="21"/>
                <w:highlight w:val="none"/>
                <w:u w:val="single"/>
                <w:lang w:bidi="ar"/>
              </w:rPr>
              <w:t>0分）</w:t>
            </w:r>
            <w:r>
              <w:rPr>
                <w:rFonts w:hint="eastAsia" w:ascii="宋体" w:hAnsi="宋体" w:eastAsia="宋体" w:cs="宋体"/>
                <w:b/>
                <w:bCs w:val="0"/>
                <w:color w:val="auto"/>
                <w:kern w:val="0"/>
                <w:sz w:val="21"/>
                <w:szCs w:val="21"/>
                <w:highlight w:val="none"/>
                <w:u w:val="single"/>
                <w:lang w:bidi="ar"/>
              </w:rPr>
              <w:t>×</w:t>
            </w:r>
            <w:r>
              <w:rPr>
                <w:rFonts w:hint="eastAsia" w:ascii="宋体" w:hAnsi="宋体" w:eastAsia="宋体" w:cs="宋体"/>
                <w:b/>
                <w:bCs/>
                <w:color w:val="auto"/>
                <w:kern w:val="2"/>
                <w:sz w:val="21"/>
                <w:szCs w:val="21"/>
                <w:highlight w:val="none"/>
                <w:u w:val="single"/>
                <w:lang w:bidi="ar"/>
              </w:rPr>
              <w:t>施工组织设计</w:t>
            </w:r>
            <w:r>
              <w:rPr>
                <w:rFonts w:hint="eastAsia" w:ascii="宋体" w:hAnsi="宋体" w:eastAsia="宋体" w:cs="宋体"/>
                <w:b/>
                <w:bCs/>
                <w:color w:val="auto"/>
                <w:kern w:val="2"/>
                <w:sz w:val="21"/>
                <w:szCs w:val="21"/>
                <w:highlight w:val="none"/>
                <w:u w:val="single"/>
                <w:lang w:val="en-US" w:eastAsia="zh-CN" w:bidi="ar"/>
              </w:rPr>
              <w:t>分</w:t>
            </w:r>
            <w:r>
              <w:rPr>
                <w:rFonts w:hint="eastAsia" w:ascii="宋体" w:hAnsi="宋体" w:eastAsia="宋体" w:cs="宋体"/>
                <w:b/>
                <w:bCs w:val="0"/>
                <w:color w:val="auto"/>
                <w:sz w:val="21"/>
                <w:szCs w:val="21"/>
                <w:highlight w:val="none"/>
                <w:u w:val="single"/>
                <w:lang w:bidi="ar"/>
              </w:rPr>
              <w:t>权重（100%）</w:t>
            </w:r>
          </w:p>
        </w:tc>
      </w:tr>
      <w:tr w14:paraId="25AA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noWrap w:val="0"/>
            <w:vAlign w:val="center"/>
          </w:tcPr>
          <w:p w14:paraId="229EA5C4">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981" w:type="dxa"/>
            <w:noWrap w:val="0"/>
            <w:vAlign w:val="center"/>
          </w:tcPr>
          <w:p w14:paraId="139EE79D">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1686" w:type="dxa"/>
            <w:noWrap w:val="0"/>
            <w:vAlign w:val="center"/>
          </w:tcPr>
          <w:p w14:paraId="07FDDE16">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5981" w:type="dxa"/>
            <w:noWrap w:val="0"/>
            <w:vAlign w:val="center"/>
          </w:tcPr>
          <w:p w14:paraId="295B1B64">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方式一：中标人提供的履约保证金为中标价款的10%。</w:t>
            </w:r>
          </w:p>
          <w:p w14:paraId="6BF407A9">
            <w:pPr>
              <w:spacing w:line="276" w:lineRule="auto"/>
              <w:rPr>
                <w:rFonts w:hint="eastAsia" w:ascii="宋体" w:hAnsi="宋体" w:cs="宋体"/>
                <w:color w:val="auto"/>
                <w:szCs w:val="21"/>
                <w:highlight w:val="none"/>
              </w:rPr>
            </w:pPr>
            <w:r>
              <w:rPr>
                <w:rFonts w:hint="eastAsia" w:ascii="宋体" w:hAnsi="宋体" w:cs="宋体"/>
                <w:color w:val="auto"/>
                <w:szCs w:val="21"/>
                <w:highlight w:val="none"/>
                <w:u w:val="single"/>
              </w:rPr>
              <w:t>承包人在收到中标通知书后20天之内并在签订合同协议书之前，应向发包人提交履约担保。</w:t>
            </w:r>
          </w:p>
        </w:tc>
      </w:tr>
      <w:tr w14:paraId="660C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02" w:type="dxa"/>
            <w:noWrap w:val="0"/>
            <w:vAlign w:val="center"/>
          </w:tcPr>
          <w:p w14:paraId="4B5C614D">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81" w:type="dxa"/>
            <w:noWrap w:val="0"/>
            <w:vAlign w:val="center"/>
          </w:tcPr>
          <w:p w14:paraId="7FE007A3">
            <w:pPr>
              <w:spacing w:line="276" w:lineRule="auto"/>
              <w:jc w:val="center"/>
              <w:rPr>
                <w:rFonts w:hint="eastAsia" w:ascii="宋体" w:hAnsi="宋体" w:cs="宋体"/>
                <w:color w:val="auto"/>
                <w:szCs w:val="21"/>
                <w:highlight w:val="none"/>
              </w:rPr>
            </w:pPr>
          </w:p>
        </w:tc>
        <w:tc>
          <w:tcPr>
            <w:tcW w:w="1686" w:type="dxa"/>
            <w:noWrap w:val="0"/>
            <w:vAlign w:val="center"/>
          </w:tcPr>
          <w:p w14:paraId="0CF022D2">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5981" w:type="dxa"/>
            <w:noWrap w:val="0"/>
            <w:vAlign w:val="center"/>
          </w:tcPr>
          <w:p w14:paraId="7DE543F5">
            <w:pPr>
              <w:pStyle w:val="2"/>
              <w:rPr>
                <w:rFonts w:hint="eastAsia"/>
                <w:color w:val="auto"/>
                <w:sz w:val="21"/>
                <w:szCs w:val="21"/>
                <w:highlight w:val="none"/>
              </w:rPr>
            </w:pPr>
            <w:r>
              <w:rPr>
                <w:rFonts w:hint="eastAsia" w:ascii="宋体" w:hAnsi="Courier New" w:cs="Times New Roman"/>
                <w:color w:val="auto"/>
                <w:sz w:val="21"/>
                <w:szCs w:val="21"/>
                <w:highlight w:val="none"/>
              </w:rPr>
              <w:t>最高投标限价</w:t>
            </w:r>
            <w:r>
              <w:rPr>
                <w:rFonts w:hint="eastAsia" w:ascii="宋体" w:hAnsi="Courier New" w:eastAsia="宋体" w:cs="Times New Roman"/>
                <w:color w:val="auto"/>
                <w:sz w:val="21"/>
                <w:szCs w:val="21"/>
                <w:highlight w:val="none"/>
                <w:u w:val="none"/>
                <w:lang w:val="en-US" w:eastAsia="zh-CN" w:bidi="ar"/>
              </w:rPr>
              <w:t>776,146,587.10</w:t>
            </w:r>
            <w:r>
              <w:rPr>
                <w:rFonts w:hint="eastAsia" w:ascii="宋体" w:hAnsi="Courier New" w:cs="Times New Roman"/>
                <w:color w:val="auto"/>
                <w:sz w:val="21"/>
                <w:szCs w:val="21"/>
                <w:highlight w:val="none"/>
                <w:u w:val="none"/>
              </w:rPr>
              <w:t>元</w:t>
            </w:r>
            <w:r>
              <w:rPr>
                <w:rFonts w:hint="eastAsia" w:ascii="宋体" w:hAnsi="Courier New" w:cs="Times New Roman"/>
                <w:color w:val="auto"/>
                <w:sz w:val="21"/>
                <w:szCs w:val="21"/>
                <w:highlight w:val="none"/>
              </w:rPr>
              <w:t>，其中建安工程费最高投标限价为人民币</w:t>
            </w:r>
            <w:r>
              <w:rPr>
                <w:rFonts w:hint="eastAsia" w:ascii="宋体" w:hAnsi="Courier New" w:eastAsia="宋体" w:cs="Times New Roman"/>
                <w:color w:val="auto"/>
                <w:sz w:val="21"/>
                <w:szCs w:val="21"/>
                <w:highlight w:val="none"/>
                <w:u w:val="none"/>
                <w:lang w:bidi="ar"/>
              </w:rPr>
              <w:t xml:space="preserve"> </w:t>
            </w:r>
            <w:r>
              <w:rPr>
                <w:rFonts w:hint="eastAsia" w:ascii="宋体" w:hAnsi="Courier New" w:eastAsia="宋体" w:cs="Times New Roman"/>
                <w:color w:val="auto"/>
                <w:sz w:val="21"/>
                <w:szCs w:val="21"/>
                <w:highlight w:val="none"/>
                <w:u w:val="none"/>
                <w:lang w:val="en-US" w:eastAsia="zh-CN" w:bidi="ar"/>
              </w:rPr>
              <w:t>773,368,287.10</w:t>
            </w:r>
            <w:r>
              <w:rPr>
                <w:rFonts w:hint="eastAsia" w:ascii="宋体" w:hAnsi="Courier New" w:cs="Times New Roman"/>
                <w:color w:val="auto"/>
                <w:sz w:val="21"/>
                <w:szCs w:val="21"/>
                <w:highlight w:val="none"/>
                <w:u w:val="none"/>
              </w:rPr>
              <w:t>元</w:t>
            </w:r>
            <w:r>
              <w:rPr>
                <w:rFonts w:hint="eastAsia" w:ascii="宋体" w:hAnsi="Courier New" w:cs="Times New Roman"/>
                <w:color w:val="auto"/>
                <w:sz w:val="21"/>
                <w:szCs w:val="21"/>
                <w:highlight w:val="none"/>
              </w:rPr>
              <w:t>,BIM应用费最高投标限价为人民币</w:t>
            </w:r>
            <w:r>
              <w:rPr>
                <w:rFonts w:hint="eastAsia" w:ascii="宋体" w:hAnsi="Courier New" w:eastAsia="宋体" w:cs="Times New Roman"/>
                <w:color w:val="auto"/>
                <w:sz w:val="21"/>
                <w:szCs w:val="21"/>
                <w:highlight w:val="none"/>
                <w:u w:val="none"/>
                <w:lang w:val="en-US" w:eastAsia="zh-CN" w:bidi="ar"/>
              </w:rPr>
              <w:t>2,778,300.00</w:t>
            </w:r>
            <w:r>
              <w:rPr>
                <w:rFonts w:hint="eastAsia" w:ascii="宋体" w:hAnsi="Courier New" w:cs="Times New Roman"/>
                <w:color w:val="auto"/>
                <w:sz w:val="21"/>
                <w:szCs w:val="21"/>
                <w:highlight w:val="none"/>
                <w:u w:val="none"/>
              </w:rPr>
              <w:t>元。</w:t>
            </w:r>
          </w:p>
          <w:p w14:paraId="5BBCD580">
            <w:pPr>
              <w:rPr>
                <w:color w:val="auto"/>
                <w:szCs w:val="21"/>
                <w:highlight w:val="none"/>
              </w:rPr>
            </w:pPr>
            <w:r>
              <w:rPr>
                <w:rFonts w:hint="eastAsia" w:ascii="宋体" w:hAnsi="宋体" w:cs="宋体"/>
                <w:b/>
                <w:bCs/>
                <w:color w:val="auto"/>
                <w:szCs w:val="21"/>
                <w:highlight w:val="none"/>
                <w:u w:val="single"/>
              </w:rPr>
              <w:t>本项目实行双限价，即：投标人的投标总报价、</w:t>
            </w:r>
            <w:r>
              <w:rPr>
                <w:rFonts w:hint="eastAsia"/>
                <w:b/>
                <w:bCs/>
                <w:color w:val="auto"/>
                <w:szCs w:val="21"/>
                <w:highlight w:val="none"/>
                <w:u w:val="single"/>
              </w:rPr>
              <w:t>建安工程费报价</w:t>
            </w:r>
            <w:r>
              <w:rPr>
                <w:rFonts w:hint="eastAsia" w:ascii="宋体" w:hAnsi="宋体" w:cs="宋体"/>
                <w:b/>
                <w:bCs/>
                <w:color w:val="auto"/>
                <w:szCs w:val="21"/>
                <w:highlight w:val="none"/>
                <w:u w:val="single"/>
              </w:rPr>
              <w:t>及各分部分项综合单价、</w:t>
            </w:r>
            <w:r>
              <w:rPr>
                <w:rFonts w:hint="eastAsia"/>
                <w:b/>
                <w:bCs/>
                <w:color w:val="auto"/>
                <w:szCs w:val="21"/>
                <w:highlight w:val="none"/>
                <w:u w:val="single"/>
              </w:rPr>
              <w:t>BIM应用费报价</w:t>
            </w:r>
            <w:r>
              <w:rPr>
                <w:rFonts w:hint="eastAsia" w:ascii="宋体" w:hAnsi="宋体" w:cs="宋体"/>
                <w:b/>
                <w:bCs/>
                <w:color w:val="auto"/>
                <w:szCs w:val="21"/>
                <w:highlight w:val="none"/>
                <w:u w:val="single"/>
              </w:rPr>
              <w:t>均不能高于招标人公布的最高投标限价中对应的总价、</w:t>
            </w:r>
            <w:r>
              <w:rPr>
                <w:rFonts w:hint="eastAsia"/>
                <w:b/>
                <w:bCs/>
                <w:color w:val="auto"/>
                <w:szCs w:val="21"/>
                <w:highlight w:val="none"/>
                <w:u w:val="single"/>
              </w:rPr>
              <w:t>建安工程费及</w:t>
            </w:r>
            <w:r>
              <w:rPr>
                <w:rFonts w:hint="eastAsia" w:ascii="宋体" w:hAnsi="宋体" w:cs="宋体"/>
                <w:b/>
                <w:bCs/>
                <w:color w:val="auto"/>
                <w:szCs w:val="21"/>
                <w:highlight w:val="none"/>
                <w:u w:val="single"/>
              </w:rPr>
              <w:t>分部分项工程综合单价、</w:t>
            </w:r>
            <w:r>
              <w:rPr>
                <w:rFonts w:hint="eastAsia"/>
                <w:b/>
                <w:bCs/>
                <w:color w:val="auto"/>
                <w:szCs w:val="21"/>
                <w:highlight w:val="none"/>
                <w:u w:val="single"/>
              </w:rPr>
              <w:t>BIM应用费</w:t>
            </w:r>
            <w:r>
              <w:rPr>
                <w:rFonts w:hint="eastAsia" w:ascii="宋体" w:hAnsi="宋体" w:cs="宋体"/>
                <w:b/>
                <w:bCs/>
                <w:color w:val="auto"/>
                <w:szCs w:val="21"/>
                <w:highlight w:val="none"/>
                <w:u w:val="single"/>
              </w:rPr>
              <w:t>，详见工程量清单、招标控制价和最高投标限价公布函。投标总报价、</w:t>
            </w:r>
            <w:r>
              <w:rPr>
                <w:rFonts w:hint="eastAsia"/>
                <w:b/>
                <w:bCs/>
                <w:color w:val="auto"/>
                <w:szCs w:val="21"/>
                <w:highlight w:val="none"/>
                <w:u w:val="single"/>
              </w:rPr>
              <w:t>建安工程费报价</w:t>
            </w:r>
            <w:r>
              <w:rPr>
                <w:rFonts w:hint="eastAsia" w:ascii="宋体" w:hAnsi="宋体" w:cs="宋体"/>
                <w:b/>
                <w:bCs/>
                <w:color w:val="auto"/>
                <w:szCs w:val="21"/>
                <w:highlight w:val="none"/>
                <w:u w:val="single"/>
              </w:rPr>
              <w:t>及各分部分项工程综合单价、</w:t>
            </w:r>
            <w:r>
              <w:rPr>
                <w:rFonts w:hint="eastAsia"/>
                <w:b/>
                <w:bCs/>
                <w:color w:val="auto"/>
                <w:szCs w:val="21"/>
                <w:highlight w:val="none"/>
                <w:u w:val="single"/>
              </w:rPr>
              <w:t>BIM应用费报价</w:t>
            </w:r>
            <w:r>
              <w:rPr>
                <w:rFonts w:hint="eastAsia" w:ascii="宋体" w:hAnsi="宋体" w:cs="宋体"/>
                <w:b/>
                <w:bCs/>
                <w:color w:val="auto"/>
                <w:szCs w:val="21"/>
                <w:highlight w:val="none"/>
                <w:u w:val="single"/>
              </w:rPr>
              <w:t>高于招标人公布的最高投标限价中对应的总价、</w:t>
            </w:r>
            <w:r>
              <w:rPr>
                <w:rFonts w:hint="eastAsia"/>
                <w:b/>
                <w:bCs/>
                <w:color w:val="auto"/>
                <w:szCs w:val="21"/>
                <w:highlight w:val="none"/>
                <w:u w:val="single"/>
              </w:rPr>
              <w:t>建安工程费及</w:t>
            </w:r>
            <w:r>
              <w:rPr>
                <w:rFonts w:hint="eastAsia" w:ascii="宋体" w:hAnsi="宋体" w:cs="宋体"/>
                <w:b/>
                <w:bCs/>
                <w:color w:val="auto"/>
                <w:szCs w:val="21"/>
                <w:highlight w:val="none"/>
                <w:u w:val="single"/>
              </w:rPr>
              <w:t>分部分项工程综合单价、</w:t>
            </w:r>
            <w:r>
              <w:rPr>
                <w:rFonts w:hint="eastAsia"/>
                <w:b/>
                <w:bCs/>
                <w:color w:val="auto"/>
                <w:szCs w:val="21"/>
                <w:highlight w:val="none"/>
                <w:u w:val="single"/>
              </w:rPr>
              <w:t>BIM应用费</w:t>
            </w:r>
            <w:r>
              <w:rPr>
                <w:rFonts w:hint="eastAsia" w:ascii="宋体" w:hAnsi="宋体" w:cs="宋体"/>
                <w:b/>
                <w:bCs/>
                <w:color w:val="auto"/>
                <w:szCs w:val="21"/>
                <w:highlight w:val="none"/>
                <w:u w:val="single"/>
              </w:rPr>
              <w:t>的投标文件将被拒绝。</w:t>
            </w:r>
          </w:p>
        </w:tc>
      </w:tr>
      <w:tr w14:paraId="2CD0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noWrap w:val="0"/>
            <w:vAlign w:val="center"/>
          </w:tcPr>
          <w:p w14:paraId="18C66F63">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981" w:type="dxa"/>
            <w:noWrap w:val="0"/>
            <w:vAlign w:val="center"/>
          </w:tcPr>
          <w:p w14:paraId="2E42F5E0">
            <w:pPr>
              <w:spacing w:line="276" w:lineRule="auto"/>
              <w:jc w:val="center"/>
              <w:rPr>
                <w:rFonts w:hint="eastAsia" w:ascii="宋体" w:hAnsi="宋体" w:cs="宋体"/>
                <w:color w:val="auto"/>
                <w:szCs w:val="21"/>
                <w:highlight w:val="none"/>
              </w:rPr>
            </w:pPr>
          </w:p>
        </w:tc>
        <w:tc>
          <w:tcPr>
            <w:tcW w:w="1686" w:type="dxa"/>
            <w:noWrap w:val="0"/>
            <w:vAlign w:val="center"/>
          </w:tcPr>
          <w:p w14:paraId="7E7CA82B">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非竞争费用</w:t>
            </w:r>
          </w:p>
        </w:tc>
        <w:tc>
          <w:tcPr>
            <w:tcW w:w="5981" w:type="dxa"/>
            <w:noWrap w:val="0"/>
            <w:vAlign w:val="center"/>
          </w:tcPr>
          <w:p w14:paraId="5703C6A5">
            <w:pPr>
              <w:spacing w:line="276" w:lineRule="auto"/>
              <w:jc w:val="left"/>
              <w:rPr>
                <w:rFonts w:hint="eastAsia" w:ascii="宋体" w:hAnsi="宋体" w:cs="宋体"/>
                <w:color w:val="auto"/>
                <w:szCs w:val="21"/>
                <w:highlight w:val="none"/>
                <w:u w:val="none"/>
                <w:lang w:bidi="ar"/>
              </w:rPr>
            </w:pPr>
            <w:r>
              <w:rPr>
                <w:rFonts w:hint="eastAsia" w:ascii="宋体" w:hAnsi="宋体" w:cs="宋体"/>
                <w:color w:val="auto"/>
                <w:szCs w:val="21"/>
                <w:highlight w:val="none"/>
                <w:u w:val="none"/>
                <w:lang w:bidi="ar"/>
              </w:rPr>
              <w:t>绿色施工安全防护措施费为</w:t>
            </w:r>
            <w:r>
              <w:rPr>
                <w:rFonts w:hint="eastAsia" w:ascii="宋体" w:hAnsi="宋体" w:eastAsia="宋体" w:cs="宋体"/>
                <w:color w:val="auto"/>
                <w:sz w:val="21"/>
                <w:szCs w:val="21"/>
                <w:highlight w:val="none"/>
                <w:u w:val="none"/>
                <w:lang w:val="en-US" w:eastAsia="zh-CN" w:bidi="ar"/>
              </w:rPr>
              <w:t>43,105,111.63</w:t>
            </w:r>
            <w:r>
              <w:rPr>
                <w:rFonts w:hint="eastAsia" w:ascii="宋体" w:hAnsi="宋体" w:cs="宋体"/>
                <w:color w:val="auto"/>
                <w:szCs w:val="21"/>
                <w:highlight w:val="none"/>
                <w:u w:val="none"/>
                <w:lang w:bidi="ar"/>
              </w:rPr>
              <w:t>元，暂列金额为</w:t>
            </w:r>
            <w:r>
              <w:rPr>
                <w:rFonts w:hint="eastAsia" w:ascii="宋体" w:hAnsi="宋体" w:cs="宋体"/>
                <w:color w:val="auto"/>
                <w:szCs w:val="21"/>
                <w:highlight w:val="none"/>
                <w:u w:val="none"/>
                <w:lang w:val="en-US" w:eastAsia="zh-CN" w:bidi="ar"/>
              </w:rPr>
              <w:t xml:space="preserve">     </w:t>
            </w:r>
            <w:r>
              <w:rPr>
                <w:rFonts w:hint="eastAsia" w:ascii="宋体" w:hAnsi="宋体" w:eastAsia="宋体" w:cs="宋体"/>
                <w:color w:val="auto"/>
                <w:sz w:val="21"/>
                <w:szCs w:val="21"/>
                <w:highlight w:val="none"/>
                <w:u w:val="none"/>
                <w:lang w:val="en-US" w:eastAsia="zh-CN" w:bidi="ar"/>
              </w:rPr>
              <w:t>6,700,136.72</w:t>
            </w:r>
            <w:r>
              <w:rPr>
                <w:rFonts w:hint="eastAsia" w:ascii="宋体" w:hAnsi="宋体" w:cs="宋体"/>
                <w:color w:val="auto"/>
                <w:szCs w:val="21"/>
                <w:highlight w:val="none"/>
                <w:u w:val="none"/>
                <w:lang w:bidi="ar"/>
              </w:rPr>
              <w:t>元，暂估价为</w:t>
            </w:r>
            <w:r>
              <w:rPr>
                <w:rFonts w:hint="eastAsia" w:ascii="宋体" w:hAnsi="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val="en-US" w:eastAsia="zh-CN" w:bidi="ar"/>
              </w:rPr>
              <w:t>/</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none"/>
                <w:lang w:bidi="ar"/>
              </w:rPr>
              <w:t>元。</w:t>
            </w:r>
          </w:p>
          <w:p w14:paraId="119F1E3D">
            <w:pPr>
              <w:spacing w:line="276" w:lineRule="auto"/>
              <w:jc w:val="left"/>
              <w:rPr>
                <w:rFonts w:hint="eastAsia" w:ascii="宋体" w:hAnsi="宋体" w:cs="宋体"/>
                <w:color w:val="auto"/>
                <w:szCs w:val="21"/>
                <w:highlight w:val="none"/>
                <w:u w:val="none"/>
                <w:lang w:bidi="ar"/>
              </w:rPr>
            </w:pPr>
            <w:r>
              <w:rPr>
                <w:rFonts w:hint="eastAsia" w:ascii="宋体" w:hAnsi="宋体" w:cs="宋体"/>
                <w:color w:val="auto"/>
                <w:szCs w:val="21"/>
                <w:highlight w:val="none"/>
                <w:u w:val="none"/>
                <w:lang w:bidi="ar"/>
              </w:rPr>
              <w:t>（未按招标文件规定的金额填写的，由评标委员会按照招标文件规定的金额进行修正）</w:t>
            </w:r>
          </w:p>
        </w:tc>
      </w:tr>
      <w:tr w14:paraId="116A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noWrap w:val="0"/>
            <w:vAlign w:val="center"/>
          </w:tcPr>
          <w:p w14:paraId="4A11B3D9">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981" w:type="dxa"/>
            <w:noWrap w:val="0"/>
            <w:vAlign w:val="center"/>
          </w:tcPr>
          <w:p w14:paraId="4ECF0603">
            <w:pPr>
              <w:spacing w:line="276" w:lineRule="auto"/>
              <w:jc w:val="center"/>
              <w:rPr>
                <w:rFonts w:hint="eastAsia" w:ascii="宋体" w:hAnsi="宋体" w:cs="宋体"/>
                <w:color w:val="auto"/>
                <w:szCs w:val="21"/>
                <w:highlight w:val="none"/>
              </w:rPr>
            </w:pPr>
          </w:p>
        </w:tc>
        <w:tc>
          <w:tcPr>
            <w:tcW w:w="1686" w:type="dxa"/>
            <w:noWrap w:val="0"/>
            <w:vAlign w:val="center"/>
          </w:tcPr>
          <w:p w14:paraId="675BE691">
            <w:pPr>
              <w:pStyle w:val="48"/>
              <w:spacing w:line="276" w:lineRule="auto"/>
              <w:ind w:firstLine="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保修期</w:t>
            </w:r>
          </w:p>
        </w:tc>
        <w:tc>
          <w:tcPr>
            <w:tcW w:w="5981" w:type="dxa"/>
            <w:noWrap w:val="0"/>
            <w:vAlign w:val="center"/>
          </w:tcPr>
          <w:p w14:paraId="5D7D6BF2">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按照《建设工程质量管理条例（2019修订）》规定。</w:t>
            </w:r>
          </w:p>
        </w:tc>
      </w:tr>
      <w:tr w14:paraId="5D83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02" w:type="dxa"/>
            <w:noWrap w:val="0"/>
            <w:vAlign w:val="center"/>
          </w:tcPr>
          <w:p w14:paraId="74270B0E">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981" w:type="dxa"/>
            <w:noWrap w:val="0"/>
            <w:vAlign w:val="center"/>
          </w:tcPr>
          <w:p w14:paraId="3F923724">
            <w:pPr>
              <w:spacing w:line="276" w:lineRule="auto"/>
              <w:jc w:val="center"/>
              <w:rPr>
                <w:rFonts w:hint="eastAsia" w:ascii="宋体" w:hAnsi="宋体" w:cs="宋体"/>
                <w:color w:val="auto"/>
                <w:szCs w:val="21"/>
                <w:highlight w:val="none"/>
              </w:rPr>
            </w:pPr>
          </w:p>
        </w:tc>
        <w:tc>
          <w:tcPr>
            <w:tcW w:w="1686" w:type="dxa"/>
            <w:noWrap w:val="0"/>
            <w:vAlign w:val="center"/>
          </w:tcPr>
          <w:p w14:paraId="0382ED4D">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计算评标参考价的等分点值</w:t>
            </w:r>
          </w:p>
        </w:tc>
        <w:tc>
          <w:tcPr>
            <w:tcW w:w="5981" w:type="dxa"/>
            <w:noWrap w:val="0"/>
            <w:vAlign w:val="center"/>
          </w:tcPr>
          <w:p w14:paraId="68A4686B">
            <w:pPr>
              <w:spacing w:line="276" w:lineRule="auto"/>
              <w:rPr>
                <w:rFonts w:ascii="宋体" w:hAnsi="宋体" w:cs="宋体"/>
                <w:color w:val="auto"/>
                <w:szCs w:val="21"/>
                <w:highlight w:val="none"/>
              </w:rPr>
            </w:pPr>
            <w:r>
              <w:rPr>
                <w:rFonts w:hint="eastAsia" w:ascii="宋体" w:hAnsi="宋体" w:cs="宋体"/>
                <w:color w:val="auto"/>
                <w:szCs w:val="21"/>
                <w:highlight w:val="none"/>
              </w:rPr>
              <w:t>第一阶段经济标“区间抽取法”：</w:t>
            </w:r>
          </w:p>
          <w:p w14:paraId="1F7513AA">
            <w:pPr>
              <w:pStyle w:val="17"/>
              <w:ind w:firstLine="0" w:firstLineChars="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计算评标参考价的等分点值X</w:t>
            </w:r>
            <w:r>
              <w:rPr>
                <w:rFonts w:hint="eastAsia" w:ascii="宋体" w:hAnsi="宋体" w:cs="宋体"/>
                <w:color w:val="auto"/>
                <w:sz w:val="21"/>
                <w:szCs w:val="21"/>
                <w:highlight w:val="none"/>
                <w:u w:val="single"/>
              </w:rPr>
              <w:t>采用广州交易集团有限公司（广州公共资源交易中心）交易平台在线系统在开标前从[0,100] 的整数中随机抽取。</w:t>
            </w:r>
            <w:r>
              <w:rPr>
                <w:rFonts w:hint="eastAsia" w:ascii="宋体" w:hAnsi="宋体" w:cs="宋体"/>
                <w:color w:val="auto"/>
                <w:sz w:val="21"/>
                <w:szCs w:val="21"/>
                <w:highlight w:val="none"/>
                <w:u w:val="single"/>
                <w:lang w:val="en-US" w:eastAsia="zh-CN"/>
              </w:rPr>
              <w:t>本项目抽取3个</w:t>
            </w:r>
            <w:r>
              <w:rPr>
                <w:rFonts w:hint="eastAsia" w:ascii="宋体" w:hAnsi="宋体" w:cs="宋体"/>
                <w:color w:val="auto"/>
                <w:sz w:val="21"/>
                <w:szCs w:val="21"/>
                <w:highlight w:val="none"/>
                <w:u w:val="single"/>
              </w:rPr>
              <w:t>等分点值X</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X1、X2、X3</w:t>
            </w:r>
            <w:r>
              <w:rPr>
                <w:rFonts w:hint="eastAsia" w:ascii="宋体" w:hAnsi="宋体" w:cs="宋体"/>
                <w:color w:val="auto"/>
                <w:sz w:val="21"/>
                <w:szCs w:val="21"/>
                <w:highlight w:val="none"/>
                <w:u w:val="single"/>
                <w:lang w:eastAsia="zh-CN"/>
              </w:rPr>
              <w:t>），</w:t>
            </w:r>
            <w:r>
              <w:rPr>
                <w:rFonts w:hint="eastAsia" w:cs="宋体"/>
                <w:color w:val="auto"/>
                <w:sz w:val="21"/>
                <w:szCs w:val="21"/>
                <w:highlight w:val="none"/>
                <w:u w:val="single"/>
                <w:lang w:val="en-US" w:eastAsia="zh-CN"/>
              </w:rPr>
              <w:t>在</w:t>
            </w:r>
            <w:r>
              <w:rPr>
                <w:rFonts w:hint="eastAsia" w:ascii="宋体" w:hAnsi="宋体" w:cs="宋体"/>
                <w:color w:val="auto"/>
                <w:sz w:val="21"/>
                <w:szCs w:val="21"/>
                <w:highlight w:val="none"/>
                <w:u w:val="single"/>
                <w:lang w:val="en-US" w:eastAsia="zh-CN"/>
              </w:rPr>
              <w:t>X1、X2、X3</w:t>
            </w:r>
            <w:r>
              <w:rPr>
                <w:rFonts w:hint="eastAsia" w:cs="宋体"/>
                <w:color w:val="auto"/>
                <w:sz w:val="21"/>
                <w:szCs w:val="21"/>
                <w:highlight w:val="none"/>
                <w:u w:val="single"/>
                <w:lang w:val="en-US" w:eastAsia="zh-CN"/>
              </w:rPr>
              <w:t>中去掉最高值后的2个</w:t>
            </w:r>
            <w:r>
              <w:rPr>
                <w:rFonts w:hint="eastAsia" w:ascii="宋体" w:hAnsi="宋体" w:cs="宋体"/>
                <w:color w:val="auto"/>
                <w:sz w:val="21"/>
                <w:szCs w:val="21"/>
                <w:highlight w:val="none"/>
                <w:u w:val="single"/>
              </w:rPr>
              <w:t>等分点值</w:t>
            </w:r>
            <w:r>
              <w:rPr>
                <w:rFonts w:hint="eastAsia" w:ascii="宋体" w:hAnsi="宋体" w:cs="宋体"/>
                <w:color w:val="auto"/>
                <w:sz w:val="21"/>
                <w:szCs w:val="21"/>
                <w:highlight w:val="none"/>
                <w:u w:val="single"/>
                <w:lang w:val="en-US" w:eastAsia="zh-CN"/>
              </w:rPr>
              <w:t>的平均值作为</w:t>
            </w:r>
            <w:r>
              <w:rPr>
                <w:rFonts w:hint="eastAsia" w:ascii="宋体" w:hAnsi="宋体" w:cs="宋体"/>
                <w:color w:val="auto"/>
                <w:sz w:val="21"/>
                <w:szCs w:val="21"/>
                <w:highlight w:val="none"/>
                <w:u w:val="single"/>
              </w:rPr>
              <w:t>计算评标参考价的等分点值X</w:t>
            </w:r>
            <w:r>
              <w:rPr>
                <w:rFonts w:hint="eastAsia" w:ascii="宋体" w:hAnsi="宋体" w:cs="宋体"/>
                <w:color w:val="auto"/>
                <w:sz w:val="21"/>
                <w:szCs w:val="21"/>
                <w:highlight w:val="none"/>
                <w:u w:val="single"/>
                <w:lang w:eastAsia="zh-CN"/>
              </w:rPr>
              <w:t>。</w:t>
            </w:r>
          </w:p>
          <w:p w14:paraId="47B300D0">
            <w:pPr>
              <w:spacing w:line="276" w:lineRule="auto"/>
              <w:rPr>
                <w:rFonts w:ascii="宋体" w:hAnsi="宋体" w:cs="宋体"/>
                <w:color w:val="auto"/>
                <w:szCs w:val="21"/>
                <w:highlight w:val="none"/>
              </w:rPr>
            </w:pPr>
            <w:r>
              <w:rPr>
                <w:rFonts w:hint="eastAsia"/>
                <w:color w:val="auto"/>
                <w:highlight w:val="none"/>
              </w:rPr>
              <w:t>第</w:t>
            </w:r>
            <w:r>
              <w:rPr>
                <w:rFonts w:hint="eastAsia" w:ascii="宋体" w:hAnsi="宋体" w:cs="宋体"/>
                <w:color w:val="auto"/>
                <w:szCs w:val="21"/>
                <w:highlight w:val="none"/>
              </w:rPr>
              <w:t>二阶段经济标“均值下拉法”：</w:t>
            </w:r>
          </w:p>
          <w:p w14:paraId="71ECD1C5">
            <w:pPr>
              <w:spacing w:line="276" w:lineRule="auto"/>
              <w:rPr>
                <w:rFonts w:hint="eastAsia"/>
                <w:color w:val="auto"/>
                <w:highlight w:val="none"/>
              </w:rPr>
            </w:pPr>
            <w:r>
              <w:rPr>
                <w:rFonts w:hint="eastAsia" w:ascii="宋体" w:hAnsi="宋体" w:cs="宋体"/>
                <w:color w:val="auto"/>
                <w:szCs w:val="21"/>
                <w:highlight w:val="none"/>
              </w:rPr>
              <w:t>均值下拉点：</w:t>
            </w:r>
            <w:r>
              <w:rPr>
                <w:rFonts w:hint="eastAsia" w:ascii="宋体" w:hAnsi="宋体" w:cs="宋体"/>
                <w:color w:val="auto"/>
                <w:szCs w:val="21"/>
                <w:highlight w:val="none"/>
                <w:u w:val="single"/>
              </w:rPr>
              <w:t>开标现场由工作人员从以下5个号码中随机抽取1个号码，该号码代表的均值下拉点为D2：号码值分别为①、②、③、④、⑤，对应的均值下拉点为93%、94%、95%、96%、97%。</w:t>
            </w:r>
          </w:p>
        </w:tc>
      </w:tr>
      <w:tr w14:paraId="559C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02" w:type="dxa"/>
            <w:noWrap w:val="0"/>
            <w:vAlign w:val="center"/>
          </w:tcPr>
          <w:p w14:paraId="7C0E8539">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981" w:type="dxa"/>
            <w:noWrap w:val="0"/>
            <w:vAlign w:val="center"/>
          </w:tcPr>
          <w:p w14:paraId="338B30CF">
            <w:pPr>
              <w:spacing w:line="276" w:lineRule="auto"/>
              <w:jc w:val="center"/>
              <w:rPr>
                <w:rFonts w:hint="eastAsia" w:ascii="宋体" w:hAnsi="宋体" w:cs="宋体"/>
                <w:color w:val="auto"/>
                <w:szCs w:val="21"/>
                <w:highlight w:val="none"/>
              </w:rPr>
            </w:pPr>
          </w:p>
        </w:tc>
        <w:tc>
          <w:tcPr>
            <w:tcW w:w="1686" w:type="dxa"/>
            <w:noWrap w:val="0"/>
            <w:vAlign w:val="center"/>
          </w:tcPr>
          <w:p w14:paraId="717ADE18">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5981" w:type="dxa"/>
            <w:noWrap w:val="0"/>
            <w:vAlign w:val="center"/>
          </w:tcPr>
          <w:p w14:paraId="7C373B59">
            <w:pPr>
              <w:rPr>
                <w:color w:val="auto"/>
                <w:szCs w:val="21"/>
                <w:highlight w:val="none"/>
              </w:rPr>
            </w:pPr>
            <w:r>
              <w:rPr>
                <w:color w:val="auto"/>
                <w:szCs w:val="21"/>
                <w:highlight w:val="none"/>
              </w:rPr>
              <w:fldChar w:fldCharType="begin"/>
            </w:r>
            <w:r>
              <w:rPr>
                <w:color w:val="auto"/>
                <w:szCs w:val="21"/>
                <w:highlight w:val="none"/>
              </w:rPr>
              <w:instrText xml:space="preserve"> </w:instrText>
            </w:r>
            <w:r>
              <w:rPr>
                <w:rFonts w:hint="eastAsia"/>
                <w:color w:val="auto"/>
                <w:szCs w:val="21"/>
                <w:highlight w:val="none"/>
              </w:rPr>
              <w:instrText xml:space="preserve">= 1 \* GB3</w:instrText>
            </w:r>
            <w:r>
              <w:rPr>
                <w:color w:val="auto"/>
                <w:szCs w:val="21"/>
                <w:highlight w:val="none"/>
              </w:rPr>
              <w:instrText xml:space="preserve"> </w:instrText>
            </w:r>
            <w:r>
              <w:rPr>
                <w:color w:val="auto"/>
                <w:szCs w:val="21"/>
                <w:highlight w:val="none"/>
              </w:rPr>
              <w:fldChar w:fldCharType="separate"/>
            </w:r>
            <w:r>
              <w:rPr>
                <w:rFonts w:hint="eastAsia"/>
                <w:color w:val="auto"/>
                <w:szCs w:val="21"/>
                <w:highlight w:val="none"/>
              </w:rPr>
              <w:t>①</w:t>
            </w:r>
            <w:r>
              <w:rPr>
                <w:color w:val="auto"/>
                <w:szCs w:val="21"/>
                <w:highlight w:val="none"/>
              </w:rPr>
              <w:fldChar w:fldCharType="end"/>
            </w:r>
            <w:r>
              <w:rPr>
                <w:rFonts w:hint="eastAsia"/>
                <w:color w:val="auto"/>
                <w:szCs w:val="21"/>
                <w:highlight w:val="none"/>
              </w:rPr>
              <w:t>通过技术有效性审查的投标人均进入第二阶段（适用于通过技术有效性审查家数</w:t>
            </w:r>
            <w:r>
              <w:rPr>
                <w:rFonts w:hint="eastAsia" w:ascii="宋体" w:hAnsi="宋体"/>
                <w:color w:val="auto"/>
                <w:szCs w:val="21"/>
                <w:highlight w:val="none"/>
              </w:rPr>
              <w:t>在</w:t>
            </w:r>
            <w:r>
              <w:rPr>
                <w:rFonts w:hint="eastAsia" w:ascii="宋体" w:hAnsi="宋体"/>
                <w:b/>
                <w:bCs/>
                <w:color w:val="auto"/>
                <w:szCs w:val="21"/>
                <w:highlight w:val="none"/>
              </w:rPr>
              <w:t>[3,</w:t>
            </w:r>
            <w:r>
              <w:rPr>
                <w:rFonts w:hint="eastAsia" w:ascii="宋体" w:hAnsi="宋体"/>
                <w:b/>
                <w:bCs/>
                <w:color w:val="auto"/>
                <w:szCs w:val="21"/>
                <w:highlight w:val="none"/>
                <w:lang w:val="en-US" w:eastAsia="zh-CN"/>
              </w:rPr>
              <w:t>11</w:t>
            </w:r>
            <w:r>
              <w:rPr>
                <w:rFonts w:hint="eastAsia" w:ascii="宋体" w:hAnsi="宋体"/>
                <w:b/>
                <w:bCs/>
                <w:color w:val="auto"/>
                <w:szCs w:val="21"/>
                <w:highlight w:val="none"/>
              </w:rPr>
              <w:t>]</w:t>
            </w:r>
            <w:r>
              <w:rPr>
                <w:rFonts w:hint="eastAsia" w:ascii="宋体" w:hAnsi="宋体"/>
                <w:color w:val="auto"/>
                <w:szCs w:val="21"/>
                <w:highlight w:val="none"/>
              </w:rPr>
              <w:t>中</w:t>
            </w:r>
            <w:r>
              <w:rPr>
                <w:rFonts w:hint="eastAsia"/>
                <w:color w:val="auto"/>
                <w:szCs w:val="21"/>
                <w:highlight w:val="none"/>
              </w:rPr>
              <w:t>的）。</w:t>
            </w:r>
          </w:p>
          <w:p w14:paraId="201E91A8">
            <w:pPr>
              <w:rPr>
                <w:rFonts w:ascii="宋体" w:hAnsi="宋体"/>
                <w:color w:val="auto"/>
                <w:szCs w:val="21"/>
                <w:highlight w:val="none"/>
              </w:rPr>
            </w:pPr>
            <w:r>
              <w:rPr>
                <w:color w:val="auto"/>
                <w:szCs w:val="21"/>
                <w:highlight w:val="none"/>
              </w:rPr>
              <w:fldChar w:fldCharType="begin"/>
            </w:r>
            <w:r>
              <w:rPr>
                <w:color w:val="auto"/>
                <w:szCs w:val="21"/>
                <w:highlight w:val="none"/>
              </w:rPr>
              <w:instrText xml:space="preserve"> </w:instrText>
            </w:r>
            <w:r>
              <w:rPr>
                <w:rFonts w:hint="eastAsia"/>
                <w:color w:val="auto"/>
                <w:szCs w:val="21"/>
                <w:highlight w:val="none"/>
              </w:rPr>
              <w:instrText xml:space="preserve">= 2 \* GB3</w:instrText>
            </w:r>
            <w:r>
              <w:rPr>
                <w:color w:val="auto"/>
                <w:szCs w:val="21"/>
                <w:highlight w:val="none"/>
              </w:rPr>
              <w:instrText xml:space="preserve"> </w:instrText>
            </w:r>
            <w:r>
              <w:rPr>
                <w:color w:val="auto"/>
                <w:szCs w:val="21"/>
                <w:highlight w:val="none"/>
              </w:rPr>
              <w:fldChar w:fldCharType="separate"/>
            </w:r>
            <w:r>
              <w:rPr>
                <w:rFonts w:hint="eastAsia"/>
                <w:color w:val="auto"/>
                <w:szCs w:val="21"/>
                <w:highlight w:val="none"/>
              </w:rPr>
              <w:t>②</w:t>
            </w:r>
            <w:r>
              <w:rPr>
                <w:color w:val="auto"/>
                <w:szCs w:val="21"/>
                <w:highlight w:val="none"/>
              </w:rPr>
              <w:fldChar w:fldCharType="end"/>
            </w:r>
            <w:r>
              <w:rPr>
                <w:rFonts w:hint="eastAsia"/>
                <w:color w:val="auto"/>
                <w:szCs w:val="21"/>
                <w:highlight w:val="none"/>
              </w:rPr>
              <w:t>将第一阶段得分由</w:t>
            </w:r>
            <w:r>
              <w:rPr>
                <w:rFonts w:hint="eastAsia" w:ascii="宋体" w:hAnsi="宋体"/>
                <w:color w:val="auto"/>
                <w:szCs w:val="21"/>
                <w:highlight w:val="none"/>
              </w:rPr>
              <w:t>高至低排序，前</w:t>
            </w:r>
            <w:r>
              <w:rPr>
                <w:rFonts w:hint="eastAsia" w:ascii="宋体" w:hAnsi="宋体"/>
                <w:b/>
                <w:bCs/>
                <w:color w:val="auto"/>
                <w:szCs w:val="21"/>
                <w:highlight w:val="none"/>
                <w:u w:val="single"/>
                <w:lang w:val="en-US" w:eastAsia="zh-CN"/>
              </w:rPr>
              <w:t>11</w:t>
            </w:r>
            <w:r>
              <w:rPr>
                <w:rFonts w:hint="eastAsia" w:ascii="宋体" w:hAnsi="宋体"/>
                <w:b/>
                <w:bCs/>
                <w:color w:val="auto"/>
                <w:szCs w:val="21"/>
                <w:highlight w:val="none"/>
              </w:rPr>
              <w:t>名</w:t>
            </w:r>
            <w:r>
              <w:rPr>
                <w:rFonts w:hint="eastAsia" w:ascii="宋体" w:hAnsi="宋体"/>
                <w:color w:val="auto"/>
                <w:szCs w:val="21"/>
                <w:highlight w:val="none"/>
              </w:rPr>
              <w:t>投标人进入第二阶段评审（适用于通过技术有效性审查家数大于</w:t>
            </w:r>
            <w:r>
              <w:rPr>
                <w:rFonts w:hint="eastAsia" w:ascii="宋体" w:hAnsi="宋体"/>
                <w:b/>
                <w:bCs/>
                <w:color w:val="auto"/>
                <w:szCs w:val="21"/>
                <w:highlight w:val="none"/>
                <w:u w:val="single"/>
                <w:lang w:val="en-US" w:eastAsia="zh-CN"/>
              </w:rPr>
              <w:t>11</w:t>
            </w:r>
            <w:r>
              <w:rPr>
                <w:rFonts w:hint="eastAsia" w:ascii="宋体" w:hAnsi="宋体"/>
                <w:b/>
                <w:bCs/>
                <w:color w:val="auto"/>
                <w:szCs w:val="21"/>
                <w:highlight w:val="none"/>
              </w:rPr>
              <w:t>家</w:t>
            </w:r>
            <w:r>
              <w:rPr>
                <w:rFonts w:hint="eastAsia" w:ascii="宋体" w:hAnsi="宋体"/>
                <w:color w:val="auto"/>
                <w:szCs w:val="21"/>
                <w:highlight w:val="none"/>
              </w:rPr>
              <w:t>的，招标人可根据工程具体情况，确定不少于</w:t>
            </w:r>
            <w:r>
              <w:rPr>
                <w:rFonts w:hint="eastAsia" w:ascii="宋体" w:hAnsi="宋体"/>
                <w:b/>
                <w:bCs/>
                <w:color w:val="auto"/>
                <w:szCs w:val="21"/>
                <w:highlight w:val="none"/>
                <w:u w:val="single"/>
                <w:lang w:val="en-US" w:eastAsia="zh-CN"/>
              </w:rPr>
              <w:t>11</w:t>
            </w:r>
            <w:r>
              <w:rPr>
                <w:rFonts w:hint="eastAsia" w:ascii="宋体" w:hAnsi="宋体"/>
                <w:b/>
                <w:bCs/>
                <w:color w:val="auto"/>
                <w:szCs w:val="21"/>
                <w:highlight w:val="none"/>
              </w:rPr>
              <w:t>家</w:t>
            </w:r>
            <w:r>
              <w:rPr>
                <w:rFonts w:hint="eastAsia" w:ascii="宋体" w:hAnsi="宋体"/>
                <w:color w:val="auto"/>
                <w:szCs w:val="21"/>
                <w:highlight w:val="none"/>
              </w:rPr>
              <w:t>进入第二阶段）。</w:t>
            </w:r>
          </w:p>
          <w:p w14:paraId="5C2CD9D3">
            <w:pPr>
              <w:spacing w:line="276" w:lineRule="auto"/>
              <w:rPr>
                <w:color w:val="auto"/>
                <w:highlight w:val="none"/>
              </w:rPr>
            </w:pPr>
            <w:r>
              <w:rPr>
                <w:rFonts w:hint="eastAsia"/>
                <w:color w:val="auto"/>
                <w:highlight w:val="none"/>
              </w:rPr>
              <w:t>本款适用于选择评标办法一至评标办法六。进入第二阶段的投标人家数应符合行政监管部门的要求。</w:t>
            </w:r>
          </w:p>
          <w:p w14:paraId="66271A5A">
            <w:pPr>
              <w:pStyle w:val="49"/>
              <w:ind w:firstLine="0"/>
              <w:rPr>
                <w:rFonts w:cs="宋体"/>
                <w:color w:val="auto"/>
                <w:sz w:val="21"/>
                <w:szCs w:val="21"/>
                <w:highlight w:val="none"/>
              </w:rPr>
            </w:pPr>
            <w:r>
              <w:rPr>
                <w:rFonts w:hint="eastAsia" w:cs="宋体"/>
                <w:color w:val="auto"/>
                <w:sz w:val="21"/>
                <w:szCs w:val="21"/>
                <w:highlight w:val="none"/>
                <w:u w:val="single"/>
              </w:rPr>
              <w:t>若投标人第一阶段得分相同的，则以投标总报价较低的排前；若投标总报价仍相同的，</w:t>
            </w:r>
            <w:r>
              <w:rPr>
                <w:rFonts w:hint="eastAsia" w:cs="宋体"/>
                <w:color w:val="auto"/>
                <w:kern w:val="2"/>
                <w:sz w:val="21"/>
                <w:szCs w:val="21"/>
                <w:highlight w:val="none"/>
                <w:u w:val="single"/>
              </w:rPr>
              <w:t>则以技术得分较高的排前，如技术得分</w:t>
            </w:r>
            <w:r>
              <w:rPr>
                <w:rFonts w:hint="eastAsia" w:cs="宋体"/>
                <w:color w:val="auto"/>
                <w:sz w:val="21"/>
                <w:szCs w:val="21"/>
                <w:highlight w:val="none"/>
                <w:u w:val="single"/>
              </w:rPr>
              <w:t>仍</w:t>
            </w:r>
            <w:r>
              <w:rPr>
                <w:rFonts w:hint="eastAsia" w:cs="宋体"/>
                <w:color w:val="auto"/>
                <w:kern w:val="2"/>
                <w:sz w:val="21"/>
                <w:szCs w:val="21"/>
                <w:highlight w:val="none"/>
                <w:u w:val="single"/>
              </w:rPr>
              <w:t>相同的，</w:t>
            </w:r>
            <w:r>
              <w:rPr>
                <w:rFonts w:hint="eastAsia" w:cs="宋体"/>
                <w:color w:val="auto"/>
                <w:sz w:val="21"/>
                <w:szCs w:val="21"/>
                <w:highlight w:val="none"/>
                <w:u w:val="single"/>
              </w:rPr>
              <w:t>则对具有相同情况的投标人，由评标委员会采用记名投票方式，确定投标人第一阶段名次的排序</w:t>
            </w:r>
            <w:r>
              <w:rPr>
                <w:rFonts w:hint="eastAsia" w:cs="宋体"/>
                <w:color w:val="auto"/>
                <w:sz w:val="21"/>
                <w:szCs w:val="21"/>
                <w:highlight w:val="none"/>
              </w:rPr>
              <w:t>，确定</w:t>
            </w:r>
            <w:r>
              <w:rPr>
                <w:rFonts w:hint="eastAsia" w:cs="宋体"/>
                <w:color w:val="auto"/>
                <w:sz w:val="21"/>
                <w:szCs w:val="21"/>
                <w:highlight w:val="none"/>
                <w:u w:val="single"/>
              </w:rPr>
              <w:t>前</w:t>
            </w:r>
            <w:r>
              <w:rPr>
                <w:rFonts w:hint="eastAsia" w:cs="宋体"/>
                <w:b/>
                <w:bCs/>
                <w:color w:val="auto"/>
                <w:sz w:val="21"/>
                <w:szCs w:val="21"/>
                <w:highlight w:val="none"/>
                <w:u w:val="single"/>
                <w:lang w:eastAsia="zh-CN"/>
              </w:rPr>
              <w:t>11家</w:t>
            </w:r>
            <w:r>
              <w:rPr>
                <w:rFonts w:hint="eastAsia" w:cs="宋体"/>
                <w:color w:val="auto"/>
                <w:sz w:val="21"/>
                <w:szCs w:val="21"/>
                <w:highlight w:val="none"/>
              </w:rPr>
              <w:t>进入第二阶段）。</w:t>
            </w:r>
          </w:p>
          <w:p w14:paraId="3A0E7771">
            <w:pPr>
              <w:pStyle w:val="49"/>
              <w:ind w:firstLine="0"/>
              <w:rPr>
                <w:rFonts w:hint="eastAsia" w:cs="宋体"/>
                <w:color w:val="auto"/>
                <w:sz w:val="21"/>
                <w:szCs w:val="21"/>
                <w:highlight w:val="none"/>
                <w:u w:val="single"/>
              </w:rPr>
            </w:pPr>
            <w:r>
              <w:rPr>
                <w:rFonts w:hint="eastAsia" w:cs="宋体"/>
                <w:color w:val="auto"/>
                <w:sz w:val="21"/>
                <w:szCs w:val="21"/>
                <w:highlight w:val="none"/>
                <w:u w:val="single"/>
              </w:rPr>
              <w:t>记名投票方式确定排序的具体操作步骤为：由评标委员会对出现该情况的投标人采取记名投票的方式确定，按得票数从高到低排列先后次序，以得票数高的排前，根据得票数高低确定排序。</w:t>
            </w:r>
          </w:p>
          <w:p w14:paraId="4AB52601">
            <w:pPr>
              <w:pStyle w:val="49"/>
              <w:ind w:firstLine="0"/>
              <w:rPr>
                <w:rFonts w:hint="eastAsia" w:cs="宋体"/>
                <w:color w:val="auto"/>
                <w:sz w:val="21"/>
                <w:szCs w:val="21"/>
                <w:highlight w:val="none"/>
                <w:u w:val="single"/>
              </w:rPr>
            </w:pPr>
            <w:r>
              <w:rPr>
                <w:rFonts w:hint="eastAsia" w:cs="宋体"/>
                <w:color w:val="auto"/>
                <w:sz w:val="21"/>
                <w:szCs w:val="21"/>
                <w:highlight w:val="none"/>
                <w:u w:val="single"/>
                <w:lang w:val="en-US" w:eastAsia="zh-CN"/>
              </w:rPr>
              <w:t>注：本项目在产生中标候选人后，投标人或其他利害关系人对评标结果提出异议，影响第二阶段入围单位家数的，第二阶段入围单位只减不增，不再新增加入围单位。</w:t>
            </w:r>
          </w:p>
        </w:tc>
      </w:tr>
      <w:tr w14:paraId="3D2E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2" w:type="dxa"/>
            <w:noWrap w:val="0"/>
            <w:vAlign w:val="center"/>
          </w:tcPr>
          <w:p w14:paraId="5AE384F5">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981" w:type="dxa"/>
            <w:noWrap w:val="0"/>
            <w:vAlign w:val="center"/>
          </w:tcPr>
          <w:p w14:paraId="51649E33">
            <w:pPr>
              <w:spacing w:line="276" w:lineRule="auto"/>
              <w:jc w:val="center"/>
              <w:rPr>
                <w:rFonts w:hint="eastAsia" w:ascii="宋体" w:hAnsi="宋体" w:cs="宋体"/>
                <w:color w:val="auto"/>
                <w:szCs w:val="21"/>
                <w:highlight w:val="none"/>
              </w:rPr>
            </w:pPr>
          </w:p>
        </w:tc>
        <w:tc>
          <w:tcPr>
            <w:tcW w:w="1686" w:type="dxa"/>
            <w:noWrap w:val="0"/>
            <w:vAlign w:val="center"/>
          </w:tcPr>
          <w:p w14:paraId="1BA757C1">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工程成本警戒价</w:t>
            </w:r>
          </w:p>
        </w:tc>
        <w:tc>
          <w:tcPr>
            <w:tcW w:w="5981" w:type="dxa"/>
            <w:noWrap w:val="0"/>
            <w:vAlign w:val="center"/>
          </w:tcPr>
          <w:p w14:paraId="14299C9B">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工程成本警戒价为</w:t>
            </w:r>
            <w:r>
              <w:rPr>
                <w:rFonts w:hint="eastAsia" w:ascii="宋体" w:hAnsi="宋体" w:cs="宋体"/>
                <w:color w:val="auto"/>
                <w:szCs w:val="21"/>
                <w:highlight w:val="none"/>
                <w:u w:val="single"/>
                <w:lang w:val="en-US" w:eastAsia="zh-CN"/>
              </w:rPr>
              <w:t xml:space="preserve">698531928.39 </w:t>
            </w:r>
            <w:r>
              <w:rPr>
                <w:rFonts w:hint="eastAsia" w:ascii="宋体" w:hAnsi="宋体" w:cs="宋体"/>
                <w:color w:val="auto"/>
                <w:szCs w:val="21"/>
                <w:highlight w:val="none"/>
              </w:rPr>
              <w:t>元（按最高投标限价的</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设置）。</w:t>
            </w:r>
          </w:p>
          <w:p w14:paraId="43499DED">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C166EEE">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注：为充分体现招标人意愿及落实项目招标人负责制，警戒价由招标人决定。</w:t>
            </w:r>
          </w:p>
          <w:p w14:paraId="44C98A47">
            <w:pPr>
              <w:pStyle w:val="2"/>
              <w:rPr>
                <w:rFonts w:hint="eastAsia"/>
                <w:color w:val="auto"/>
                <w:highlight w:val="none"/>
              </w:rPr>
            </w:pPr>
          </w:p>
        </w:tc>
      </w:tr>
      <w:tr w14:paraId="5DB7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02" w:type="dxa"/>
            <w:noWrap w:val="0"/>
            <w:vAlign w:val="center"/>
          </w:tcPr>
          <w:p w14:paraId="5051CA0C">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981" w:type="dxa"/>
            <w:noWrap w:val="0"/>
            <w:vAlign w:val="center"/>
          </w:tcPr>
          <w:p w14:paraId="2942BF84">
            <w:pPr>
              <w:spacing w:line="276" w:lineRule="auto"/>
              <w:jc w:val="center"/>
              <w:rPr>
                <w:rFonts w:hint="eastAsia" w:ascii="宋体" w:hAnsi="宋体" w:cs="宋体"/>
                <w:color w:val="auto"/>
                <w:szCs w:val="21"/>
                <w:highlight w:val="none"/>
              </w:rPr>
            </w:pPr>
          </w:p>
        </w:tc>
        <w:tc>
          <w:tcPr>
            <w:tcW w:w="1686" w:type="dxa"/>
            <w:noWrap w:val="0"/>
            <w:vAlign w:val="center"/>
          </w:tcPr>
          <w:p w14:paraId="4F7064D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第一阶段各分值的权重</w:t>
            </w:r>
          </w:p>
        </w:tc>
        <w:tc>
          <w:tcPr>
            <w:tcW w:w="5981" w:type="dxa"/>
            <w:noWrap w:val="0"/>
            <w:vAlign w:val="center"/>
          </w:tcPr>
          <w:p w14:paraId="616D7DE4">
            <w:pPr>
              <w:spacing w:line="360" w:lineRule="exact"/>
              <w:rPr>
                <w:rFonts w:hint="eastAsia" w:ascii="宋体" w:hAnsi="宋体" w:cs="宋体"/>
                <w:color w:val="auto"/>
                <w:szCs w:val="21"/>
                <w:highlight w:val="none"/>
              </w:rPr>
            </w:pPr>
            <w:r>
              <w:rPr>
                <w:rFonts w:hint="eastAsia"/>
                <w:color w:val="auto"/>
                <w:szCs w:val="21"/>
                <w:highlight w:val="none"/>
              </w:rPr>
              <w:t>技术标得分权重为</w:t>
            </w:r>
            <w:r>
              <w:rPr>
                <w:rFonts w:hint="eastAsia"/>
                <w:color w:val="auto"/>
                <w:szCs w:val="21"/>
                <w:highlight w:val="none"/>
                <w:u w:val="single"/>
                <w:lang w:val="en-US" w:eastAsia="zh-CN"/>
              </w:rPr>
              <w:t>6</w:t>
            </w:r>
            <w:r>
              <w:rPr>
                <w:rFonts w:hint="eastAsia"/>
                <w:color w:val="auto"/>
                <w:szCs w:val="21"/>
                <w:highlight w:val="none"/>
                <w:u w:val="single"/>
              </w:rPr>
              <w:t>0%</w:t>
            </w:r>
            <w:r>
              <w:rPr>
                <w:rFonts w:hint="eastAsia"/>
                <w:color w:val="auto"/>
                <w:szCs w:val="21"/>
                <w:highlight w:val="none"/>
              </w:rPr>
              <w:t>，</w:t>
            </w:r>
            <w:r>
              <w:rPr>
                <w:rFonts w:hint="eastAsia"/>
                <w:color w:val="auto"/>
                <w:szCs w:val="21"/>
                <w:highlight w:val="none"/>
                <w:lang w:eastAsia="zh-CN"/>
              </w:rPr>
              <w:t>投标报价得分</w:t>
            </w:r>
            <w:r>
              <w:rPr>
                <w:rFonts w:hint="eastAsia"/>
                <w:color w:val="auto"/>
                <w:szCs w:val="21"/>
                <w:highlight w:val="none"/>
              </w:rPr>
              <w:t>权重为</w:t>
            </w:r>
            <w:r>
              <w:rPr>
                <w:rFonts w:hint="eastAsia"/>
                <w:color w:val="auto"/>
                <w:szCs w:val="21"/>
                <w:highlight w:val="none"/>
                <w:u w:val="single"/>
                <w:lang w:val="en-US" w:eastAsia="zh-CN"/>
              </w:rPr>
              <w:t>4</w:t>
            </w:r>
            <w:r>
              <w:rPr>
                <w:rFonts w:hint="eastAsia"/>
                <w:color w:val="auto"/>
                <w:szCs w:val="21"/>
                <w:highlight w:val="none"/>
                <w:u w:val="single"/>
              </w:rPr>
              <w:t>0%</w:t>
            </w:r>
            <w:r>
              <w:rPr>
                <w:rFonts w:hint="eastAsia"/>
                <w:color w:val="auto"/>
                <w:szCs w:val="21"/>
                <w:highlight w:val="none"/>
              </w:rPr>
              <w:t>，</w:t>
            </w:r>
            <w:r>
              <w:rPr>
                <w:rFonts w:hint="eastAsia" w:ascii="宋体" w:hAnsi="宋体" w:cs="宋体"/>
                <w:color w:val="auto"/>
                <w:szCs w:val="21"/>
                <w:highlight w:val="none"/>
              </w:rPr>
              <w:t>综合诚信评价分数权重为0%。</w:t>
            </w:r>
          </w:p>
          <w:p w14:paraId="7F1F55EA">
            <w:pPr>
              <w:jc w:val="left"/>
              <w:rPr>
                <w:rFonts w:hint="eastAsia"/>
                <w:color w:val="auto"/>
                <w:szCs w:val="21"/>
                <w:highlight w:val="none"/>
              </w:rPr>
            </w:pPr>
            <w:r>
              <w:rPr>
                <w:rFonts w:hint="eastAsia" w:ascii="宋体" w:hAnsi="宋体" w:cs="宋体"/>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14:paraId="49C8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2" w:type="dxa"/>
            <w:noWrap w:val="0"/>
            <w:vAlign w:val="center"/>
          </w:tcPr>
          <w:p w14:paraId="76156851">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981" w:type="dxa"/>
            <w:noWrap w:val="0"/>
            <w:vAlign w:val="center"/>
          </w:tcPr>
          <w:p w14:paraId="3174E876">
            <w:pPr>
              <w:spacing w:line="276" w:lineRule="auto"/>
              <w:jc w:val="center"/>
              <w:rPr>
                <w:rFonts w:hint="eastAsia" w:ascii="宋体" w:hAnsi="宋体" w:cs="宋体"/>
                <w:color w:val="auto"/>
                <w:szCs w:val="21"/>
                <w:highlight w:val="none"/>
              </w:rPr>
            </w:pPr>
          </w:p>
        </w:tc>
        <w:tc>
          <w:tcPr>
            <w:tcW w:w="1686" w:type="dxa"/>
            <w:noWrap w:val="0"/>
            <w:vAlign w:val="center"/>
          </w:tcPr>
          <w:p w14:paraId="5E3CA35E">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评标委员会人数</w:t>
            </w:r>
          </w:p>
        </w:tc>
        <w:tc>
          <w:tcPr>
            <w:tcW w:w="5981" w:type="dxa"/>
            <w:noWrap w:val="0"/>
            <w:vAlign w:val="center"/>
          </w:tcPr>
          <w:p w14:paraId="1F758041">
            <w:pPr>
              <w:spacing w:line="276" w:lineRule="auto"/>
              <w:rPr>
                <w:rFonts w:ascii="宋体" w:hAnsi="宋体" w:cs="宋体"/>
                <w:color w:val="auto"/>
                <w:szCs w:val="21"/>
                <w:highlight w:val="none"/>
              </w:rPr>
            </w:pPr>
            <w:r>
              <w:rPr>
                <w:rFonts w:hint="eastAsia" w:ascii="宋体" w:hAnsi="宋体" w:cs="宋体"/>
                <w:color w:val="auto"/>
                <w:szCs w:val="21"/>
                <w:highlight w:val="none"/>
              </w:rPr>
              <w:t>评标委员会由招标人依法组建。</w:t>
            </w:r>
          </w:p>
          <w:p w14:paraId="64890096">
            <w:pPr>
              <w:spacing w:line="276" w:lineRule="auto"/>
              <w:rPr>
                <w:rFonts w:hint="eastAsia"/>
                <w:color w:val="auto"/>
                <w:highlight w:val="none"/>
              </w:rPr>
            </w:pPr>
            <w:r>
              <w:rPr>
                <w:rFonts w:hint="eastAsia" w:ascii="宋体" w:hAnsi="宋体" w:cs="宋体"/>
                <w:color w:val="auto"/>
                <w:szCs w:val="21"/>
                <w:highlight w:val="none"/>
              </w:rPr>
              <w:t>评标委员会构成：评标委员会由技术评审组和经济评审组组成。</w:t>
            </w:r>
          </w:p>
        </w:tc>
      </w:tr>
      <w:tr w14:paraId="0B95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702" w:type="dxa"/>
            <w:noWrap w:val="0"/>
            <w:vAlign w:val="center"/>
          </w:tcPr>
          <w:p w14:paraId="265EAAC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981" w:type="dxa"/>
            <w:noWrap w:val="0"/>
            <w:vAlign w:val="center"/>
          </w:tcPr>
          <w:p w14:paraId="62DBB4B0">
            <w:pPr>
              <w:spacing w:line="276" w:lineRule="auto"/>
              <w:jc w:val="center"/>
              <w:rPr>
                <w:rFonts w:hint="eastAsia" w:ascii="宋体" w:hAnsi="宋体" w:cs="宋体"/>
                <w:color w:val="auto"/>
                <w:szCs w:val="21"/>
                <w:highlight w:val="none"/>
              </w:rPr>
            </w:pPr>
          </w:p>
        </w:tc>
        <w:tc>
          <w:tcPr>
            <w:tcW w:w="1686" w:type="dxa"/>
            <w:noWrap w:val="0"/>
            <w:vAlign w:val="center"/>
          </w:tcPr>
          <w:p w14:paraId="539F89D6">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企业综合诚信评价分数</w:t>
            </w:r>
          </w:p>
        </w:tc>
        <w:tc>
          <w:tcPr>
            <w:tcW w:w="5981" w:type="dxa"/>
            <w:noWrap w:val="0"/>
            <w:vAlign w:val="center"/>
          </w:tcPr>
          <w:p w14:paraId="75A1BD23">
            <w:pPr>
              <w:rPr>
                <w:rFonts w:hint="eastAsia" w:ascii="宋体" w:hAnsi="宋体" w:cs="宋体"/>
                <w:b/>
                <w:color w:val="auto"/>
                <w:szCs w:val="21"/>
                <w:highlight w:val="none"/>
                <w:u w:val="single"/>
              </w:rPr>
            </w:pPr>
            <w:r>
              <w:rPr>
                <w:rFonts w:hint="eastAsia" w:ascii="宋体" w:hAnsi="宋体" w:cs="宋体"/>
                <w:color w:val="auto"/>
                <w:szCs w:val="21"/>
                <w:highlight w:val="none"/>
              </w:rPr>
              <w:t xml:space="preserve">本项目不适用。 </w:t>
            </w:r>
          </w:p>
        </w:tc>
      </w:tr>
      <w:tr w14:paraId="7ED3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noWrap w:val="0"/>
            <w:vAlign w:val="center"/>
          </w:tcPr>
          <w:p w14:paraId="4209CA09">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30</w:t>
            </w:r>
          </w:p>
        </w:tc>
        <w:tc>
          <w:tcPr>
            <w:tcW w:w="981" w:type="dxa"/>
            <w:noWrap w:val="0"/>
            <w:vAlign w:val="center"/>
          </w:tcPr>
          <w:p w14:paraId="7C700DD9">
            <w:pPr>
              <w:spacing w:line="276" w:lineRule="auto"/>
              <w:jc w:val="center"/>
              <w:rPr>
                <w:rFonts w:hint="eastAsia" w:ascii="宋体" w:hAnsi="宋体" w:cs="宋体"/>
                <w:color w:val="auto"/>
                <w:szCs w:val="21"/>
                <w:highlight w:val="none"/>
              </w:rPr>
            </w:pPr>
          </w:p>
        </w:tc>
        <w:tc>
          <w:tcPr>
            <w:tcW w:w="1686" w:type="dxa"/>
            <w:noWrap w:val="0"/>
            <w:vAlign w:val="center"/>
          </w:tcPr>
          <w:p w14:paraId="68130D32">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5981" w:type="dxa"/>
            <w:noWrap w:val="0"/>
            <w:vAlign w:val="center"/>
          </w:tcPr>
          <w:p w14:paraId="78058958">
            <w:pPr>
              <w:rPr>
                <w:rFonts w:hint="eastAsia" w:ascii="宋体" w:hAnsi="宋体" w:cs="宋体"/>
                <w:strike/>
                <w:color w:val="auto"/>
                <w:szCs w:val="21"/>
                <w:highlight w:val="none"/>
              </w:rPr>
            </w:pPr>
            <w:r>
              <w:rPr>
                <w:rFonts w:hint="eastAsia" w:ascii="宋体" w:hAnsi="宋体" w:cs="宋体"/>
                <w:color w:val="auto"/>
                <w:szCs w:val="21"/>
                <w:highlight w:val="none"/>
              </w:rPr>
              <w:t xml:space="preserve">本项目不适用。 </w:t>
            </w:r>
          </w:p>
        </w:tc>
      </w:tr>
      <w:tr w14:paraId="53EF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noWrap w:val="0"/>
            <w:vAlign w:val="center"/>
          </w:tcPr>
          <w:p w14:paraId="1A63157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981" w:type="dxa"/>
            <w:noWrap w:val="0"/>
            <w:vAlign w:val="center"/>
          </w:tcPr>
          <w:p w14:paraId="604C8759">
            <w:pPr>
              <w:spacing w:line="276" w:lineRule="auto"/>
              <w:jc w:val="center"/>
              <w:rPr>
                <w:rFonts w:hint="eastAsia" w:ascii="宋体" w:hAnsi="宋体" w:cs="宋体"/>
                <w:color w:val="auto"/>
                <w:szCs w:val="21"/>
                <w:highlight w:val="none"/>
              </w:rPr>
            </w:pPr>
          </w:p>
        </w:tc>
        <w:tc>
          <w:tcPr>
            <w:tcW w:w="1686" w:type="dxa"/>
            <w:noWrap w:val="0"/>
            <w:vAlign w:val="center"/>
          </w:tcPr>
          <w:p w14:paraId="60307F33">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5981" w:type="dxa"/>
            <w:noWrap w:val="0"/>
            <w:vAlign w:val="center"/>
          </w:tcPr>
          <w:p w14:paraId="31A8969C">
            <w:pPr>
              <w:rPr>
                <w:rFonts w:hint="eastAsia" w:ascii="宋体" w:hAnsi="宋体" w:cs="宋体"/>
                <w:strike/>
                <w:color w:val="auto"/>
                <w:szCs w:val="21"/>
                <w:highlight w:val="none"/>
              </w:rPr>
            </w:pPr>
            <w:r>
              <w:rPr>
                <w:rFonts w:hint="eastAsia" w:ascii="宋体" w:hAnsi="宋体" w:cs="宋体"/>
                <w:color w:val="auto"/>
                <w:szCs w:val="21"/>
                <w:highlight w:val="none"/>
              </w:rPr>
              <w:t xml:space="preserve">本项目不适用。 </w:t>
            </w:r>
          </w:p>
        </w:tc>
      </w:tr>
      <w:tr w14:paraId="1B92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noWrap w:val="0"/>
            <w:vAlign w:val="center"/>
          </w:tcPr>
          <w:p w14:paraId="017C3FB0">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981" w:type="dxa"/>
            <w:noWrap w:val="0"/>
            <w:vAlign w:val="center"/>
          </w:tcPr>
          <w:p w14:paraId="1639128E">
            <w:pPr>
              <w:spacing w:line="276" w:lineRule="auto"/>
              <w:jc w:val="center"/>
              <w:rPr>
                <w:rFonts w:hint="eastAsia" w:ascii="宋体" w:hAnsi="宋体" w:cs="宋体"/>
                <w:color w:val="auto"/>
                <w:szCs w:val="21"/>
                <w:highlight w:val="none"/>
              </w:rPr>
            </w:pPr>
          </w:p>
        </w:tc>
        <w:tc>
          <w:tcPr>
            <w:tcW w:w="1686" w:type="dxa"/>
            <w:noWrap w:val="0"/>
            <w:vAlign w:val="center"/>
          </w:tcPr>
          <w:p w14:paraId="4A63C015">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5981" w:type="dxa"/>
            <w:noWrap w:val="0"/>
            <w:vAlign w:val="center"/>
          </w:tcPr>
          <w:p w14:paraId="30AABDAA">
            <w:pPr>
              <w:rPr>
                <w:rFonts w:ascii="宋体" w:hAnsi="宋体" w:cs="宋体"/>
                <w:color w:val="auto"/>
                <w:szCs w:val="21"/>
                <w:highlight w:val="none"/>
              </w:rPr>
            </w:pPr>
            <w:r>
              <w:rPr>
                <w:rFonts w:hint="eastAsia" w:ascii="宋体" w:hAnsi="宋体" w:cs="宋体"/>
                <w:color w:val="auto"/>
                <w:szCs w:val="21"/>
                <w:highlight w:val="none"/>
                <w:lang w:bidi="ar"/>
              </w:rPr>
              <w:t>选取方法</w:t>
            </w:r>
            <w:r>
              <w:rPr>
                <w:rFonts w:hint="eastAsia" w:ascii="宋体" w:hAnsi="宋体" w:cs="宋体"/>
                <w:color w:val="auto"/>
                <w:szCs w:val="21"/>
                <w:highlight w:val="none"/>
                <w:u w:val="single"/>
                <w:lang w:bidi="ar"/>
              </w:rPr>
              <w:t xml:space="preserve"> 二 </w:t>
            </w:r>
          </w:p>
          <w:p w14:paraId="7EA6BF6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lang w:bidi="ar"/>
              </w:rPr>
              <w:t>评标委员会按照</w:t>
            </w:r>
            <w:r>
              <w:rPr>
                <w:rFonts w:hint="eastAsia" w:ascii="宋体" w:hAnsi="宋体" w:cs="宋体"/>
                <w:color w:val="auto"/>
                <w:szCs w:val="21"/>
                <w:highlight w:val="none"/>
                <w:u w:val="single"/>
                <w:lang w:bidi="ar"/>
              </w:rPr>
              <w:t>“</w:t>
            </w:r>
            <w:r>
              <w:rPr>
                <w:rFonts w:hint="eastAsia" w:ascii="宋体" w:hAnsi="宋体" w:cs="宋体"/>
                <w:b/>
                <w:bCs/>
                <w:color w:val="auto"/>
                <w:szCs w:val="21"/>
                <w:highlight w:val="none"/>
                <w:u w:val="single"/>
                <w:lang w:bidi="ar"/>
              </w:rPr>
              <w:t>第二阶段得分（</w:t>
            </w:r>
            <w:r>
              <w:rPr>
                <w:rFonts w:hint="eastAsia" w:ascii="宋体" w:hAnsi="宋体" w:cs="宋体"/>
                <w:b/>
                <w:color w:val="auto"/>
                <w:szCs w:val="21"/>
                <w:highlight w:val="none"/>
                <w:u w:val="single"/>
                <w:lang w:bidi="ar"/>
              </w:rPr>
              <w:t>总得分）（满分为100分）=</w:t>
            </w:r>
            <w:r>
              <w:rPr>
                <w:rFonts w:hint="eastAsia" w:ascii="宋体" w:hAnsi="宋体" w:cs="宋体"/>
                <w:b/>
                <w:color w:val="auto"/>
                <w:kern w:val="0"/>
                <w:szCs w:val="21"/>
                <w:highlight w:val="none"/>
                <w:u w:val="single"/>
                <w:lang w:eastAsia="zh-CN" w:bidi="ar"/>
              </w:rPr>
              <w:t>投标报价得分</w:t>
            </w:r>
            <w:r>
              <w:rPr>
                <w:rFonts w:hint="eastAsia" w:ascii="宋体" w:hAnsi="宋体" w:cs="宋体"/>
                <w:b/>
                <w:color w:val="auto"/>
                <w:kern w:val="0"/>
                <w:szCs w:val="21"/>
                <w:highlight w:val="none"/>
                <w:u w:val="single"/>
                <w:lang w:bidi="ar"/>
              </w:rPr>
              <w:t>（100分）×</w:t>
            </w:r>
            <w:r>
              <w:rPr>
                <w:rFonts w:hint="eastAsia" w:ascii="宋体" w:hAnsi="宋体" w:cs="宋体"/>
                <w:b/>
                <w:color w:val="auto"/>
                <w:kern w:val="0"/>
                <w:szCs w:val="21"/>
                <w:highlight w:val="none"/>
                <w:u w:val="single"/>
                <w:lang w:eastAsia="zh-CN" w:bidi="ar"/>
              </w:rPr>
              <w:t>投标报价</w:t>
            </w:r>
            <w:r>
              <w:rPr>
                <w:rFonts w:hint="eastAsia" w:ascii="宋体" w:hAnsi="宋体" w:cs="宋体"/>
                <w:b/>
                <w:color w:val="auto"/>
                <w:kern w:val="0"/>
                <w:szCs w:val="21"/>
                <w:highlight w:val="none"/>
                <w:u w:val="single"/>
                <w:lang w:bidi="ar"/>
              </w:rPr>
              <w:t>权重（</w:t>
            </w:r>
            <w:r>
              <w:rPr>
                <w:rFonts w:hint="eastAsia" w:ascii="宋体" w:hAnsi="宋体" w:cs="宋体"/>
                <w:b/>
                <w:color w:val="auto"/>
                <w:kern w:val="0"/>
                <w:szCs w:val="21"/>
                <w:highlight w:val="none"/>
                <w:u w:val="single"/>
                <w:lang w:val="en-US" w:eastAsia="zh-CN" w:bidi="ar"/>
              </w:rPr>
              <w:t>7</w:t>
            </w:r>
            <w:r>
              <w:rPr>
                <w:rFonts w:hint="eastAsia" w:ascii="宋体" w:hAnsi="宋体" w:cs="宋体"/>
                <w:b/>
                <w:color w:val="auto"/>
                <w:kern w:val="0"/>
                <w:szCs w:val="21"/>
                <w:highlight w:val="none"/>
                <w:u w:val="single"/>
                <w:lang w:bidi="ar"/>
              </w:rPr>
              <w:t>0%）</w:t>
            </w:r>
            <w:r>
              <w:rPr>
                <w:rFonts w:hint="eastAsia" w:ascii="宋体" w:hAnsi="宋体" w:cs="宋体"/>
                <w:b/>
                <w:color w:val="auto"/>
                <w:szCs w:val="21"/>
                <w:highlight w:val="none"/>
                <w:u w:val="single"/>
                <w:lang w:bidi="ar"/>
              </w:rPr>
              <w:t>+项</w:t>
            </w:r>
            <w:r>
              <w:rPr>
                <w:rFonts w:hint="eastAsia" w:ascii="宋体" w:hAnsi="宋体" w:cs="宋体"/>
                <w:b/>
                <w:bCs/>
                <w:color w:val="auto"/>
                <w:szCs w:val="21"/>
                <w:highlight w:val="none"/>
                <w:u w:val="single"/>
                <w:lang w:bidi="ar"/>
              </w:rPr>
              <w:t>目管理班子答辩得分（</w:t>
            </w:r>
            <w:r>
              <w:rPr>
                <w:rFonts w:hint="eastAsia" w:ascii="宋体" w:hAnsi="宋体" w:cs="宋体"/>
                <w:b/>
                <w:bCs/>
                <w:color w:val="auto"/>
                <w:szCs w:val="21"/>
                <w:highlight w:val="none"/>
                <w:u w:val="single"/>
                <w:lang w:val="en-US" w:eastAsia="zh-CN" w:bidi="ar"/>
              </w:rPr>
              <w:t>2</w:t>
            </w:r>
            <w:r>
              <w:rPr>
                <w:rFonts w:hint="eastAsia" w:ascii="宋体" w:hAnsi="宋体" w:cs="宋体"/>
                <w:b/>
                <w:bCs/>
                <w:color w:val="auto"/>
                <w:szCs w:val="21"/>
                <w:highlight w:val="none"/>
                <w:u w:val="single"/>
                <w:lang w:bidi="ar"/>
              </w:rPr>
              <w:t>0分）</w:t>
            </w:r>
            <w:r>
              <w:rPr>
                <w:rFonts w:hint="eastAsia" w:ascii="宋体" w:hAnsi="宋体" w:cs="宋体"/>
                <w:b/>
                <w:bCs/>
                <w:color w:val="auto"/>
                <w:kern w:val="2"/>
                <w:szCs w:val="21"/>
                <w:highlight w:val="none"/>
                <w:u w:val="single"/>
                <w:lang w:bidi="ar"/>
              </w:rPr>
              <w:t>×</w:t>
            </w:r>
            <w:r>
              <w:rPr>
                <w:rFonts w:hint="eastAsia" w:ascii="宋体" w:hAnsi="宋体" w:cs="宋体"/>
                <w:b/>
                <w:bCs/>
                <w:color w:val="auto"/>
                <w:szCs w:val="21"/>
                <w:highlight w:val="none"/>
                <w:u w:val="single"/>
                <w:lang w:bidi="ar"/>
              </w:rPr>
              <w:t>项目管理班子答辩</w:t>
            </w:r>
            <w:r>
              <w:rPr>
                <w:rFonts w:hint="eastAsia" w:ascii="宋体" w:hAnsi="宋体" w:cs="宋体"/>
                <w:b/>
                <w:bCs/>
                <w:color w:val="auto"/>
                <w:szCs w:val="21"/>
                <w:highlight w:val="none"/>
                <w:u w:val="single"/>
                <w:lang w:val="en-US" w:eastAsia="zh-CN" w:bidi="ar"/>
              </w:rPr>
              <w:t>分</w:t>
            </w:r>
            <w:r>
              <w:rPr>
                <w:rFonts w:hint="eastAsia" w:ascii="宋体" w:hAnsi="宋体" w:cs="宋体"/>
                <w:b/>
                <w:bCs/>
                <w:color w:val="auto"/>
                <w:szCs w:val="21"/>
                <w:highlight w:val="none"/>
                <w:u w:val="single"/>
                <w:lang w:bidi="ar"/>
              </w:rPr>
              <w:t>权重（100%）</w:t>
            </w:r>
            <w:r>
              <w:rPr>
                <w:rFonts w:hint="eastAsia" w:ascii="宋体" w:hAnsi="宋体" w:cs="宋体"/>
                <w:b/>
                <w:bCs/>
                <w:color w:val="auto"/>
                <w:szCs w:val="21"/>
                <w:highlight w:val="none"/>
                <w:u w:val="single"/>
                <w:lang w:val="en-US" w:eastAsia="zh-CN" w:bidi="ar"/>
              </w:rPr>
              <w:t>+</w:t>
            </w:r>
            <w:r>
              <w:rPr>
                <w:rFonts w:hint="eastAsia" w:ascii="宋体" w:hAnsi="宋体" w:eastAsia="宋体" w:cs="宋体"/>
                <w:b/>
                <w:bCs/>
                <w:color w:val="auto"/>
                <w:kern w:val="2"/>
                <w:sz w:val="21"/>
                <w:szCs w:val="21"/>
                <w:highlight w:val="none"/>
                <w:u w:val="single"/>
                <w:lang w:bidi="ar"/>
              </w:rPr>
              <w:t>施工组织设计</w:t>
            </w:r>
            <w:r>
              <w:rPr>
                <w:rFonts w:hint="eastAsia" w:ascii="宋体" w:hAnsi="宋体" w:eastAsia="宋体" w:cs="宋体"/>
                <w:b/>
                <w:bCs/>
                <w:color w:val="auto"/>
                <w:kern w:val="2"/>
                <w:sz w:val="21"/>
                <w:szCs w:val="21"/>
                <w:highlight w:val="none"/>
                <w:u w:val="single"/>
                <w:lang w:val="en-US" w:eastAsia="zh-CN" w:bidi="ar"/>
              </w:rPr>
              <w:t>得分</w:t>
            </w:r>
            <w:r>
              <w:rPr>
                <w:rFonts w:hint="eastAsia" w:ascii="宋体" w:hAnsi="宋体" w:cs="宋体"/>
                <w:b/>
                <w:bCs/>
                <w:color w:val="auto"/>
                <w:szCs w:val="21"/>
                <w:highlight w:val="none"/>
                <w:u w:val="single"/>
                <w:lang w:bidi="ar"/>
              </w:rPr>
              <w:t>（</w:t>
            </w:r>
            <w:r>
              <w:rPr>
                <w:rFonts w:hint="eastAsia" w:ascii="宋体" w:hAnsi="宋体" w:eastAsia="宋体" w:cs="宋体"/>
                <w:b/>
                <w:bCs/>
                <w:color w:val="auto"/>
                <w:szCs w:val="21"/>
                <w:highlight w:val="none"/>
                <w:u w:val="single"/>
                <w:lang w:eastAsia="zh-CN" w:bidi="ar"/>
              </w:rPr>
              <w:t>1</w:t>
            </w:r>
            <w:r>
              <w:rPr>
                <w:rFonts w:hint="eastAsia" w:ascii="宋体" w:hAnsi="宋体" w:cs="宋体"/>
                <w:b/>
                <w:bCs/>
                <w:color w:val="auto"/>
                <w:szCs w:val="21"/>
                <w:highlight w:val="none"/>
                <w:u w:val="single"/>
                <w:lang w:bidi="ar"/>
              </w:rPr>
              <w:t>0分）</w:t>
            </w:r>
            <w:r>
              <w:rPr>
                <w:rFonts w:hint="eastAsia" w:ascii="宋体" w:hAnsi="宋体" w:eastAsia="宋体" w:cs="宋体"/>
                <w:b/>
                <w:bCs/>
                <w:color w:val="auto"/>
                <w:kern w:val="2"/>
                <w:szCs w:val="21"/>
                <w:highlight w:val="none"/>
                <w:u w:val="single"/>
                <w:lang w:bidi="ar"/>
              </w:rPr>
              <w:t>×</w:t>
            </w:r>
            <w:r>
              <w:rPr>
                <w:rFonts w:hint="eastAsia" w:ascii="宋体" w:hAnsi="宋体" w:eastAsia="宋体" w:cs="宋体"/>
                <w:b/>
                <w:bCs/>
                <w:color w:val="auto"/>
                <w:kern w:val="2"/>
                <w:sz w:val="21"/>
                <w:szCs w:val="21"/>
                <w:highlight w:val="none"/>
                <w:u w:val="single"/>
                <w:lang w:bidi="ar"/>
              </w:rPr>
              <w:t>施工组织设计</w:t>
            </w:r>
            <w:r>
              <w:rPr>
                <w:rFonts w:hint="eastAsia" w:ascii="宋体" w:hAnsi="宋体" w:cs="宋体"/>
                <w:b/>
                <w:bCs/>
                <w:color w:val="auto"/>
                <w:kern w:val="2"/>
                <w:sz w:val="21"/>
                <w:szCs w:val="21"/>
                <w:highlight w:val="none"/>
                <w:u w:val="single"/>
                <w:lang w:val="en-US" w:eastAsia="zh-CN" w:bidi="ar"/>
              </w:rPr>
              <w:t>分</w:t>
            </w:r>
            <w:r>
              <w:rPr>
                <w:rFonts w:hint="eastAsia" w:ascii="宋体" w:hAnsi="宋体" w:eastAsia="宋体" w:cs="宋体"/>
                <w:b/>
                <w:bCs/>
                <w:color w:val="auto"/>
                <w:szCs w:val="21"/>
                <w:highlight w:val="none"/>
                <w:u w:val="single"/>
                <w:lang w:bidi="ar"/>
              </w:rPr>
              <w:t>权重（100%）</w:t>
            </w:r>
            <w:r>
              <w:rPr>
                <w:rFonts w:hint="eastAsia" w:ascii="宋体" w:hAnsi="宋体" w:cs="宋体"/>
                <w:b/>
                <w:color w:val="auto"/>
                <w:kern w:val="0"/>
                <w:szCs w:val="21"/>
                <w:highlight w:val="none"/>
                <w:u w:val="single"/>
                <w:lang w:bidi="ar"/>
              </w:rPr>
              <w:t>。</w:t>
            </w:r>
            <w:r>
              <w:rPr>
                <w:rFonts w:hint="eastAsia" w:ascii="宋体" w:hAnsi="宋体" w:cs="宋体"/>
                <w:color w:val="auto"/>
                <w:szCs w:val="21"/>
                <w:highlight w:val="none"/>
                <w:u w:val="single"/>
                <w:lang w:bidi="ar"/>
              </w:rPr>
              <w:t>”</w:t>
            </w:r>
            <w:r>
              <w:rPr>
                <w:rFonts w:hint="eastAsia" w:ascii="宋体" w:hAnsi="宋体" w:cs="宋体"/>
                <w:color w:val="auto"/>
                <w:szCs w:val="21"/>
                <w:highlight w:val="none"/>
                <w:lang w:bidi="ar"/>
              </w:rPr>
              <w:t>的公式，计算各有效投标文件的第二阶段得分（总得分），并按照第二阶段得分（总得分）从高到低排列先后次序。</w:t>
            </w:r>
          </w:p>
          <w:p w14:paraId="6471C569">
            <w:pPr>
              <w:jc w:val="left"/>
              <w:rPr>
                <w:rFonts w:ascii="宋体" w:hAnsi="宋体" w:cs="宋体"/>
                <w:color w:val="auto"/>
                <w:szCs w:val="21"/>
                <w:highlight w:val="none"/>
              </w:rPr>
            </w:pPr>
            <w:r>
              <w:rPr>
                <w:rFonts w:hint="eastAsia" w:ascii="宋体" w:hAnsi="宋体" w:cs="宋体"/>
                <w:color w:val="auto"/>
                <w:szCs w:val="21"/>
                <w:highlight w:val="none"/>
                <w:lang w:bidi="ar"/>
              </w:rPr>
              <w:t>第二阶段得分（总得分）相同的投标文件，</w:t>
            </w:r>
            <w:r>
              <w:rPr>
                <w:rFonts w:hint="eastAsia" w:ascii="宋体" w:hAnsi="宋体" w:cs="宋体"/>
                <w:color w:val="auto"/>
                <w:szCs w:val="21"/>
                <w:highlight w:val="none"/>
              </w:rPr>
              <w:t>以投标总报价较低的排前；</w:t>
            </w:r>
            <w:r>
              <w:rPr>
                <w:rFonts w:hint="eastAsia" w:ascii="宋体" w:hAnsi="宋体" w:cs="宋体"/>
                <w:color w:val="auto"/>
                <w:szCs w:val="21"/>
                <w:highlight w:val="none"/>
                <w:u w:val="single"/>
              </w:rPr>
              <w:t>第二阶段得分（总得分）与投标总报价均相同的投标文件，以项目管理班子答辩分较高的排前，第二阶段得分（总得分）、投标总报价、项目管理班子答辩分均相同的投标文件，</w:t>
            </w:r>
            <w:r>
              <w:rPr>
                <w:rFonts w:hint="eastAsia" w:ascii="宋体" w:hAnsi="宋体" w:cs="宋体"/>
                <w:color w:val="auto"/>
                <w:szCs w:val="21"/>
                <w:highlight w:val="none"/>
              </w:rPr>
              <w:t>则对具有相同情况的投标人，</w:t>
            </w:r>
            <w:r>
              <w:rPr>
                <w:rFonts w:hint="eastAsia" w:ascii="宋体" w:hAnsi="宋体" w:cs="宋体"/>
                <w:color w:val="auto"/>
                <w:szCs w:val="21"/>
                <w:highlight w:val="none"/>
                <w:lang w:bidi="ar"/>
              </w:rPr>
              <w:t>由评标委员会采用记名投票方式，以得票多的优先。</w:t>
            </w:r>
          </w:p>
          <w:p w14:paraId="7CFA6543">
            <w:pPr>
              <w:rPr>
                <w:rFonts w:hint="eastAsia" w:ascii="宋体" w:hAnsi="宋体" w:cs="宋体"/>
                <w:color w:val="auto"/>
                <w:szCs w:val="21"/>
                <w:highlight w:val="none"/>
                <w:u w:val="single"/>
              </w:rPr>
            </w:pPr>
            <w:r>
              <w:rPr>
                <w:rFonts w:hint="eastAsia" w:ascii="宋体" w:hAnsi="宋体" w:cs="宋体"/>
                <w:color w:val="auto"/>
                <w:szCs w:val="21"/>
                <w:highlight w:val="none"/>
                <w:u w:val="single"/>
              </w:rPr>
              <w:t>注：记名投票方式确定排序的具体操作步骤为：由评标委员会对出现该情况的投标人采取记名投票的方式确定，按得票数从高到低排列先后次序，以得票数高的排前，根据得票数高低确定投标人的排序。</w:t>
            </w:r>
          </w:p>
        </w:tc>
      </w:tr>
      <w:tr w14:paraId="6660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noWrap w:val="0"/>
            <w:vAlign w:val="center"/>
          </w:tcPr>
          <w:p w14:paraId="4DAB1EB4">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981" w:type="dxa"/>
            <w:noWrap w:val="0"/>
            <w:vAlign w:val="center"/>
          </w:tcPr>
          <w:p w14:paraId="3AD2AD3C">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13.4、13.5.2</w:t>
            </w:r>
          </w:p>
        </w:tc>
        <w:tc>
          <w:tcPr>
            <w:tcW w:w="1686" w:type="dxa"/>
            <w:noWrap w:val="0"/>
            <w:vAlign w:val="center"/>
          </w:tcPr>
          <w:p w14:paraId="087B6819">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合同价款的调整办法</w:t>
            </w:r>
          </w:p>
        </w:tc>
        <w:tc>
          <w:tcPr>
            <w:tcW w:w="5981" w:type="dxa"/>
            <w:noWrap w:val="0"/>
            <w:vAlign w:val="center"/>
          </w:tcPr>
          <w:p w14:paraId="17D4762D">
            <w:pPr>
              <w:spacing w:line="276" w:lineRule="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按合同条款相关约定调整。</w:t>
            </w:r>
          </w:p>
        </w:tc>
      </w:tr>
      <w:tr w14:paraId="54F1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noWrap w:val="0"/>
            <w:vAlign w:val="center"/>
          </w:tcPr>
          <w:p w14:paraId="54F00E4E">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34</w:t>
            </w:r>
          </w:p>
        </w:tc>
        <w:tc>
          <w:tcPr>
            <w:tcW w:w="981" w:type="dxa"/>
            <w:noWrap w:val="0"/>
            <w:vAlign w:val="center"/>
          </w:tcPr>
          <w:p w14:paraId="50A17201">
            <w:pPr>
              <w:spacing w:line="276" w:lineRule="auto"/>
              <w:jc w:val="center"/>
              <w:rPr>
                <w:rFonts w:hint="eastAsia" w:ascii="宋体" w:hAnsi="宋体" w:cs="宋体"/>
                <w:color w:val="auto"/>
                <w:szCs w:val="21"/>
                <w:highlight w:val="none"/>
              </w:rPr>
            </w:pPr>
          </w:p>
        </w:tc>
        <w:tc>
          <w:tcPr>
            <w:tcW w:w="1686" w:type="dxa"/>
            <w:noWrap w:val="0"/>
            <w:vAlign w:val="center"/>
          </w:tcPr>
          <w:p w14:paraId="188556BB">
            <w:pPr>
              <w:adjustRightInd w:val="0"/>
              <w:spacing w:line="360" w:lineRule="auto"/>
              <w:jc w:val="center"/>
              <w:rPr>
                <w:rFonts w:hint="eastAsia" w:ascii="宋体" w:hAnsi="宋体" w:cs="宋体"/>
                <w:color w:val="auto"/>
                <w:szCs w:val="21"/>
                <w:highlight w:val="none"/>
              </w:rPr>
            </w:pPr>
            <w:r>
              <w:rPr>
                <w:rFonts w:hint="eastAsia" w:ascii="宋体" w:hAnsi="宋体"/>
                <w:color w:val="auto"/>
                <w:kern w:val="0"/>
                <w:szCs w:val="21"/>
                <w:highlight w:val="none"/>
                <w:lang w:val="zh-CN"/>
              </w:rPr>
              <w:t>建设工程质量检测单位</w:t>
            </w:r>
          </w:p>
        </w:tc>
        <w:tc>
          <w:tcPr>
            <w:tcW w:w="5981" w:type="dxa"/>
            <w:noWrap w:val="0"/>
            <w:vAlign w:val="center"/>
          </w:tcPr>
          <w:p w14:paraId="098851D7">
            <w:pPr>
              <w:adjustRightInd w:val="0"/>
              <w:spacing w:line="360" w:lineRule="auto"/>
              <w:rPr>
                <w:rFonts w:hint="eastAsia" w:ascii="宋体" w:hAnsi="宋体" w:cs="宋体"/>
                <w:bCs/>
                <w:color w:val="auto"/>
                <w:szCs w:val="21"/>
                <w:highlight w:val="none"/>
                <w:u w:val="single"/>
              </w:rPr>
            </w:pPr>
            <w:r>
              <w:rPr>
                <w:rFonts w:hint="eastAsia" w:ascii="宋体" w:hAnsi="宋体" w:cs="宋体"/>
                <w:color w:val="auto"/>
                <w:kern w:val="0"/>
                <w:szCs w:val="21"/>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FE6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2" w:type="dxa"/>
            <w:noWrap w:val="0"/>
            <w:vAlign w:val="center"/>
          </w:tcPr>
          <w:p w14:paraId="31DA3B83">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35</w:t>
            </w:r>
          </w:p>
        </w:tc>
        <w:tc>
          <w:tcPr>
            <w:tcW w:w="981" w:type="dxa"/>
            <w:noWrap w:val="0"/>
            <w:vAlign w:val="center"/>
          </w:tcPr>
          <w:p w14:paraId="17B44032">
            <w:pPr>
              <w:spacing w:line="276" w:lineRule="auto"/>
              <w:jc w:val="center"/>
              <w:rPr>
                <w:rFonts w:hint="eastAsia" w:ascii="宋体" w:hAnsi="宋体" w:cs="宋体"/>
                <w:color w:val="auto"/>
                <w:szCs w:val="21"/>
                <w:highlight w:val="none"/>
              </w:rPr>
            </w:pPr>
          </w:p>
        </w:tc>
        <w:tc>
          <w:tcPr>
            <w:tcW w:w="1686" w:type="dxa"/>
            <w:noWrap w:val="0"/>
            <w:vAlign w:val="center"/>
          </w:tcPr>
          <w:p w14:paraId="60AAEA21">
            <w:pPr>
              <w:spacing w:line="276" w:lineRule="auto"/>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981" w:type="dxa"/>
            <w:noWrap w:val="0"/>
            <w:vAlign w:val="center"/>
          </w:tcPr>
          <w:p w14:paraId="2D7683BF">
            <w:pPr>
              <w:ind w:left="71" w:leftChars="34"/>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14:paraId="5C9CC49D">
            <w:pPr>
              <w:ind w:left="71" w:leftChars="34"/>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■允许：分包内容要要求：</w:t>
            </w:r>
            <w:r>
              <w:rPr>
                <w:rFonts w:hint="eastAsia" w:ascii="宋体" w:hAnsi="宋体" w:cs="宋体"/>
                <w:color w:val="auto"/>
                <w:szCs w:val="21"/>
                <w:highlight w:val="none"/>
                <w:u w:val="single"/>
              </w:rPr>
              <w:t>非主体、非关键性工程及现行法律法规允许进行专业分包的工作内容。</w:t>
            </w:r>
          </w:p>
          <w:p w14:paraId="39303CD9">
            <w:pPr>
              <w:spacing w:line="276" w:lineRule="auto"/>
              <w:rPr>
                <w:rFonts w:hint="eastAsia" w:ascii="宋体" w:hAnsi="宋体" w:cs="宋体"/>
                <w:color w:val="auto"/>
                <w:szCs w:val="21"/>
                <w:highlight w:val="none"/>
                <w:u w:val="single"/>
              </w:rPr>
            </w:pPr>
            <w:r>
              <w:rPr>
                <w:rFonts w:hint="eastAsia" w:ascii="宋体" w:hAnsi="宋体" w:cs="宋体"/>
                <w:color w:val="auto"/>
                <w:kern w:val="0"/>
                <w:szCs w:val="21"/>
                <w:highlight w:val="none"/>
                <w:lang w:val="zh-CN"/>
              </w:rPr>
              <w:t xml:space="preserve">        分包金额要求：</w:t>
            </w:r>
            <w:r>
              <w:rPr>
                <w:rFonts w:hint="eastAsia" w:ascii="宋体" w:hAnsi="宋体" w:cs="宋体"/>
                <w:color w:val="auto"/>
                <w:szCs w:val="21"/>
                <w:highlight w:val="none"/>
                <w:u w:val="single"/>
              </w:rPr>
              <w:t>/</w:t>
            </w:r>
          </w:p>
          <w:p w14:paraId="780A96D4">
            <w:pPr>
              <w:spacing w:line="276" w:lineRule="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lang w:val="zh-CN"/>
              </w:rPr>
              <w:t>按国家资质管理规定执行</w:t>
            </w:r>
            <w:r>
              <w:rPr>
                <w:rFonts w:hint="eastAsia" w:ascii="宋体" w:hAnsi="宋体" w:cs="宋体"/>
                <w:color w:val="auto"/>
                <w:szCs w:val="21"/>
                <w:highlight w:val="none"/>
                <w:u w:val="single"/>
              </w:rPr>
              <w:t>。</w:t>
            </w:r>
          </w:p>
          <w:p w14:paraId="41F83A75">
            <w:pPr>
              <w:spacing w:line="276"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 xml:space="preserve">        对分包人的其他要求：</w:t>
            </w:r>
            <w:r>
              <w:rPr>
                <w:rFonts w:hint="eastAsia" w:ascii="宋体" w:hAnsi="宋体" w:cs="宋体"/>
                <w:color w:val="auto"/>
                <w:kern w:val="0"/>
                <w:szCs w:val="21"/>
                <w:highlight w:val="none"/>
                <w:u w:val="single"/>
              </w:rPr>
              <w:t>/</w:t>
            </w:r>
          </w:p>
        </w:tc>
      </w:tr>
      <w:tr w14:paraId="63BF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2" w:type="dxa"/>
            <w:noWrap w:val="0"/>
            <w:vAlign w:val="center"/>
          </w:tcPr>
          <w:p w14:paraId="571B47FE">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36</w:t>
            </w:r>
          </w:p>
        </w:tc>
        <w:tc>
          <w:tcPr>
            <w:tcW w:w="981" w:type="dxa"/>
            <w:noWrap w:val="0"/>
            <w:vAlign w:val="center"/>
          </w:tcPr>
          <w:p w14:paraId="3817D31D">
            <w:pPr>
              <w:spacing w:line="276" w:lineRule="auto"/>
              <w:jc w:val="center"/>
              <w:rPr>
                <w:rFonts w:hint="eastAsia" w:ascii="宋体" w:hAnsi="宋体" w:cs="宋体"/>
                <w:color w:val="auto"/>
                <w:szCs w:val="21"/>
                <w:highlight w:val="none"/>
              </w:rPr>
            </w:pPr>
          </w:p>
        </w:tc>
        <w:tc>
          <w:tcPr>
            <w:tcW w:w="1686" w:type="dxa"/>
            <w:noWrap w:val="0"/>
            <w:vAlign w:val="center"/>
          </w:tcPr>
          <w:p w14:paraId="13CF72C0">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电子招标投标解密失败及突发情况的补救</w:t>
            </w:r>
          </w:p>
        </w:tc>
        <w:tc>
          <w:tcPr>
            <w:tcW w:w="5981" w:type="dxa"/>
            <w:noWrap w:val="0"/>
            <w:vAlign w:val="center"/>
          </w:tcPr>
          <w:p w14:paraId="35B04627">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 xml:space="preserve">。  </w:t>
            </w:r>
          </w:p>
          <w:p w14:paraId="77403C07">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2、提交投标文件光盘备用</w:t>
            </w:r>
          </w:p>
          <w:p w14:paraId="6E64AC95">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055105D">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 xml:space="preserve"> 3、补救方案</w:t>
            </w:r>
          </w:p>
          <w:p w14:paraId="1781F0F8">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（1）投标文件解密失败的补救方案：</w:t>
            </w:r>
          </w:p>
          <w:p w14:paraId="5FFC869B">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4B045A3">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（2）评标时突发情况的补救方案</w:t>
            </w:r>
          </w:p>
          <w:p w14:paraId="19ECE987">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5F61D325">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（3）除发生上述情况外，开标评标均以投标人通过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交易平台网上递交的电子投标文件为准。</w:t>
            </w:r>
          </w:p>
        </w:tc>
      </w:tr>
      <w:tr w14:paraId="7F41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2" w:type="dxa"/>
            <w:noWrap w:val="0"/>
            <w:vAlign w:val="center"/>
          </w:tcPr>
          <w:p w14:paraId="45D5789C">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37</w:t>
            </w:r>
          </w:p>
        </w:tc>
        <w:tc>
          <w:tcPr>
            <w:tcW w:w="981" w:type="dxa"/>
            <w:noWrap w:val="0"/>
            <w:vAlign w:val="center"/>
          </w:tcPr>
          <w:p w14:paraId="6D77983B">
            <w:pPr>
              <w:spacing w:line="276" w:lineRule="auto"/>
              <w:jc w:val="center"/>
              <w:rPr>
                <w:rFonts w:hint="eastAsia" w:ascii="宋体" w:hAnsi="宋体" w:cs="宋体"/>
                <w:color w:val="auto"/>
                <w:szCs w:val="21"/>
                <w:highlight w:val="none"/>
              </w:rPr>
            </w:pPr>
          </w:p>
        </w:tc>
        <w:tc>
          <w:tcPr>
            <w:tcW w:w="1686" w:type="dxa"/>
            <w:noWrap w:val="0"/>
            <w:vAlign w:val="center"/>
          </w:tcPr>
          <w:p w14:paraId="7DDF6A78">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u w:val="single"/>
              </w:rPr>
              <w:t>招标人拒绝接收投标文件备用光盘的情况</w:t>
            </w:r>
          </w:p>
        </w:tc>
        <w:tc>
          <w:tcPr>
            <w:tcW w:w="5981" w:type="dxa"/>
            <w:noWrap w:val="0"/>
            <w:vAlign w:val="center"/>
          </w:tcPr>
          <w:p w14:paraId="3A14BC24">
            <w:pPr>
              <w:adjustRightInd w:val="0"/>
              <w:spacing w:line="360" w:lineRule="auto"/>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1、在投标截止期后逾期或未在指定地点递交投标文件备用光盘的；</w:t>
            </w:r>
          </w:p>
          <w:p w14:paraId="13658E34">
            <w:pPr>
              <w:adjustRightInd w:val="0"/>
              <w:spacing w:line="360" w:lineRule="auto"/>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2、投标文件备用光盘未按招标文件要求密封或未在密封处盖章的；</w:t>
            </w:r>
          </w:p>
          <w:p w14:paraId="1C65027C">
            <w:pPr>
              <w:adjustRightIn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u w:val="single"/>
              </w:rPr>
              <w:t>3、投标人代表未凭法定代表人证明书（原件）、授权委托书原件（仅限于非法定代表人）、本人身份证原件递交投标文件备用光盘的。</w:t>
            </w:r>
          </w:p>
        </w:tc>
      </w:tr>
      <w:tr w14:paraId="56C4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2" w:type="dxa"/>
            <w:noWrap w:val="0"/>
            <w:vAlign w:val="center"/>
          </w:tcPr>
          <w:p w14:paraId="4BB0AA8D">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38</w:t>
            </w:r>
          </w:p>
        </w:tc>
        <w:tc>
          <w:tcPr>
            <w:tcW w:w="981" w:type="dxa"/>
            <w:noWrap w:val="0"/>
            <w:vAlign w:val="center"/>
          </w:tcPr>
          <w:p w14:paraId="44CCD4E4">
            <w:pPr>
              <w:spacing w:line="276" w:lineRule="auto"/>
              <w:jc w:val="center"/>
              <w:rPr>
                <w:rFonts w:hint="eastAsia" w:ascii="宋体" w:hAnsi="宋体" w:cs="宋体"/>
                <w:color w:val="auto"/>
                <w:szCs w:val="21"/>
                <w:highlight w:val="none"/>
              </w:rPr>
            </w:pPr>
          </w:p>
        </w:tc>
        <w:tc>
          <w:tcPr>
            <w:tcW w:w="1686" w:type="dxa"/>
            <w:noWrap w:val="0"/>
            <w:vAlign w:val="center"/>
          </w:tcPr>
          <w:p w14:paraId="14731B61">
            <w:pPr>
              <w:adjustRightInd w:val="0"/>
              <w:spacing w:line="360"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中标公示后中标单位提交投标文件要求</w:t>
            </w:r>
          </w:p>
        </w:tc>
        <w:tc>
          <w:tcPr>
            <w:tcW w:w="5981" w:type="dxa"/>
            <w:noWrap w:val="0"/>
            <w:vAlign w:val="center"/>
          </w:tcPr>
          <w:p w14:paraId="2EE129F6">
            <w:pPr>
              <w:adjustRightInd w:val="0"/>
              <w:spacing w:line="360" w:lineRule="auto"/>
              <w:rPr>
                <w:rFonts w:hint="eastAsia" w:ascii="宋体" w:hAnsi="宋体" w:cs="宋体"/>
                <w:b/>
                <w:bCs/>
                <w:color w:val="auto"/>
                <w:szCs w:val="21"/>
                <w:highlight w:val="none"/>
                <w:u w:val="single"/>
              </w:rPr>
            </w:pPr>
            <w:r>
              <w:rPr>
                <w:rFonts w:hint="eastAsia" w:ascii="宋体" w:hAnsi="宋体" w:cs="宋体"/>
                <w:color w:val="auto"/>
                <w:szCs w:val="21"/>
                <w:highlight w:val="none"/>
                <w:u w:val="single"/>
              </w:rPr>
              <w:t>中标单位在中标公示结束后三个工作日内分别提交一正两副纸质版投标文件及一张电子版投标文件光盘。</w:t>
            </w:r>
          </w:p>
        </w:tc>
      </w:tr>
      <w:tr w14:paraId="5603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2" w:type="dxa"/>
            <w:noWrap w:val="0"/>
            <w:vAlign w:val="center"/>
          </w:tcPr>
          <w:p w14:paraId="0FFE68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39</w:t>
            </w:r>
          </w:p>
        </w:tc>
        <w:tc>
          <w:tcPr>
            <w:tcW w:w="981" w:type="dxa"/>
            <w:noWrap w:val="0"/>
            <w:vAlign w:val="center"/>
          </w:tcPr>
          <w:p w14:paraId="6E6EC93E">
            <w:pPr>
              <w:jc w:val="center"/>
              <w:rPr>
                <w:rFonts w:hint="eastAsia" w:ascii="宋体" w:hAnsi="宋体" w:cs="宋体"/>
                <w:color w:val="auto"/>
                <w:szCs w:val="21"/>
                <w:highlight w:val="none"/>
              </w:rPr>
            </w:pPr>
          </w:p>
        </w:tc>
        <w:tc>
          <w:tcPr>
            <w:tcW w:w="7667" w:type="dxa"/>
            <w:gridSpan w:val="2"/>
            <w:noWrap w:val="0"/>
            <w:vAlign w:val="center"/>
          </w:tcPr>
          <w:p w14:paraId="47DE0EB9">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交易服务费：中标人代缴广州交易集团有限公司交易服务费，由广州交易集团有限公司向中标人开具增值税发票，其费用在承包人第一次请款时一并申请。</w:t>
            </w:r>
          </w:p>
          <w:p w14:paraId="5AC40303">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招标代理费：招标人按照招标代理合同约定支付给招标代理机构。</w:t>
            </w:r>
          </w:p>
        </w:tc>
      </w:tr>
      <w:tr w14:paraId="643C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2" w:type="dxa"/>
            <w:noWrap w:val="0"/>
            <w:vAlign w:val="center"/>
          </w:tcPr>
          <w:p w14:paraId="5061E3B1">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40</w:t>
            </w:r>
          </w:p>
        </w:tc>
        <w:tc>
          <w:tcPr>
            <w:tcW w:w="981" w:type="dxa"/>
            <w:noWrap w:val="0"/>
            <w:vAlign w:val="center"/>
          </w:tcPr>
          <w:p w14:paraId="2AFD7145">
            <w:pPr>
              <w:jc w:val="center"/>
              <w:rPr>
                <w:rFonts w:hint="eastAsia" w:ascii="宋体" w:hAnsi="宋体" w:cs="宋体"/>
                <w:color w:val="auto"/>
                <w:szCs w:val="21"/>
                <w:highlight w:val="none"/>
              </w:rPr>
            </w:pPr>
          </w:p>
        </w:tc>
        <w:tc>
          <w:tcPr>
            <w:tcW w:w="7667" w:type="dxa"/>
            <w:gridSpan w:val="2"/>
            <w:noWrap w:val="0"/>
            <w:vAlign w:val="center"/>
          </w:tcPr>
          <w:p w14:paraId="60C7C7F0">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内容：招标人对中标人参与“百千万工程”的具体要求</w:t>
            </w:r>
          </w:p>
          <w:p w14:paraId="33489F4B">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说明与要求：</w:t>
            </w:r>
          </w:p>
          <w:p w14:paraId="428CAFCA">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具体要求在中标后按照投标承诺和招标人的要求执行。</w:t>
            </w:r>
          </w:p>
          <w:p w14:paraId="0500F9CD">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□具体要求：（由招标人填写）</w:t>
            </w:r>
          </w:p>
        </w:tc>
      </w:tr>
    </w:tbl>
    <w:p w14:paraId="503EADBB">
      <w:pPr>
        <w:spacing w:line="480" w:lineRule="auto"/>
        <w:rPr>
          <w:rFonts w:hint="eastAsia" w:ascii="宋体" w:hAnsi="宋体" w:cs="宋体"/>
          <w:strike/>
          <w:color w:val="auto"/>
          <w:sz w:val="24"/>
          <w:highlight w:val="none"/>
        </w:rPr>
      </w:pPr>
      <w:r>
        <w:rPr>
          <w:rFonts w:hint="eastAsia" w:ascii="宋体" w:hAnsi="宋体" w:cs="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cs="宋体"/>
          <w:strike/>
          <w:color w:val="auto"/>
          <w:sz w:val="24"/>
          <w:highlight w:val="none"/>
        </w:rPr>
        <w:t>企业</w:t>
      </w:r>
      <w:r>
        <w:rPr>
          <w:rFonts w:hint="eastAsia" w:ascii="宋体" w:hAnsi="宋体" w:cs="宋体"/>
          <w:strike/>
          <w:color w:val="auto"/>
          <w:kern w:val="0"/>
          <w:sz w:val="24"/>
          <w:highlight w:val="none"/>
        </w:rPr>
        <w:t>综合诚信评价60日诚信分，以下同。</w:t>
      </w:r>
    </w:p>
    <w:p w14:paraId="022BE665">
      <w:pPr>
        <w:pStyle w:val="4"/>
        <w:rPr>
          <w:rFonts w:hint="eastAsia" w:cs="宋体"/>
          <w:color w:val="auto"/>
          <w:highlight w:val="none"/>
        </w:rPr>
      </w:pPr>
      <w:r>
        <w:rPr>
          <w:rFonts w:hint="eastAsia" w:cs="宋体"/>
          <w:color w:val="auto"/>
          <w:highlight w:val="none"/>
        </w:rPr>
        <w:br w:type="page"/>
      </w:r>
      <w:bookmarkStart w:id="7" w:name="_Toc2272547"/>
      <w:bookmarkStart w:id="8" w:name="_Toc8897"/>
      <w:bookmarkStart w:id="9" w:name="_Toc100130469"/>
      <w:r>
        <w:rPr>
          <w:rFonts w:hint="eastAsia" w:cs="宋体"/>
          <w:color w:val="auto"/>
          <w:highlight w:val="none"/>
        </w:rPr>
        <w:t>二、投标须知修改表</w:t>
      </w:r>
      <w:bookmarkEnd w:id="7"/>
      <w:bookmarkEnd w:id="8"/>
      <w:bookmarkEnd w:id="9"/>
    </w:p>
    <w:p w14:paraId="2AD75680">
      <w:pPr>
        <w:pStyle w:val="48"/>
        <w:pBdr>
          <w:bottom w:val="single" w:color="auto" w:sz="6" w:space="1"/>
        </w:pBd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hint="eastAsia" w:ascii="宋体" w:hAnsi="宋体" w:eastAsia="宋体" w:cs="宋体"/>
          <w:b/>
          <w:color w:val="auto"/>
          <w:szCs w:val="21"/>
          <w:highlight w:val="none"/>
          <w:u w:val="single"/>
        </w:rPr>
        <w:t>网址：http://zfcj.gz.gov.cn/</w:t>
      </w:r>
      <w:r>
        <w:rPr>
          <w:rFonts w:hint="eastAsia" w:ascii="宋体" w:hAnsi="宋体" w:eastAsia="宋体" w:cs="宋体"/>
          <w:b/>
          <w:color w:val="auto"/>
          <w:szCs w:val="21"/>
          <w:highlight w:val="none"/>
        </w:rPr>
        <w:t>）下载查阅。</w:t>
      </w:r>
    </w:p>
    <w:p w14:paraId="60FFF6AC">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条款号：5.1                                                       修改类型：修改</w:t>
      </w:r>
    </w:p>
    <w:p w14:paraId="2112E1D0">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：5.1</w:t>
      </w:r>
      <w:r>
        <w:rPr>
          <w:rFonts w:hint="eastAsia" w:ascii="宋体" w:hAnsi="宋体" w:cs="宋体"/>
          <w:bCs/>
          <w:color w:val="auto"/>
          <w:sz w:val="20"/>
          <w:szCs w:val="20"/>
          <w:highlight w:val="none"/>
        </w:rPr>
        <w:t>投标人应按本投标须知前附表第15项所述时间和要求对工程现场及周围环境进行踏勘，</w:t>
      </w:r>
      <w:r>
        <w:rPr>
          <w:rFonts w:hint="eastAsia" w:ascii="宋体" w:hAnsi="宋体" w:cs="宋体"/>
          <w:color w:val="auto"/>
          <w:sz w:val="20"/>
          <w:szCs w:val="20"/>
          <w:highlight w:val="none"/>
        </w:rPr>
        <w:t>投标人应充分重视和仔细地进行这种考察，</w:t>
      </w:r>
      <w:r>
        <w:rPr>
          <w:rFonts w:hint="eastAsia" w:ascii="宋体" w:hAnsi="宋体" w:cs="宋体"/>
          <w:bCs/>
          <w:color w:val="auto"/>
          <w:sz w:val="20"/>
          <w:szCs w:val="20"/>
          <w:highlight w:val="none"/>
        </w:rPr>
        <w:t>以便投标人获取</w:t>
      </w:r>
      <w:r>
        <w:rPr>
          <w:rFonts w:hint="eastAsia" w:ascii="宋体" w:hAnsi="宋体" w:cs="宋体"/>
          <w:color w:val="auto"/>
          <w:sz w:val="20"/>
          <w:szCs w:val="20"/>
          <w:highlight w:val="none"/>
        </w:rPr>
        <w:t>那些须投标人自己负责的</w:t>
      </w:r>
      <w:r>
        <w:rPr>
          <w:rFonts w:hint="eastAsia" w:ascii="宋体" w:hAnsi="宋体" w:cs="宋体"/>
          <w:bCs/>
          <w:color w:val="auto"/>
          <w:sz w:val="20"/>
          <w:szCs w:val="20"/>
          <w:highlight w:val="none"/>
        </w:rPr>
        <w:t>有关编制投标文件和签署合同所涉及现场所有的资料。</w:t>
      </w:r>
      <w:r>
        <w:rPr>
          <w:rFonts w:hint="eastAsia" w:ascii="宋体" w:hAnsi="宋体" w:cs="宋体"/>
          <w:color w:val="auto"/>
          <w:sz w:val="20"/>
          <w:szCs w:val="20"/>
          <w:highlight w:val="none"/>
        </w:rPr>
        <w:t>一旦中标，这种考察即被认为其结果已在中标文件中得到充分反映。考察现场的费用由投标人自己承担。</w:t>
      </w:r>
    </w:p>
    <w:p w14:paraId="364815D4">
      <w:pPr>
        <w:pBdr>
          <w:bottom w:val="single" w:color="auto" w:sz="6" w:space="1"/>
        </w:pBdr>
        <w:spacing w:line="360" w:lineRule="auto"/>
        <w:ind w:firstLine="390" w:firstLineChars="195"/>
        <w:rPr>
          <w:rFonts w:hint="eastAsia" w:ascii="宋体" w:hAnsi="宋体" w:cs="宋体"/>
          <w:bCs/>
          <w:color w:val="auto"/>
          <w:sz w:val="20"/>
          <w:szCs w:val="20"/>
          <w:highlight w:val="none"/>
        </w:rPr>
      </w:pPr>
      <w:r>
        <w:rPr>
          <w:rFonts w:hint="eastAsia" w:ascii="宋体" w:hAnsi="宋体" w:cs="宋体"/>
          <w:bCs/>
          <w:color w:val="auto"/>
          <w:sz w:val="20"/>
          <w:szCs w:val="20"/>
          <w:highlight w:val="none"/>
        </w:rPr>
        <w:t>现文：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Cs/>
          <w:color w:val="auto"/>
          <w:sz w:val="20"/>
          <w:szCs w:val="20"/>
          <w:highlight w:val="none"/>
          <w:u w:val="single"/>
        </w:rPr>
        <w:t>投标人不进行踏勘的，视为已孰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bCs/>
          <w:color w:val="auto"/>
          <w:sz w:val="20"/>
          <w:szCs w:val="20"/>
          <w:highlight w:val="none"/>
        </w:rPr>
        <w:t>。一旦中标，这种考察即被认为其结果已在中标文件中得到充分反映。</w:t>
      </w:r>
      <w:r>
        <w:rPr>
          <w:rFonts w:hint="eastAsia" w:ascii="宋体" w:hAnsi="宋体" w:cs="宋体"/>
          <w:color w:val="auto"/>
          <w:sz w:val="20"/>
          <w:szCs w:val="20"/>
          <w:highlight w:val="none"/>
          <w:u w:val="single"/>
        </w:rPr>
        <w:t>投标人缺乏对现场条件的了解或掌握而产生的损失由投标人自行承担</w:t>
      </w:r>
      <w:r>
        <w:rPr>
          <w:rFonts w:hint="eastAsia" w:ascii="宋体" w:hAnsi="宋体" w:cs="宋体"/>
          <w:bCs/>
          <w:color w:val="auto"/>
          <w:sz w:val="20"/>
          <w:szCs w:val="20"/>
          <w:highlight w:val="none"/>
        </w:rPr>
        <w:t>。考察现场的费用由投标人自己承担。</w:t>
      </w:r>
    </w:p>
    <w:p w14:paraId="242000D4">
      <w:pPr>
        <w:adjustRightInd w:val="0"/>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条款号：7.1                                                       修改类型：修改</w:t>
      </w:r>
    </w:p>
    <w:p w14:paraId="32A63167">
      <w:pPr>
        <w:adjustRightInd w:val="0"/>
        <w:spacing w:line="360" w:lineRule="auto"/>
        <w:ind w:firstLine="402" w:firstLineChars="200"/>
        <w:rPr>
          <w:rFonts w:hint="eastAsia" w:ascii="宋体" w:hAnsi="宋体" w:cs="宋体"/>
          <w:color w:val="auto"/>
          <w:sz w:val="20"/>
          <w:szCs w:val="20"/>
          <w:highlight w:val="none"/>
        </w:rPr>
      </w:pPr>
      <w:r>
        <w:rPr>
          <w:rFonts w:hint="eastAsia" w:ascii="宋体" w:hAnsi="宋体" w:cs="宋体"/>
          <w:b/>
          <w:bCs/>
          <w:color w:val="auto"/>
          <w:sz w:val="20"/>
          <w:szCs w:val="20"/>
          <w:highlight w:val="none"/>
        </w:rPr>
        <w:t>原文：</w:t>
      </w:r>
      <w:r>
        <w:rPr>
          <w:rFonts w:hint="eastAsia" w:ascii="宋体" w:hAnsi="宋体" w:cs="宋体"/>
          <w:color w:val="auto"/>
          <w:sz w:val="20"/>
          <w:szCs w:val="20"/>
          <w:highlight w:val="none"/>
        </w:rPr>
        <w:t>7.1本招标文件包括下列文件，以及所有按本须知第8条发出的招标答疑会会议纪要和按本须知第9条发出的澄清或修改：</w:t>
      </w:r>
    </w:p>
    <w:p w14:paraId="3CB1443C">
      <w:pPr>
        <w:adjustRightIn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第一章  投标须知</w:t>
      </w:r>
    </w:p>
    <w:p w14:paraId="39C3800C">
      <w:pPr>
        <w:adjustRightIn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第二章  开标、评标及定标办法</w:t>
      </w:r>
    </w:p>
    <w:p w14:paraId="767C008C">
      <w:pPr>
        <w:adjustRightInd w:val="0"/>
        <w:spacing w:line="360" w:lineRule="auto"/>
        <w:ind w:firstLine="400" w:firstLineChars="20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第三章  合同条款</w:t>
      </w:r>
    </w:p>
    <w:p w14:paraId="346765E9">
      <w:pPr>
        <w:adjustRightInd w:val="0"/>
        <w:spacing w:line="360" w:lineRule="auto"/>
        <w:ind w:firstLine="400" w:firstLineChars="200"/>
        <w:rPr>
          <w:rFonts w:hint="eastAsia" w:ascii="宋体" w:hAnsi="宋体" w:cs="宋体"/>
          <w:color w:val="auto"/>
          <w:kern w:val="0"/>
          <w:sz w:val="20"/>
          <w:szCs w:val="20"/>
          <w:highlight w:val="none"/>
        </w:rPr>
      </w:pPr>
      <w:r>
        <w:rPr>
          <w:rFonts w:hint="eastAsia" w:ascii="宋体" w:hAnsi="宋体" w:cs="宋体"/>
          <w:bCs/>
          <w:color w:val="auto"/>
          <w:kern w:val="0"/>
          <w:sz w:val="20"/>
          <w:szCs w:val="20"/>
          <w:highlight w:val="none"/>
        </w:rPr>
        <w:t xml:space="preserve">第四章  </w:t>
      </w:r>
      <w:r>
        <w:rPr>
          <w:rFonts w:hint="eastAsia" w:ascii="宋体" w:hAnsi="宋体" w:cs="宋体"/>
          <w:color w:val="auto"/>
          <w:kern w:val="0"/>
          <w:sz w:val="20"/>
          <w:szCs w:val="20"/>
          <w:highlight w:val="none"/>
        </w:rPr>
        <w:t>投标文件格式</w:t>
      </w:r>
    </w:p>
    <w:p w14:paraId="4B978C91">
      <w:pPr>
        <w:adjustRightInd w:val="0"/>
        <w:spacing w:line="360" w:lineRule="auto"/>
        <w:ind w:firstLine="400" w:firstLineChars="200"/>
        <w:rPr>
          <w:rFonts w:hint="eastAsia" w:ascii="宋体" w:hAnsi="宋体" w:cs="宋体"/>
          <w:color w:val="auto"/>
          <w:kern w:val="0"/>
          <w:sz w:val="20"/>
          <w:szCs w:val="20"/>
          <w:highlight w:val="none"/>
        </w:rPr>
      </w:pPr>
      <w:r>
        <w:rPr>
          <w:rFonts w:hint="eastAsia" w:ascii="宋体" w:hAnsi="宋体" w:cs="宋体"/>
          <w:bCs/>
          <w:color w:val="auto"/>
          <w:kern w:val="0"/>
          <w:sz w:val="20"/>
          <w:szCs w:val="20"/>
          <w:highlight w:val="none"/>
        </w:rPr>
        <w:t xml:space="preserve">第五章  </w:t>
      </w:r>
      <w:r>
        <w:rPr>
          <w:rFonts w:hint="eastAsia" w:ascii="宋体" w:hAnsi="宋体" w:cs="宋体"/>
          <w:color w:val="auto"/>
          <w:kern w:val="0"/>
          <w:sz w:val="20"/>
          <w:szCs w:val="20"/>
          <w:highlight w:val="none"/>
        </w:rPr>
        <w:t>技术条件（工程建设标准）（另册）</w:t>
      </w:r>
    </w:p>
    <w:p w14:paraId="1530C452">
      <w:pPr>
        <w:adjustRightInd w:val="0"/>
        <w:spacing w:line="360" w:lineRule="auto"/>
        <w:ind w:firstLine="400" w:firstLineChars="200"/>
        <w:rPr>
          <w:rFonts w:hint="eastAsia" w:ascii="宋体" w:hAnsi="宋体" w:cs="宋体"/>
          <w:color w:val="auto"/>
          <w:kern w:val="0"/>
          <w:sz w:val="20"/>
          <w:szCs w:val="20"/>
          <w:highlight w:val="none"/>
        </w:rPr>
      </w:pPr>
      <w:r>
        <w:rPr>
          <w:rFonts w:hint="eastAsia" w:ascii="宋体" w:hAnsi="宋体" w:cs="宋体"/>
          <w:bCs/>
          <w:color w:val="auto"/>
          <w:kern w:val="0"/>
          <w:sz w:val="20"/>
          <w:szCs w:val="20"/>
          <w:highlight w:val="none"/>
        </w:rPr>
        <w:t xml:space="preserve">第六章  </w:t>
      </w:r>
      <w:r>
        <w:rPr>
          <w:rFonts w:hint="eastAsia" w:ascii="宋体" w:hAnsi="宋体" w:cs="宋体"/>
          <w:color w:val="auto"/>
          <w:kern w:val="0"/>
          <w:sz w:val="20"/>
          <w:szCs w:val="20"/>
          <w:highlight w:val="none"/>
        </w:rPr>
        <w:t>图纸及勘察资料（另册）</w:t>
      </w:r>
    </w:p>
    <w:p w14:paraId="71049752">
      <w:pPr>
        <w:adjustRightIn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第七章  招标工程量清单（另册）</w:t>
      </w:r>
    </w:p>
    <w:p w14:paraId="3137FCF4">
      <w:pPr>
        <w:adjustRightIn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第八章  最高投标限价</w:t>
      </w:r>
    </w:p>
    <w:p w14:paraId="44E101A8">
      <w:pPr>
        <w:adjustRightInd w:val="0"/>
        <w:spacing w:line="360" w:lineRule="auto"/>
        <w:ind w:firstLine="402" w:firstLineChars="200"/>
        <w:rPr>
          <w:rFonts w:hint="eastAsia" w:ascii="宋体" w:hAnsi="宋体" w:cs="宋体"/>
          <w:color w:val="auto"/>
          <w:sz w:val="20"/>
          <w:szCs w:val="20"/>
          <w:highlight w:val="none"/>
        </w:rPr>
      </w:pPr>
      <w:r>
        <w:rPr>
          <w:rFonts w:hint="eastAsia" w:ascii="宋体" w:hAnsi="宋体" w:cs="宋体"/>
          <w:b/>
          <w:bCs/>
          <w:color w:val="auto"/>
          <w:sz w:val="20"/>
          <w:szCs w:val="20"/>
          <w:highlight w:val="none"/>
        </w:rPr>
        <w:t>现文：</w:t>
      </w:r>
      <w:r>
        <w:rPr>
          <w:rFonts w:hint="eastAsia" w:ascii="宋体" w:hAnsi="宋体" w:cs="宋体"/>
          <w:bCs/>
          <w:color w:val="auto"/>
          <w:sz w:val="20"/>
          <w:szCs w:val="20"/>
          <w:highlight w:val="none"/>
        </w:rPr>
        <w:t>7.1</w:t>
      </w:r>
      <w:r>
        <w:rPr>
          <w:rFonts w:hint="eastAsia" w:ascii="宋体" w:hAnsi="宋体" w:cs="宋体"/>
          <w:color w:val="auto"/>
          <w:sz w:val="20"/>
          <w:szCs w:val="20"/>
          <w:highlight w:val="none"/>
        </w:rPr>
        <w:t>本招标文件包括下列文件，以及所有按本须知第8条发出的招标答疑会会议纪要和按本须知第9条发出的澄清或修改：</w:t>
      </w:r>
    </w:p>
    <w:p w14:paraId="2A4618B5">
      <w:pPr>
        <w:adjustRightInd w:val="0"/>
        <w:spacing w:line="360" w:lineRule="auto"/>
        <w:ind w:firstLine="400" w:firstLineChars="200"/>
        <w:rPr>
          <w:rFonts w:hint="eastAsia" w:ascii="宋体" w:hAnsi="宋体" w:cs="宋体"/>
          <w:color w:val="auto"/>
          <w:kern w:val="0"/>
          <w:sz w:val="20"/>
          <w:szCs w:val="20"/>
          <w:highlight w:val="none"/>
        </w:rPr>
      </w:pPr>
      <w:r>
        <w:rPr>
          <w:rFonts w:hint="eastAsia" w:ascii="宋体" w:hAnsi="宋体" w:cs="宋体"/>
          <w:bCs/>
          <w:color w:val="auto"/>
          <w:kern w:val="0"/>
          <w:sz w:val="20"/>
          <w:szCs w:val="20"/>
          <w:highlight w:val="none"/>
        </w:rPr>
        <w:t xml:space="preserve">第一章  </w:t>
      </w:r>
      <w:r>
        <w:rPr>
          <w:rFonts w:hint="eastAsia" w:ascii="宋体" w:hAnsi="宋体" w:cs="宋体"/>
          <w:color w:val="auto"/>
          <w:kern w:val="0"/>
          <w:sz w:val="20"/>
          <w:szCs w:val="20"/>
          <w:highlight w:val="none"/>
        </w:rPr>
        <w:t>投标须知</w:t>
      </w:r>
    </w:p>
    <w:p w14:paraId="6C6DB72E">
      <w:pPr>
        <w:adjustRightInd w:val="0"/>
        <w:spacing w:line="360" w:lineRule="auto"/>
        <w:ind w:firstLine="400" w:firstLineChars="200"/>
        <w:rPr>
          <w:rFonts w:hint="eastAsia" w:ascii="宋体" w:hAnsi="宋体" w:cs="宋体"/>
          <w:color w:val="auto"/>
          <w:kern w:val="0"/>
          <w:sz w:val="20"/>
          <w:szCs w:val="20"/>
          <w:highlight w:val="none"/>
        </w:rPr>
      </w:pPr>
      <w:r>
        <w:rPr>
          <w:rFonts w:hint="eastAsia" w:ascii="宋体" w:hAnsi="宋体" w:cs="宋体"/>
          <w:bCs/>
          <w:color w:val="auto"/>
          <w:kern w:val="0"/>
          <w:sz w:val="20"/>
          <w:szCs w:val="20"/>
          <w:highlight w:val="none"/>
        </w:rPr>
        <w:t xml:space="preserve">第二章  </w:t>
      </w:r>
      <w:r>
        <w:rPr>
          <w:rFonts w:hint="eastAsia" w:ascii="宋体" w:hAnsi="宋体" w:cs="宋体"/>
          <w:color w:val="auto"/>
          <w:kern w:val="0"/>
          <w:sz w:val="20"/>
          <w:szCs w:val="20"/>
          <w:highlight w:val="none"/>
        </w:rPr>
        <w:t>开标、评标及定标办法</w:t>
      </w:r>
    </w:p>
    <w:p w14:paraId="50DE0119">
      <w:pPr>
        <w:adjustRightInd w:val="0"/>
        <w:spacing w:line="360" w:lineRule="auto"/>
        <w:ind w:firstLine="400" w:firstLineChars="200"/>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第三章  合同条款</w:t>
      </w:r>
    </w:p>
    <w:p w14:paraId="2AB75657">
      <w:pPr>
        <w:adjustRightInd w:val="0"/>
        <w:spacing w:line="360" w:lineRule="auto"/>
        <w:ind w:firstLine="400" w:firstLineChars="200"/>
        <w:rPr>
          <w:rFonts w:hint="eastAsia" w:ascii="宋体" w:hAnsi="宋体" w:cs="宋体"/>
          <w:color w:val="auto"/>
          <w:kern w:val="0"/>
          <w:sz w:val="20"/>
          <w:szCs w:val="20"/>
          <w:highlight w:val="none"/>
        </w:rPr>
      </w:pPr>
      <w:r>
        <w:rPr>
          <w:rFonts w:hint="eastAsia" w:ascii="宋体" w:hAnsi="宋体" w:cs="宋体"/>
          <w:bCs/>
          <w:color w:val="auto"/>
          <w:kern w:val="0"/>
          <w:sz w:val="20"/>
          <w:szCs w:val="20"/>
          <w:highlight w:val="none"/>
        </w:rPr>
        <w:t xml:space="preserve">第四章  </w:t>
      </w:r>
      <w:r>
        <w:rPr>
          <w:rFonts w:hint="eastAsia" w:ascii="宋体" w:hAnsi="宋体" w:cs="宋体"/>
          <w:color w:val="auto"/>
          <w:kern w:val="0"/>
          <w:sz w:val="20"/>
          <w:szCs w:val="20"/>
          <w:highlight w:val="none"/>
        </w:rPr>
        <w:t>投标文件格式</w:t>
      </w:r>
    </w:p>
    <w:p w14:paraId="191BF618">
      <w:pPr>
        <w:adjustRightInd w:val="0"/>
        <w:spacing w:line="360" w:lineRule="auto"/>
        <w:ind w:firstLine="400" w:firstLineChars="200"/>
        <w:rPr>
          <w:rFonts w:hint="eastAsia" w:ascii="宋体" w:hAnsi="宋体" w:cs="宋体"/>
          <w:color w:val="auto"/>
          <w:kern w:val="0"/>
          <w:sz w:val="20"/>
          <w:szCs w:val="20"/>
          <w:highlight w:val="none"/>
          <w:u w:val="single"/>
        </w:rPr>
      </w:pPr>
      <w:r>
        <w:rPr>
          <w:rFonts w:hint="eastAsia" w:ascii="宋体" w:hAnsi="宋体" w:cs="宋体"/>
          <w:bCs/>
          <w:color w:val="auto"/>
          <w:kern w:val="0"/>
          <w:sz w:val="20"/>
          <w:szCs w:val="20"/>
          <w:highlight w:val="none"/>
        </w:rPr>
        <w:t xml:space="preserve">第五章  </w:t>
      </w:r>
      <w:r>
        <w:rPr>
          <w:rFonts w:hint="eastAsia" w:ascii="宋体" w:hAnsi="宋体" w:cs="宋体"/>
          <w:color w:val="auto"/>
          <w:kern w:val="0"/>
          <w:sz w:val="20"/>
          <w:szCs w:val="20"/>
          <w:highlight w:val="none"/>
          <w:u w:val="single"/>
        </w:rPr>
        <w:t>技术条件（工程建设标准）</w:t>
      </w:r>
    </w:p>
    <w:p w14:paraId="697C27A6">
      <w:pPr>
        <w:adjustRightInd w:val="0"/>
        <w:spacing w:line="360" w:lineRule="auto"/>
        <w:ind w:firstLine="400" w:firstLineChars="200"/>
        <w:rPr>
          <w:rFonts w:hint="eastAsia" w:ascii="宋体" w:hAnsi="宋体" w:cs="宋体"/>
          <w:color w:val="auto"/>
          <w:kern w:val="0"/>
          <w:sz w:val="20"/>
          <w:szCs w:val="20"/>
          <w:highlight w:val="none"/>
        </w:rPr>
      </w:pPr>
      <w:r>
        <w:rPr>
          <w:rFonts w:hint="eastAsia" w:ascii="宋体" w:hAnsi="宋体" w:cs="宋体"/>
          <w:bCs/>
          <w:color w:val="auto"/>
          <w:kern w:val="0"/>
          <w:sz w:val="20"/>
          <w:szCs w:val="20"/>
          <w:highlight w:val="none"/>
        </w:rPr>
        <w:t xml:space="preserve">第六章  </w:t>
      </w:r>
      <w:r>
        <w:rPr>
          <w:rFonts w:hint="eastAsia" w:ascii="宋体" w:hAnsi="宋体" w:cs="宋体"/>
          <w:color w:val="auto"/>
          <w:kern w:val="0"/>
          <w:sz w:val="20"/>
          <w:szCs w:val="20"/>
          <w:highlight w:val="none"/>
        </w:rPr>
        <w:t>图纸及勘察资料（另册）</w:t>
      </w:r>
    </w:p>
    <w:p w14:paraId="229BA081">
      <w:pPr>
        <w:adjustRightInd w:val="0"/>
        <w:spacing w:line="360" w:lineRule="auto"/>
        <w:ind w:firstLine="400" w:firstLineChars="200"/>
        <w:rPr>
          <w:rFonts w:hint="eastAsia" w:ascii="宋体" w:hAnsi="宋体" w:cs="宋体"/>
          <w:color w:val="auto"/>
          <w:kern w:val="0"/>
          <w:sz w:val="20"/>
          <w:szCs w:val="20"/>
          <w:highlight w:val="none"/>
        </w:rPr>
      </w:pPr>
      <w:r>
        <w:rPr>
          <w:rFonts w:hint="eastAsia" w:ascii="宋体" w:hAnsi="宋体" w:cs="宋体"/>
          <w:bCs/>
          <w:color w:val="auto"/>
          <w:kern w:val="0"/>
          <w:sz w:val="20"/>
          <w:szCs w:val="20"/>
          <w:highlight w:val="none"/>
        </w:rPr>
        <w:t>第七章  招标</w:t>
      </w:r>
      <w:r>
        <w:rPr>
          <w:rFonts w:hint="eastAsia" w:ascii="宋体" w:hAnsi="宋体" w:cs="宋体"/>
          <w:color w:val="auto"/>
          <w:kern w:val="0"/>
          <w:sz w:val="20"/>
          <w:szCs w:val="20"/>
          <w:highlight w:val="none"/>
        </w:rPr>
        <w:t xml:space="preserve">工程量清单（另册） </w:t>
      </w:r>
    </w:p>
    <w:p w14:paraId="0BFDD278">
      <w:pPr>
        <w:spacing w:line="360" w:lineRule="auto"/>
        <w:ind w:firstLine="390" w:firstLineChars="195"/>
        <w:rPr>
          <w:rFonts w:ascii="宋体" w:hAnsi="宋体" w:cs="宋体"/>
          <w:color w:val="auto"/>
          <w:sz w:val="20"/>
          <w:szCs w:val="20"/>
          <w:highlight w:val="none"/>
        </w:rPr>
      </w:pPr>
      <w:r>
        <w:rPr>
          <w:rFonts w:hint="eastAsia" w:ascii="宋体" w:hAnsi="宋体" w:cs="宋体"/>
          <w:color w:val="auto"/>
          <w:sz w:val="20"/>
          <w:szCs w:val="20"/>
          <w:highlight w:val="none"/>
        </w:rPr>
        <w:t>第八章  最高投标限价</w:t>
      </w:r>
    </w:p>
    <w:p w14:paraId="6AE4DDB3">
      <w:pPr>
        <w:pStyle w:val="49"/>
        <w:rPr>
          <w:rFonts w:hint="eastAsia"/>
          <w:b/>
          <w:bCs/>
          <w:color w:val="auto"/>
          <w:sz w:val="21"/>
          <w:szCs w:val="21"/>
          <w:highlight w:val="none"/>
        </w:rPr>
      </w:pPr>
      <w:r>
        <w:rPr>
          <w:rFonts w:hint="eastAsia"/>
          <w:b/>
          <w:bCs/>
          <w:color w:val="auto"/>
          <w:sz w:val="21"/>
          <w:szCs w:val="21"/>
          <w:highlight w:val="none"/>
        </w:rPr>
        <w:t>注：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p>
    <w:p w14:paraId="5CEE7694">
      <w:pPr>
        <w:pBdr>
          <w:top w:val="single" w:color="auto" w:sz="4" w:space="0"/>
        </w:pBd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条款号：8.1                                                        修改类型：修改</w:t>
      </w:r>
    </w:p>
    <w:p w14:paraId="0306BE6A">
      <w:pPr>
        <w:pStyle w:val="48"/>
        <w:pBdr>
          <w:bottom w:val="single" w:color="auto" w:sz="6" w:space="1"/>
        </w:pBdr>
        <w:spacing w:after="0" w:line="360" w:lineRule="auto"/>
        <w:ind w:firstLine="392" w:firstLineChars="195"/>
        <w:rPr>
          <w:rFonts w:hint="eastAsia" w:ascii="宋体" w:hAnsi="宋体" w:eastAsia="宋体" w:cs="宋体"/>
          <w:color w:val="auto"/>
          <w:szCs w:val="20"/>
          <w:highlight w:val="none"/>
        </w:rPr>
      </w:pPr>
      <w:r>
        <w:rPr>
          <w:rFonts w:hint="eastAsia" w:ascii="宋体" w:hAnsi="宋体" w:eastAsia="宋体" w:cs="宋体"/>
          <w:b/>
          <w:color w:val="auto"/>
          <w:szCs w:val="20"/>
          <w:highlight w:val="none"/>
        </w:rPr>
        <w:t>原文：</w:t>
      </w:r>
      <w:r>
        <w:rPr>
          <w:rFonts w:hint="eastAsia" w:ascii="宋体" w:hAnsi="宋体" w:eastAsia="宋体" w:cs="宋体"/>
          <w:color w:val="auto"/>
          <w:szCs w:val="20"/>
          <w:highlight w:val="none"/>
        </w:rPr>
        <w:t>8.1投标人若对招标文件（包括招标图纸）中有疑问，可以书面形式通过</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交易平台提交给招标人或招标代理人，提交形式见本须知前附表第16项。</w:t>
      </w:r>
    </w:p>
    <w:p w14:paraId="6E5CF778">
      <w:pPr>
        <w:pStyle w:val="48"/>
        <w:pBdr>
          <w:bottom w:val="single" w:color="auto" w:sz="6" w:space="1"/>
        </w:pBdr>
        <w:spacing w:after="0" w:line="360" w:lineRule="auto"/>
        <w:ind w:firstLine="392" w:firstLineChars="195"/>
        <w:rPr>
          <w:rFonts w:hint="eastAsia" w:ascii="宋体" w:hAnsi="宋体" w:eastAsia="宋体" w:cs="宋体"/>
          <w:color w:val="auto"/>
          <w:szCs w:val="20"/>
          <w:highlight w:val="none"/>
        </w:rPr>
      </w:pPr>
      <w:r>
        <w:rPr>
          <w:rFonts w:hint="eastAsia" w:ascii="宋体" w:hAnsi="宋体" w:eastAsia="宋体" w:cs="宋体"/>
          <w:b/>
          <w:color w:val="auto"/>
          <w:szCs w:val="20"/>
          <w:highlight w:val="none"/>
        </w:rPr>
        <w:t>现文：</w:t>
      </w:r>
      <w:r>
        <w:rPr>
          <w:rFonts w:hint="eastAsia" w:ascii="宋体" w:hAnsi="宋体" w:eastAsia="宋体" w:cs="宋体"/>
          <w:color w:val="auto"/>
          <w:szCs w:val="20"/>
          <w:highlight w:val="none"/>
        </w:rPr>
        <w:t>8.1投标人若对招标文件（包括招标</w:t>
      </w:r>
      <w:r>
        <w:rPr>
          <w:rFonts w:hint="eastAsia" w:ascii="宋体" w:hAnsi="宋体" w:eastAsia="宋体" w:cs="宋体"/>
          <w:color w:val="auto"/>
          <w:szCs w:val="20"/>
          <w:highlight w:val="none"/>
          <w:u w:val="single"/>
        </w:rPr>
        <w:t>图纸、清单、最高投标限价、合同条款</w:t>
      </w:r>
      <w:r>
        <w:rPr>
          <w:rFonts w:hint="eastAsia" w:ascii="宋体" w:hAnsi="宋体" w:eastAsia="宋体" w:cs="宋体"/>
          <w:color w:val="auto"/>
          <w:szCs w:val="20"/>
          <w:highlight w:val="none"/>
        </w:rPr>
        <w:t>）中有疑问，可以书面形式通过</w:t>
      </w:r>
      <w:r>
        <w:rPr>
          <w:rFonts w:hint="eastAsia" w:ascii="宋体" w:hAnsi="宋体" w:eastAsia="宋体" w:cs="宋体"/>
          <w:color w:val="auto"/>
          <w:szCs w:val="20"/>
          <w:highlight w:val="none"/>
          <w:u w:val="single"/>
        </w:rPr>
        <w:t>广州交易集团有限公司（广州公共资源交易中心）</w:t>
      </w:r>
      <w:r>
        <w:rPr>
          <w:rFonts w:hint="eastAsia" w:ascii="宋体" w:hAnsi="宋体" w:eastAsia="宋体" w:cs="宋体"/>
          <w:color w:val="auto"/>
          <w:szCs w:val="20"/>
          <w:highlight w:val="none"/>
        </w:rPr>
        <w:t>交易平台提交给招标人或招标代理人，提交形式见本须知前附表第16项。</w:t>
      </w:r>
    </w:p>
    <w:p w14:paraId="63E7FD43">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条款号：8.2                                                       修改类型：修改</w:t>
      </w:r>
    </w:p>
    <w:p w14:paraId="730C3A33">
      <w:pPr>
        <w:pStyle w:val="48"/>
        <w:spacing w:after="0" w:line="360" w:lineRule="auto"/>
        <w:ind w:firstLine="392" w:firstLineChars="195"/>
        <w:rPr>
          <w:rFonts w:hint="eastAsia" w:ascii="宋体" w:hAnsi="宋体" w:eastAsia="宋体" w:cs="宋体"/>
          <w:color w:val="auto"/>
          <w:szCs w:val="20"/>
          <w:highlight w:val="none"/>
        </w:rPr>
      </w:pPr>
      <w:r>
        <w:rPr>
          <w:rFonts w:hint="eastAsia" w:ascii="宋体" w:hAnsi="宋体" w:eastAsia="宋体" w:cs="宋体"/>
          <w:b/>
          <w:color w:val="auto"/>
          <w:szCs w:val="20"/>
          <w:highlight w:val="none"/>
        </w:rPr>
        <w:t>原文：</w:t>
      </w:r>
      <w:r>
        <w:rPr>
          <w:rFonts w:hint="eastAsia" w:ascii="宋体" w:hAnsi="宋体" w:eastAsia="宋体" w:cs="宋体"/>
          <w:color w:val="auto"/>
          <w:szCs w:val="20"/>
          <w:highlight w:val="none"/>
        </w:rPr>
        <w:t>8.2招标答疑会会议纪要将在提交投标文件截止时间15日前在</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交易平台 “项目答疑纪要”专区公开发布。答疑纪要一经在</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交易平台发布，视作已发放给所有投标人。</w:t>
      </w:r>
    </w:p>
    <w:p w14:paraId="2D06B026">
      <w:pPr>
        <w:pStyle w:val="48"/>
        <w:pBdr>
          <w:bottom w:val="single" w:color="auto" w:sz="4" w:space="1"/>
        </w:pBdr>
        <w:spacing w:after="0" w:line="360" w:lineRule="auto"/>
        <w:ind w:firstLine="392" w:firstLineChars="195"/>
        <w:rPr>
          <w:rFonts w:hint="eastAsia" w:ascii="宋体" w:hAnsi="宋体" w:eastAsia="宋体" w:cs="宋体"/>
          <w:color w:val="auto"/>
          <w:szCs w:val="20"/>
          <w:highlight w:val="none"/>
        </w:rPr>
      </w:pPr>
      <w:r>
        <w:rPr>
          <w:rFonts w:hint="eastAsia" w:ascii="宋体" w:hAnsi="宋体" w:eastAsia="宋体" w:cs="宋体"/>
          <w:b/>
          <w:color w:val="auto"/>
          <w:szCs w:val="20"/>
          <w:highlight w:val="none"/>
        </w:rPr>
        <w:t>现文：</w:t>
      </w:r>
      <w:r>
        <w:rPr>
          <w:rFonts w:hint="eastAsia" w:ascii="宋体" w:hAnsi="宋体" w:eastAsia="宋体" w:cs="宋体"/>
          <w:color w:val="auto"/>
          <w:szCs w:val="20"/>
          <w:highlight w:val="none"/>
        </w:rPr>
        <w:t>8.2招标答疑会会议纪要将在提交投标文件截止时间15日前在</w:t>
      </w:r>
      <w:r>
        <w:rPr>
          <w:rFonts w:hint="eastAsia" w:ascii="宋体" w:hAnsi="宋体" w:eastAsia="宋体" w:cs="宋体"/>
          <w:color w:val="auto"/>
          <w:szCs w:val="20"/>
          <w:highlight w:val="none"/>
          <w:u w:val="single"/>
        </w:rPr>
        <w:t>广州交易集团有限公司（广州公共资源交易中心）</w:t>
      </w:r>
      <w:r>
        <w:rPr>
          <w:rFonts w:hint="eastAsia" w:ascii="宋体" w:hAnsi="宋体" w:eastAsia="宋体" w:cs="宋体"/>
          <w:color w:val="auto"/>
          <w:szCs w:val="20"/>
          <w:highlight w:val="none"/>
        </w:rPr>
        <w:t>交易平台“</w:t>
      </w:r>
      <w:r>
        <w:rPr>
          <w:rFonts w:hint="eastAsia" w:ascii="宋体" w:hAnsi="宋体" w:eastAsia="宋体" w:cs="宋体"/>
          <w:color w:val="auto"/>
          <w:szCs w:val="20"/>
          <w:highlight w:val="none"/>
        </w:rPr>
        <w:fldChar w:fldCharType="begin"/>
      </w:r>
      <w:r>
        <w:rPr>
          <w:rFonts w:hint="eastAsia" w:ascii="宋体" w:hAnsi="宋体" w:eastAsia="宋体" w:cs="宋体"/>
          <w:color w:val="auto"/>
          <w:szCs w:val="20"/>
          <w:highlight w:val="none"/>
        </w:rPr>
        <w:instrText xml:space="preserve"> HYPERLINK "http://ggzy.gz.gov.cn/xmcxjsgc/index.jhtml" </w:instrText>
      </w:r>
      <w:r>
        <w:rPr>
          <w:rFonts w:hint="eastAsia" w:ascii="宋体" w:hAnsi="宋体" w:eastAsia="宋体" w:cs="宋体"/>
          <w:color w:val="auto"/>
          <w:szCs w:val="20"/>
          <w:highlight w:val="none"/>
        </w:rPr>
        <w:fldChar w:fldCharType="separate"/>
      </w:r>
      <w:r>
        <w:rPr>
          <w:rFonts w:hint="eastAsia" w:ascii="宋体" w:hAnsi="宋体" w:eastAsia="宋体" w:cs="宋体"/>
          <w:color w:val="auto"/>
          <w:szCs w:val="20"/>
          <w:highlight w:val="none"/>
          <w:u w:val="single"/>
        </w:rPr>
        <w:t>项目查询(日程安排、答疑纪要)</w:t>
      </w:r>
      <w:r>
        <w:rPr>
          <w:rFonts w:hint="eastAsia" w:ascii="宋体" w:hAnsi="宋体" w:eastAsia="宋体" w:cs="宋体"/>
          <w:color w:val="auto"/>
          <w:szCs w:val="20"/>
          <w:highlight w:val="none"/>
          <w:u w:val="single"/>
        </w:rPr>
        <w:fldChar w:fldCharType="end"/>
      </w:r>
      <w:r>
        <w:rPr>
          <w:rFonts w:hint="eastAsia" w:ascii="宋体" w:hAnsi="宋体" w:eastAsia="宋体" w:cs="宋体"/>
          <w:color w:val="auto"/>
          <w:szCs w:val="20"/>
          <w:highlight w:val="none"/>
        </w:rPr>
        <w:t>”专区公开发布。答疑纪要一经在</w:t>
      </w:r>
      <w:r>
        <w:rPr>
          <w:rFonts w:hint="eastAsia" w:ascii="宋体" w:hAnsi="宋体" w:eastAsia="宋体" w:cs="宋体"/>
          <w:color w:val="auto"/>
          <w:szCs w:val="20"/>
          <w:highlight w:val="none"/>
          <w:u w:val="single"/>
        </w:rPr>
        <w:t>广州交易集团有限公司（广州公共资源交易中心）</w:t>
      </w:r>
      <w:r>
        <w:rPr>
          <w:rFonts w:hint="eastAsia" w:ascii="宋体" w:hAnsi="宋体" w:eastAsia="宋体" w:cs="宋体"/>
          <w:color w:val="auto"/>
          <w:szCs w:val="20"/>
          <w:highlight w:val="none"/>
        </w:rPr>
        <w:t>交易平台发布，视作已发放给所有投标人。</w:t>
      </w:r>
    </w:p>
    <w:p w14:paraId="65CB39DF">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条款号：9.2                                                        修改类型：修改</w:t>
      </w:r>
    </w:p>
    <w:p w14:paraId="75A5D77B">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9.2招标文件的澄清或修改将在</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交易平台“项目答疑纪要”专区公开发布。答疑纪要一经在</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交易平台发布，视作已发放给所有投标人，以</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交易平台上网发布时间作为送达时间。</w:t>
      </w:r>
    </w:p>
    <w:p w14:paraId="56D068EC">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9.2招标文件的澄清或修改将在</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w:t>
      </w:r>
      <w:r>
        <w:rPr>
          <w:rFonts w:hint="eastAsia" w:ascii="宋体" w:hAnsi="宋体" w:cs="宋体"/>
          <w:color w:val="auto"/>
          <w:sz w:val="20"/>
          <w:szCs w:val="20"/>
          <w:highlight w:val="none"/>
        </w:rPr>
        <w:fldChar w:fldCharType="begin"/>
      </w:r>
      <w:r>
        <w:rPr>
          <w:rFonts w:hint="eastAsia" w:ascii="宋体" w:hAnsi="宋体" w:cs="宋体"/>
          <w:color w:val="auto"/>
          <w:sz w:val="20"/>
          <w:szCs w:val="20"/>
          <w:highlight w:val="none"/>
        </w:rPr>
        <w:instrText xml:space="preserve"> HYPERLINK "http://ggzy.gz.gov.cn/xmcxjsgc/index.jhtml" </w:instrText>
      </w:r>
      <w:r>
        <w:rPr>
          <w:rFonts w:hint="eastAsia" w:ascii="宋体" w:hAnsi="宋体" w:cs="宋体"/>
          <w:color w:val="auto"/>
          <w:sz w:val="20"/>
          <w:szCs w:val="20"/>
          <w:highlight w:val="none"/>
        </w:rPr>
        <w:fldChar w:fldCharType="separate"/>
      </w:r>
      <w:r>
        <w:rPr>
          <w:rFonts w:hint="eastAsia" w:ascii="宋体" w:hAnsi="宋体" w:cs="宋体"/>
          <w:color w:val="auto"/>
          <w:sz w:val="20"/>
          <w:szCs w:val="20"/>
          <w:highlight w:val="none"/>
          <w:u w:val="single"/>
        </w:rPr>
        <w:t>项目查询(日程安排、答疑纪要)</w:t>
      </w:r>
      <w:r>
        <w:rPr>
          <w:rFonts w:hint="eastAsia" w:ascii="宋体" w:hAnsi="宋体" w:cs="宋体"/>
          <w:color w:val="auto"/>
          <w:sz w:val="20"/>
          <w:szCs w:val="20"/>
          <w:highlight w:val="none"/>
          <w:u w:val="single"/>
        </w:rPr>
        <w:fldChar w:fldCharType="end"/>
      </w:r>
      <w:r>
        <w:rPr>
          <w:rFonts w:hint="eastAsia" w:ascii="宋体" w:hAnsi="宋体" w:cs="宋体"/>
          <w:color w:val="auto"/>
          <w:sz w:val="20"/>
          <w:szCs w:val="20"/>
          <w:highlight w:val="none"/>
        </w:rPr>
        <w:t>”专区公开发布。答疑纪要一经在</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交易平台发布，视作已发放给所有投标人，以</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交易平台上网发布时间作为送达时间。</w:t>
      </w:r>
    </w:p>
    <w:p w14:paraId="4244C572">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条款号：9.4                                                       修改类型：修改</w:t>
      </w:r>
    </w:p>
    <w:p w14:paraId="1C96625C">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9.4招标文件的澄清或修改均以书面形式明确的内容为准。当招标文件的澄清、修改、补充等在同一内容的表述不一致时，以最后发出的书面形式的文件为准。</w:t>
      </w:r>
    </w:p>
    <w:p w14:paraId="087B393C">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9.4招标文件的澄清或修改均以</w:t>
      </w:r>
      <w:r>
        <w:rPr>
          <w:rFonts w:hint="eastAsia" w:ascii="宋体" w:hAnsi="宋体" w:cs="宋体"/>
          <w:color w:val="auto"/>
          <w:sz w:val="20"/>
          <w:szCs w:val="20"/>
          <w:highlight w:val="none"/>
          <w:u w:val="single"/>
        </w:rPr>
        <w:t>广州交易集团有限公司（广州公共资源交易中心）交易平台网上答疑公布</w:t>
      </w:r>
      <w:r>
        <w:rPr>
          <w:rFonts w:hint="eastAsia" w:ascii="宋体" w:hAnsi="宋体" w:cs="宋体"/>
          <w:color w:val="auto"/>
          <w:sz w:val="20"/>
          <w:szCs w:val="20"/>
          <w:highlight w:val="none"/>
        </w:rPr>
        <w:t>的内容为准。当招标文件的澄清、修改、补充等在同一内容的表述不一致时，以最后发出的</w:t>
      </w:r>
      <w:r>
        <w:rPr>
          <w:rFonts w:hint="eastAsia" w:ascii="宋体" w:hAnsi="宋体" w:cs="宋体"/>
          <w:color w:val="auto"/>
          <w:sz w:val="20"/>
          <w:szCs w:val="20"/>
          <w:highlight w:val="none"/>
          <w:u w:val="single"/>
        </w:rPr>
        <w:t>文件</w:t>
      </w:r>
      <w:r>
        <w:rPr>
          <w:rFonts w:hint="eastAsia" w:ascii="宋体" w:hAnsi="宋体" w:cs="宋体"/>
          <w:color w:val="auto"/>
          <w:sz w:val="20"/>
          <w:szCs w:val="20"/>
          <w:highlight w:val="none"/>
        </w:rPr>
        <w:t>为准。</w:t>
      </w:r>
    </w:p>
    <w:p w14:paraId="45DE1A59">
      <w:pPr>
        <w:adjustRightInd w:val="0"/>
        <w:spacing w:line="360" w:lineRule="auto"/>
        <w:ind w:firstLine="402" w:firstLineChars="200"/>
        <w:rPr>
          <w:rFonts w:ascii="宋体" w:hAnsi="宋体" w:cs="宋体"/>
          <w:b/>
          <w:color w:val="auto"/>
          <w:sz w:val="20"/>
          <w:szCs w:val="20"/>
          <w:highlight w:val="none"/>
        </w:rPr>
      </w:pPr>
      <w:r>
        <w:rPr>
          <w:rFonts w:hint="eastAsia" w:ascii="宋体" w:hAnsi="宋体" w:cs="宋体"/>
          <w:b/>
          <w:color w:val="auto"/>
          <w:sz w:val="20"/>
          <w:szCs w:val="20"/>
          <w:highlight w:val="none"/>
        </w:rPr>
        <w:t>条款号：</w:t>
      </w:r>
      <w:r>
        <w:rPr>
          <w:rFonts w:hint="eastAsia" w:ascii="宋体" w:hAnsi="宋体" w:cs="宋体"/>
          <w:bCs/>
          <w:color w:val="auto"/>
          <w:sz w:val="20"/>
          <w:szCs w:val="20"/>
          <w:highlight w:val="none"/>
        </w:rPr>
        <w:t>11.2</w:t>
      </w:r>
      <w:r>
        <w:rPr>
          <w:rFonts w:hint="eastAsia" w:ascii="宋体" w:hAnsi="宋体" w:cs="宋体"/>
          <w:b/>
          <w:bCs/>
          <w:color w:val="auto"/>
          <w:sz w:val="20"/>
          <w:szCs w:val="20"/>
          <w:highlight w:val="none"/>
        </w:rPr>
        <w:t xml:space="preserve">                                                      </w:t>
      </w:r>
      <w:r>
        <w:rPr>
          <w:rFonts w:hint="eastAsia" w:ascii="宋体" w:hAnsi="宋体" w:cs="宋体"/>
          <w:b/>
          <w:color w:val="auto"/>
          <w:sz w:val="20"/>
          <w:szCs w:val="20"/>
          <w:highlight w:val="none"/>
        </w:rPr>
        <w:t>修改类型：修改</w:t>
      </w:r>
    </w:p>
    <w:p w14:paraId="2EA8BA89">
      <w:pPr>
        <w:spacing w:line="360" w:lineRule="auto"/>
        <w:ind w:firstLine="402" w:firstLineChars="200"/>
        <w:rPr>
          <w:rFonts w:hint="eastAsia" w:ascii="宋体" w:hAnsi="宋体" w:cs="宋体"/>
          <w:bCs/>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bCs/>
          <w:color w:val="auto"/>
          <w:sz w:val="20"/>
          <w:szCs w:val="20"/>
          <w:highlight w:val="none"/>
        </w:rPr>
        <w:t>11.2投标文件技术标部分主要包括下列内容:</w:t>
      </w:r>
    </w:p>
    <w:p w14:paraId="5A43D391">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11.2.1 技术投标文件</w:t>
      </w:r>
      <w:r>
        <w:rPr>
          <w:rFonts w:hint="eastAsia" w:ascii="宋体" w:hAnsi="宋体" w:cs="宋体"/>
          <w:color w:val="auto"/>
          <w:sz w:val="20"/>
          <w:szCs w:val="20"/>
          <w:highlight w:val="none"/>
        </w:rPr>
        <w:t>(按招标文件的要求填写)</w:t>
      </w:r>
      <w:r>
        <w:rPr>
          <w:rFonts w:hint="eastAsia" w:ascii="宋体" w:hAnsi="宋体" w:cs="宋体"/>
          <w:bCs/>
          <w:color w:val="auto"/>
          <w:sz w:val="20"/>
          <w:szCs w:val="20"/>
          <w:highlight w:val="none"/>
        </w:rPr>
        <w:t>；</w:t>
      </w:r>
    </w:p>
    <w:p w14:paraId="7FAC62F4">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11.2.2 资格审查文件：</w:t>
      </w:r>
    </w:p>
    <w:p w14:paraId="48EB7F9D">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 xml:space="preserve">（1）投标人声明； </w:t>
      </w:r>
    </w:p>
    <w:p w14:paraId="5487EC5C">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（2）法定代表人证明书、法定代表人签字或盖章的本投标文件授权委托证明书；</w:t>
      </w:r>
    </w:p>
    <w:p w14:paraId="33674D82">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（3）企业营业执照（取自平台内上传件）；</w:t>
      </w:r>
    </w:p>
    <w:p w14:paraId="4561F8DA">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（4）企业资质证书（取自平台内上传件）；</w:t>
      </w:r>
    </w:p>
    <w:p w14:paraId="7BBFAF9E">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（5）建筑施工企业安全生产许可证（取自平台内上传件）；</w:t>
      </w:r>
    </w:p>
    <w:p w14:paraId="71DAF6B3">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（6）项目负责人（按网上投标登记时选择拟投标的项目负责人）</w:t>
      </w:r>
    </w:p>
    <w:p w14:paraId="49BEED47">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（7）专职安全员（按网上投标登记时选择拟投标的专职安全员）</w:t>
      </w:r>
    </w:p>
    <w:p w14:paraId="4DA62971">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（8）拟委托技术负责人的相关证书、资料（具体要求由招标人明确）</w:t>
      </w:r>
    </w:p>
    <w:p w14:paraId="628CE27F">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 xml:space="preserve">（9）拟委派项目负责人的建造师注册证书或小型项目负责人相关证明（取自平台内上传件）； </w:t>
      </w:r>
    </w:p>
    <w:p w14:paraId="536C0B54">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（10）项目负责人安全生产考核合格证明或在有效期内的安全考核合格证书（B类）或建筑施工企业项目负责人安全生产考核合格证书（取自平台内上传件）；</w:t>
      </w:r>
    </w:p>
    <w:p w14:paraId="5D07EBFE">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（11）专职安全员须具有在有效期内的安全考核合格证书（C类或C3）或建筑施工企业专职安全生产管理人员安全生产考核合格证书（取自平台内上传件）；</w:t>
      </w:r>
    </w:p>
    <w:p w14:paraId="21ABC309">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（12）用于资格审查的业绩（设置业绩要求时选择此项，投标人</w:t>
      </w:r>
      <w:r>
        <w:rPr>
          <w:rFonts w:hint="eastAsia" w:ascii="宋体" w:hAnsi="宋体" w:cs="宋体"/>
          <w:color w:val="auto"/>
          <w:sz w:val="20"/>
          <w:szCs w:val="20"/>
          <w:highlight w:val="none"/>
        </w:rPr>
        <w:t>须提供类似工程业绩的项目名称及项目编号，具体格式由招标人自定</w:t>
      </w:r>
      <w:r>
        <w:rPr>
          <w:rFonts w:hint="eastAsia" w:ascii="宋体" w:hAnsi="宋体" w:cs="宋体"/>
          <w:bCs/>
          <w:color w:val="auto"/>
          <w:sz w:val="20"/>
          <w:szCs w:val="20"/>
          <w:highlight w:val="none"/>
        </w:rPr>
        <w:t>）；</w:t>
      </w:r>
    </w:p>
    <w:p w14:paraId="139E37E7">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（13）资格审查前，投标人须在广州市住房和城乡建设局建立企业信用档案，拟担任本工程项目负责人、专职安全员须是本企业信用档案中的在册人员。</w:t>
      </w:r>
    </w:p>
    <w:p w14:paraId="6390756E">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 w:val="20"/>
          <w:szCs w:val="20"/>
          <w:highlight w:val="none"/>
        </w:rPr>
        <w:t>联合体工作协议应明确约定各方拟承担的工作和责任</w:t>
      </w:r>
      <w:r>
        <w:rPr>
          <w:rFonts w:hint="eastAsia" w:ascii="宋体" w:hAnsi="宋体" w:cs="宋体"/>
          <w:bCs/>
          <w:color w:val="auto"/>
          <w:sz w:val="20"/>
          <w:szCs w:val="20"/>
          <w:highlight w:val="none"/>
        </w:rPr>
        <w:t xml:space="preserve">）； </w:t>
      </w:r>
    </w:p>
    <w:p w14:paraId="3C09AA58">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（15）</w:t>
      </w:r>
      <w:r>
        <w:rPr>
          <w:rFonts w:hint="eastAsia" w:ascii="宋体" w:hAnsi="宋体" w:cs="宋体"/>
          <w:color w:val="auto"/>
          <w:sz w:val="20"/>
          <w:szCs w:val="20"/>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1025C952">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11.2.3项目管理机构配备。</w:t>
      </w:r>
    </w:p>
    <w:p w14:paraId="3ABF7B48">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（1）投标人应列出该项目工程的施工组织机构构成和画出机构框架图及其负责人；</w:t>
      </w:r>
    </w:p>
    <w:p w14:paraId="4FB620C9">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（2）投标人应详细列出该施工组织机构中主要成员的名单、简历资料、职务职称和在本项目中拟担任的职务等资料，并附上有关证明材料扫描件；</w:t>
      </w:r>
    </w:p>
    <w:p w14:paraId="34E89254">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（3）其他辅助说明资料。</w:t>
      </w:r>
    </w:p>
    <w:p w14:paraId="2603BAC1">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11.2.4投标人在广州市可使用适合本工程的机械设备（附：机械设备为自有或租赁的说明；及承诺机械设备如属于租赁的，其租赁是不属于重复租赁）。</w:t>
      </w:r>
    </w:p>
    <w:p w14:paraId="14413C1A">
      <w:pPr>
        <w:tabs>
          <w:tab w:val="left" w:pos="1125"/>
        </w:tabs>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11.2.5施工组织设计或施工方案。</w:t>
      </w:r>
      <w:r>
        <w:rPr>
          <w:rFonts w:hint="eastAsia" w:ascii="宋体"/>
          <w:color w:val="auto"/>
          <w:sz w:val="20"/>
          <w:szCs w:val="20"/>
          <w:highlight w:val="none"/>
          <w:u w:val="single"/>
        </w:rPr>
        <w:t>（投标人在编制施工组织设计或施工方案时应按照招标人提出的施工现场建筑垃圾源头减量的具体要求以及建筑垃圾综合利用产品的使用要求提供相应措施。）</w:t>
      </w:r>
    </w:p>
    <w:p w14:paraId="312DC96D">
      <w:pPr>
        <w:spacing w:line="440" w:lineRule="exact"/>
        <w:ind w:firstLine="448" w:firstLineChars="224"/>
        <w:rPr>
          <w:rFonts w:hint="eastAsia" w:ascii="宋体" w:hAnsi="宋体" w:cs="宋体"/>
          <w:color w:val="auto"/>
          <w:sz w:val="20"/>
          <w:szCs w:val="20"/>
          <w:highlight w:val="none"/>
        </w:rPr>
      </w:pPr>
      <w:r>
        <w:rPr>
          <w:rFonts w:hint="eastAsia" w:ascii="宋体" w:hAnsi="宋体" w:cs="宋体"/>
          <w:color w:val="auto"/>
          <w:sz w:val="20"/>
          <w:szCs w:val="20"/>
          <w:highlight w:val="none"/>
        </w:rPr>
        <w:t>11.2.6按照</w:t>
      </w:r>
      <w:r>
        <w:rPr>
          <w:rFonts w:hint="eastAsia" w:ascii="宋体" w:hAnsi="宋体" w:cs="宋体"/>
          <w:bCs/>
          <w:color w:val="auto"/>
          <w:sz w:val="20"/>
          <w:szCs w:val="20"/>
          <w:highlight w:val="none"/>
        </w:rPr>
        <w:t>招标文件要求</w:t>
      </w:r>
      <w:r>
        <w:rPr>
          <w:rFonts w:hint="eastAsia" w:ascii="宋体" w:hAnsi="宋体" w:cs="宋体"/>
          <w:color w:val="auto"/>
          <w:sz w:val="20"/>
          <w:szCs w:val="20"/>
          <w:highlight w:val="none"/>
        </w:rPr>
        <w:t>填写的《参与编制技术标投标文件人员名单》。</w:t>
      </w:r>
    </w:p>
    <w:p w14:paraId="42F10E22">
      <w:pPr>
        <w:adjustRightInd w:val="0"/>
        <w:spacing w:line="360" w:lineRule="auto"/>
        <w:ind w:firstLine="402" w:firstLineChars="200"/>
        <w:rPr>
          <w:rFonts w:ascii="宋体" w:hAnsi="宋体" w:cs="宋体"/>
          <w:bCs/>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bCs/>
          <w:color w:val="auto"/>
          <w:sz w:val="20"/>
          <w:szCs w:val="20"/>
          <w:highlight w:val="none"/>
        </w:rPr>
        <w:t>11.2投标文件技术标部分</w:t>
      </w:r>
      <w:r>
        <w:rPr>
          <w:rFonts w:hint="eastAsia" w:ascii="宋体" w:hAnsi="宋体" w:cs="宋体"/>
          <w:bCs/>
          <w:color w:val="auto"/>
          <w:sz w:val="20"/>
          <w:szCs w:val="20"/>
          <w:highlight w:val="none"/>
          <w:u w:val="single"/>
        </w:rPr>
        <w:t>（含资格审查文件）</w:t>
      </w:r>
      <w:r>
        <w:rPr>
          <w:rFonts w:hint="eastAsia" w:ascii="宋体" w:hAnsi="宋体" w:cs="宋体"/>
          <w:bCs/>
          <w:color w:val="auto"/>
          <w:sz w:val="20"/>
          <w:szCs w:val="20"/>
          <w:highlight w:val="none"/>
        </w:rPr>
        <w:t>主要包括下列内容:</w:t>
      </w:r>
    </w:p>
    <w:p w14:paraId="2651A84F">
      <w:pPr>
        <w:adjustRightInd w:val="0"/>
        <w:spacing w:line="360" w:lineRule="auto"/>
        <w:ind w:firstLine="400" w:firstLineChars="200"/>
        <w:rPr>
          <w:rFonts w:ascii="宋体" w:hAnsi="宋体" w:cs="宋体"/>
          <w:bCs/>
          <w:color w:val="auto"/>
          <w:sz w:val="20"/>
          <w:szCs w:val="20"/>
          <w:highlight w:val="none"/>
          <w:u w:val="single"/>
        </w:rPr>
      </w:pPr>
      <w:r>
        <w:rPr>
          <w:rFonts w:hint="eastAsia" w:ascii="宋体" w:hAnsi="宋体" w:cs="宋体"/>
          <w:bCs/>
          <w:color w:val="auto"/>
          <w:sz w:val="20"/>
          <w:szCs w:val="20"/>
          <w:highlight w:val="none"/>
          <w:u w:val="single"/>
        </w:rPr>
        <w:t xml:space="preserve">11.2.1 广州建设工程施工招标投标书(见招标文件第四章 </w:t>
      </w:r>
      <w:r>
        <w:rPr>
          <w:rFonts w:hint="eastAsia" w:ascii="宋体" w:hAnsi="宋体" w:cs="宋体"/>
          <w:color w:val="auto"/>
          <w:sz w:val="20"/>
          <w:szCs w:val="20"/>
          <w:highlight w:val="none"/>
          <w:u w:val="single"/>
        </w:rPr>
        <w:t>“技术标投标文件格式”</w:t>
      </w:r>
      <w:r>
        <w:rPr>
          <w:rFonts w:hint="eastAsia" w:ascii="宋体" w:hAnsi="宋体" w:cs="宋体"/>
          <w:bCs/>
          <w:color w:val="auto"/>
          <w:sz w:val="20"/>
          <w:szCs w:val="20"/>
          <w:highlight w:val="none"/>
          <w:u w:val="single"/>
        </w:rPr>
        <w:t>格式二)；</w:t>
      </w:r>
    </w:p>
    <w:p w14:paraId="7C93A115">
      <w:pPr>
        <w:adjustRightInd w:val="0"/>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11.2.2 资格审查文件：</w:t>
      </w:r>
    </w:p>
    <w:p w14:paraId="2CA8BD3B">
      <w:pPr>
        <w:spacing w:line="440" w:lineRule="exact"/>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w:t>
      </w:r>
      <w:r>
        <w:rPr>
          <w:rFonts w:hint="eastAsia" w:ascii="宋体" w:hAnsi="宋体" w:cs="宋体"/>
          <w:bCs/>
          <w:color w:val="auto"/>
          <w:sz w:val="20"/>
          <w:szCs w:val="20"/>
          <w:highlight w:val="none"/>
          <w:u w:val="single"/>
        </w:rPr>
        <w:t>投标人声明（见招标公告附件一，提交原件清晰扫描件）</w:t>
      </w:r>
      <w:r>
        <w:rPr>
          <w:rFonts w:hint="eastAsia" w:ascii="宋体" w:hAnsi="宋体" w:cs="宋体"/>
          <w:bCs/>
          <w:color w:val="auto"/>
          <w:sz w:val="20"/>
          <w:szCs w:val="20"/>
          <w:highlight w:val="none"/>
        </w:rPr>
        <w:t xml:space="preserve">； </w:t>
      </w:r>
    </w:p>
    <w:p w14:paraId="295E7002">
      <w:pPr>
        <w:spacing w:line="440" w:lineRule="exact"/>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（2）法定代表人证明书、法定代表人签字或盖章的本投标文件授权委托证明书</w:t>
      </w:r>
      <w:r>
        <w:rPr>
          <w:rFonts w:hint="eastAsia" w:ascii="宋体" w:hAnsi="宋体" w:cs="宋体"/>
          <w:bCs/>
          <w:color w:val="auto"/>
          <w:sz w:val="20"/>
          <w:szCs w:val="20"/>
          <w:highlight w:val="none"/>
          <w:u w:val="single"/>
        </w:rPr>
        <w:t>（</w:t>
      </w:r>
      <w:r>
        <w:rPr>
          <w:rFonts w:hint="eastAsia" w:ascii="宋体" w:hAnsi="宋体" w:cs="宋体"/>
          <w:color w:val="auto"/>
          <w:sz w:val="20"/>
          <w:szCs w:val="20"/>
          <w:highlight w:val="none"/>
          <w:u w:val="single"/>
        </w:rPr>
        <w:t>见本招标文件第四章“技术标投标文件格式”格式三</w:t>
      </w:r>
      <w:r>
        <w:rPr>
          <w:rFonts w:hint="eastAsia" w:ascii="宋体" w:hAnsi="宋体" w:cs="宋体"/>
          <w:bCs/>
          <w:color w:val="auto"/>
          <w:sz w:val="20"/>
          <w:szCs w:val="20"/>
          <w:highlight w:val="none"/>
          <w:u w:val="single"/>
        </w:rPr>
        <w:t>）</w:t>
      </w:r>
      <w:r>
        <w:rPr>
          <w:rFonts w:hint="eastAsia" w:ascii="宋体" w:hAnsi="宋体" w:cs="宋体"/>
          <w:bCs/>
          <w:color w:val="auto"/>
          <w:sz w:val="20"/>
          <w:szCs w:val="20"/>
          <w:highlight w:val="none"/>
        </w:rPr>
        <w:t>；</w:t>
      </w:r>
    </w:p>
    <w:p w14:paraId="22C1B814">
      <w:pPr>
        <w:spacing w:line="440" w:lineRule="exact"/>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（3）企业营业执照扫描件或电子证照；</w:t>
      </w:r>
    </w:p>
    <w:p w14:paraId="427C9B20">
      <w:pPr>
        <w:spacing w:line="440" w:lineRule="exact"/>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（4）企业资质证书扫描件或电子证照；</w:t>
      </w:r>
    </w:p>
    <w:p w14:paraId="7EAA2B51">
      <w:pPr>
        <w:spacing w:line="440" w:lineRule="exact"/>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（5）建筑施工企业安全生产许可证扫描件或电子证照；</w:t>
      </w:r>
    </w:p>
    <w:p w14:paraId="2CC7864D">
      <w:pPr>
        <w:spacing w:line="440" w:lineRule="exact"/>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（6）项目负责人（按网上投标登记时选择拟投标的项目负责人）</w:t>
      </w:r>
    </w:p>
    <w:p w14:paraId="0A471C4C">
      <w:pPr>
        <w:spacing w:line="440" w:lineRule="exact"/>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（7）专职安全员（按网上投标登记时选择拟投标的专职安全员）</w:t>
      </w:r>
    </w:p>
    <w:p w14:paraId="7CE34AAA">
      <w:pPr>
        <w:spacing w:line="440" w:lineRule="exact"/>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（8）</w:t>
      </w:r>
      <w:r>
        <w:rPr>
          <w:rFonts w:hint="eastAsia" w:ascii="宋体" w:hAnsi="宋体" w:cs="宋体"/>
          <w:bCs/>
          <w:color w:val="auto"/>
          <w:sz w:val="20"/>
          <w:szCs w:val="20"/>
          <w:highlight w:val="none"/>
          <w:u w:val="single"/>
        </w:rPr>
        <w:t>拟委托技术负责人的职称证书（提交原件清晰扫描件）；</w:t>
      </w:r>
    </w:p>
    <w:p w14:paraId="6EFE7D88">
      <w:pPr>
        <w:spacing w:line="440" w:lineRule="exact"/>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（9）</w:t>
      </w:r>
      <w:r>
        <w:rPr>
          <w:rFonts w:hint="eastAsia" w:ascii="宋体" w:hAnsi="宋体" w:cs="宋体"/>
          <w:bCs/>
          <w:color w:val="auto"/>
          <w:sz w:val="20"/>
          <w:szCs w:val="20"/>
          <w:highlight w:val="none"/>
          <w:u w:val="single"/>
        </w:rPr>
        <w:t>拟委派项目负责人的建造师证书扫描件或电子证书；</w:t>
      </w:r>
      <w:r>
        <w:rPr>
          <w:rFonts w:hint="eastAsia" w:ascii="宋体" w:hAnsi="宋体" w:cs="宋体"/>
          <w:bCs/>
          <w:color w:val="auto"/>
          <w:sz w:val="20"/>
          <w:szCs w:val="20"/>
          <w:highlight w:val="none"/>
        </w:rPr>
        <w:t xml:space="preserve"> </w:t>
      </w:r>
    </w:p>
    <w:p w14:paraId="243DF16D">
      <w:pPr>
        <w:spacing w:line="440" w:lineRule="exact"/>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（10）项目负责人安全生产考核合格证明或在有效期内的安全考核合格证书（B类）或</w:t>
      </w:r>
      <w:r>
        <w:rPr>
          <w:rFonts w:hint="eastAsia" w:ascii="宋体" w:hAnsi="宋体" w:cs="宋体"/>
          <w:bCs/>
          <w:color w:val="auto"/>
          <w:sz w:val="20"/>
          <w:szCs w:val="20"/>
          <w:highlight w:val="none"/>
          <w:u w:val="single"/>
        </w:rPr>
        <w:t>建筑施工企业项目负责人安全生产考核合格证书</w:t>
      </w:r>
      <w:r>
        <w:rPr>
          <w:rFonts w:hint="eastAsia" w:ascii="宋体" w:hAnsi="宋体" w:cs="宋体"/>
          <w:bCs/>
          <w:color w:val="auto"/>
          <w:sz w:val="20"/>
          <w:szCs w:val="20"/>
          <w:highlight w:val="none"/>
        </w:rPr>
        <w:t>描件或电子证书；</w:t>
      </w:r>
    </w:p>
    <w:p w14:paraId="6463C5C4">
      <w:pPr>
        <w:spacing w:line="440" w:lineRule="exact"/>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（11）</w:t>
      </w:r>
      <w:r>
        <w:rPr>
          <w:rFonts w:hint="eastAsia" w:ascii="宋体" w:hAnsi="宋体" w:cs="宋体"/>
          <w:bCs/>
          <w:color w:val="auto"/>
          <w:sz w:val="20"/>
          <w:szCs w:val="20"/>
          <w:highlight w:val="none"/>
          <w:u w:val="single"/>
        </w:rPr>
        <w:t>专职安全员须具有在有效期内安全生产考核合格证（C类），或建筑施工企业专职安全生产管理人员安全生产考核合格证书（C3）</w:t>
      </w:r>
      <w:r>
        <w:rPr>
          <w:rFonts w:hint="eastAsia" w:ascii="宋体" w:hAnsi="宋体" w:cs="宋体"/>
          <w:bCs/>
          <w:color w:val="auto"/>
          <w:sz w:val="20"/>
          <w:szCs w:val="20"/>
          <w:highlight w:val="none"/>
        </w:rPr>
        <w:t>描件或电子证书</w:t>
      </w:r>
      <w:r>
        <w:rPr>
          <w:rFonts w:hint="eastAsia" w:ascii="宋体" w:hAnsi="宋体" w:cs="宋体"/>
          <w:color w:val="auto"/>
          <w:sz w:val="20"/>
          <w:szCs w:val="20"/>
          <w:highlight w:val="none"/>
        </w:rPr>
        <w:t>，</w:t>
      </w:r>
      <w:r>
        <w:rPr>
          <w:rFonts w:hint="eastAsia" w:ascii="宋体" w:hAnsi="宋体" w:cs="宋体"/>
          <w:b/>
          <w:color w:val="auto"/>
          <w:sz w:val="20"/>
          <w:szCs w:val="20"/>
          <w:highlight w:val="none"/>
          <w:u w:val="single"/>
        </w:rPr>
        <w:t>项目负责人和专职安全员不为同一人</w:t>
      </w:r>
      <w:r>
        <w:rPr>
          <w:rFonts w:hint="eastAsia" w:ascii="宋体" w:hAnsi="宋体" w:cs="宋体"/>
          <w:bCs/>
          <w:color w:val="auto"/>
          <w:sz w:val="20"/>
          <w:szCs w:val="20"/>
          <w:highlight w:val="none"/>
        </w:rPr>
        <w:t>；</w:t>
      </w:r>
    </w:p>
    <w:p w14:paraId="0843E591">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w:t>
      </w:r>
      <w:r>
        <w:rPr>
          <w:rFonts w:hint="eastAsia" w:ascii="宋体" w:hAnsi="宋体" w:cs="宋体"/>
          <w:bCs/>
          <w:color w:val="auto"/>
          <w:sz w:val="20"/>
          <w:szCs w:val="20"/>
          <w:highlight w:val="none"/>
          <w:lang w:val="en-US" w:eastAsia="zh-CN"/>
        </w:rPr>
        <w:t>2</w:t>
      </w:r>
      <w:r>
        <w:rPr>
          <w:rFonts w:hint="eastAsia" w:ascii="宋体" w:hAnsi="宋体" w:cs="宋体"/>
          <w:bCs/>
          <w:color w:val="auto"/>
          <w:sz w:val="20"/>
          <w:szCs w:val="20"/>
          <w:highlight w:val="none"/>
        </w:rPr>
        <w:t>）</w:t>
      </w:r>
      <w:r>
        <w:rPr>
          <w:rFonts w:hint="eastAsia" w:ascii="宋体" w:hAnsi="宋体" w:cs="宋体"/>
          <w:color w:val="auto"/>
          <w:sz w:val="20"/>
          <w:szCs w:val="20"/>
          <w:highlight w:val="none"/>
        </w:rPr>
        <w:t>关于联合体投</w:t>
      </w:r>
      <w:r>
        <w:rPr>
          <w:rFonts w:hint="eastAsia" w:ascii="宋体" w:hAnsi="宋体" w:cs="宋体"/>
          <w:bCs/>
          <w:color w:val="auto"/>
          <w:sz w:val="20"/>
          <w:szCs w:val="20"/>
          <w:highlight w:val="none"/>
        </w:rPr>
        <w:t>标：</w:t>
      </w:r>
      <w:r>
        <w:rPr>
          <w:rFonts w:hint="eastAsia" w:ascii="宋体" w:hAnsi="宋体" w:cs="宋体"/>
          <w:bCs/>
          <w:color w:val="auto"/>
          <w:sz w:val="20"/>
          <w:szCs w:val="20"/>
          <w:highlight w:val="none"/>
          <w:u w:val="single"/>
        </w:rPr>
        <w:t>本项目不接受联合体投标</w:t>
      </w:r>
      <w:r>
        <w:rPr>
          <w:rFonts w:hint="eastAsia" w:ascii="宋体" w:hAnsi="宋体" w:cs="宋体"/>
          <w:bCs/>
          <w:color w:val="auto"/>
          <w:sz w:val="20"/>
          <w:szCs w:val="20"/>
          <w:highlight w:val="none"/>
        </w:rPr>
        <w:t>。</w:t>
      </w:r>
    </w:p>
    <w:p w14:paraId="7C11B481">
      <w:pPr>
        <w:spacing w:line="360" w:lineRule="auto"/>
        <w:ind w:firstLine="400" w:firstLineChars="200"/>
        <w:rPr>
          <w:rFonts w:hint="eastAsia" w:ascii="宋体" w:hAnsi="宋体" w:cs="宋体"/>
          <w:bCs/>
          <w:color w:val="auto"/>
          <w:sz w:val="20"/>
          <w:szCs w:val="20"/>
          <w:highlight w:val="none"/>
          <w:u w:val="single"/>
        </w:rPr>
      </w:pPr>
      <w:r>
        <w:rPr>
          <w:rFonts w:hint="eastAsia" w:ascii="宋体" w:hAnsi="宋体" w:cs="宋体"/>
          <w:bCs/>
          <w:color w:val="auto"/>
          <w:sz w:val="20"/>
          <w:szCs w:val="20"/>
          <w:highlight w:val="none"/>
          <w:u w:val="single"/>
        </w:rPr>
        <w:t>（1</w:t>
      </w:r>
      <w:r>
        <w:rPr>
          <w:rFonts w:hint="eastAsia" w:ascii="宋体" w:hAnsi="宋体" w:cs="宋体"/>
          <w:bCs/>
          <w:color w:val="auto"/>
          <w:sz w:val="20"/>
          <w:szCs w:val="20"/>
          <w:highlight w:val="none"/>
          <w:u w:val="single"/>
          <w:lang w:val="en-US" w:eastAsia="zh-CN"/>
        </w:rPr>
        <w:t>3</w:t>
      </w:r>
      <w:r>
        <w:rPr>
          <w:rFonts w:hint="eastAsia" w:ascii="宋体" w:hAnsi="宋体" w:cs="宋体"/>
          <w:bCs/>
          <w:color w:val="auto"/>
          <w:sz w:val="20"/>
          <w:szCs w:val="20"/>
          <w:highlight w:val="none"/>
          <w:u w:val="single"/>
        </w:rPr>
        <w:t>）投标人应在惠州市建筑业信用信息平台办理并通过信用信息录入，拟派驻本工程的最基本的管理班子人员（项目负责人、技术负责人、专职安全员）必须是惠州市建筑业信用信息平台录入的对应岗位人员（提供相关网页截图）。</w:t>
      </w:r>
    </w:p>
    <w:p w14:paraId="1FAF0F64">
      <w:pPr>
        <w:spacing w:line="360" w:lineRule="auto"/>
        <w:ind w:firstLine="400" w:firstLineChars="200"/>
        <w:rPr>
          <w:rFonts w:hint="eastAsia" w:ascii="宋体" w:hAnsi="宋体" w:eastAsia="宋体" w:cs="宋体"/>
          <w:b w:val="0"/>
          <w:bCs/>
          <w:color w:val="auto"/>
          <w:kern w:val="2"/>
          <w:sz w:val="20"/>
          <w:szCs w:val="20"/>
          <w:highlight w:val="none"/>
          <w:u w:val="single"/>
          <w:lang w:val="en-US" w:eastAsia="zh-CN"/>
        </w:rPr>
      </w:pPr>
      <w:r>
        <w:rPr>
          <w:rFonts w:hint="eastAsia" w:ascii="宋体" w:hAnsi="宋体" w:eastAsia="宋体" w:cs="宋体"/>
          <w:b w:val="0"/>
          <w:bCs/>
          <w:color w:val="auto"/>
          <w:kern w:val="2"/>
          <w:sz w:val="20"/>
          <w:szCs w:val="20"/>
          <w:highlight w:val="none"/>
          <w:u w:val="single"/>
        </w:rPr>
        <w:t>（1</w:t>
      </w:r>
      <w:r>
        <w:rPr>
          <w:rFonts w:hint="eastAsia" w:ascii="宋体" w:hAnsi="宋体" w:eastAsia="宋体" w:cs="宋体"/>
          <w:b w:val="0"/>
          <w:bCs/>
          <w:color w:val="auto"/>
          <w:kern w:val="2"/>
          <w:sz w:val="20"/>
          <w:szCs w:val="20"/>
          <w:highlight w:val="none"/>
          <w:u w:val="single"/>
          <w:lang w:val="en-US" w:eastAsia="zh-CN"/>
        </w:rPr>
        <w:t>4</w:t>
      </w:r>
      <w:r>
        <w:rPr>
          <w:rFonts w:hint="eastAsia" w:ascii="宋体" w:hAnsi="宋体" w:eastAsia="宋体" w:cs="宋体"/>
          <w:b w:val="0"/>
          <w:bCs/>
          <w:color w:val="auto"/>
          <w:kern w:val="2"/>
          <w:sz w:val="20"/>
          <w:szCs w:val="20"/>
          <w:highlight w:val="none"/>
          <w:u w:val="single"/>
        </w:rPr>
        <w:t>）资格审查前，投标人在广州公共资源交易中心已办理企业信息登记，拟担任本工程项目负责人、专职安全员须是投标人本企业信息登记中的在册人员</w:t>
      </w:r>
      <w:r>
        <w:rPr>
          <w:rFonts w:hint="eastAsia" w:ascii="宋体" w:hAnsi="宋体" w:cs="宋体"/>
          <w:bCs/>
          <w:color w:val="auto"/>
          <w:sz w:val="20"/>
          <w:szCs w:val="20"/>
          <w:highlight w:val="none"/>
          <w:u w:val="single"/>
        </w:rPr>
        <w:t>（提供相关网页截图）</w:t>
      </w:r>
      <w:r>
        <w:rPr>
          <w:rFonts w:hint="eastAsia" w:ascii="宋体" w:hAnsi="宋体" w:eastAsia="宋体" w:cs="宋体"/>
          <w:b w:val="0"/>
          <w:bCs/>
          <w:color w:val="auto"/>
          <w:kern w:val="2"/>
          <w:sz w:val="20"/>
          <w:szCs w:val="20"/>
          <w:highlight w:val="none"/>
          <w:u w:val="single"/>
        </w:rPr>
        <w:t>。</w:t>
      </w:r>
      <w:r>
        <w:rPr>
          <w:rFonts w:hint="eastAsia" w:ascii="宋体" w:hAnsi="宋体" w:eastAsia="宋体" w:cs="宋体"/>
          <w:b w:val="0"/>
          <w:bCs/>
          <w:color w:val="auto"/>
          <w:kern w:val="2"/>
          <w:sz w:val="20"/>
          <w:szCs w:val="20"/>
          <w:highlight w:val="none"/>
          <w:u w:val="single"/>
          <w:lang w:val="en-US" w:eastAsia="zh-CN"/>
        </w:rPr>
        <w:t xml:space="preserve"> </w:t>
      </w:r>
    </w:p>
    <w:p w14:paraId="1B927C0A">
      <w:pPr>
        <w:spacing w:line="360" w:lineRule="auto"/>
        <w:ind w:firstLine="400" w:firstLineChars="200"/>
        <w:rPr>
          <w:rFonts w:ascii="宋体" w:hAnsi="宋体" w:cs="宋体"/>
          <w:bCs/>
          <w:color w:val="auto"/>
          <w:sz w:val="20"/>
          <w:szCs w:val="20"/>
          <w:highlight w:val="none"/>
          <w:u w:val="single"/>
        </w:rPr>
      </w:pPr>
      <w:r>
        <w:rPr>
          <w:rFonts w:hint="eastAsia" w:ascii="宋体" w:hAnsi="宋体" w:cs="宋体"/>
          <w:bCs/>
          <w:color w:val="auto"/>
          <w:sz w:val="20"/>
          <w:szCs w:val="20"/>
          <w:highlight w:val="none"/>
          <w:u w:val="single"/>
        </w:rPr>
        <w:t>（1</w:t>
      </w:r>
      <w:r>
        <w:rPr>
          <w:rFonts w:hint="eastAsia" w:ascii="宋体" w:hAnsi="宋体" w:cs="宋体"/>
          <w:bCs/>
          <w:color w:val="auto"/>
          <w:sz w:val="20"/>
          <w:szCs w:val="20"/>
          <w:highlight w:val="none"/>
          <w:u w:val="single"/>
          <w:lang w:val="en-US" w:eastAsia="zh-CN"/>
        </w:rPr>
        <w:t>5</w:t>
      </w:r>
      <w:r>
        <w:rPr>
          <w:rFonts w:hint="eastAsia" w:ascii="宋体" w:hAnsi="宋体" w:cs="宋体"/>
          <w:bCs/>
          <w:color w:val="auto"/>
          <w:sz w:val="20"/>
          <w:szCs w:val="20"/>
          <w:highlight w:val="none"/>
          <w:u w:val="single"/>
        </w:rPr>
        <w:t>）未在以往工程中因不充分履约行为被本项目招标人书面拒绝投标的</w:t>
      </w:r>
      <w:r>
        <w:rPr>
          <w:rFonts w:hint="eastAsia" w:ascii="宋体" w:hAnsi="宋体" w:cs="宋体"/>
          <w:bCs/>
          <w:color w:val="auto"/>
          <w:sz w:val="20"/>
          <w:szCs w:val="20"/>
          <w:highlight w:val="none"/>
        </w:rPr>
        <w:t>。</w:t>
      </w:r>
    </w:p>
    <w:p w14:paraId="7FA102CA">
      <w:pPr>
        <w:spacing w:line="360" w:lineRule="auto"/>
        <w:ind w:firstLine="400" w:firstLineChars="200"/>
        <w:rPr>
          <w:rFonts w:hint="eastAsia" w:ascii="宋体" w:hAnsi="宋体" w:cs="宋体"/>
          <w:bCs/>
          <w:color w:val="auto"/>
          <w:sz w:val="20"/>
          <w:szCs w:val="20"/>
          <w:highlight w:val="none"/>
          <w:u w:val="single"/>
        </w:rPr>
      </w:pPr>
      <w:r>
        <w:rPr>
          <w:rFonts w:hint="eastAsia" w:ascii="宋体" w:hAnsi="宋体" w:cs="宋体"/>
          <w:bCs/>
          <w:color w:val="auto"/>
          <w:sz w:val="20"/>
          <w:szCs w:val="20"/>
          <w:highlight w:val="none"/>
          <w:u w:val="single"/>
        </w:rPr>
        <w:t>（1</w:t>
      </w:r>
      <w:r>
        <w:rPr>
          <w:rFonts w:hint="eastAsia" w:ascii="宋体" w:hAnsi="宋体" w:cs="宋体"/>
          <w:bCs/>
          <w:color w:val="auto"/>
          <w:sz w:val="20"/>
          <w:szCs w:val="20"/>
          <w:highlight w:val="none"/>
          <w:u w:val="single"/>
          <w:lang w:val="en-US" w:eastAsia="zh-CN"/>
        </w:rPr>
        <w:t>6</w:t>
      </w:r>
      <w:r>
        <w:rPr>
          <w:rFonts w:hint="eastAsia" w:ascii="宋体" w:hAnsi="宋体" w:cs="宋体"/>
          <w:bCs/>
          <w:color w:val="auto"/>
          <w:sz w:val="20"/>
          <w:szCs w:val="20"/>
          <w:highlight w:val="none"/>
          <w:u w:val="single"/>
        </w:rPr>
        <w:t>）未被列入拖欠农民工工资失信联合惩戒对象名单</w:t>
      </w:r>
      <w:r>
        <w:rPr>
          <w:rFonts w:hint="eastAsia"/>
          <w:b/>
          <w:bCs/>
          <w:color w:val="auto"/>
          <w:sz w:val="20"/>
          <w:szCs w:val="20"/>
          <w:highlight w:val="none"/>
          <w:u w:val="single"/>
        </w:rPr>
        <w:t>（投标人无需提供资料，按交易系统对比的结果进行评审）。</w:t>
      </w:r>
    </w:p>
    <w:p w14:paraId="3FEDC652">
      <w:pPr>
        <w:spacing w:line="360" w:lineRule="auto"/>
        <w:ind w:firstLine="390" w:firstLineChars="195"/>
        <w:rPr>
          <w:rFonts w:hint="eastAsia" w:ascii="宋体" w:hAnsi="宋体" w:cs="宋体"/>
          <w:color w:val="auto"/>
          <w:sz w:val="20"/>
          <w:szCs w:val="20"/>
          <w:highlight w:val="none"/>
          <w:u w:val="single"/>
        </w:rPr>
      </w:pPr>
      <w:r>
        <w:rPr>
          <w:rFonts w:hint="eastAsia" w:ascii="宋体" w:hAnsi="宋体" w:cs="宋体"/>
          <w:color w:val="auto"/>
          <w:sz w:val="20"/>
          <w:szCs w:val="20"/>
          <w:highlight w:val="none"/>
          <w:u w:val="single"/>
        </w:rPr>
        <w:t>（1</w:t>
      </w:r>
      <w:r>
        <w:rPr>
          <w:rFonts w:hint="eastAsia" w:ascii="宋体" w:hAnsi="宋体" w:cs="宋体"/>
          <w:color w:val="auto"/>
          <w:sz w:val="20"/>
          <w:szCs w:val="20"/>
          <w:highlight w:val="none"/>
          <w:u w:val="single"/>
          <w:lang w:val="en-US" w:eastAsia="zh-CN"/>
        </w:rPr>
        <w:t>7</w:t>
      </w:r>
      <w:r>
        <w:rPr>
          <w:rFonts w:hint="eastAsia" w:ascii="宋体" w:hAnsi="宋体" w:cs="宋体"/>
          <w:color w:val="auto"/>
          <w:sz w:val="20"/>
          <w:szCs w:val="20"/>
          <w:highlight w:val="none"/>
          <w:u w:val="single"/>
        </w:rPr>
        <w:t>）投标人认为应提交的其他资料。</w:t>
      </w:r>
    </w:p>
    <w:p w14:paraId="3CE45AC0">
      <w:pPr>
        <w:pStyle w:val="49"/>
        <w:rPr>
          <w:rFonts w:hint="eastAsia" w:eastAsia="宋体" w:cs="宋体"/>
          <w:bCs/>
          <w:color w:val="auto"/>
          <w:kern w:val="2"/>
          <w:sz w:val="20"/>
          <w:szCs w:val="20"/>
          <w:highlight w:val="none"/>
          <w:u w:val="single"/>
        </w:rPr>
      </w:pPr>
      <w:r>
        <w:rPr>
          <w:rFonts w:hint="eastAsia" w:eastAsia="宋体" w:cs="宋体"/>
          <w:bCs/>
          <w:color w:val="auto"/>
          <w:kern w:val="2"/>
          <w:sz w:val="20"/>
          <w:szCs w:val="20"/>
          <w:highlight w:val="none"/>
          <w:u w:val="single"/>
        </w:rPr>
        <w:t>注：1.相关电子证书按规定需打印后手写本人签名的，应按照规定手写本人签名后再扫描提交。</w:t>
      </w:r>
    </w:p>
    <w:p w14:paraId="1101C220">
      <w:pPr>
        <w:adjustRightInd w:val="0"/>
        <w:spacing w:line="360" w:lineRule="auto"/>
        <w:ind w:firstLine="400" w:firstLineChars="200"/>
        <w:rPr>
          <w:rFonts w:ascii="宋体" w:hAnsi="宋体" w:cs="宋体"/>
          <w:color w:val="auto"/>
          <w:sz w:val="20"/>
          <w:szCs w:val="20"/>
          <w:highlight w:val="none"/>
        </w:rPr>
      </w:pPr>
      <w:r>
        <w:rPr>
          <w:rFonts w:hint="eastAsia" w:ascii="宋体" w:hAnsi="宋体" w:cs="宋体"/>
          <w:color w:val="auto"/>
          <w:sz w:val="20"/>
          <w:szCs w:val="20"/>
          <w:highlight w:val="none"/>
        </w:rPr>
        <w:t>11.2.3项目管理机构配备。</w:t>
      </w:r>
    </w:p>
    <w:p w14:paraId="4DE17DD4">
      <w:pPr>
        <w:adjustRightInd w:val="0"/>
        <w:spacing w:line="360" w:lineRule="auto"/>
        <w:ind w:firstLine="400" w:firstLineChars="200"/>
        <w:rPr>
          <w:rFonts w:ascii="宋体" w:hAnsi="宋体" w:cs="宋体"/>
          <w:color w:val="auto"/>
          <w:sz w:val="20"/>
          <w:szCs w:val="20"/>
          <w:highlight w:val="none"/>
          <w:u w:val="single"/>
        </w:rPr>
      </w:pPr>
      <w:r>
        <w:rPr>
          <w:rFonts w:hint="eastAsia" w:ascii="宋体" w:hAnsi="宋体" w:cs="宋体"/>
          <w:color w:val="auto"/>
          <w:sz w:val="20"/>
          <w:szCs w:val="20"/>
          <w:highlight w:val="none"/>
        </w:rPr>
        <w:t>（1）投标人应列出该项目工程的施工组织机构构成和画出机构框架图及其负责人，</w:t>
      </w:r>
      <w:r>
        <w:rPr>
          <w:rFonts w:hint="eastAsia" w:ascii="宋体" w:hAnsi="宋体" w:cs="宋体"/>
          <w:color w:val="auto"/>
          <w:sz w:val="20"/>
          <w:szCs w:val="20"/>
          <w:highlight w:val="none"/>
          <w:u w:val="single"/>
        </w:rPr>
        <w:t>提交《施工组织架构图》（见本招标文件第四章 “技术标投标文件格式”格式四）；</w:t>
      </w:r>
    </w:p>
    <w:p w14:paraId="59E544DC">
      <w:pPr>
        <w:tabs>
          <w:tab w:val="left" w:pos="8610"/>
        </w:tabs>
        <w:adjustRightInd w:val="0"/>
        <w:spacing w:line="360" w:lineRule="auto"/>
        <w:ind w:firstLine="400" w:firstLineChars="200"/>
        <w:rPr>
          <w:rFonts w:ascii="宋体" w:hAnsi="宋体" w:cs="宋体"/>
          <w:color w:val="auto"/>
          <w:sz w:val="20"/>
          <w:szCs w:val="20"/>
          <w:highlight w:val="none"/>
          <w:u w:val="single"/>
        </w:rPr>
      </w:pPr>
      <w:r>
        <w:rPr>
          <w:rFonts w:hint="eastAsia" w:ascii="宋体" w:hAnsi="宋体" w:cs="宋体"/>
          <w:color w:val="auto"/>
          <w:sz w:val="20"/>
          <w:szCs w:val="20"/>
          <w:highlight w:val="none"/>
        </w:rPr>
        <w:t>（2）投标人应详细列出该施工组织机构中主要成员的名单、简历资料、职务职称和在本项目中拟担任的职务等资料，并附上有关证明材料</w:t>
      </w:r>
      <w:r>
        <w:rPr>
          <w:rFonts w:hint="eastAsia" w:ascii="宋体" w:hAnsi="宋体" w:cs="宋体"/>
          <w:bCs/>
          <w:color w:val="auto"/>
          <w:sz w:val="20"/>
          <w:szCs w:val="20"/>
          <w:highlight w:val="none"/>
          <w:u w:val="single"/>
        </w:rPr>
        <w:t>原件清晰</w:t>
      </w:r>
      <w:r>
        <w:rPr>
          <w:rFonts w:hint="eastAsia" w:ascii="宋体" w:hAnsi="宋体" w:cs="宋体"/>
          <w:color w:val="auto"/>
          <w:sz w:val="20"/>
          <w:szCs w:val="20"/>
          <w:highlight w:val="none"/>
        </w:rPr>
        <w:t>扫描件，提交</w:t>
      </w:r>
      <w:r>
        <w:rPr>
          <w:rFonts w:hint="eastAsia" w:ascii="宋体" w:hAnsi="宋体" w:cs="宋体"/>
          <w:color w:val="auto"/>
          <w:sz w:val="20"/>
          <w:szCs w:val="20"/>
          <w:highlight w:val="none"/>
          <w:u w:val="single"/>
        </w:rPr>
        <w:t>《施工项目管理团队人员信息表》</w:t>
      </w:r>
      <w:r>
        <w:rPr>
          <w:rFonts w:hint="eastAsia" w:ascii="宋体" w:hAnsi="宋体" w:cs="宋体"/>
          <w:color w:val="auto"/>
          <w:sz w:val="20"/>
          <w:szCs w:val="20"/>
          <w:highlight w:val="none"/>
          <w:u w:val="single"/>
          <w:lang w:eastAsia="zh-CN"/>
        </w:rPr>
        <w:t>、《</w:t>
      </w:r>
      <w:r>
        <w:rPr>
          <w:rFonts w:hint="eastAsia" w:ascii="宋体" w:hAnsi="宋体" w:cs="宋体"/>
          <w:color w:val="auto"/>
          <w:sz w:val="20"/>
          <w:szCs w:val="20"/>
          <w:highlight w:val="none"/>
          <w:u w:val="single"/>
        </w:rPr>
        <w:t>项目管理部组成人员配备表</w:t>
      </w:r>
      <w:r>
        <w:rPr>
          <w:rFonts w:hint="eastAsia" w:ascii="宋体" w:hAnsi="宋体" w:cs="宋体"/>
          <w:color w:val="auto"/>
          <w:sz w:val="20"/>
          <w:szCs w:val="20"/>
          <w:highlight w:val="none"/>
          <w:u w:val="single"/>
          <w:lang w:eastAsia="zh-CN"/>
        </w:rPr>
        <w:t>》、</w:t>
      </w:r>
      <w:r>
        <w:rPr>
          <w:rFonts w:hint="eastAsia" w:ascii="宋体" w:hAnsi="宋体" w:cs="宋体"/>
          <w:color w:val="auto"/>
          <w:sz w:val="20"/>
          <w:szCs w:val="20"/>
          <w:highlight w:val="none"/>
          <w:u w:val="single"/>
        </w:rPr>
        <w:t>《主要人员简历表》（见本招标文件第四章 “技术标投标文件格式”格式五</w:t>
      </w:r>
      <w:r>
        <w:rPr>
          <w:rFonts w:hint="eastAsia" w:ascii="宋体" w:hAnsi="宋体" w:cs="宋体"/>
          <w:color w:val="auto"/>
          <w:sz w:val="20"/>
          <w:szCs w:val="20"/>
          <w:highlight w:val="none"/>
          <w:u w:val="single"/>
          <w:lang w:eastAsia="zh-CN"/>
        </w:rPr>
        <w:t>、</w:t>
      </w:r>
      <w:r>
        <w:rPr>
          <w:rFonts w:hint="eastAsia" w:ascii="宋体" w:hAnsi="宋体" w:cs="宋体"/>
          <w:color w:val="auto"/>
          <w:sz w:val="20"/>
          <w:szCs w:val="20"/>
          <w:highlight w:val="none"/>
          <w:u w:val="single"/>
        </w:rPr>
        <w:t>格式六和格式</w:t>
      </w:r>
      <w:r>
        <w:rPr>
          <w:rFonts w:hint="eastAsia" w:ascii="宋体" w:hAnsi="宋体" w:cs="宋体"/>
          <w:color w:val="auto"/>
          <w:sz w:val="20"/>
          <w:szCs w:val="20"/>
          <w:highlight w:val="none"/>
          <w:u w:val="single"/>
          <w:lang w:val="en-US" w:eastAsia="zh-CN"/>
        </w:rPr>
        <w:t>七</w:t>
      </w:r>
      <w:r>
        <w:rPr>
          <w:rFonts w:hint="eastAsia" w:ascii="宋体" w:hAnsi="宋体" w:cs="宋体"/>
          <w:color w:val="auto"/>
          <w:sz w:val="20"/>
          <w:szCs w:val="20"/>
          <w:highlight w:val="none"/>
          <w:u w:val="single"/>
        </w:rPr>
        <w:t>，投标人按相应表格备注和招标文件第二章附表《技术标详细审查评分表》要求提供相关资料）；</w:t>
      </w:r>
    </w:p>
    <w:p w14:paraId="60008B68">
      <w:pPr>
        <w:adjustRightInd w:val="0"/>
        <w:spacing w:line="360" w:lineRule="auto"/>
        <w:ind w:firstLine="400" w:firstLineChars="200"/>
        <w:rPr>
          <w:rFonts w:ascii="宋体" w:hAnsi="宋体" w:cs="宋体"/>
          <w:color w:val="auto"/>
          <w:sz w:val="20"/>
          <w:szCs w:val="20"/>
          <w:highlight w:val="none"/>
        </w:rPr>
      </w:pPr>
      <w:r>
        <w:rPr>
          <w:rFonts w:hint="eastAsia" w:ascii="宋体" w:hAnsi="宋体" w:cs="宋体"/>
          <w:color w:val="auto"/>
          <w:sz w:val="20"/>
          <w:szCs w:val="20"/>
          <w:highlight w:val="none"/>
        </w:rPr>
        <w:t>（3）其他辅助说明资料。</w:t>
      </w:r>
    </w:p>
    <w:p w14:paraId="20CEC0CF">
      <w:pPr>
        <w:adjustRightInd w:val="0"/>
        <w:spacing w:line="360" w:lineRule="auto"/>
        <w:ind w:firstLine="400" w:firstLineChars="200"/>
        <w:rPr>
          <w:rFonts w:hint="eastAsia" w:ascii="宋体" w:hAnsi="宋体" w:cs="宋体"/>
          <w:color w:val="auto"/>
          <w:sz w:val="20"/>
          <w:szCs w:val="20"/>
          <w:highlight w:val="none"/>
          <w:u w:val="single"/>
        </w:rPr>
      </w:pPr>
      <w:r>
        <w:rPr>
          <w:rFonts w:hint="eastAsia" w:ascii="宋体" w:hAnsi="宋体" w:cs="宋体"/>
          <w:color w:val="auto"/>
          <w:sz w:val="20"/>
          <w:szCs w:val="20"/>
          <w:highlight w:val="none"/>
          <w:u w:val="single"/>
        </w:rPr>
        <w:t>11.2.4《投标函》（见招标文件第四章 “技术标投标文件格式”</w:t>
      </w:r>
      <w:r>
        <w:rPr>
          <w:rFonts w:hint="eastAsia" w:ascii="宋体" w:hAnsi="宋体" w:cs="宋体"/>
          <w:color w:val="auto"/>
          <w:sz w:val="20"/>
          <w:szCs w:val="20"/>
          <w:highlight w:val="none"/>
          <w:u w:val="single"/>
          <w:lang w:eastAsia="zh-CN"/>
        </w:rPr>
        <w:t>格式九</w:t>
      </w:r>
      <w:r>
        <w:rPr>
          <w:rFonts w:hint="eastAsia" w:ascii="宋体" w:hAnsi="宋体" w:cs="宋体"/>
          <w:color w:val="auto"/>
          <w:sz w:val="20"/>
          <w:szCs w:val="20"/>
          <w:highlight w:val="none"/>
          <w:u w:val="single"/>
        </w:rPr>
        <w:t>）。</w:t>
      </w:r>
    </w:p>
    <w:p w14:paraId="7B58A9DA">
      <w:pPr>
        <w:adjustRightInd w:val="0"/>
        <w:spacing w:line="360" w:lineRule="auto"/>
        <w:ind w:firstLine="400" w:firstLineChars="200"/>
        <w:rPr>
          <w:rFonts w:hint="eastAsia" w:ascii="宋体" w:hAnsi="宋体" w:cs="宋体"/>
          <w:color w:val="auto"/>
          <w:sz w:val="20"/>
          <w:szCs w:val="20"/>
          <w:highlight w:val="none"/>
          <w:u w:val="single"/>
        </w:rPr>
      </w:pPr>
      <w:r>
        <w:rPr>
          <w:rFonts w:hint="eastAsia" w:ascii="宋体" w:hAnsi="宋体" w:cs="宋体"/>
          <w:color w:val="auto"/>
          <w:sz w:val="20"/>
          <w:szCs w:val="20"/>
          <w:highlight w:val="none"/>
          <w:u w:val="single"/>
        </w:rPr>
        <w:t>11.2.5《投标人提交履约保函承诺书》（见本招标文件第四章 “技术标投标文件格式”</w:t>
      </w:r>
      <w:r>
        <w:rPr>
          <w:rFonts w:hint="eastAsia" w:ascii="宋体" w:hAnsi="宋体" w:cs="宋体"/>
          <w:color w:val="auto"/>
          <w:sz w:val="20"/>
          <w:szCs w:val="20"/>
          <w:highlight w:val="none"/>
          <w:u w:val="single"/>
          <w:lang w:eastAsia="zh-CN"/>
        </w:rPr>
        <w:t>格式十二</w:t>
      </w:r>
      <w:r>
        <w:rPr>
          <w:rFonts w:hint="eastAsia" w:ascii="宋体" w:hAnsi="宋体" w:cs="宋体"/>
          <w:color w:val="auto"/>
          <w:sz w:val="20"/>
          <w:szCs w:val="20"/>
          <w:highlight w:val="none"/>
          <w:u w:val="single"/>
        </w:rPr>
        <w:t>）。</w:t>
      </w:r>
    </w:p>
    <w:p w14:paraId="2A5F4263">
      <w:pPr>
        <w:adjustRightInd w:val="0"/>
        <w:spacing w:line="360" w:lineRule="auto"/>
        <w:ind w:firstLine="400" w:firstLineChars="200"/>
        <w:rPr>
          <w:rFonts w:ascii="宋体" w:hAnsi="宋体" w:cs="宋体"/>
          <w:color w:val="auto"/>
          <w:sz w:val="20"/>
          <w:szCs w:val="20"/>
          <w:highlight w:val="none"/>
          <w:u w:val="single"/>
        </w:rPr>
      </w:pPr>
      <w:r>
        <w:rPr>
          <w:rFonts w:hint="eastAsia" w:ascii="宋体" w:hAnsi="宋体" w:cs="宋体"/>
          <w:color w:val="auto"/>
          <w:sz w:val="20"/>
          <w:szCs w:val="20"/>
          <w:highlight w:val="none"/>
          <w:u w:val="single"/>
        </w:rPr>
        <w:t>11.2.6《施工组织设计》（见本招标文件第四章 “技术标投标文件格式”</w:t>
      </w:r>
      <w:r>
        <w:rPr>
          <w:rFonts w:hint="eastAsia" w:ascii="宋体" w:hAnsi="宋体" w:cs="宋体"/>
          <w:color w:val="auto"/>
          <w:sz w:val="20"/>
          <w:szCs w:val="20"/>
          <w:highlight w:val="none"/>
          <w:u w:val="single"/>
          <w:lang w:eastAsia="zh-CN"/>
        </w:rPr>
        <w:t>格式十</w:t>
      </w:r>
      <w:r>
        <w:rPr>
          <w:rFonts w:hint="eastAsia" w:ascii="宋体" w:hAnsi="宋体" w:cs="宋体"/>
          <w:color w:val="auto"/>
          <w:sz w:val="20"/>
          <w:szCs w:val="20"/>
          <w:highlight w:val="none"/>
          <w:u w:val="single"/>
        </w:rPr>
        <w:t>）。</w:t>
      </w:r>
    </w:p>
    <w:p w14:paraId="7C7940EB">
      <w:pPr>
        <w:adjustRightInd w:val="0"/>
        <w:spacing w:line="360" w:lineRule="auto"/>
        <w:ind w:firstLine="400" w:firstLineChars="200"/>
        <w:rPr>
          <w:rFonts w:ascii="宋体" w:hAnsi="宋体" w:cs="宋体"/>
          <w:color w:val="auto"/>
          <w:sz w:val="20"/>
          <w:szCs w:val="20"/>
          <w:highlight w:val="none"/>
          <w:u w:val="single"/>
        </w:rPr>
      </w:pPr>
      <w:r>
        <w:rPr>
          <w:rFonts w:hint="eastAsia" w:ascii="宋体" w:hAnsi="宋体" w:cs="宋体"/>
          <w:color w:val="auto"/>
          <w:sz w:val="20"/>
          <w:szCs w:val="20"/>
          <w:highlight w:val="none"/>
          <w:u w:val="single"/>
        </w:rPr>
        <w:t>11.2.7企业相关资料[见招标文件第四章 “技术标投标文件格式”</w:t>
      </w:r>
      <w:r>
        <w:rPr>
          <w:rFonts w:hint="eastAsia" w:ascii="宋体" w:hAnsi="宋体" w:cs="宋体"/>
          <w:color w:val="auto"/>
          <w:sz w:val="20"/>
          <w:szCs w:val="20"/>
          <w:highlight w:val="none"/>
          <w:u w:val="single"/>
          <w:lang w:eastAsia="zh-CN"/>
        </w:rPr>
        <w:t>格式十一</w:t>
      </w:r>
      <w:r>
        <w:rPr>
          <w:rFonts w:hint="eastAsia" w:ascii="宋体" w:hAnsi="宋体" w:cs="宋体"/>
          <w:color w:val="auto"/>
          <w:sz w:val="20"/>
          <w:szCs w:val="20"/>
          <w:highlight w:val="none"/>
          <w:u w:val="single"/>
        </w:rPr>
        <w:t>，投标人结合中《技术标详细审查评分表》提供相应企业资信资料，包括工程获奖证明材料、工程研发能力证明材料、第三方评价证明材料等]。</w:t>
      </w:r>
    </w:p>
    <w:p w14:paraId="2A41AA37">
      <w:pPr>
        <w:adjustRightInd w:val="0"/>
        <w:spacing w:line="360" w:lineRule="auto"/>
        <w:ind w:firstLine="400" w:firstLineChars="200"/>
        <w:rPr>
          <w:rFonts w:ascii="宋体" w:hAnsi="宋体" w:cs="宋体"/>
          <w:color w:val="auto"/>
          <w:sz w:val="20"/>
          <w:szCs w:val="20"/>
          <w:highlight w:val="none"/>
          <w:u w:val="single"/>
        </w:rPr>
      </w:pPr>
      <w:r>
        <w:rPr>
          <w:rFonts w:hint="eastAsia" w:ascii="宋体" w:hAnsi="宋体" w:cs="宋体"/>
          <w:color w:val="auto"/>
          <w:sz w:val="20"/>
          <w:szCs w:val="20"/>
          <w:highlight w:val="none"/>
          <w:u w:val="single"/>
        </w:rPr>
        <w:t>11.2.8用于技术标评分的业绩（业绩取自广州市住建行业信用管理平台</w:t>
      </w:r>
      <w:r>
        <w:rPr>
          <w:rFonts w:hint="eastAsia" w:ascii="宋体" w:hAnsi="宋体" w:cs="宋体"/>
          <w:color w:val="auto"/>
          <w:sz w:val="20"/>
          <w:szCs w:val="20"/>
          <w:highlight w:val="none"/>
          <w:u w:val="single"/>
          <w:lang w:val="en-US" w:eastAsia="zh-CN"/>
        </w:rPr>
        <w:t>的</w:t>
      </w:r>
      <w:r>
        <w:rPr>
          <w:rFonts w:hint="eastAsia" w:ascii="宋体" w:hAnsi="宋体" w:cs="宋体"/>
          <w:color w:val="auto"/>
          <w:sz w:val="20"/>
          <w:szCs w:val="20"/>
          <w:highlight w:val="none"/>
          <w:u w:val="single"/>
        </w:rPr>
        <w:t>，提交《企业类似工程业绩信息表（技术标评分）》，见招标文件第四章 “技术标投标文件格式”</w:t>
      </w:r>
      <w:r>
        <w:rPr>
          <w:rFonts w:hint="eastAsia" w:ascii="宋体" w:hAnsi="宋体" w:cs="宋体"/>
          <w:color w:val="auto"/>
          <w:sz w:val="20"/>
          <w:szCs w:val="20"/>
          <w:highlight w:val="none"/>
          <w:u w:val="single"/>
          <w:lang w:eastAsia="zh-CN"/>
        </w:rPr>
        <w:t>格式十三</w:t>
      </w:r>
      <w:r>
        <w:rPr>
          <w:rFonts w:hint="eastAsia" w:ascii="宋体" w:hAnsi="宋体" w:cs="宋体"/>
          <w:color w:val="auto"/>
          <w:sz w:val="20"/>
          <w:szCs w:val="20"/>
          <w:highlight w:val="none"/>
          <w:u w:val="single"/>
        </w:rPr>
        <w:t>）；</w:t>
      </w:r>
    </w:p>
    <w:p w14:paraId="1A0E523F">
      <w:pPr>
        <w:adjustRightInd w:val="0"/>
        <w:spacing w:line="360" w:lineRule="auto"/>
        <w:ind w:firstLine="400" w:firstLineChars="200"/>
        <w:rPr>
          <w:rFonts w:hint="eastAsia" w:ascii="宋体" w:hAnsi="宋体" w:cs="宋体"/>
          <w:color w:val="auto"/>
          <w:sz w:val="20"/>
          <w:szCs w:val="20"/>
          <w:highlight w:val="none"/>
          <w:u w:val="single"/>
        </w:rPr>
      </w:pPr>
      <w:r>
        <w:rPr>
          <w:rFonts w:hint="eastAsia" w:ascii="宋体" w:hAnsi="宋体" w:cs="宋体"/>
          <w:color w:val="auto"/>
          <w:sz w:val="20"/>
          <w:szCs w:val="20"/>
          <w:highlight w:val="none"/>
          <w:u w:val="single"/>
        </w:rPr>
        <w:t>11.2.9按照</w:t>
      </w:r>
      <w:r>
        <w:rPr>
          <w:rFonts w:hint="eastAsia" w:ascii="宋体" w:hAnsi="宋体" w:cs="宋体"/>
          <w:bCs/>
          <w:color w:val="auto"/>
          <w:sz w:val="20"/>
          <w:szCs w:val="20"/>
          <w:highlight w:val="none"/>
          <w:u w:val="single"/>
        </w:rPr>
        <w:t>招标文件要求</w:t>
      </w:r>
      <w:r>
        <w:rPr>
          <w:rFonts w:hint="eastAsia" w:ascii="宋体" w:hAnsi="宋体" w:cs="宋体"/>
          <w:color w:val="auto"/>
          <w:sz w:val="20"/>
          <w:szCs w:val="20"/>
          <w:highlight w:val="none"/>
          <w:u w:val="single"/>
        </w:rPr>
        <w:t>填写的《参与编制技术标投标文件人员名单》（见招标文件第四章 “技术标投标文件格式”</w:t>
      </w:r>
      <w:r>
        <w:rPr>
          <w:rFonts w:hint="eastAsia" w:ascii="宋体" w:hAnsi="宋体" w:cs="宋体"/>
          <w:color w:val="auto"/>
          <w:sz w:val="20"/>
          <w:szCs w:val="20"/>
          <w:highlight w:val="none"/>
          <w:u w:val="single"/>
          <w:lang w:eastAsia="zh-CN"/>
        </w:rPr>
        <w:t>格式八</w:t>
      </w:r>
      <w:r>
        <w:rPr>
          <w:rFonts w:hint="eastAsia" w:ascii="宋体" w:hAnsi="宋体" w:cs="宋体"/>
          <w:color w:val="auto"/>
          <w:sz w:val="20"/>
          <w:szCs w:val="20"/>
          <w:highlight w:val="none"/>
          <w:u w:val="single"/>
        </w:rPr>
        <w:t>）。</w:t>
      </w:r>
    </w:p>
    <w:p w14:paraId="5E601F7E">
      <w:pPr>
        <w:adjustRightInd w:val="0"/>
        <w:spacing w:line="360" w:lineRule="auto"/>
        <w:ind w:firstLine="400" w:firstLineChars="200"/>
        <w:rPr>
          <w:rFonts w:hint="eastAsia" w:ascii="宋体" w:hAnsi="宋体" w:cs="宋体"/>
          <w:bCs/>
          <w:color w:val="auto"/>
          <w:sz w:val="20"/>
          <w:szCs w:val="20"/>
          <w:highlight w:val="none"/>
          <w:u w:val="single"/>
        </w:rPr>
      </w:pPr>
      <w:r>
        <w:rPr>
          <w:rFonts w:hint="eastAsia" w:ascii="宋体" w:hAnsi="宋体" w:cs="宋体"/>
          <w:color w:val="auto"/>
          <w:sz w:val="20"/>
          <w:szCs w:val="20"/>
          <w:highlight w:val="none"/>
          <w:u w:val="single"/>
        </w:rPr>
        <w:t>11.2.10</w:t>
      </w:r>
      <w:r>
        <w:rPr>
          <w:rFonts w:hint="eastAsia" w:ascii="宋体" w:hAnsi="宋体" w:cs="宋体"/>
          <w:bCs/>
          <w:color w:val="auto"/>
          <w:sz w:val="20"/>
          <w:szCs w:val="20"/>
          <w:highlight w:val="none"/>
          <w:u w:val="single"/>
        </w:rPr>
        <w:t>《危险性较大的分部分项工程安全管理措施》（见招标文件第四章“技术标投标文件格式”</w:t>
      </w:r>
      <w:r>
        <w:rPr>
          <w:rFonts w:hint="eastAsia" w:ascii="宋体" w:hAnsi="宋体" w:cs="宋体"/>
          <w:bCs/>
          <w:color w:val="auto"/>
          <w:sz w:val="20"/>
          <w:szCs w:val="20"/>
          <w:highlight w:val="none"/>
          <w:u w:val="single"/>
          <w:lang w:eastAsia="zh-CN"/>
        </w:rPr>
        <w:t>格式十四</w:t>
      </w:r>
      <w:r>
        <w:rPr>
          <w:rFonts w:hint="eastAsia" w:ascii="宋体" w:hAnsi="宋体" w:cs="宋体"/>
          <w:bCs/>
          <w:color w:val="auto"/>
          <w:sz w:val="20"/>
          <w:szCs w:val="20"/>
          <w:highlight w:val="none"/>
          <w:u w:val="single"/>
        </w:rPr>
        <w:t>）。</w:t>
      </w:r>
    </w:p>
    <w:p w14:paraId="184F9826">
      <w:pPr>
        <w:pBdr>
          <w:bottom w:val="single" w:color="auto" w:sz="6" w:space="1"/>
        </w:pBdr>
        <w:adjustRightInd w:val="0"/>
        <w:spacing w:line="360" w:lineRule="auto"/>
        <w:ind w:firstLine="400" w:firstLineChars="200"/>
        <w:rPr>
          <w:rFonts w:hint="eastAsia"/>
          <w:color w:val="auto"/>
          <w:sz w:val="20"/>
          <w:szCs w:val="20"/>
          <w:highlight w:val="none"/>
        </w:rPr>
      </w:pPr>
      <w:r>
        <w:rPr>
          <w:rFonts w:ascii="宋体" w:hAnsi="宋体" w:cs="宋体"/>
          <w:color w:val="auto"/>
          <w:sz w:val="20"/>
          <w:szCs w:val="20"/>
          <w:highlight w:val="none"/>
          <w:u w:val="single"/>
        </w:rPr>
        <w:t>11.2.1</w:t>
      </w:r>
      <w:r>
        <w:rPr>
          <w:rFonts w:hint="eastAsia" w:ascii="宋体" w:hAnsi="宋体" w:cs="宋体"/>
          <w:color w:val="auto"/>
          <w:sz w:val="20"/>
          <w:szCs w:val="20"/>
          <w:highlight w:val="none"/>
          <w:u w:val="single"/>
        </w:rPr>
        <w:t>1</w:t>
      </w:r>
      <w:r>
        <w:rPr>
          <w:rFonts w:ascii="宋体" w:hAnsi="宋体" w:cs="宋体"/>
          <w:color w:val="auto"/>
          <w:sz w:val="20"/>
          <w:szCs w:val="20"/>
          <w:highlight w:val="none"/>
          <w:u w:val="single"/>
        </w:rPr>
        <w:t xml:space="preserve"> </w:t>
      </w:r>
      <w:r>
        <w:rPr>
          <w:rFonts w:hint="eastAsia" w:ascii="宋体" w:hAnsi="宋体" w:cs="宋体"/>
          <w:bCs/>
          <w:color w:val="auto"/>
          <w:sz w:val="20"/>
          <w:szCs w:val="20"/>
          <w:highlight w:val="none"/>
          <w:u w:val="single"/>
        </w:rPr>
        <w:t>投标人认为应提供的其他资料。</w:t>
      </w:r>
    </w:p>
    <w:p w14:paraId="091105DE">
      <w:pPr>
        <w:adjustRightInd w:val="0"/>
        <w:spacing w:line="360" w:lineRule="auto"/>
        <w:ind w:firstLine="402" w:firstLineChars="200"/>
        <w:rPr>
          <w:rFonts w:ascii="宋体" w:hAnsi="宋体" w:cs="宋体"/>
          <w:b/>
          <w:color w:val="auto"/>
          <w:sz w:val="20"/>
          <w:szCs w:val="20"/>
          <w:highlight w:val="none"/>
        </w:rPr>
      </w:pPr>
      <w:r>
        <w:rPr>
          <w:rFonts w:hint="eastAsia" w:ascii="宋体" w:hAnsi="宋体" w:cs="宋体"/>
          <w:b/>
          <w:color w:val="auto"/>
          <w:sz w:val="20"/>
          <w:szCs w:val="20"/>
          <w:highlight w:val="none"/>
        </w:rPr>
        <w:t>条款号：</w:t>
      </w:r>
      <w:r>
        <w:rPr>
          <w:rFonts w:hint="eastAsia" w:ascii="宋体" w:hAnsi="宋体" w:cs="宋体"/>
          <w:b/>
          <w:bCs/>
          <w:color w:val="auto"/>
          <w:sz w:val="20"/>
          <w:szCs w:val="20"/>
          <w:highlight w:val="none"/>
        </w:rPr>
        <w:t xml:space="preserve">11.3                                                   </w:t>
      </w:r>
      <w:r>
        <w:rPr>
          <w:rFonts w:hint="eastAsia" w:ascii="宋体" w:hAnsi="宋体" w:cs="宋体"/>
          <w:b/>
          <w:color w:val="auto"/>
          <w:sz w:val="20"/>
          <w:szCs w:val="20"/>
          <w:highlight w:val="none"/>
        </w:rPr>
        <w:t>修改类型：修改</w:t>
      </w:r>
    </w:p>
    <w:p w14:paraId="61F7F56B">
      <w:pPr>
        <w:adjustRightInd w:val="0"/>
        <w:spacing w:line="360" w:lineRule="auto"/>
        <w:ind w:firstLine="402" w:firstLineChars="200"/>
        <w:rPr>
          <w:rFonts w:ascii="宋体" w:hAnsi="宋体"/>
          <w:bCs/>
          <w:color w:val="auto"/>
          <w:sz w:val="20"/>
          <w:szCs w:val="20"/>
          <w:highlight w:val="none"/>
        </w:rPr>
      </w:pPr>
      <w:r>
        <w:rPr>
          <w:rFonts w:hint="eastAsia" w:ascii="宋体" w:hAnsi="宋体" w:cs="宋体"/>
          <w:b/>
          <w:color w:val="auto"/>
          <w:sz w:val="20"/>
          <w:szCs w:val="20"/>
          <w:highlight w:val="none"/>
        </w:rPr>
        <w:t>原文：</w:t>
      </w:r>
      <w:r>
        <w:rPr>
          <w:rFonts w:ascii="宋体" w:hAnsi="宋体"/>
          <w:bCs/>
          <w:color w:val="auto"/>
          <w:sz w:val="20"/>
          <w:szCs w:val="20"/>
          <w:highlight w:val="none"/>
        </w:rPr>
        <w:t xml:space="preserve">11.3 </w:t>
      </w:r>
      <w:r>
        <w:rPr>
          <w:rFonts w:hint="eastAsia" w:ascii="宋体" w:hAnsi="宋体"/>
          <w:bCs/>
          <w:color w:val="auto"/>
          <w:sz w:val="20"/>
          <w:szCs w:val="20"/>
          <w:highlight w:val="none"/>
        </w:rPr>
        <w:t>经济部分投标文件主要包括下列内容：</w:t>
      </w:r>
    </w:p>
    <w:p w14:paraId="0A42C8F3">
      <w:pPr>
        <w:adjustRightInd w:val="0"/>
        <w:spacing w:line="360" w:lineRule="auto"/>
        <w:ind w:firstLine="400" w:firstLineChars="200"/>
        <w:rPr>
          <w:rFonts w:ascii="宋体" w:hAnsi="宋体"/>
          <w:color w:val="auto"/>
          <w:sz w:val="20"/>
          <w:szCs w:val="20"/>
          <w:highlight w:val="none"/>
        </w:rPr>
      </w:pPr>
      <w:r>
        <w:rPr>
          <w:rFonts w:hint="eastAsia" w:ascii="宋体" w:hAnsi="宋体" w:cs="宋体"/>
          <w:color w:val="auto"/>
          <w:sz w:val="20"/>
          <w:szCs w:val="20"/>
          <w:highlight w:val="none"/>
        </w:rPr>
        <w:t>11.3.1 经济标投标文件(按招标文件的要求填写)。</w:t>
      </w:r>
    </w:p>
    <w:p w14:paraId="6DB0314B">
      <w:pPr>
        <w:adjustRightInd w:val="0"/>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11.3.2</w:t>
      </w:r>
      <w:r>
        <w:rPr>
          <w:rFonts w:hint="eastAsia" w:ascii="宋体" w:hAnsi="宋体"/>
          <w:color w:val="auto"/>
          <w:sz w:val="20"/>
          <w:szCs w:val="20"/>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hAnsi="宋体"/>
          <w:color w:val="auto"/>
          <w:sz w:val="20"/>
          <w:szCs w:val="20"/>
          <w:highlight w:val="none"/>
        </w:rPr>
        <w:t xml:space="preserve"> </w:t>
      </w:r>
    </w:p>
    <w:p w14:paraId="05DF9BA9">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w:t>
      </w:r>
      <w:r>
        <w:rPr>
          <w:rFonts w:ascii="宋体" w:hAnsi="宋体"/>
          <w:color w:val="auto"/>
          <w:sz w:val="20"/>
          <w:szCs w:val="20"/>
          <w:highlight w:val="none"/>
        </w:rPr>
        <w:t>1</w:t>
      </w:r>
      <w:r>
        <w:rPr>
          <w:rFonts w:hint="eastAsia" w:ascii="宋体" w:hAnsi="宋体"/>
          <w:color w:val="auto"/>
          <w:sz w:val="20"/>
          <w:szCs w:val="20"/>
          <w:highlight w:val="none"/>
        </w:rPr>
        <w:t>）投标总价封面、扉页；</w:t>
      </w:r>
    </w:p>
    <w:p w14:paraId="76DF1FC6">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w:t>
      </w:r>
      <w:r>
        <w:rPr>
          <w:rFonts w:ascii="宋体" w:hAnsi="宋体"/>
          <w:color w:val="auto"/>
          <w:sz w:val="20"/>
          <w:szCs w:val="20"/>
          <w:highlight w:val="none"/>
        </w:rPr>
        <w:t>2</w:t>
      </w:r>
      <w:r>
        <w:rPr>
          <w:rFonts w:hint="eastAsia" w:ascii="宋体" w:hAnsi="宋体"/>
          <w:color w:val="auto"/>
          <w:sz w:val="20"/>
          <w:szCs w:val="20"/>
          <w:highlight w:val="none"/>
        </w:rPr>
        <w:t>）总说明；</w:t>
      </w:r>
    </w:p>
    <w:p w14:paraId="1629BEE4">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（3）工程项目投标报价汇总表；</w:t>
      </w:r>
    </w:p>
    <w:p w14:paraId="4DEACE66">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（4）单项工程投标报价汇总表；</w:t>
      </w:r>
    </w:p>
    <w:p w14:paraId="655B30C0">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（5）单位工程投标报价汇总表；</w:t>
      </w:r>
    </w:p>
    <w:p w14:paraId="07C47403">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（6）分部分项工程清单与计价表；</w:t>
      </w:r>
    </w:p>
    <w:p w14:paraId="365E8608">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（7）单价措施项目清单与计价表；</w:t>
      </w:r>
    </w:p>
    <w:p w14:paraId="1038CD8F">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（8）总价措施项目清单与计价表；</w:t>
      </w:r>
    </w:p>
    <w:p w14:paraId="68139A3C">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（9）综合单价分析表；</w:t>
      </w:r>
    </w:p>
    <w:p w14:paraId="56E656EC">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（10）其他项目清单与计价汇总表；</w:t>
      </w:r>
    </w:p>
    <w:p w14:paraId="5BC22586">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（11）暂列金额明细表；</w:t>
      </w:r>
    </w:p>
    <w:p w14:paraId="73DEF9E9">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（12）材料（工程设备）暂估价明细表；</w:t>
      </w:r>
    </w:p>
    <w:p w14:paraId="7ADB867F">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（13）专业工程暂估价明细表；</w:t>
      </w:r>
    </w:p>
    <w:p w14:paraId="75DF0569">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（14）计日工表；</w:t>
      </w:r>
    </w:p>
    <w:p w14:paraId="1D611CCF">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（15）总承包服务计价表；</w:t>
      </w:r>
    </w:p>
    <w:p w14:paraId="1709C87D">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（16）规费和税金项目计价表；</w:t>
      </w:r>
    </w:p>
    <w:p w14:paraId="2660F9B5">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 xml:space="preserve"> （17）人工、主要材料和设备一览表</w:t>
      </w:r>
    </w:p>
    <w:p w14:paraId="7E7BEC1F">
      <w:pPr>
        <w:tabs>
          <w:tab w:val="left" w:pos="1125"/>
        </w:tabs>
        <w:adjustRightInd w:val="0"/>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11.3.</w:t>
      </w:r>
      <w:r>
        <w:rPr>
          <w:rFonts w:hint="eastAsia" w:ascii="宋体" w:hAnsi="宋体"/>
          <w:color w:val="auto"/>
          <w:sz w:val="20"/>
          <w:szCs w:val="20"/>
          <w:highlight w:val="none"/>
        </w:rPr>
        <w:t>3按照</w:t>
      </w:r>
      <w:r>
        <w:rPr>
          <w:rFonts w:hint="eastAsia" w:ascii="宋体" w:hAnsi="宋体"/>
          <w:bCs/>
          <w:color w:val="auto"/>
          <w:sz w:val="20"/>
          <w:szCs w:val="20"/>
          <w:highlight w:val="none"/>
        </w:rPr>
        <w:t>招标文件要求</w:t>
      </w:r>
      <w:r>
        <w:rPr>
          <w:rFonts w:hint="eastAsia" w:ascii="宋体" w:hAnsi="宋体"/>
          <w:color w:val="auto"/>
          <w:sz w:val="20"/>
          <w:szCs w:val="20"/>
          <w:highlight w:val="none"/>
        </w:rPr>
        <w:t>填写的《参与编制经济标投标文件人员名单》。</w:t>
      </w:r>
    </w:p>
    <w:p w14:paraId="5AEB0517">
      <w:pPr>
        <w:tabs>
          <w:tab w:val="left" w:pos="1125"/>
        </w:tabs>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11.3.4若投标人的投标报价低于工程成本警戒价的，投标人还须提供详细的施工组织设计、单价、措施性费用、单价分析表、主要材料价格表、投标人成本分析供评标委员会评审。</w:t>
      </w:r>
    </w:p>
    <w:p w14:paraId="50074D5F">
      <w:pPr>
        <w:adjustRightInd w:val="0"/>
        <w:spacing w:line="360" w:lineRule="auto"/>
        <w:ind w:firstLine="402" w:firstLineChars="200"/>
        <w:rPr>
          <w:rFonts w:ascii="宋体" w:hAnsi="宋体"/>
          <w:bCs/>
          <w:color w:val="auto"/>
          <w:sz w:val="20"/>
          <w:szCs w:val="20"/>
          <w:highlight w:val="none"/>
        </w:rPr>
      </w:pPr>
      <w:r>
        <w:rPr>
          <w:rFonts w:hint="eastAsia" w:ascii="宋体" w:hAnsi="宋体" w:cs="宋体"/>
          <w:b/>
          <w:color w:val="auto"/>
          <w:sz w:val="20"/>
          <w:szCs w:val="20"/>
          <w:highlight w:val="none"/>
        </w:rPr>
        <w:t>现文：</w:t>
      </w:r>
      <w:r>
        <w:rPr>
          <w:rFonts w:ascii="宋体" w:hAnsi="宋体"/>
          <w:bCs/>
          <w:color w:val="auto"/>
          <w:sz w:val="20"/>
          <w:szCs w:val="20"/>
          <w:highlight w:val="none"/>
        </w:rPr>
        <w:t xml:space="preserve">11.3 </w:t>
      </w:r>
      <w:r>
        <w:rPr>
          <w:rFonts w:hint="eastAsia" w:ascii="宋体" w:hAnsi="宋体"/>
          <w:bCs/>
          <w:color w:val="auto"/>
          <w:sz w:val="20"/>
          <w:szCs w:val="20"/>
          <w:highlight w:val="none"/>
        </w:rPr>
        <w:t>经济部分投标文件主要包括下列内容：</w:t>
      </w:r>
    </w:p>
    <w:p w14:paraId="12B78DBB">
      <w:pPr>
        <w:adjustRightInd w:val="0"/>
        <w:spacing w:line="360" w:lineRule="auto"/>
        <w:ind w:firstLine="400" w:firstLineChars="200"/>
        <w:rPr>
          <w:rFonts w:hint="eastAsia" w:ascii="宋体" w:hAnsi="宋体"/>
          <w:color w:val="auto"/>
          <w:sz w:val="20"/>
          <w:szCs w:val="20"/>
          <w:highlight w:val="none"/>
          <w:u w:val="single"/>
        </w:rPr>
      </w:pPr>
      <w:r>
        <w:rPr>
          <w:rFonts w:ascii="宋体" w:hAnsi="宋体"/>
          <w:color w:val="auto"/>
          <w:sz w:val="20"/>
          <w:szCs w:val="20"/>
          <w:highlight w:val="none"/>
          <w:u w:val="single"/>
        </w:rPr>
        <w:t>11.3.</w:t>
      </w:r>
      <w:r>
        <w:rPr>
          <w:rFonts w:hint="eastAsia" w:ascii="宋体" w:hAnsi="宋体"/>
          <w:color w:val="auto"/>
          <w:sz w:val="20"/>
          <w:szCs w:val="20"/>
          <w:highlight w:val="none"/>
          <w:u w:val="single"/>
        </w:rPr>
        <w:t>1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具体内容详见第七章工程量清单）。投标人按照广州公共资源交易平台关于全流程电子化项目的相关指引，采用招标人发布的最新版电子招标文件中工程量清单相应的组成及格式等要求，通过广州公共资源交易平台的投标文件管理软件制作生成的电子投标文件工程量清单的组成及格式，视作符合招标文件要求。</w:t>
      </w:r>
    </w:p>
    <w:p w14:paraId="4B125233">
      <w:pPr>
        <w:tabs>
          <w:tab w:val="left" w:pos="1125"/>
        </w:tabs>
        <w:adjustRightInd w:val="0"/>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11.3.</w:t>
      </w:r>
      <w:r>
        <w:rPr>
          <w:rFonts w:hint="eastAsia" w:ascii="宋体" w:hAnsi="宋体"/>
          <w:color w:val="auto"/>
          <w:sz w:val="20"/>
          <w:szCs w:val="20"/>
          <w:highlight w:val="none"/>
          <w:u w:val="single"/>
        </w:rPr>
        <w:t>2按照</w:t>
      </w:r>
      <w:r>
        <w:rPr>
          <w:rFonts w:hint="eastAsia" w:ascii="宋体" w:hAnsi="宋体"/>
          <w:bCs/>
          <w:color w:val="auto"/>
          <w:sz w:val="20"/>
          <w:szCs w:val="20"/>
          <w:highlight w:val="none"/>
          <w:u w:val="single"/>
        </w:rPr>
        <w:t>招标文件要求</w:t>
      </w:r>
      <w:r>
        <w:rPr>
          <w:rFonts w:hint="eastAsia" w:ascii="宋体" w:hAnsi="宋体"/>
          <w:color w:val="auto"/>
          <w:sz w:val="20"/>
          <w:szCs w:val="20"/>
          <w:highlight w:val="none"/>
          <w:u w:val="single"/>
        </w:rPr>
        <w:t>填写的《参与编制经济标投标文件人员名单》（见招标文件第四章 “经济标投标文件格式”格式三）。</w:t>
      </w:r>
    </w:p>
    <w:p w14:paraId="69EBF12B">
      <w:pPr>
        <w:tabs>
          <w:tab w:val="left" w:pos="1125"/>
        </w:tabs>
        <w:adjustRightInd w:val="0"/>
        <w:spacing w:line="360" w:lineRule="auto"/>
        <w:ind w:firstLine="400" w:firstLineChars="200"/>
        <w:rPr>
          <w:rFonts w:hint="eastAsia" w:ascii="宋体" w:hAnsi="宋体"/>
          <w:bCs/>
          <w:color w:val="auto"/>
          <w:sz w:val="20"/>
          <w:szCs w:val="20"/>
          <w:highlight w:val="none"/>
          <w:u w:val="single"/>
        </w:rPr>
      </w:pPr>
      <w:r>
        <w:rPr>
          <w:rFonts w:hint="eastAsia" w:ascii="宋体" w:hAnsi="宋体"/>
          <w:bCs/>
          <w:color w:val="auto"/>
          <w:sz w:val="20"/>
          <w:szCs w:val="20"/>
          <w:highlight w:val="none"/>
          <w:u w:val="single"/>
        </w:rPr>
        <w:t>11.3.3《对投标文件编制的承诺》（见招标文件第四章 “经济标投标文件格式”格式四）。</w:t>
      </w:r>
    </w:p>
    <w:p w14:paraId="4EF4213B">
      <w:pPr>
        <w:pBdr>
          <w:bottom w:val="single" w:color="auto" w:sz="4" w:space="1"/>
        </w:pBdr>
        <w:adjustRightInd w:val="0"/>
        <w:spacing w:line="360" w:lineRule="auto"/>
        <w:ind w:firstLine="400" w:firstLineChars="200"/>
        <w:rPr>
          <w:rFonts w:hint="eastAsia" w:ascii="宋体" w:hAnsi="宋体" w:cs="宋体"/>
          <w:color w:val="auto"/>
          <w:sz w:val="20"/>
          <w:szCs w:val="20"/>
          <w:highlight w:val="none"/>
        </w:rPr>
      </w:pPr>
      <w:r>
        <w:rPr>
          <w:rFonts w:hint="eastAsia" w:ascii="宋体" w:hAnsi="宋体"/>
          <w:color w:val="auto"/>
          <w:sz w:val="20"/>
          <w:szCs w:val="20"/>
          <w:highlight w:val="none"/>
        </w:rPr>
        <w:t>11.3.4若投标人的投标报价低于工程成本警戒价的，投标人还须提供详细的施工组织设计、单价、措施性费用、单价分析表、主要材料价格表、投标人成本分析供评标委员会评审。</w:t>
      </w:r>
    </w:p>
    <w:p w14:paraId="395EED61">
      <w:pPr>
        <w:adjustRightInd w:val="0"/>
        <w:spacing w:line="360" w:lineRule="auto"/>
        <w:ind w:firstLine="392" w:firstLineChars="195"/>
        <w:textAlignment w:val="baseline"/>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条款号：12.2                                                     修改类型：修改</w:t>
      </w:r>
    </w:p>
    <w:p w14:paraId="26BAC2E4">
      <w:pPr>
        <w:adjustRightInd w:val="0"/>
        <w:spacing w:line="360" w:lineRule="auto"/>
        <w:ind w:firstLine="392" w:firstLineChars="195"/>
        <w:textAlignment w:val="baseline"/>
        <w:rPr>
          <w:rFonts w:hint="eastAsia" w:ascii="宋体" w:hAnsi="宋体" w:cs="宋体"/>
          <w:b/>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 xml:space="preserve"> 。</w:t>
      </w:r>
    </w:p>
    <w:p w14:paraId="61456C38">
      <w:pPr>
        <w:pBdr>
          <w:bottom w:val="single" w:color="auto" w:sz="6" w:space="1"/>
        </w:pBdr>
        <w:adjustRightInd w:val="0"/>
        <w:spacing w:line="360" w:lineRule="auto"/>
        <w:ind w:firstLine="392" w:firstLineChars="195"/>
        <w:textAlignment w:val="baseline"/>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12.2投标文件全部采用电子文档，投标文件所附证书证件均为原件</w:t>
      </w:r>
      <w:r>
        <w:rPr>
          <w:rFonts w:hint="eastAsia" w:ascii="宋体" w:hAnsi="宋体" w:cs="宋体"/>
          <w:color w:val="auto"/>
          <w:sz w:val="20"/>
          <w:szCs w:val="20"/>
          <w:highlight w:val="none"/>
          <w:u w:val="single"/>
        </w:rPr>
        <w:t>清晰</w:t>
      </w:r>
      <w:r>
        <w:rPr>
          <w:rFonts w:hint="eastAsia" w:ascii="宋体" w:hAnsi="宋体" w:cs="宋体"/>
          <w:color w:val="auto"/>
          <w:sz w:val="20"/>
          <w:szCs w:val="20"/>
          <w:highlight w:val="none"/>
        </w:rPr>
        <w:t>扫描件，并采用单位数字证书，按招标文件要求在相应位置加盖电子印章。投标文件中需个人签字或盖章的，应加盖个人电子印章或在线下完成后扫描上传。按照</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交易平台关于全流程电子化项目的相关指南进行操作。详见：</w:t>
      </w:r>
      <w:r>
        <w:rPr>
          <w:rFonts w:hint="eastAsia" w:ascii="宋体" w:hAnsi="宋体" w:cs="宋体"/>
          <w:color w:val="auto"/>
          <w:sz w:val="20"/>
          <w:szCs w:val="20"/>
          <w:highlight w:val="none"/>
          <w:u w:val="single"/>
        </w:rPr>
        <w:t>广州交易集团有限公司（广州公共资源交易中心）网站最新指引</w:t>
      </w:r>
      <w:r>
        <w:rPr>
          <w:rFonts w:hint="eastAsia" w:ascii="宋体" w:hAnsi="宋体" w:cs="宋体"/>
          <w:color w:val="auto"/>
          <w:sz w:val="20"/>
          <w:szCs w:val="20"/>
          <w:highlight w:val="none"/>
        </w:rPr>
        <w:t>。</w:t>
      </w:r>
    </w:p>
    <w:p w14:paraId="6BEA3205">
      <w:pPr>
        <w:pBdr>
          <w:bottom w:val="single" w:color="auto" w:sz="6" w:space="1"/>
        </w:pBdr>
        <w:adjustRightInd w:val="0"/>
        <w:spacing w:line="360" w:lineRule="auto"/>
        <w:ind w:firstLine="392" w:firstLineChars="195"/>
        <w:textAlignment w:val="baseline"/>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注释：投标文件电子文档需要投标人单位盖章的材料，投标人加盖电子印章即可，不得将投标人未对电子文档加盖实物印章作为否决投标的情形。</w:t>
      </w:r>
    </w:p>
    <w:p w14:paraId="0C02E83A">
      <w:pPr>
        <w:spacing w:line="360" w:lineRule="auto"/>
        <w:ind w:firstLine="392" w:firstLineChars="195"/>
        <w:textAlignment w:val="baseline"/>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条款号：12.3                                                       修改类型：修改</w:t>
      </w:r>
    </w:p>
    <w:p w14:paraId="0E0E8BCE">
      <w:pPr>
        <w:spacing w:line="360" w:lineRule="auto"/>
        <w:ind w:firstLine="392" w:firstLineChars="195"/>
        <w:textAlignment w:val="baseline"/>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12.3投标文件应按照交易平台关于全流程电子化项目的相关指南进行编制，详见：</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w:t>
      </w:r>
    </w:p>
    <w:p w14:paraId="5D0D4262">
      <w:pPr>
        <w:spacing w:line="360" w:lineRule="auto"/>
        <w:ind w:firstLine="390" w:firstLineChars="195"/>
        <w:textAlignment w:val="baseline"/>
        <w:rPr>
          <w:rFonts w:hint="eastAsia" w:ascii="宋体" w:hAnsi="宋体" w:cs="宋体"/>
          <w:b/>
          <w:color w:val="auto"/>
          <w:sz w:val="20"/>
          <w:szCs w:val="20"/>
          <w:highlight w:val="none"/>
        </w:rPr>
      </w:pPr>
      <w:r>
        <w:rPr>
          <w:rFonts w:hint="eastAsia" w:ascii="宋体" w:hAnsi="宋体" w:cs="宋体"/>
          <w:bCs/>
          <w:color w:val="auto"/>
          <w:sz w:val="20"/>
          <w:szCs w:val="20"/>
          <w:highlight w:val="none"/>
        </w:rPr>
        <w:t>如不按上述要求编制引起系统无法检索、读取相关信息的，其后果由投标人承担。</w:t>
      </w:r>
    </w:p>
    <w:p w14:paraId="41203484">
      <w:pPr>
        <w:pBdr>
          <w:bottom w:val="single" w:color="auto" w:sz="6" w:space="1"/>
        </w:pBdr>
        <w:spacing w:line="360" w:lineRule="auto"/>
        <w:ind w:firstLine="392" w:firstLineChars="195"/>
        <w:textAlignment w:val="baseline"/>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12.3</w:t>
      </w:r>
      <w:r>
        <w:rPr>
          <w:rFonts w:hint="eastAsia" w:ascii="宋体" w:hAnsi="宋体" w:cs="宋体"/>
          <w:bCs/>
          <w:color w:val="auto"/>
          <w:sz w:val="20"/>
          <w:szCs w:val="20"/>
          <w:highlight w:val="none"/>
        </w:rPr>
        <w:t>投标文件应按</w:t>
      </w:r>
      <w:r>
        <w:rPr>
          <w:rFonts w:hint="eastAsia" w:ascii="宋体" w:hAnsi="宋体" w:cs="宋体"/>
          <w:color w:val="auto"/>
          <w:sz w:val="20"/>
          <w:szCs w:val="20"/>
          <w:highlight w:val="none"/>
        </w:rPr>
        <w:t>照</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交易平台关于全流程电子化项目的相关指南进行编制，详见：</w:t>
      </w:r>
      <w:r>
        <w:rPr>
          <w:rFonts w:hint="eastAsia" w:ascii="宋体" w:hAnsi="宋体" w:cs="宋体"/>
          <w:color w:val="auto"/>
          <w:sz w:val="20"/>
          <w:szCs w:val="20"/>
          <w:highlight w:val="none"/>
          <w:u w:val="single"/>
        </w:rPr>
        <w:t>广州交易集团有限公司（广州公共资源交易中心）网站最新指引</w:t>
      </w:r>
      <w:r>
        <w:rPr>
          <w:rFonts w:hint="eastAsia" w:ascii="宋体" w:hAnsi="宋体" w:cs="宋体"/>
          <w:color w:val="auto"/>
          <w:sz w:val="20"/>
          <w:szCs w:val="20"/>
          <w:highlight w:val="none"/>
        </w:rPr>
        <w:t>。</w:t>
      </w:r>
    </w:p>
    <w:p w14:paraId="04AA36A2">
      <w:pPr>
        <w:pBdr>
          <w:bottom w:val="single" w:color="auto" w:sz="6" w:space="1"/>
        </w:pBdr>
        <w:spacing w:line="360" w:lineRule="auto"/>
        <w:ind w:firstLine="390" w:firstLineChars="195"/>
        <w:textAlignment w:val="baseline"/>
        <w:rPr>
          <w:rFonts w:hint="eastAsia" w:ascii="宋体" w:hAnsi="宋体" w:cs="宋体"/>
          <w:b/>
          <w:color w:val="auto"/>
          <w:sz w:val="20"/>
          <w:szCs w:val="20"/>
          <w:highlight w:val="none"/>
        </w:rPr>
      </w:pPr>
      <w:r>
        <w:rPr>
          <w:rFonts w:hint="eastAsia" w:ascii="宋体" w:hAnsi="宋体" w:cs="宋体"/>
          <w:bCs/>
          <w:color w:val="auto"/>
          <w:sz w:val="20"/>
          <w:szCs w:val="20"/>
          <w:highlight w:val="none"/>
        </w:rPr>
        <w:t>如不按上述要求编制引起系统无法检索、读取相关信息的，其后果由投标人承担。</w:t>
      </w:r>
    </w:p>
    <w:p w14:paraId="75FE60B6">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条款号：13.1                                                      修改类型：修改</w:t>
      </w:r>
    </w:p>
    <w:p w14:paraId="6EC907F3">
      <w:pPr>
        <w:pBdr>
          <w:bottom w:val="single" w:color="auto" w:sz="6" w:space="1"/>
        </w:pBdr>
        <w:spacing w:line="360" w:lineRule="auto"/>
        <w:ind w:firstLine="392" w:firstLineChars="195"/>
        <w:rPr>
          <w:rFonts w:hint="eastAsia" w:ascii="宋体" w:hAnsi="宋体" w:cs="宋体"/>
          <w:color w:val="auto"/>
          <w:sz w:val="20"/>
          <w:szCs w:val="20"/>
          <w:highlight w:val="none"/>
          <w:u w:val="singl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13.1本工程的投标报价采用投标须知前附表第12项所规定的方式。投标报价（含单价及总价）精确到“分”。</w:t>
      </w:r>
    </w:p>
    <w:p w14:paraId="378D332D">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13.1本工程的投标报价采用投标须知前附表第12项所规定的方式。</w:t>
      </w:r>
      <w:r>
        <w:rPr>
          <w:rFonts w:hint="eastAsia" w:ascii="宋体" w:hAnsi="宋体" w:cs="宋体"/>
          <w:color w:val="auto"/>
          <w:sz w:val="20"/>
          <w:szCs w:val="20"/>
          <w:highlight w:val="none"/>
          <w:u w:val="single"/>
        </w:rPr>
        <w:t>投标文件中的大写金额和小写金额不一致的，以大写金额为准。</w:t>
      </w:r>
      <w:r>
        <w:rPr>
          <w:rFonts w:hint="eastAsia" w:ascii="宋体" w:hAnsi="宋体" w:cs="宋体"/>
          <w:color w:val="auto"/>
          <w:sz w:val="20"/>
          <w:szCs w:val="20"/>
          <w:highlight w:val="none"/>
        </w:rPr>
        <w:t>投标报价（含单价及总价）精确到“分”。</w:t>
      </w:r>
      <w:r>
        <w:rPr>
          <w:rFonts w:hint="eastAsia" w:ascii="宋体" w:hAnsi="宋体" w:cs="宋体"/>
          <w:color w:val="auto"/>
          <w:sz w:val="20"/>
          <w:szCs w:val="20"/>
          <w:highlight w:val="none"/>
          <w:u w:val="single"/>
        </w:rPr>
        <w:t>本项目实行双限价。投标人的</w:t>
      </w:r>
      <w:r>
        <w:rPr>
          <w:rFonts w:hint="eastAsia" w:ascii="宋体" w:hAnsi="宋体" w:cs="宋体"/>
          <w:color w:val="auto"/>
          <w:szCs w:val="21"/>
          <w:highlight w:val="none"/>
          <w:u w:val="single"/>
        </w:rPr>
        <w:t>投标总报价、</w:t>
      </w:r>
      <w:r>
        <w:rPr>
          <w:rFonts w:hint="eastAsia"/>
          <w:color w:val="auto"/>
          <w:szCs w:val="21"/>
          <w:highlight w:val="none"/>
          <w:u w:val="single"/>
        </w:rPr>
        <w:t>建安工程费报价</w:t>
      </w:r>
      <w:r>
        <w:rPr>
          <w:rFonts w:hint="eastAsia" w:ascii="宋体" w:hAnsi="宋体" w:cs="宋体"/>
          <w:color w:val="auto"/>
          <w:szCs w:val="21"/>
          <w:highlight w:val="none"/>
          <w:u w:val="single"/>
        </w:rPr>
        <w:t>及各分部分项工程综合单价、</w:t>
      </w:r>
      <w:r>
        <w:rPr>
          <w:rFonts w:hint="eastAsia"/>
          <w:color w:val="auto"/>
          <w:szCs w:val="21"/>
          <w:highlight w:val="none"/>
          <w:u w:val="single"/>
        </w:rPr>
        <w:t>BIM应用费报价</w:t>
      </w:r>
      <w:r>
        <w:rPr>
          <w:rFonts w:hint="eastAsia" w:ascii="宋体" w:hAnsi="宋体" w:cs="宋体"/>
          <w:color w:val="auto"/>
          <w:szCs w:val="21"/>
          <w:highlight w:val="none"/>
          <w:u w:val="single"/>
        </w:rPr>
        <w:t>高于招标人公布的最高投标限价中对应的总价、</w:t>
      </w:r>
      <w:r>
        <w:rPr>
          <w:rFonts w:hint="eastAsia"/>
          <w:color w:val="auto"/>
          <w:szCs w:val="21"/>
          <w:highlight w:val="none"/>
          <w:u w:val="single"/>
        </w:rPr>
        <w:t>建安工程费及</w:t>
      </w:r>
      <w:r>
        <w:rPr>
          <w:rFonts w:hint="eastAsia" w:ascii="宋体" w:hAnsi="宋体" w:cs="宋体"/>
          <w:color w:val="auto"/>
          <w:szCs w:val="21"/>
          <w:highlight w:val="none"/>
          <w:u w:val="single"/>
        </w:rPr>
        <w:t>分部分项工程综合单价、</w:t>
      </w:r>
      <w:r>
        <w:rPr>
          <w:rFonts w:hint="eastAsia"/>
          <w:color w:val="auto"/>
          <w:szCs w:val="21"/>
          <w:highlight w:val="none"/>
          <w:u w:val="single"/>
        </w:rPr>
        <w:t>BIM应用费</w:t>
      </w:r>
      <w:r>
        <w:rPr>
          <w:rFonts w:hint="eastAsia" w:ascii="宋体" w:hAnsi="宋体" w:cs="宋体"/>
          <w:color w:val="auto"/>
          <w:szCs w:val="21"/>
          <w:highlight w:val="none"/>
          <w:u w:val="single"/>
        </w:rPr>
        <w:t>的投标文件将被拒绝。</w:t>
      </w:r>
    </w:p>
    <w:p w14:paraId="4A983273">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条款号：13.3                                                     修改类型：修改</w:t>
      </w:r>
    </w:p>
    <w:p w14:paraId="0C01B341">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8AAAD05">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color w:val="auto"/>
          <w:sz w:val="20"/>
          <w:szCs w:val="20"/>
          <w:highlight w:val="none"/>
          <w:u w:val="single"/>
        </w:rPr>
        <w:t>提供的招标图纸（包括有关于本项目招标的相关资料）及</w:t>
      </w:r>
      <w:r>
        <w:rPr>
          <w:rFonts w:hint="eastAsia" w:ascii="宋体" w:hAnsi="宋体" w:cs="宋体"/>
          <w:color w:val="auto"/>
          <w:sz w:val="20"/>
          <w:szCs w:val="20"/>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C4EF13B">
      <w:pPr>
        <w:spacing w:line="360" w:lineRule="auto"/>
        <w:ind w:firstLine="450" w:firstLineChars="224"/>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w:t>
      </w:r>
      <w:r>
        <w:rPr>
          <w:rFonts w:hint="eastAsia" w:ascii="宋体" w:hAnsi="宋体" w:cs="宋体"/>
          <w:b/>
          <w:bCs/>
          <w:color w:val="auto"/>
          <w:sz w:val="20"/>
          <w:szCs w:val="20"/>
          <w:highlight w:val="none"/>
        </w:rPr>
        <w:t xml:space="preserve">13.4 </w:t>
      </w:r>
      <w:r>
        <w:rPr>
          <w:rFonts w:hint="eastAsia" w:ascii="宋体" w:hAnsi="宋体" w:cs="宋体"/>
          <w:b/>
          <w:color w:val="auto"/>
          <w:sz w:val="20"/>
          <w:szCs w:val="20"/>
          <w:highlight w:val="none"/>
        </w:rPr>
        <w:t xml:space="preserve">                                                   修改类型：修改</w:t>
      </w:r>
    </w:p>
    <w:p w14:paraId="0A6D19F1">
      <w:pPr>
        <w:spacing w:line="360" w:lineRule="auto"/>
        <w:ind w:firstLine="450" w:firstLineChars="224"/>
        <w:rPr>
          <w:rFonts w:hint="eastAsia" w:ascii="宋体" w:hAnsi="宋体" w:cs="宋体"/>
          <w:b/>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6A0E3B6">
      <w:pPr>
        <w:pBdr>
          <w:bottom w:val="single" w:color="auto" w:sz="6" w:space="1"/>
        </w:pBdr>
        <w:spacing w:line="360" w:lineRule="auto"/>
        <w:ind w:firstLine="502" w:firstLineChars="250"/>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bCs/>
          <w:color w:val="auto"/>
          <w:sz w:val="20"/>
          <w:szCs w:val="20"/>
          <w:highlight w:val="none"/>
        </w:rPr>
        <w:t>13.4</w:t>
      </w:r>
      <w:r>
        <w:rPr>
          <w:rFonts w:hint="eastAsia" w:ascii="宋体" w:hAnsi="宋体"/>
          <w:color w:val="auto"/>
          <w:sz w:val="20"/>
          <w:szCs w:val="20"/>
          <w:highlight w:val="none"/>
        </w:rPr>
        <w:t>投标人一旦中标，投标人对招标人提供的招标工程量清单中列出的工程项目所报出的综合单价，</w:t>
      </w:r>
      <w:r>
        <w:rPr>
          <w:rFonts w:hint="eastAsia" w:ascii="宋体" w:hAnsi="宋体"/>
          <w:color w:val="auto"/>
          <w:sz w:val="20"/>
          <w:szCs w:val="20"/>
          <w:highlight w:val="none"/>
          <w:u w:val="single"/>
        </w:rPr>
        <w:t>除招标文件第三章合同条款另有约定外</w:t>
      </w:r>
      <w:r>
        <w:rPr>
          <w:rFonts w:hint="eastAsia" w:ascii="宋体" w:hAnsi="宋体"/>
          <w:color w:val="auto"/>
          <w:sz w:val="20"/>
          <w:szCs w:val="20"/>
          <w:highlight w:val="none"/>
        </w:rPr>
        <w:t>，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olor w:val="auto"/>
          <w:sz w:val="20"/>
          <w:szCs w:val="20"/>
          <w:highlight w:val="none"/>
          <w:u w:val="single"/>
        </w:rPr>
        <w:t>按招标文件第三章合同条款相关约定调整</w:t>
      </w:r>
      <w:r>
        <w:rPr>
          <w:rFonts w:hint="eastAsia" w:ascii="宋体" w:hAnsi="宋体"/>
          <w:color w:val="auto"/>
          <w:sz w:val="20"/>
          <w:szCs w:val="20"/>
          <w:highlight w:val="none"/>
        </w:rPr>
        <w:t>。</w:t>
      </w:r>
    </w:p>
    <w:p w14:paraId="62BD6F3E">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条款号：13.5                                                      修改类型：修改</w:t>
      </w:r>
    </w:p>
    <w:p w14:paraId="2A4A43CB">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295F178">
      <w:pPr>
        <w:pBdr>
          <w:bottom w:val="single" w:color="auto" w:sz="6" w:space="1"/>
        </w:pBdr>
        <w:spacing w:line="360" w:lineRule="auto"/>
        <w:ind w:firstLine="390" w:firstLineChars="195"/>
        <w:rPr>
          <w:rFonts w:hint="eastAsia" w:ascii="宋体" w:hAnsi="宋体" w:cs="宋体"/>
          <w:color w:val="auto"/>
          <w:sz w:val="20"/>
          <w:szCs w:val="20"/>
          <w:highlight w:val="none"/>
        </w:rPr>
      </w:pPr>
      <w:r>
        <w:rPr>
          <w:rFonts w:hint="eastAsia" w:ascii="宋体" w:hAnsi="宋体" w:cs="宋体"/>
          <w:color w:val="auto"/>
          <w:sz w:val="20"/>
          <w:szCs w:val="20"/>
          <w:highlight w:val="none"/>
        </w:rPr>
        <w:t>13.5.1中标的投标文件工程量清单中已有相同项目的适用综合单价，则沿用；</w:t>
      </w:r>
    </w:p>
    <w:p w14:paraId="0462FC0B">
      <w:pPr>
        <w:pBdr>
          <w:bottom w:val="single" w:color="auto" w:sz="6" w:space="1"/>
        </w:pBdr>
        <w:spacing w:line="360" w:lineRule="auto"/>
        <w:ind w:firstLine="390" w:firstLineChars="195"/>
        <w:rPr>
          <w:rFonts w:hint="eastAsia" w:ascii="宋体" w:hAnsi="宋体" w:cs="宋体"/>
          <w:color w:val="auto"/>
          <w:sz w:val="20"/>
          <w:szCs w:val="20"/>
          <w:highlight w:val="none"/>
        </w:rPr>
      </w:pPr>
      <w:r>
        <w:rPr>
          <w:rFonts w:hint="eastAsia" w:ascii="宋体" w:hAnsi="宋体" w:cs="宋体"/>
          <w:color w:val="auto"/>
          <w:sz w:val="20"/>
          <w:szCs w:val="20"/>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DDBF489">
      <w:pPr>
        <w:pBdr>
          <w:bottom w:val="single" w:color="auto" w:sz="6" w:space="1"/>
        </w:pBdr>
        <w:spacing w:line="360" w:lineRule="auto"/>
        <w:ind w:firstLine="390" w:firstLineChars="195"/>
        <w:rPr>
          <w:rFonts w:hint="eastAsia" w:ascii="宋体" w:hAnsi="宋体" w:cs="宋体"/>
          <w:color w:val="auto"/>
          <w:sz w:val="20"/>
          <w:szCs w:val="20"/>
          <w:highlight w:val="none"/>
        </w:rPr>
      </w:pPr>
      <w:r>
        <w:rPr>
          <w:rFonts w:hint="eastAsia" w:ascii="宋体" w:hAnsi="宋体" w:cs="宋体"/>
          <w:color w:val="auto"/>
          <w:sz w:val="20"/>
          <w:szCs w:val="20"/>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14:paraId="4335914F">
      <w:pPr>
        <w:pBdr>
          <w:bottom w:val="single" w:color="auto" w:sz="6" w:space="1"/>
        </w:pBdr>
        <w:spacing w:line="360" w:lineRule="auto"/>
        <w:ind w:firstLine="390" w:firstLineChars="195"/>
        <w:rPr>
          <w:rFonts w:hint="eastAsia" w:ascii="宋体" w:hAnsi="宋体" w:cs="宋体"/>
          <w:color w:val="auto"/>
          <w:sz w:val="20"/>
          <w:szCs w:val="20"/>
          <w:highlight w:val="none"/>
          <w:u w:val="single"/>
        </w:rPr>
      </w:pPr>
      <w:r>
        <w:rPr>
          <w:rFonts w:hint="eastAsia" w:ascii="宋体" w:hAnsi="宋体" w:cs="宋体"/>
          <w:color w:val="auto"/>
          <w:sz w:val="20"/>
          <w:szCs w:val="20"/>
          <w:highlight w:val="none"/>
        </w:rPr>
        <w:t>13.5.4 如相关定额没有相应子目的，其计价方式由招标人在本招标文件第三章中另行规定。未规定的，中标后双方协商约定。</w:t>
      </w:r>
    </w:p>
    <w:p w14:paraId="507F921C">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13.5</w:t>
      </w:r>
      <w:r>
        <w:rPr>
          <w:rFonts w:hint="eastAsia" w:ascii="宋体" w:hAnsi="宋体" w:cs="宋体"/>
          <w:color w:val="auto"/>
          <w:sz w:val="20"/>
          <w:szCs w:val="20"/>
          <w:highlight w:val="none"/>
          <w:u w:val="single"/>
        </w:rPr>
        <w:t>变更结算方式按招标文件第三章合同条款相关规定执行。</w:t>
      </w:r>
    </w:p>
    <w:p w14:paraId="1A9C9C49">
      <w:pPr>
        <w:adjustRightInd w:val="0"/>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条款号：15.2                                                     修改类型：修改</w:t>
      </w:r>
    </w:p>
    <w:p w14:paraId="6688D181">
      <w:pPr>
        <w:adjustRightInd w:val="0"/>
        <w:spacing w:line="360" w:lineRule="auto"/>
        <w:ind w:firstLine="402" w:firstLineChars="200"/>
        <w:rPr>
          <w:rFonts w:hint="eastAsia" w:ascii="宋体" w:hAnsi="宋体" w:cs="宋体"/>
          <w:color w:val="auto"/>
          <w:sz w:val="20"/>
          <w:szCs w:val="20"/>
          <w:highlight w:val="none"/>
        </w:rPr>
      </w:pPr>
      <w:r>
        <w:rPr>
          <w:rFonts w:hint="eastAsia" w:ascii="宋体" w:hAnsi="宋体" w:cs="宋体"/>
          <w:b/>
          <w:bCs/>
          <w:color w:val="auto"/>
          <w:sz w:val="20"/>
          <w:szCs w:val="20"/>
          <w:highlight w:val="none"/>
        </w:rPr>
        <w:t>原文：</w:t>
      </w:r>
      <w:r>
        <w:rPr>
          <w:rFonts w:hint="eastAsia" w:ascii="宋体" w:hAnsi="宋体" w:cs="宋体"/>
          <w:color w:val="auto"/>
          <w:sz w:val="20"/>
          <w:szCs w:val="20"/>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s="宋体"/>
          <w:color w:val="auto"/>
          <w:sz w:val="20"/>
          <w:szCs w:val="20"/>
          <w:highlight w:val="none"/>
        </w:rPr>
        <w:t>16</w:t>
      </w:r>
      <w:r>
        <w:rPr>
          <w:rFonts w:hint="eastAsia" w:ascii="宋体" w:hAnsi="宋体" w:cs="宋体"/>
          <w:color w:val="auto"/>
          <w:sz w:val="20"/>
          <w:szCs w:val="20"/>
          <w:highlight w:val="none"/>
        </w:rPr>
        <w:t>条关于投标保证金的退还与不予退还的规定仍然适用。</w:t>
      </w:r>
    </w:p>
    <w:p w14:paraId="3B351A05">
      <w:pPr>
        <w:pBdr>
          <w:bottom w:val="single" w:color="auto" w:sz="6" w:space="1"/>
        </w:pBdr>
        <w:adjustRightInd w:val="0"/>
        <w:spacing w:line="360" w:lineRule="auto"/>
        <w:ind w:firstLine="402" w:firstLineChars="200"/>
        <w:rPr>
          <w:rFonts w:hint="eastAsia" w:ascii="宋体" w:hAnsi="宋体" w:cs="宋体"/>
          <w:color w:val="auto"/>
          <w:sz w:val="20"/>
          <w:szCs w:val="20"/>
          <w:highlight w:val="none"/>
        </w:rPr>
      </w:pPr>
      <w:r>
        <w:rPr>
          <w:rFonts w:hint="eastAsia" w:ascii="宋体" w:hAnsi="宋体" w:cs="宋体"/>
          <w:b/>
          <w:bCs/>
          <w:color w:val="auto"/>
          <w:sz w:val="20"/>
          <w:szCs w:val="20"/>
          <w:highlight w:val="none"/>
        </w:rPr>
        <w:t>现文：</w:t>
      </w:r>
      <w:r>
        <w:rPr>
          <w:rFonts w:hint="eastAsia" w:ascii="宋体" w:hAnsi="宋体" w:cs="宋体"/>
          <w:color w:val="auto"/>
          <w:sz w:val="20"/>
          <w:szCs w:val="20"/>
          <w:highlight w:val="none"/>
        </w:rPr>
        <w:t>15.2在特殊情况下，招标人在原定投标有效期内，可以根据需要以书面形式向投标人提出延长投标有效期的要求，对此要求投标人须以书面形式予以答复。投标人可以拒绝招标人这种要求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cs="宋体"/>
          <w:color w:val="auto"/>
          <w:sz w:val="20"/>
          <w:szCs w:val="20"/>
          <w:highlight w:val="none"/>
          <w:u w:val="single"/>
        </w:rPr>
        <w:t>。同意延长投标有效期的投标人既不能要求也不允许修改其投标文件。</w:t>
      </w:r>
    </w:p>
    <w:p w14:paraId="14FABDDD">
      <w:pPr>
        <w:adjustRightInd w:val="0"/>
        <w:spacing w:line="360" w:lineRule="auto"/>
        <w:ind w:firstLine="402" w:firstLineChars="200"/>
        <w:rPr>
          <w:rFonts w:hint="eastAsia" w:ascii="宋体" w:hAnsi="宋体"/>
          <w:b/>
          <w:color w:val="auto"/>
          <w:sz w:val="20"/>
          <w:szCs w:val="20"/>
          <w:highlight w:val="none"/>
        </w:rPr>
      </w:pPr>
      <w:r>
        <w:rPr>
          <w:rFonts w:hint="eastAsia" w:ascii="宋体" w:hAnsi="宋体"/>
          <w:b/>
          <w:color w:val="auto"/>
          <w:sz w:val="20"/>
          <w:szCs w:val="20"/>
          <w:highlight w:val="none"/>
        </w:rPr>
        <w:t>条款号：16</w:t>
      </w:r>
      <w:r>
        <w:rPr>
          <w:rFonts w:hint="eastAsia" w:ascii="宋体" w:hAnsi="宋体" w:cs="宋体"/>
          <w:b/>
          <w:bCs/>
          <w:color w:val="auto"/>
          <w:sz w:val="20"/>
          <w:szCs w:val="20"/>
          <w:highlight w:val="none"/>
        </w:rPr>
        <w:t xml:space="preserve">                                                       </w:t>
      </w:r>
      <w:r>
        <w:rPr>
          <w:rFonts w:ascii="宋体" w:hAnsi="宋体" w:cs="宋体"/>
          <w:b/>
          <w:bCs/>
          <w:color w:val="auto"/>
          <w:sz w:val="20"/>
          <w:szCs w:val="20"/>
          <w:highlight w:val="none"/>
        </w:rPr>
        <w:t xml:space="preserve"> </w:t>
      </w:r>
      <w:r>
        <w:rPr>
          <w:rFonts w:hint="eastAsia" w:ascii="宋体" w:hAnsi="宋体"/>
          <w:b/>
          <w:color w:val="auto"/>
          <w:sz w:val="20"/>
          <w:szCs w:val="20"/>
          <w:highlight w:val="none"/>
        </w:rPr>
        <w:t>修改类型：修改</w:t>
      </w:r>
    </w:p>
    <w:p w14:paraId="588951A7">
      <w:pPr>
        <w:pStyle w:val="48"/>
        <w:adjustRightInd w:val="0"/>
        <w:spacing w:after="0" w:line="360" w:lineRule="auto"/>
        <w:ind w:firstLine="400" w:firstLineChars="200"/>
        <w:rPr>
          <w:rFonts w:ascii="宋体" w:hAnsi="宋体"/>
          <w:b/>
          <w:bCs/>
          <w:color w:val="auto"/>
          <w:szCs w:val="20"/>
          <w:highlight w:val="none"/>
        </w:rPr>
      </w:pPr>
      <w:r>
        <w:rPr>
          <w:rFonts w:hint="eastAsia" w:ascii="宋体" w:hAnsi="宋体"/>
          <w:b/>
          <w:color w:val="auto"/>
          <w:szCs w:val="20"/>
          <w:highlight w:val="none"/>
        </w:rPr>
        <w:t>原文：</w:t>
      </w:r>
      <w:r>
        <w:rPr>
          <w:rFonts w:ascii="宋体" w:hAnsi="宋体"/>
          <w:b/>
          <w:color w:val="auto"/>
          <w:szCs w:val="20"/>
          <w:highlight w:val="none"/>
        </w:rPr>
        <w:t>16</w:t>
      </w:r>
      <w:r>
        <w:rPr>
          <w:rFonts w:hint="eastAsia" w:ascii="宋体" w:hAnsi="宋体"/>
          <w:b/>
          <w:color w:val="auto"/>
          <w:szCs w:val="20"/>
          <w:highlight w:val="none"/>
        </w:rPr>
        <w:t>．投标保证金</w:t>
      </w:r>
    </w:p>
    <w:p w14:paraId="039CB720">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16.1投标人应按投标须知前附表第14项所述金额和时间递交投标保证金。招标人应当允许投标人自主选择现金、银行保函、保证保险、专业工程担保公司担保等方式缴纳投标保证金。</w:t>
      </w:r>
    </w:p>
    <w:p w14:paraId="06BF65E0">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16.1.1 采用现金或者支票形式提交的，投标保证金须从投标人的银行基本账户转出。</w:t>
      </w:r>
    </w:p>
    <w:p w14:paraId="0833AFC2">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395F458">
      <w:pPr>
        <w:adjustRightInd w:val="0"/>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16.1.3 采用电子形式的保函、担保或保证保险提交投标保证金的，应在招标文件中明确电子递交途径。</w:t>
      </w:r>
    </w:p>
    <w:p w14:paraId="072AD7F4">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5CB1A5E">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16.3投标保证金应依据法律法规的相关规定退还。</w:t>
      </w:r>
    </w:p>
    <w:p w14:paraId="51CE1571">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16.4如有下列情况之一的，招标人可以不予退还投标保证金（是否退还投标保证金由招标人在招标文件中规定）：</w:t>
      </w:r>
    </w:p>
    <w:p w14:paraId="6A4E1602">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16.4.1因投标人原因造成投标文件未解密的；</w:t>
      </w:r>
    </w:p>
    <w:p w14:paraId="401D77A2">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16.4.2投标人在投标有效期内撤销投标文件；</w:t>
      </w:r>
    </w:p>
    <w:p w14:paraId="41A91569">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16.4.3中标人未能在规定期限内按要求提交履约担保；</w:t>
      </w:r>
    </w:p>
    <w:p w14:paraId="4BD951F3">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16.4.4中标人未能在规定期限内签署合同协议。</w:t>
      </w:r>
    </w:p>
    <w:p w14:paraId="346DEBC0">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16.5投标人如存在下列情况之一的，将被拒绝在一定时期内参与招标人后续工程投标（拒绝时限需在招标文件中明确）：</w:t>
      </w:r>
    </w:p>
    <w:p w14:paraId="3176C9F8">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16.5.1投标人存在16.4条款所列情形且投标人提交的保函、担保或保证保险无法兑付的；</w:t>
      </w:r>
    </w:p>
    <w:p w14:paraId="27356745">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16.5.2采用非电子形式提交投标保证金的投标人存在16.4条款所列情形，且未按招标人要求补交银行保函、专业工程担保公司担保或保证保险原件的；</w:t>
      </w:r>
    </w:p>
    <w:p w14:paraId="7330D3F9">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16.5.3按招标文件要求免于提供投标保证金的投标人存在16.4条款所列情形，且未按招标人要求补交投标保证金的；</w:t>
      </w:r>
    </w:p>
    <w:p w14:paraId="1BCA6220">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16.5.3按招标文件要求免于提供投标保证金的投标人存在16.4条款所列情形的。</w:t>
      </w:r>
    </w:p>
    <w:p w14:paraId="7A7D3FEA">
      <w:pPr>
        <w:adjustRightInd w:val="0"/>
        <w:spacing w:line="360" w:lineRule="auto"/>
        <w:ind w:firstLine="400" w:firstLineChars="200"/>
        <w:rPr>
          <w:rFonts w:hint="eastAsia" w:ascii="宋体" w:hAnsi="宋体"/>
          <w:color w:val="auto"/>
          <w:sz w:val="20"/>
          <w:szCs w:val="20"/>
          <w:highlight w:val="none"/>
        </w:rPr>
      </w:pPr>
      <w:r>
        <w:rPr>
          <w:rFonts w:hint="eastAsia" w:ascii="宋体" w:hAnsi="宋体"/>
          <w:color w:val="auto"/>
          <w:sz w:val="20"/>
          <w:szCs w:val="20"/>
          <w:highlight w:val="none"/>
        </w:rPr>
        <w:t>注：16.5.3款由招标人二选一，需在招标文件中明确。</w:t>
      </w:r>
    </w:p>
    <w:p w14:paraId="23A73F3D">
      <w:pPr>
        <w:pBdr>
          <w:bottom w:val="single" w:color="auto" w:sz="4" w:space="0"/>
        </w:pBdr>
        <w:adjustRightInd w:val="0"/>
        <w:spacing w:line="360" w:lineRule="auto"/>
        <w:ind w:firstLine="402" w:firstLineChars="200"/>
        <w:rPr>
          <w:rFonts w:hint="eastAsia" w:ascii="宋体" w:hAnsi="宋体"/>
          <w:color w:val="auto"/>
          <w:sz w:val="20"/>
          <w:szCs w:val="20"/>
          <w:highlight w:val="none"/>
        </w:rPr>
      </w:pPr>
      <w:r>
        <w:rPr>
          <w:rFonts w:hint="eastAsia" w:ascii="宋体" w:hAnsi="宋体" w:cs="宋体"/>
          <w:b/>
          <w:bCs/>
          <w:color w:val="auto"/>
          <w:sz w:val="20"/>
          <w:szCs w:val="20"/>
          <w:highlight w:val="none"/>
        </w:rPr>
        <w:t>现文</w:t>
      </w:r>
      <w:r>
        <w:rPr>
          <w:rFonts w:hint="eastAsia" w:ascii="宋体" w:hAnsi="宋体" w:cs="宋体"/>
          <w:color w:val="auto"/>
          <w:sz w:val="20"/>
          <w:szCs w:val="20"/>
          <w:highlight w:val="none"/>
        </w:rPr>
        <w:t>：</w:t>
      </w:r>
      <w:r>
        <w:rPr>
          <w:rFonts w:ascii="宋体" w:hAnsi="宋体" w:cs="宋体"/>
          <w:b/>
          <w:bCs/>
          <w:color w:val="auto"/>
          <w:sz w:val="20"/>
          <w:szCs w:val="20"/>
          <w:highlight w:val="none"/>
        </w:rPr>
        <w:t>16</w:t>
      </w:r>
      <w:r>
        <w:rPr>
          <w:rFonts w:hint="eastAsia" w:ascii="宋体" w:hAnsi="宋体" w:cs="宋体"/>
          <w:b/>
          <w:bCs/>
          <w:color w:val="auto"/>
          <w:sz w:val="20"/>
          <w:szCs w:val="20"/>
          <w:highlight w:val="none"/>
        </w:rPr>
        <w:t>．投标保证金</w:t>
      </w:r>
    </w:p>
    <w:p w14:paraId="0516229E">
      <w:pPr>
        <w:pBdr>
          <w:bottom w:val="single" w:color="auto" w:sz="4" w:space="0"/>
        </w:pBdr>
        <w:spacing w:line="360" w:lineRule="auto"/>
        <w:ind w:firstLine="390" w:firstLineChars="195"/>
        <w:rPr>
          <w:rFonts w:hint="eastAsia" w:ascii="宋体" w:hAnsi="宋体"/>
          <w:color w:val="auto"/>
          <w:sz w:val="20"/>
          <w:szCs w:val="20"/>
          <w:highlight w:val="none"/>
          <w:u w:val="single"/>
        </w:rPr>
      </w:pPr>
      <w:r>
        <w:rPr>
          <w:rFonts w:hint="eastAsia" w:ascii="宋体" w:hAnsi="宋体"/>
          <w:color w:val="auto"/>
          <w:sz w:val="20"/>
          <w:szCs w:val="20"/>
          <w:highlight w:val="none"/>
        </w:rPr>
        <w:t>16.1</w:t>
      </w:r>
      <w:r>
        <w:rPr>
          <w:rFonts w:hint="eastAsia" w:ascii="宋体" w:hAnsi="宋体"/>
          <w:color w:val="auto"/>
          <w:sz w:val="20"/>
          <w:szCs w:val="20"/>
          <w:highlight w:val="none"/>
          <w:u w:val="single"/>
        </w:rPr>
        <w:t>本项目不收取投标保证金。</w:t>
      </w:r>
    </w:p>
    <w:p w14:paraId="310BE4C1">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条款号：17.1                                                       修改类型：修改</w:t>
      </w:r>
    </w:p>
    <w:p w14:paraId="5FDBE099">
      <w:pP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 xml:space="preserve"> 。</w:t>
      </w:r>
    </w:p>
    <w:p w14:paraId="124B5A78">
      <w:pPr>
        <w:pBdr>
          <w:bottom w:val="single" w:color="auto" w:sz="6" w:space="1"/>
        </w:pBd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17.1投标人应采用单位数字证书，按招标文件要求在相应位置加盖电子印章。投标文件中需个人签字或盖章的，应加盖个人电子印章或在线下完成后扫描上传。按照</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交易平台关于全流程电子化项目的相关指南进行操作。详见：</w:t>
      </w:r>
      <w:r>
        <w:rPr>
          <w:rFonts w:hint="eastAsia" w:ascii="宋体" w:hAnsi="宋体" w:cs="宋体"/>
          <w:color w:val="auto"/>
          <w:sz w:val="20"/>
          <w:szCs w:val="20"/>
          <w:highlight w:val="none"/>
          <w:u w:val="single"/>
        </w:rPr>
        <w:t>广州交易集团有限公司（广州公共资源交易中心）网站最新指引</w:t>
      </w:r>
      <w:r>
        <w:rPr>
          <w:rFonts w:hint="eastAsia" w:ascii="宋体" w:hAnsi="宋体" w:cs="宋体"/>
          <w:color w:val="auto"/>
          <w:sz w:val="20"/>
          <w:szCs w:val="20"/>
          <w:highlight w:val="none"/>
        </w:rPr>
        <w:t>。</w:t>
      </w:r>
    </w:p>
    <w:p w14:paraId="3CAEA04B">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条款号：18.1                                                       修改类型：修改</w:t>
      </w:r>
    </w:p>
    <w:p w14:paraId="65DE3746">
      <w:pPr>
        <w:spacing w:line="360" w:lineRule="auto"/>
        <w:ind w:firstLine="392" w:firstLineChars="195"/>
        <w:rPr>
          <w:rFonts w:hint="eastAsia" w:ascii="宋体" w:hAnsi="宋体" w:cs="宋体"/>
          <w:bCs/>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18.1</w:t>
      </w:r>
      <w:r>
        <w:rPr>
          <w:rFonts w:hint="eastAsia" w:ascii="宋体" w:hAnsi="宋体" w:cs="宋体"/>
          <w:bCs/>
          <w:color w:val="auto"/>
          <w:sz w:val="20"/>
          <w:szCs w:val="20"/>
          <w:highlight w:val="none"/>
        </w:rPr>
        <w:t>递交的电子投标文件（不含备用光盘）必须进行加密。按照交易平台关于</w:t>
      </w:r>
      <w:r>
        <w:rPr>
          <w:rFonts w:hint="eastAsia" w:ascii="宋体" w:hAnsi="宋体" w:cs="宋体"/>
          <w:color w:val="auto"/>
          <w:sz w:val="20"/>
          <w:szCs w:val="20"/>
          <w:highlight w:val="none"/>
        </w:rPr>
        <w:t>全流程电子化项目的相关指南进行操作。详见：</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 xml:space="preserve"> 。</w:t>
      </w:r>
    </w:p>
    <w:p w14:paraId="485E7832">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18.1</w:t>
      </w:r>
      <w:r>
        <w:rPr>
          <w:rFonts w:hint="eastAsia" w:ascii="宋体" w:hAnsi="宋体" w:cs="宋体"/>
          <w:bCs/>
          <w:color w:val="auto"/>
          <w:sz w:val="20"/>
          <w:szCs w:val="20"/>
          <w:highlight w:val="none"/>
        </w:rPr>
        <w:t>递交的电子投标文件（不含备用光盘）必须进行加密。按照</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bCs/>
          <w:color w:val="auto"/>
          <w:sz w:val="20"/>
          <w:szCs w:val="20"/>
          <w:highlight w:val="none"/>
        </w:rPr>
        <w:t>交易平台关于</w:t>
      </w:r>
      <w:r>
        <w:rPr>
          <w:rFonts w:hint="eastAsia" w:ascii="宋体" w:hAnsi="宋体" w:cs="宋体"/>
          <w:color w:val="auto"/>
          <w:sz w:val="20"/>
          <w:szCs w:val="20"/>
          <w:highlight w:val="none"/>
        </w:rPr>
        <w:t>全流程电子化项目的相关指南进行操作。详见：</w:t>
      </w:r>
      <w:r>
        <w:rPr>
          <w:rFonts w:hint="eastAsia" w:ascii="宋体" w:hAnsi="宋体" w:cs="宋体"/>
          <w:color w:val="auto"/>
          <w:sz w:val="20"/>
          <w:szCs w:val="20"/>
          <w:highlight w:val="none"/>
          <w:u w:val="single"/>
        </w:rPr>
        <w:t>广州交易集团有限公司（广州公共资源交易中心）网站最新指引</w:t>
      </w:r>
      <w:r>
        <w:rPr>
          <w:rFonts w:hint="eastAsia" w:ascii="宋体" w:hAnsi="宋体" w:cs="宋体"/>
          <w:color w:val="auto"/>
          <w:sz w:val="20"/>
          <w:szCs w:val="20"/>
          <w:highlight w:val="none"/>
        </w:rPr>
        <w:t>。</w:t>
      </w:r>
    </w:p>
    <w:p w14:paraId="094148B7">
      <w:pPr>
        <w:spacing w:line="360" w:lineRule="auto"/>
        <w:ind w:firstLine="392" w:firstLineChars="195"/>
        <w:textAlignment w:val="baseline"/>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条款号：18.2                                                        修改类型：修改</w:t>
      </w:r>
    </w:p>
    <w:p w14:paraId="77F994B1">
      <w:pPr>
        <w:spacing w:line="360" w:lineRule="auto"/>
        <w:ind w:firstLine="392" w:firstLineChars="195"/>
        <w:textAlignment w:val="baseline"/>
        <w:rPr>
          <w:rFonts w:hint="eastAsia" w:ascii="宋体" w:hAnsi="宋体" w:cs="宋体"/>
          <w:b/>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18.2</w:t>
      </w:r>
      <w:r>
        <w:rPr>
          <w:rFonts w:hint="eastAsia" w:ascii="宋体" w:hAnsi="宋体" w:cs="宋体"/>
          <w:bCs/>
          <w:color w:val="auto"/>
          <w:sz w:val="20"/>
          <w:szCs w:val="20"/>
          <w:highlight w:val="none"/>
        </w:rPr>
        <w:t>未按要求加密的投标文件，</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w:t>
      </w:r>
      <w:r>
        <w:rPr>
          <w:rFonts w:hint="eastAsia" w:ascii="宋体" w:hAnsi="宋体" w:cs="宋体"/>
          <w:bCs/>
          <w:color w:val="auto"/>
          <w:sz w:val="20"/>
          <w:szCs w:val="20"/>
          <w:highlight w:val="none"/>
        </w:rPr>
        <w:t>将予以拒收。</w:t>
      </w:r>
    </w:p>
    <w:p w14:paraId="439E0941">
      <w:pPr>
        <w:pBdr>
          <w:bottom w:val="single" w:color="auto" w:sz="6" w:space="1"/>
        </w:pBdr>
        <w:spacing w:line="360" w:lineRule="auto"/>
        <w:ind w:firstLine="392" w:firstLineChars="195"/>
        <w:textAlignment w:val="baseline"/>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18.2</w:t>
      </w:r>
      <w:r>
        <w:rPr>
          <w:rFonts w:hint="eastAsia" w:ascii="宋体" w:hAnsi="宋体" w:cs="宋体"/>
          <w:bCs/>
          <w:color w:val="auto"/>
          <w:sz w:val="20"/>
          <w:szCs w:val="20"/>
          <w:highlight w:val="none"/>
        </w:rPr>
        <w:t>未按要求加密的投标文件，</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w:t>
      </w:r>
      <w:r>
        <w:rPr>
          <w:rFonts w:hint="eastAsia" w:ascii="宋体" w:hAnsi="宋体" w:cs="宋体"/>
          <w:bCs/>
          <w:color w:val="auto"/>
          <w:sz w:val="20"/>
          <w:szCs w:val="20"/>
          <w:highlight w:val="none"/>
        </w:rPr>
        <w:t>将予以拒收。</w:t>
      </w:r>
    </w:p>
    <w:p w14:paraId="16ACBD8E">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条款号：19.1                                                        修改类型：修改</w:t>
      </w:r>
    </w:p>
    <w:p w14:paraId="22ED50DA">
      <w:pPr>
        <w:spacing w:line="360" w:lineRule="auto"/>
        <w:ind w:firstLine="392" w:firstLineChars="195"/>
        <w:rPr>
          <w:rFonts w:hint="eastAsia" w:ascii="宋体" w:hAnsi="宋体" w:cs="宋体"/>
          <w:bCs/>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19.1</w:t>
      </w:r>
      <w:r>
        <w:rPr>
          <w:rFonts w:hint="eastAsia" w:ascii="宋体" w:hAnsi="宋体" w:cs="宋体"/>
          <w:bCs/>
          <w:color w:val="auto"/>
          <w:sz w:val="20"/>
          <w:szCs w:val="20"/>
          <w:highlight w:val="none"/>
        </w:rPr>
        <w:t>投标人通过</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交易平台递交电子投标文件。</w:t>
      </w:r>
    </w:p>
    <w:p w14:paraId="1AEDF76B">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19.1</w:t>
      </w:r>
      <w:r>
        <w:rPr>
          <w:rFonts w:hint="eastAsia" w:ascii="宋体" w:hAnsi="宋体" w:cs="宋体"/>
          <w:bCs/>
          <w:color w:val="auto"/>
          <w:sz w:val="20"/>
          <w:szCs w:val="20"/>
          <w:highlight w:val="none"/>
        </w:rPr>
        <w:t>投标人通过</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交易平台递交电子投标文件。</w:t>
      </w:r>
    </w:p>
    <w:p w14:paraId="7C7ECC10">
      <w:pPr>
        <w:adjustRightInd w:val="0"/>
        <w:spacing w:line="360" w:lineRule="auto"/>
        <w:ind w:firstLine="392" w:firstLineChars="195"/>
        <w:textAlignment w:val="baseline"/>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条款号：19.2                                                        修改类型：修改</w:t>
      </w:r>
    </w:p>
    <w:p w14:paraId="4795E141">
      <w:pPr>
        <w:adjustRightInd w:val="0"/>
        <w:spacing w:line="360" w:lineRule="auto"/>
        <w:ind w:firstLine="392" w:firstLineChars="195"/>
        <w:textAlignment w:val="baseline"/>
        <w:rPr>
          <w:rFonts w:hint="eastAsia" w:ascii="宋体" w:hAnsi="宋体" w:cs="宋体"/>
          <w:b/>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19.2</w:t>
      </w:r>
      <w:r>
        <w:rPr>
          <w:rFonts w:hint="eastAsia" w:ascii="宋体" w:hAnsi="宋体" w:cs="宋体"/>
          <w:bCs/>
          <w:color w:val="auto"/>
          <w:sz w:val="20"/>
          <w:szCs w:val="20"/>
          <w:highlight w:val="none"/>
        </w:rPr>
        <w:t>投标人完成电子</w:t>
      </w:r>
      <w:r>
        <w:rPr>
          <w:rFonts w:hint="eastAsia" w:ascii="宋体" w:hAnsi="宋体" w:cs="宋体"/>
          <w:color w:val="auto"/>
          <w:sz w:val="20"/>
          <w:szCs w:val="20"/>
          <w:highlight w:val="none"/>
        </w:rPr>
        <w:t>投标文件</w:t>
      </w:r>
      <w:r>
        <w:rPr>
          <w:rFonts w:hint="eastAsia" w:ascii="宋体" w:hAnsi="宋体" w:cs="宋体"/>
          <w:bCs/>
          <w:color w:val="auto"/>
          <w:sz w:val="20"/>
          <w:szCs w:val="20"/>
          <w:highlight w:val="none"/>
        </w:rPr>
        <w:t>上传后，</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交易平台即时向投标人发出递交回执通知。递交时间以递交回执通知载明的传输完成时间为准。</w:t>
      </w:r>
    </w:p>
    <w:p w14:paraId="1AC727B5">
      <w:pPr>
        <w:pBdr>
          <w:bottom w:val="single" w:color="auto" w:sz="6" w:space="1"/>
        </w:pBdr>
        <w:adjustRightInd w:val="0"/>
        <w:spacing w:line="360" w:lineRule="auto"/>
        <w:ind w:firstLine="392" w:firstLineChars="195"/>
        <w:textAlignment w:val="baseline"/>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19.2</w:t>
      </w:r>
      <w:r>
        <w:rPr>
          <w:rFonts w:hint="eastAsia" w:ascii="宋体" w:hAnsi="宋体" w:cs="宋体"/>
          <w:bCs/>
          <w:color w:val="auto"/>
          <w:sz w:val="20"/>
          <w:szCs w:val="20"/>
          <w:highlight w:val="none"/>
        </w:rPr>
        <w:t>投标人完成电子</w:t>
      </w:r>
      <w:r>
        <w:rPr>
          <w:rFonts w:hint="eastAsia" w:ascii="宋体" w:hAnsi="宋体" w:cs="宋体"/>
          <w:color w:val="auto"/>
          <w:sz w:val="20"/>
          <w:szCs w:val="20"/>
          <w:highlight w:val="none"/>
        </w:rPr>
        <w:t>投标文件</w:t>
      </w:r>
      <w:r>
        <w:rPr>
          <w:rFonts w:hint="eastAsia" w:ascii="宋体" w:hAnsi="宋体" w:cs="宋体"/>
          <w:bCs/>
          <w:color w:val="auto"/>
          <w:sz w:val="20"/>
          <w:szCs w:val="20"/>
          <w:highlight w:val="none"/>
        </w:rPr>
        <w:t>上传后，</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交易平台即时向投标人发出递交回执通知。递交时间以递交回执通知载明的传输完成时间为准。</w:t>
      </w:r>
    </w:p>
    <w:p w14:paraId="76297BEE">
      <w:pPr>
        <w:adjustRightInd w:val="0"/>
        <w:spacing w:line="360" w:lineRule="auto"/>
        <w:ind w:firstLine="392" w:firstLineChars="195"/>
        <w:textAlignment w:val="baseline"/>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条款号：19.3                                                       修改类型：修改</w:t>
      </w:r>
    </w:p>
    <w:p w14:paraId="3509D9EF">
      <w:pPr>
        <w:adjustRightInd w:val="0"/>
        <w:spacing w:line="360" w:lineRule="auto"/>
        <w:ind w:firstLine="392" w:firstLineChars="195"/>
        <w:textAlignment w:val="baseline"/>
        <w:rPr>
          <w:rFonts w:hint="eastAsia" w:ascii="宋体" w:hAnsi="宋体" w:cs="宋体"/>
          <w:b/>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19.3</w:t>
      </w:r>
      <w:r>
        <w:rPr>
          <w:rFonts w:hint="eastAsia" w:ascii="宋体" w:hAnsi="宋体" w:cs="宋体"/>
          <w:bCs/>
          <w:color w:val="auto"/>
          <w:sz w:val="20"/>
          <w:szCs w:val="20"/>
          <w:highlight w:val="none"/>
        </w:rPr>
        <w:t>逾期送达的电子投标文件，</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交易平台将予以拒收。</w:t>
      </w:r>
    </w:p>
    <w:p w14:paraId="41ED4C77">
      <w:pPr>
        <w:pBdr>
          <w:bottom w:val="single" w:color="auto" w:sz="6" w:space="1"/>
        </w:pBdr>
        <w:adjustRightInd w:val="0"/>
        <w:spacing w:line="360" w:lineRule="auto"/>
        <w:ind w:firstLine="392" w:firstLineChars="195"/>
        <w:textAlignment w:val="baseline"/>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19.3</w:t>
      </w:r>
      <w:r>
        <w:rPr>
          <w:rFonts w:hint="eastAsia" w:ascii="宋体" w:hAnsi="宋体" w:cs="宋体"/>
          <w:bCs/>
          <w:color w:val="auto"/>
          <w:sz w:val="20"/>
          <w:szCs w:val="20"/>
          <w:highlight w:val="none"/>
        </w:rPr>
        <w:t>逾期送达的电子投标文件，</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交易平台将予以拒收。</w:t>
      </w:r>
    </w:p>
    <w:p w14:paraId="5F1D89B5">
      <w:pPr>
        <w:spacing w:line="360" w:lineRule="auto"/>
        <w:ind w:firstLine="392" w:firstLineChars="195"/>
        <w:textAlignment w:val="baseline"/>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条款号：19.5                                                       修改类型：修改</w:t>
      </w:r>
    </w:p>
    <w:p w14:paraId="043C5ABB">
      <w:pPr>
        <w:spacing w:line="360" w:lineRule="auto"/>
        <w:ind w:firstLine="392" w:firstLineChars="195"/>
        <w:textAlignment w:val="baseline"/>
        <w:rPr>
          <w:rFonts w:hint="eastAsia" w:ascii="宋体" w:hAnsi="宋体" w:cs="宋体"/>
          <w:b/>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19.5如技术标和经济标先后分别开启，</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交易平台将按招标文件规定的时间分别开启技术标和经济标。</w:t>
      </w:r>
    </w:p>
    <w:p w14:paraId="3BEAC10C">
      <w:pPr>
        <w:pBdr>
          <w:bottom w:val="single" w:color="auto" w:sz="6" w:space="1"/>
        </w:pBdr>
        <w:spacing w:line="360" w:lineRule="auto"/>
        <w:ind w:firstLine="392" w:firstLineChars="195"/>
        <w:textAlignment w:val="baseline"/>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19.5如技术标和经济标</w:t>
      </w:r>
      <w:r>
        <w:rPr>
          <w:rFonts w:hint="eastAsia" w:ascii="宋体" w:hAnsi="宋体" w:cs="宋体"/>
          <w:color w:val="auto"/>
          <w:sz w:val="20"/>
          <w:szCs w:val="20"/>
          <w:highlight w:val="none"/>
          <w:u w:val="single"/>
        </w:rPr>
        <w:t>同时</w:t>
      </w:r>
      <w:r>
        <w:rPr>
          <w:rFonts w:hint="eastAsia" w:ascii="宋体" w:hAnsi="宋体" w:cs="宋体"/>
          <w:color w:val="auto"/>
          <w:sz w:val="20"/>
          <w:szCs w:val="20"/>
          <w:highlight w:val="none"/>
        </w:rPr>
        <w:t>开启，</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交易平台将按招标文件规定的时间</w:t>
      </w:r>
      <w:r>
        <w:rPr>
          <w:rFonts w:hint="eastAsia" w:ascii="宋体" w:hAnsi="宋体" w:cs="宋体"/>
          <w:color w:val="auto"/>
          <w:sz w:val="20"/>
          <w:szCs w:val="20"/>
          <w:highlight w:val="none"/>
          <w:u w:val="single"/>
        </w:rPr>
        <w:t>同时</w:t>
      </w:r>
      <w:r>
        <w:rPr>
          <w:rFonts w:hint="eastAsia" w:ascii="宋体" w:hAnsi="宋体" w:cs="宋体"/>
          <w:color w:val="auto"/>
          <w:sz w:val="20"/>
          <w:szCs w:val="20"/>
          <w:highlight w:val="none"/>
        </w:rPr>
        <w:t>开启技术标和经济标。</w:t>
      </w:r>
    </w:p>
    <w:p w14:paraId="1BC9E072">
      <w:pPr>
        <w:adjustRightInd w:val="0"/>
        <w:spacing w:line="360" w:lineRule="auto"/>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条款号：20.3                                                     修改类型：修改</w:t>
      </w:r>
    </w:p>
    <w:p w14:paraId="2549DC94">
      <w:pPr>
        <w:pBdr>
          <w:bottom w:val="single" w:color="auto" w:sz="6" w:space="1"/>
        </w:pBdr>
        <w:adjustRightInd w:val="0"/>
        <w:spacing w:line="360" w:lineRule="auto"/>
        <w:ind w:firstLine="402" w:firstLineChars="200"/>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20.3到投标截止时间止，招标人收到的投标文件少于3家的，招标人将重新组织招标（当N个标段同时招标且不允许兼中时，若有效投标人不足N+2家，则重新组织招标）。</w:t>
      </w:r>
    </w:p>
    <w:p w14:paraId="2F9ABAED">
      <w:pPr>
        <w:pBdr>
          <w:bottom w:val="single" w:color="auto" w:sz="6" w:space="1"/>
        </w:pBdr>
        <w:adjustRightInd w:val="0"/>
        <w:spacing w:line="360" w:lineRule="auto"/>
        <w:ind w:firstLine="402" w:firstLineChars="200"/>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20.3</w:t>
      </w:r>
      <w:r>
        <w:rPr>
          <w:rFonts w:hint="eastAsia" w:ascii="宋体" w:hAnsi="宋体" w:cs="宋体"/>
          <w:color w:val="auto"/>
          <w:sz w:val="20"/>
          <w:szCs w:val="20"/>
          <w:highlight w:val="none"/>
          <w:u w:val="single"/>
        </w:rPr>
        <w:t>到投标截止时间止，招标人收到的投标文件少于3家的，招标人将重新组织招标。</w:t>
      </w:r>
    </w:p>
    <w:p w14:paraId="7F26A7C8">
      <w:pPr>
        <w:adjustRightInd w:val="0"/>
        <w:spacing w:line="360" w:lineRule="auto"/>
        <w:ind w:firstLine="392" w:firstLineChars="195"/>
        <w:textAlignment w:val="baseline"/>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条款号：21.1                                                       修改类型：修改</w:t>
      </w:r>
    </w:p>
    <w:p w14:paraId="1B345B15">
      <w:pPr>
        <w:adjustRightInd w:val="0"/>
        <w:spacing w:line="360" w:lineRule="auto"/>
        <w:ind w:firstLine="392" w:firstLineChars="195"/>
        <w:textAlignment w:val="baseline"/>
        <w:rPr>
          <w:rFonts w:hint="eastAsia" w:ascii="宋体" w:hAnsi="宋体" w:cs="宋体"/>
          <w:b/>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21.1本须知前附表第17项规定的投标截止时间</w:t>
      </w:r>
      <w:r>
        <w:rPr>
          <w:rFonts w:hint="eastAsia" w:ascii="宋体" w:hAnsi="宋体" w:cs="宋体"/>
          <w:bCs/>
          <w:color w:val="auto"/>
          <w:sz w:val="20"/>
          <w:szCs w:val="20"/>
          <w:highlight w:val="none"/>
        </w:rPr>
        <w:t>后送达的电子投标文件，</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交易平台将予以拒收。</w:t>
      </w:r>
    </w:p>
    <w:p w14:paraId="2E439DC8">
      <w:pPr>
        <w:pBdr>
          <w:bottom w:val="single" w:color="auto" w:sz="6" w:space="1"/>
        </w:pBdr>
        <w:adjustRightInd w:val="0"/>
        <w:spacing w:line="360" w:lineRule="auto"/>
        <w:ind w:firstLine="392" w:firstLineChars="195"/>
        <w:textAlignment w:val="baseline"/>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21.1本须知前附表第17项规定的投标截止时间</w:t>
      </w:r>
      <w:r>
        <w:rPr>
          <w:rFonts w:hint="eastAsia" w:ascii="宋体" w:hAnsi="宋体" w:cs="宋体"/>
          <w:bCs/>
          <w:color w:val="auto"/>
          <w:sz w:val="20"/>
          <w:szCs w:val="20"/>
          <w:highlight w:val="none"/>
        </w:rPr>
        <w:t>后送达的电子投标文件，</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交易平台将予以拒收。</w:t>
      </w:r>
    </w:p>
    <w:p w14:paraId="5C888CCE">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条款号：27.1                                                       修改类型：修改</w:t>
      </w:r>
    </w:p>
    <w:p w14:paraId="2ED89907">
      <w:pP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27.1招标人将在</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60DFAA4">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27.1招标人将在</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04B1B74">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条款号：27.4                                                       修改类型：修改</w:t>
      </w:r>
    </w:p>
    <w:p w14:paraId="3F97A579">
      <w:pP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27.4在产生中标候选人后，招标人将中标候选人的投标文件商务部分文件的所有内容（包括人员、业绩、奖项等资料）在</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交易平台和广东省招标投标监管网公开。</w:t>
      </w:r>
    </w:p>
    <w:p w14:paraId="56207649">
      <w:pPr>
        <w:adjustRightInd w:val="0"/>
        <w:spacing w:line="360" w:lineRule="auto"/>
        <w:ind w:firstLine="402" w:firstLineChars="200"/>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27.4在产生中标候选人后，招标人将中标候选人的投标文件商务部分文件的所有内容（包括人员、业绩、奖项等资料）在</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交易平台和广东省招标投标监管网公开。</w:t>
      </w:r>
    </w:p>
    <w:p w14:paraId="19B40B5E">
      <w:pPr>
        <w:pBdr>
          <w:top w:val="single" w:color="auto" w:sz="4" w:space="0"/>
        </w:pBdr>
        <w:adjustRightInd w:val="0"/>
        <w:spacing w:line="360" w:lineRule="auto"/>
        <w:ind w:firstLine="402" w:firstLineChars="200"/>
        <w:rPr>
          <w:rFonts w:hint="eastAsia" w:ascii="宋体" w:hAnsi="宋体"/>
          <w:b/>
          <w:color w:val="auto"/>
          <w:sz w:val="20"/>
          <w:szCs w:val="20"/>
          <w:highlight w:val="none"/>
        </w:rPr>
      </w:pPr>
      <w:r>
        <w:rPr>
          <w:rFonts w:hint="eastAsia" w:ascii="宋体" w:hAnsi="宋体"/>
          <w:b/>
          <w:color w:val="auto"/>
          <w:sz w:val="20"/>
          <w:szCs w:val="20"/>
          <w:highlight w:val="none"/>
        </w:rPr>
        <w:t>条款号：28.2</w:t>
      </w:r>
      <w:r>
        <w:rPr>
          <w:rFonts w:hint="eastAsia" w:ascii="宋体" w:hAnsi="宋体" w:cs="宋体"/>
          <w:b/>
          <w:bCs/>
          <w:color w:val="auto"/>
          <w:sz w:val="20"/>
          <w:szCs w:val="20"/>
          <w:highlight w:val="none"/>
        </w:rPr>
        <w:t xml:space="preserve">                                                  </w:t>
      </w:r>
      <w:r>
        <w:rPr>
          <w:rFonts w:hint="eastAsia" w:ascii="宋体" w:hAnsi="宋体"/>
          <w:b/>
          <w:color w:val="auto"/>
          <w:sz w:val="20"/>
          <w:szCs w:val="20"/>
          <w:highlight w:val="none"/>
        </w:rPr>
        <w:t>修改类型：修改</w:t>
      </w:r>
    </w:p>
    <w:p w14:paraId="7C2196A3">
      <w:pPr>
        <w:adjustRightInd w:val="0"/>
        <w:spacing w:line="360" w:lineRule="auto"/>
        <w:ind w:firstLine="402" w:firstLineChars="200"/>
        <w:rPr>
          <w:rFonts w:ascii="宋体" w:hAnsi="宋体"/>
          <w:bCs/>
          <w:color w:val="auto"/>
          <w:sz w:val="20"/>
          <w:szCs w:val="20"/>
          <w:highlight w:val="none"/>
        </w:rPr>
      </w:pPr>
      <w:r>
        <w:rPr>
          <w:rFonts w:hint="eastAsia" w:ascii="宋体" w:hAnsi="宋体"/>
          <w:b/>
          <w:color w:val="auto"/>
          <w:sz w:val="20"/>
          <w:szCs w:val="20"/>
          <w:highlight w:val="none"/>
        </w:rPr>
        <w:t>原文：</w:t>
      </w:r>
      <w:r>
        <w:rPr>
          <w:rFonts w:hint="eastAsia" w:ascii="宋体" w:hAnsi="宋体"/>
          <w:color w:val="auto"/>
          <w:sz w:val="20"/>
          <w:szCs w:val="20"/>
          <w:highlight w:val="none"/>
        </w:rPr>
        <w:t>28.2</w:t>
      </w:r>
      <w:r>
        <w:rPr>
          <w:rFonts w:hint="eastAsia" w:ascii="宋体" w:hAnsi="宋体"/>
          <w:bCs/>
          <w:color w:val="auto"/>
          <w:sz w:val="20"/>
          <w:szCs w:val="20"/>
          <w:highlight w:val="none"/>
        </w:rPr>
        <w:t>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8CAD382">
      <w:pPr>
        <w:adjustRightInd w:val="0"/>
        <w:spacing w:line="360" w:lineRule="auto"/>
        <w:ind w:firstLine="402" w:firstLineChars="200"/>
        <w:rPr>
          <w:color w:val="auto"/>
          <w:highlight w:val="none"/>
        </w:rPr>
      </w:pPr>
      <w:r>
        <w:rPr>
          <w:rFonts w:hint="eastAsia" w:ascii="宋体" w:hAnsi="宋体"/>
          <w:b/>
          <w:color w:val="auto"/>
          <w:sz w:val="20"/>
          <w:szCs w:val="20"/>
          <w:highlight w:val="none"/>
        </w:rPr>
        <w:t>现文：</w:t>
      </w:r>
      <w:r>
        <w:rPr>
          <w:rFonts w:hint="eastAsia" w:ascii="宋体" w:hAnsi="宋体"/>
          <w:bCs/>
          <w:color w:val="auto"/>
          <w:sz w:val="20"/>
          <w:szCs w:val="20"/>
          <w:highlight w:val="none"/>
        </w:rPr>
        <w:t>28.2中标通知书发出之日起30日后，中标人未按上款的规定与招标人订立合同，招标人将解除中标通知书，</w:t>
      </w:r>
      <w:r>
        <w:rPr>
          <w:rFonts w:hint="eastAsia" w:ascii="宋体" w:hAnsi="宋体"/>
          <w:bCs/>
          <w:color w:val="auto"/>
          <w:sz w:val="20"/>
          <w:szCs w:val="20"/>
          <w:highlight w:val="none"/>
          <w:u w:val="single"/>
        </w:rPr>
        <w:t>原中标人依法承担相应法律责任。原中标人给招标人造成的损失应当予以赔偿。</w:t>
      </w:r>
      <w:r>
        <w:rPr>
          <w:rFonts w:hint="eastAsia" w:ascii="宋体" w:hAnsi="宋体"/>
          <w:bCs/>
          <w:color w:val="auto"/>
          <w:sz w:val="20"/>
          <w:szCs w:val="20"/>
          <w:highlight w:val="none"/>
        </w:rPr>
        <w:t>原中标人有异议的，可以向人民法院起诉。</w:t>
      </w:r>
    </w:p>
    <w:p w14:paraId="7E984618">
      <w:pPr>
        <w:pBdr>
          <w:top w:val="single" w:color="auto" w:sz="4" w:space="0"/>
        </w:pBdr>
        <w:adjustRightIn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条款号：28.4</w:t>
      </w:r>
      <w:r>
        <w:rPr>
          <w:rFonts w:hint="eastAsia" w:ascii="宋体" w:hAnsi="宋体" w:cs="宋体"/>
          <w:b/>
          <w:bCs/>
          <w:color w:val="auto"/>
          <w:szCs w:val="21"/>
          <w:highlight w:val="none"/>
        </w:rPr>
        <w:t xml:space="preserve">                                                </w:t>
      </w:r>
      <w:r>
        <w:rPr>
          <w:rFonts w:hint="eastAsia" w:ascii="宋体" w:hAnsi="宋体"/>
          <w:b/>
          <w:color w:val="auto"/>
          <w:szCs w:val="21"/>
          <w:highlight w:val="none"/>
        </w:rPr>
        <w:t>修改类型：修改</w:t>
      </w:r>
    </w:p>
    <w:p w14:paraId="17F78AAA">
      <w:pPr>
        <w:adjustRightIn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28.4招标人支付工程款时，中标人应按规定开具发票。</w:t>
      </w:r>
    </w:p>
    <w:p w14:paraId="6EA29459">
      <w:pPr>
        <w:pBdr>
          <w:bottom w:val="single" w:color="auto" w:sz="6" w:space="1"/>
        </w:pBdr>
        <w:adjustRightIn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28.4招标人支付工程款时，中标人应按规定开具</w:t>
      </w:r>
      <w:r>
        <w:rPr>
          <w:rFonts w:hint="eastAsia" w:ascii="宋体" w:hAnsi="宋体"/>
          <w:bCs/>
          <w:color w:val="auto"/>
          <w:szCs w:val="21"/>
          <w:highlight w:val="none"/>
          <w:u w:val="single"/>
        </w:rPr>
        <w:t>符合国家税务相关部门要求的</w:t>
      </w:r>
      <w:r>
        <w:rPr>
          <w:rFonts w:hint="eastAsia" w:ascii="宋体" w:hAnsi="宋体"/>
          <w:bCs/>
          <w:color w:val="auto"/>
          <w:szCs w:val="21"/>
          <w:highlight w:val="none"/>
        </w:rPr>
        <w:t>发票。</w:t>
      </w:r>
    </w:p>
    <w:p w14:paraId="2988832D">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条款号：29.1                                                      修改类型：修改</w:t>
      </w:r>
    </w:p>
    <w:p w14:paraId="21A2FC00">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29.1在收到中标通知书后的15日内，中标人应按本须知前附表第20项的规定向招标人提交履约担保。</w:t>
      </w:r>
    </w:p>
    <w:p w14:paraId="1B1E492A">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29.1</w:t>
      </w:r>
      <w:r>
        <w:rPr>
          <w:rFonts w:hint="eastAsia" w:ascii="宋体" w:hAnsi="宋体" w:cs="宋体"/>
          <w:color w:val="auto"/>
          <w:sz w:val="20"/>
          <w:szCs w:val="20"/>
          <w:highlight w:val="none"/>
          <w:u w:val="single"/>
        </w:rPr>
        <w:t>收到中标通知书后20天之内并在签订合同之前</w:t>
      </w:r>
      <w:r>
        <w:rPr>
          <w:rFonts w:hint="eastAsia" w:ascii="宋体" w:hAnsi="宋体" w:cs="宋体"/>
          <w:color w:val="auto"/>
          <w:sz w:val="20"/>
          <w:szCs w:val="20"/>
          <w:highlight w:val="none"/>
        </w:rPr>
        <w:t>，中标人应按本须知前附表第20项的规定向招标人提交无条件履约担保。</w:t>
      </w:r>
    </w:p>
    <w:p w14:paraId="337429DD">
      <w:pPr>
        <w:spacing w:line="360" w:lineRule="auto"/>
        <w:ind w:firstLine="392" w:firstLineChars="195"/>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条款号：29.2                                                       修改类型：修改</w:t>
      </w:r>
    </w:p>
    <w:p w14:paraId="7D7C6EC5">
      <w:pP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CEA642F">
      <w:pPr>
        <w:pBdr>
          <w:bottom w:val="single" w:color="auto" w:sz="6" w:space="1"/>
        </w:pBdr>
        <w:spacing w:line="360" w:lineRule="auto"/>
        <w:ind w:firstLine="392" w:firstLineChars="195"/>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：29.2中标人</w:t>
      </w:r>
      <w:r>
        <w:rPr>
          <w:rFonts w:hint="eastAsia" w:ascii="宋体" w:hAnsi="宋体" w:cs="宋体"/>
          <w:color w:val="auto"/>
          <w:sz w:val="20"/>
          <w:szCs w:val="20"/>
          <w:highlight w:val="none"/>
          <w:u w:val="single"/>
        </w:rPr>
        <w:t>收到中标通知书后20天之内并在签订合同之前，</w:t>
      </w:r>
      <w:r>
        <w:rPr>
          <w:rFonts w:hint="eastAsia" w:ascii="宋体" w:hAnsi="宋体" w:cs="宋体"/>
          <w:color w:val="auto"/>
          <w:sz w:val="20"/>
          <w:szCs w:val="20"/>
          <w:highlight w:val="none"/>
        </w:rPr>
        <w:t>中标人未按上款的规定提交履约担保，招标人将解除中标通知书，</w:t>
      </w:r>
      <w:r>
        <w:rPr>
          <w:rFonts w:hint="eastAsia" w:ascii="宋体" w:hAnsi="宋体" w:cs="宋体"/>
          <w:color w:val="auto"/>
          <w:sz w:val="20"/>
          <w:szCs w:val="20"/>
          <w:highlight w:val="none"/>
          <w:u w:val="single"/>
        </w:rPr>
        <w:t>原中标人依法承担相应法律责任。原中标人给招标人造成的损失，还应当予以赔偿。</w:t>
      </w:r>
      <w:r>
        <w:rPr>
          <w:rFonts w:hint="eastAsia" w:ascii="宋体" w:hAnsi="宋体" w:cs="宋体"/>
          <w:color w:val="auto"/>
          <w:sz w:val="20"/>
          <w:szCs w:val="20"/>
          <w:highlight w:val="none"/>
        </w:rPr>
        <w:t>原中标人有异议的，可以向人民法院起诉。</w:t>
      </w:r>
    </w:p>
    <w:p w14:paraId="5A184FC2">
      <w:pPr>
        <w:pBdr>
          <w:bottom w:val="single" w:color="auto" w:sz="4" w:space="0"/>
        </w:pBdr>
        <w:spacing w:line="360" w:lineRule="auto"/>
        <w:ind w:firstLine="450" w:firstLineChars="224"/>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条款号：30.1                                                       修改类型：修改</w:t>
      </w:r>
    </w:p>
    <w:p w14:paraId="0E6FED7D">
      <w:pPr>
        <w:pBdr>
          <w:bottom w:val="single" w:color="auto" w:sz="4" w:space="0"/>
        </w:pBdr>
        <w:spacing w:line="360" w:lineRule="auto"/>
        <w:ind w:firstLine="450" w:firstLineChars="224"/>
        <w:rPr>
          <w:rFonts w:hint="eastAsia" w:ascii="宋体" w:hAnsi="宋体" w:cs="宋体"/>
          <w:b/>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bCs/>
          <w:color w:val="auto"/>
          <w:sz w:val="20"/>
          <w:szCs w:val="20"/>
          <w:highlight w:val="none"/>
        </w:rPr>
        <w:t>30.1</w:t>
      </w:r>
      <w:r>
        <w:rPr>
          <w:rFonts w:hint="eastAsia" w:ascii="宋体" w:hAnsi="宋体" w:cs="宋体"/>
          <w:color w:val="auto"/>
          <w:sz w:val="20"/>
          <w:szCs w:val="20"/>
          <w:highlight w:val="none"/>
        </w:rPr>
        <w:t>在合同双方全权代表在合同协议书上签字，并分别加盖双方单位的公章后，合同正式生效。</w:t>
      </w:r>
    </w:p>
    <w:p w14:paraId="4E54DCDB">
      <w:pPr>
        <w:pStyle w:val="7"/>
        <w:pBdr>
          <w:bottom w:val="single" w:color="auto" w:sz="4" w:space="0"/>
        </w:pBdr>
        <w:rPr>
          <w:rFonts w:hint="eastAsia" w:ascii="宋体" w:hAnsi="宋体" w:cs="宋体"/>
          <w:color w:val="auto"/>
          <w:highlight w:val="none"/>
          <w:u w:val="single"/>
        </w:rPr>
      </w:pPr>
      <w:r>
        <w:rPr>
          <w:rFonts w:hint="eastAsia" w:ascii="宋体" w:hAnsi="宋体" w:cs="宋体"/>
          <w:b/>
          <w:color w:val="auto"/>
          <w:highlight w:val="none"/>
        </w:rPr>
        <w:t>现文：</w:t>
      </w:r>
      <w:r>
        <w:rPr>
          <w:rFonts w:hint="eastAsia" w:ascii="宋体" w:hAnsi="宋体" w:cs="宋体"/>
          <w:color w:val="auto"/>
          <w:highlight w:val="none"/>
        </w:rPr>
        <w:t>30.1在合同双方全权代表在合同协议书上签字，并分别加盖双方单位的公章</w:t>
      </w:r>
      <w:r>
        <w:rPr>
          <w:rFonts w:hint="eastAsia" w:ascii="宋体" w:hAnsi="宋体" w:cs="宋体"/>
          <w:color w:val="auto"/>
          <w:highlight w:val="none"/>
          <w:u w:val="single"/>
        </w:rPr>
        <w:t>且承包人提交履约担保后，合同正式生效。</w:t>
      </w:r>
    </w:p>
    <w:p w14:paraId="0D7B64C0">
      <w:pPr>
        <w:spacing w:line="360" w:lineRule="auto"/>
        <w:ind w:firstLine="201" w:firstLineChars="100"/>
        <w:rPr>
          <w:rFonts w:hint="eastAsia" w:ascii="宋体" w:hAnsi="宋体" w:cs="宋体"/>
          <w:b/>
          <w:color w:val="auto"/>
          <w:sz w:val="20"/>
          <w:szCs w:val="20"/>
          <w:highlight w:val="none"/>
        </w:rPr>
      </w:pPr>
      <w:r>
        <w:rPr>
          <w:rFonts w:hint="eastAsia" w:ascii="宋体" w:hAnsi="宋体" w:cs="宋体"/>
          <w:b/>
          <w:color w:val="auto"/>
          <w:sz w:val="20"/>
          <w:szCs w:val="20"/>
          <w:highlight w:val="none"/>
        </w:rPr>
        <w:t>注：以上修改，仅限于本范本中有可供选择条款的情形。</w:t>
      </w:r>
    </w:p>
    <w:p w14:paraId="3C77B5C0">
      <w:pPr>
        <w:spacing w:line="360" w:lineRule="auto"/>
        <w:rPr>
          <w:rFonts w:hint="eastAsia" w:ascii="宋体" w:hAnsi="宋体" w:cs="宋体"/>
          <w:color w:val="auto"/>
          <w:sz w:val="20"/>
          <w:szCs w:val="20"/>
          <w:highlight w:val="none"/>
        </w:rPr>
      </w:pPr>
      <w:r>
        <w:rPr>
          <w:rFonts w:hint="eastAsia" w:ascii="宋体" w:hAnsi="宋体" w:cs="宋体"/>
          <w:b/>
          <w:color w:val="auto"/>
          <w:sz w:val="20"/>
          <w:szCs w:val="20"/>
          <w:highlight w:val="none"/>
        </w:rPr>
        <w:t>（以下无正文）</w:t>
      </w:r>
    </w:p>
    <w:p w14:paraId="54A43E8E">
      <w:pPr>
        <w:pStyle w:val="4"/>
        <w:rPr>
          <w:rFonts w:hint="eastAsia" w:cs="宋体"/>
          <w:color w:val="auto"/>
          <w:highlight w:val="none"/>
        </w:rPr>
      </w:pPr>
      <w:r>
        <w:rPr>
          <w:rFonts w:hint="eastAsia" w:cs="宋体"/>
          <w:color w:val="auto"/>
          <w:highlight w:val="none"/>
        </w:rPr>
        <w:br w:type="page"/>
      </w:r>
      <w:bookmarkStart w:id="10" w:name="_Toc11634"/>
      <w:bookmarkStart w:id="11" w:name="_Toc100130470"/>
      <w:bookmarkStart w:id="12" w:name="_Toc2272548"/>
      <w:r>
        <w:rPr>
          <w:rFonts w:hint="eastAsia" w:cs="宋体"/>
          <w:color w:val="auto"/>
          <w:highlight w:val="none"/>
        </w:rPr>
        <w:t>三、投标须知通用条款</w:t>
      </w:r>
      <w:bookmarkEnd w:id="10"/>
      <w:bookmarkEnd w:id="11"/>
      <w:bookmarkEnd w:id="12"/>
    </w:p>
    <w:p w14:paraId="1CB21B74">
      <w:pPr>
        <w:pStyle w:val="5"/>
        <w:spacing w:before="156" w:after="156"/>
        <w:rPr>
          <w:rFonts w:hint="eastAsia" w:cs="宋体"/>
          <w:color w:val="auto"/>
          <w:sz w:val="20"/>
          <w:szCs w:val="20"/>
          <w:highlight w:val="none"/>
        </w:rPr>
      </w:pPr>
      <w:bookmarkStart w:id="13" w:name="_Toc21525493"/>
      <w:bookmarkStart w:id="14" w:name="_Toc2272549"/>
      <w:r>
        <w:rPr>
          <w:rFonts w:hint="eastAsia" w:cs="宋体"/>
          <w:color w:val="auto"/>
          <w:sz w:val="20"/>
          <w:szCs w:val="20"/>
          <w:highlight w:val="none"/>
        </w:rPr>
        <w:t>（一）总则</w:t>
      </w:r>
      <w:bookmarkEnd w:id="13"/>
      <w:bookmarkEnd w:id="14"/>
    </w:p>
    <w:p w14:paraId="35A9B01A">
      <w:pPr>
        <w:pStyle w:val="48"/>
        <w:spacing w:after="0" w:line="360" w:lineRule="auto"/>
        <w:ind w:firstLine="40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1、定义</w:t>
      </w:r>
    </w:p>
    <w:p w14:paraId="24A578B4">
      <w:pPr>
        <w:pStyle w:val="48"/>
        <w:spacing w:after="0" w:line="360" w:lineRule="auto"/>
        <w:ind w:firstLine="400" w:firstLineChars="200"/>
        <w:rPr>
          <w:rFonts w:hint="eastAsia" w:ascii="宋体" w:hAnsi="宋体" w:eastAsia="宋体" w:cs="宋体"/>
          <w:b/>
          <w:bCs/>
          <w:color w:val="auto"/>
          <w:szCs w:val="20"/>
          <w:highlight w:val="none"/>
        </w:rPr>
      </w:pPr>
      <w:r>
        <w:rPr>
          <w:rFonts w:hint="eastAsia" w:ascii="宋体" w:hAnsi="宋体" w:eastAsia="宋体" w:cs="宋体"/>
          <w:color w:val="auto"/>
          <w:szCs w:val="20"/>
          <w:highlight w:val="none"/>
        </w:rPr>
        <w:t>本招标文件使用的下列词语具有如下规定的意义：</w:t>
      </w:r>
    </w:p>
    <w:p w14:paraId="76B99E17">
      <w:pPr>
        <w:pStyle w:val="48"/>
        <w:spacing w:after="0" w:line="360" w:lineRule="auto"/>
        <w:ind w:firstLine="400" w:firstLineChars="200"/>
        <w:rPr>
          <w:rFonts w:hint="eastAsia" w:ascii="宋体" w:hAnsi="宋体" w:eastAsia="宋体" w:cs="宋体"/>
          <w:b/>
          <w:bCs/>
          <w:color w:val="auto"/>
          <w:szCs w:val="20"/>
          <w:highlight w:val="none"/>
          <w:u w:val="single"/>
        </w:rPr>
      </w:pPr>
      <w:r>
        <w:rPr>
          <w:rFonts w:hint="eastAsia" w:ascii="宋体" w:hAnsi="宋体" w:eastAsia="宋体" w:cs="宋体"/>
          <w:color w:val="auto"/>
          <w:szCs w:val="20"/>
          <w:highlight w:val="none"/>
        </w:rPr>
        <w:t>（1）“招标人”（即发包人）、“项目建设管理单位”（或称“项目代建单位”）、“招标代理”、“设计单位”、“监理单位”均已在投标须知前附表中列明。</w:t>
      </w:r>
    </w:p>
    <w:p w14:paraId="21CC588C">
      <w:pPr>
        <w:pStyle w:val="48"/>
        <w:spacing w:after="0" w:line="360" w:lineRule="auto"/>
        <w:ind w:firstLine="400" w:firstLineChars="20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 xml:space="preserve">（2）“投标人”指向招标人提交投标文件的当事人。   </w:t>
      </w:r>
    </w:p>
    <w:p w14:paraId="7402D8B4">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（3）“承包人”指其投标被招标人接受并与其签订承包合同的当事人。</w:t>
      </w:r>
    </w:p>
    <w:p w14:paraId="2D45442A">
      <w:pPr>
        <w:pStyle w:val="48"/>
        <w:spacing w:after="0" w:line="360" w:lineRule="auto"/>
        <w:ind w:firstLine="400" w:firstLineChars="20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（4）“招标文件”指由招标代理发出的本文件（包括全部章节、附件）及招标答疑会会议纪要和</w:t>
      </w:r>
      <w:r>
        <w:rPr>
          <w:rFonts w:hint="eastAsia" w:ascii="宋体" w:hAnsi="宋体" w:eastAsia="宋体" w:cs="宋体"/>
          <w:bCs/>
          <w:color w:val="auto"/>
          <w:szCs w:val="20"/>
          <w:highlight w:val="none"/>
        </w:rPr>
        <w:t>招标文件的澄清与修改</w:t>
      </w:r>
      <w:r>
        <w:rPr>
          <w:rFonts w:hint="eastAsia" w:ascii="宋体" w:hAnsi="宋体" w:eastAsia="宋体" w:cs="宋体"/>
          <w:color w:val="auto"/>
          <w:szCs w:val="20"/>
          <w:highlight w:val="none"/>
        </w:rPr>
        <w:t>文件。</w:t>
      </w:r>
    </w:p>
    <w:p w14:paraId="37EC7199">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（5）“投标文件”指投标人根据本项目招标文件向招标人提交的全部文件。</w:t>
      </w:r>
    </w:p>
    <w:p w14:paraId="04FDFEC1">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（6）“书面形式”指打字或印刷的文件和数据电文（包括电报、电传、传真、电子数据交换和电子邮件）。</w:t>
      </w:r>
    </w:p>
    <w:p w14:paraId="4FCDF32B">
      <w:pPr>
        <w:spacing w:line="360" w:lineRule="auto"/>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2、招标说明</w:t>
      </w:r>
    </w:p>
    <w:p w14:paraId="4B887C2A">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2.1本招标工程项目按照《中华人民共和国招标投标法》等有关法律、行政法规、规章和规范性文件，通过招标方式选定承包人。</w:t>
      </w:r>
    </w:p>
    <w:p w14:paraId="7CCF8853">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2.2工程名称、建设地点、建设规模、承包方式、质量标准、招标范围、工期要求等均在投标须知前附表中列明。</w:t>
      </w:r>
    </w:p>
    <w:p w14:paraId="5A633C2C">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2.3设计说明：详见招标图纸。</w:t>
      </w:r>
    </w:p>
    <w:p w14:paraId="0EB71128">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2.4工程施工特点：详见招标图纸。</w:t>
      </w:r>
    </w:p>
    <w:p w14:paraId="08877076">
      <w:pPr>
        <w:tabs>
          <w:tab w:val="left" w:pos="105"/>
        </w:tabs>
        <w:spacing w:line="360" w:lineRule="auto"/>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3．资金来源</w:t>
      </w:r>
    </w:p>
    <w:p w14:paraId="1EE60225">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3.1本招标工程项目资金来源见投标须知前附表第9项</w:t>
      </w:r>
    </w:p>
    <w:p w14:paraId="5EE7E187">
      <w:pPr>
        <w:tabs>
          <w:tab w:val="left" w:pos="105"/>
        </w:tabs>
        <w:spacing w:line="360" w:lineRule="auto"/>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4．合格投标人的条件</w:t>
      </w:r>
    </w:p>
    <w:p w14:paraId="7C87EE3A">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4.1详见本项目招标公告</w:t>
      </w:r>
    </w:p>
    <w:p w14:paraId="44488BEF">
      <w:pPr>
        <w:tabs>
          <w:tab w:val="left" w:pos="105"/>
        </w:tabs>
        <w:spacing w:line="360" w:lineRule="auto"/>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5．踏勘现场</w:t>
      </w:r>
    </w:p>
    <w:p w14:paraId="4F2D7900">
      <w:pPr>
        <w:spacing w:line="360" w:lineRule="auto"/>
        <w:ind w:firstLine="400" w:firstLineChars="200"/>
        <w:rPr>
          <w:rFonts w:hint="eastAsia" w:ascii="宋体" w:hAnsi="宋体" w:cs="宋体"/>
          <w:bCs/>
          <w:color w:val="auto"/>
          <w:sz w:val="20"/>
          <w:szCs w:val="20"/>
          <w:highlight w:val="none"/>
          <w:u w:val="single"/>
        </w:rPr>
      </w:pPr>
      <w:r>
        <w:rPr>
          <w:rFonts w:hint="eastAsia" w:ascii="宋体" w:hAnsi="宋体" w:cs="宋体"/>
          <w:bCs/>
          <w:color w:val="auto"/>
          <w:sz w:val="20"/>
          <w:szCs w:val="20"/>
          <w:highlight w:val="none"/>
        </w:rPr>
        <w:t>5.1 投标人应按本投标须知前附表第15项所述时间和要求对工程现场及周围环境进行踏勘，</w:t>
      </w:r>
      <w:r>
        <w:rPr>
          <w:rFonts w:hint="eastAsia" w:ascii="宋体" w:hAnsi="宋体" w:cs="宋体"/>
          <w:color w:val="auto"/>
          <w:sz w:val="20"/>
          <w:szCs w:val="20"/>
          <w:highlight w:val="none"/>
        </w:rPr>
        <w:t>投标人应充分重视和仔细地进行这种考察，</w:t>
      </w:r>
      <w:r>
        <w:rPr>
          <w:rFonts w:hint="eastAsia" w:ascii="宋体" w:hAnsi="宋体" w:cs="宋体"/>
          <w:bCs/>
          <w:color w:val="auto"/>
          <w:sz w:val="20"/>
          <w:szCs w:val="20"/>
          <w:highlight w:val="none"/>
        </w:rPr>
        <w:t>以便投标人获取</w:t>
      </w:r>
      <w:r>
        <w:rPr>
          <w:rFonts w:hint="eastAsia" w:ascii="宋体" w:hAnsi="宋体" w:cs="宋体"/>
          <w:color w:val="auto"/>
          <w:sz w:val="20"/>
          <w:szCs w:val="20"/>
          <w:highlight w:val="none"/>
        </w:rPr>
        <w:t>那些须投标人自己负责的</w:t>
      </w:r>
      <w:r>
        <w:rPr>
          <w:rFonts w:hint="eastAsia" w:ascii="宋体" w:hAnsi="宋体" w:cs="宋体"/>
          <w:bCs/>
          <w:color w:val="auto"/>
          <w:sz w:val="20"/>
          <w:szCs w:val="20"/>
          <w:highlight w:val="none"/>
        </w:rPr>
        <w:t>有关编制投标文件和签署合同所涉及现场所有的资料。</w:t>
      </w:r>
      <w:r>
        <w:rPr>
          <w:rFonts w:hint="eastAsia" w:ascii="宋体" w:hAnsi="宋体" w:cs="宋体"/>
          <w:color w:val="auto"/>
          <w:sz w:val="20"/>
          <w:szCs w:val="20"/>
          <w:highlight w:val="none"/>
        </w:rPr>
        <w:t>一旦中标，这种考察即被认为其结果已在中标文件中得到充分反映。考察现场的费用由投标人自己承担。</w:t>
      </w:r>
    </w:p>
    <w:p w14:paraId="79F1ECB6">
      <w:pPr>
        <w:tabs>
          <w:tab w:val="left" w:pos="105"/>
        </w:tabs>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5.2 招标人向投标人提供的有关现场的数据和资料，是招标人现有的能被投标人利用的资料，招标人对投标人做出的任何推论、理解和结论均不负责任。</w:t>
      </w:r>
    </w:p>
    <w:p w14:paraId="0BD08416">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5.3 经招标人允许，投标人可为踏勘目的进入招标人的项目现场。</w:t>
      </w:r>
      <w:r>
        <w:rPr>
          <w:rFonts w:hint="eastAsia" w:ascii="宋体" w:hAnsi="宋体" w:cs="宋体"/>
          <w:color w:val="auto"/>
          <w:sz w:val="20"/>
          <w:szCs w:val="20"/>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 w:val="20"/>
          <w:szCs w:val="20"/>
          <w:highlight w:val="none"/>
        </w:rPr>
        <w:t>投标人不得因此使招标人承担有关的责任和蒙受损失。</w:t>
      </w:r>
    </w:p>
    <w:p w14:paraId="456E5D44">
      <w:pPr>
        <w:tabs>
          <w:tab w:val="left" w:pos="105"/>
        </w:tabs>
        <w:spacing w:line="360" w:lineRule="auto"/>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6．投标费用</w:t>
      </w:r>
    </w:p>
    <w:p w14:paraId="59030010">
      <w:pPr>
        <w:tabs>
          <w:tab w:val="left" w:pos="105"/>
        </w:tabs>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6.1</w:t>
      </w:r>
      <w:r>
        <w:rPr>
          <w:rFonts w:hint="eastAsia" w:ascii="宋体" w:hAnsi="宋体" w:cs="宋体"/>
          <w:color w:val="auto"/>
          <w:sz w:val="20"/>
          <w:szCs w:val="20"/>
          <w:highlight w:val="none"/>
        </w:rPr>
        <w:t>不论投标结果如何，投标人应承担</w:t>
      </w:r>
      <w:r>
        <w:rPr>
          <w:rFonts w:hint="eastAsia" w:ascii="宋体" w:hAnsi="宋体" w:cs="宋体"/>
          <w:bCs/>
          <w:color w:val="auto"/>
          <w:sz w:val="20"/>
          <w:szCs w:val="20"/>
          <w:highlight w:val="none"/>
        </w:rPr>
        <w:t>自身</w:t>
      </w:r>
      <w:r>
        <w:rPr>
          <w:rFonts w:hint="eastAsia" w:ascii="宋体" w:hAnsi="宋体" w:cs="宋体"/>
          <w:color w:val="auto"/>
          <w:sz w:val="20"/>
          <w:szCs w:val="20"/>
          <w:highlight w:val="none"/>
        </w:rPr>
        <w:t>因投标文件编制、递交及其他</w:t>
      </w:r>
      <w:r>
        <w:rPr>
          <w:rFonts w:hint="eastAsia" w:ascii="宋体" w:hAnsi="宋体" w:cs="宋体"/>
          <w:bCs/>
          <w:color w:val="auto"/>
          <w:sz w:val="20"/>
          <w:szCs w:val="20"/>
          <w:highlight w:val="none"/>
        </w:rPr>
        <w:t>参加本招标活动</w:t>
      </w:r>
      <w:r>
        <w:rPr>
          <w:rFonts w:hint="eastAsia" w:ascii="宋体" w:hAnsi="宋体" w:cs="宋体"/>
          <w:color w:val="auto"/>
          <w:sz w:val="20"/>
          <w:szCs w:val="20"/>
          <w:highlight w:val="none"/>
        </w:rPr>
        <w:t>所涉及的一切费用，招标人对上述费用不负任何责任。</w:t>
      </w:r>
    </w:p>
    <w:p w14:paraId="01954EAC">
      <w:pPr>
        <w:pStyle w:val="5"/>
        <w:spacing w:before="156" w:after="156"/>
        <w:rPr>
          <w:rFonts w:hint="eastAsia" w:cs="宋体"/>
          <w:color w:val="auto"/>
          <w:sz w:val="20"/>
          <w:szCs w:val="20"/>
          <w:highlight w:val="none"/>
        </w:rPr>
      </w:pPr>
      <w:bookmarkStart w:id="15" w:name="_Toc2272550"/>
      <w:bookmarkStart w:id="16" w:name="_Toc21525494"/>
      <w:r>
        <w:rPr>
          <w:rFonts w:hint="eastAsia" w:cs="宋体"/>
          <w:color w:val="auto"/>
          <w:sz w:val="20"/>
          <w:szCs w:val="20"/>
          <w:highlight w:val="none"/>
        </w:rPr>
        <w:t>（二）招标文件</w:t>
      </w:r>
      <w:bookmarkEnd w:id="15"/>
      <w:bookmarkEnd w:id="16"/>
    </w:p>
    <w:p w14:paraId="61728E56">
      <w:pPr>
        <w:tabs>
          <w:tab w:val="left" w:pos="105"/>
        </w:tabs>
        <w:spacing w:line="360" w:lineRule="auto"/>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7.招标文件的组成</w:t>
      </w:r>
    </w:p>
    <w:p w14:paraId="35CF8197">
      <w:pPr>
        <w:spacing w:line="360" w:lineRule="auto"/>
        <w:ind w:firstLine="400" w:firstLineChars="200"/>
        <w:rPr>
          <w:rFonts w:hint="eastAsia" w:ascii="宋体" w:hAnsi="宋体" w:cs="宋体"/>
          <w:color w:val="auto"/>
          <w:sz w:val="20"/>
          <w:szCs w:val="20"/>
          <w:highlight w:val="none"/>
        </w:rPr>
      </w:pPr>
      <w:r>
        <w:rPr>
          <w:rFonts w:hint="eastAsia" w:ascii="宋体" w:hAnsi="宋体" w:cs="宋体"/>
          <w:bCs/>
          <w:color w:val="auto"/>
          <w:sz w:val="20"/>
          <w:szCs w:val="20"/>
          <w:highlight w:val="none"/>
        </w:rPr>
        <w:t>7.1</w:t>
      </w:r>
      <w:r>
        <w:rPr>
          <w:rFonts w:hint="eastAsia" w:ascii="宋体" w:hAnsi="宋体" w:cs="宋体"/>
          <w:color w:val="auto"/>
          <w:sz w:val="20"/>
          <w:szCs w:val="20"/>
          <w:highlight w:val="none"/>
        </w:rPr>
        <w:t>本招标文件包括下列文件，以及所有按本须知第8条发出的招标答疑会会议纪要和按本须知第9条发出的澄清或修改：</w:t>
      </w:r>
    </w:p>
    <w:p w14:paraId="52F91293">
      <w:pPr>
        <w:pStyle w:val="48"/>
        <w:spacing w:after="0" w:line="360" w:lineRule="auto"/>
        <w:ind w:left="-2" w:firstLine="400" w:firstLineChars="200"/>
        <w:rPr>
          <w:rFonts w:hint="eastAsia" w:ascii="宋体" w:hAnsi="宋体" w:eastAsia="宋体" w:cs="宋体"/>
          <w:color w:val="auto"/>
          <w:szCs w:val="20"/>
          <w:highlight w:val="none"/>
        </w:rPr>
      </w:pPr>
      <w:r>
        <w:rPr>
          <w:rFonts w:hint="eastAsia" w:ascii="宋体" w:hAnsi="宋体" w:eastAsia="宋体" w:cs="宋体"/>
          <w:bCs/>
          <w:color w:val="auto"/>
          <w:szCs w:val="20"/>
          <w:highlight w:val="none"/>
        </w:rPr>
        <w:t xml:space="preserve">第一章  </w:t>
      </w:r>
      <w:r>
        <w:rPr>
          <w:rFonts w:hint="eastAsia" w:ascii="宋体" w:hAnsi="宋体" w:eastAsia="宋体" w:cs="宋体"/>
          <w:color w:val="auto"/>
          <w:szCs w:val="20"/>
          <w:highlight w:val="none"/>
        </w:rPr>
        <w:t>投标须知</w:t>
      </w:r>
    </w:p>
    <w:p w14:paraId="60FF7C99">
      <w:pPr>
        <w:pStyle w:val="48"/>
        <w:spacing w:after="0" w:line="360" w:lineRule="auto"/>
        <w:ind w:left="-2" w:firstLine="400" w:firstLineChars="200"/>
        <w:rPr>
          <w:rFonts w:hint="eastAsia" w:ascii="宋体" w:hAnsi="宋体" w:eastAsia="宋体" w:cs="宋体"/>
          <w:color w:val="auto"/>
          <w:szCs w:val="20"/>
          <w:highlight w:val="none"/>
        </w:rPr>
      </w:pPr>
      <w:r>
        <w:rPr>
          <w:rFonts w:hint="eastAsia" w:ascii="宋体" w:hAnsi="宋体" w:eastAsia="宋体" w:cs="宋体"/>
          <w:bCs/>
          <w:color w:val="auto"/>
          <w:szCs w:val="20"/>
          <w:highlight w:val="none"/>
        </w:rPr>
        <w:t xml:space="preserve">第二章  </w:t>
      </w:r>
      <w:r>
        <w:rPr>
          <w:rFonts w:hint="eastAsia" w:ascii="宋体" w:hAnsi="宋体" w:eastAsia="宋体" w:cs="宋体"/>
          <w:color w:val="auto"/>
          <w:szCs w:val="20"/>
          <w:highlight w:val="none"/>
        </w:rPr>
        <w:t>开标、评标及定标办法</w:t>
      </w:r>
    </w:p>
    <w:p w14:paraId="05DAFC82">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第三章  合同条款</w:t>
      </w:r>
    </w:p>
    <w:p w14:paraId="03BA9A33">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bCs/>
          <w:color w:val="auto"/>
          <w:szCs w:val="20"/>
          <w:highlight w:val="none"/>
        </w:rPr>
        <w:t xml:space="preserve">第四章  </w:t>
      </w:r>
      <w:r>
        <w:rPr>
          <w:rFonts w:hint="eastAsia" w:ascii="宋体" w:hAnsi="宋体" w:eastAsia="宋体" w:cs="宋体"/>
          <w:color w:val="auto"/>
          <w:szCs w:val="20"/>
          <w:highlight w:val="none"/>
        </w:rPr>
        <w:t>投标文件格式</w:t>
      </w:r>
    </w:p>
    <w:p w14:paraId="5496F50A">
      <w:pPr>
        <w:pStyle w:val="48"/>
        <w:spacing w:after="0" w:line="360" w:lineRule="auto"/>
        <w:ind w:left="-2" w:firstLine="400" w:firstLineChars="200"/>
        <w:rPr>
          <w:rFonts w:hint="eastAsia" w:ascii="宋体" w:hAnsi="宋体" w:eastAsia="宋体" w:cs="宋体"/>
          <w:color w:val="auto"/>
          <w:szCs w:val="20"/>
          <w:highlight w:val="none"/>
        </w:rPr>
      </w:pPr>
      <w:r>
        <w:rPr>
          <w:rFonts w:hint="eastAsia" w:ascii="宋体" w:hAnsi="宋体" w:eastAsia="宋体" w:cs="宋体"/>
          <w:bCs/>
          <w:color w:val="auto"/>
          <w:szCs w:val="20"/>
          <w:highlight w:val="none"/>
        </w:rPr>
        <w:t xml:space="preserve">第五章  </w:t>
      </w:r>
      <w:r>
        <w:rPr>
          <w:rFonts w:hint="eastAsia" w:ascii="宋体" w:hAnsi="宋体" w:eastAsia="宋体" w:cs="宋体"/>
          <w:color w:val="auto"/>
          <w:szCs w:val="20"/>
          <w:highlight w:val="none"/>
        </w:rPr>
        <w:t>技术条件（工程建设标准）（另册）</w:t>
      </w:r>
    </w:p>
    <w:p w14:paraId="25DE82BB">
      <w:pPr>
        <w:pStyle w:val="48"/>
        <w:spacing w:after="0" w:line="360" w:lineRule="auto"/>
        <w:ind w:left="-2" w:firstLine="400" w:firstLineChars="200"/>
        <w:rPr>
          <w:rFonts w:hint="eastAsia" w:ascii="宋体" w:hAnsi="宋体" w:eastAsia="宋体" w:cs="宋体"/>
          <w:color w:val="auto"/>
          <w:szCs w:val="20"/>
          <w:highlight w:val="none"/>
        </w:rPr>
      </w:pPr>
      <w:r>
        <w:rPr>
          <w:rFonts w:hint="eastAsia" w:ascii="宋体" w:hAnsi="宋体" w:eastAsia="宋体" w:cs="宋体"/>
          <w:bCs/>
          <w:color w:val="auto"/>
          <w:szCs w:val="20"/>
          <w:highlight w:val="none"/>
        </w:rPr>
        <w:t xml:space="preserve">第六章  </w:t>
      </w:r>
      <w:r>
        <w:rPr>
          <w:rFonts w:hint="eastAsia" w:ascii="宋体" w:hAnsi="宋体" w:eastAsia="宋体" w:cs="宋体"/>
          <w:color w:val="auto"/>
          <w:szCs w:val="20"/>
          <w:highlight w:val="none"/>
        </w:rPr>
        <w:t>图纸及勘察资料（另册）</w:t>
      </w:r>
    </w:p>
    <w:p w14:paraId="640D1567">
      <w:pPr>
        <w:pStyle w:val="48"/>
        <w:spacing w:after="0" w:line="360" w:lineRule="auto"/>
        <w:ind w:left="-2" w:firstLine="400" w:firstLineChars="200"/>
        <w:rPr>
          <w:rFonts w:hint="eastAsia" w:ascii="宋体" w:hAnsi="宋体" w:eastAsia="宋体" w:cs="宋体"/>
          <w:color w:val="auto"/>
          <w:szCs w:val="20"/>
          <w:highlight w:val="none"/>
        </w:rPr>
      </w:pPr>
      <w:r>
        <w:rPr>
          <w:rFonts w:hint="eastAsia" w:ascii="宋体" w:hAnsi="宋体" w:eastAsia="宋体" w:cs="宋体"/>
          <w:bCs/>
          <w:color w:val="auto"/>
          <w:szCs w:val="20"/>
          <w:highlight w:val="none"/>
        </w:rPr>
        <w:t>第七章  招标</w:t>
      </w:r>
      <w:r>
        <w:rPr>
          <w:rFonts w:hint="eastAsia" w:ascii="宋体" w:hAnsi="宋体" w:eastAsia="宋体" w:cs="宋体"/>
          <w:color w:val="auto"/>
          <w:szCs w:val="20"/>
          <w:highlight w:val="none"/>
        </w:rPr>
        <w:t>工程量清单（另册）</w:t>
      </w:r>
    </w:p>
    <w:p w14:paraId="5EED417F">
      <w:pPr>
        <w:pStyle w:val="48"/>
        <w:spacing w:after="0" w:line="360" w:lineRule="auto"/>
        <w:ind w:left="-2"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第八章  最高投标限价</w:t>
      </w:r>
    </w:p>
    <w:p w14:paraId="05054759">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F72205A">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7.3 投标人一旦中标，招标文件的内容对招标人和中标人双方均有约束力。</w:t>
      </w:r>
    </w:p>
    <w:p w14:paraId="3EEEC167">
      <w:pPr>
        <w:pStyle w:val="48"/>
        <w:spacing w:after="0" w:line="360" w:lineRule="auto"/>
        <w:ind w:firstLine="40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8．招标答疑</w:t>
      </w:r>
    </w:p>
    <w:p w14:paraId="10BCD8D3">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8.1 投标人若对招标文件（包括招标图纸）中有疑问，可以书面形式通过</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交易平台提交给招标人或招标代理人，提交形式见本须知前附表第16项。</w:t>
      </w:r>
    </w:p>
    <w:p w14:paraId="19FCBB83">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8.2招标答疑会会议纪要将在提交投标文件截止时间15日前在</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交易平台 “项目答疑纪要”专区公开发布。答疑纪要一经在</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交易平台发布，视作已发放给所有投标人。</w:t>
      </w:r>
    </w:p>
    <w:p w14:paraId="52E9FB35">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8.3答疑会会议纪要为招标文件的一部分。</w:t>
      </w:r>
    </w:p>
    <w:p w14:paraId="63A9C6AC">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8.4若招标答疑会会议纪要与招标文件有矛盾，以答疑会议纪要最后发出的书面形式的文件为准。</w:t>
      </w:r>
    </w:p>
    <w:p w14:paraId="09ABDFF0">
      <w:pPr>
        <w:pStyle w:val="48"/>
        <w:spacing w:after="0" w:line="360" w:lineRule="auto"/>
        <w:ind w:firstLine="40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9.招标文件的澄清与修改</w:t>
      </w:r>
    </w:p>
    <w:p w14:paraId="40895556">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9.1招标文件发出后,在提交投标文件截止时间15日前，招标人可对招标文件进行必要的澄清或修改。</w:t>
      </w:r>
    </w:p>
    <w:p w14:paraId="38819BC2">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9.2招标文件的澄清或修改将在</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交易平台“项目答疑纪要”专区公开发布。答疑纪要一经在</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交易平台发布，视作已发放给所有投标人，以</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交易平台上网发布时间作为送达时间。</w:t>
      </w:r>
    </w:p>
    <w:p w14:paraId="0223A316">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9.3招标文件的修改内容为招标文件的组成部分。</w:t>
      </w:r>
    </w:p>
    <w:p w14:paraId="15CBA707">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9.4招标文件的澄清或修改均以书面形式明确的内容为准。当招标文件的澄清、修改、补充等在同一内容的表述不一致时，以最后发出的书面形式的文件为准。</w:t>
      </w:r>
    </w:p>
    <w:p w14:paraId="6698A6F8">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8429631">
      <w:pPr>
        <w:pStyle w:val="5"/>
        <w:spacing w:before="156" w:after="156"/>
        <w:rPr>
          <w:rFonts w:hint="eastAsia" w:cs="宋体"/>
          <w:color w:val="auto"/>
          <w:sz w:val="20"/>
          <w:szCs w:val="20"/>
          <w:highlight w:val="none"/>
        </w:rPr>
      </w:pPr>
      <w:bookmarkStart w:id="17" w:name="_Toc2272551"/>
      <w:bookmarkStart w:id="18" w:name="_Toc21525495"/>
      <w:r>
        <w:rPr>
          <w:rFonts w:hint="eastAsia" w:cs="宋体"/>
          <w:color w:val="auto"/>
          <w:sz w:val="20"/>
          <w:szCs w:val="20"/>
          <w:highlight w:val="none"/>
        </w:rPr>
        <w:t>（三）投标文件的编制</w:t>
      </w:r>
      <w:bookmarkEnd w:id="17"/>
      <w:bookmarkEnd w:id="18"/>
    </w:p>
    <w:p w14:paraId="126CD63D">
      <w:pPr>
        <w:pStyle w:val="48"/>
        <w:spacing w:after="0" w:line="360" w:lineRule="auto"/>
        <w:ind w:firstLine="40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10．投标文件的语言及度量衡单位</w:t>
      </w:r>
    </w:p>
    <w:p w14:paraId="006C6F91">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10.1 投标文件和与投标有关的所有文件均应使用中文。</w:t>
      </w:r>
    </w:p>
    <w:p w14:paraId="45D5A7A2">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10.2 除工程规范另有规定外，投标文件使用的度量衡单位，均采用中华人民共和国法定计量单位。</w:t>
      </w:r>
    </w:p>
    <w:p w14:paraId="31903625">
      <w:pPr>
        <w:pStyle w:val="48"/>
        <w:spacing w:after="0" w:line="360" w:lineRule="auto"/>
        <w:ind w:firstLine="40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11．投标文件的组成</w:t>
      </w:r>
    </w:p>
    <w:p w14:paraId="05331EFD">
      <w:pPr>
        <w:pStyle w:val="48"/>
        <w:spacing w:after="0" w:line="360" w:lineRule="auto"/>
        <w:ind w:firstLine="400" w:firstLineChars="200"/>
        <w:rPr>
          <w:rFonts w:hint="eastAsia" w:ascii="宋体" w:hAnsi="宋体" w:eastAsia="宋体" w:cs="宋体"/>
          <w:b/>
          <w:color w:val="auto"/>
          <w:szCs w:val="20"/>
          <w:highlight w:val="none"/>
        </w:rPr>
      </w:pPr>
      <w:r>
        <w:rPr>
          <w:rFonts w:hint="eastAsia" w:ascii="宋体" w:hAnsi="宋体" w:eastAsia="宋体" w:cs="宋体"/>
          <w:color w:val="auto"/>
          <w:szCs w:val="20"/>
          <w:highlight w:val="none"/>
        </w:rPr>
        <w:t>11.1 投标文件由技术部分（含资格审查文件）和经济部分两部分投标文件组成</w:t>
      </w:r>
      <w:r>
        <w:rPr>
          <w:rFonts w:hint="eastAsia" w:ascii="宋体" w:hAnsi="宋体" w:eastAsia="宋体" w:cs="宋体"/>
          <w:b/>
          <w:color w:val="auto"/>
          <w:szCs w:val="20"/>
          <w:highlight w:val="none"/>
        </w:rPr>
        <w:t>。</w:t>
      </w:r>
    </w:p>
    <w:p w14:paraId="4071D875">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11.2投标文件技术标部分主要包括下列内容:</w:t>
      </w:r>
    </w:p>
    <w:p w14:paraId="42D4406B">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11.2.1 技术投标文件</w:t>
      </w:r>
      <w:r>
        <w:rPr>
          <w:rFonts w:hint="eastAsia" w:ascii="宋体" w:hAnsi="宋体" w:cs="宋体"/>
          <w:color w:val="auto"/>
          <w:sz w:val="20"/>
          <w:szCs w:val="20"/>
          <w:highlight w:val="none"/>
        </w:rPr>
        <w:t>(按招标文件的要求填写)</w:t>
      </w:r>
      <w:r>
        <w:rPr>
          <w:rFonts w:hint="eastAsia" w:ascii="宋体" w:hAnsi="宋体" w:cs="宋体"/>
          <w:bCs/>
          <w:color w:val="auto"/>
          <w:sz w:val="20"/>
          <w:szCs w:val="20"/>
          <w:highlight w:val="none"/>
        </w:rPr>
        <w:t>；</w:t>
      </w:r>
    </w:p>
    <w:p w14:paraId="41BC78F8">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11.2.2 资格审查文件：</w:t>
      </w:r>
    </w:p>
    <w:p w14:paraId="57245C47">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 xml:space="preserve">（1）投标人声明； </w:t>
      </w:r>
    </w:p>
    <w:p w14:paraId="0975BFAE">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（2）法定代表人证明书、法定代表人签字或盖章的本投标文件授权委托证明书；</w:t>
      </w:r>
    </w:p>
    <w:p w14:paraId="44107A1A">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（3）企业营业执照（取自平台内上传件）；</w:t>
      </w:r>
    </w:p>
    <w:p w14:paraId="0F221E0B">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（4）企业资质证书（取自平台内上传件）；</w:t>
      </w:r>
    </w:p>
    <w:p w14:paraId="3367B036">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（5）建筑施工企业安全生产许可证（取自平台内上传件）；</w:t>
      </w:r>
    </w:p>
    <w:p w14:paraId="2BC00F80">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（6）项目负责人（按网上投标登记时选择拟投标的项目负责人）</w:t>
      </w:r>
    </w:p>
    <w:p w14:paraId="648FAA2B">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（7）专职安全员（按网上投标登记时选择拟投标的专职安全员）</w:t>
      </w:r>
    </w:p>
    <w:p w14:paraId="4C512395">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（8）拟委托技术负责人的相关证书、资料（具体要求由招标人明确）</w:t>
      </w:r>
    </w:p>
    <w:p w14:paraId="6A0FF094">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 xml:space="preserve">（9）拟委派项目负责人的建造师注册证书或小型项目负责人相关证明（取自平台内上传件）； </w:t>
      </w:r>
    </w:p>
    <w:p w14:paraId="032BBED6">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（10）项目负责人安全生产考核合格证明或在有效期内的安全考核合格证书（B类）或建筑施工企业项目负责人安全生产考核合格证书（取自平台内上传件）；</w:t>
      </w:r>
    </w:p>
    <w:p w14:paraId="47C0DA36">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（11）专职安全员须具有在有效期内的安全考核合格证书（C类或C3）或建筑施工企业专职安全生产管理人员安全生产考核合格证书（取自平台内上传件）；</w:t>
      </w:r>
    </w:p>
    <w:p w14:paraId="64B4FB99">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（12）用于资格审查的业绩（设置业绩要求时选择此项，投标人</w:t>
      </w:r>
      <w:r>
        <w:rPr>
          <w:rFonts w:hint="eastAsia" w:ascii="宋体" w:hAnsi="宋体" w:cs="宋体"/>
          <w:color w:val="auto"/>
          <w:sz w:val="20"/>
          <w:szCs w:val="20"/>
          <w:highlight w:val="none"/>
        </w:rPr>
        <w:t>须提供类似工程业绩的项目名称及项目编号，具体格式由招标人自定</w:t>
      </w:r>
      <w:r>
        <w:rPr>
          <w:rFonts w:hint="eastAsia" w:ascii="宋体" w:hAnsi="宋体" w:cs="宋体"/>
          <w:bCs/>
          <w:color w:val="auto"/>
          <w:sz w:val="20"/>
          <w:szCs w:val="20"/>
          <w:highlight w:val="none"/>
        </w:rPr>
        <w:t>）；</w:t>
      </w:r>
    </w:p>
    <w:p w14:paraId="077E0BCE">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（13）资格审查前，投标人须在广州市住房和城乡建设局建立企业信用档案，拟担任本工程项目负责人、专职安全员须是本企业信用档案中的在册人员。</w:t>
      </w:r>
    </w:p>
    <w:p w14:paraId="61CCA09E">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 w:val="20"/>
          <w:szCs w:val="20"/>
          <w:highlight w:val="none"/>
        </w:rPr>
        <w:t>联合体工作协议应明确约定各方拟承担的工作和责任</w:t>
      </w:r>
      <w:r>
        <w:rPr>
          <w:rFonts w:hint="eastAsia" w:ascii="宋体" w:hAnsi="宋体" w:cs="宋体"/>
          <w:bCs/>
          <w:color w:val="auto"/>
          <w:sz w:val="20"/>
          <w:szCs w:val="20"/>
          <w:highlight w:val="none"/>
        </w:rPr>
        <w:t xml:space="preserve">）； </w:t>
      </w:r>
    </w:p>
    <w:p w14:paraId="3DC45C99">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（15）</w:t>
      </w:r>
      <w:r>
        <w:rPr>
          <w:rFonts w:hint="eastAsia" w:ascii="宋体" w:hAnsi="宋体" w:cs="宋体"/>
          <w:color w:val="auto"/>
          <w:sz w:val="20"/>
          <w:szCs w:val="20"/>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0DCE7367">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11.2.3项目管理机构配备。</w:t>
      </w:r>
    </w:p>
    <w:p w14:paraId="1B996418">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（1）投标人应列出该项目工程的施工组织机构构成和画出机构框架图及其负责人；</w:t>
      </w:r>
    </w:p>
    <w:p w14:paraId="21EC6230">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（2）投标人应详细列出该施工组织机构中主要成员的名单、简历资料、职务职称和在本项目中拟担任的职务等资料，并附上有关证明材料扫描件；</w:t>
      </w:r>
    </w:p>
    <w:p w14:paraId="5B16F348">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（3）其他辅助说明资料。</w:t>
      </w:r>
    </w:p>
    <w:p w14:paraId="32DDE464">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11.2.4投标人在广州市可使用适合本工程的机械设备（附：机械设备为自有或租赁的说明；及承诺机械设备如属于租赁的，其租赁是不属于重复租赁）。</w:t>
      </w:r>
    </w:p>
    <w:p w14:paraId="29C0E9B0">
      <w:pPr>
        <w:tabs>
          <w:tab w:val="left" w:pos="1125"/>
        </w:tabs>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11.2.5施工组织设计或施工方案。</w:t>
      </w:r>
    </w:p>
    <w:p w14:paraId="5B8294BE">
      <w:pPr>
        <w:tabs>
          <w:tab w:val="left" w:pos="1125"/>
        </w:tabs>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11.2.6按照</w:t>
      </w:r>
      <w:r>
        <w:rPr>
          <w:rFonts w:hint="eastAsia" w:ascii="宋体" w:hAnsi="宋体" w:cs="宋体"/>
          <w:bCs/>
          <w:color w:val="auto"/>
          <w:sz w:val="20"/>
          <w:szCs w:val="20"/>
          <w:highlight w:val="none"/>
        </w:rPr>
        <w:t>招标文件要求</w:t>
      </w:r>
      <w:r>
        <w:rPr>
          <w:rFonts w:hint="eastAsia" w:ascii="宋体" w:hAnsi="宋体" w:cs="宋体"/>
          <w:color w:val="auto"/>
          <w:sz w:val="20"/>
          <w:szCs w:val="20"/>
          <w:highlight w:val="none"/>
        </w:rPr>
        <w:t>填写的《参与编制技术标投标文件人员名单》。</w:t>
      </w:r>
    </w:p>
    <w:p w14:paraId="3FCB5840">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11.3 经济部分投标文件主要包括下列内容：</w:t>
      </w:r>
    </w:p>
    <w:p w14:paraId="709A30FD">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11.3.1 经济投标文件(按招标文件的要求填写)。</w:t>
      </w:r>
    </w:p>
    <w:p w14:paraId="631ED681">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5B4B004D">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（1）投标总价封面、扉页；</w:t>
      </w:r>
    </w:p>
    <w:p w14:paraId="33D19202">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（2）总说明</w:t>
      </w:r>
    </w:p>
    <w:p w14:paraId="071DF661">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（3）工程项目投标报价汇总表；</w:t>
      </w:r>
    </w:p>
    <w:p w14:paraId="1CE6F8A0">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（4）单项工程投标报价汇总表；</w:t>
      </w:r>
    </w:p>
    <w:p w14:paraId="7C91598B">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（5）单位工程投标报价汇总表；</w:t>
      </w:r>
    </w:p>
    <w:p w14:paraId="2864FB23">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（6）分部分项工程清单与计价表；</w:t>
      </w:r>
    </w:p>
    <w:p w14:paraId="5D824CD6">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（7）单价措施项目清单与计价表；</w:t>
      </w:r>
    </w:p>
    <w:p w14:paraId="63FEBA49">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（8）总价措施项目清单与计价表；</w:t>
      </w:r>
    </w:p>
    <w:p w14:paraId="178A0328">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（9）综合单价分析表；</w:t>
      </w:r>
    </w:p>
    <w:p w14:paraId="4DBA9583">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（10）其他项目清单与计价汇总表；</w:t>
      </w:r>
    </w:p>
    <w:p w14:paraId="5A8FAF24">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（11）暂列金额明细表；</w:t>
      </w:r>
    </w:p>
    <w:p w14:paraId="676D06B8">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（12）材料（工程设备）暂估价明细表；</w:t>
      </w:r>
    </w:p>
    <w:p w14:paraId="4B2B018D">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（13）专业工程暂估价明细表；</w:t>
      </w:r>
    </w:p>
    <w:p w14:paraId="455E4147">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（14）计日工表；</w:t>
      </w:r>
    </w:p>
    <w:p w14:paraId="0ECF2254">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（15）总承包服务计价表；</w:t>
      </w:r>
    </w:p>
    <w:p w14:paraId="174E2929">
      <w:pPr>
        <w:spacing w:line="360" w:lineRule="auto"/>
        <w:ind w:firstLine="472" w:firstLineChars="236"/>
        <w:rPr>
          <w:rFonts w:hint="eastAsia" w:ascii="宋体" w:hAnsi="宋体" w:cs="宋体"/>
          <w:color w:val="auto"/>
          <w:sz w:val="20"/>
          <w:szCs w:val="20"/>
          <w:highlight w:val="none"/>
        </w:rPr>
      </w:pPr>
      <w:r>
        <w:rPr>
          <w:rFonts w:hint="eastAsia" w:ascii="宋体" w:hAnsi="宋体" w:cs="宋体"/>
          <w:color w:val="auto"/>
          <w:sz w:val="20"/>
          <w:szCs w:val="20"/>
          <w:highlight w:val="none"/>
        </w:rPr>
        <w:t>（16）规费和税金项目计价表；</w:t>
      </w:r>
    </w:p>
    <w:p w14:paraId="7E1D3DAF">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（17）人工、主要材料和设备一览表</w:t>
      </w:r>
    </w:p>
    <w:p w14:paraId="18D1AB6F">
      <w:pPr>
        <w:tabs>
          <w:tab w:val="left" w:pos="1125"/>
        </w:tabs>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11.3.3按照</w:t>
      </w:r>
      <w:r>
        <w:rPr>
          <w:rFonts w:hint="eastAsia" w:ascii="宋体" w:hAnsi="宋体" w:cs="宋体"/>
          <w:bCs/>
          <w:color w:val="auto"/>
          <w:sz w:val="20"/>
          <w:szCs w:val="20"/>
          <w:highlight w:val="none"/>
        </w:rPr>
        <w:t>招标文件要求</w:t>
      </w:r>
      <w:r>
        <w:rPr>
          <w:rFonts w:hint="eastAsia" w:ascii="宋体" w:hAnsi="宋体" w:cs="宋体"/>
          <w:color w:val="auto"/>
          <w:sz w:val="20"/>
          <w:szCs w:val="20"/>
          <w:highlight w:val="none"/>
        </w:rPr>
        <w:t>填写的《参与编制经济标投标文件人员名单》。</w:t>
      </w:r>
    </w:p>
    <w:p w14:paraId="53C02986">
      <w:pPr>
        <w:tabs>
          <w:tab w:val="left" w:pos="1125"/>
        </w:tabs>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11.3.4若投标人的投标报价低于工程成本警戒价的，投标人还须提供详细的施工组织设计、单价、措施性费用、单价分析表、主要材料价格表、投标人成本分析供评标委员会评审。</w:t>
      </w:r>
    </w:p>
    <w:p w14:paraId="1FB76749">
      <w:pPr>
        <w:pStyle w:val="48"/>
        <w:spacing w:after="0" w:line="360" w:lineRule="auto"/>
        <w:ind w:firstLine="40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12．投标文件格式</w:t>
      </w:r>
    </w:p>
    <w:p w14:paraId="4A3749AF">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12.1 投标文件包括本须知第11条中规定的内容，投标人提交的投标文件应当使用招标文件所提供的投标文件全部格式（表格可以按同样格式扩展）。</w:t>
      </w:r>
    </w:p>
    <w:p w14:paraId="3F2AA58E">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w:t>
      </w:r>
    </w:p>
    <w:p w14:paraId="12D81D0A">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 xml:space="preserve">12.3 </w:t>
      </w:r>
      <w:r>
        <w:rPr>
          <w:rFonts w:hint="eastAsia" w:ascii="宋体" w:hAnsi="宋体" w:eastAsia="宋体" w:cs="宋体"/>
          <w:bCs/>
          <w:color w:val="auto"/>
          <w:szCs w:val="20"/>
          <w:highlight w:val="none"/>
        </w:rPr>
        <w:t>投标文件应按</w:t>
      </w:r>
      <w:r>
        <w:rPr>
          <w:rFonts w:hint="eastAsia" w:ascii="宋体" w:hAnsi="宋体" w:eastAsia="宋体" w:cs="宋体"/>
          <w:color w:val="auto"/>
          <w:szCs w:val="20"/>
          <w:highlight w:val="none"/>
        </w:rPr>
        <w:t>照交易平台关于全流程电子化项目的相关指南进行编制，详见：</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w:t>
      </w:r>
    </w:p>
    <w:p w14:paraId="1AC1EB4B">
      <w:pPr>
        <w:pStyle w:val="48"/>
        <w:spacing w:after="0" w:line="360" w:lineRule="auto"/>
        <w:ind w:firstLine="0"/>
        <w:rPr>
          <w:rFonts w:hint="eastAsia" w:ascii="宋体" w:hAnsi="宋体" w:eastAsia="宋体" w:cs="宋体"/>
          <w:color w:val="auto"/>
          <w:szCs w:val="20"/>
          <w:highlight w:val="none"/>
        </w:rPr>
      </w:pPr>
      <w:r>
        <w:rPr>
          <w:rFonts w:hint="eastAsia" w:ascii="宋体" w:hAnsi="宋体" w:eastAsia="宋体" w:cs="宋体"/>
          <w:bCs/>
          <w:color w:val="auto"/>
          <w:szCs w:val="20"/>
          <w:highlight w:val="none"/>
        </w:rPr>
        <w:t>如不按上述要求编制引起系统无法检索、读取相关信息的，其后果由投标人承担。</w:t>
      </w:r>
    </w:p>
    <w:p w14:paraId="07A57BAD">
      <w:pPr>
        <w:pStyle w:val="48"/>
        <w:spacing w:after="0" w:line="360" w:lineRule="auto"/>
        <w:ind w:firstLine="40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13．投标报价及造价承包和变更结算方式</w:t>
      </w:r>
    </w:p>
    <w:p w14:paraId="6AABB66B">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13.1 本工程的投标报价采用投标须知前附表第12项所规定的方式。投标报价（含单价及总价）精确到“分”。</w:t>
      </w:r>
    </w:p>
    <w:p w14:paraId="543BF4EB">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B24C9CB">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3A1BADD">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7DB3C48">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2D36B2C">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13.5.1中标的投标文件工程量清单中已有相同项目的适用综合单价，则沿用；</w:t>
      </w:r>
    </w:p>
    <w:p w14:paraId="214433EF">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ABD1D62">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0AF1E20D">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13.5.4 如相关定额没有相应子目的，其计价方式由招标人在本招标文件第三章中另行规定。未规定的，中标后双方协商约定。</w:t>
      </w:r>
    </w:p>
    <w:p w14:paraId="2405868C">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13.6暂列金额、暂估价</w:t>
      </w:r>
    </w:p>
    <w:p w14:paraId="09BF5817">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7AABE5AE">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暂估价是指招标人在工程量清单中提供的用于支付必然发生但暂时不能确定价格的材料的单价以及专业工程的金额。</w:t>
      </w:r>
    </w:p>
    <w:p w14:paraId="6C0BB3BC">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53239EF5">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2AB0A47">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766C4B71">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1C9D92C">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637F3FB5">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056BFA41">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52230AC5">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1A3FA816">
      <w:pPr>
        <w:pStyle w:val="48"/>
        <w:spacing w:after="0" w:line="360" w:lineRule="auto"/>
        <w:ind w:firstLine="40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14．投标货币</w:t>
      </w:r>
    </w:p>
    <w:p w14:paraId="5F165447">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14.1 本工程投标报价采用的币种为人民币。</w:t>
      </w:r>
    </w:p>
    <w:p w14:paraId="485E754B">
      <w:pPr>
        <w:pStyle w:val="48"/>
        <w:spacing w:after="0" w:line="360" w:lineRule="auto"/>
        <w:ind w:firstLine="402" w:firstLineChars="200"/>
        <w:rPr>
          <w:rFonts w:hint="eastAsia" w:ascii="宋体" w:hAnsi="宋体" w:eastAsia="宋体" w:cs="宋体"/>
          <w:color w:val="auto"/>
          <w:szCs w:val="20"/>
          <w:highlight w:val="none"/>
        </w:rPr>
      </w:pPr>
      <w:r>
        <w:rPr>
          <w:rFonts w:hint="eastAsia" w:ascii="宋体" w:hAnsi="宋体" w:eastAsia="宋体" w:cs="宋体"/>
          <w:b/>
          <w:bCs/>
          <w:color w:val="auto"/>
          <w:szCs w:val="20"/>
          <w:highlight w:val="none"/>
        </w:rPr>
        <w:t>15．投标有效期</w:t>
      </w:r>
    </w:p>
    <w:p w14:paraId="31BFC5C1">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15.1 投标有效期见投标须知前附表第13项所规定的期限，在此期限内，凡符合本招标文件要求的投标文件均保持有效。</w:t>
      </w:r>
    </w:p>
    <w:p w14:paraId="37DDF168">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7E02AFAA">
      <w:pPr>
        <w:pStyle w:val="48"/>
        <w:spacing w:after="0" w:line="360" w:lineRule="auto"/>
        <w:ind w:firstLine="40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16．投标保证金</w:t>
      </w:r>
    </w:p>
    <w:p w14:paraId="5C6EB119">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16.1投标人应按投标须知前附表第14项所述金额和时间递交</w:t>
      </w:r>
      <w:r>
        <w:rPr>
          <w:rFonts w:hint="eastAsia" w:ascii="宋体" w:hAnsi="宋体" w:cs="宋体"/>
          <w:bCs/>
          <w:color w:val="auto"/>
          <w:sz w:val="20"/>
          <w:szCs w:val="20"/>
          <w:highlight w:val="none"/>
        </w:rPr>
        <w:t>投标保证金</w:t>
      </w:r>
      <w:r>
        <w:rPr>
          <w:rFonts w:hint="eastAsia" w:ascii="宋体" w:hAnsi="宋体" w:cs="宋体"/>
          <w:color w:val="auto"/>
          <w:sz w:val="20"/>
          <w:szCs w:val="20"/>
          <w:highlight w:val="none"/>
        </w:rPr>
        <w:t>。招标人应当允许投标人自主选择现金、银行保函、保证保险、专业工程担保公司担保等方式缴纳投标保证金。</w:t>
      </w:r>
    </w:p>
    <w:p w14:paraId="74308C97">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16.1.1 采用现金或者支票形式提交的，投标保证金须从投标人的银行基本账户转出。</w:t>
      </w:r>
    </w:p>
    <w:p w14:paraId="40BCBECC">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BB7F080">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16.1.3 采用电子形式的保函、担保或保证保险提交投标保证金的，应在招标文件中明确电子递交途径。</w:t>
      </w:r>
    </w:p>
    <w:p w14:paraId="154A58BC">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308C71A1">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16.3投标保证金应依据法律法规的相关规定退还。</w:t>
      </w:r>
    </w:p>
    <w:p w14:paraId="29BA7679">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16.4如有下列情况之一的，招标人可以不予退还投标保证金（是否退还投标保证金由招标人在招标文件中规定）：</w:t>
      </w:r>
    </w:p>
    <w:p w14:paraId="75DCBCC7">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16.4.1因投标人原因造成投标文件未解密的；</w:t>
      </w:r>
    </w:p>
    <w:p w14:paraId="7AD46269">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16.4.2投标人在投标有效期内撤销投标文件；</w:t>
      </w:r>
    </w:p>
    <w:p w14:paraId="718395C5">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16.4.3中标人未能在规定期限内按要求提交履约担保；</w:t>
      </w:r>
    </w:p>
    <w:p w14:paraId="54070B14">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16.4.4中标人未能在规定期限内签署合同协议。</w:t>
      </w:r>
    </w:p>
    <w:p w14:paraId="3BD9039A">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16.5投标人如存在下列情况之一的，将被拒绝在一定时期内参与招标人后续工程投标（拒绝时限需在招标文件中明确）：</w:t>
      </w:r>
    </w:p>
    <w:p w14:paraId="6D2B1446">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16.5.1投标人存在16.4条款所列情形且投标人提交的保函、担保或保证保险无法兑付的；</w:t>
      </w:r>
    </w:p>
    <w:p w14:paraId="7AB040A0">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16.5.2采用非电子形式提交投标保证金的投标人存在16.4条款所列情形，且未按招标人要求补交银行保函、专业工程担保公司担保或保证保险原件的；</w:t>
      </w:r>
    </w:p>
    <w:p w14:paraId="788A5947">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16.5.3按招标文件要求免于提供投标保证金的投标人存在16.4条款所列情形，且未按招标人要求补交投标保证金的；</w:t>
      </w:r>
    </w:p>
    <w:p w14:paraId="0C31BE56">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16.5.3按招标文件要求免于提供投标保证金的投标人存在16.4条款所列情形的。</w:t>
      </w:r>
    </w:p>
    <w:p w14:paraId="510016CA">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注：16.5.3款由招标人二选一，需在招标文件中明确。</w:t>
      </w:r>
    </w:p>
    <w:p w14:paraId="3E891848">
      <w:pPr>
        <w:pStyle w:val="48"/>
        <w:spacing w:after="0" w:line="360" w:lineRule="auto"/>
        <w:ind w:firstLine="40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17．投标文件的签署</w:t>
      </w:r>
    </w:p>
    <w:p w14:paraId="7B85B402">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 xml:space="preserve"> 。</w:t>
      </w:r>
    </w:p>
    <w:p w14:paraId="0A748D08">
      <w:pPr>
        <w:pStyle w:val="5"/>
        <w:spacing w:before="156" w:after="156"/>
        <w:rPr>
          <w:rFonts w:hint="eastAsia" w:cs="宋体"/>
          <w:color w:val="auto"/>
          <w:sz w:val="20"/>
          <w:szCs w:val="20"/>
          <w:highlight w:val="none"/>
        </w:rPr>
      </w:pPr>
      <w:bookmarkStart w:id="19" w:name="_Toc21525496"/>
      <w:bookmarkStart w:id="20" w:name="_Toc2272552"/>
      <w:r>
        <w:rPr>
          <w:rFonts w:hint="eastAsia" w:cs="宋体"/>
          <w:color w:val="auto"/>
          <w:sz w:val="20"/>
          <w:szCs w:val="20"/>
          <w:highlight w:val="none"/>
        </w:rPr>
        <w:t>（四）投标文件的提交</w:t>
      </w:r>
      <w:bookmarkEnd w:id="19"/>
      <w:bookmarkEnd w:id="20"/>
    </w:p>
    <w:p w14:paraId="6B7606F6">
      <w:pPr>
        <w:pStyle w:val="48"/>
        <w:spacing w:after="0" w:line="360" w:lineRule="auto"/>
        <w:ind w:firstLine="40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18．</w:t>
      </w:r>
      <w:r>
        <w:rPr>
          <w:rFonts w:hint="eastAsia" w:ascii="宋体" w:hAnsi="宋体" w:eastAsia="宋体" w:cs="宋体"/>
          <w:b/>
          <w:color w:val="auto"/>
          <w:szCs w:val="20"/>
          <w:highlight w:val="none"/>
        </w:rPr>
        <w:t>投标文件的密封和标记</w:t>
      </w:r>
    </w:p>
    <w:p w14:paraId="4411A704">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18.1递交的电子投标文件（不含备用光盘）必须进行加密。按照交易平台关于</w:t>
      </w:r>
      <w:r>
        <w:rPr>
          <w:rFonts w:hint="eastAsia" w:ascii="宋体" w:hAnsi="宋体" w:cs="宋体"/>
          <w:color w:val="auto"/>
          <w:sz w:val="20"/>
          <w:szCs w:val="20"/>
          <w:highlight w:val="none"/>
        </w:rPr>
        <w:t>全流程电子化项目的相关指南进行操作。详见：</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 xml:space="preserve"> 。</w:t>
      </w:r>
    </w:p>
    <w:p w14:paraId="503570CC">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18.2 未按要求加密的投标文件，</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w:t>
      </w:r>
      <w:r>
        <w:rPr>
          <w:rFonts w:hint="eastAsia" w:ascii="宋体" w:hAnsi="宋体" w:cs="宋体"/>
          <w:bCs/>
          <w:color w:val="auto"/>
          <w:sz w:val="20"/>
          <w:szCs w:val="20"/>
          <w:highlight w:val="none"/>
        </w:rPr>
        <w:t>将予以拒收。</w:t>
      </w:r>
    </w:p>
    <w:p w14:paraId="59D1CC7E">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19．投标文件的递交和接收</w:t>
      </w:r>
    </w:p>
    <w:p w14:paraId="666A01C4">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19.1投标人通过</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交易平台递交电子投标文件。</w:t>
      </w:r>
    </w:p>
    <w:p w14:paraId="65E37B53">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bCs/>
          <w:color w:val="auto"/>
          <w:sz w:val="20"/>
          <w:szCs w:val="20"/>
          <w:highlight w:val="none"/>
        </w:rPr>
        <w:t>19.2投标人完成电子</w:t>
      </w:r>
      <w:r>
        <w:rPr>
          <w:rFonts w:hint="eastAsia" w:ascii="宋体" w:hAnsi="宋体" w:cs="宋体"/>
          <w:color w:val="auto"/>
          <w:sz w:val="20"/>
          <w:szCs w:val="20"/>
          <w:highlight w:val="none"/>
        </w:rPr>
        <w:t>投标文件</w:t>
      </w:r>
      <w:r>
        <w:rPr>
          <w:rFonts w:hint="eastAsia" w:ascii="宋体" w:hAnsi="宋体" w:cs="宋体"/>
          <w:bCs/>
          <w:color w:val="auto"/>
          <w:sz w:val="20"/>
          <w:szCs w:val="20"/>
          <w:highlight w:val="none"/>
        </w:rPr>
        <w:t>上传后，</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交易平台即时向投标人发出递交回执通知。递交时间以递交回执通知载明的传输完成时间为准。</w:t>
      </w:r>
    </w:p>
    <w:p w14:paraId="1AF93922">
      <w:pPr>
        <w:spacing w:line="360" w:lineRule="auto"/>
        <w:ind w:firstLine="400" w:firstLineChars="200"/>
        <w:rPr>
          <w:rFonts w:hint="eastAsia" w:ascii="宋体" w:hAnsi="宋体" w:cs="宋体"/>
          <w:color w:val="auto"/>
          <w:sz w:val="20"/>
          <w:szCs w:val="20"/>
          <w:highlight w:val="none"/>
        </w:rPr>
      </w:pPr>
      <w:r>
        <w:rPr>
          <w:rFonts w:hint="eastAsia" w:ascii="宋体" w:hAnsi="宋体" w:cs="宋体"/>
          <w:bCs/>
          <w:color w:val="auto"/>
          <w:sz w:val="20"/>
          <w:szCs w:val="20"/>
          <w:highlight w:val="none"/>
        </w:rPr>
        <w:t>19.3逾期送达的电子投标文件，</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交易平台将予以拒收。</w:t>
      </w:r>
    </w:p>
    <w:p w14:paraId="7B19D920">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19.4 投标截止前，招标人拒绝接收符合条件的投标文件，投标人可向招标投标监督机构投诉。</w:t>
      </w:r>
    </w:p>
    <w:p w14:paraId="309E74AA">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19.5如技术标和经济标先后分别开启，</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交易平台将按招标文件规定的时间分别开启技术标和经济标。</w:t>
      </w:r>
    </w:p>
    <w:p w14:paraId="3F712D7B">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20．投标文件提交的截止时间</w:t>
      </w:r>
    </w:p>
    <w:p w14:paraId="58A0FAB6">
      <w:pPr>
        <w:spacing w:line="360" w:lineRule="auto"/>
        <w:ind w:firstLine="400" w:firstLineChars="200"/>
        <w:rPr>
          <w:rFonts w:hint="eastAsia" w:ascii="宋体" w:hAnsi="宋体" w:cs="宋体"/>
          <w:b/>
          <w:bCs/>
          <w:color w:val="auto"/>
          <w:sz w:val="20"/>
          <w:szCs w:val="20"/>
          <w:highlight w:val="none"/>
        </w:rPr>
      </w:pPr>
      <w:r>
        <w:rPr>
          <w:rFonts w:hint="eastAsia" w:ascii="宋体" w:hAnsi="宋体" w:cs="宋体"/>
          <w:color w:val="auto"/>
          <w:sz w:val="20"/>
          <w:szCs w:val="20"/>
          <w:highlight w:val="none"/>
        </w:rPr>
        <w:t>20.1投标人应在投标须知前附表第17项所述的时间前提交投标文件。</w:t>
      </w:r>
    </w:p>
    <w:p w14:paraId="745186D4">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74904E6D">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20.3 到投标截止时间止，招标人收到的投标文件少于3家的，招标人将重新组织招标。</w:t>
      </w:r>
    </w:p>
    <w:p w14:paraId="24D75B37">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21．迟交的投标文件</w:t>
      </w:r>
    </w:p>
    <w:p w14:paraId="410DE2B3">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21.1 本须知前附表第17项规定的投标截止时间</w:t>
      </w:r>
      <w:r>
        <w:rPr>
          <w:rFonts w:hint="eastAsia" w:ascii="宋体" w:hAnsi="宋体" w:cs="宋体"/>
          <w:bCs/>
          <w:color w:val="auto"/>
          <w:sz w:val="20"/>
          <w:szCs w:val="20"/>
          <w:highlight w:val="none"/>
        </w:rPr>
        <w:t>后送达的电子投标文件，</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交易平台将予以拒收。</w:t>
      </w:r>
    </w:p>
    <w:p w14:paraId="50581A8F">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22．投标文件的修改与撤回</w:t>
      </w:r>
    </w:p>
    <w:p w14:paraId="3E7F598A">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22.1在规定的投标截止时间前，投标人可以修改或撤回已递交的投标文件，但应以书面形式通知招标人。</w:t>
      </w:r>
    </w:p>
    <w:p w14:paraId="3A5FE543">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22.2投标人修改或撤回已递交的投标文件，需在交易平台发出修改或撤回通知，并按要求加盖电子印章。</w:t>
      </w:r>
      <w:r>
        <w:rPr>
          <w:rFonts w:hint="eastAsia" w:ascii="宋体" w:hAnsi="宋体" w:cs="宋体"/>
          <w:bCs/>
          <w:iCs/>
          <w:color w:val="auto"/>
          <w:sz w:val="20"/>
          <w:szCs w:val="20"/>
          <w:highlight w:val="none"/>
        </w:rPr>
        <w:t>电子招标投标交易平台收到通知后，</w:t>
      </w:r>
      <w:r>
        <w:rPr>
          <w:rFonts w:hint="eastAsia" w:ascii="宋体" w:hAnsi="宋体" w:cs="宋体"/>
          <w:color w:val="auto"/>
          <w:sz w:val="20"/>
          <w:szCs w:val="20"/>
          <w:highlight w:val="none"/>
        </w:rPr>
        <w:t>即时向投标人发出确认回执通知。</w:t>
      </w:r>
    </w:p>
    <w:p w14:paraId="0AC94A0A">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22.3修改后再次递交的，按19点的规定执行。</w:t>
      </w:r>
    </w:p>
    <w:p w14:paraId="7528732E">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22.4 在投标截止时间之后，投标人不得补充、修改和更换投标文件。</w:t>
      </w:r>
    </w:p>
    <w:p w14:paraId="338F819C">
      <w:pPr>
        <w:pStyle w:val="5"/>
        <w:spacing w:before="156" w:after="156"/>
        <w:rPr>
          <w:rFonts w:hint="eastAsia" w:cs="宋体"/>
          <w:color w:val="auto"/>
          <w:sz w:val="20"/>
          <w:szCs w:val="20"/>
          <w:highlight w:val="none"/>
        </w:rPr>
      </w:pPr>
      <w:bookmarkStart w:id="21" w:name="_Toc2272553"/>
      <w:bookmarkStart w:id="22" w:name="_Toc21525497"/>
      <w:r>
        <w:rPr>
          <w:rFonts w:hint="eastAsia" w:cs="宋体"/>
          <w:color w:val="auto"/>
          <w:sz w:val="20"/>
          <w:szCs w:val="20"/>
          <w:highlight w:val="none"/>
        </w:rPr>
        <w:t>（五）开标、评标、定标及合同签定</w:t>
      </w:r>
      <w:bookmarkEnd w:id="21"/>
      <w:bookmarkEnd w:id="22"/>
    </w:p>
    <w:p w14:paraId="487B551E">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23、开标。</w:t>
      </w:r>
    </w:p>
    <w:p w14:paraId="50B5F93C">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详见第二章开标、评标及定标办法</w:t>
      </w:r>
    </w:p>
    <w:p w14:paraId="01C7ED59">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24．评标过程的保密</w:t>
      </w:r>
    </w:p>
    <w:p w14:paraId="6D917A14">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24.1 开标后，直至中标公示为止，凡属于对投标文件的审查、澄清、评价和比较有关的资料以及中标候选人的推荐情况，与评标有关的其他任何情况均严格保密。</w:t>
      </w:r>
    </w:p>
    <w:p w14:paraId="13D5D5F0">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24.2 在投标文件的评审和比较、中标候选人推荐以及授予合同的过程中，投标人向招标人和评标委员会施加不公正影响的任何行为，都将会导致其投标被拒绝。</w:t>
      </w:r>
    </w:p>
    <w:p w14:paraId="567205AA">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25．投标文件的澄清，计算错误的修正</w:t>
      </w:r>
    </w:p>
    <w:p w14:paraId="1339A478">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详见招标文件第二章开标、评标及定标办法</w:t>
      </w:r>
    </w:p>
    <w:p w14:paraId="0C680689">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26．投标文件的评审、比较和否决</w:t>
      </w:r>
    </w:p>
    <w:p w14:paraId="085C7494">
      <w:pPr>
        <w:spacing w:line="360" w:lineRule="auto"/>
        <w:ind w:firstLine="400" w:firstLineChars="200"/>
        <w:rPr>
          <w:rFonts w:hint="eastAsia" w:ascii="宋体" w:hAnsi="宋体" w:cs="宋体"/>
          <w:bCs/>
          <w:color w:val="auto"/>
          <w:sz w:val="20"/>
          <w:szCs w:val="20"/>
          <w:highlight w:val="none"/>
        </w:rPr>
      </w:pPr>
      <w:r>
        <w:rPr>
          <w:rFonts w:hint="eastAsia" w:ascii="宋体" w:hAnsi="宋体" w:cs="宋体"/>
          <w:color w:val="auto"/>
          <w:sz w:val="20"/>
          <w:szCs w:val="20"/>
          <w:highlight w:val="none"/>
        </w:rPr>
        <w:t>详见招标文件第二章开标、评标及定标办法。</w:t>
      </w:r>
    </w:p>
    <w:p w14:paraId="4CAC2086">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27．中标通知书</w:t>
      </w:r>
    </w:p>
    <w:p w14:paraId="55861F2C">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27.1招标人将在</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578AEF5">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27.2招标人应当自确定中标人后，向招标投标监管机构提交招标投标情况的书面报告；经招投标监管机构备案后，方可发出中标通知书。</w:t>
      </w:r>
    </w:p>
    <w:p w14:paraId="7B3679C9">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27.3中标人必须在收到中标通知书后24小时之内以书面形式回复招标人，确认收到。</w:t>
      </w:r>
    </w:p>
    <w:p w14:paraId="560D87ED">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27.4在产生中标候选人后，招标人将中标候选人的投标文件商务部分文件的所有内容（包括人员、业绩、奖项等资料）在</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交易平台和广东省招标投标监管网公开。</w:t>
      </w:r>
    </w:p>
    <w:p w14:paraId="6CB361A1">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28．合同协议书的签订</w:t>
      </w:r>
    </w:p>
    <w:p w14:paraId="7AD6974D">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28.1 招标人与中标人将于中标通知书发出之日起30日内，按照招标文件和中标人的投标文件商定和签订合同，招标人和中标人不得再行订立背离合同实质性内容的其他协议。</w:t>
      </w:r>
    </w:p>
    <w:p w14:paraId="5D255DAD">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F4670D1">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28.3非经招标人同意，中标人在投标过程中使用的银行名称及帐号至完成竣工结算不得变更，否则招标人有权停止工程款项的拔付及至解除合同，由此造成的一切责任由中标人承担。</w:t>
      </w:r>
    </w:p>
    <w:p w14:paraId="662208B3">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28.4招标人支付工程款时，中标人应按规定开具发票。</w:t>
      </w:r>
    </w:p>
    <w:p w14:paraId="22BC35EC">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29．履约担保</w:t>
      </w:r>
    </w:p>
    <w:p w14:paraId="27254D0D">
      <w:pPr>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29.1 在收到中标通知书后的</w:t>
      </w:r>
      <w:r>
        <w:rPr>
          <w:rFonts w:hint="eastAsia" w:ascii="宋体" w:hAnsi="宋体" w:cs="宋体"/>
          <w:b/>
          <w:color w:val="auto"/>
          <w:sz w:val="20"/>
          <w:szCs w:val="20"/>
          <w:highlight w:val="none"/>
        </w:rPr>
        <w:t>15日</w:t>
      </w:r>
      <w:r>
        <w:rPr>
          <w:rFonts w:hint="eastAsia" w:ascii="宋体" w:hAnsi="宋体" w:cs="宋体"/>
          <w:color w:val="auto"/>
          <w:sz w:val="20"/>
          <w:szCs w:val="20"/>
          <w:highlight w:val="none"/>
        </w:rPr>
        <w:t>内，中标人应按本须知前附表第20项的规定向招标人提交履约担保。</w:t>
      </w:r>
    </w:p>
    <w:p w14:paraId="44139902">
      <w:pPr>
        <w:snapToGrid w:val="0"/>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56190C6">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30．合同生效</w:t>
      </w:r>
    </w:p>
    <w:p w14:paraId="0586ABD0">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30.1在合同双方全权代表在合同协议书上签字，并分别加盖双方单位的公章后，合同正式生效。</w:t>
      </w:r>
    </w:p>
    <w:p w14:paraId="2F01DF1A">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31．其它费用</w:t>
      </w:r>
    </w:p>
    <w:p w14:paraId="3A8A614C">
      <w:pPr>
        <w:pStyle w:val="48"/>
        <w:spacing w:after="0" w:line="360" w:lineRule="auto"/>
        <w:ind w:firstLine="40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32．腐败与欺诈行为</w:t>
      </w:r>
    </w:p>
    <w:p w14:paraId="1D2BC7E5">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在招标和合同实施期间，招标人要求投标人和承包人遵守最高的道德标准。</w:t>
      </w:r>
    </w:p>
    <w:p w14:paraId="10AA1ECC">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32．1对本条款的规定，特定义如下词汇：</w:t>
      </w:r>
    </w:p>
    <w:p w14:paraId="5DEF7E09">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1）、“腐败行为”是指在招标或合同执行期间，通过提供、给予、接受或索要任何有价值的东西，从而影响招标人有关人员工作的行为；</w:t>
      </w:r>
    </w:p>
    <w:p w14:paraId="1CC4275F">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7671D33">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32．2如果投标人被认定在本招标的竞争中有腐败或欺诈行为，则会被取消投标资格。</w:t>
      </w:r>
    </w:p>
    <w:p w14:paraId="2E0D0900">
      <w:pPr>
        <w:pStyle w:val="48"/>
        <w:spacing w:after="0"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674D7D68">
      <w:pPr>
        <w:pStyle w:val="3"/>
        <w:jc w:val="center"/>
        <w:rPr>
          <w:rFonts w:hint="eastAsia" w:cs="宋体"/>
          <w:color w:val="auto"/>
          <w:sz w:val="36"/>
          <w:szCs w:val="36"/>
          <w:highlight w:val="none"/>
        </w:rPr>
      </w:pPr>
      <w:r>
        <w:rPr>
          <w:rFonts w:hint="eastAsia" w:cs="宋体"/>
          <w:color w:val="auto"/>
          <w:sz w:val="20"/>
          <w:szCs w:val="20"/>
          <w:highlight w:val="none"/>
        </w:rPr>
        <w:br w:type="page"/>
      </w:r>
      <w:bookmarkStart w:id="23" w:name="_Toc100130476"/>
      <w:bookmarkStart w:id="24" w:name="_Toc2272554"/>
      <w:bookmarkStart w:id="25" w:name="_Toc8083"/>
      <w:r>
        <w:rPr>
          <w:rFonts w:hint="eastAsia" w:cs="宋体"/>
          <w:color w:val="auto"/>
          <w:sz w:val="36"/>
          <w:szCs w:val="36"/>
          <w:highlight w:val="none"/>
        </w:rPr>
        <w:t>第二章 开标、评标及定标办法</w:t>
      </w:r>
      <w:bookmarkEnd w:id="23"/>
      <w:bookmarkEnd w:id="24"/>
      <w:bookmarkEnd w:id="25"/>
    </w:p>
    <w:p w14:paraId="00425CEF">
      <w:pPr>
        <w:pStyle w:val="4"/>
        <w:rPr>
          <w:rFonts w:hint="eastAsia" w:cs="宋体"/>
          <w:color w:val="auto"/>
          <w:sz w:val="20"/>
          <w:szCs w:val="20"/>
          <w:highlight w:val="none"/>
        </w:rPr>
      </w:pPr>
      <w:bookmarkStart w:id="26" w:name="_Toc15304"/>
      <w:bookmarkStart w:id="27" w:name="_Toc100130477"/>
      <w:bookmarkStart w:id="28" w:name="_Toc2272555"/>
      <w:r>
        <w:rPr>
          <w:rFonts w:hint="eastAsia" w:cs="宋体"/>
          <w:color w:val="auto"/>
          <w:sz w:val="20"/>
          <w:szCs w:val="20"/>
          <w:highlight w:val="none"/>
        </w:rPr>
        <w:t>一、开标、评标及定标办法修改表</w:t>
      </w:r>
      <w:bookmarkEnd w:id="26"/>
      <w:bookmarkEnd w:id="27"/>
    </w:p>
    <w:p w14:paraId="03A64897">
      <w:pPr>
        <w:pStyle w:val="48"/>
        <w:pBdr>
          <w:bottom w:val="single" w:color="auto" w:sz="6" w:space="1"/>
        </w:pBdr>
        <w:spacing w:after="0" w:line="360" w:lineRule="auto"/>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w:t>
      </w:r>
      <w:r>
        <w:rPr>
          <w:rFonts w:hint="eastAsia" w:ascii="宋体" w:hAnsi="宋体" w:eastAsia="宋体" w:cs="宋体"/>
          <w:color w:val="auto"/>
          <w:szCs w:val="20"/>
          <w:highlight w:val="none"/>
        </w:rPr>
        <w:fldChar w:fldCharType="begin"/>
      </w:r>
      <w:r>
        <w:rPr>
          <w:rFonts w:hint="eastAsia" w:ascii="宋体" w:hAnsi="宋体" w:eastAsia="宋体" w:cs="宋体"/>
          <w:color w:val="auto"/>
          <w:szCs w:val="20"/>
          <w:highlight w:val="none"/>
        </w:rPr>
        <w:instrText xml:space="preserve"> HYPERLINK "http://www.gzcc.gov.cn/）下载GZZB2018-3" </w:instrText>
      </w:r>
      <w:r>
        <w:rPr>
          <w:rFonts w:hint="eastAsia" w:ascii="宋体" w:hAnsi="宋体" w:eastAsia="宋体" w:cs="宋体"/>
          <w:color w:val="auto"/>
          <w:szCs w:val="20"/>
          <w:highlight w:val="none"/>
        </w:rPr>
        <w:fldChar w:fldCharType="separate"/>
      </w:r>
      <w:r>
        <w:rPr>
          <w:rFonts w:hint="eastAsia" w:ascii="宋体" w:hAnsi="宋体" w:eastAsia="宋体" w:cs="宋体"/>
          <w:b/>
          <w:color w:val="auto"/>
          <w:szCs w:val="20"/>
          <w:highlight w:val="none"/>
        </w:rPr>
        <w:t>网址：http://zfcj.gz.gov.cn/</w:t>
      </w:r>
      <w:r>
        <w:rPr>
          <w:rStyle w:val="58"/>
          <w:rFonts w:hint="eastAsia" w:ascii="宋体" w:hAnsi="宋体" w:eastAsia="宋体" w:cs="宋体"/>
          <w:b/>
          <w:color w:val="auto"/>
          <w:szCs w:val="20"/>
          <w:highlight w:val="none"/>
          <w:u w:val="none"/>
        </w:rPr>
        <w:t>）下载GZZB2018-3</w:t>
      </w:r>
      <w:r>
        <w:rPr>
          <w:rStyle w:val="58"/>
          <w:rFonts w:hint="eastAsia" w:ascii="宋体" w:hAnsi="宋体" w:eastAsia="宋体" w:cs="宋体"/>
          <w:b/>
          <w:color w:val="auto"/>
          <w:szCs w:val="20"/>
          <w:highlight w:val="none"/>
          <w:u w:val="none"/>
        </w:rPr>
        <w:fldChar w:fldCharType="end"/>
      </w:r>
      <w:r>
        <w:rPr>
          <w:rFonts w:hint="eastAsia" w:ascii="宋体" w:hAnsi="宋体" w:eastAsia="宋体" w:cs="宋体"/>
          <w:b/>
          <w:color w:val="auto"/>
          <w:szCs w:val="20"/>
          <w:highlight w:val="none"/>
        </w:rPr>
        <w:t>范本查阅。</w:t>
      </w:r>
    </w:p>
    <w:p w14:paraId="0EC03BDC">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lang w:bidi="ar"/>
        </w:rPr>
        <w:t>条款号：35</w:t>
      </w:r>
      <w:r>
        <w:rPr>
          <w:b/>
          <w:color w:val="auto"/>
          <w:szCs w:val="21"/>
          <w:highlight w:val="none"/>
          <w:lang w:bidi="ar"/>
        </w:rPr>
        <w:t xml:space="preserve">   </w:t>
      </w:r>
      <w:r>
        <w:rPr>
          <w:rFonts w:hint="eastAsia" w:ascii="宋体" w:hAnsi="宋体" w:cs="宋体"/>
          <w:b/>
          <w:color w:val="auto"/>
          <w:szCs w:val="21"/>
          <w:highlight w:val="none"/>
          <w:lang w:bidi="ar"/>
        </w:rPr>
        <w:t xml:space="preserve">          修改类型：修改</w:t>
      </w:r>
    </w:p>
    <w:p w14:paraId="2335C423">
      <w:pPr>
        <w:spacing w:line="360" w:lineRule="auto"/>
        <w:ind w:firstLine="472" w:firstLineChars="224"/>
        <w:rPr>
          <w:rFonts w:hint="eastAsia" w:ascii="宋体" w:hAnsi="宋体" w:cs="宋体"/>
          <w:color w:val="auto"/>
          <w:szCs w:val="21"/>
          <w:highlight w:val="none"/>
          <w:lang w:bidi="ar"/>
        </w:rPr>
      </w:pPr>
      <w:r>
        <w:rPr>
          <w:rFonts w:hint="eastAsia" w:ascii="宋体" w:hAnsi="宋体" w:cs="宋体"/>
          <w:b/>
          <w:color w:val="auto"/>
          <w:szCs w:val="21"/>
          <w:highlight w:val="none"/>
          <w:lang w:bidi="ar"/>
        </w:rPr>
        <w:t>原文</w:t>
      </w:r>
      <w:r>
        <w:rPr>
          <w:rFonts w:hint="eastAsia" w:ascii="宋体" w:hAnsi="宋体" w:cs="宋体"/>
          <w:color w:val="auto"/>
          <w:szCs w:val="21"/>
          <w:highlight w:val="none"/>
          <w:lang w:bidi="ar"/>
        </w:rPr>
        <w:t>：35 开标、评标及定标所依据的规则</w:t>
      </w:r>
    </w:p>
    <w:p w14:paraId="2E888E22">
      <w:pPr>
        <w:spacing w:line="360" w:lineRule="auto"/>
        <w:ind w:firstLine="470" w:firstLineChars="224"/>
        <w:rPr>
          <w:rFonts w:hint="eastAsia" w:ascii="宋体" w:hAnsi="宋体" w:cs="宋体"/>
          <w:color w:val="auto"/>
          <w:szCs w:val="21"/>
          <w:highlight w:val="none"/>
          <w:lang w:bidi="ar"/>
        </w:rPr>
      </w:pPr>
      <w:r>
        <w:rPr>
          <w:rFonts w:hint="eastAsia" w:ascii="宋体" w:hAnsi="宋体" w:cs="宋体"/>
          <w:color w:val="auto"/>
          <w:szCs w:val="21"/>
          <w:highlight w:val="none"/>
          <w:lang w:bidi="ar"/>
        </w:rPr>
        <w:t>35.1《中华人民共和国招标投标法》；</w:t>
      </w:r>
    </w:p>
    <w:p w14:paraId="43D9885A">
      <w:pPr>
        <w:spacing w:line="360" w:lineRule="auto"/>
        <w:ind w:firstLine="470" w:firstLineChars="224"/>
        <w:rPr>
          <w:rFonts w:hint="eastAsia" w:ascii="宋体" w:hAnsi="宋体" w:cs="宋体"/>
          <w:color w:val="auto"/>
          <w:szCs w:val="21"/>
          <w:highlight w:val="none"/>
          <w:lang w:bidi="ar"/>
        </w:rPr>
      </w:pPr>
      <w:r>
        <w:rPr>
          <w:rFonts w:hint="eastAsia" w:ascii="宋体" w:hAnsi="宋体" w:cs="宋体"/>
          <w:color w:val="auto"/>
          <w:szCs w:val="21"/>
          <w:highlight w:val="none"/>
          <w:lang w:bidi="ar"/>
        </w:rPr>
        <w:t>35.2《中华人民共和国招标投标法实施条例》；</w:t>
      </w:r>
    </w:p>
    <w:p w14:paraId="38B7075B">
      <w:pPr>
        <w:spacing w:line="360" w:lineRule="auto"/>
        <w:ind w:firstLine="470" w:firstLineChars="224"/>
        <w:rPr>
          <w:rFonts w:hint="eastAsia" w:ascii="宋体" w:hAnsi="宋体" w:cs="宋体"/>
          <w:color w:val="auto"/>
          <w:szCs w:val="21"/>
          <w:highlight w:val="none"/>
          <w:lang w:bidi="ar"/>
        </w:rPr>
      </w:pPr>
      <w:r>
        <w:rPr>
          <w:rFonts w:hint="eastAsia" w:ascii="宋体" w:hAnsi="宋体" w:cs="宋体"/>
          <w:color w:val="auto"/>
          <w:szCs w:val="21"/>
          <w:highlight w:val="none"/>
          <w:lang w:bidi="ar"/>
        </w:rPr>
        <w:t>35.3《评标委员会和评标方法暂行规定》（七部委第12号令）；</w:t>
      </w:r>
    </w:p>
    <w:p w14:paraId="1CB9AA5E">
      <w:pPr>
        <w:spacing w:line="360" w:lineRule="auto"/>
        <w:ind w:firstLine="470" w:firstLineChars="224"/>
        <w:rPr>
          <w:rFonts w:hint="eastAsia" w:ascii="宋体" w:hAnsi="宋体" w:cs="宋体"/>
          <w:color w:val="auto"/>
          <w:szCs w:val="21"/>
          <w:highlight w:val="none"/>
          <w:lang w:bidi="ar"/>
        </w:rPr>
      </w:pPr>
      <w:r>
        <w:rPr>
          <w:rFonts w:hint="eastAsia" w:ascii="宋体" w:hAnsi="宋体" w:cs="宋体"/>
          <w:color w:val="auto"/>
          <w:szCs w:val="21"/>
          <w:highlight w:val="none"/>
          <w:lang w:bidi="ar"/>
        </w:rPr>
        <w:t>35.4《工程建设项目施工招标投标办法》（七部委2003年第30号令）；</w:t>
      </w:r>
    </w:p>
    <w:p w14:paraId="233F3C65">
      <w:pPr>
        <w:spacing w:line="360" w:lineRule="auto"/>
        <w:ind w:firstLine="470" w:firstLineChars="224"/>
        <w:rPr>
          <w:rFonts w:hint="eastAsia" w:ascii="宋体" w:hAnsi="宋体" w:cs="宋体"/>
          <w:color w:val="auto"/>
          <w:szCs w:val="21"/>
          <w:highlight w:val="none"/>
          <w:lang w:bidi="ar"/>
        </w:rPr>
      </w:pPr>
      <w:r>
        <w:rPr>
          <w:rFonts w:hint="eastAsia" w:ascii="宋体" w:hAnsi="宋体" w:cs="宋体"/>
          <w:color w:val="auto"/>
          <w:szCs w:val="21"/>
          <w:highlight w:val="none"/>
          <w:lang w:bidi="ar"/>
        </w:rPr>
        <w:t>35.5《广东省实施〈中华人民共和国招标投标法〉办法》；</w:t>
      </w:r>
    </w:p>
    <w:p w14:paraId="3E01E3D8">
      <w:pPr>
        <w:spacing w:line="360" w:lineRule="auto"/>
        <w:ind w:firstLine="470" w:firstLineChars="224"/>
        <w:rPr>
          <w:rFonts w:hint="eastAsia" w:ascii="宋体" w:hAnsi="宋体" w:cs="宋体"/>
          <w:color w:val="auto"/>
          <w:szCs w:val="21"/>
          <w:highlight w:val="none"/>
          <w:lang w:bidi="ar"/>
        </w:rPr>
      </w:pPr>
      <w:r>
        <w:rPr>
          <w:rFonts w:hint="eastAsia" w:ascii="宋体" w:hAnsi="宋体" w:cs="宋体"/>
          <w:color w:val="auto"/>
          <w:szCs w:val="21"/>
          <w:highlight w:val="none"/>
          <w:lang w:bidi="ar"/>
        </w:rPr>
        <w:t>35.6《房屋建筑和市政基础设施工程施工招标投标管理办法》（建设部令第89号）；</w:t>
      </w:r>
    </w:p>
    <w:p w14:paraId="7982B2C3">
      <w:pPr>
        <w:spacing w:line="360" w:lineRule="auto"/>
        <w:ind w:firstLine="470" w:firstLineChars="224"/>
        <w:rPr>
          <w:rFonts w:hint="eastAsia" w:ascii="宋体" w:hAnsi="宋体" w:cs="宋体"/>
          <w:color w:val="auto"/>
          <w:szCs w:val="21"/>
          <w:highlight w:val="none"/>
          <w:lang w:bidi="ar"/>
        </w:rPr>
      </w:pPr>
      <w:r>
        <w:rPr>
          <w:rFonts w:hint="eastAsia" w:ascii="宋体" w:hAnsi="宋体" w:cs="宋体"/>
          <w:color w:val="auto"/>
          <w:szCs w:val="21"/>
          <w:highlight w:val="none"/>
          <w:lang w:bidi="ar"/>
        </w:rPr>
        <w:t>35.7《广东省加强建设工程招标投标监督管理的若干规定》（粤发[2004]4号）；</w:t>
      </w:r>
    </w:p>
    <w:p w14:paraId="566B2417">
      <w:pPr>
        <w:spacing w:line="360" w:lineRule="auto"/>
        <w:ind w:firstLine="470" w:firstLineChars="224"/>
        <w:rPr>
          <w:rFonts w:hint="eastAsia" w:ascii="宋体" w:hAnsi="宋体" w:cs="宋体"/>
          <w:color w:val="auto"/>
          <w:szCs w:val="21"/>
          <w:highlight w:val="none"/>
          <w:lang w:bidi="ar"/>
        </w:rPr>
      </w:pPr>
      <w:r>
        <w:rPr>
          <w:rFonts w:hint="eastAsia" w:ascii="宋体" w:hAnsi="宋体" w:cs="宋体"/>
          <w:color w:val="auto"/>
          <w:szCs w:val="21"/>
          <w:highlight w:val="none"/>
          <w:lang w:bidi="ar"/>
        </w:rPr>
        <w:t>35.8《广州市工程建设项目招标投标管理办法》（穗建规字〔2023〕12号）；</w:t>
      </w:r>
    </w:p>
    <w:p w14:paraId="0AB66591">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lang w:bidi="ar"/>
        </w:rPr>
        <w:t>35.9本项目招标文件。</w:t>
      </w:r>
    </w:p>
    <w:p w14:paraId="6C65BE9E">
      <w:pPr>
        <w:spacing w:line="480" w:lineRule="auto"/>
        <w:ind w:firstLine="472" w:firstLineChars="224"/>
        <w:rPr>
          <w:rFonts w:hint="eastAsia" w:ascii="宋体" w:hAnsi="宋体" w:cs="宋体"/>
          <w:color w:val="auto"/>
          <w:szCs w:val="21"/>
          <w:highlight w:val="none"/>
          <w:lang w:bidi="ar"/>
        </w:rPr>
      </w:pPr>
      <w:r>
        <w:rPr>
          <w:rFonts w:hint="eastAsia" w:ascii="宋体" w:hAnsi="宋体" w:cs="宋体"/>
          <w:b/>
          <w:color w:val="auto"/>
          <w:szCs w:val="21"/>
          <w:highlight w:val="none"/>
          <w:lang w:bidi="ar"/>
        </w:rPr>
        <w:t>现文：</w:t>
      </w:r>
      <w:r>
        <w:rPr>
          <w:rFonts w:hint="eastAsia" w:ascii="宋体" w:hAnsi="宋体" w:cs="宋体"/>
          <w:color w:val="auto"/>
          <w:szCs w:val="21"/>
          <w:highlight w:val="none"/>
          <w:lang w:bidi="ar"/>
        </w:rPr>
        <w:t>35 开标、评标及定标所依据的规则</w:t>
      </w:r>
    </w:p>
    <w:p w14:paraId="727D0E52">
      <w:pPr>
        <w:spacing w:line="360" w:lineRule="auto"/>
        <w:ind w:firstLine="470" w:firstLineChars="224"/>
        <w:rPr>
          <w:rFonts w:hint="eastAsia" w:ascii="宋体" w:hAnsi="宋体" w:cs="宋体"/>
          <w:color w:val="auto"/>
          <w:szCs w:val="21"/>
          <w:highlight w:val="none"/>
          <w:lang w:bidi="ar"/>
        </w:rPr>
      </w:pPr>
      <w:r>
        <w:rPr>
          <w:rFonts w:hint="eastAsia" w:ascii="宋体" w:hAnsi="宋体" w:cs="宋体"/>
          <w:color w:val="auto"/>
          <w:szCs w:val="21"/>
          <w:highlight w:val="none"/>
          <w:lang w:bidi="ar"/>
        </w:rPr>
        <w:t>35.1《中华人民共和国招标投标法》；</w:t>
      </w:r>
    </w:p>
    <w:p w14:paraId="72AE4C25">
      <w:pPr>
        <w:spacing w:line="360" w:lineRule="auto"/>
        <w:ind w:firstLine="470" w:firstLineChars="224"/>
        <w:rPr>
          <w:rFonts w:hint="eastAsia" w:ascii="宋体" w:hAnsi="宋体" w:cs="宋体"/>
          <w:color w:val="auto"/>
          <w:szCs w:val="21"/>
          <w:highlight w:val="none"/>
          <w:lang w:bidi="ar"/>
        </w:rPr>
      </w:pPr>
      <w:r>
        <w:rPr>
          <w:rFonts w:hint="eastAsia" w:ascii="宋体" w:hAnsi="宋体" w:cs="宋体"/>
          <w:color w:val="auto"/>
          <w:szCs w:val="21"/>
          <w:highlight w:val="none"/>
          <w:lang w:bidi="ar"/>
        </w:rPr>
        <w:t>35.2《中华人民共和国招标投标法实施条例》；</w:t>
      </w:r>
    </w:p>
    <w:p w14:paraId="25011266">
      <w:pPr>
        <w:spacing w:line="360" w:lineRule="auto"/>
        <w:ind w:firstLine="470" w:firstLineChars="224"/>
        <w:rPr>
          <w:rFonts w:hint="eastAsia" w:ascii="宋体" w:hAnsi="宋体" w:cs="宋体"/>
          <w:color w:val="auto"/>
          <w:szCs w:val="21"/>
          <w:highlight w:val="none"/>
          <w:lang w:bidi="ar"/>
        </w:rPr>
      </w:pPr>
      <w:r>
        <w:rPr>
          <w:rFonts w:hint="eastAsia" w:ascii="宋体" w:hAnsi="宋体" w:cs="宋体"/>
          <w:color w:val="auto"/>
          <w:szCs w:val="21"/>
          <w:highlight w:val="none"/>
          <w:lang w:bidi="ar"/>
        </w:rPr>
        <w:t>35.3《评标委员会和评标方法暂行规定》（七部委第12号令）</w:t>
      </w:r>
    </w:p>
    <w:p w14:paraId="730CD96D">
      <w:pPr>
        <w:spacing w:line="360" w:lineRule="auto"/>
        <w:ind w:firstLine="470" w:firstLineChars="224"/>
        <w:rPr>
          <w:rFonts w:hint="eastAsia" w:ascii="宋体" w:hAnsi="宋体" w:cs="宋体"/>
          <w:color w:val="auto"/>
          <w:szCs w:val="21"/>
          <w:highlight w:val="none"/>
          <w:lang w:bidi="ar"/>
        </w:rPr>
      </w:pPr>
      <w:r>
        <w:rPr>
          <w:rFonts w:hint="eastAsia" w:ascii="宋体" w:hAnsi="宋体" w:cs="宋体"/>
          <w:color w:val="auto"/>
          <w:szCs w:val="21"/>
          <w:highlight w:val="none"/>
          <w:lang w:bidi="ar"/>
        </w:rPr>
        <w:t>35.4《工程建设项目施工招标投标办法》（七部委2003年第30号令）</w:t>
      </w:r>
    </w:p>
    <w:p w14:paraId="01F621B4">
      <w:pPr>
        <w:spacing w:line="360" w:lineRule="auto"/>
        <w:ind w:firstLine="470" w:firstLineChars="224"/>
        <w:rPr>
          <w:rFonts w:hint="eastAsia" w:ascii="宋体" w:hAnsi="宋体" w:cs="宋体"/>
          <w:color w:val="auto"/>
          <w:szCs w:val="21"/>
          <w:highlight w:val="none"/>
          <w:lang w:bidi="ar"/>
        </w:rPr>
      </w:pPr>
      <w:r>
        <w:rPr>
          <w:rFonts w:hint="eastAsia" w:ascii="宋体" w:hAnsi="宋体" w:cs="宋体"/>
          <w:color w:val="auto"/>
          <w:szCs w:val="21"/>
          <w:highlight w:val="none"/>
          <w:lang w:bidi="ar"/>
        </w:rPr>
        <w:t>35.5《广东省实施〈中华人民共和国招标投标法〉办法》；</w:t>
      </w:r>
    </w:p>
    <w:p w14:paraId="06786975">
      <w:pPr>
        <w:spacing w:line="360" w:lineRule="auto"/>
        <w:ind w:firstLine="470" w:firstLineChars="224"/>
        <w:rPr>
          <w:rFonts w:hint="eastAsia" w:ascii="宋体" w:hAnsi="宋体" w:cs="宋体"/>
          <w:b w:val="0"/>
          <w:bCs w:val="0"/>
          <w:color w:val="auto"/>
          <w:szCs w:val="21"/>
          <w:highlight w:val="none"/>
          <w:lang w:bidi="ar"/>
        </w:rPr>
      </w:pPr>
      <w:r>
        <w:rPr>
          <w:rFonts w:hint="eastAsia" w:ascii="宋体" w:hAnsi="宋体" w:cs="宋体"/>
          <w:b w:val="0"/>
          <w:bCs w:val="0"/>
          <w:color w:val="auto"/>
          <w:szCs w:val="21"/>
          <w:highlight w:val="none"/>
          <w:lang w:bidi="ar"/>
        </w:rPr>
        <w:t>35.6《房屋建筑和市政基础设施工程施工招标投标管理办法》（建设部令第89号）</w:t>
      </w:r>
    </w:p>
    <w:p w14:paraId="723AA2D3">
      <w:pPr>
        <w:spacing w:line="360" w:lineRule="auto"/>
        <w:ind w:firstLine="470" w:firstLineChars="224"/>
        <w:rPr>
          <w:rFonts w:hint="eastAsia" w:ascii="宋体" w:hAnsi="宋体" w:cs="宋体"/>
          <w:b w:val="0"/>
          <w:bCs w:val="0"/>
          <w:color w:val="auto"/>
          <w:szCs w:val="21"/>
          <w:highlight w:val="none"/>
          <w:u w:val="single"/>
          <w:lang w:bidi="ar"/>
        </w:rPr>
      </w:pPr>
      <w:r>
        <w:rPr>
          <w:rFonts w:hint="eastAsia" w:ascii="宋体" w:hAnsi="宋体" w:cs="宋体"/>
          <w:b w:val="0"/>
          <w:bCs w:val="0"/>
          <w:color w:val="auto"/>
          <w:szCs w:val="21"/>
          <w:highlight w:val="none"/>
          <w:u w:val="single"/>
          <w:lang w:bidi="ar"/>
        </w:rPr>
        <w:t>35.7《财政部 工业和信息化部关于印发〈政府采购促进中小企业发展管理办法〉的通知》（财库〔2020〕46号）</w:t>
      </w:r>
    </w:p>
    <w:p w14:paraId="0096B5C1">
      <w:pPr>
        <w:spacing w:line="360" w:lineRule="auto"/>
        <w:ind w:firstLine="470" w:firstLineChars="224"/>
        <w:rPr>
          <w:rFonts w:hint="eastAsia" w:ascii="宋体" w:hAnsi="宋体" w:cs="宋体"/>
          <w:b w:val="0"/>
          <w:bCs w:val="0"/>
          <w:color w:val="auto"/>
          <w:szCs w:val="21"/>
          <w:highlight w:val="none"/>
          <w:lang w:bidi="ar"/>
        </w:rPr>
      </w:pPr>
      <w:r>
        <w:rPr>
          <w:rFonts w:hint="eastAsia" w:ascii="宋体" w:hAnsi="宋体" w:cs="宋体"/>
          <w:b w:val="0"/>
          <w:bCs w:val="0"/>
          <w:color w:val="auto"/>
          <w:szCs w:val="21"/>
          <w:highlight w:val="none"/>
          <w:lang w:bidi="ar"/>
        </w:rPr>
        <w:t>35.8《广东省加强建设工程招标投标监督管理的若干规定》（粤发[2004]4号）；</w:t>
      </w:r>
    </w:p>
    <w:p w14:paraId="7444F0F3">
      <w:pPr>
        <w:spacing w:line="360" w:lineRule="auto"/>
        <w:ind w:firstLine="470" w:firstLineChars="224"/>
        <w:rPr>
          <w:rFonts w:hint="eastAsia" w:ascii="宋体" w:hAnsi="宋体" w:cs="宋体"/>
          <w:b w:val="0"/>
          <w:bCs w:val="0"/>
          <w:color w:val="auto"/>
          <w:szCs w:val="21"/>
          <w:highlight w:val="none"/>
          <w:u w:val="single"/>
          <w:lang w:bidi="ar"/>
        </w:rPr>
      </w:pPr>
      <w:r>
        <w:rPr>
          <w:rFonts w:hint="eastAsia" w:ascii="宋体" w:hAnsi="宋体" w:cs="宋体"/>
          <w:b w:val="0"/>
          <w:bCs w:val="0"/>
          <w:color w:val="auto"/>
          <w:szCs w:val="21"/>
          <w:highlight w:val="none"/>
          <w:u w:val="single"/>
          <w:lang w:bidi="ar"/>
        </w:rPr>
        <w:t>35.9《广东省政府采购促进中小企业发展实施细则（试行）》</w:t>
      </w:r>
    </w:p>
    <w:p w14:paraId="07B6246D">
      <w:pPr>
        <w:spacing w:line="360" w:lineRule="auto"/>
        <w:ind w:firstLine="470" w:firstLineChars="224"/>
        <w:rPr>
          <w:rFonts w:hint="eastAsia" w:ascii="宋体" w:hAnsi="宋体" w:cs="宋体"/>
          <w:b w:val="0"/>
          <w:bCs w:val="0"/>
          <w:color w:val="auto"/>
          <w:szCs w:val="21"/>
          <w:highlight w:val="none"/>
          <w:lang w:bidi="ar"/>
        </w:rPr>
      </w:pPr>
      <w:r>
        <w:rPr>
          <w:rFonts w:hint="eastAsia" w:ascii="宋体" w:hAnsi="宋体" w:cs="宋体"/>
          <w:b w:val="0"/>
          <w:bCs w:val="0"/>
          <w:color w:val="auto"/>
          <w:szCs w:val="21"/>
          <w:highlight w:val="none"/>
          <w:lang w:bidi="ar"/>
        </w:rPr>
        <w:t>35.10《广州市工程建设项目招标投标管理办法》（穗建规字〔2023〕12号）；</w:t>
      </w:r>
    </w:p>
    <w:p w14:paraId="71B9C47B">
      <w:pPr>
        <w:spacing w:line="360" w:lineRule="auto"/>
        <w:ind w:firstLine="470" w:firstLineChars="224"/>
        <w:rPr>
          <w:rFonts w:hint="eastAsia" w:ascii="宋体" w:hAnsi="宋体" w:cs="宋体"/>
          <w:b w:val="0"/>
          <w:bCs w:val="0"/>
          <w:color w:val="auto"/>
          <w:szCs w:val="21"/>
          <w:highlight w:val="none"/>
          <w:u w:val="single"/>
          <w:lang w:bidi="ar"/>
        </w:rPr>
      </w:pPr>
      <w:r>
        <w:rPr>
          <w:rFonts w:hint="eastAsia" w:ascii="宋体" w:hAnsi="宋体" w:cs="宋体"/>
          <w:b w:val="0"/>
          <w:bCs w:val="0"/>
          <w:color w:val="auto"/>
          <w:szCs w:val="21"/>
          <w:highlight w:val="none"/>
          <w:u w:val="single"/>
          <w:lang w:bidi="ar"/>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41F9BA21">
      <w:pPr>
        <w:pBdr>
          <w:bottom w:val="single" w:color="auto" w:sz="6" w:space="0"/>
        </w:pBd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35.12本项目招标文件。</w:t>
      </w:r>
    </w:p>
    <w:p w14:paraId="29B680C6">
      <w:pPr>
        <w:pStyle w:val="49"/>
        <w:rPr>
          <w:rFonts w:hint="eastAsia"/>
          <w:color w:val="auto"/>
          <w:highlight w:val="none"/>
        </w:rPr>
      </w:pPr>
    </w:p>
    <w:bookmarkEnd w:id="28"/>
    <w:p w14:paraId="19DC7B64">
      <w:pPr>
        <w:spacing w:line="360" w:lineRule="auto"/>
        <w:ind w:firstLine="404" w:firstLineChars="201"/>
        <w:rPr>
          <w:rFonts w:hint="eastAsia" w:ascii="宋体" w:hAnsi="宋体" w:cs="宋体"/>
          <w:b/>
          <w:color w:val="auto"/>
          <w:sz w:val="20"/>
          <w:szCs w:val="20"/>
          <w:highlight w:val="none"/>
        </w:rPr>
      </w:pPr>
      <w:bookmarkStart w:id="29" w:name="_Toc2272556"/>
      <w:r>
        <w:rPr>
          <w:rFonts w:hint="eastAsia" w:ascii="宋体" w:hAnsi="宋体" w:cs="宋体"/>
          <w:b/>
          <w:color w:val="auto"/>
          <w:sz w:val="20"/>
          <w:szCs w:val="20"/>
          <w:highlight w:val="none"/>
        </w:rPr>
        <w:t>条款号：36.1                                                     修改类型：修改</w:t>
      </w:r>
    </w:p>
    <w:p w14:paraId="29539D46">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36.1 招标人按投标须知前附表第18项所规定的时间和地点公开开标，并邀请所有投标人参加。截标后，开标开始时间因故推迟的，相关评标信息仍以原定的开标开始时间的信息为准。</w:t>
      </w:r>
    </w:p>
    <w:p w14:paraId="38D0C8F0">
      <w:pPr>
        <w:pBdr>
          <w:bottom w:val="single" w:color="auto" w:sz="6" w:space="1"/>
        </w:pBd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0"/>
          <w:szCs w:val="20"/>
          <w:highlight w:val="none"/>
          <w:u w:val="single"/>
        </w:rPr>
        <w:t>若投标人不参加开标会的，其投标文件在开标现场的投标人或招标人代表、招标代理机构代表及交易中心代表见证下公开开启、解密、公布，并视同该投标人认可开标结果。</w:t>
      </w:r>
    </w:p>
    <w:p w14:paraId="5D83CDB7">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条款号：36.3                                                     修改类型：删除</w:t>
      </w:r>
    </w:p>
    <w:p w14:paraId="6276593C">
      <w:pPr>
        <w:pBdr>
          <w:bottom w:val="single" w:color="auto" w:sz="6" w:space="1"/>
        </w:pBdr>
        <w:spacing w:line="360" w:lineRule="auto"/>
        <w:ind w:firstLine="404" w:firstLineChars="201"/>
        <w:rPr>
          <w:color w:val="auto"/>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7C344BF">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条款号：36.5.1                                                   修改类型：修改</w:t>
      </w:r>
    </w:p>
    <w:p w14:paraId="5949F924">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36.5.1在投标截止时间后半小时内，投标人通过</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交易平台对已递交的电子投标文件进行解密。投标人完成解密后，再由招标人进行解密。解密完成后，公布招标项目名称、投标人名称、投标保证金的递交情况、投标报价、工期及其他内容；</w:t>
      </w:r>
    </w:p>
    <w:p w14:paraId="1F717EB0">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36.5.1在投标截止时间后</w:t>
      </w:r>
      <w:r>
        <w:rPr>
          <w:rFonts w:hint="eastAsia" w:ascii="宋体" w:hAnsi="宋体" w:cs="宋体"/>
          <w:color w:val="auto"/>
          <w:sz w:val="20"/>
          <w:szCs w:val="20"/>
          <w:highlight w:val="none"/>
          <w:lang w:val="en-US" w:eastAsia="zh-CN"/>
        </w:rPr>
        <w:t>一个</w:t>
      </w:r>
      <w:r>
        <w:rPr>
          <w:rFonts w:hint="eastAsia" w:ascii="宋体" w:hAnsi="宋体" w:cs="宋体"/>
          <w:color w:val="auto"/>
          <w:sz w:val="20"/>
          <w:szCs w:val="20"/>
          <w:highlight w:val="none"/>
        </w:rPr>
        <w:t>小时内，投标人通过</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交易平台对已递交的电子投标文件进行解密。投标人完成解密后，再由招标人</w:t>
      </w:r>
      <w:r>
        <w:rPr>
          <w:rFonts w:hint="eastAsia" w:ascii="宋体" w:hAnsi="宋体" w:cs="宋体"/>
          <w:color w:val="auto"/>
          <w:sz w:val="20"/>
          <w:szCs w:val="20"/>
          <w:highlight w:val="none"/>
          <w:u w:val="single"/>
        </w:rPr>
        <w:t>或招标代理</w:t>
      </w:r>
      <w:r>
        <w:rPr>
          <w:rFonts w:hint="eastAsia" w:ascii="宋体" w:hAnsi="宋体" w:cs="宋体"/>
          <w:color w:val="auto"/>
          <w:sz w:val="20"/>
          <w:szCs w:val="20"/>
          <w:highlight w:val="none"/>
        </w:rPr>
        <w:t>进行解密。解密完成后，</w:t>
      </w:r>
      <w:r>
        <w:rPr>
          <w:rFonts w:hint="eastAsia" w:ascii="宋体" w:hAnsi="宋体" w:cs="宋体"/>
          <w:color w:val="auto"/>
          <w:sz w:val="20"/>
          <w:szCs w:val="20"/>
          <w:highlight w:val="none"/>
          <w:u w:val="single"/>
        </w:rPr>
        <w:t>公布招标项目名称、投标人名称、投标报价、工期及其他内容；</w:t>
      </w:r>
    </w:p>
    <w:p w14:paraId="05CDEA37">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条款号：36.5.3                                                    修改类型：修改</w:t>
      </w:r>
    </w:p>
    <w:p w14:paraId="0296473A">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36.5.3投标人代表、招标人代表、监标人、记录人等有关人员在开标记录上签字确认；若有关人员不签字的，不影响开标程序；</w:t>
      </w:r>
    </w:p>
    <w:p w14:paraId="2BA6BACB">
      <w:pPr>
        <w:pBdr>
          <w:bottom w:val="single" w:color="auto" w:sz="6" w:space="1"/>
        </w:pBd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36.5.3投标人代表、招标人代表、监标人、记录人等有关人员在开标记录上签字确认；若有关人员不签字的，不影响开标程序；</w:t>
      </w:r>
      <w:r>
        <w:rPr>
          <w:rFonts w:hint="eastAsia" w:ascii="宋体" w:hAnsi="宋体" w:cs="宋体"/>
          <w:color w:val="auto"/>
          <w:sz w:val="20"/>
          <w:szCs w:val="20"/>
          <w:highlight w:val="none"/>
          <w:u w:val="single"/>
        </w:rPr>
        <w:t>若投标人不参加开标会的，或不签字确认的，视同该投标人认可开标结果。</w:t>
      </w:r>
    </w:p>
    <w:p w14:paraId="4DBD3FA2">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条款号：38.1                                                      修改类型：修改</w:t>
      </w:r>
    </w:p>
    <w:p w14:paraId="667D591A">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534F054">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38.1为有助于投标文件的审查、评价和比较，评标期间，经评标委员会或评标委员会专业评审组中两人以上（含两人）</w:t>
      </w:r>
      <w:r>
        <w:rPr>
          <w:rFonts w:hint="eastAsia" w:ascii="宋体" w:hAnsi="宋体" w:cs="宋体"/>
          <w:color w:val="auto"/>
          <w:sz w:val="20"/>
          <w:szCs w:val="20"/>
          <w:highlight w:val="none"/>
          <w:u w:val="single"/>
        </w:rPr>
        <w:t>的成员</w:t>
      </w:r>
      <w:r>
        <w:rPr>
          <w:rFonts w:hint="eastAsia" w:ascii="宋体" w:hAnsi="宋体" w:cs="宋体"/>
          <w:color w:val="auto"/>
          <w:sz w:val="20"/>
          <w:szCs w:val="20"/>
          <w:highlight w:val="none"/>
        </w:rPr>
        <w:t>以书面形式提出动议，评标委员会或评标委员会专业评审组应当书面发出澄清通知，要求投标人对投标文件含义不明确</w:t>
      </w:r>
      <w:r>
        <w:rPr>
          <w:rFonts w:hint="eastAsia" w:ascii="宋体" w:hAnsi="宋体" w:cs="宋体"/>
          <w:color w:val="auto"/>
          <w:sz w:val="20"/>
          <w:szCs w:val="20"/>
          <w:highlight w:val="none"/>
          <w:u w:val="single"/>
        </w:rPr>
        <w:t>、对同类问题表述不一致、有明显文字和计算错误的内容以及细微偏差</w:t>
      </w:r>
      <w:r>
        <w:rPr>
          <w:rFonts w:hint="eastAsia" w:ascii="宋体" w:hAnsi="宋体" w:cs="宋体"/>
          <w:color w:val="auto"/>
          <w:sz w:val="20"/>
          <w:szCs w:val="20"/>
          <w:highlight w:val="none"/>
        </w:rPr>
        <w:t>的内容作出澄清。</w:t>
      </w:r>
    </w:p>
    <w:p w14:paraId="2B5297FA">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条款号：3</w:t>
      </w:r>
      <w:r>
        <w:rPr>
          <w:rFonts w:hint="eastAsia" w:ascii="宋体" w:hAnsi="宋体" w:cs="宋体"/>
          <w:b/>
          <w:color w:val="auto"/>
          <w:sz w:val="20"/>
          <w:szCs w:val="20"/>
          <w:highlight w:val="none"/>
          <w:lang w:val="en-US" w:eastAsia="zh-CN"/>
        </w:rPr>
        <w:t>7</w:t>
      </w:r>
      <w:r>
        <w:rPr>
          <w:rFonts w:hint="eastAsia" w:ascii="宋体" w:hAnsi="宋体" w:cs="宋体"/>
          <w:b/>
          <w:color w:val="auto"/>
          <w:sz w:val="20"/>
          <w:szCs w:val="20"/>
          <w:highlight w:val="none"/>
        </w:rPr>
        <w:t>.</w:t>
      </w:r>
      <w:r>
        <w:rPr>
          <w:rFonts w:hint="eastAsia" w:ascii="宋体" w:hAnsi="宋体" w:cs="宋体"/>
          <w:b/>
          <w:color w:val="auto"/>
          <w:sz w:val="20"/>
          <w:szCs w:val="20"/>
          <w:highlight w:val="none"/>
          <w:lang w:val="en-US" w:eastAsia="zh-CN"/>
        </w:rPr>
        <w:t>2</w:t>
      </w:r>
      <w:r>
        <w:rPr>
          <w:rFonts w:hint="eastAsia" w:ascii="宋体" w:hAnsi="宋体" w:cs="宋体"/>
          <w:b/>
          <w:color w:val="auto"/>
          <w:sz w:val="20"/>
          <w:szCs w:val="20"/>
          <w:highlight w:val="none"/>
        </w:rPr>
        <w:t xml:space="preserve">                                                      修改类型：修改</w:t>
      </w:r>
    </w:p>
    <w:p w14:paraId="772445B9">
      <w:pPr>
        <w:pBdr>
          <w:bottom w:val="single" w:color="auto" w:sz="6" w:space="1"/>
        </w:pBdr>
        <w:spacing w:line="360" w:lineRule="auto"/>
        <w:ind w:firstLine="401" w:firstLineChars="201"/>
        <w:rPr>
          <w:rFonts w:hint="eastAsia" w:ascii="宋体" w:hAnsi="宋体" w:eastAsia="宋体" w:cs="宋体"/>
          <w:color w:val="auto"/>
          <w:kern w:val="2"/>
          <w:sz w:val="20"/>
          <w:szCs w:val="20"/>
          <w:highlight w:val="none"/>
        </w:rPr>
      </w:pPr>
      <w:r>
        <w:rPr>
          <w:rFonts w:hint="eastAsia" w:ascii="宋体" w:hAnsi="宋体" w:eastAsia="宋体" w:cs="宋体"/>
          <w:b w:val="0"/>
          <w:color w:val="auto"/>
          <w:sz w:val="20"/>
          <w:szCs w:val="20"/>
          <w:highlight w:val="none"/>
        </w:rPr>
        <w:t>原文：</w:t>
      </w:r>
      <w:r>
        <w:rPr>
          <w:rFonts w:hint="eastAsia" w:ascii="宋体" w:hAnsi="宋体" w:eastAsia="宋体" w:cs="宋体"/>
          <w:color w:val="auto"/>
          <w:kern w:val="2"/>
          <w:sz w:val="20"/>
          <w:szCs w:val="20"/>
          <w:highlight w:val="none"/>
        </w:rPr>
        <w:t>3</w:t>
      </w:r>
      <w:r>
        <w:rPr>
          <w:rFonts w:hint="eastAsia" w:ascii="宋体" w:hAnsi="宋体" w:cs="宋体"/>
          <w:color w:val="auto"/>
          <w:kern w:val="2"/>
          <w:sz w:val="20"/>
          <w:szCs w:val="20"/>
          <w:highlight w:val="none"/>
          <w:lang w:val="en-US" w:eastAsia="zh-CN"/>
        </w:rPr>
        <w:t>7</w:t>
      </w:r>
      <w:r>
        <w:rPr>
          <w:rFonts w:hint="eastAsia" w:ascii="宋体" w:hAnsi="宋体" w:eastAsia="宋体" w:cs="宋体"/>
          <w:color w:val="auto"/>
          <w:kern w:val="2"/>
          <w:sz w:val="20"/>
          <w:szCs w:val="20"/>
          <w:highlight w:val="none"/>
        </w:rPr>
        <w:t>.2评标委员会的职责及守则：</w:t>
      </w:r>
    </w:p>
    <w:p w14:paraId="4302F68D">
      <w:pPr>
        <w:pBdr>
          <w:bottom w:val="single" w:color="auto" w:sz="6" w:space="1"/>
        </w:pBdr>
        <w:spacing w:line="360" w:lineRule="auto"/>
        <w:ind w:firstLine="401" w:firstLineChars="201"/>
        <w:rPr>
          <w:rFonts w:hint="eastAsia" w:ascii="宋体" w:hAnsi="宋体" w:eastAsia="宋体" w:cs="宋体"/>
          <w:b w:val="0"/>
          <w:color w:val="auto"/>
          <w:kern w:val="2"/>
          <w:sz w:val="20"/>
          <w:szCs w:val="20"/>
          <w:highlight w:val="none"/>
        </w:rPr>
      </w:pPr>
      <w:r>
        <w:rPr>
          <w:rFonts w:hint="eastAsia" w:ascii="宋体" w:hAnsi="宋体" w:eastAsia="宋体" w:cs="宋体"/>
          <w:b w:val="0"/>
          <w:color w:val="auto"/>
          <w:sz w:val="20"/>
          <w:szCs w:val="20"/>
          <w:highlight w:val="none"/>
        </w:rPr>
        <w:t>现文：</w:t>
      </w:r>
      <w:r>
        <w:rPr>
          <w:rFonts w:hint="eastAsia" w:ascii="宋体" w:hAnsi="宋体" w:eastAsia="宋体" w:cs="宋体"/>
          <w:b w:val="0"/>
          <w:color w:val="auto"/>
          <w:kern w:val="2"/>
          <w:sz w:val="20"/>
          <w:szCs w:val="20"/>
          <w:highlight w:val="none"/>
        </w:rPr>
        <w:t>3</w:t>
      </w:r>
      <w:r>
        <w:rPr>
          <w:rFonts w:hint="eastAsia" w:ascii="宋体" w:hAnsi="宋体" w:cs="宋体"/>
          <w:b w:val="0"/>
          <w:color w:val="auto"/>
          <w:kern w:val="2"/>
          <w:sz w:val="20"/>
          <w:szCs w:val="20"/>
          <w:highlight w:val="none"/>
          <w:lang w:val="en-US" w:eastAsia="zh-CN"/>
        </w:rPr>
        <w:t>7</w:t>
      </w:r>
      <w:r>
        <w:rPr>
          <w:rFonts w:hint="eastAsia" w:ascii="宋体" w:hAnsi="宋体" w:eastAsia="宋体" w:cs="宋体"/>
          <w:b w:val="0"/>
          <w:color w:val="auto"/>
          <w:kern w:val="2"/>
          <w:sz w:val="20"/>
          <w:szCs w:val="20"/>
          <w:highlight w:val="none"/>
        </w:rPr>
        <w:t>.2评标委员会在开始评标前，应了解评标专家的职责及守则，认真阅读《评标委员会成员声明》的内容并签名，签字后方可进行评标；</w:t>
      </w:r>
    </w:p>
    <w:p w14:paraId="03FEC298">
      <w:pP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条款号：39.3                                                      修改类型：修改</w:t>
      </w:r>
    </w:p>
    <w:p w14:paraId="7304DD9B">
      <w:pPr>
        <w:spacing w:line="360" w:lineRule="auto"/>
        <w:ind w:firstLine="404" w:firstLineChars="201"/>
        <w:rPr>
          <w:rFonts w:hint="eastAsia" w:ascii="宋体" w:hAnsi="宋体" w:cs="宋体"/>
          <w:color w:val="auto"/>
          <w:sz w:val="20"/>
          <w:szCs w:val="20"/>
          <w:highlight w:val="none"/>
        </w:rPr>
      </w:pPr>
      <w:r>
        <w:rPr>
          <w:rFonts w:hint="eastAsia" w:ascii="宋体" w:hAnsi="宋体" w:cs="宋体"/>
          <w:b/>
          <w:bCs/>
          <w:color w:val="auto"/>
          <w:sz w:val="20"/>
          <w:szCs w:val="20"/>
          <w:highlight w:val="none"/>
        </w:rPr>
        <w:t>原文：</w:t>
      </w:r>
      <w:r>
        <w:rPr>
          <w:rFonts w:hint="eastAsia" w:ascii="宋体" w:hAnsi="宋体" w:cs="宋体"/>
          <w:color w:val="auto"/>
          <w:sz w:val="20"/>
          <w:szCs w:val="20"/>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6C66AA6D">
      <w:pPr>
        <w:pBdr>
          <w:bottom w:val="single" w:color="auto" w:sz="4" w:space="0"/>
        </w:pBdr>
        <w:spacing w:line="360" w:lineRule="auto"/>
        <w:ind w:firstLine="450" w:firstLineChars="224"/>
        <w:rPr>
          <w:rFonts w:hint="eastAsia" w:ascii="宋体" w:hAnsi="宋体" w:cs="宋体"/>
          <w:bCs/>
          <w:color w:val="auto"/>
          <w:sz w:val="20"/>
          <w:szCs w:val="20"/>
          <w:highlight w:val="none"/>
          <w:u w:val="singl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39.3</w:t>
      </w:r>
      <w:r>
        <w:rPr>
          <w:rFonts w:hint="eastAsia" w:ascii="宋体" w:hAnsi="宋体" w:cs="宋体"/>
          <w:bCs/>
          <w:color w:val="auto"/>
          <w:sz w:val="20"/>
          <w:szCs w:val="20"/>
          <w:highlight w:val="none"/>
        </w:rPr>
        <w:t>排名第一的中标候选人放弃中标、</w:t>
      </w:r>
      <w:r>
        <w:rPr>
          <w:rFonts w:hint="eastAsia" w:ascii="宋体" w:hAnsi="宋体" w:cs="宋体"/>
          <w:color w:val="auto"/>
          <w:sz w:val="20"/>
          <w:szCs w:val="20"/>
          <w:highlight w:val="none"/>
        </w:rPr>
        <w:t>或因不可抗力提出不能履行合同，或者招标文件规定应当提交履约担保而在规定的期限内未能提交的</w:t>
      </w:r>
      <w:r>
        <w:rPr>
          <w:rFonts w:hint="eastAsia" w:ascii="宋体" w:hAnsi="宋体" w:cs="宋体"/>
          <w:bCs/>
          <w:color w:val="auto"/>
          <w:sz w:val="20"/>
          <w:szCs w:val="20"/>
          <w:highlight w:val="none"/>
          <w:u w:val="single"/>
        </w:rPr>
        <w:t>，或经核查发现委派的项目负责人已在其他在建项目中任职的，或者被查实存在影响中标结果的违法行为等情形，不符合中标条件的，</w:t>
      </w:r>
      <w:r>
        <w:rPr>
          <w:rFonts w:hint="eastAsia" w:ascii="宋体" w:hAnsi="宋体" w:cs="宋体"/>
          <w:bCs/>
          <w:color w:val="auto"/>
          <w:sz w:val="20"/>
          <w:szCs w:val="20"/>
          <w:highlight w:val="none"/>
        </w:rPr>
        <w:t>招标人可以确定排名第二的中标候选人为中标人。</w:t>
      </w:r>
    </w:p>
    <w:p w14:paraId="290DA4D1">
      <w:pPr>
        <w:spacing w:line="360" w:lineRule="auto"/>
        <w:ind w:firstLine="450" w:firstLineChars="224"/>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条款号：（二）开标评标办法程序和细则                              修改类型：删除</w:t>
      </w:r>
    </w:p>
    <w:p w14:paraId="2397EADA">
      <w:pPr>
        <w:spacing w:line="360" w:lineRule="auto"/>
        <w:ind w:firstLine="402" w:firstLineChars="200"/>
        <w:rPr>
          <w:rFonts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注：以下八种评标办法所述企业综合诚信评价分数即投标截止当日广州市住房和城乡建设局网站上公布的企业综合诚信评价60日诚信分。</w:t>
      </w:r>
    </w:p>
    <w:p w14:paraId="0561A465">
      <w:pPr>
        <w:pBdr>
          <w:top w:val="single" w:color="auto" w:sz="4" w:space="0"/>
        </w:pBd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w:t>
      </w:r>
      <w:r>
        <w:rPr>
          <w:rFonts w:hint="eastAsia" w:ascii="宋体" w:hAnsi="宋体" w:cs="宋体"/>
          <w:color w:val="auto"/>
          <w:sz w:val="20"/>
          <w:szCs w:val="20"/>
          <w:highlight w:val="none"/>
        </w:rPr>
        <w:t>可选办法一（适合综合评分法一，技术标与经济标先后分别开启）</w:t>
      </w:r>
      <w:r>
        <w:rPr>
          <w:rFonts w:hint="eastAsia" w:ascii="宋体" w:hAnsi="宋体" w:cs="宋体"/>
          <w:b/>
          <w:color w:val="auto"/>
          <w:sz w:val="20"/>
          <w:szCs w:val="20"/>
          <w:highlight w:val="none"/>
        </w:rPr>
        <w:t xml:space="preserve"> 修改类型：删除</w:t>
      </w:r>
    </w:p>
    <w:p w14:paraId="511D8C92">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详见</w:t>
      </w:r>
      <w:r>
        <w:rPr>
          <w:rFonts w:hint="eastAsia" w:ascii="宋体" w:hAnsi="宋体" w:cs="宋体"/>
          <w:bCs/>
          <w:color w:val="auto"/>
          <w:sz w:val="20"/>
          <w:szCs w:val="20"/>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 w:val="20"/>
          <w:szCs w:val="20"/>
          <w:highlight w:val="none"/>
        </w:rPr>
        <w:t>。</w:t>
      </w:r>
    </w:p>
    <w:p w14:paraId="38D53831">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w:t>
      </w:r>
      <w:r>
        <w:rPr>
          <w:rFonts w:hint="eastAsia" w:ascii="宋体" w:hAnsi="宋体" w:cs="宋体"/>
          <w:color w:val="auto"/>
          <w:sz w:val="20"/>
          <w:szCs w:val="20"/>
          <w:highlight w:val="none"/>
        </w:rPr>
        <w:t>可选办法二（适合综合评分法一，技术标与经济标同时开启）</w:t>
      </w:r>
      <w:r>
        <w:rPr>
          <w:rFonts w:hint="eastAsia" w:ascii="宋体" w:hAnsi="宋体" w:cs="宋体"/>
          <w:b/>
          <w:color w:val="auto"/>
          <w:sz w:val="20"/>
          <w:szCs w:val="20"/>
          <w:highlight w:val="none"/>
        </w:rPr>
        <w:t xml:space="preserve">     修改类型：删除</w:t>
      </w:r>
    </w:p>
    <w:p w14:paraId="3CE27643">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详见</w:t>
      </w:r>
      <w:r>
        <w:rPr>
          <w:rFonts w:hint="eastAsia" w:ascii="宋体" w:hAnsi="宋体" w:cs="宋体"/>
          <w:bCs/>
          <w:color w:val="auto"/>
          <w:sz w:val="20"/>
          <w:szCs w:val="20"/>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 w:val="20"/>
          <w:szCs w:val="20"/>
          <w:highlight w:val="none"/>
        </w:rPr>
        <w:t>。</w:t>
      </w:r>
    </w:p>
    <w:p w14:paraId="0464E4BD">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w:t>
      </w:r>
      <w:r>
        <w:rPr>
          <w:rFonts w:hint="eastAsia" w:ascii="宋体" w:hAnsi="宋体" w:cs="宋体"/>
          <w:color w:val="auto"/>
          <w:sz w:val="20"/>
          <w:szCs w:val="20"/>
          <w:highlight w:val="none"/>
        </w:rPr>
        <w:t>可选办法三（适合综合评分法二，技术标与经济标先后分别开启）</w:t>
      </w:r>
      <w:r>
        <w:rPr>
          <w:rFonts w:hint="eastAsia" w:ascii="宋体" w:hAnsi="宋体" w:cs="宋体"/>
          <w:b/>
          <w:color w:val="auto"/>
          <w:sz w:val="20"/>
          <w:szCs w:val="20"/>
          <w:highlight w:val="none"/>
        </w:rPr>
        <w:t xml:space="preserve"> 修改类型：删除</w:t>
      </w:r>
    </w:p>
    <w:p w14:paraId="0438427C">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详见</w:t>
      </w:r>
      <w:r>
        <w:rPr>
          <w:rFonts w:hint="eastAsia" w:ascii="宋体" w:hAnsi="宋体" w:cs="宋体"/>
          <w:bCs/>
          <w:color w:val="auto"/>
          <w:sz w:val="20"/>
          <w:szCs w:val="20"/>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 w:val="20"/>
          <w:szCs w:val="20"/>
          <w:highlight w:val="none"/>
        </w:rPr>
        <w:t>。</w:t>
      </w:r>
    </w:p>
    <w:p w14:paraId="37B4B5AB">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w:t>
      </w:r>
      <w:r>
        <w:rPr>
          <w:rFonts w:hint="eastAsia" w:ascii="宋体" w:hAnsi="宋体" w:cs="宋体"/>
          <w:color w:val="auto"/>
          <w:sz w:val="20"/>
          <w:szCs w:val="20"/>
          <w:highlight w:val="none"/>
        </w:rPr>
        <w:t>可选办法四（适合综合评分法二，技术标与经济标同时开启）</w:t>
      </w:r>
      <w:r>
        <w:rPr>
          <w:rFonts w:hint="eastAsia" w:ascii="宋体" w:hAnsi="宋体" w:cs="宋体"/>
          <w:b/>
          <w:color w:val="auto"/>
          <w:sz w:val="20"/>
          <w:szCs w:val="20"/>
          <w:highlight w:val="none"/>
        </w:rPr>
        <w:t xml:space="preserve">     修改类型：删除</w:t>
      </w:r>
    </w:p>
    <w:p w14:paraId="59D093BF">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详见</w:t>
      </w:r>
      <w:r>
        <w:rPr>
          <w:rFonts w:hint="eastAsia" w:ascii="宋体" w:hAnsi="宋体" w:cs="宋体"/>
          <w:bCs/>
          <w:color w:val="auto"/>
          <w:sz w:val="20"/>
          <w:szCs w:val="20"/>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 w:val="20"/>
          <w:szCs w:val="20"/>
          <w:highlight w:val="none"/>
        </w:rPr>
        <w:t>。</w:t>
      </w:r>
    </w:p>
    <w:p w14:paraId="2DC5C676">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w:t>
      </w:r>
      <w:r>
        <w:rPr>
          <w:rFonts w:hint="eastAsia" w:ascii="宋体" w:hAnsi="宋体" w:cs="宋体"/>
          <w:color w:val="auto"/>
          <w:sz w:val="20"/>
          <w:szCs w:val="20"/>
          <w:highlight w:val="none"/>
        </w:rPr>
        <w:t>可选办法五（适合综合评分法三，技术标与经济标先后分别开启）</w:t>
      </w:r>
      <w:r>
        <w:rPr>
          <w:rFonts w:hint="eastAsia" w:ascii="宋体" w:hAnsi="宋体" w:cs="宋体"/>
          <w:b/>
          <w:color w:val="auto"/>
          <w:sz w:val="20"/>
          <w:szCs w:val="20"/>
          <w:highlight w:val="none"/>
        </w:rPr>
        <w:t xml:space="preserve"> 修改类型：删除</w:t>
      </w:r>
    </w:p>
    <w:p w14:paraId="2333E64D">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详见</w:t>
      </w:r>
      <w:r>
        <w:rPr>
          <w:rFonts w:hint="eastAsia" w:ascii="宋体" w:hAnsi="宋体" w:cs="宋体"/>
          <w:bCs/>
          <w:color w:val="auto"/>
          <w:sz w:val="20"/>
          <w:szCs w:val="20"/>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 w:val="20"/>
          <w:szCs w:val="20"/>
          <w:highlight w:val="none"/>
        </w:rPr>
        <w:t>。</w:t>
      </w:r>
    </w:p>
    <w:p w14:paraId="256D7D59">
      <w:pPr>
        <w:spacing w:line="360" w:lineRule="auto"/>
        <w:ind w:firstLine="404" w:firstLineChars="201"/>
        <w:rPr>
          <w:rFonts w:ascii="宋体" w:hAnsi="宋体" w:cs="宋体"/>
          <w:b/>
          <w:color w:val="auto"/>
          <w:sz w:val="20"/>
          <w:szCs w:val="20"/>
          <w:highlight w:val="none"/>
        </w:rPr>
      </w:pPr>
      <w:r>
        <w:rPr>
          <w:rFonts w:hint="eastAsia" w:ascii="宋体" w:hAnsi="宋体" w:cs="宋体"/>
          <w:b/>
          <w:color w:val="auto"/>
          <w:sz w:val="20"/>
          <w:szCs w:val="20"/>
          <w:highlight w:val="none"/>
        </w:rPr>
        <w:t>条款号：</w:t>
      </w:r>
      <w:r>
        <w:rPr>
          <w:rFonts w:hint="eastAsia" w:ascii="宋体" w:hAnsi="宋体" w:cs="宋体"/>
          <w:color w:val="auto"/>
          <w:sz w:val="20"/>
          <w:szCs w:val="20"/>
          <w:highlight w:val="none"/>
        </w:rPr>
        <w:t>可选办法七（适合综合评分法四，技术标与经济标同时开启）</w:t>
      </w:r>
      <w:r>
        <w:rPr>
          <w:rFonts w:hint="eastAsia" w:ascii="宋体" w:hAnsi="宋体" w:cs="宋体"/>
          <w:b/>
          <w:color w:val="auto"/>
          <w:sz w:val="20"/>
          <w:szCs w:val="20"/>
          <w:highlight w:val="none"/>
        </w:rPr>
        <w:t xml:space="preserve">     修改类型：删除</w:t>
      </w:r>
    </w:p>
    <w:p w14:paraId="57FEFE1B">
      <w:pPr>
        <w:pBdr>
          <w:bottom w:val="single" w:color="auto" w:sz="6" w:space="1"/>
        </w:pBdr>
        <w:spacing w:line="360" w:lineRule="auto"/>
        <w:ind w:firstLine="404" w:firstLineChars="201"/>
        <w:rPr>
          <w:rFonts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详见</w:t>
      </w:r>
      <w:r>
        <w:rPr>
          <w:rFonts w:hint="eastAsia" w:ascii="宋体" w:hAnsi="宋体" w:cs="宋体"/>
          <w:bCs/>
          <w:color w:val="auto"/>
          <w:sz w:val="20"/>
          <w:szCs w:val="20"/>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 w:val="20"/>
          <w:szCs w:val="20"/>
          <w:highlight w:val="none"/>
        </w:rPr>
        <w:t>。</w:t>
      </w:r>
    </w:p>
    <w:p w14:paraId="0B795BFC">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w:t>
      </w:r>
      <w:r>
        <w:rPr>
          <w:rFonts w:hint="eastAsia" w:ascii="宋体" w:hAnsi="宋体" w:cs="宋体"/>
          <w:color w:val="auto"/>
          <w:sz w:val="20"/>
          <w:szCs w:val="20"/>
          <w:highlight w:val="none"/>
        </w:rPr>
        <w:t xml:space="preserve">可选办法八（适合经评审的最低投标价法，技术标与经济标同时开启）   </w:t>
      </w:r>
      <w:r>
        <w:rPr>
          <w:rFonts w:hint="eastAsia" w:ascii="宋体" w:hAnsi="宋体" w:cs="宋体"/>
          <w:b/>
          <w:color w:val="auto"/>
          <w:sz w:val="20"/>
          <w:szCs w:val="20"/>
          <w:highlight w:val="none"/>
        </w:rPr>
        <w:t>修改类型：删除</w:t>
      </w:r>
    </w:p>
    <w:p w14:paraId="583A5296">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详见</w:t>
      </w:r>
      <w:r>
        <w:rPr>
          <w:rFonts w:hint="eastAsia" w:ascii="宋体" w:hAnsi="宋体" w:cs="宋体"/>
          <w:bCs/>
          <w:color w:val="auto"/>
          <w:sz w:val="20"/>
          <w:szCs w:val="20"/>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 w:val="20"/>
          <w:szCs w:val="20"/>
          <w:highlight w:val="none"/>
        </w:rPr>
        <w:t>。</w:t>
      </w:r>
    </w:p>
    <w:p w14:paraId="3258D6AF">
      <w:pPr>
        <w:spacing w:line="360" w:lineRule="auto"/>
        <w:ind w:firstLine="404" w:firstLineChars="201"/>
        <w:rPr>
          <w:rFonts w:ascii="宋体" w:hAnsi="宋体" w:cs="宋体"/>
          <w:b/>
          <w:color w:val="auto"/>
          <w:sz w:val="20"/>
          <w:szCs w:val="20"/>
          <w:highlight w:val="none"/>
        </w:rPr>
      </w:pPr>
      <w:r>
        <w:rPr>
          <w:rFonts w:hint="eastAsia" w:ascii="宋体" w:hAnsi="宋体" w:cs="宋体"/>
          <w:b/>
          <w:color w:val="auto"/>
          <w:sz w:val="20"/>
          <w:szCs w:val="20"/>
          <w:highlight w:val="none"/>
        </w:rPr>
        <w:t>条款号：40                                                        修改类型：修改</w:t>
      </w:r>
    </w:p>
    <w:p w14:paraId="0C49C4A7">
      <w:pPr>
        <w:spacing w:line="360" w:lineRule="auto"/>
        <w:ind w:firstLine="404" w:firstLineChars="201"/>
        <w:rPr>
          <w:rFonts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40．开标和评标程序</w:t>
      </w:r>
    </w:p>
    <w:p w14:paraId="7A3BE00F">
      <w:pP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40．开标和评标程序</w:t>
      </w:r>
    </w:p>
    <w:p w14:paraId="714FD024">
      <w:pP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40.1技术标（含资格审查文件）与经济标投标文件同时公开开标；</w:t>
      </w:r>
    </w:p>
    <w:p w14:paraId="55C7F8C7">
      <w:pP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40.2由评标委员会对所有已公开开标的投标人进行资格审查；</w:t>
      </w:r>
    </w:p>
    <w:p w14:paraId="3996F7C5">
      <w:pP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40.3技术标投标文件有效性审查；</w:t>
      </w:r>
    </w:p>
    <w:p w14:paraId="6AC45EAF">
      <w:pP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40.4技术标详细审查评分；</w:t>
      </w:r>
    </w:p>
    <w:p w14:paraId="491B1C26">
      <w:pP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 xml:space="preserve">40.5经济标详细审查评分； </w:t>
      </w:r>
    </w:p>
    <w:p w14:paraId="2A31BDEB">
      <w:pP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40.6评标委员会按照投标人总得分由高至低排序；</w:t>
      </w:r>
    </w:p>
    <w:p w14:paraId="41291D00">
      <w:pP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40.7经济标投标文件有效性审查；</w:t>
      </w:r>
    </w:p>
    <w:p w14:paraId="0CFF6592">
      <w:pPr>
        <w:spacing w:line="360" w:lineRule="auto"/>
        <w:ind w:firstLine="401" w:firstLineChars="201"/>
        <w:rPr>
          <w:rFonts w:ascii="宋体" w:hAnsi="宋体" w:cs="宋体"/>
          <w:b/>
          <w:color w:val="auto"/>
          <w:sz w:val="20"/>
          <w:szCs w:val="20"/>
          <w:highlight w:val="none"/>
        </w:rPr>
      </w:pPr>
      <w:r>
        <w:rPr>
          <w:rFonts w:hint="eastAsia" w:ascii="宋体" w:hAnsi="宋体" w:cs="宋体"/>
          <w:color w:val="auto"/>
          <w:sz w:val="20"/>
          <w:szCs w:val="20"/>
          <w:highlight w:val="none"/>
        </w:rPr>
        <w:t>40.8评标委员会按排序向招标人推荐中标候选人名单，并递交资格审查报告及评标报告。</w:t>
      </w:r>
    </w:p>
    <w:p w14:paraId="1AC662ED">
      <w:pPr>
        <w:pBdr>
          <w:bottom w:val="single" w:color="auto" w:sz="6" w:space="1"/>
        </w:pBdr>
        <w:spacing w:line="360" w:lineRule="auto"/>
        <w:ind w:firstLine="404" w:firstLineChars="201"/>
        <w:rPr>
          <w:rFonts w:ascii="宋体" w:hAnsi="宋体" w:cs="宋体"/>
          <w:bCs/>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bCs/>
          <w:color w:val="auto"/>
          <w:sz w:val="20"/>
          <w:szCs w:val="20"/>
          <w:highlight w:val="none"/>
        </w:rPr>
        <w:t>可选办法六（适合综合评分法三，技术标与经济标同时开启）</w:t>
      </w:r>
    </w:p>
    <w:p w14:paraId="1F849AEE">
      <w:pPr>
        <w:pBdr>
          <w:bottom w:val="single" w:color="auto" w:sz="6" w:space="1"/>
        </w:pBd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40．开标和评标程序</w:t>
      </w:r>
    </w:p>
    <w:p w14:paraId="1B2D1954">
      <w:pPr>
        <w:pBdr>
          <w:bottom w:val="single" w:color="auto" w:sz="6" w:space="1"/>
        </w:pBd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40.1投标人递交技术标（含资格审查文件）、经济标投标文件；</w:t>
      </w:r>
    </w:p>
    <w:p w14:paraId="05518A0A">
      <w:pPr>
        <w:pBdr>
          <w:bottom w:val="single" w:color="auto" w:sz="6" w:space="1"/>
        </w:pBd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40.2技术标（含资格审查文件）与经济标投标文件同时公开开标；</w:t>
      </w:r>
    </w:p>
    <w:p w14:paraId="66F91A12">
      <w:pPr>
        <w:pBdr>
          <w:bottom w:val="single" w:color="auto" w:sz="6" w:space="1"/>
        </w:pBd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40.3由评标委员会对所有已公开开标的投标人进行资格审查</w:t>
      </w:r>
      <w:r>
        <w:rPr>
          <w:rFonts w:hint="eastAsia" w:ascii="宋体" w:hAnsi="宋体"/>
          <w:color w:val="auto"/>
          <w:sz w:val="20"/>
          <w:szCs w:val="20"/>
          <w:highlight w:val="none"/>
          <w:u w:val="single"/>
        </w:rPr>
        <w:t>，并编写资格审查报告</w:t>
      </w:r>
      <w:r>
        <w:rPr>
          <w:rFonts w:hint="eastAsia" w:ascii="宋体" w:hAnsi="宋体" w:cs="宋体"/>
          <w:color w:val="auto"/>
          <w:sz w:val="20"/>
          <w:szCs w:val="20"/>
          <w:highlight w:val="none"/>
        </w:rPr>
        <w:t>；</w:t>
      </w:r>
    </w:p>
    <w:p w14:paraId="408DF84A">
      <w:pPr>
        <w:pBdr>
          <w:bottom w:val="single" w:color="auto" w:sz="6" w:space="1"/>
        </w:pBd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40.4技术标投标文件有效性审查；</w:t>
      </w:r>
    </w:p>
    <w:p w14:paraId="7B03E061">
      <w:pPr>
        <w:pBdr>
          <w:bottom w:val="single" w:color="auto" w:sz="6" w:space="1"/>
        </w:pBd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40.5技术标详细审查评分；</w:t>
      </w:r>
    </w:p>
    <w:p w14:paraId="62644D2D">
      <w:pPr>
        <w:pBdr>
          <w:bottom w:val="single" w:color="auto" w:sz="6" w:space="1"/>
        </w:pBd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40.6</w:t>
      </w:r>
      <w:r>
        <w:rPr>
          <w:rFonts w:hint="eastAsia" w:ascii="宋体" w:hAnsi="宋体"/>
          <w:color w:val="auto"/>
          <w:sz w:val="20"/>
          <w:szCs w:val="20"/>
          <w:highlight w:val="none"/>
        </w:rPr>
        <w:t>经济标投标文件有效性审查（含投标报价算术校核）；</w:t>
      </w:r>
    </w:p>
    <w:p w14:paraId="77D4110E">
      <w:pPr>
        <w:pBdr>
          <w:bottom w:val="single" w:color="auto" w:sz="6" w:space="1"/>
        </w:pBd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40.7若投标人中所有</w:t>
      </w:r>
      <w:r>
        <w:rPr>
          <w:rFonts w:hint="eastAsia" w:ascii="宋体" w:hAnsi="宋体" w:cs="宋体"/>
          <w:color w:val="auto"/>
          <w:sz w:val="20"/>
          <w:szCs w:val="20"/>
          <w:highlight w:val="none"/>
          <w:u w:val="single"/>
        </w:rPr>
        <w:t>投标总报价</w:t>
      </w:r>
      <w:r>
        <w:rPr>
          <w:rFonts w:hint="eastAsia" w:ascii="宋体" w:hAnsi="宋体" w:cs="宋体"/>
          <w:color w:val="auto"/>
          <w:sz w:val="20"/>
          <w:szCs w:val="20"/>
          <w:highlight w:val="none"/>
        </w:rPr>
        <w:t>均大于等于最高投标限价</w:t>
      </w:r>
      <w:r>
        <w:rPr>
          <w:rFonts w:ascii="宋体" w:hAnsi="宋体" w:cs="宋体"/>
          <w:color w:val="auto"/>
          <w:sz w:val="20"/>
          <w:szCs w:val="20"/>
          <w:highlight w:val="none"/>
        </w:rPr>
        <w:t>，则本项目招标失败，由招标人依法重新招标。</w:t>
      </w:r>
    </w:p>
    <w:p w14:paraId="591D6AA4">
      <w:pPr>
        <w:pBdr>
          <w:bottom w:val="single" w:color="auto" w:sz="6" w:space="1"/>
        </w:pBdr>
        <w:spacing w:line="360" w:lineRule="auto"/>
        <w:ind w:firstLine="401" w:firstLineChars="201"/>
        <w:rPr>
          <w:rFonts w:hint="eastAsia" w:ascii="宋体" w:hAnsi="宋体" w:cs="宋体"/>
          <w:color w:val="auto"/>
          <w:sz w:val="20"/>
          <w:szCs w:val="20"/>
          <w:highlight w:val="none"/>
        </w:rPr>
      </w:pPr>
      <w:r>
        <w:rPr>
          <w:rFonts w:hint="eastAsia" w:ascii="宋体" w:hAnsi="宋体" w:cs="宋体"/>
          <w:color w:val="auto"/>
          <w:sz w:val="20"/>
          <w:szCs w:val="20"/>
          <w:highlight w:val="none"/>
        </w:rPr>
        <w:t>40.8投标报价</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项目管理班子答辩</w:t>
      </w:r>
      <w:r>
        <w:rPr>
          <w:rFonts w:hint="eastAsia" w:ascii="宋体" w:hAnsi="宋体" w:cs="宋体"/>
          <w:color w:val="auto"/>
          <w:sz w:val="20"/>
          <w:szCs w:val="20"/>
          <w:highlight w:val="none"/>
          <w:lang w:val="en-US" w:eastAsia="zh-CN"/>
        </w:rPr>
        <w:t>及</w:t>
      </w:r>
      <w:r>
        <w:rPr>
          <w:rFonts w:hint="eastAsia" w:ascii="宋体" w:hAnsi="宋体" w:cs="宋体"/>
          <w:color w:val="auto"/>
          <w:sz w:val="20"/>
          <w:szCs w:val="20"/>
          <w:highlight w:val="none"/>
        </w:rPr>
        <w:t>施工组织设计详细审查评分；</w:t>
      </w:r>
    </w:p>
    <w:p w14:paraId="1A03CF89">
      <w:pPr>
        <w:pBdr>
          <w:bottom w:val="single" w:color="auto" w:sz="6" w:space="1"/>
        </w:pBdr>
        <w:spacing w:line="360" w:lineRule="auto"/>
        <w:ind w:firstLine="401" w:firstLineChars="201"/>
        <w:rPr>
          <w:rFonts w:hint="eastAsia" w:ascii="宋体" w:hAnsi="宋体" w:cs="宋体"/>
          <w:color w:val="auto"/>
          <w:sz w:val="20"/>
          <w:szCs w:val="20"/>
          <w:highlight w:val="none"/>
        </w:rPr>
      </w:pPr>
      <w:r>
        <w:rPr>
          <w:rFonts w:hint="eastAsia" w:ascii="宋体" w:hAnsi="宋体" w:cs="宋体"/>
          <w:color w:val="auto"/>
          <w:sz w:val="20"/>
          <w:szCs w:val="20"/>
          <w:highlight w:val="none"/>
        </w:rPr>
        <w:t>第一阶段经济标采用“</w:t>
      </w:r>
      <w:r>
        <w:rPr>
          <w:rFonts w:hint="eastAsia" w:ascii="宋体" w:hAnsi="宋体" w:cs="宋体"/>
          <w:color w:val="auto"/>
          <w:sz w:val="20"/>
          <w:szCs w:val="20"/>
          <w:highlight w:val="none"/>
          <w:lang w:eastAsia="zh-CN"/>
        </w:rPr>
        <w:t>区间抽取法</w:t>
      </w:r>
      <w:r>
        <w:rPr>
          <w:rFonts w:hint="eastAsia" w:ascii="宋体" w:hAnsi="宋体" w:cs="宋体"/>
          <w:color w:val="auto"/>
          <w:sz w:val="20"/>
          <w:szCs w:val="20"/>
          <w:highlight w:val="none"/>
        </w:rPr>
        <w:t>”：</w:t>
      </w:r>
    </w:p>
    <w:p w14:paraId="59946B38">
      <w:pPr>
        <w:pBdr>
          <w:bottom w:val="single" w:color="auto" w:sz="6" w:space="1"/>
        </w:pBdr>
        <w:spacing w:line="360" w:lineRule="auto"/>
        <w:ind w:firstLine="401" w:firstLineChars="201"/>
        <w:rPr>
          <w:rFonts w:hint="eastAsia" w:ascii="宋体" w:hAnsi="宋体" w:cs="宋体"/>
          <w:color w:val="auto"/>
          <w:sz w:val="20"/>
          <w:szCs w:val="20"/>
          <w:highlight w:val="none"/>
        </w:rPr>
      </w:pPr>
      <w:r>
        <w:rPr>
          <w:rFonts w:hint="eastAsia" w:ascii="宋体" w:hAnsi="宋体" w:cs="宋体"/>
          <w:color w:val="auto"/>
          <w:sz w:val="20"/>
          <w:szCs w:val="20"/>
          <w:highlight w:val="none"/>
        </w:rPr>
        <w:t>设立入围合格分数线（技术标得分为</w:t>
      </w:r>
      <w:r>
        <w:rPr>
          <w:rFonts w:hint="eastAsia" w:ascii="宋体" w:hAnsi="宋体" w:cs="宋体"/>
          <w:color w:val="auto"/>
          <w:sz w:val="20"/>
          <w:szCs w:val="20"/>
          <w:highlight w:val="none"/>
          <w:lang w:val="en-US" w:eastAsia="zh-CN"/>
        </w:rPr>
        <w:t>90</w:t>
      </w:r>
      <w:r>
        <w:rPr>
          <w:rFonts w:hint="eastAsia" w:ascii="宋体" w:hAnsi="宋体" w:cs="宋体"/>
          <w:color w:val="auto"/>
          <w:sz w:val="20"/>
          <w:szCs w:val="20"/>
          <w:highlight w:val="none"/>
        </w:rPr>
        <w:t>分</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如所有投标人的</w:t>
      </w:r>
      <w:r>
        <w:rPr>
          <w:rFonts w:hint="eastAsia" w:ascii="宋体" w:hAnsi="宋体" w:cs="宋体"/>
          <w:color w:val="auto"/>
          <w:sz w:val="20"/>
          <w:szCs w:val="20"/>
          <w:highlight w:val="none"/>
        </w:rPr>
        <w:t>技术标得分</w:t>
      </w:r>
      <w:r>
        <w:rPr>
          <w:rFonts w:hint="eastAsia" w:ascii="宋体" w:hAnsi="宋体" w:cs="宋体"/>
          <w:color w:val="auto"/>
          <w:sz w:val="20"/>
          <w:szCs w:val="20"/>
          <w:highlight w:val="none"/>
          <w:lang w:eastAsia="zh-CN"/>
        </w:rPr>
        <w:t>均</w:t>
      </w:r>
      <w:r>
        <w:rPr>
          <w:rFonts w:hint="eastAsia" w:ascii="宋体" w:hAnsi="宋体" w:cs="宋体"/>
          <w:color w:val="auto"/>
          <w:sz w:val="20"/>
          <w:szCs w:val="20"/>
          <w:highlight w:val="none"/>
          <w:lang w:val="en-US" w:eastAsia="zh-CN"/>
        </w:rPr>
        <w:t>未达到90</w:t>
      </w:r>
      <w:r>
        <w:rPr>
          <w:rFonts w:hint="eastAsia" w:ascii="宋体" w:hAnsi="宋体" w:cs="宋体"/>
          <w:color w:val="auto"/>
          <w:sz w:val="20"/>
          <w:szCs w:val="20"/>
          <w:highlight w:val="none"/>
        </w:rPr>
        <w:t>分</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则</w:t>
      </w:r>
      <w:r>
        <w:rPr>
          <w:rFonts w:hint="eastAsia" w:ascii="宋体" w:hAnsi="宋体" w:cs="宋体"/>
          <w:color w:val="auto"/>
          <w:sz w:val="20"/>
          <w:szCs w:val="20"/>
          <w:highlight w:val="none"/>
        </w:rPr>
        <w:t>合格分数线为技术标得分</w:t>
      </w:r>
      <w:r>
        <w:rPr>
          <w:rFonts w:hint="eastAsia" w:ascii="宋体" w:hAnsi="宋体" w:cs="宋体"/>
          <w:color w:val="auto"/>
          <w:sz w:val="20"/>
          <w:szCs w:val="20"/>
          <w:highlight w:val="none"/>
          <w:lang w:val="en-US" w:eastAsia="zh-CN"/>
        </w:rPr>
        <w:t>80</w:t>
      </w:r>
      <w:r>
        <w:rPr>
          <w:rFonts w:hint="eastAsia" w:ascii="宋体" w:hAnsi="宋体" w:cs="宋体"/>
          <w:color w:val="auto"/>
          <w:sz w:val="20"/>
          <w:szCs w:val="20"/>
          <w:highlight w:val="none"/>
        </w:rPr>
        <w:t>分），达到或超过入围合格分数线的投标人的报价方能参与评标参考价的计算。将达到或超过入围合格分数线的投标报价由低至高进行排列，按以下公式计算评标参考价，计算公式如下：</w:t>
      </w:r>
    </w:p>
    <w:p w14:paraId="29F44D7C">
      <w:pPr>
        <w:pBdr>
          <w:bottom w:val="single" w:color="auto" w:sz="6" w:space="1"/>
        </w:pBdr>
        <w:spacing w:line="360" w:lineRule="auto"/>
        <w:ind w:firstLine="401" w:firstLineChars="201"/>
        <w:rPr>
          <w:rFonts w:hint="eastAsia" w:ascii="宋体" w:hAnsi="宋体" w:cs="宋体"/>
          <w:color w:val="auto"/>
          <w:sz w:val="20"/>
          <w:szCs w:val="20"/>
          <w:highlight w:val="none"/>
        </w:rPr>
      </w:pPr>
      <w:r>
        <w:rPr>
          <w:rFonts w:hint="eastAsia" w:ascii="宋体" w:hAnsi="宋体" w:cs="宋体"/>
          <w:color w:val="auto"/>
          <w:sz w:val="20"/>
          <w:szCs w:val="20"/>
          <w:highlight w:val="none"/>
        </w:rPr>
        <w:t>评标参考价=（Q高-Q低）/100*Ｘ+Q低</w:t>
      </w:r>
    </w:p>
    <w:p w14:paraId="7B285BFA">
      <w:pPr>
        <w:pBdr>
          <w:bottom w:val="single" w:color="auto" w:sz="6" w:space="1"/>
        </w:pBdr>
        <w:spacing w:line="360" w:lineRule="auto"/>
        <w:ind w:firstLine="401" w:firstLineChars="201"/>
        <w:rPr>
          <w:rFonts w:hint="eastAsia" w:ascii="宋体" w:hAnsi="宋体" w:cs="宋体"/>
          <w:color w:val="auto"/>
          <w:sz w:val="20"/>
          <w:szCs w:val="20"/>
          <w:highlight w:val="none"/>
        </w:rPr>
      </w:pPr>
      <w:r>
        <w:rPr>
          <w:rFonts w:hint="eastAsia" w:ascii="宋体" w:hAnsi="宋体" w:cs="宋体"/>
          <w:color w:val="auto"/>
          <w:sz w:val="20"/>
          <w:szCs w:val="20"/>
          <w:highlight w:val="none"/>
        </w:rPr>
        <w:t>Q低：为达到或超过入围合格分数线的投标人最低报价与工程成本警示价两者中的较高值；</w:t>
      </w:r>
    </w:p>
    <w:p w14:paraId="3635FE91">
      <w:pPr>
        <w:pBdr>
          <w:bottom w:val="single" w:color="auto" w:sz="6" w:space="1"/>
        </w:pBdr>
        <w:spacing w:line="360" w:lineRule="auto"/>
        <w:ind w:firstLine="401" w:firstLineChars="201"/>
        <w:rPr>
          <w:rFonts w:hint="eastAsia" w:ascii="宋体" w:hAnsi="宋体" w:cs="宋体"/>
          <w:color w:val="auto"/>
          <w:sz w:val="20"/>
          <w:szCs w:val="20"/>
          <w:highlight w:val="none"/>
        </w:rPr>
      </w:pPr>
      <w:r>
        <w:rPr>
          <w:rFonts w:hint="eastAsia" w:ascii="宋体" w:hAnsi="宋体" w:cs="宋体"/>
          <w:color w:val="auto"/>
          <w:sz w:val="20"/>
          <w:szCs w:val="20"/>
          <w:highlight w:val="none"/>
        </w:rPr>
        <w:t>Q高：为最高投标限价</w:t>
      </w:r>
    </w:p>
    <w:p w14:paraId="1AAF5F9E">
      <w:pPr>
        <w:pBdr>
          <w:bottom w:val="single" w:color="auto" w:sz="6" w:space="1"/>
        </w:pBdr>
        <w:spacing w:line="360" w:lineRule="auto"/>
        <w:ind w:firstLine="401" w:firstLineChars="201"/>
        <w:rPr>
          <w:rFonts w:hint="eastAsia" w:ascii="宋体" w:hAnsi="宋体" w:cs="宋体"/>
          <w:color w:val="auto"/>
          <w:sz w:val="20"/>
          <w:szCs w:val="20"/>
          <w:highlight w:val="none"/>
        </w:rPr>
      </w:pPr>
      <w:r>
        <w:rPr>
          <w:rFonts w:hint="eastAsia" w:ascii="宋体" w:hAnsi="宋体" w:cs="宋体"/>
          <w:color w:val="auto"/>
          <w:sz w:val="20"/>
          <w:szCs w:val="20"/>
          <w:highlight w:val="none"/>
        </w:rPr>
        <w:t>X：为等分值点，采用广州交易集团有限公司（广州公共资源交易中心）交易平台在线系统在开标前从[0,100]整数中随机抽取。本项目抽取3个等分点值X（X1、X2、X3），在X1、X2、X3中去掉最高值后的2个等分点值的平均值作为计算评标参考价的等分点值X。</w:t>
      </w:r>
    </w:p>
    <w:p w14:paraId="53FE9256">
      <w:pPr>
        <w:pBdr>
          <w:bottom w:val="single" w:color="auto" w:sz="6" w:space="1"/>
        </w:pBdr>
        <w:spacing w:line="360" w:lineRule="auto"/>
        <w:ind w:firstLine="401" w:firstLineChars="201"/>
        <w:rPr>
          <w:rFonts w:hint="eastAsia" w:ascii="宋体" w:hAnsi="宋体" w:cs="宋体"/>
          <w:color w:val="auto"/>
          <w:sz w:val="20"/>
          <w:szCs w:val="20"/>
          <w:highlight w:val="none"/>
        </w:rPr>
      </w:pPr>
      <w:r>
        <w:rPr>
          <w:rFonts w:hint="eastAsia" w:ascii="宋体" w:hAnsi="宋体" w:cs="宋体"/>
          <w:color w:val="auto"/>
          <w:sz w:val="20"/>
          <w:szCs w:val="20"/>
          <w:highlight w:val="none"/>
        </w:rPr>
        <w:t>当标价等于评标参考价时得100分，标价每高于评标参考价1%，扣 1分，每低于评标参考价1%，扣0.5分，扣至0分为止，得出</w:t>
      </w:r>
      <w:r>
        <w:rPr>
          <w:rFonts w:hint="eastAsia" w:ascii="宋体" w:hAnsi="宋体" w:cs="宋体"/>
          <w:color w:val="auto"/>
          <w:sz w:val="20"/>
          <w:szCs w:val="20"/>
          <w:highlight w:val="none"/>
          <w:lang w:val="en-US" w:eastAsia="zh-CN"/>
        </w:rPr>
        <w:t>投标报价得分</w:t>
      </w:r>
      <w:r>
        <w:rPr>
          <w:rFonts w:hint="eastAsia" w:ascii="宋体" w:hAnsi="宋体" w:cs="宋体"/>
          <w:color w:val="auto"/>
          <w:sz w:val="20"/>
          <w:szCs w:val="20"/>
          <w:highlight w:val="none"/>
        </w:rPr>
        <w:t>，精确到小数点后两位。</w:t>
      </w:r>
    </w:p>
    <w:p w14:paraId="797E0770">
      <w:pPr>
        <w:pBdr>
          <w:bottom w:val="single" w:color="auto" w:sz="6" w:space="1"/>
        </w:pBdr>
        <w:spacing w:line="360" w:lineRule="auto"/>
        <w:ind w:firstLine="401" w:firstLineChars="201"/>
        <w:rPr>
          <w:rFonts w:hint="eastAsia" w:ascii="宋体" w:hAnsi="宋体" w:cs="宋体"/>
          <w:color w:val="auto"/>
          <w:sz w:val="20"/>
          <w:szCs w:val="20"/>
          <w:highlight w:val="none"/>
        </w:rPr>
      </w:pPr>
      <w:r>
        <w:rPr>
          <w:rFonts w:hint="eastAsia" w:ascii="宋体" w:hAnsi="宋体" w:cs="宋体"/>
          <w:color w:val="auto"/>
          <w:sz w:val="20"/>
          <w:szCs w:val="20"/>
          <w:highlight w:val="none"/>
        </w:rPr>
        <w:t>40.9</w:t>
      </w:r>
      <w:r>
        <w:rPr>
          <w:rFonts w:hint="eastAsia" w:ascii="宋体" w:hAnsi="宋体" w:cs="宋体"/>
          <w:color w:val="auto"/>
          <w:sz w:val="20"/>
          <w:szCs w:val="20"/>
          <w:highlight w:val="none"/>
          <w:u w:val="single"/>
          <w:lang w:bidi="ar"/>
        </w:rPr>
        <w:t>计算第一阶段得分，并按照总分从高到低排列先后次序，编写第一阶段评审报告</w:t>
      </w:r>
      <w:r>
        <w:rPr>
          <w:rFonts w:hint="eastAsia" w:ascii="宋体" w:hAnsi="宋体"/>
          <w:color w:val="auto"/>
          <w:sz w:val="20"/>
          <w:szCs w:val="20"/>
          <w:highlight w:val="none"/>
        </w:rPr>
        <w:t>；</w:t>
      </w:r>
    </w:p>
    <w:p w14:paraId="71D3B775">
      <w:pPr>
        <w:pBdr>
          <w:bottom w:val="single" w:color="auto" w:sz="6" w:space="1"/>
        </w:pBdr>
        <w:spacing w:line="360" w:lineRule="auto"/>
        <w:ind w:firstLine="401" w:firstLineChars="201"/>
        <w:rPr>
          <w:rFonts w:ascii="宋体" w:hAnsi="宋体" w:cs="宋体"/>
          <w:color w:val="auto"/>
          <w:sz w:val="20"/>
          <w:szCs w:val="20"/>
          <w:highlight w:val="none"/>
        </w:rPr>
      </w:pPr>
      <w:r>
        <w:rPr>
          <w:rFonts w:hint="eastAsia" w:ascii="宋体" w:hAnsi="宋体"/>
          <w:color w:val="auto"/>
          <w:sz w:val="20"/>
          <w:szCs w:val="20"/>
          <w:highlight w:val="none"/>
        </w:rPr>
        <w:t>40.10按投标须知前附表第25项规定，确定进入第二阶段评审的投标人；</w:t>
      </w:r>
    </w:p>
    <w:p w14:paraId="56E2F0C1">
      <w:pPr>
        <w:pBdr>
          <w:bottom w:val="single" w:color="auto" w:sz="6" w:space="1"/>
        </w:pBdr>
        <w:spacing w:line="360" w:lineRule="auto"/>
        <w:ind w:firstLine="400" w:firstLineChars="200"/>
        <w:rPr>
          <w:rFonts w:ascii="宋体" w:hAnsi="宋体" w:cs="宋体"/>
          <w:color w:val="auto"/>
          <w:sz w:val="20"/>
          <w:szCs w:val="20"/>
          <w:highlight w:val="none"/>
        </w:rPr>
      </w:pPr>
      <w:r>
        <w:rPr>
          <w:rFonts w:hint="eastAsia" w:ascii="宋体" w:hAnsi="宋体" w:cs="宋体"/>
          <w:color w:val="auto"/>
          <w:sz w:val="20"/>
          <w:szCs w:val="20"/>
          <w:highlight w:val="none"/>
        </w:rPr>
        <w:t>40.11</w:t>
      </w:r>
      <w:r>
        <w:rPr>
          <w:rFonts w:hint="eastAsia" w:ascii="宋体" w:hAnsi="宋体"/>
          <w:color w:val="auto"/>
          <w:sz w:val="20"/>
          <w:szCs w:val="20"/>
          <w:highlight w:val="none"/>
          <w:u w:val="single"/>
        </w:rPr>
        <w:t>对进入第二阶段的投标人按投标须知前附表第32项规定计算第二阶段得分并排序；</w:t>
      </w:r>
    </w:p>
    <w:p w14:paraId="3DED9D83">
      <w:pPr>
        <w:pBdr>
          <w:bottom w:val="single" w:color="auto" w:sz="6" w:space="1"/>
        </w:pBdr>
        <w:spacing w:line="360" w:lineRule="auto"/>
        <w:ind w:firstLine="401" w:firstLineChars="201"/>
        <w:rPr>
          <w:rFonts w:ascii="宋体" w:hAnsi="宋体"/>
          <w:color w:val="auto"/>
          <w:sz w:val="20"/>
          <w:szCs w:val="20"/>
          <w:highlight w:val="none"/>
          <w:u w:val="single"/>
        </w:rPr>
      </w:pPr>
      <w:r>
        <w:rPr>
          <w:rFonts w:hint="eastAsia" w:ascii="宋体" w:hAnsi="宋体" w:cs="宋体"/>
          <w:color w:val="auto"/>
          <w:sz w:val="20"/>
          <w:szCs w:val="20"/>
          <w:highlight w:val="none"/>
        </w:rPr>
        <w:t>40.12评标委员会编写评标报告，向招标人推荐中标候选人名单。</w:t>
      </w:r>
    </w:p>
    <w:p w14:paraId="5068C93D">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条款号：41.1                                                      修改类型：修改</w:t>
      </w:r>
    </w:p>
    <w:p w14:paraId="70CA97D1">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41.1开标由招标人主持；</w:t>
      </w:r>
    </w:p>
    <w:p w14:paraId="249602F9">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41.1开标由招标人</w:t>
      </w:r>
      <w:r>
        <w:rPr>
          <w:rFonts w:hint="eastAsia" w:ascii="宋体" w:hAnsi="宋体" w:cs="宋体"/>
          <w:color w:val="auto"/>
          <w:sz w:val="20"/>
          <w:szCs w:val="20"/>
          <w:highlight w:val="none"/>
          <w:u w:val="single"/>
        </w:rPr>
        <w:t>或招标代理</w:t>
      </w:r>
      <w:r>
        <w:rPr>
          <w:rFonts w:hint="eastAsia" w:ascii="宋体" w:hAnsi="宋体" w:cs="宋体"/>
          <w:color w:val="auto"/>
          <w:sz w:val="20"/>
          <w:szCs w:val="20"/>
          <w:highlight w:val="none"/>
        </w:rPr>
        <w:t>主持；</w:t>
      </w:r>
    </w:p>
    <w:p w14:paraId="75EF1407">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条款号：41.2.1                                                    修改类型：修改</w:t>
      </w:r>
    </w:p>
    <w:p w14:paraId="0F53A7DE">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41.2.1投标截止期前，各投标人递交投标文件（包括技术标投标文件、经济标投标文件）至</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交易平台。有关投标文件提交的事项详见第一章投标须知。</w:t>
      </w:r>
    </w:p>
    <w:p w14:paraId="00089EC7">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41.2.1投标截止期前，各投标人递交投标文件（包括</w:t>
      </w:r>
      <w:r>
        <w:rPr>
          <w:rFonts w:hint="eastAsia" w:ascii="宋体" w:hAnsi="宋体" w:cs="宋体"/>
          <w:color w:val="auto"/>
          <w:sz w:val="20"/>
          <w:szCs w:val="20"/>
          <w:highlight w:val="none"/>
          <w:u w:val="single"/>
        </w:rPr>
        <w:t>技术标投标文件（含资格审查文件）</w:t>
      </w:r>
      <w:r>
        <w:rPr>
          <w:rFonts w:hint="eastAsia" w:ascii="宋体" w:hAnsi="宋体" w:cs="宋体"/>
          <w:color w:val="auto"/>
          <w:sz w:val="20"/>
          <w:szCs w:val="20"/>
          <w:highlight w:val="none"/>
        </w:rPr>
        <w:t>、经济标投标文件）至</w:t>
      </w:r>
      <w:r>
        <w:rPr>
          <w:rFonts w:hint="eastAsia" w:ascii="宋体" w:hAnsi="宋体" w:cs="宋体"/>
          <w:color w:val="auto"/>
          <w:sz w:val="20"/>
          <w:szCs w:val="20"/>
          <w:highlight w:val="none"/>
          <w:u w:val="single"/>
        </w:rPr>
        <w:t>广州交易集团有限公司（广州公共资源交易中心）</w:t>
      </w:r>
      <w:r>
        <w:rPr>
          <w:rFonts w:hint="eastAsia" w:ascii="宋体" w:hAnsi="宋体" w:cs="宋体"/>
          <w:color w:val="auto"/>
          <w:sz w:val="20"/>
          <w:szCs w:val="20"/>
          <w:highlight w:val="none"/>
        </w:rPr>
        <w:t>交易平台。有关投标文件提交的事项详见第一章投标须知。</w:t>
      </w:r>
    </w:p>
    <w:p w14:paraId="3C424126">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条款号：41.3.1                                                  修改类型：修改</w:t>
      </w:r>
    </w:p>
    <w:p w14:paraId="06105EF2">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1760DA50">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lang w:val="en-US" w:eastAsia="zh-CN"/>
        </w:rPr>
        <w:t>现文</w:t>
      </w:r>
      <w:r>
        <w:rPr>
          <w:rFonts w:hint="eastAsia" w:ascii="宋体" w:hAnsi="宋体" w:cs="宋体"/>
          <w:b/>
          <w:color w:val="auto"/>
          <w:sz w:val="20"/>
          <w:szCs w:val="20"/>
          <w:highlight w:val="none"/>
        </w:rPr>
        <w:t>：</w:t>
      </w:r>
      <w:r>
        <w:rPr>
          <w:rFonts w:hint="eastAsia" w:ascii="宋体" w:hAnsi="宋体" w:cs="宋体"/>
          <w:color w:val="auto"/>
          <w:sz w:val="20"/>
          <w:szCs w:val="20"/>
          <w:highlight w:val="none"/>
        </w:rPr>
        <w:t>41.3.1开标时，公布：a、投标人名称；b、投标文件密封情况；c、投标报价；</w:t>
      </w:r>
      <w:r>
        <w:rPr>
          <w:rFonts w:ascii="宋体" w:hAnsi="宋体" w:cs="宋体"/>
          <w:color w:val="auto"/>
          <w:sz w:val="20"/>
          <w:szCs w:val="20"/>
          <w:highlight w:val="none"/>
        </w:rPr>
        <w:t>d</w:t>
      </w:r>
      <w:r>
        <w:rPr>
          <w:rFonts w:hint="eastAsia" w:ascii="宋体" w:hAnsi="宋体" w:cs="宋体"/>
          <w:color w:val="auto"/>
          <w:sz w:val="20"/>
          <w:szCs w:val="20"/>
          <w:highlight w:val="none"/>
        </w:rPr>
        <w:t>、项目经理（负责人）名称；</w:t>
      </w:r>
      <w:r>
        <w:rPr>
          <w:rFonts w:ascii="宋体" w:hAnsi="宋体" w:cs="宋体"/>
          <w:color w:val="auto"/>
          <w:sz w:val="20"/>
          <w:szCs w:val="20"/>
          <w:highlight w:val="none"/>
        </w:rPr>
        <w:t>e</w:t>
      </w:r>
      <w:r>
        <w:rPr>
          <w:rFonts w:hint="eastAsia" w:ascii="宋体" w:hAnsi="宋体" w:cs="宋体"/>
          <w:color w:val="auto"/>
          <w:sz w:val="20"/>
          <w:szCs w:val="20"/>
          <w:highlight w:val="none"/>
        </w:rPr>
        <w:t>、法定代表人证明及授权委托等主要内容及开标记录表中的其他必要内容。投标报价以数字和文字两种方式表述的，应公布文字表述的投标报价。</w:t>
      </w:r>
    </w:p>
    <w:p w14:paraId="2F2BABBB">
      <w:pPr>
        <w:spacing w:line="360" w:lineRule="auto"/>
        <w:ind w:firstLine="404" w:firstLineChars="201"/>
        <w:rPr>
          <w:rFonts w:ascii="宋体" w:hAnsi="宋体" w:cs="宋体"/>
          <w:b/>
          <w:color w:val="auto"/>
          <w:sz w:val="20"/>
          <w:szCs w:val="20"/>
          <w:highlight w:val="none"/>
        </w:rPr>
      </w:pPr>
      <w:r>
        <w:rPr>
          <w:rFonts w:hint="eastAsia" w:ascii="宋体" w:hAnsi="宋体" w:cs="宋体"/>
          <w:b/>
          <w:color w:val="auto"/>
          <w:sz w:val="20"/>
          <w:szCs w:val="20"/>
          <w:highlight w:val="none"/>
        </w:rPr>
        <w:t>条款号：41.</w:t>
      </w:r>
      <w:r>
        <w:rPr>
          <w:rFonts w:ascii="宋体" w:hAnsi="宋体" w:cs="宋体"/>
          <w:b/>
          <w:color w:val="auto"/>
          <w:sz w:val="20"/>
          <w:szCs w:val="20"/>
          <w:highlight w:val="none"/>
        </w:rPr>
        <w:t xml:space="preserve">4 </w:t>
      </w:r>
      <w:r>
        <w:rPr>
          <w:rFonts w:hint="eastAsia" w:ascii="宋体" w:hAnsi="宋体" w:cs="宋体"/>
          <w:b/>
          <w:color w:val="auto"/>
          <w:sz w:val="20"/>
          <w:szCs w:val="20"/>
          <w:highlight w:val="none"/>
        </w:rPr>
        <w:t xml:space="preserve">                 </w:t>
      </w:r>
      <w:r>
        <w:rPr>
          <w:rFonts w:ascii="宋体" w:hAnsi="宋体" w:cs="宋体"/>
          <w:b/>
          <w:color w:val="auto"/>
          <w:sz w:val="20"/>
          <w:szCs w:val="20"/>
          <w:highlight w:val="none"/>
        </w:rPr>
        <w:t xml:space="preserve"> </w:t>
      </w:r>
      <w:r>
        <w:rPr>
          <w:rFonts w:hint="eastAsia" w:ascii="宋体" w:hAnsi="宋体" w:cs="宋体"/>
          <w:b/>
          <w:color w:val="auto"/>
          <w:sz w:val="20"/>
          <w:szCs w:val="20"/>
          <w:highlight w:val="none"/>
        </w:rPr>
        <w:t xml:space="preserve">                                修改类型：修改</w:t>
      </w:r>
    </w:p>
    <w:p w14:paraId="448E0C22">
      <w:pPr>
        <w:pBdr>
          <w:bottom w:val="single" w:color="auto" w:sz="6" w:space="1"/>
        </w:pBdr>
        <w:spacing w:line="360" w:lineRule="auto"/>
        <w:ind w:firstLine="404" w:firstLineChars="201"/>
        <w:rPr>
          <w:rFonts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41.4招标人对开标过程进行记录，并存档备查，投标人在开标记录上签字。</w:t>
      </w:r>
    </w:p>
    <w:p w14:paraId="1F444CEA">
      <w:pPr>
        <w:pBdr>
          <w:bottom w:val="single" w:color="auto" w:sz="6" w:space="1"/>
        </w:pBdr>
        <w:spacing w:line="360" w:lineRule="auto"/>
        <w:ind w:firstLine="404" w:firstLineChars="201"/>
        <w:rPr>
          <w:rFonts w:ascii="宋体" w:hAnsi="宋体" w:cs="宋体"/>
          <w:b/>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41.</w:t>
      </w:r>
      <w:r>
        <w:rPr>
          <w:rFonts w:ascii="宋体" w:hAnsi="宋体" w:cs="宋体"/>
          <w:color w:val="auto"/>
          <w:sz w:val="20"/>
          <w:szCs w:val="20"/>
          <w:highlight w:val="none"/>
        </w:rPr>
        <w:t>4</w:t>
      </w:r>
      <w:r>
        <w:rPr>
          <w:rFonts w:hint="eastAsia" w:ascii="宋体" w:hAnsi="宋体" w:cs="宋体"/>
          <w:color w:val="auto"/>
          <w:sz w:val="20"/>
          <w:szCs w:val="20"/>
          <w:highlight w:val="none"/>
        </w:rPr>
        <w:t>招标人</w:t>
      </w:r>
      <w:r>
        <w:rPr>
          <w:rFonts w:hint="eastAsia" w:ascii="宋体" w:hAnsi="宋体" w:cs="宋体"/>
          <w:color w:val="auto"/>
          <w:sz w:val="20"/>
          <w:szCs w:val="20"/>
          <w:highlight w:val="none"/>
          <w:u w:val="single"/>
        </w:rPr>
        <w:t>或招标代理机构</w:t>
      </w:r>
      <w:r>
        <w:rPr>
          <w:rFonts w:hint="eastAsia" w:ascii="宋体" w:hAnsi="宋体" w:cs="宋体"/>
          <w:color w:val="auto"/>
          <w:sz w:val="20"/>
          <w:szCs w:val="20"/>
          <w:highlight w:val="none"/>
        </w:rPr>
        <w:t>对开标过程进行记录，并存档备查，</w:t>
      </w:r>
      <w:r>
        <w:rPr>
          <w:rFonts w:hint="eastAsia" w:ascii="宋体" w:hAnsi="宋体" w:cs="宋体"/>
          <w:color w:val="auto"/>
          <w:sz w:val="20"/>
          <w:szCs w:val="20"/>
          <w:highlight w:val="none"/>
          <w:u w:val="single"/>
        </w:rPr>
        <w:t>参加现场开标会的</w:t>
      </w:r>
      <w:r>
        <w:rPr>
          <w:rFonts w:hint="eastAsia" w:ascii="宋体" w:hAnsi="宋体" w:cs="宋体"/>
          <w:color w:val="auto"/>
          <w:sz w:val="20"/>
          <w:szCs w:val="20"/>
          <w:highlight w:val="none"/>
        </w:rPr>
        <w:t>投标人在开标记录上签字。</w:t>
      </w:r>
    </w:p>
    <w:p w14:paraId="4E38338A">
      <w:pPr>
        <w:spacing w:line="360" w:lineRule="auto"/>
        <w:ind w:firstLine="402" w:firstLineChars="200"/>
        <w:rPr>
          <w:rFonts w:ascii="宋体" w:hAnsi="宋体" w:cs="宋体"/>
          <w:b/>
          <w:color w:val="auto"/>
          <w:sz w:val="20"/>
          <w:szCs w:val="20"/>
          <w:highlight w:val="none"/>
        </w:rPr>
      </w:pPr>
      <w:r>
        <w:rPr>
          <w:rFonts w:hint="eastAsia" w:ascii="宋体" w:hAnsi="宋体" w:cs="宋体"/>
          <w:b/>
          <w:color w:val="auto"/>
          <w:sz w:val="20"/>
          <w:szCs w:val="20"/>
          <w:highlight w:val="none"/>
        </w:rPr>
        <w:t>条款号：42.1                                                   修改类型：修改</w:t>
      </w:r>
    </w:p>
    <w:p w14:paraId="0E82982A">
      <w:pPr>
        <w:spacing w:line="360" w:lineRule="auto"/>
        <w:ind w:firstLine="404" w:firstLineChars="201"/>
        <w:rPr>
          <w:rFonts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42.1评标委员会的组成：方式</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w:t>
      </w:r>
    </w:p>
    <w:p w14:paraId="4A1186AE">
      <w:pP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方式一：评标委员会为综合评标委员会，负责资格审查及评标工作。</w:t>
      </w:r>
    </w:p>
    <w:p w14:paraId="713A038A">
      <w:pPr>
        <w:spacing w:line="360" w:lineRule="auto"/>
        <w:ind w:firstLine="401" w:firstLineChars="201"/>
        <w:rPr>
          <w:rFonts w:ascii="宋体" w:hAnsi="宋体" w:cs="宋体"/>
          <w:color w:val="auto"/>
          <w:sz w:val="20"/>
          <w:szCs w:val="20"/>
          <w:highlight w:val="none"/>
        </w:rPr>
      </w:pPr>
      <w:r>
        <w:rPr>
          <w:rFonts w:hint="eastAsia" w:ascii="宋体" w:hAnsi="宋体" w:cs="宋体"/>
          <w:color w:val="auto"/>
          <w:sz w:val="20"/>
          <w:szCs w:val="20"/>
          <w:highlight w:val="none"/>
        </w:rPr>
        <w:t>方式二：评标委员会由技术评审组和经济评审组组成。其中：资格审查及技术评审由技术评标组负责，经济评审由经济评审组负责。</w:t>
      </w:r>
    </w:p>
    <w:p w14:paraId="03762BE3">
      <w:pPr>
        <w:adjustRightInd w:val="0"/>
        <w:spacing w:line="360" w:lineRule="auto"/>
        <w:ind w:firstLine="402" w:firstLineChars="200"/>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42.1评标委员会的组成：方式</w:t>
      </w:r>
      <w:r>
        <w:rPr>
          <w:rFonts w:hint="eastAsia" w:ascii="宋体" w:hAnsi="宋体" w:cs="宋体"/>
          <w:color w:val="auto"/>
          <w:sz w:val="20"/>
          <w:szCs w:val="20"/>
          <w:highlight w:val="none"/>
          <w:u w:val="single"/>
        </w:rPr>
        <w:t xml:space="preserve"> 二 </w:t>
      </w:r>
      <w:r>
        <w:rPr>
          <w:rFonts w:hint="eastAsia" w:ascii="宋体" w:hAnsi="宋体" w:cs="宋体"/>
          <w:color w:val="auto"/>
          <w:sz w:val="20"/>
          <w:szCs w:val="20"/>
          <w:highlight w:val="none"/>
        </w:rPr>
        <w:t>。</w:t>
      </w:r>
    </w:p>
    <w:p w14:paraId="04DB3C09">
      <w:pPr>
        <w:pBdr>
          <w:bottom w:val="single" w:color="auto" w:sz="6" w:space="1"/>
        </w:pBdr>
        <w:spacing w:line="360" w:lineRule="auto"/>
        <w:ind w:firstLine="401" w:firstLineChars="201"/>
        <w:rPr>
          <w:rFonts w:hint="eastAsia" w:ascii="宋体" w:hAnsi="宋体"/>
          <w:color w:val="auto"/>
          <w:sz w:val="20"/>
          <w:szCs w:val="20"/>
          <w:highlight w:val="none"/>
          <w:u w:val="single"/>
        </w:rPr>
      </w:pPr>
      <w:r>
        <w:rPr>
          <w:rFonts w:hint="eastAsia" w:ascii="宋体" w:hAnsi="宋体" w:cs="宋体"/>
          <w:color w:val="auto"/>
          <w:sz w:val="20"/>
          <w:szCs w:val="20"/>
          <w:highlight w:val="none"/>
        </w:rPr>
        <w:t>方式二：评标委员会由技术评审组和经济评审组组成。其中：资格审查及第一阶段评审由技术评标组负责，第二阶段评审及结果汇总由经济评审组负责。</w:t>
      </w:r>
    </w:p>
    <w:p w14:paraId="00E8207A">
      <w:pPr>
        <w:spacing w:line="360" w:lineRule="auto"/>
        <w:ind w:firstLine="402" w:firstLineChars="200"/>
        <w:rPr>
          <w:b/>
          <w:color w:val="auto"/>
          <w:sz w:val="20"/>
          <w:szCs w:val="20"/>
          <w:highlight w:val="none"/>
        </w:rPr>
      </w:pPr>
      <w:r>
        <w:rPr>
          <w:rFonts w:hint="eastAsia" w:ascii="宋体" w:hAnsi="宋体" w:cs="宋体"/>
          <w:b/>
          <w:color w:val="auto"/>
          <w:sz w:val="20"/>
          <w:szCs w:val="20"/>
          <w:highlight w:val="none"/>
          <w:lang w:bidi="ar"/>
        </w:rPr>
        <w:t>条款号：</w:t>
      </w:r>
      <w:r>
        <w:rPr>
          <w:b/>
          <w:color w:val="auto"/>
          <w:sz w:val="20"/>
          <w:szCs w:val="20"/>
          <w:highlight w:val="none"/>
          <w:lang w:bidi="ar"/>
        </w:rPr>
        <w:t>42.3.1</w:t>
      </w:r>
      <w:r>
        <w:rPr>
          <w:rFonts w:hint="eastAsia" w:ascii="宋体" w:hAnsi="宋体" w:cs="宋体"/>
          <w:b/>
          <w:color w:val="auto"/>
          <w:sz w:val="20"/>
          <w:szCs w:val="20"/>
          <w:highlight w:val="none"/>
          <w:lang w:bidi="ar"/>
        </w:rPr>
        <w:t>、</w:t>
      </w:r>
      <w:r>
        <w:rPr>
          <w:b/>
          <w:color w:val="auto"/>
          <w:sz w:val="20"/>
          <w:szCs w:val="20"/>
          <w:highlight w:val="none"/>
          <w:lang w:bidi="ar"/>
        </w:rPr>
        <w:t xml:space="preserve">42.3.2           </w:t>
      </w:r>
      <w:r>
        <w:rPr>
          <w:rFonts w:hint="eastAsia"/>
          <w:b/>
          <w:color w:val="auto"/>
          <w:sz w:val="20"/>
          <w:szCs w:val="20"/>
          <w:highlight w:val="none"/>
          <w:lang w:bidi="ar"/>
        </w:rPr>
        <w:t xml:space="preserve">                              </w:t>
      </w:r>
      <w:r>
        <w:rPr>
          <w:b/>
          <w:color w:val="auto"/>
          <w:sz w:val="20"/>
          <w:szCs w:val="20"/>
          <w:highlight w:val="none"/>
          <w:lang w:bidi="ar"/>
        </w:rPr>
        <w:t xml:space="preserve"> </w:t>
      </w:r>
      <w:r>
        <w:rPr>
          <w:rFonts w:hint="eastAsia"/>
          <w:b/>
          <w:color w:val="auto"/>
          <w:sz w:val="20"/>
          <w:szCs w:val="20"/>
          <w:highlight w:val="none"/>
          <w:lang w:bidi="ar"/>
        </w:rPr>
        <w:t xml:space="preserve"> </w:t>
      </w:r>
      <w:r>
        <w:rPr>
          <w:rFonts w:hint="eastAsia" w:ascii="宋体" w:hAnsi="宋体" w:cs="宋体"/>
          <w:b/>
          <w:color w:val="auto"/>
          <w:sz w:val="20"/>
          <w:szCs w:val="20"/>
          <w:highlight w:val="none"/>
          <w:lang w:bidi="ar"/>
        </w:rPr>
        <w:t>修改类型：修改</w:t>
      </w:r>
    </w:p>
    <w:p w14:paraId="1B0674C5">
      <w:pPr>
        <w:spacing w:line="360" w:lineRule="auto"/>
        <w:ind w:firstLine="402" w:firstLineChars="200"/>
        <w:rPr>
          <w:rFonts w:ascii="宋体" w:hAnsi="宋体" w:cs="宋体"/>
          <w:color w:val="auto"/>
          <w:sz w:val="20"/>
          <w:szCs w:val="20"/>
          <w:highlight w:val="none"/>
        </w:rPr>
      </w:pPr>
      <w:r>
        <w:rPr>
          <w:rFonts w:hint="eastAsia" w:ascii="宋体" w:hAnsi="宋体" w:cs="宋体"/>
          <w:b/>
          <w:color w:val="auto"/>
          <w:sz w:val="20"/>
          <w:szCs w:val="20"/>
          <w:highlight w:val="none"/>
          <w:lang w:bidi="ar"/>
        </w:rPr>
        <w:t>原文：</w:t>
      </w:r>
      <w:r>
        <w:rPr>
          <w:rFonts w:hint="eastAsia" w:ascii="宋体" w:hAnsi="宋体" w:cs="宋体"/>
          <w:color w:val="auto"/>
          <w:sz w:val="20"/>
          <w:szCs w:val="20"/>
          <w:highlight w:val="none"/>
          <w:lang w:bidi="ar"/>
        </w:rPr>
        <w:t>42.3.1技术标的有效性审查：投标文件中没有任一种列于本办法附表二《技术标有效性审查表》中情形的，为有效投标文件。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14:paraId="6CCE37CE">
      <w:pPr>
        <w:spacing w:line="360" w:lineRule="auto"/>
        <w:ind w:firstLine="400" w:firstLineChars="200"/>
        <w:rPr>
          <w:color w:val="auto"/>
          <w:sz w:val="20"/>
          <w:szCs w:val="20"/>
          <w:highlight w:val="none"/>
        </w:rPr>
      </w:pPr>
      <w:r>
        <w:rPr>
          <w:color w:val="auto"/>
          <w:sz w:val="20"/>
          <w:szCs w:val="20"/>
          <w:highlight w:val="none"/>
          <w:lang w:bidi="ar"/>
        </w:rPr>
        <w:t>42.3.2</w:t>
      </w:r>
      <w:r>
        <w:rPr>
          <w:rFonts w:hint="eastAsia" w:ascii="宋体" w:hAnsi="宋体" w:cs="宋体"/>
          <w:color w:val="auto"/>
          <w:sz w:val="20"/>
          <w:szCs w:val="20"/>
          <w:highlight w:val="none"/>
          <w:u w:val="single"/>
          <w:lang w:bidi="ar"/>
        </w:rPr>
        <w:t xml:space="preserve">     </w:t>
      </w:r>
      <w:r>
        <w:rPr>
          <w:rFonts w:hint="eastAsia" w:ascii="宋体" w:hAnsi="宋体" w:cs="宋体"/>
          <w:color w:val="auto"/>
          <w:sz w:val="20"/>
          <w:szCs w:val="20"/>
          <w:highlight w:val="none"/>
          <w:lang w:bidi="ar"/>
        </w:rPr>
        <w:t>详细审查评分：评标委员会按照本办法附表</w:t>
      </w:r>
      <w:r>
        <w:rPr>
          <w:rFonts w:hint="eastAsia" w:ascii="宋体" w:hAnsi="宋体" w:cs="宋体"/>
          <w:color w:val="auto"/>
          <w:sz w:val="20"/>
          <w:szCs w:val="20"/>
          <w:highlight w:val="none"/>
          <w:u w:val="single"/>
          <w:lang w:bidi="ar"/>
        </w:rPr>
        <w:t xml:space="preserve">    </w:t>
      </w:r>
      <w:r>
        <w:rPr>
          <w:rFonts w:hint="eastAsia" w:ascii="宋体" w:hAnsi="宋体" w:cs="宋体"/>
          <w:color w:val="auto"/>
          <w:sz w:val="20"/>
          <w:szCs w:val="20"/>
          <w:highlight w:val="none"/>
          <w:lang w:bidi="ar"/>
        </w:rPr>
        <w:t>《</w:t>
      </w:r>
      <w:r>
        <w:rPr>
          <w:rFonts w:hint="eastAsia" w:ascii="宋体" w:hAnsi="宋体" w:cs="宋体"/>
          <w:color w:val="auto"/>
          <w:sz w:val="20"/>
          <w:szCs w:val="20"/>
          <w:highlight w:val="none"/>
          <w:u w:val="single"/>
          <w:lang w:bidi="ar"/>
        </w:rPr>
        <w:t xml:space="preserve">      </w:t>
      </w:r>
      <w:r>
        <w:rPr>
          <w:rFonts w:hint="eastAsia" w:ascii="宋体" w:hAnsi="宋体" w:cs="宋体"/>
          <w:color w:val="auto"/>
          <w:sz w:val="20"/>
          <w:szCs w:val="20"/>
          <w:highlight w:val="none"/>
          <w:lang w:bidi="ar"/>
        </w:rPr>
        <w:t>详细审查评分表》对通过技术标有效性审查的投标文件进行详细审查，评出</w:t>
      </w:r>
      <w:r>
        <w:rPr>
          <w:rFonts w:hint="eastAsia" w:ascii="宋体" w:hAnsi="宋体" w:cs="宋体"/>
          <w:color w:val="auto"/>
          <w:sz w:val="20"/>
          <w:szCs w:val="20"/>
          <w:highlight w:val="none"/>
          <w:u w:val="single"/>
          <w:lang w:bidi="ar"/>
        </w:rPr>
        <w:t xml:space="preserve">     </w:t>
      </w:r>
      <w:r>
        <w:rPr>
          <w:rFonts w:hint="eastAsia" w:ascii="宋体" w:hAnsi="宋体" w:cs="宋体"/>
          <w:color w:val="auto"/>
          <w:sz w:val="20"/>
          <w:szCs w:val="20"/>
          <w:highlight w:val="none"/>
          <w:lang w:bidi="ar"/>
        </w:rPr>
        <w:t>得分。</w:t>
      </w:r>
    </w:p>
    <w:p w14:paraId="3DF1B912">
      <w:pPr>
        <w:spacing w:line="360" w:lineRule="auto"/>
        <w:ind w:firstLine="402" w:firstLineChars="200"/>
        <w:rPr>
          <w:rFonts w:ascii="宋体" w:hAnsi="宋体" w:cs="宋体"/>
          <w:color w:val="auto"/>
          <w:sz w:val="20"/>
          <w:szCs w:val="20"/>
          <w:highlight w:val="none"/>
        </w:rPr>
      </w:pPr>
      <w:r>
        <w:rPr>
          <w:rFonts w:hint="eastAsia" w:ascii="宋体" w:hAnsi="宋体" w:cs="宋体"/>
          <w:b/>
          <w:color w:val="auto"/>
          <w:sz w:val="20"/>
          <w:szCs w:val="20"/>
          <w:highlight w:val="none"/>
          <w:lang w:bidi="ar"/>
        </w:rPr>
        <w:t>现文：</w:t>
      </w:r>
      <w:r>
        <w:rPr>
          <w:rFonts w:hint="eastAsia" w:ascii="宋体" w:hAnsi="宋体" w:cs="宋体"/>
          <w:color w:val="auto"/>
          <w:sz w:val="20"/>
          <w:szCs w:val="20"/>
          <w:highlight w:val="none"/>
          <w:lang w:bidi="ar"/>
        </w:rPr>
        <w:t>42.3.1技术标的有效性审查：投标文件中没有任一种列于本办法附表二《技术标有效性审查表》中情形的，为有效投标文件。否则其投标文件将被否决。</w:t>
      </w:r>
      <w:r>
        <w:rPr>
          <w:rFonts w:hint="eastAsia" w:ascii="宋体" w:hAnsi="宋体" w:cs="宋体"/>
          <w:color w:val="auto"/>
          <w:sz w:val="20"/>
          <w:szCs w:val="20"/>
          <w:highlight w:val="none"/>
          <w:u w:val="single"/>
          <w:lang w:bidi="ar"/>
        </w:rPr>
        <w:t>被否决的投标人不参与下一阶段评审，不参与评标参考价的计算。</w:t>
      </w:r>
      <w:r>
        <w:rPr>
          <w:rFonts w:hint="eastAsia" w:ascii="宋体" w:hAnsi="宋体" w:cs="宋体"/>
          <w:color w:val="auto"/>
          <w:sz w:val="20"/>
          <w:szCs w:val="20"/>
          <w:highlight w:val="none"/>
          <w:lang w:bidi="ar"/>
        </w:rPr>
        <w:t>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cs="宋体"/>
          <w:color w:val="auto"/>
          <w:sz w:val="20"/>
          <w:szCs w:val="20"/>
          <w:highlight w:val="none"/>
          <w:u w:val="single"/>
          <w:lang w:bidi="ar"/>
        </w:rPr>
        <w:t>评委发现投标文件中含义不明确、对同类问题表述不一致、有明显文字和计算错误的，应当要求投标人作必要的澄清、说明后再判定投标人是否通过有效性审查，不得直接否决投标。</w:t>
      </w:r>
    </w:p>
    <w:p w14:paraId="412677CA">
      <w:pPr>
        <w:pBdr>
          <w:bottom w:val="single" w:color="auto" w:sz="6" w:space="1"/>
        </w:pBdr>
        <w:spacing w:line="360" w:lineRule="auto"/>
        <w:ind w:firstLine="400" w:firstLineChars="200"/>
        <w:rPr>
          <w:color w:val="auto"/>
          <w:sz w:val="20"/>
          <w:szCs w:val="20"/>
          <w:highlight w:val="none"/>
        </w:rPr>
      </w:pPr>
      <w:r>
        <w:rPr>
          <w:color w:val="auto"/>
          <w:sz w:val="20"/>
          <w:szCs w:val="20"/>
          <w:highlight w:val="none"/>
          <w:lang w:bidi="ar"/>
        </w:rPr>
        <w:t>42.3.2</w:t>
      </w:r>
      <w:r>
        <w:rPr>
          <w:rFonts w:hint="eastAsia" w:ascii="宋体" w:hAnsi="宋体" w:cs="宋体"/>
          <w:color w:val="auto"/>
          <w:sz w:val="20"/>
          <w:szCs w:val="20"/>
          <w:highlight w:val="none"/>
          <w:u w:val="single"/>
          <w:lang w:bidi="ar"/>
        </w:rPr>
        <w:t>技术标</w:t>
      </w:r>
      <w:r>
        <w:rPr>
          <w:rFonts w:hint="eastAsia" w:ascii="宋体" w:hAnsi="宋体" w:cs="宋体"/>
          <w:color w:val="auto"/>
          <w:sz w:val="20"/>
          <w:szCs w:val="20"/>
          <w:highlight w:val="none"/>
          <w:lang w:bidi="ar"/>
        </w:rPr>
        <w:t>详细审查评分：评标委员会按照本办法附表</w:t>
      </w:r>
      <w:r>
        <w:rPr>
          <w:rFonts w:hint="eastAsia" w:ascii="宋体" w:hAnsi="宋体" w:cs="宋体"/>
          <w:color w:val="auto"/>
          <w:sz w:val="20"/>
          <w:szCs w:val="20"/>
          <w:highlight w:val="none"/>
          <w:u w:val="single"/>
          <w:lang w:bidi="ar"/>
        </w:rPr>
        <w:t>四</w:t>
      </w:r>
      <w:r>
        <w:rPr>
          <w:rFonts w:hint="eastAsia" w:ascii="宋体" w:hAnsi="宋体" w:cs="宋体"/>
          <w:color w:val="auto"/>
          <w:sz w:val="20"/>
          <w:szCs w:val="20"/>
          <w:highlight w:val="none"/>
          <w:lang w:bidi="ar"/>
        </w:rPr>
        <w:t>《</w:t>
      </w:r>
      <w:r>
        <w:rPr>
          <w:rFonts w:hint="eastAsia" w:ascii="宋体" w:hAnsi="宋体" w:cs="宋体"/>
          <w:color w:val="auto"/>
          <w:sz w:val="20"/>
          <w:szCs w:val="20"/>
          <w:highlight w:val="none"/>
          <w:u w:val="single"/>
          <w:lang w:bidi="ar"/>
        </w:rPr>
        <w:t>技术标</w:t>
      </w:r>
      <w:r>
        <w:rPr>
          <w:rFonts w:hint="eastAsia" w:ascii="宋体" w:hAnsi="宋体" w:cs="宋体"/>
          <w:color w:val="auto"/>
          <w:sz w:val="20"/>
          <w:szCs w:val="20"/>
          <w:highlight w:val="none"/>
          <w:lang w:bidi="ar"/>
        </w:rPr>
        <w:t>详细审查评分表》对通过技术标有效性审查的投标文件进行详细审查，评出</w:t>
      </w:r>
      <w:r>
        <w:rPr>
          <w:rFonts w:hint="eastAsia" w:ascii="宋体" w:hAnsi="宋体" w:cs="宋体"/>
          <w:color w:val="auto"/>
          <w:sz w:val="20"/>
          <w:szCs w:val="20"/>
          <w:highlight w:val="none"/>
          <w:u w:val="single"/>
          <w:lang w:bidi="ar"/>
        </w:rPr>
        <w:t>技术标</w:t>
      </w:r>
      <w:r>
        <w:rPr>
          <w:rFonts w:hint="eastAsia" w:ascii="宋体" w:hAnsi="宋体" w:cs="宋体"/>
          <w:color w:val="auto"/>
          <w:sz w:val="20"/>
          <w:szCs w:val="20"/>
          <w:highlight w:val="none"/>
          <w:lang w:bidi="ar"/>
        </w:rPr>
        <w:t>得分。</w:t>
      </w:r>
    </w:p>
    <w:p w14:paraId="19704FBE">
      <w:pPr>
        <w:spacing w:line="480" w:lineRule="auto"/>
        <w:ind w:firstLine="450" w:firstLineChars="224"/>
        <w:rPr>
          <w:rFonts w:ascii="宋体" w:hAnsi="宋体" w:cs="宋体"/>
          <w:b/>
          <w:color w:val="auto"/>
          <w:sz w:val="20"/>
          <w:szCs w:val="20"/>
          <w:highlight w:val="none"/>
        </w:rPr>
      </w:pPr>
      <w:r>
        <w:rPr>
          <w:rFonts w:hint="eastAsia" w:ascii="宋体" w:hAnsi="宋体" w:cs="宋体"/>
          <w:b/>
          <w:color w:val="auto"/>
          <w:sz w:val="20"/>
          <w:szCs w:val="20"/>
          <w:highlight w:val="none"/>
        </w:rPr>
        <w:t>条款号：</w:t>
      </w:r>
      <w:r>
        <w:rPr>
          <w:rFonts w:ascii="宋体" w:hAnsi="宋体" w:cs="宋体"/>
          <w:b/>
          <w:color w:val="auto"/>
          <w:sz w:val="20"/>
          <w:szCs w:val="20"/>
          <w:highlight w:val="none"/>
        </w:rPr>
        <w:t>42.3.4</w:t>
      </w:r>
      <w:r>
        <w:rPr>
          <w:rFonts w:hint="eastAsia" w:ascii="宋体" w:hAnsi="宋体" w:cs="宋体"/>
          <w:b/>
          <w:color w:val="auto"/>
          <w:sz w:val="20"/>
          <w:szCs w:val="20"/>
          <w:highlight w:val="none"/>
        </w:rPr>
        <w:t xml:space="preserve">                                                    修改类型：修改</w:t>
      </w:r>
    </w:p>
    <w:p w14:paraId="18FE769C">
      <w:pPr>
        <w:spacing w:line="360" w:lineRule="auto"/>
        <w:ind w:firstLine="502" w:firstLineChars="250"/>
        <w:rPr>
          <w:rFonts w:ascii="宋体" w:hAnsi="宋体" w:cs="宋体"/>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color w:val="auto"/>
          <w:sz w:val="20"/>
          <w:szCs w:val="20"/>
          <w:highlight w:val="none"/>
        </w:rPr>
        <w:t>评标委员会按照“第一阶段得分的公式及投标须知前附表第</w:t>
      </w:r>
      <w:r>
        <w:rPr>
          <w:rFonts w:ascii="宋体" w:hAnsi="宋体" w:cs="宋体"/>
          <w:color w:val="auto"/>
          <w:sz w:val="20"/>
          <w:szCs w:val="20"/>
          <w:highlight w:val="none"/>
        </w:rPr>
        <w:t>27</w:t>
      </w:r>
      <w:r>
        <w:rPr>
          <w:rFonts w:hint="eastAsia" w:ascii="宋体" w:hAnsi="宋体" w:cs="宋体"/>
          <w:color w:val="auto"/>
          <w:sz w:val="20"/>
          <w:szCs w:val="20"/>
          <w:highlight w:val="none"/>
        </w:rPr>
        <w:t>项的规定，计算各投标人第一阶段得分</w:t>
      </w:r>
      <w:r>
        <w:rPr>
          <w:rFonts w:ascii="宋体" w:hAnsi="宋体" w:cs="宋体"/>
          <w:color w:val="auto"/>
          <w:sz w:val="20"/>
          <w:szCs w:val="20"/>
          <w:highlight w:val="none"/>
        </w:rPr>
        <w:t>(</w:t>
      </w:r>
      <w:r>
        <w:rPr>
          <w:rFonts w:hint="eastAsia" w:ascii="宋体" w:hAnsi="宋体" w:cs="宋体"/>
          <w:color w:val="auto"/>
          <w:sz w:val="20"/>
          <w:szCs w:val="20"/>
          <w:highlight w:val="none"/>
        </w:rPr>
        <w:t>按四舍五入的原则保留两位小数</w:t>
      </w:r>
      <w:r>
        <w:rPr>
          <w:rFonts w:ascii="宋体" w:hAnsi="宋体" w:cs="宋体"/>
          <w:color w:val="auto"/>
          <w:sz w:val="20"/>
          <w:szCs w:val="20"/>
          <w:highlight w:val="none"/>
        </w:rPr>
        <w:t>)</w:t>
      </w:r>
      <w:r>
        <w:rPr>
          <w:rFonts w:hint="eastAsia" w:ascii="宋体" w:hAnsi="宋体" w:cs="宋体"/>
          <w:color w:val="auto"/>
          <w:sz w:val="20"/>
          <w:szCs w:val="20"/>
          <w:highlight w:val="none"/>
        </w:rPr>
        <w:t>，并按照得分从高到低排列先后次序，若投标人得分相同的，则名次并列，占用名次。编写第一阶段评审报告。（适用于进行了技术标评分的）</w:t>
      </w:r>
    </w:p>
    <w:p w14:paraId="2622C5B3">
      <w:pPr>
        <w:pBdr>
          <w:bottom w:val="single" w:color="auto" w:sz="6" w:space="1"/>
        </w:pBdr>
        <w:spacing w:line="360" w:lineRule="auto"/>
        <w:ind w:firstLine="502" w:firstLineChars="250"/>
        <w:jc w:val="left"/>
        <w:rPr>
          <w:rFonts w:ascii="宋体" w:hAnsi="宋体" w:cs="宋体"/>
          <w:color w:val="auto"/>
          <w:sz w:val="20"/>
          <w:szCs w:val="20"/>
          <w:highlight w:val="none"/>
        </w:rPr>
      </w:pPr>
      <w:r>
        <w:rPr>
          <w:rFonts w:hint="eastAsia" w:ascii="宋体" w:hAnsi="宋体" w:cs="宋体"/>
          <w:b/>
          <w:bCs/>
          <w:color w:val="auto"/>
          <w:sz w:val="20"/>
          <w:szCs w:val="20"/>
          <w:highlight w:val="none"/>
        </w:rPr>
        <w:t>现文：</w:t>
      </w:r>
      <w:r>
        <w:rPr>
          <w:rFonts w:hint="eastAsia" w:ascii="宋体" w:hAnsi="宋体" w:cs="宋体"/>
          <w:color w:val="auto"/>
          <w:sz w:val="20"/>
          <w:szCs w:val="20"/>
          <w:highlight w:val="none"/>
        </w:rPr>
        <w:t>评标委员会按照“第一阶段得分（满分为100分）=</w:t>
      </w:r>
      <w:r>
        <w:rPr>
          <w:rFonts w:hint="eastAsia" w:ascii="宋体" w:hAnsi="宋体" w:cs="宋体"/>
          <w:b/>
          <w:color w:val="auto"/>
          <w:kern w:val="0"/>
          <w:sz w:val="20"/>
          <w:szCs w:val="20"/>
          <w:highlight w:val="none"/>
          <w:u w:val="single"/>
          <w:lang w:eastAsia="zh-CN" w:bidi="ar"/>
        </w:rPr>
        <w:t>投标报价得分（100分）×投标报价权重（40%）+技术得分（100分）×技术分权重（60%）</w:t>
      </w:r>
      <w:r>
        <w:rPr>
          <w:rFonts w:hint="eastAsia" w:ascii="宋体" w:hAnsi="宋体" w:cs="宋体"/>
          <w:color w:val="auto"/>
          <w:sz w:val="20"/>
          <w:szCs w:val="20"/>
          <w:highlight w:val="none"/>
          <w:u w:val="single"/>
        </w:rPr>
        <w:t>”</w:t>
      </w:r>
      <w:r>
        <w:rPr>
          <w:rFonts w:hint="eastAsia" w:ascii="宋体" w:hAnsi="宋体" w:cs="宋体"/>
          <w:color w:val="auto"/>
          <w:sz w:val="20"/>
          <w:szCs w:val="20"/>
          <w:highlight w:val="none"/>
        </w:rPr>
        <w:t>的公式及投标须知前附表第27项的规定，计算各投标人第一阶段得分(按四舍五入的原则保留两位小数)，并按照得分从高到低排列先后次序，若投标人得分相同的，</w:t>
      </w:r>
      <w:r>
        <w:rPr>
          <w:rFonts w:hint="eastAsia" w:ascii="宋体" w:hAnsi="宋体" w:cs="宋体"/>
          <w:color w:val="auto"/>
          <w:sz w:val="20"/>
          <w:szCs w:val="20"/>
          <w:highlight w:val="none"/>
          <w:u w:val="single"/>
        </w:rPr>
        <w:t>则以投标总报价较低的排前；若投标总报价仍相同的，则以技术得分较高的排前</w:t>
      </w:r>
      <w:r>
        <w:rPr>
          <w:rFonts w:hint="eastAsia" w:cs="宋体"/>
          <w:color w:val="auto"/>
          <w:sz w:val="20"/>
          <w:szCs w:val="20"/>
          <w:highlight w:val="none"/>
          <w:u w:val="single"/>
        </w:rPr>
        <w:t>，如技术得分</w:t>
      </w:r>
      <w:r>
        <w:rPr>
          <w:rFonts w:hint="eastAsia" w:ascii="宋体" w:hAnsi="宋体" w:cs="宋体"/>
          <w:color w:val="auto"/>
          <w:sz w:val="20"/>
          <w:szCs w:val="20"/>
          <w:highlight w:val="none"/>
          <w:u w:val="single"/>
        </w:rPr>
        <w:t>仍</w:t>
      </w:r>
      <w:r>
        <w:rPr>
          <w:rFonts w:hint="eastAsia" w:cs="宋体"/>
          <w:color w:val="auto"/>
          <w:sz w:val="20"/>
          <w:szCs w:val="20"/>
          <w:highlight w:val="none"/>
          <w:u w:val="single"/>
        </w:rPr>
        <w:t>相同的，</w:t>
      </w:r>
      <w:r>
        <w:rPr>
          <w:rFonts w:hint="eastAsia" w:ascii="宋体" w:hAnsi="宋体" w:cs="宋体"/>
          <w:color w:val="auto"/>
          <w:sz w:val="20"/>
          <w:szCs w:val="20"/>
          <w:highlight w:val="none"/>
          <w:u w:val="single"/>
        </w:rPr>
        <w:t>则对具有相同情况的投标人，由评标委员会采用记名投票方式，确定投标人第一阶段名次的排序。编写第一阶段评审报告。</w:t>
      </w:r>
      <w:r>
        <w:rPr>
          <w:rFonts w:hint="eastAsia" w:ascii="宋体" w:hAnsi="宋体" w:cs="宋体"/>
          <w:color w:val="auto"/>
          <w:sz w:val="20"/>
          <w:szCs w:val="20"/>
          <w:highlight w:val="none"/>
        </w:rPr>
        <w:t>（适用于进行了技术标评分的）</w:t>
      </w:r>
    </w:p>
    <w:p w14:paraId="154A73DF">
      <w:pPr>
        <w:pBdr>
          <w:bottom w:val="single" w:color="auto" w:sz="6" w:space="1"/>
        </w:pBdr>
        <w:spacing w:line="360" w:lineRule="auto"/>
        <w:ind w:firstLine="500" w:firstLineChars="250"/>
        <w:jc w:val="left"/>
        <w:rPr>
          <w:rFonts w:hint="eastAsia" w:ascii="宋体" w:hAnsi="宋体" w:cs="宋体"/>
          <w:color w:val="auto"/>
          <w:sz w:val="20"/>
          <w:szCs w:val="20"/>
          <w:highlight w:val="none"/>
        </w:rPr>
      </w:pPr>
      <w:r>
        <w:rPr>
          <w:rFonts w:hint="eastAsia" w:ascii="宋体" w:hAnsi="宋体" w:cs="宋体"/>
          <w:color w:val="auto"/>
          <w:sz w:val="20"/>
          <w:szCs w:val="20"/>
          <w:highlight w:val="none"/>
          <w:u w:val="single"/>
        </w:rPr>
        <w:t>注：记名投票方式确定排序的具体操作步骤为：由评标委员会对出现该情况的投标人采取记名投票的方式确定，按得票数从高到低排列先后次序，以得票数高的排前，根据得票数高低确定排序。</w:t>
      </w:r>
    </w:p>
    <w:p w14:paraId="01241A80">
      <w:pPr>
        <w:pBdr>
          <w:top w:val="single" w:color="auto" w:sz="4" w:space="0"/>
        </w:pBdr>
        <w:spacing w:line="480" w:lineRule="auto"/>
        <w:ind w:firstLine="450" w:firstLineChars="224"/>
        <w:rPr>
          <w:b/>
          <w:color w:val="auto"/>
          <w:sz w:val="20"/>
          <w:szCs w:val="20"/>
          <w:highlight w:val="none"/>
        </w:rPr>
      </w:pPr>
      <w:r>
        <w:rPr>
          <w:rFonts w:hint="eastAsia"/>
          <w:b/>
          <w:color w:val="auto"/>
          <w:sz w:val="20"/>
          <w:szCs w:val="20"/>
          <w:highlight w:val="none"/>
        </w:rPr>
        <w:t>条款号：42.4</w:t>
      </w:r>
      <w:r>
        <w:rPr>
          <w:b/>
          <w:color w:val="auto"/>
          <w:sz w:val="20"/>
          <w:szCs w:val="20"/>
          <w:highlight w:val="none"/>
        </w:rPr>
        <w:t xml:space="preserve"> .</w:t>
      </w:r>
      <w:r>
        <w:rPr>
          <w:rFonts w:hint="eastAsia"/>
          <w:b/>
          <w:color w:val="auto"/>
          <w:sz w:val="20"/>
          <w:szCs w:val="20"/>
          <w:highlight w:val="none"/>
        </w:rPr>
        <w:t>1</w:t>
      </w:r>
      <w:r>
        <w:rPr>
          <w:b/>
          <w:color w:val="auto"/>
          <w:sz w:val="20"/>
          <w:szCs w:val="20"/>
          <w:highlight w:val="none"/>
        </w:rPr>
        <w:t xml:space="preserve">          </w:t>
      </w:r>
      <w:r>
        <w:rPr>
          <w:rFonts w:hint="eastAsia"/>
          <w:b/>
          <w:color w:val="auto"/>
          <w:sz w:val="20"/>
          <w:szCs w:val="20"/>
          <w:highlight w:val="none"/>
        </w:rPr>
        <w:t xml:space="preserve"> </w:t>
      </w:r>
      <w:r>
        <w:rPr>
          <w:b/>
          <w:color w:val="auto"/>
          <w:sz w:val="20"/>
          <w:szCs w:val="20"/>
          <w:highlight w:val="none"/>
        </w:rPr>
        <w:t xml:space="preserve"> </w:t>
      </w:r>
      <w:r>
        <w:rPr>
          <w:rFonts w:hint="eastAsia"/>
          <w:b/>
          <w:color w:val="auto"/>
          <w:sz w:val="20"/>
          <w:szCs w:val="20"/>
          <w:highlight w:val="none"/>
        </w:rPr>
        <w:t xml:space="preserve">                                   修改类型：修改</w:t>
      </w:r>
    </w:p>
    <w:p w14:paraId="315978F9">
      <w:pPr>
        <w:spacing w:line="360" w:lineRule="auto"/>
        <w:ind w:firstLine="402" w:firstLineChars="200"/>
        <w:rPr>
          <w:rFonts w:ascii="宋体" w:hAnsi="宋体" w:cs="宋体"/>
          <w:color w:val="auto"/>
          <w:sz w:val="20"/>
          <w:szCs w:val="20"/>
          <w:highlight w:val="none"/>
        </w:rPr>
      </w:pPr>
      <w:r>
        <w:rPr>
          <w:rFonts w:hint="eastAsia"/>
          <w:b/>
          <w:color w:val="auto"/>
          <w:sz w:val="20"/>
          <w:szCs w:val="20"/>
          <w:highlight w:val="none"/>
        </w:rPr>
        <w:t>原文：</w:t>
      </w:r>
      <w:r>
        <w:rPr>
          <w:rFonts w:hint="eastAsia" w:ascii="宋体" w:hAnsi="宋体" w:cs="宋体"/>
          <w:color w:val="auto"/>
          <w:sz w:val="20"/>
          <w:szCs w:val="20"/>
          <w:highlight w:val="none"/>
        </w:rPr>
        <w:t>42.4.1按照投标须知前附表第25项规定，确定进入第二阶段评审的投标人。若在进入第二阶段的最后名次发生并列的，则所有并列的投标人均进入第二阶段。</w:t>
      </w:r>
    </w:p>
    <w:p w14:paraId="0992F2AF">
      <w:pPr>
        <w:pBdr>
          <w:bottom w:val="single" w:color="auto" w:sz="6" w:space="1"/>
        </w:pBdr>
        <w:spacing w:line="360" w:lineRule="auto"/>
        <w:ind w:firstLine="394" w:firstLineChars="196"/>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42.4.1</w:t>
      </w:r>
      <w:r>
        <w:rPr>
          <w:rFonts w:hint="eastAsia" w:ascii="宋体" w:hAnsi="宋体" w:cs="宋体"/>
          <w:color w:val="auto"/>
          <w:sz w:val="20"/>
          <w:szCs w:val="20"/>
          <w:highlight w:val="none"/>
          <w:u w:val="single"/>
        </w:rPr>
        <w:t>按照投标须知前附表第25项规定，确定进入第二阶段评审的投标人。</w:t>
      </w:r>
    </w:p>
    <w:p w14:paraId="781F473F">
      <w:pPr>
        <w:spacing w:line="360" w:lineRule="auto"/>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条款号：42.4.1.1                                            修改类型：增加</w:t>
      </w:r>
    </w:p>
    <w:p w14:paraId="659711EC">
      <w:pPr>
        <w:pBdr>
          <w:bottom w:val="single" w:color="auto" w:sz="6" w:space="1"/>
        </w:pBdr>
        <w:spacing w:line="360" w:lineRule="auto"/>
        <w:ind w:firstLine="394" w:firstLineChars="196"/>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42.4.1.1</w:t>
      </w:r>
      <w:r>
        <w:rPr>
          <w:rFonts w:hint="eastAsia" w:ascii="宋体" w:hAnsi="宋体" w:cs="宋体"/>
          <w:color w:val="auto"/>
          <w:sz w:val="20"/>
          <w:szCs w:val="20"/>
          <w:highlight w:val="none"/>
          <w:u w:val="single"/>
        </w:rPr>
        <w:t>项目管理班子答辩评分：评标委员会按照本办法附表七《项目管理班子答辩详细评分表》对进入第二阶段评审的投标单位答辩部分进行详细审查评分，评出项目管理班子答辩得分。</w:t>
      </w:r>
    </w:p>
    <w:p w14:paraId="05829AB8">
      <w:pPr>
        <w:spacing w:line="360" w:lineRule="auto"/>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条款号：42.4.2                                              修改类型：删除</w:t>
      </w:r>
    </w:p>
    <w:p w14:paraId="18DBBE92">
      <w:pPr>
        <w:pBdr>
          <w:bottom w:val="single" w:color="auto" w:sz="6" w:space="1"/>
        </w:pBdr>
        <w:spacing w:line="360" w:lineRule="auto"/>
        <w:ind w:firstLine="402" w:firstLineChars="200"/>
        <w:rPr>
          <w:rFonts w:hint="eastAsia" w:ascii="宋体" w:hAnsi="宋体" w:cs="宋体"/>
          <w:color w:val="auto"/>
          <w:sz w:val="20"/>
          <w:szCs w:val="20"/>
          <w:highlight w:val="none"/>
        </w:rPr>
      </w:pPr>
      <w:r>
        <w:rPr>
          <w:rFonts w:hint="eastAsia" w:ascii="宋体" w:hAnsi="宋体" w:cs="宋体"/>
          <w:b/>
          <w:bCs/>
          <w:color w:val="auto"/>
          <w:sz w:val="20"/>
          <w:szCs w:val="20"/>
          <w:highlight w:val="none"/>
        </w:rPr>
        <w:t>原文：</w:t>
      </w:r>
      <w:r>
        <w:rPr>
          <w:rFonts w:hint="eastAsia" w:ascii="宋体" w:hAnsi="宋体" w:cs="宋体"/>
          <w:color w:val="auto"/>
          <w:sz w:val="20"/>
          <w:szCs w:val="20"/>
          <w:highlight w:val="none"/>
        </w:rPr>
        <w:t>42.4.2若进入第二阶段投标人中有投标报价均大于等于最高投标限价*D%（D的取值范围为[94,100],由招标人自主确定）的（具体金额为：      元），则本项目招标失败，由招标人依法重新招标。</w:t>
      </w:r>
    </w:p>
    <w:p w14:paraId="1FEC4318">
      <w:pPr>
        <w:spacing w:line="360" w:lineRule="auto"/>
        <w:ind w:firstLine="402" w:firstLineChars="200"/>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w:t>
      </w:r>
      <w:r>
        <w:rPr>
          <w:rFonts w:ascii="宋体" w:hAnsi="宋体" w:cs="宋体"/>
          <w:b/>
          <w:color w:val="auto"/>
          <w:sz w:val="20"/>
          <w:szCs w:val="20"/>
          <w:highlight w:val="none"/>
        </w:rPr>
        <w:t>42.4.3.1</w:t>
      </w:r>
      <w:r>
        <w:rPr>
          <w:rFonts w:hint="eastAsia" w:ascii="宋体" w:hAnsi="宋体" w:cs="宋体"/>
          <w:b/>
          <w:color w:val="auto"/>
          <w:sz w:val="20"/>
          <w:szCs w:val="20"/>
          <w:highlight w:val="none"/>
        </w:rPr>
        <w:t xml:space="preserve">                                            修改类型：删除</w:t>
      </w:r>
    </w:p>
    <w:p w14:paraId="0F95FC22">
      <w:pPr>
        <w:spacing w:line="360" w:lineRule="auto"/>
        <w:ind w:firstLine="402" w:firstLineChars="200"/>
        <w:rPr>
          <w:rFonts w:ascii="宋体" w:hAnsi="宋体" w:cs="宋体"/>
          <w:color w:val="auto"/>
          <w:sz w:val="20"/>
          <w:szCs w:val="20"/>
          <w:highlight w:val="none"/>
        </w:rPr>
      </w:pPr>
      <w:r>
        <w:rPr>
          <w:rFonts w:hint="eastAsia" w:ascii="宋体" w:hAnsi="宋体" w:cs="宋体"/>
          <w:b/>
          <w:bCs/>
          <w:color w:val="auto"/>
          <w:sz w:val="20"/>
          <w:szCs w:val="20"/>
          <w:highlight w:val="none"/>
        </w:rPr>
        <w:t>原文：</w:t>
      </w:r>
      <w:r>
        <w:rPr>
          <w:rFonts w:hint="eastAsia" w:ascii="宋体" w:hAnsi="宋体" w:cs="宋体"/>
          <w:color w:val="auto"/>
          <w:sz w:val="20"/>
          <w:szCs w:val="20"/>
          <w:highlight w:val="none"/>
        </w:rPr>
        <w:t>42.4.3.1按方法</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计算评标参考价：</w:t>
      </w:r>
    </w:p>
    <w:p w14:paraId="6FE2DBC2">
      <w:pPr>
        <w:widowControl/>
        <w:spacing w:line="360" w:lineRule="auto"/>
        <w:ind w:firstLine="402" w:firstLineChars="200"/>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方法一：加权平均法</w:t>
      </w:r>
    </w:p>
    <w:p w14:paraId="616B2153">
      <w:pPr>
        <w:spacing w:line="360" w:lineRule="auto"/>
        <w:ind w:firstLine="400" w:firstLineChars="200"/>
        <w:rPr>
          <w:rFonts w:ascii="宋体" w:hAnsi="宋体" w:cs="宋体"/>
          <w:color w:val="auto"/>
          <w:sz w:val="20"/>
          <w:szCs w:val="20"/>
          <w:highlight w:val="none"/>
        </w:rPr>
      </w:pPr>
      <w:r>
        <w:rPr>
          <w:rFonts w:hint="eastAsia" w:ascii="宋体" w:hAnsi="宋体" w:cs="宋体"/>
          <w:color w:val="auto"/>
          <w:sz w:val="20"/>
          <w:szCs w:val="20"/>
          <w:highlight w:val="none"/>
        </w:rPr>
        <w:t>技术标或技术标加诚信得分或第一阶段入围得分（具体由招标人自定）前N名（N≥5，具体由招标人自定）的经济报价加权平均，计算评标参考价。公式如下：</w:t>
      </w:r>
    </w:p>
    <w:p w14:paraId="032F88AD">
      <w:pPr>
        <w:spacing w:line="360" w:lineRule="auto"/>
        <w:ind w:firstLine="400" w:firstLineChars="200"/>
        <w:rPr>
          <w:rFonts w:ascii="宋体" w:hAnsi="宋体" w:cs="宋体"/>
          <w:color w:val="auto"/>
          <w:sz w:val="20"/>
          <w:szCs w:val="20"/>
          <w:highlight w:val="none"/>
        </w:rPr>
      </w:pPr>
      <w:r>
        <w:rPr>
          <w:rFonts w:hint="eastAsia" w:ascii="宋体" w:hAnsi="宋体" w:cs="宋体"/>
          <w:color w:val="auto"/>
          <w:sz w:val="20"/>
          <w:szCs w:val="20"/>
          <w:highlight w:val="none"/>
        </w:rPr>
        <w:t>评标参考价=Σ（投标人的投标报价*报价权重）。</w:t>
      </w:r>
    </w:p>
    <w:p w14:paraId="2AA2C024">
      <w:pPr>
        <w:spacing w:line="360" w:lineRule="auto"/>
        <w:ind w:firstLine="400" w:firstLineChars="200"/>
        <w:rPr>
          <w:rFonts w:ascii="宋体" w:hAnsi="宋体" w:cs="宋体"/>
          <w:color w:val="auto"/>
          <w:sz w:val="20"/>
          <w:szCs w:val="20"/>
          <w:highlight w:val="none"/>
        </w:rPr>
      </w:pPr>
      <w:r>
        <w:rPr>
          <w:rFonts w:hint="eastAsia" w:ascii="宋体" w:hAnsi="宋体" w:cs="宋体"/>
          <w:color w:val="auto"/>
          <w:sz w:val="20"/>
          <w:szCs w:val="20"/>
          <w:highlight w:val="none"/>
        </w:rPr>
        <w:t>其中：报价权重的计算方法为：将N名投标人按技术分由高至低进行排序，第一名投标人的权重为（</w:t>
      </w:r>
      <w:r>
        <w:rPr>
          <w:rFonts w:hint="eastAsia" w:ascii="宋体" w:hAnsi="宋体" w:cs="宋体"/>
          <w:color w:val="auto"/>
          <w:sz w:val="20"/>
          <w:szCs w:val="20"/>
          <w:highlight w:val="none"/>
        </w:rPr>
        <w:fldChar w:fldCharType="begin"/>
      </w:r>
      <w:r>
        <w:rPr>
          <w:rFonts w:hint="eastAsia" w:ascii="宋体" w:hAnsi="宋体" w:cs="宋体"/>
          <w:color w:val="auto"/>
          <w:sz w:val="20"/>
          <w:szCs w:val="20"/>
          <w:highlight w:val="none"/>
        </w:rPr>
        <w:instrText xml:space="preserve"> QUOTE </w:instrText>
      </w:r>
      <w:r>
        <w:rPr>
          <w:rFonts w:ascii="宋体" w:hAnsi="宋体" w:cs="宋体"/>
          <w:color w:val="auto"/>
          <w:sz w:val="20"/>
          <w:szCs w:val="20"/>
          <w:highlight w:val="none"/>
        </w:rPr>
        <w:drawing>
          <wp:inline distT="0" distB="0" distL="114300" distR="114300">
            <wp:extent cx="381000" cy="448945"/>
            <wp:effectExtent l="0" t="0" r="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4"/>
                    <a:stretch>
                      <a:fillRect/>
                    </a:stretch>
                  </pic:blipFill>
                  <pic:spPr>
                    <a:xfrm>
                      <a:off x="0" y="0"/>
                      <a:ext cx="381000" cy="448945"/>
                    </a:xfrm>
                    <a:prstGeom prst="rect">
                      <a:avLst/>
                    </a:prstGeom>
                    <a:noFill/>
                    <a:ln>
                      <a:noFill/>
                    </a:ln>
                  </pic:spPr>
                </pic:pic>
              </a:graphicData>
            </a:graphic>
          </wp:inline>
        </w:drawing>
      </w:r>
      <w:r>
        <w:rPr>
          <w:rFonts w:hint="eastAsia" w:ascii="宋体" w:hAnsi="宋体" w:cs="宋体"/>
          <w:color w:val="auto"/>
          <w:sz w:val="20"/>
          <w:szCs w:val="20"/>
          <w:highlight w:val="none"/>
        </w:rPr>
        <w:fldChar w:fldCharType="separate"/>
      </w:r>
      <w:r>
        <w:rPr>
          <w:rFonts w:ascii="宋体" w:hAnsi="宋体" w:cs="宋体"/>
          <w:color w:val="auto"/>
          <w:sz w:val="20"/>
          <w:szCs w:val="20"/>
          <w:highlight w:val="none"/>
        </w:rPr>
        <w:drawing>
          <wp:inline distT="0" distB="0" distL="114300" distR="114300">
            <wp:extent cx="381000" cy="448945"/>
            <wp:effectExtent l="0" t="0" r="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4"/>
                    <a:stretch>
                      <a:fillRect/>
                    </a:stretch>
                  </pic:blipFill>
                  <pic:spPr>
                    <a:xfrm>
                      <a:off x="0" y="0"/>
                      <a:ext cx="381000" cy="448945"/>
                    </a:xfrm>
                    <a:prstGeom prst="rect">
                      <a:avLst/>
                    </a:prstGeom>
                    <a:noFill/>
                    <a:ln>
                      <a:noFill/>
                    </a:ln>
                  </pic:spPr>
                </pic:pic>
              </a:graphicData>
            </a:graphic>
          </wp:inline>
        </w:drawing>
      </w:r>
      <w:r>
        <w:rPr>
          <w:rFonts w:hint="eastAsia" w:ascii="宋体" w:hAnsi="宋体" w:cs="宋体"/>
          <w:color w:val="auto"/>
          <w:sz w:val="20"/>
          <w:szCs w:val="20"/>
          <w:highlight w:val="none"/>
        </w:rPr>
        <w:fldChar w:fldCharType="end"/>
      </w:r>
      <w:r>
        <w:rPr>
          <w:rFonts w:hint="eastAsia" w:ascii="宋体" w:hAnsi="宋体" w:cs="宋体"/>
          <w:color w:val="auto"/>
          <w:sz w:val="20"/>
          <w:szCs w:val="20"/>
          <w:highlight w:val="none"/>
        </w:rPr>
        <w:t>），第二名投标人的权重为（</w:t>
      </w:r>
      <w:r>
        <w:rPr>
          <w:rFonts w:hint="eastAsia" w:ascii="宋体" w:hAnsi="宋体" w:cs="宋体"/>
          <w:color w:val="auto"/>
          <w:sz w:val="20"/>
          <w:szCs w:val="20"/>
          <w:highlight w:val="none"/>
        </w:rPr>
        <w:fldChar w:fldCharType="begin"/>
      </w:r>
      <w:r>
        <w:rPr>
          <w:rFonts w:hint="eastAsia" w:ascii="宋体" w:hAnsi="宋体" w:cs="宋体"/>
          <w:color w:val="auto"/>
          <w:sz w:val="20"/>
          <w:szCs w:val="20"/>
          <w:highlight w:val="none"/>
        </w:rPr>
        <w:instrText xml:space="preserve"> QUOTE </w:instrText>
      </w:r>
      <w:r>
        <w:rPr>
          <w:rFonts w:ascii="宋体" w:hAnsi="宋体" w:cs="宋体"/>
          <w:color w:val="auto"/>
          <w:position w:val="-23"/>
          <w:sz w:val="20"/>
          <w:szCs w:val="20"/>
          <w:highlight w:val="none"/>
        </w:rPr>
        <w:drawing>
          <wp:inline distT="0" distB="0" distL="114300" distR="114300">
            <wp:extent cx="330200" cy="406400"/>
            <wp:effectExtent l="0" t="0" r="3175" b="317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5"/>
                    <a:stretch>
                      <a:fillRect/>
                    </a:stretch>
                  </pic:blipFill>
                  <pic:spPr>
                    <a:xfrm>
                      <a:off x="0" y="0"/>
                      <a:ext cx="330200" cy="406400"/>
                    </a:xfrm>
                    <a:prstGeom prst="rect">
                      <a:avLst/>
                    </a:prstGeom>
                    <a:noFill/>
                    <a:ln>
                      <a:noFill/>
                    </a:ln>
                  </pic:spPr>
                </pic:pic>
              </a:graphicData>
            </a:graphic>
          </wp:inline>
        </w:drawing>
      </w:r>
      <w:r>
        <w:rPr>
          <w:rFonts w:hint="eastAsia" w:ascii="宋体" w:hAnsi="宋体" w:cs="宋体"/>
          <w:color w:val="auto"/>
          <w:sz w:val="20"/>
          <w:szCs w:val="20"/>
          <w:highlight w:val="none"/>
        </w:rPr>
        <w:fldChar w:fldCharType="separate"/>
      </w:r>
      <w:r>
        <w:rPr>
          <w:rFonts w:ascii="宋体" w:hAnsi="宋体" w:cs="宋体"/>
          <w:color w:val="auto"/>
          <w:position w:val="-23"/>
          <w:sz w:val="20"/>
          <w:szCs w:val="20"/>
          <w:highlight w:val="none"/>
        </w:rPr>
        <w:drawing>
          <wp:inline distT="0" distB="0" distL="114300" distR="114300">
            <wp:extent cx="330200" cy="406400"/>
            <wp:effectExtent l="0" t="0" r="3175" b="317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25"/>
                    <a:stretch>
                      <a:fillRect/>
                    </a:stretch>
                  </pic:blipFill>
                  <pic:spPr>
                    <a:xfrm>
                      <a:off x="0" y="0"/>
                      <a:ext cx="330200" cy="406400"/>
                    </a:xfrm>
                    <a:prstGeom prst="rect">
                      <a:avLst/>
                    </a:prstGeom>
                    <a:noFill/>
                    <a:ln>
                      <a:noFill/>
                    </a:ln>
                  </pic:spPr>
                </pic:pic>
              </a:graphicData>
            </a:graphic>
          </wp:inline>
        </w:drawing>
      </w:r>
      <w:r>
        <w:rPr>
          <w:rFonts w:hint="eastAsia" w:ascii="宋体" w:hAnsi="宋体" w:cs="宋体"/>
          <w:color w:val="auto"/>
          <w:sz w:val="20"/>
          <w:szCs w:val="20"/>
          <w:highlight w:val="none"/>
        </w:rPr>
        <w:fldChar w:fldCharType="end"/>
      </w:r>
      <w:r>
        <w:rPr>
          <w:rFonts w:hint="eastAsia" w:ascii="宋体" w:hAnsi="宋体" w:cs="宋体"/>
          <w:color w:val="auto"/>
          <w:sz w:val="20"/>
          <w:szCs w:val="20"/>
          <w:highlight w:val="none"/>
        </w:rPr>
        <w:t>），以此类推，最后一名投标人的权重为（</w:t>
      </w:r>
      <w:r>
        <w:rPr>
          <w:rFonts w:hint="eastAsia" w:ascii="宋体" w:hAnsi="宋体" w:cs="宋体"/>
          <w:color w:val="auto"/>
          <w:sz w:val="20"/>
          <w:szCs w:val="20"/>
          <w:highlight w:val="none"/>
        </w:rPr>
        <w:fldChar w:fldCharType="begin"/>
      </w:r>
      <w:r>
        <w:rPr>
          <w:rFonts w:hint="eastAsia" w:ascii="宋体" w:hAnsi="宋体" w:cs="宋体"/>
          <w:color w:val="auto"/>
          <w:sz w:val="20"/>
          <w:szCs w:val="20"/>
          <w:highlight w:val="none"/>
        </w:rPr>
        <w:instrText xml:space="preserve"> QUOTE </w:instrText>
      </w:r>
      <w:r>
        <w:rPr>
          <w:rFonts w:ascii="宋体" w:hAnsi="宋体" w:cs="宋体"/>
          <w:color w:val="auto"/>
          <w:position w:val="-23"/>
          <w:sz w:val="20"/>
          <w:szCs w:val="20"/>
          <w:highlight w:val="none"/>
        </w:rPr>
        <w:drawing>
          <wp:inline distT="0" distB="0" distL="114300" distR="114300">
            <wp:extent cx="330200" cy="406400"/>
            <wp:effectExtent l="0" t="0" r="3175" b="317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6"/>
                    <a:stretch>
                      <a:fillRect/>
                    </a:stretch>
                  </pic:blipFill>
                  <pic:spPr>
                    <a:xfrm>
                      <a:off x="0" y="0"/>
                      <a:ext cx="330200" cy="406400"/>
                    </a:xfrm>
                    <a:prstGeom prst="rect">
                      <a:avLst/>
                    </a:prstGeom>
                    <a:noFill/>
                    <a:ln>
                      <a:noFill/>
                    </a:ln>
                  </pic:spPr>
                </pic:pic>
              </a:graphicData>
            </a:graphic>
          </wp:inline>
        </w:drawing>
      </w:r>
      <w:r>
        <w:rPr>
          <w:rFonts w:hint="eastAsia" w:ascii="宋体" w:hAnsi="宋体" w:cs="宋体"/>
          <w:color w:val="auto"/>
          <w:sz w:val="20"/>
          <w:szCs w:val="20"/>
          <w:highlight w:val="none"/>
        </w:rPr>
        <w:fldChar w:fldCharType="separate"/>
      </w:r>
      <w:r>
        <w:rPr>
          <w:rFonts w:ascii="宋体" w:hAnsi="宋体" w:cs="宋体"/>
          <w:color w:val="auto"/>
          <w:position w:val="-23"/>
          <w:sz w:val="20"/>
          <w:szCs w:val="20"/>
          <w:highlight w:val="none"/>
        </w:rPr>
        <w:drawing>
          <wp:inline distT="0" distB="0" distL="114300" distR="114300">
            <wp:extent cx="330200" cy="406400"/>
            <wp:effectExtent l="0" t="0" r="3175" b="317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26"/>
                    <a:stretch>
                      <a:fillRect/>
                    </a:stretch>
                  </pic:blipFill>
                  <pic:spPr>
                    <a:xfrm>
                      <a:off x="0" y="0"/>
                      <a:ext cx="330200" cy="406400"/>
                    </a:xfrm>
                    <a:prstGeom prst="rect">
                      <a:avLst/>
                    </a:prstGeom>
                    <a:noFill/>
                    <a:ln>
                      <a:noFill/>
                    </a:ln>
                  </pic:spPr>
                </pic:pic>
              </a:graphicData>
            </a:graphic>
          </wp:inline>
        </w:drawing>
      </w:r>
      <w:r>
        <w:rPr>
          <w:rFonts w:hint="eastAsia" w:ascii="宋体" w:hAnsi="宋体" w:cs="宋体"/>
          <w:color w:val="auto"/>
          <w:sz w:val="20"/>
          <w:szCs w:val="20"/>
          <w:highlight w:val="none"/>
        </w:rPr>
        <w:fldChar w:fldCharType="end"/>
      </w:r>
      <w:r>
        <w:rPr>
          <w:rFonts w:hint="eastAsia" w:ascii="宋体" w:hAnsi="宋体" w:cs="宋体"/>
          <w:color w:val="auto"/>
          <w:sz w:val="20"/>
          <w:szCs w:val="20"/>
          <w:highlight w:val="none"/>
        </w:rPr>
        <w:t>）。</w:t>
      </w:r>
    </w:p>
    <w:p w14:paraId="60E6126C">
      <w:pPr>
        <w:widowControl/>
        <w:spacing w:line="360" w:lineRule="auto"/>
        <w:ind w:firstLine="402" w:firstLineChars="200"/>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方法二：区间抽取法</w:t>
      </w:r>
    </w:p>
    <w:p w14:paraId="23ECBBB3">
      <w:pPr>
        <w:widowControl/>
        <w:snapToGrid w:val="0"/>
        <w:spacing w:line="360" w:lineRule="auto"/>
        <w:ind w:firstLine="400" w:firstLineChars="200"/>
        <w:rPr>
          <w:rFonts w:ascii="宋体" w:hAnsi="宋体" w:cs="宋体"/>
          <w:color w:val="auto"/>
          <w:kern w:val="0"/>
          <w:sz w:val="20"/>
          <w:szCs w:val="20"/>
          <w:highlight w:val="none"/>
        </w:rPr>
      </w:pPr>
      <w:r>
        <w:rPr>
          <w:rFonts w:hint="eastAsia" w:ascii="宋体" w:hAnsi="宋体" w:cs="宋体"/>
          <w:color w:val="auto"/>
          <w:sz w:val="20"/>
          <w:szCs w:val="20"/>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84A2952">
      <w:pPr>
        <w:widowControl/>
        <w:snapToGrid w:val="0"/>
        <w:spacing w:line="360" w:lineRule="auto"/>
        <w:ind w:firstLine="400" w:firstLineChars="200"/>
        <w:rPr>
          <w:rFonts w:ascii="宋体" w:hAnsi="宋体" w:cs="宋体"/>
          <w:color w:val="auto"/>
          <w:kern w:val="0"/>
          <w:sz w:val="20"/>
          <w:szCs w:val="20"/>
          <w:highlight w:val="none"/>
          <w:vertAlign w:val="subscript"/>
        </w:rPr>
      </w:pPr>
      <w:r>
        <w:rPr>
          <w:rFonts w:hint="eastAsia" w:ascii="宋体" w:hAnsi="宋体" w:cs="宋体"/>
          <w:color w:val="auto"/>
          <w:kern w:val="0"/>
          <w:sz w:val="20"/>
          <w:szCs w:val="20"/>
          <w:highlight w:val="none"/>
        </w:rPr>
        <w:t>评标参考价=（Q</w:t>
      </w:r>
      <w:r>
        <w:rPr>
          <w:rFonts w:hint="eastAsia" w:ascii="宋体" w:hAnsi="宋体" w:cs="宋体"/>
          <w:color w:val="auto"/>
          <w:kern w:val="0"/>
          <w:sz w:val="20"/>
          <w:szCs w:val="20"/>
          <w:highlight w:val="none"/>
          <w:vertAlign w:val="subscript"/>
        </w:rPr>
        <w:t>高</w:t>
      </w:r>
      <w:r>
        <w:rPr>
          <w:rFonts w:hint="eastAsia" w:ascii="宋体" w:hAnsi="宋体" w:cs="宋体"/>
          <w:color w:val="auto"/>
          <w:kern w:val="0"/>
          <w:sz w:val="20"/>
          <w:szCs w:val="20"/>
          <w:highlight w:val="none"/>
        </w:rPr>
        <w:t>-Q</w:t>
      </w:r>
      <w:r>
        <w:rPr>
          <w:rFonts w:hint="eastAsia" w:ascii="宋体" w:hAnsi="宋体" w:cs="宋体"/>
          <w:color w:val="auto"/>
          <w:kern w:val="0"/>
          <w:sz w:val="20"/>
          <w:szCs w:val="20"/>
          <w:highlight w:val="none"/>
          <w:vertAlign w:val="subscript"/>
        </w:rPr>
        <w:t>低</w:t>
      </w:r>
      <w:r>
        <w:rPr>
          <w:rFonts w:hint="eastAsia" w:ascii="宋体" w:hAnsi="宋体" w:cs="宋体"/>
          <w:color w:val="auto"/>
          <w:kern w:val="0"/>
          <w:sz w:val="20"/>
          <w:szCs w:val="20"/>
          <w:highlight w:val="none"/>
        </w:rPr>
        <w:t>）/100*Ｘ+Q</w:t>
      </w:r>
      <w:r>
        <w:rPr>
          <w:rFonts w:hint="eastAsia" w:ascii="宋体" w:hAnsi="宋体" w:cs="宋体"/>
          <w:color w:val="auto"/>
          <w:kern w:val="0"/>
          <w:sz w:val="20"/>
          <w:szCs w:val="20"/>
          <w:highlight w:val="none"/>
          <w:vertAlign w:val="subscript"/>
        </w:rPr>
        <w:t>低</w:t>
      </w:r>
    </w:p>
    <w:p w14:paraId="79702E8B">
      <w:pPr>
        <w:widowControl/>
        <w:snapToGrid w:val="0"/>
        <w:spacing w:line="360" w:lineRule="auto"/>
        <w:ind w:firstLine="400" w:firstLineChars="200"/>
        <w:rPr>
          <w:rFonts w:ascii="宋体" w:hAnsi="宋体" w:cs="宋体"/>
          <w:color w:val="auto"/>
          <w:sz w:val="20"/>
          <w:szCs w:val="20"/>
          <w:highlight w:val="none"/>
        </w:rPr>
      </w:pPr>
      <w:r>
        <w:rPr>
          <w:rFonts w:hint="eastAsia" w:ascii="宋体" w:hAnsi="宋体" w:cs="宋体"/>
          <w:color w:val="auto"/>
          <w:sz w:val="20"/>
          <w:szCs w:val="20"/>
          <w:highlight w:val="none"/>
        </w:rPr>
        <w:t>Q</w:t>
      </w:r>
      <w:r>
        <w:rPr>
          <w:rFonts w:hint="eastAsia" w:ascii="宋体" w:hAnsi="宋体" w:cs="宋体"/>
          <w:color w:val="auto"/>
          <w:sz w:val="20"/>
          <w:szCs w:val="20"/>
          <w:highlight w:val="none"/>
          <w:vertAlign w:val="subscript"/>
        </w:rPr>
        <w:t>低</w:t>
      </w:r>
      <w:r>
        <w:rPr>
          <w:rFonts w:hint="eastAsia" w:ascii="宋体" w:hAnsi="宋体" w:cs="宋体"/>
          <w:color w:val="auto"/>
          <w:sz w:val="20"/>
          <w:szCs w:val="20"/>
          <w:highlight w:val="none"/>
        </w:rPr>
        <w:t>：为达到或超过技术标及格分数线的投标人最低报价与工程成本警示价两者中的较高值；</w:t>
      </w:r>
    </w:p>
    <w:p w14:paraId="55E84F22">
      <w:pPr>
        <w:spacing w:line="360" w:lineRule="auto"/>
        <w:ind w:firstLine="400" w:firstLineChars="200"/>
        <w:rPr>
          <w:rFonts w:ascii="宋体" w:hAnsi="宋体" w:cs="宋体"/>
          <w:color w:val="auto"/>
          <w:sz w:val="20"/>
          <w:szCs w:val="20"/>
          <w:highlight w:val="none"/>
        </w:rPr>
      </w:pPr>
      <w:r>
        <w:rPr>
          <w:rFonts w:hint="eastAsia" w:ascii="宋体" w:hAnsi="宋体" w:cs="宋体"/>
          <w:color w:val="auto"/>
          <w:kern w:val="0"/>
          <w:sz w:val="20"/>
          <w:szCs w:val="20"/>
          <w:highlight w:val="none"/>
        </w:rPr>
        <w:t>Q</w:t>
      </w:r>
      <w:r>
        <w:rPr>
          <w:rFonts w:hint="eastAsia" w:ascii="宋体" w:hAnsi="宋体" w:cs="宋体"/>
          <w:color w:val="auto"/>
          <w:kern w:val="0"/>
          <w:sz w:val="20"/>
          <w:szCs w:val="20"/>
          <w:highlight w:val="none"/>
          <w:vertAlign w:val="subscript"/>
        </w:rPr>
        <w:t>高</w:t>
      </w:r>
      <w:r>
        <w:rPr>
          <w:rFonts w:hint="eastAsia" w:ascii="宋体" w:hAnsi="宋体" w:cs="宋体"/>
          <w:color w:val="auto"/>
          <w:sz w:val="20"/>
          <w:szCs w:val="20"/>
          <w:highlight w:val="none"/>
        </w:rPr>
        <w:t>：为（最高投标限价*D%）（D的取值范围为[94,100],由招标人自定）</w:t>
      </w:r>
    </w:p>
    <w:p w14:paraId="08032EDF">
      <w:pPr>
        <w:spacing w:line="360" w:lineRule="auto"/>
        <w:ind w:firstLine="400" w:firstLineChars="200"/>
        <w:rPr>
          <w:rFonts w:ascii="宋体" w:hAnsi="宋体" w:cs="宋体"/>
          <w:color w:val="auto"/>
          <w:sz w:val="20"/>
          <w:szCs w:val="20"/>
          <w:highlight w:val="none"/>
        </w:rPr>
      </w:pPr>
      <w:r>
        <w:rPr>
          <w:rFonts w:hint="eastAsia" w:ascii="宋体" w:hAnsi="宋体" w:cs="宋体"/>
          <w:color w:val="auto"/>
          <w:sz w:val="20"/>
          <w:szCs w:val="20"/>
          <w:highlight w:val="none"/>
        </w:rPr>
        <w:t xml:space="preserve">    X:为等分点值，从[0,100]整数中随机抽取</w:t>
      </w:r>
    </w:p>
    <w:p w14:paraId="3EBDA34E">
      <w:pPr>
        <w:pBdr>
          <w:bottom w:val="single" w:color="auto" w:sz="6" w:space="0"/>
        </w:pBdr>
        <w:spacing w:line="360" w:lineRule="auto"/>
        <w:ind w:firstLine="400" w:firstLineChars="200"/>
        <w:rPr>
          <w:rFonts w:hint="eastAsia"/>
          <w:color w:val="auto"/>
          <w:sz w:val="20"/>
          <w:szCs w:val="20"/>
          <w:highlight w:val="none"/>
        </w:rPr>
      </w:pPr>
      <w:r>
        <w:rPr>
          <w:rFonts w:hint="eastAsia"/>
          <w:color w:val="auto"/>
          <w:sz w:val="20"/>
          <w:szCs w:val="20"/>
          <w:highlight w:val="none"/>
        </w:rPr>
        <w:t>42.4.3.2当标价等于评标参考价时得100分，标价每高于评标参考价1%，扣1.5分，每低于评标参考价1%，扣1分，扣至0分为止，得出经济分，精确到小数点后两位。</w:t>
      </w:r>
    </w:p>
    <w:p w14:paraId="4DCEA3DF">
      <w:pPr>
        <w:pBdr>
          <w:bottom w:val="single" w:color="010000" w:sz="4" w:space="1"/>
        </w:pBdr>
        <w:adjustRightInd w:val="0"/>
        <w:spacing w:line="360" w:lineRule="auto"/>
        <w:ind w:firstLine="402" w:firstLineChars="200"/>
        <w:rPr>
          <w:rFonts w:ascii="宋体" w:hAnsi="宋体" w:cs="宋体"/>
          <w:color w:val="auto"/>
          <w:sz w:val="20"/>
          <w:szCs w:val="20"/>
          <w:highlight w:val="none"/>
          <w:u w:val="single"/>
        </w:rPr>
      </w:pPr>
      <w:r>
        <w:rPr>
          <w:b/>
          <w:color w:val="auto"/>
          <w:sz w:val="20"/>
          <w:szCs w:val="20"/>
          <w:highlight w:val="none"/>
          <w:lang w:bidi="ar"/>
        </w:rPr>
        <w:t>条款号：</w:t>
      </w:r>
      <w:r>
        <w:rPr>
          <w:rFonts w:hint="eastAsia" w:ascii="宋体" w:hAnsi="宋体" w:cs="宋体"/>
          <w:b/>
          <w:color w:val="auto"/>
          <w:sz w:val="20"/>
          <w:szCs w:val="20"/>
          <w:highlight w:val="none"/>
          <w:lang w:bidi="ar"/>
        </w:rPr>
        <w:t xml:space="preserve"> 4</w:t>
      </w:r>
      <w:r>
        <w:rPr>
          <w:rFonts w:hint="eastAsia" w:ascii="宋体" w:hAnsi="宋体" w:eastAsia="Times New Roman" w:cs="仿宋"/>
          <w:b/>
          <w:color w:val="auto"/>
          <w:sz w:val="20"/>
          <w:szCs w:val="20"/>
          <w:highlight w:val="none"/>
          <w:lang w:bidi="ar"/>
        </w:rPr>
        <w:t>2.4.4</w:t>
      </w:r>
      <w:r>
        <w:rPr>
          <w:rFonts w:hint="eastAsia" w:ascii="宋体" w:hAnsi="宋体" w:cs="宋体"/>
          <w:b/>
          <w:color w:val="auto"/>
          <w:sz w:val="20"/>
          <w:szCs w:val="20"/>
          <w:highlight w:val="none"/>
          <w:lang w:bidi="ar"/>
        </w:rPr>
        <w:t xml:space="preserve">                                            </w:t>
      </w:r>
      <w:r>
        <w:rPr>
          <w:b/>
          <w:color w:val="auto"/>
          <w:sz w:val="20"/>
          <w:szCs w:val="20"/>
          <w:highlight w:val="none"/>
          <w:lang w:bidi="ar"/>
        </w:rPr>
        <w:t>修改类型：修改</w:t>
      </w:r>
      <w:r>
        <w:rPr>
          <w:rFonts w:ascii="宋体" w:hAnsi="宋体" w:cs="仿宋"/>
          <w:b/>
          <w:color w:val="auto"/>
          <w:sz w:val="20"/>
          <w:szCs w:val="20"/>
          <w:highlight w:val="none"/>
          <w:lang w:bidi="ar"/>
        </w:rPr>
        <w:br w:type="textWrapping"/>
      </w:r>
      <w:r>
        <w:rPr>
          <w:rFonts w:hint="eastAsia" w:ascii="宋体" w:hAnsi="宋体" w:cs="仿宋"/>
          <w:b/>
          <w:color w:val="auto"/>
          <w:sz w:val="20"/>
          <w:szCs w:val="20"/>
          <w:highlight w:val="none"/>
          <w:lang w:bidi="ar"/>
        </w:rPr>
        <w:t xml:space="preserve"> </w:t>
      </w:r>
      <w:r>
        <w:rPr>
          <w:rFonts w:hint="eastAsia" w:ascii="宋体" w:hAnsi="宋体" w:cs="宋体"/>
          <w:b/>
          <w:color w:val="auto"/>
          <w:sz w:val="20"/>
          <w:szCs w:val="20"/>
          <w:highlight w:val="none"/>
          <w:lang w:bidi="ar"/>
        </w:rPr>
        <w:t xml:space="preserve">   原文：</w:t>
      </w:r>
      <w:r>
        <w:rPr>
          <w:rFonts w:hint="eastAsia" w:ascii="宋体" w:hAnsi="宋体" w:cs="宋体"/>
          <w:color w:val="auto"/>
          <w:sz w:val="20"/>
          <w:szCs w:val="20"/>
          <w:highlight w:val="none"/>
          <w:lang w:bidi="ar"/>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color w:val="auto"/>
          <w:sz w:val="20"/>
          <w:szCs w:val="20"/>
          <w:highlight w:val="none"/>
          <w:lang w:bidi="ar"/>
        </w:rPr>
        <w:br w:type="textWrapping"/>
      </w:r>
      <w:r>
        <w:rPr>
          <w:rFonts w:hint="eastAsia" w:ascii="宋体" w:hAnsi="宋体" w:cs="宋体"/>
          <w:color w:val="auto"/>
          <w:sz w:val="20"/>
          <w:szCs w:val="20"/>
          <w:highlight w:val="none"/>
          <w:lang w:bidi="ar"/>
        </w:rPr>
        <w:t xml:space="preserve">    </w:t>
      </w:r>
      <w:r>
        <w:rPr>
          <w:rFonts w:hint="eastAsia" w:ascii="宋体" w:hAnsi="宋体" w:cs="宋体"/>
          <w:b/>
          <w:color w:val="auto"/>
          <w:sz w:val="20"/>
          <w:szCs w:val="20"/>
          <w:highlight w:val="none"/>
          <w:lang w:bidi="ar"/>
        </w:rPr>
        <w:t>现文：</w:t>
      </w:r>
      <w:r>
        <w:rPr>
          <w:rFonts w:hint="eastAsia" w:ascii="宋体" w:hAnsi="宋体" w:cs="宋体"/>
          <w:color w:val="auto"/>
          <w:sz w:val="20"/>
          <w:szCs w:val="20"/>
          <w:highlight w:val="none"/>
          <w:lang w:bidi="ar"/>
        </w:rPr>
        <w:t>42.4.4经济标的有效性审查：</w:t>
      </w:r>
      <w:r>
        <w:rPr>
          <w:rFonts w:hint="eastAsia" w:ascii="宋体" w:hAnsi="宋体" w:cs="宋体"/>
          <w:color w:val="auto"/>
          <w:sz w:val="20"/>
          <w:szCs w:val="20"/>
          <w:highlight w:val="none"/>
          <w:u w:val="single"/>
          <w:lang w:bidi="ar"/>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Cs/>
          <w:color w:val="auto"/>
          <w:sz w:val="20"/>
          <w:szCs w:val="20"/>
          <w:highlight w:val="none"/>
          <w:u w:val="single"/>
          <w:lang w:bidi="ar"/>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38B9989">
      <w:pPr>
        <w:spacing w:line="360" w:lineRule="auto"/>
        <w:ind w:firstLine="448" w:firstLineChars="223"/>
        <w:rPr>
          <w:b/>
          <w:color w:val="auto"/>
          <w:sz w:val="20"/>
          <w:szCs w:val="20"/>
          <w:highlight w:val="none"/>
        </w:rPr>
      </w:pPr>
      <w:r>
        <w:rPr>
          <w:b/>
          <w:color w:val="auto"/>
          <w:sz w:val="20"/>
          <w:szCs w:val="20"/>
          <w:highlight w:val="none"/>
          <w:lang w:bidi="ar"/>
        </w:rPr>
        <w:t>条款号：</w:t>
      </w:r>
      <w:r>
        <w:rPr>
          <w:rFonts w:hint="eastAsia" w:ascii="宋体" w:hAnsi="宋体" w:cs="宋体"/>
          <w:b/>
          <w:color w:val="auto"/>
          <w:sz w:val="20"/>
          <w:szCs w:val="20"/>
          <w:highlight w:val="none"/>
          <w:lang w:bidi="ar"/>
        </w:rPr>
        <w:t xml:space="preserve"> </w:t>
      </w:r>
      <w:r>
        <w:rPr>
          <w:rFonts w:ascii="宋体" w:hAnsi="宋体" w:cs="宋体"/>
          <w:b/>
          <w:color w:val="auto"/>
          <w:sz w:val="20"/>
          <w:szCs w:val="20"/>
          <w:highlight w:val="none"/>
          <w:lang w:bidi="ar"/>
        </w:rPr>
        <w:t>42.4.5.8</w:t>
      </w:r>
      <w:r>
        <w:rPr>
          <w:rFonts w:hint="eastAsia" w:ascii="宋体" w:hAnsi="宋体" w:cs="宋体"/>
          <w:b/>
          <w:color w:val="auto"/>
          <w:sz w:val="20"/>
          <w:szCs w:val="20"/>
          <w:highlight w:val="none"/>
          <w:lang w:bidi="ar"/>
        </w:rPr>
        <w:t xml:space="preserve">                                              </w:t>
      </w:r>
      <w:r>
        <w:rPr>
          <w:b/>
          <w:color w:val="auto"/>
          <w:sz w:val="20"/>
          <w:szCs w:val="20"/>
          <w:highlight w:val="none"/>
          <w:lang w:bidi="ar"/>
        </w:rPr>
        <w:t>修改类型：修改</w:t>
      </w:r>
    </w:p>
    <w:p w14:paraId="2A91888C">
      <w:pPr>
        <w:spacing w:line="360" w:lineRule="auto"/>
        <w:ind w:firstLine="448" w:firstLineChars="223"/>
        <w:rPr>
          <w:b/>
          <w:color w:val="auto"/>
          <w:sz w:val="20"/>
          <w:szCs w:val="20"/>
          <w:highlight w:val="none"/>
        </w:rPr>
      </w:pPr>
      <w:r>
        <w:rPr>
          <w:rFonts w:hint="eastAsia"/>
          <w:b/>
          <w:color w:val="auto"/>
          <w:sz w:val="20"/>
          <w:szCs w:val="20"/>
          <w:highlight w:val="none"/>
        </w:rPr>
        <w:t>原文：</w:t>
      </w:r>
      <w:r>
        <w:rPr>
          <w:rFonts w:ascii="宋体" w:hAnsi="宋体"/>
          <w:color w:val="auto"/>
          <w:sz w:val="20"/>
          <w:szCs w:val="20"/>
          <w:highlight w:val="none"/>
        </w:rPr>
        <w:t>42.4.5.8</w:t>
      </w:r>
      <w:r>
        <w:rPr>
          <w:rFonts w:hint="eastAsia" w:ascii="宋体" w:hAnsi="宋体" w:cs="宋体"/>
          <w:color w:val="auto"/>
          <w:sz w:val="20"/>
          <w:szCs w:val="20"/>
          <w:highlight w:val="none"/>
          <w:lang w:bidi="ar"/>
        </w:rPr>
        <w:t>按上述修正错误的原则及方法调整或修正投标文件的投标报价，调整后的投标报价对投标人起约束作用。如果投标人不接受修正后的报价，则取消其投标资格，并且其投标保证金也将不予退还。</w:t>
      </w:r>
    </w:p>
    <w:p w14:paraId="04BBBE9B">
      <w:pPr>
        <w:pBdr>
          <w:bottom w:val="single" w:color="auto" w:sz="6" w:space="1"/>
        </w:pBdr>
        <w:spacing w:line="360" w:lineRule="auto"/>
        <w:ind w:firstLine="448" w:firstLineChars="223"/>
        <w:rPr>
          <w:rFonts w:ascii="宋体" w:hAnsi="宋体" w:cs="宋体"/>
          <w:color w:val="auto"/>
          <w:sz w:val="20"/>
          <w:szCs w:val="20"/>
          <w:highlight w:val="none"/>
          <w:u w:val="single"/>
          <w:lang w:bidi="ar"/>
        </w:rPr>
      </w:pPr>
      <w:r>
        <w:rPr>
          <w:rFonts w:hint="eastAsia"/>
          <w:b/>
          <w:color w:val="auto"/>
          <w:sz w:val="20"/>
          <w:szCs w:val="20"/>
          <w:highlight w:val="none"/>
        </w:rPr>
        <w:t>现文：</w:t>
      </w:r>
      <w:r>
        <w:rPr>
          <w:rFonts w:ascii="宋体" w:hAnsi="宋体"/>
          <w:color w:val="auto"/>
          <w:sz w:val="20"/>
          <w:szCs w:val="20"/>
          <w:highlight w:val="none"/>
        </w:rPr>
        <w:t>42.</w:t>
      </w:r>
      <w:r>
        <w:rPr>
          <w:rFonts w:hint="eastAsia" w:ascii="宋体" w:hAnsi="宋体"/>
          <w:color w:val="auto"/>
          <w:sz w:val="20"/>
          <w:szCs w:val="20"/>
          <w:highlight w:val="none"/>
        </w:rPr>
        <w:t>4.5.</w:t>
      </w:r>
      <w:r>
        <w:rPr>
          <w:rFonts w:ascii="宋体" w:hAnsi="宋体"/>
          <w:color w:val="auto"/>
          <w:sz w:val="20"/>
          <w:szCs w:val="20"/>
          <w:highlight w:val="none"/>
        </w:rPr>
        <w:t>8</w:t>
      </w:r>
      <w:r>
        <w:rPr>
          <w:rFonts w:hint="eastAsia" w:ascii="宋体" w:hAnsi="宋体" w:cs="宋体"/>
          <w:color w:val="auto"/>
          <w:sz w:val="20"/>
          <w:szCs w:val="20"/>
          <w:highlight w:val="none"/>
          <w:u w:val="single"/>
          <w:lang w:bidi="ar"/>
        </w:rPr>
        <w:t>按上述修正错误的原则及方法调整或修正投标文件的投标报价，调整后的投标报价对投标人起约束作用。如果投标人不接受修正后的报价，则取消其投标资格。</w:t>
      </w:r>
    </w:p>
    <w:p w14:paraId="629DAF5E">
      <w:pPr>
        <w:spacing w:line="360" w:lineRule="auto"/>
        <w:ind w:firstLine="448" w:firstLineChars="223"/>
        <w:rPr>
          <w:b/>
          <w:color w:val="auto"/>
          <w:sz w:val="20"/>
          <w:szCs w:val="20"/>
          <w:highlight w:val="none"/>
          <w:lang w:bidi="ar"/>
        </w:rPr>
      </w:pPr>
      <w:r>
        <w:rPr>
          <w:rFonts w:hint="eastAsia"/>
          <w:b/>
          <w:color w:val="auto"/>
          <w:sz w:val="20"/>
          <w:szCs w:val="20"/>
          <w:highlight w:val="none"/>
          <w:lang w:bidi="ar"/>
        </w:rPr>
        <w:t>条款号：42.8                                                    修改类型：增加</w:t>
      </w:r>
    </w:p>
    <w:p w14:paraId="72188C8C">
      <w:pPr>
        <w:pStyle w:val="49"/>
        <w:rPr>
          <w:rFonts w:cs="宋体"/>
          <w:color w:val="auto"/>
          <w:sz w:val="20"/>
          <w:szCs w:val="20"/>
          <w:highlight w:val="none"/>
        </w:rPr>
      </w:pPr>
      <w:r>
        <w:rPr>
          <w:rFonts w:hint="eastAsia"/>
          <w:color w:val="auto"/>
          <w:sz w:val="20"/>
          <w:szCs w:val="20"/>
          <w:highlight w:val="none"/>
          <w:lang w:bidi="ar"/>
        </w:rPr>
        <w:t>第二阶段经济标</w:t>
      </w:r>
      <w:r>
        <w:rPr>
          <w:rFonts w:hint="eastAsia" w:cs="宋体"/>
          <w:color w:val="auto"/>
          <w:sz w:val="20"/>
          <w:szCs w:val="20"/>
          <w:highlight w:val="none"/>
        </w:rPr>
        <w:t>采用“均值下拉法”</w:t>
      </w:r>
      <w:r>
        <w:rPr>
          <w:rFonts w:hint="eastAsia"/>
          <w:color w:val="auto"/>
          <w:highlight w:val="none"/>
        </w:rPr>
        <w:t xml:space="preserve"> </w:t>
      </w:r>
      <w:r>
        <w:rPr>
          <w:rFonts w:hint="eastAsia" w:cs="宋体"/>
          <w:color w:val="auto"/>
          <w:sz w:val="20"/>
          <w:szCs w:val="20"/>
          <w:highlight w:val="none"/>
        </w:rPr>
        <w:t>计算评标参考价：</w:t>
      </w:r>
    </w:p>
    <w:p w14:paraId="4BBBCB26">
      <w:pPr>
        <w:pStyle w:val="49"/>
        <w:rPr>
          <w:rFonts w:hint="eastAsia"/>
          <w:color w:val="auto"/>
          <w:sz w:val="20"/>
          <w:szCs w:val="20"/>
          <w:highlight w:val="none"/>
          <w:lang w:bidi="ar"/>
        </w:rPr>
      </w:pPr>
      <w:r>
        <w:rPr>
          <w:rFonts w:hint="eastAsia"/>
          <w:color w:val="auto"/>
          <w:sz w:val="20"/>
          <w:szCs w:val="20"/>
          <w:highlight w:val="none"/>
          <w:lang w:bidi="ar"/>
        </w:rPr>
        <w:t>（1）采用均值下拉法，其中，Q=100，M= 1</w:t>
      </w:r>
      <w:r>
        <w:rPr>
          <w:rFonts w:hint="eastAsia"/>
          <w:color w:val="auto"/>
          <w:sz w:val="20"/>
          <w:szCs w:val="20"/>
          <w:highlight w:val="none"/>
          <w:lang w:val="en-US" w:eastAsia="zh-CN" w:bidi="ar"/>
        </w:rPr>
        <w:t>.25</w:t>
      </w:r>
      <w:r>
        <w:rPr>
          <w:rFonts w:hint="eastAsia"/>
          <w:color w:val="auto"/>
          <w:sz w:val="20"/>
          <w:szCs w:val="20"/>
          <w:highlight w:val="none"/>
          <w:lang w:bidi="ar"/>
        </w:rPr>
        <w:t>。</w:t>
      </w:r>
    </w:p>
    <w:p w14:paraId="44CBC494">
      <w:pPr>
        <w:pStyle w:val="49"/>
        <w:rPr>
          <w:rFonts w:hint="eastAsia"/>
          <w:color w:val="auto"/>
          <w:sz w:val="20"/>
          <w:szCs w:val="20"/>
          <w:highlight w:val="none"/>
          <w:lang w:bidi="ar"/>
        </w:rPr>
      </w:pPr>
      <w:r>
        <w:rPr>
          <w:rFonts w:hint="eastAsia"/>
          <w:color w:val="auto"/>
          <w:sz w:val="20"/>
          <w:szCs w:val="20"/>
          <w:highlight w:val="none"/>
          <w:lang w:bidi="ar"/>
        </w:rPr>
        <w:t>（2）</w:t>
      </w:r>
      <w:r>
        <w:rPr>
          <w:rFonts w:hint="eastAsia"/>
          <w:color w:val="auto"/>
          <w:sz w:val="20"/>
          <w:szCs w:val="20"/>
          <w:highlight w:val="none"/>
          <w:lang w:eastAsia="zh-CN" w:bidi="ar"/>
        </w:rPr>
        <w:t>投标报价得分</w:t>
      </w:r>
      <w:r>
        <w:rPr>
          <w:rFonts w:hint="eastAsia"/>
          <w:color w:val="auto"/>
          <w:sz w:val="20"/>
          <w:szCs w:val="20"/>
          <w:highlight w:val="none"/>
          <w:lang w:bidi="ar"/>
        </w:rPr>
        <w:t>计算公式：</w:t>
      </w:r>
    </w:p>
    <w:p w14:paraId="40020419">
      <w:pPr>
        <w:pStyle w:val="49"/>
        <w:ind w:firstLine="400" w:firstLineChars="200"/>
        <w:rPr>
          <w:rFonts w:hint="eastAsia"/>
          <w:color w:val="auto"/>
          <w:sz w:val="20"/>
          <w:szCs w:val="20"/>
          <w:highlight w:val="none"/>
          <w:lang w:bidi="ar"/>
        </w:rPr>
      </w:pPr>
      <w:r>
        <w:rPr>
          <w:rFonts w:hint="eastAsia"/>
          <w:color w:val="auto"/>
          <w:sz w:val="20"/>
          <w:szCs w:val="20"/>
          <w:highlight w:val="none"/>
          <w:lang w:bidi="ar"/>
        </w:rPr>
        <w:t>Si：有效投标人</w:t>
      </w:r>
      <w:r>
        <w:rPr>
          <w:rFonts w:hint="eastAsia"/>
          <w:color w:val="auto"/>
          <w:sz w:val="20"/>
          <w:szCs w:val="20"/>
          <w:highlight w:val="none"/>
          <w:lang w:eastAsia="zh-CN" w:bidi="ar"/>
        </w:rPr>
        <w:t>投标报价得分</w:t>
      </w:r>
      <w:r>
        <w:rPr>
          <w:rFonts w:hint="eastAsia"/>
          <w:color w:val="auto"/>
          <w:sz w:val="20"/>
          <w:szCs w:val="20"/>
          <w:highlight w:val="none"/>
          <w:lang w:bidi="ar"/>
        </w:rPr>
        <w:t>；Q：</w:t>
      </w:r>
      <w:r>
        <w:rPr>
          <w:rFonts w:hint="eastAsia"/>
          <w:color w:val="auto"/>
          <w:sz w:val="20"/>
          <w:szCs w:val="20"/>
          <w:highlight w:val="none"/>
          <w:lang w:eastAsia="zh-CN" w:bidi="ar"/>
        </w:rPr>
        <w:t>投标报价</w:t>
      </w:r>
      <w:r>
        <w:rPr>
          <w:rFonts w:hint="eastAsia"/>
          <w:color w:val="auto"/>
          <w:sz w:val="20"/>
          <w:szCs w:val="20"/>
          <w:highlight w:val="none"/>
          <w:lang w:bidi="ar"/>
        </w:rPr>
        <w:t>满分</w:t>
      </w:r>
    </w:p>
    <w:p w14:paraId="0F787FB0">
      <w:pPr>
        <w:pStyle w:val="49"/>
        <w:ind w:firstLine="400" w:firstLineChars="200"/>
        <w:rPr>
          <w:rFonts w:hint="eastAsia"/>
          <w:color w:val="auto"/>
          <w:sz w:val="20"/>
          <w:szCs w:val="20"/>
          <w:highlight w:val="none"/>
          <w:lang w:bidi="ar"/>
        </w:rPr>
      </w:pPr>
      <w:r>
        <w:rPr>
          <w:rFonts w:hint="eastAsia"/>
          <w:color w:val="auto"/>
          <w:sz w:val="20"/>
          <w:szCs w:val="20"/>
          <w:highlight w:val="none"/>
          <w:lang w:bidi="ar"/>
        </w:rPr>
        <w:t>M：扣分步长；Pi-各有效投标人的评标价；</w:t>
      </w:r>
    </w:p>
    <w:p w14:paraId="638C4B0E">
      <w:pPr>
        <w:pStyle w:val="49"/>
        <w:ind w:firstLine="400" w:firstLineChars="200"/>
        <w:rPr>
          <w:color w:val="auto"/>
          <w:sz w:val="20"/>
          <w:szCs w:val="20"/>
          <w:highlight w:val="none"/>
          <w:lang w:bidi="ar"/>
        </w:rPr>
      </w:pPr>
      <w:r>
        <w:rPr>
          <w:color w:val="auto"/>
          <w:sz w:val="20"/>
          <w:szCs w:val="20"/>
          <w:highlight w:val="none"/>
          <w:lang w:bidi="ar"/>
        </w:rPr>
        <w:t>A=D1×D2</w:t>
      </w:r>
    </w:p>
    <w:p w14:paraId="5296C523">
      <w:pPr>
        <w:pStyle w:val="49"/>
        <w:ind w:firstLine="400" w:firstLineChars="200"/>
        <w:rPr>
          <w:rFonts w:hint="eastAsia"/>
          <w:color w:val="auto"/>
          <w:sz w:val="20"/>
          <w:szCs w:val="20"/>
          <w:highlight w:val="none"/>
          <w:lang w:bidi="ar"/>
        </w:rPr>
      </w:pPr>
      <w:r>
        <w:rPr>
          <w:rFonts w:hint="eastAsia"/>
          <w:color w:val="auto"/>
          <w:sz w:val="20"/>
          <w:szCs w:val="20"/>
          <w:highlight w:val="none"/>
          <w:lang w:bidi="ar"/>
        </w:rPr>
        <w:t>当N</w:t>
      </w:r>
      <w:r>
        <w:rPr>
          <w:rFonts w:hint="eastAsia"/>
          <w:color w:val="auto"/>
          <w:sz w:val="20"/>
          <w:szCs w:val="20"/>
          <w:highlight w:val="none"/>
          <w:lang w:val="en-US" w:eastAsia="zh-CN" w:bidi="ar"/>
        </w:rPr>
        <w:t>=</w:t>
      </w:r>
      <w:r>
        <w:rPr>
          <w:rFonts w:hint="eastAsia"/>
          <w:color w:val="auto"/>
          <w:sz w:val="20"/>
          <w:szCs w:val="20"/>
          <w:highlight w:val="none"/>
          <w:lang w:eastAsia="zh-CN" w:bidi="ar"/>
        </w:rPr>
        <w:t>11家</w:t>
      </w:r>
      <w:r>
        <w:rPr>
          <w:rFonts w:hint="eastAsia"/>
          <w:color w:val="auto"/>
          <w:sz w:val="20"/>
          <w:szCs w:val="20"/>
          <w:highlight w:val="none"/>
          <w:lang w:bidi="ar"/>
        </w:rPr>
        <w:t>时, D1为有效投标人中去掉1个最高评标价和1个最低评标价后的算术平均值，即D1=[Σ（P1+P2+…Pn）- (Pmax+Pmin)]/(N-2)；</w:t>
      </w:r>
    </w:p>
    <w:p w14:paraId="60D0FCB3">
      <w:pPr>
        <w:pStyle w:val="49"/>
        <w:ind w:firstLine="400" w:firstLineChars="200"/>
        <w:rPr>
          <w:rFonts w:hint="eastAsia"/>
          <w:color w:val="auto"/>
          <w:sz w:val="20"/>
          <w:szCs w:val="20"/>
          <w:highlight w:val="none"/>
          <w:lang w:bidi="ar"/>
        </w:rPr>
      </w:pPr>
      <w:r>
        <w:rPr>
          <w:rFonts w:hint="eastAsia"/>
          <w:color w:val="auto"/>
          <w:sz w:val="20"/>
          <w:szCs w:val="20"/>
          <w:highlight w:val="none"/>
          <w:lang w:bidi="ar"/>
        </w:rPr>
        <w:t>当N&lt;</w:t>
      </w:r>
      <w:r>
        <w:rPr>
          <w:rFonts w:hint="eastAsia"/>
          <w:color w:val="auto"/>
          <w:sz w:val="20"/>
          <w:szCs w:val="20"/>
          <w:highlight w:val="none"/>
          <w:lang w:eastAsia="zh-CN" w:bidi="ar"/>
        </w:rPr>
        <w:t>11家</w:t>
      </w:r>
      <w:r>
        <w:rPr>
          <w:rFonts w:hint="eastAsia"/>
          <w:color w:val="auto"/>
          <w:sz w:val="20"/>
          <w:szCs w:val="20"/>
          <w:highlight w:val="none"/>
          <w:lang w:bidi="ar"/>
        </w:rPr>
        <w:t>时，D1为全部有效投标人评标价的算术平均值，即D1=Σ（P1+P2+…Pn）/N；</w:t>
      </w:r>
    </w:p>
    <w:p w14:paraId="793E50C8">
      <w:pPr>
        <w:pStyle w:val="49"/>
        <w:ind w:firstLine="400" w:firstLineChars="200"/>
        <w:rPr>
          <w:rFonts w:hint="eastAsia"/>
          <w:color w:val="auto"/>
          <w:sz w:val="20"/>
          <w:szCs w:val="20"/>
          <w:highlight w:val="none"/>
          <w:lang w:bidi="ar"/>
        </w:rPr>
      </w:pPr>
      <w:r>
        <w:rPr>
          <w:rFonts w:hint="eastAsia"/>
          <w:color w:val="auto"/>
          <w:sz w:val="20"/>
          <w:szCs w:val="20"/>
          <w:highlight w:val="none"/>
          <w:lang w:bidi="ar"/>
        </w:rPr>
        <w:t>N=有效投标人的总数；</w:t>
      </w:r>
    </w:p>
    <w:p w14:paraId="5FB37D8C">
      <w:pPr>
        <w:pStyle w:val="49"/>
        <w:ind w:firstLine="400" w:firstLineChars="200"/>
        <w:rPr>
          <w:rFonts w:hint="eastAsia"/>
          <w:color w:val="auto"/>
          <w:sz w:val="20"/>
          <w:szCs w:val="20"/>
          <w:highlight w:val="none"/>
          <w:lang w:bidi="ar"/>
        </w:rPr>
      </w:pPr>
      <w:r>
        <w:rPr>
          <w:rFonts w:hint="eastAsia"/>
          <w:color w:val="auto"/>
          <w:sz w:val="20"/>
          <w:szCs w:val="20"/>
          <w:highlight w:val="none"/>
          <w:lang w:bidi="ar"/>
        </w:rPr>
        <w:t>D2=均值下拉点；开标现场由工作人员从以下5个号码中随机抽取1个号码，该号码代表的均值下拉点为D2：号码值分别为①、②、③、④、⑤，对应的均值下拉点为93%、94%、95%、96%、97%。</w:t>
      </w:r>
    </w:p>
    <w:p w14:paraId="2E1D384F">
      <w:pPr>
        <w:pStyle w:val="49"/>
        <w:ind w:firstLine="400" w:firstLineChars="200"/>
        <w:rPr>
          <w:rFonts w:hint="eastAsia"/>
          <w:color w:val="auto"/>
          <w:sz w:val="20"/>
          <w:szCs w:val="20"/>
          <w:highlight w:val="none"/>
          <w:lang w:bidi="ar"/>
        </w:rPr>
      </w:pPr>
      <w:r>
        <w:rPr>
          <w:rFonts w:hint="eastAsia"/>
          <w:color w:val="auto"/>
          <w:sz w:val="20"/>
          <w:szCs w:val="20"/>
          <w:highlight w:val="none"/>
          <w:lang w:bidi="ar"/>
        </w:rPr>
        <w:t>各有效投标人的评标价Pi按每高于A1%，</w:t>
      </w:r>
      <w:r>
        <w:rPr>
          <w:rFonts w:hint="eastAsia"/>
          <w:color w:val="auto"/>
          <w:sz w:val="20"/>
          <w:szCs w:val="20"/>
          <w:highlight w:val="none"/>
          <w:lang w:eastAsia="zh-CN" w:bidi="ar"/>
        </w:rPr>
        <w:t>投标报价得分</w:t>
      </w:r>
      <w:r>
        <w:rPr>
          <w:rFonts w:hint="eastAsia"/>
          <w:color w:val="auto"/>
          <w:sz w:val="20"/>
          <w:szCs w:val="20"/>
          <w:highlight w:val="none"/>
          <w:lang w:bidi="ar"/>
        </w:rPr>
        <w:t>减M分，即</w:t>
      </w:r>
    </w:p>
    <w:p w14:paraId="3C767F7F">
      <w:pPr>
        <w:pStyle w:val="49"/>
        <w:ind w:firstLine="400" w:firstLineChars="200"/>
        <w:rPr>
          <w:rFonts w:hint="eastAsia"/>
          <w:color w:val="auto"/>
          <w:sz w:val="20"/>
          <w:szCs w:val="20"/>
          <w:highlight w:val="none"/>
          <w:lang w:bidi="ar"/>
        </w:rPr>
      </w:pPr>
      <w:r>
        <w:rPr>
          <w:rFonts w:hint="eastAsia"/>
          <w:color w:val="auto"/>
          <w:sz w:val="20"/>
          <w:szCs w:val="20"/>
          <w:highlight w:val="none"/>
          <w:lang w:bidi="ar"/>
        </w:rPr>
        <w:t>当Pi&gt;A时，高于基准点A的</w:t>
      </w:r>
      <w:r>
        <w:rPr>
          <w:rFonts w:hint="eastAsia"/>
          <w:color w:val="auto"/>
          <w:sz w:val="20"/>
          <w:szCs w:val="20"/>
          <w:highlight w:val="none"/>
          <w:lang w:eastAsia="zh-CN" w:bidi="ar"/>
        </w:rPr>
        <w:t>投标报价得分</w:t>
      </w:r>
      <w:r>
        <w:rPr>
          <w:rFonts w:hint="eastAsia"/>
          <w:color w:val="auto"/>
          <w:sz w:val="20"/>
          <w:szCs w:val="20"/>
          <w:highlight w:val="none"/>
          <w:lang w:bidi="ar"/>
        </w:rPr>
        <w:t>Si=Q-（Pi-A）÷A×100×M；</w:t>
      </w:r>
    </w:p>
    <w:p w14:paraId="43328EAB">
      <w:pPr>
        <w:pStyle w:val="49"/>
        <w:ind w:firstLine="400" w:firstLineChars="200"/>
        <w:rPr>
          <w:rFonts w:hint="eastAsia"/>
          <w:color w:val="auto"/>
          <w:sz w:val="20"/>
          <w:szCs w:val="20"/>
          <w:highlight w:val="none"/>
          <w:lang w:bidi="ar"/>
        </w:rPr>
      </w:pPr>
      <w:r>
        <w:rPr>
          <w:rFonts w:hint="eastAsia"/>
          <w:color w:val="auto"/>
          <w:sz w:val="20"/>
          <w:szCs w:val="20"/>
          <w:highlight w:val="none"/>
          <w:lang w:bidi="ar"/>
        </w:rPr>
        <w:t>各有效投标人的评标价Pi按每低于A1%，</w:t>
      </w:r>
      <w:r>
        <w:rPr>
          <w:rFonts w:hint="eastAsia"/>
          <w:color w:val="auto"/>
          <w:sz w:val="20"/>
          <w:szCs w:val="20"/>
          <w:highlight w:val="none"/>
          <w:lang w:eastAsia="zh-CN" w:bidi="ar"/>
        </w:rPr>
        <w:t>投标报价得分</w:t>
      </w:r>
      <w:r>
        <w:rPr>
          <w:rFonts w:hint="eastAsia"/>
          <w:color w:val="auto"/>
          <w:sz w:val="20"/>
          <w:szCs w:val="20"/>
          <w:highlight w:val="none"/>
          <w:lang w:bidi="ar"/>
        </w:rPr>
        <w:t>减M/2分，即</w:t>
      </w:r>
    </w:p>
    <w:p w14:paraId="6780B200">
      <w:pPr>
        <w:pStyle w:val="49"/>
        <w:ind w:firstLine="400" w:firstLineChars="200"/>
        <w:rPr>
          <w:rFonts w:hint="eastAsia"/>
          <w:color w:val="auto"/>
          <w:sz w:val="20"/>
          <w:szCs w:val="20"/>
          <w:highlight w:val="none"/>
          <w:lang w:bidi="ar"/>
        </w:rPr>
      </w:pPr>
      <w:r>
        <w:rPr>
          <w:rFonts w:hint="eastAsia"/>
          <w:color w:val="auto"/>
          <w:sz w:val="20"/>
          <w:szCs w:val="20"/>
          <w:highlight w:val="none"/>
          <w:lang w:bidi="ar"/>
        </w:rPr>
        <w:t>当Pi&lt;A时，低于基准点A的</w:t>
      </w:r>
      <w:r>
        <w:rPr>
          <w:rFonts w:hint="eastAsia"/>
          <w:color w:val="auto"/>
          <w:sz w:val="20"/>
          <w:szCs w:val="20"/>
          <w:highlight w:val="none"/>
          <w:lang w:eastAsia="zh-CN" w:bidi="ar"/>
        </w:rPr>
        <w:t>投标报价得分</w:t>
      </w:r>
      <w:r>
        <w:rPr>
          <w:rFonts w:hint="eastAsia"/>
          <w:color w:val="auto"/>
          <w:sz w:val="20"/>
          <w:szCs w:val="20"/>
          <w:highlight w:val="none"/>
          <w:lang w:bidi="ar"/>
        </w:rPr>
        <w:t>Si=Q-（A-Pi）÷A×100×M/2；</w:t>
      </w:r>
    </w:p>
    <w:p w14:paraId="477962D8">
      <w:pPr>
        <w:pStyle w:val="49"/>
        <w:ind w:firstLine="400" w:firstLineChars="200"/>
        <w:rPr>
          <w:rFonts w:hint="eastAsia"/>
          <w:color w:val="auto"/>
          <w:sz w:val="20"/>
          <w:szCs w:val="20"/>
          <w:highlight w:val="none"/>
          <w:lang w:bidi="ar"/>
        </w:rPr>
      </w:pPr>
      <w:r>
        <w:rPr>
          <w:rFonts w:hint="eastAsia"/>
          <w:color w:val="auto"/>
          <w:sz w:val="20"/>
          <w:szCs w:val="20"/>
          <w:highlight w:val="none"/>
          <w:lang w:bidi="ar"/>
        </w:rPr>
        <w:t>当计算所得Si&lt;0时，取Si=0。</w:t>
      </w:r>
    </w:p>
    <w:p w14:paraId="34704EAD">
      <w:pPr>
        <w:pBdr>
          <w:top w:val="single" w:color="auto" w:sz="4" w:space="0"/>
        </w:pBd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条款号：附表一《资格审查表》                                     修改类型：修改</w:t>
      </w:r>
    </w:p>
    <w:p w14:paraId="362B6314">
      <w:pPr>
        <w:spacing w:line="360" w:lineRule="auto"/>
        <w:ind w:firstLine="404" w:firstLineChars="201"/>
        <w:rPr>
          <w:rFonts w:hint="eastAsia" w:ascii="宋体" w:hAnsi="宋体" w:cs="宋体"/>
          <w:bCs/>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bCs/>
          <w:color w:val="auto"/>
          <w:sz w:val="20"/>
          <w:szCs w:val="20"/>
          <w:highlight w:val="none"/>
        </w:rPr>
        <w:t>详见最新版广州市建设工程施工公开招标项目招标文件范本（适用于资格后审综合评分法、经评审的最低投标价法的施工电子招标项目）GZZB2018-3</w:t>
      </w:r>
    </w:p>
    <w:p w14:paraId="27F9857D">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详见本招标文件第二章附表一《资格审查表》</w:t>
      </w:r>
    </w:p>
    <w:p w14:paraId="089B935D">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条款号：附表二 《技术标有效性审查表》                            修改类型：修改</w:t>
      </w:r>
    </w:p>
    <w:p w14:paraId="1B0C956F">
      <w:pPr>
        <w:spacing w:line="360" w:lineRule="auto"/>
        <w:ind w:firstLine="404" w:firstLineChars="201"/>
        <w:rPr>
          <w:rFonts w:hint="eastAsia" w:ascii="宋体" w:hAnsi="宋体" w:cs="宋体"/>
          <w:bCs/>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bCs/>
          <w:color w:val="auto"/>
          <w:sz w:val="20"/>
          <w:szCs w:val="20"/>
          <w:highlight w:val="none"/>
        </w:rPr>
        <w:t>详见最新版广州市建设工程施工公开招标项目招标文件范本（适用于资格后审综合评分法、经评审的最低投标价法的施工电子招标项目）GZZB2018-3</w:t>
      </w:r>
    </w:p>
    <w:p w14:paraId="7E18EF95">
      <w:pPr>
        <w:pBdr>
          <w:bottom w:val="single" w:color="auto" w:sz="6" w:space="1"/>
        </w:pBdr>
        <w:spacing w:line="360" w:lineRule="auto"/>
        <w:ind w:firstLine="404" w:firstLineChars="201"/>
        <w:rPr>
          <w:rFonts w:hint="eastAsia" w:ascii="宋体" w:hAnsi="宋体" w:cs="宋体"/>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详见本招标文件第二章附表二《技术标有效性审查表》</w:t>
      </w:r>
    </w:p>
    <w:p w14:paraId="754317F1">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条款号：附表三《经济标有效性审查表》                              修改类型：修改</w:t>
      </w:r>
    </w:p>
    <w:p w14:paraId="466CB147">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bCs/>
          <w:color w:val="auto"/>
          <w:sz w:val="20"/>
          <w:szCs w:val="20"/>
          <w:highlight w:val="none"/>
        </w:rPr>
        <w:t>详见最新版广州市建设工程施工公开招标项目招标文件范本（适用于资格后审综合评分法、经评审的最低投标价法的施工电子招标项目）GZZB2018-3</w:t>
      </w:r>
    </w:p>
    <w:p w14:paraId="022DC76F">
      <w:pPr>
        <w:pBdr>
          <w:bottom w:val="single" w:color="auto" w:sz="6" w:space="1"/>
        </w:pBd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详见本招标文件第二章附表三《经济标有效性审查表》</w:t>
      </w:r>
    </w:p>
    <w:p w14:paraId="38244CB1">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 xml:space="preserve">条款号：附表四《技术标详细审查评分表》                            修改类型：修改  </w:t>
      </w:r>
    </w:p>
    <w:p w14:paraId="402BF48D">
      <w:pPr>
        <w:spacing w:line="360" w:lineRule="auto"/>
        <w:ind w:firstLine="404" w:firstLineChars="201"/>
        <w:rPr>
          <w:rFonts w:hint="eastAsia" w:ascii="宋体" w:hAnsi="宋体" w:cs="宋体"/>
          <w:bCs/>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bCs/>
          <w:color w:val="auto"/>
          <w:sz w:val="20"/>
          <w:szCs w:val="20"/>
          <w:highlight w:val="none"/>
        </w:rPr>
        <w:t>详见最新版广州市建设工程施工公开招标项目招标文件范本（适用于资格后审综合评分法、经评审的最低投标价法的施工电子招标项目）GZZB2018-3</w:t>
      </w:r>
    </w:p>
    <w:p w14:paraId="2F136E84">
      <w:pPr>
        <w:pBdr>
          <w:bottom w:val="single" w:color="auto" w:sz="6" w:space="1"/>
        </w:pBd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现文：</w:t>
      </w:r>
      <w:r>
        <w:rPr>
          <w:rFonts w:hint="eastAsia" w:ascii="宋体" w:hAnsi="宋体" w:cs="宋体"/>
          <w:color w:val="auto"/>
          <w:sz w:val="20"/>
          <w:szCs w:val="20"/>
          <w:highlight w:val="none"/>
        </w:rPr>
        <w:t>详见本招标文件第二章附表四《技术标详细审查评分表》</w:t>
      </w:r>
    </w:p>
    <w:p w14:paraId="2583A894">
      <w:pPr>
        <w:spacing w:line="360" w:lineRule="auto"/>
        <w:ind w:firstLine="404" w:firstLineChars="201"/>
        <w:rPr>
          <w:rFonts w:hint="eastAsia" w:ascii="宋体" w:hAnsi="宋体" w:cs="宋体"/>
          <w:b/>
          <w:color w:val="auto"/>
          <w:sz w:val="20"/>
          <w:szCs w:val="20"/>
          <w:highlight w:val="none"/>
        </w:rPr>
      </w:pPr>
      <w:r>
        <w:rPr>
          <w:rFonts w:hint="eastAsia" w:ascii="宋体" w:hAnsi="宋体" w:cs="宋体"/>
          <w:b/>
          <w:color w:val="auto"/>
          <w:sz w:val="20"/>
          <w:szCs w:val="20"/>
          <w:highlight w:val="none"/>
        </w:rPr>
        <w:t>条款号：附表五（适用于加权平均法）《经济标评分表》                 修改类型：删除</w:t>
      </w:r>
    </w:p>
    <w:p w14:paraId="4B41577B">
      <w:pPr>
        <w:pBdr>
          <w:bottom w:val="single" w:color="auto" w:sz="6" w:space="1"/>
        </w:pBdr>
        <w:spacing w:line="360" w:lineRule="auto"/>
        <w:ind w:firstLine="404" w:firstLineChars="201"/>
        <w:rPr>
          <w:rFonts w:ascii="宋体" w:hAnsi="宋体" w:cs="宋体"/>
          <w:bCs/>
          <w:color w:val="auto"/>
          <w:sz w:val="20"/>
          <w:szCs w:val="20"/>
          <w:highlight w:val="none"/>
        </w:rPr>
      </w:pPr>
      <w:r>
        <w:rPr>
          <w:rFonts w:hint="eastAsia" w:ascii="宋体" w:hAnsi="宋体" w:cs="宋体"/>
          <w:b/>
          <w:color w:val="auto"/>
          <w:sz w:val="20"/>
          <w:szCs w:val="20"/>
          <w:highlight w:val="none"/>
        </w:rPr>
        <w:t>原文：</w:t>
      </w:r>
      <w:r>
        <w:rPr>
          <w:rFonts w:hint="eastAsia" w:ascii="宋体" w:hAnsi="宋体" w:cs="宋体"/>
          <w:bCs/>
          <w:color w:val="auto"/>
          <w:sz w:val="20"/>
          <w:szCs w:val="20"/>
          <w:highlight w:val="none"/>
        </w:rPr>
        <w:t>详见最新版广州市建设工程施工公开招标项目招标文件范本（适用于资格后审综合评分法、经评审的最低投标价法的施工电子招标项目）GZZB2018-3</w:t>
      </w:r>
    </w:p>
    <w:p w14:paraId="321CF8AB">
      <w:pPr>
        <w:spacing w:line="360" w:lineRule="auto"/>
        <w:ind w:firstLine="402" w:firstLineChars="200"/>
        <w:rPr>
          <w:rFonts w:ascii="宋体" w:hAnsi="宋体"/>
          <w:b/>
          <w:color w:val="auto"/>
          <w:sz w:val="20"/>
          <w:szCs w:val="20"/>
          <w:highlight w:val="none"/>
        </w:rPr>
      </w:pPr>
      <w:r>
        <w:rPr>
          <w:rFonts w:hint="eastAsia" w:ascii="宋体" w:hAnsi="宋体"/>
          <w:b/>
          <w:color w:val="auto"/>
          <w:sz w:val="20"/>
          <w:szCs w:val="20"/>
          <w:highlight w:val="none"/>
        </w:rPr>
        <w:t>条款号：附表七</w:t>
      </w:r>
      <w:r>
        <w:rPr>
          <w:rFonts w:ascii="宋体" w:hAnsi="宋体"/>
          <w:b/>
          <w:color w:val="auto"/>
          <w:sz w:val="20"/>
          <w:szCs w:val="20"/>
          <w:highlight w:val="none"/>
        </w:rPr>
        <w:t xml:space="preserve">            </w:t>
      </w:r>
      <w:r>
        <w:rPr>
          <w:rFonts w:hint="eastAsia" w:ascii="宋体" w:hAnsi="宋体"/>
          <w:b/>
          <w:color w:val="auto"/>
          <w:sz w:val="20"/>
          <w:szCs w:val="20"/>
          <w:highlight w:val="none"/>
        </w:rPr>
        <w:t xml:space="preserve">                                      修改类型：增加</w:t>
      </w:r>
    </w:p>
    <w:p w14:paraId="2215AF8D">
      <w:pPr>
        <w:pBdr>
          <w:bottom w:val="single" w:color="auto" w:sz="6" w:space="1"/>
        </w:pBdr>
        <w:spacing w:line="360" w:lineRule="auto"/>
        <w:ind w:firstLine="402" w:firstLineChars="200"/>
        <w:rPr>
          <w:rFonts w:hint="eastAsia" w:ascii="宋体" w:hAnsi="宋体"/>
          <w:color w:val="auto"/>
          <w:sz w:val="20"/>
          <w:szCs w:val="20"/>
          <w:highlight w:val="none"/>
        </w:rPr>
      </w:pPr>
      <w:r>
        <w:rPr>
          <w:rFonts w:hint="eastAsia" w:ascii="宋体" w:hAnsi="宋体"/>
          <w:b/>
          <w:color w:val="auto"/>
          <w:sz w:val="20"/>
          <w:szCs w:val="20"/>
          <w:highlight w:val="none"/>
        </w:rPr>
        <w:t>现文：</w:t>
      </w:r>
      <w:r>
        <w:rPr>
          <w:rFonts w:hint="eastAsia" w:ascii="宋体" w:hAnsi="宋体"/>
          <w:color w:val="auto"/>
          <w:sz w:val="20"/>
          <w:szCs w:val="20"/>
          <w:highlight w:val="none"/>
        </w:rPr>
        <w:t>见后附</w:t>
      </w:r>
    </w:p>
    <w:p w14:paraId="290089C4">
      <w:pPr>
        <w:spacing w:line="360" w:lineRule="auto"/>
        <w:ind w:firstLine="201" w:firstLineChars="100"/>
        <w:rPr>
          <w:rFonts w:hint="eastAsia" w:ascii="宋体" w:hAnsi="宋体" w:cs="宋体"/>
          <w:b/>
          <w:color w:val="auto"/>
          <w:sz w:val="20"/>
          <w:szCs w:val="20"/>
          <w:highlight w:val="none"/>
        </w:rPr>
      </w:pPr>
      <w:r>
        <w:rPr>
          <w:rFonts w:hint="eastAsia" w:ascii="宋体" w:hAnsi="宋体" w:cs="宋体"/>
          <w:b/>
          <w:color w:val="auto"/>
          <w:sz w:val="20"/>
          <w:szCs w:val="20"/>
          <w:highlight w:val="none"/>
        </w:rPr>
        <w:t>注：以上修改，仅限于本范本中有可供选择条款的情形。</w:t>
      </w:r>
    </w:p>
    <w:p w14:paraId="2012AFCC">
      <w:pPr>
        <w:spacing w:line="360" w:lineRule="auto"/>
        <w:rPr>
          <w:rFonts w:hint="eastAsia" w:ascii="宋体" w:hAnsi="宋体" w:cs="宋体"/>
          <w:b/>
          <w:bCs/>
          <w:color w:val="auto"/>
          <w:sz w:val="20"/>
          <w:szCs w:val="20"/>
          <w:highlight w:val="none"/>
        </w:rPr>
      </w:pPr>
      <w:r>
        <w:rPr>
          <w:rFonts w:hint="eastAsia" w:ascii="宋体" w:hAnsi="宋体" w:cs="宋体"/>
          <w:b/>
          <w:color w:val="auto"/>
          <w:sz w:val="20"/>
          <w:szCs w:val="20"/>
          <w:highlight w:val="none"/>
        </w:rPr>
        <w:t>（以下无正文）</w:t>
      </w:r>
      <w:r>
        <w:rPr>
          <w:rFonts w:hint="eastAsia" w:ascii="宋体" w:hAnsi="宋体" w:cs="宋体"/>
          <w:b/>
          <w:bCs/>
          <w:color w:val="auto"/>
          <w:sz w:val="20"/>
          <w:szCs w:val="20"/>
          <w:highlight w:val="none"/>
        </w:rPr>
        <w:br w:type="page"/>
      </w:r>
    </w:p>
    <w:bookmarkEnd w:id="29"/>
    <w:p w14:paraId="04B56B5A">
      <w:pPr>
        <w:pStyle w:val="4"/>
        <w:ind w:firstLine="525"/>
        <w:rPr>
          <w:rFonts w:hint="eastAsia" w:cs="宋体"/>
          <w:color w:val="auto"/>
          <w:sz w:val="20"/>
          <w:szCs w:val="20"/>
          <w:highlight w:val="none"/>
        </w:rPr>
      </w:pPr>
      <w:bookmarkStart w:id="30" w:name="_Toc28791"/>
      <w:bookmarkStart w:id="31" w:name="_Toc100130478"/>
      <w:r>
        <w:rPr>
          <w:rFonts w:hint="eastAsia" w:cs="宋体"/>
          <w:color w:val="auto"/>
          <w:sz w:val="20"/>
          <w:szCs w:val="20"/>
          <w:highlight w:val="none"/>
        </w:rPr>
        <w:t>二、开标、评标及定标办法通用条款</w:t>
      </w:r>
      <w:bookmarkEnd w:id="30"/>
      <w:bookmarkEnd w:id="31"/>
    </w:p>
    <w:p w14:paraId="482C6430">
      <w:pPr>
        <w:pStyle w:val="5"/>
        <w:spacing w:before="156" w:after="156"/>
        <w:ind w:firstLine="400" w:firstLineChars="200"/>
        <w:rPr>
          <w:rFonts w:hint="eastAsia" w:cs="宋体"/>
          <w:color w:val="auto"/>
          <w:sz w:val="20"/>
          <w:szCs w:val="20"/>
          <w:highlight w:val="none"/>
        </w:rPr>
      </w:pPr>
      <w:bookmarkStart w:id="32" w:name="_Toc21525501"/>
      <w:bookmarkStart w:id="33" w:name="_Toc2272557"/>
      <w:r>
        <w:rPr>
          <w:rFonts w:hint="eastAsia" w:cs="宋体"/>
          <w:color w:val="auto"/>
          <w:sz w:val="20"/>
          <w:szCs w:val="20"/>
          <w:highlight w:val="none"/>
        </w:rPr>
        <w:t>（一）总则</w:t>
      </w:r>
      <w:bookmarkEnd w:id="32"/>
      <w:bookmarkEnd w:id="33"/>
    </w:p>
    <w:p w14:paraId="4489637B">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35 开标、评标及定标所依据的规则</w:t>
      </w:r>
    </w:p>
    <w:p w14:paraId="62365F49">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35.1《中华人民共和国招标投标法》；</w:t>
      </w:r>
    </w:p>
    <w:p w14:paraId="40335E65">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35.2《中华人民共和国招标投标法实施条例》；</w:t>
      </w:r>
    </w:p>
    <w:p w14:paraId="21F7F559">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35.3《评标委员会和评标方法暂行规定》（七部委第12号令）；</w:t>
      </w:r>
    </w:p>
    <w:p w14:paraId="50B48549">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35.4《工程建设项目施工招标投标办法》（七部委2003年第30号令）；</w:t>
      </w:r>
    </w:p>
    <w:p w14:paraId="565EC9CC">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35.5《广东省实施〈中华人民共和国招标投标法〉办法》；</w:t>
      </w:r>
    </w:p>
    <w:p w14:paraId="5D73D4C8">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35.6《房屋建筑和市政基础设施工程施工招标投标管理办法》（建设部令第89号）；</w:t>
      </w:r>
    </w:p>
    <w:p w14:paraId="717E98FA">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35.7《广东省加强建设工程招标投标监督管理的若干规定》（粤发〔2004〕4号）；</w:t>
      </w:r>
    </w:p>
    <w:p w14:paraId="4C351845">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35.8《广州市工程建设项目招标投标管理办法》（穗建规字〔2023〕12号）；</w:t>
      </w:r>
    </w:p>
    <w:p w14:paraId="7FFE9DAF">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35.9本项目招标文件。</w:t>
      </w:r>
    </w:p>
    <w:p w14:paraId="6C904CFF">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36．开标</w:t>
      </w:r>
    </w:p>
    <w:p w14:paraId="7FF3C4ED">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36.1 招标人按投标须知前附表第18项所规定的时间和地点公开开标，并邀请所有投标人参加。截标后，开标开始时间因故推迟的，相关评标信息仍以原定的开标开始时间的信息为准。</w:t>
      </w:r>
    </w:p>
    <w:p w14:paraId="0B0EAAF8">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36.2 招标人在招标文件要求提交投标文件的截止时间前收到的投标文件，开标时都当众予以解密、公布。</w:t>
      </w:r>
    </w:p>
    <w:p w14:paraId="4ED52E1D">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5E0B56C">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36.4若递交投标文件的投标人不足3家，则重新组织招标。</w:t>
      </w:r>
    </w:p>
    <w:p w14:paraId="2EAB6DBF">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36.5按下列程序进行开标：</w:t>
      </w:r>
    </w:p>
    <w:p w14:paraId="3999227E">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36.5.1在投标截止时间后半小时内，投标人通过</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rPr>
        <w:t>交易平台对已递交的电子投标文件进行解密。投标人完成解密后，再由招标人进行解密。解密完成后，公布招标项目名称、投标人名称、投标保证金的递交情况、投标报价、工期及其他内容；</w:t>
      </w:r>
    </w:p>
    <w:p w14:paraId="732432CF">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36.5.2备用光盘的读取按投标须知前附表第36项的规定执行；</w:t>
      </w:r>
    </w:p>
    <w:p w14:paraId="3915B4EF">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36.5.3投标人代表、招标人代表、监标人、记录人等有关人员在开标记录上签字确认；若有关人员不签字的，不影响开标程序；</w:t>
      </w:r>
    </w:p>
    <w:p w14:paraId="45AA3FA4">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36.5.4开标结束。</w:t>
      </w:r>
    </w:p>
    <w:p w14:paraId="4F88AF34">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0486566">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36.7开标时，两个（含两个）以上的投标人加密打包投标文件电脑机器特征码一致的，不参与下一程序，并由评标委员会否决其投标。</w:t>
      </w:r>
    </w:p>
    <w:p w14:paraId="343863C4">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37．评标</w:t>
      </w:r>
    </w:p>
    <w:p w14:paraId="5A7D39FE">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37.1评标委员会由招标人依法组建。</w:t>
      </w:r>
    </w:p>
    <w:p w14:paraId="679E5521">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37.2评标委员会的职责及守则：</w:t>
      </w:r>
    </w:p>
    <w:p w14:paraId="07EA52B4">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37.2.1根据评标细则，对投标文件进行认真评审，完成评审报告；</w:t>
      </w:r>
    </w:p>
    <w:p w14:paraId="0ECF620A">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37.2.2向招标人报告评审意见，推荐合格的中标候选人。</w:t>
      </w:r>
    </w:p>
    <w:p w14:paraId="245F85B3">
      <w:pPr>
        <w:spacing w:line="360" w:lineRule="auto"/>
        <w:ind w:firstLine="400" w:firstLineChars="200"/>
        <w:rPr>
          <w:rFonts w:hint="eastAsia" w:ascii="宋体" w:hAnsi="宋体" w:cs="宋体"/>
          <w:color w:val="auto"/>
          <w:sz w:val="20"/>
          <w:szCs w:val="20"/>
          <w:highlight w:val="none"/>
        </w:rPr>
      </w:pPr>
      <w:r>
        <w:rPr>
          <w:rFonts w:hint="eastAsia" w:ascii="宋体" w:hAnsi="宋体" w:cs="宋体"/>
          <w:bCs/>
          <w:color w:val="auto"/>
          <w:sz w:val="20"/>
          <w:szCs w:val="20"/>
          <w:highlight w:val="none"/>
        </w:rPr>
        <w:t>37.2.3</w:t>
      </w:r>
      <w:r>
        <w:rPr>
          <w:rFonts w:hint="eastAsia" w:ascii="宋体" w:hAnsi="宋体" w:cs="宋体"/>
          <w:b/>
          <w:bCs/>
          <w:color w:val="auto"/>
          <w:sz w:val="20"/>
          <w:szCs w:val="20"/>
          <w:highlight w:val="none"/>
        </w:rPr>
        <w:t xml:space="preserve"> </w:t>
      </w:r>
      <w:r>
        <w:rPr>
          <w:rFonts w:hint="eastAsia" w:ascii="宋体" w:hAnsi="宋体" w:cs="宋体"/>
          <w:color w:val="auto"/>
          <w:sz w:val="20"/>
          <w:szCs w:val="20"/>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76B042E2">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37.2.4全体参与评标人员：</w:t>
      </w:r>
    </w:p>
    <w:p w14:paraId="23933BBA">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37.2.4.1 必须遵守评标纪律、不得泄密；</w:t>
      </w:r>
    </w:p>
    <w:p w14:paraId="6F03A4BB">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37.2.4.2 必须公正、不得循私；</w:t>
      </w:r>
    </w:p>
    <w:p w14:paraId="2BFB0DEB">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37.2.4.3 必须科学、不得草率；</w:t>
      </w:r>
    </w:p>
    <w:p w14:paraId="67B70D59">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37.2.4.4 必须客观、不得带有成见；</w:t>
      </w:r>
    </w:p>
    <w:p w14:paraId="12500A59">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37.2.4.5 必须平等、不得强加于人；</w:t>
      </w:r>
    </w:p>
    <w:p w14:paraId="2241AFBE">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37.2.4.6 必须严谨、不得随意马虎。</w:t>
      </w:r>
    </w:p>
    <w:p w14:paraId="42352CE3">
      <w:pPr>
        <w:spacing w:line="360" w:lineRule="auto"/>
        <w:ind w:firstLine="402" w:firstLineChars="200"/>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37.3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5F7C7B48">
      <w:pPr>
        <w:spacing w:line="360" w:lineRule="auto"/>
        <w:ind w:firstLine="402" w:firstLineChars="200"/>
        <w:rPr>
          <w:rFonts w:hint="eastAsia" w:ascii="宋体" w:hAnsi="宋体" w:cs="宋体"/>
          <w:color w:val="auto"/>
          <w:sz w:val="20"/>
          <w:szCs w:val="20"/>
          <w:highlight w:val="none"/>
        </w:rPr>
      </w:pPr>
      <w:r>
        <w:rPr>
          <w:rFonts w:hint="eastAsia" w:ascii="宋体" w:hAnsi="宋体" w:cs="宋体"/>
          <w:b/>
          <w:bCs/>
          <w:color w:val="auto"/>
          <w:sz w:val="20"/>
          <w:szCs w:val="20"/>
          <w:highlight w:val="none"/>
        </w:rPr>
        <w:t>37.4</w:t>
      </w:r>
      <w:r>
        <w:rPr>
          <w:rFonts w:hint="eastAsia" w:ascii="宋体" w:hAnsi="宋体" w:cs="宋体"/>
          <w:color w:val="auto"/>
          <w:sz w:val="20"/>
          <w:szCs w:val="20"/>
          <w:highlight w:val="none"/>
        </w:rPr>
        <w:t>评标结束后，评标委员会递交评标报告并依法推荐中标候选人。</w:t>
      </w:r>
    </w:p>
    <w:p w14:paraId="3D9A063E">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38．投标文件的澄清</w:t>
      </w:r>
    </w:p>
    <w:p w14:paraId="61A50208">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5DEF5AA">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A1450F4">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38.3 评标委员会或评标委员会专业评审组成员均应当阅读投标人的澄清，但应独立参考澄清对投标文件进行评审。</w:t>
      </w:r>
    </w:p>
    <w:p w14:paraId="46ACD9EE">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461D06DA">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4FC1286A">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39．定标</w:t>
      </w:r>
    </w:p>
    <w:p w14:paraId="580FA6D6">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39.1 招标人根据评标委员会递交的评标报告，最终审定中标人。</w:t>
      </w:r>
    </w:p>
    <w:p w14:paraId="7F1D7ABF">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39.2 依法必须进行公开招标的项目，招标人应当确定排名第一的中标候选人为中标人。</w:t>
      </w:r>
    </w:p>
    <w:p w14:paraId="785475D4">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4B2E06DE">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6D85F421">
      <w:pPr>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39.5 重新评标的，评标信息（含业绩、奖项等）仍以投标截止时投标人的信息为准。因特殊原因需要延长投标有效期，投标人拒绝延长投标有效期的，仍参与评标，但不被推荐为中标候选人。</w:t>
      </w:r>
    </w:p>
    <w:p w14:paraId="0C26E447">
      <w:pPr>
        <w:widowControl/>
        <w:spacing w:before="100" w:beforeAutospacing="1" w:after="100" w:afterAutospacing="1" w:line="360" w:lineRule="auto"/>
        <w:ind w:firstLine="400" w:firstLineChars="200"/>
        <w:jc w:val="left"/>
        <w:outlineLvl w:val="2"/>
        <w:rPr>
          <w:rFonts w:hint="eastAsia" w:ascii="宋体" w:hAnsi="宋体" w:cs="宋体"/>
          <w:color w:val="auto"/>
          <w:kern w:val="0"/>
          <w:sz w:val="20"/>
          <w:szCs w:val="20"/>
          <w:highlight w:val="none"/>
        </w:rPr>
      </w:pPr>
      <w:bookmarkStart w:id="34" w:name="_Toc58838580"/>
      <w:bookmarkStart w:id="35" w:name="_Toc100130480"/>
      <w:r>
        <w:rPr>
          <w:rFonts w:hint="eastAsia" w:ascii="宋体" w:hAnsi="宋体" w:cs="宋体"/>
          <w:color w:val="auto"/>
          <w:kern w:val="0"/>
          <w:sz w:val="20"/>
          <w:szCs w:val="20"/>
          <w:highlight w:val="none"/>
        </w:rPr>
        <w:t>（二）开标评标办法程序和细则</w:t>
      </w:r>
      <w:bookmarkEnd w:id="34"/>
      <w:bookmarkEnd w:id="35"/>
    </w:p>
    <w:p w14:paraId="62CB2381">
      <w:pPr>
        <w:spacing w:line="360" w:lineRule="auto"/>
        <w:ind w:firstLine="400" w:firstLineChars="200"/>
        <w:rPr>
          <w:rFonts w:ascii="宋体" w:hAnsi="宋体"/>
          <w:color w:val="auto"/>
          <w:sz w:val="20"/>
          <w:szCs w:val="20"/>
          <w:highlight w:val="none"/>
        </w:rPr>
      </w:pPr>
      <w:bookmarkStart w:id="36" w:name="_Toc2272563"/>
      <w:bookmarkStart w:id="37" w:name="_Toc21525508"/>
      <w:r>
        <w:rPr>
          <w:rFonts w:hint="eastAsia" w:ascii="宋体" w:hAnsi="宋体"/>
          <w:color w:val="auto"/>
          <w:sz w:val="20"/>
          <w:szCs w:val="20"/>
          <w:highlight w:val="none"/>
        </w:rPr>
        <w:t>注：以下八种评标办法所述企业综合诚信评价分数即投标截止当日广州市工程招标代理行业协会网站上公布的企业综合诚信评价</w:t>
      </w:r>
      <w:r>
        <w:rPr>
          <w:rFonts w:ascii="宋体" w:hAnsi="宋体"/>
          <w:color w:val="auto"/>
          <w:sz w:val="20"/>
          <w:szCs w:val="20"/>
          <w:highlight w:val="none"/>
        </w:rPr>
        <w:t>60</w:t>
      </w:r>
      <w:r>
        <w:rPr>
          <w:rFonts w:hint="eastAsia" w:ascii="宋体" w:hAnsi="宋体"/>
          <w:color w:val="auto"/>
          <w:sz w:val="20"/>
          <w:szCs w:val="20"/>
          <w:highlight w:val="none"/>
        </w:rPr>
        <w:t>日诚信分。</w:t>
      </w:r>
    </w:p>
    <w:p w14:paraId="1EFC318A">
      <w:pPr>
        <w:pStyle w:val="5"/>
        <w:spacing w:before="156" w:after="156"/>
        <w:ind w:firstLine="400" w:firstLineChars="200"/>
        <w:rPr>
          <w:color w:val="auto"/>
          <w:sz w:val="20"/>
          <w:szCs w:val="20"/>
          <w:highlight w:val="none"/>
        </w:rPr>
      </w:pPr>
      <w:bookmarkStart w:id="38" w:name="_Toc21525509"/>
      <w:bookmarkStart w:id="39" w:name="_Toc2272564"/>
      <w:r>
        <w:rPr>
          <w:rFonts w:hint="eastAsia"/>
          <w:color w:val="auto"/>
          <w:sz w:val="20"/>
          <w:szCs w:val="20"/>
          <w:highlight w:val="none"/>
        </w:rPr>
        <w:t>可选办法六（适合综合评分法三，技术标与经济标同时开启）</w:t>
      </w:r>
    </w:p>
    <w:p w14:paraId="3BF25D06">
      <w:pPr>
        <w:pStyle w:val="48"/>
        <w:spacing w:line="360" w:lineRule="auto"/>
        <w:ind w:firstLine="400" w:firstLineChars="200"/>
        <w:rPr>
          <w:rFonts w:ascii="宋体" w:hAnsi="宋体"/>
          <w:color w:val="auto"/>
          <w:szCs w:val="20"/>
          <w:highlight w:val="none"/>
        </w:rPr>
      </w:pPr>
      <w:r>
        <w:rPr>
          <w:rFonts w:hint="eastAsia" w:ascii="宋体" w:hAnsi="宋体"/>
          <w:color w:val="auto"/>
          <w:szCs w:val="20"/>
          <w:highlight w:val="none"/>
        </w:rPr>
        <w:t>40．开标和评标程序：</w:t>
      </w:r>
    </w:p>
    <w:p w14:paraId="3BA0CC78">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40.1投标人递交技术标、经济标投标文件；</w:t>
      </w:r>
    </w:p>
    <w:p w14:paraId="1A82B1E6">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40.2技术标与经济标投标文件同时公开开标；</w:t>
      </w:r>
    </w:p>
    <w:p w14:paraId="093B4D01">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40.3由评标委员会对所有已公开开标的投标人进行资格审查；</w:t>
      </w:r>
    </w:p>
    <w:p w14:paraId="7660FA8B">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40.4技术标投标文件有效性审查；</w:t>
      </w:r>
    </w:p>
    <w:p w14:paraId="247C6AE0">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40.5技术标详细审查评分；</w:t>
      </w:r>
    </w:p>
    <w:p w14:paraId="3E5AB921">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 xml:space="preserve">40.6计算第一阶段得分，并按照总分从高到低排列先后次序，编写第一阶段评审报告； </w:t>
      </w:r>
    </w:p>
    <w:p w14:paraId="666592A2">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40.7按投标须知前附表第25项规定，确定进入第二阶段评审的投标人；</w:t>
      </w:r>
    </w:p>
    <w:p w14:paraId="35DA98DE">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40.8将进入第二阶段评审的投标人进行排序；</w:t>
      </w:r>
    </w:p>
    <w:p w14:paraId="17B1D0C4">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40.9按排序对经济标投标文件进行有效性审查（含投标报价算术校核），直至评出所有中标候选人；</w:t>
      </w:r>
    </w:p>
    <w:p w14:paraId="01E2BD88">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40.10评标委员会编写评标报告，向招标人推荐中标候选人名单。</w:t>
      </w:r>
    </w:p>
    <w:p w14:paraId="1DBB6189">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41. 开标细则</w:t>
      </w:r>
    </w:p>
    <w:p w14:paraId="37520BD1">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41.1开标由招标人主持；</w:t>
      </w:r>
    </w:p>
    <w:p w14:paraId="7FA9A48C">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41.2细则</w:t>
      </w:r>
    </w:p>
    <w:p w14:paraId="3AF8AF09">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41.2.1投标截止期前，各投标人递交投标文件（包括技术标投标文件、经济标投标文件）至</w:t>
      </w:r>
      <w:r>
        <w:rPr>
          <w:color w:val="auto"/>
          <w:sz w:val="20"/>
          <w:szCs w:val="20"/>
          <w:highlight w:val="none"/>
          <w:u w:val="single"/>
        </w:rPr>
        <w:t xml:space="preserve">        </w:t>
      </w:r>
      <w:r>
        <w:rPr>
          <w:rFonts w:hint="eastAsia" w:ascii="宋体" w:hAnsi="宋体"/>
          <w:color w:val="auto"/>
          <w:sz w:val="20"/>
          <w:szCs w:val="20"/>
          <w:highlight w:val="none"/>
        </w:rPr>
        <w:t xml:space="preserve">交易平台。有关投标文件提交的事项详见第一章投标须知。 </w:t>
      </w:r>
    </w:p>
    <w:p w14:paraId="7D745932">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6AD27D3">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 xml:space="preserve">41.3按36.5.1的规定完成解密后，公布下列内容，并予以记录，记录提交评标委员会评审： </w:t>
      </w:r>
    </w:p>
    <w:p w14:paraId="3DC4C3CA">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757E1685">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41.4招标人对开标过程进行记录，并存档备查，投标人在开标记录上签字。</w:t>
      </w:r>
    </w:p>
    <w:p w14:paraId="7D752792">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41.5 招标人将上述符合要求的投标文件，送至评标委员会进行评审。</w:t>
      </w:r>
    </w:p>
    <w:p w14:paraId="6C01109A">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 xml:space="preserve">42. </w:t>
      </w:r>
      <w:r>
        <w:rPr>
          <w:rFonts w:hint="eastAsia" w:ascii="宋体" w:hAnsi="宋体"/>
          <w:color w:val="auto"/>
          <w:sz w:val="20"/>
          <w:szCs w:val="20"/>
          <w:highlight w:val="none"/>
        </w:rPr>
        <w:t>评标细则</w:t>
      </w:r>
    </w:p>
    <w:p w14:paraId="526CBCA9">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42.1评标委员会的组成：方式</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w:t>
      </w:r>
    </w:p>
    <w:p w14:paraId="552F2A76">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方式一：评标委员会为综合评标委员会，负责评标工作。</w:t>
      </w:r>
    </w:p>
    <w:p w14:paraId="07A03DA4">
      <w:pPr>
        <w:widowControl/>
        <w:spacing w:line="360" w:lineRule="auto"/>
        <w:ind w:firstLine="400" w:firstLineChars="200"/>
        <w:jc w:val="left"/>
        <w:rPr>
          <w:rFonts w:ascii="宋体" w:hAnsi="宋体" w:cs="宋体"/>
          <w:color w:val="auto"/>
          <w:kern w:val="0"/>
          <w:sz w:val="20"/>
          <w:szCs w:val="20"/>
          <w:highlight w:val="none"/>
        </w:rPr>
      </w:pPr>
      <w:r>
        <w:rPr>
          <w:rFonts w:hint="eastAsia" w:ascii="宋体" w:hAnsi="宋体"/>
          <w:color w:val="auto"/>
          <w:sz w:val="20"/>
          <w:szCs w:val="20"/>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 w:val="20"/>
          <w:szCs w:val="20"/>
          <w:highlight w:val="none"/>
        </w:rPr>
        <w:t xml:space="preserve"> </w:t>
      </w:r>
    </w:p>
    <w:p w14:paraId="6544D57F">
      <w:pPr>
        <w:pStyle w:val="48"/>
        <w:tabs>
          <w:tab w:val="left" w:pos="7380"/>
        </w:tabs>
        <w:snapToGrid w:val="0"/>
        <w:spacing w:after="0" w:line="360" w:lineRule="auto"/>
        <w:ind w:firstLine="400" w:firstLineChars="200"/>
        <w:rPr>
          <w:rFonts w:ascii="宋体" w:hAnsi="宋体" w:eastAsia="宋体"/>
          <w:color w:val="auto"/>
          <w:szCs w:val="20"/>
          <w:highlight w:val="none"/>
        </w:rPr>
      </w:pPr>
      <w:r>
        <w:rPr>
          <w:rFonts w:hint="eastAsia" w:ascii="宋体" w:hAnsi="宋体" w:eastAsia="宋体"/>
          <w:color w:val="auto"/>
          <w:szCs w:val="20"/>
          <w:highlight w:val="none"/>
        </w:rPr>
        <w:t>42.2投标人资格审查</w:t>
      </w:r>
    </w:p>
    <w:p w14:paraId="4442655F">
      <w:pPr>
        <w:pStyle w:val="48"/>
        <w:tabs>
          <w:tab w:val="left" w:pos="7380"/>
        </w:tabs>
        <w:snapToGrid w:val="0"/>
        <w:spacing w:after="0" w:line="360" w:lineRule="auto"/>
        <w:ind w:firstLine="400" w:firstLineChars="200"/>
        <w:rPr>
          <w:rFonts w:ascii="宋体" w:hAnsi="宋体" w:eastAsia="宋体"/>
          <w:color w:val="auto"/>
          <w:szCs w:val="20"/>
          <w:highlight w:val="none"/>
        </w:rPr>
      </w:pPr>
      <w:r>
        <w:rPr>
          <w:rFonts w:hint="eastAsia" w:ascii="宋体" w:hAnsi="宋体" w:eastAsia="宋体"/>
          <w:color w:val="auto"/>
          <w:szCs w:val="20"/>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2FE9F1F8">
      <w:pPr>
        <w:pStyle w:val="48"/>
        <w:tabs>
          <w:tab w:val="left" w:pos="7380"/>
        </w:tabs>
        <w:snapToGrid w:val="0"/>
        <w:spacing w:after="0" w:line="360" w:lineRule="auto"/>
        <w:ind w:firstLine="400" w:firstLineChars="200"/>
        <w:rPr>
          <w:rFonts w:ascii="宋体" w:hAnsi="宋体" w:eastAsia="宋体"/>
          <w:color w:val="auto"/>
          <w:szCs w:val="20"/>
          <w:highlight w:val="none"/>
        </w:rPr>
      </w:pPr>
      <w:r>
        <w:rPr>
          <w:rFonts w:hint="eastAsia" w:ascii="宋体" w:hAnsi="宋体" w:eastAsia="宋体"/>
          <w:color w:val="auto"/>
          <w:szCs w:val="20"/>
          <w:highlight w:val="none"/>
        </w:rPr>
        <w:t>42.2.2汇总资格审查情况，编写资格审查报告。</w:t>
      </w:r>
    </w:p>
    <w:p w14:paraId="06DDEEB7">
      <w:pPr>
        <w:pStyle w:val="48"/>
        <w:tabs>
          <w:tab w:val="left" w:pos="7380"/>
        </w:tabs>
        <w:snapToGrid w:val="0"/>
        <w:spacing w:after="0" w:line="360" w:lineRule="auto"/>
        <w:ind w:firstLine="400" w:firstLineChars="200"/>
        <w:rPr>
          <w:rFonts w:ascii="宋体" w:hAnsi="宋体" w:eastAsia="宋体"/>
          <w:color w:val="auto"/>
          <w:szCs w:val="20"/>
          <w:highlight w:val="none"/>
        </w:rPr>
      </w:pPr>
      <w:r>
        <w:rPr>
          <w:rFonts w:hint="eastAsia" w:ascii="宋体" w:hAnsi="宋体" w:eastAsia="宋体"/>
          <w:color w:val="auto"/>
          <w:szCs w:val="20"/>
          <w:highlight w:val="none"/>
        </w:rPr>
        <w:t>42.2.3资格审查不合格的投标文件不参加下一阶段的评标，不参与评标参考价的计算。</w:t>
      </w:r>
    </w:p>
    <w:p w14:paraId="571C1944">
      <w:pPr>
        <w:pStyle w:val="48"/>
        <w:tabs>
          <w:tab w:val="left" w:pos="7380"/>
        </w:tabs>
        <w:snapToGrid w:val="0"/>
        <w:spacing w:after="0" w:line="360" w:lineRule="auto"/>
        <w:ind w:firstLine="400" w:firstLineChars="200"/>
        <w:rPr>
          <w:rFonts w:ascii="宋体" w:hAnsi="宋体" w:eastAsia="宋体"/>
          <w:color w:val="auto"/>
          <w:szCs w:val="20"/>
          <w:highlight w:val="none"/>
        </w:rPr>
      </w:pPr>
      <w:r>
        <w:rPr>
          <w:rFonts w:hint="eastAsia" w:ascii="宋体" w:hAnsi="宋体" w:eastAsia="宋体"/>
          <w:color w:val="auto"/>
          <w:szCs w:val="20"/>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E21F17D">
      <w:pPr>
        <w:pStyle w:val="48"/>
        <w:tabs>
          <w:tab w:val="left" w:pos="7380"/>
        </w:tabs>
        <w:snapToGrid w:val="0"/>
        <w:spacing w:after="0" w:line="360" w:lineRule="auto"/>
        <w:ind w:firstLine="400" w:firstLineChars="200"/>
        <w:rPr>
          <w:rFonts w:ascii="宋体" w:hAnsi="宋体" w:eastAsia="宋体"/>
          <w:color w:val="auto"/>
          <w:szCs w:val="20"/>
          <w:highlight w:val="none"/>
        </w:rPr>
      </w:pPr>
      <w:r>
        <w:rPr>
          <w:rFonts w:hint="eastAsia" w:ascii="宋体" w:hAnsi="宋体" w:eastAsia="宋体"/>
          <w:color w:val="auto"/>
          <w:szCs w:val="20"/>
          <w:highlight w:val="none"/>
        </w:rPr>
        <w:t>42.2.5资审合格后，投标人的资格发生变化而不满足投标人合格条件，在发出中标通知书前，资格问题仍未解决的，招标人将取消其中标资格。</w:t>
      </w:r>
    </w:p>
    <w:p w14:paraId="2FDAAE4D">
      <w:pPr>
        <w:widowControl/>
        <w:spacing w:line="360" w:lineRule="auto"/>
        <w:ind w:firstLine="400" w:firstLineChars="200"/>
        <w:jc w:val="left"/>
        <w:rPr>
          <w:rFonts w:ascii="宋体" w:hAnsi="宋体" w:cs="宋体"/>
          <w:color w:val="auto"/>
          <w:kern w:val="0"/>
          <w:sz w:val="20"/>
          <w:szCs w:val="20"/>
          <w:highlight w:val="none"/>
        </w:rPr>
      </w:pPr>
      <w:r>
        <w:rPr>
          <w:rFonts w:hint="eastAsia" w:ascii="宋体"/>
          <w:color w:val="auto"/>
          <w:sz w:val="20"/>
          <w:szCs w:val="20"/>
          <w:highlight w:val="none"/>
        </w:rPr>
        <w:t>42.2.6资格审查合格的投标人少于3名的（当N个标段同时招标且不允许兼中时，资格审查合格的投标人少于N+2名），则本项目招标失败。</w:t>
      </w:r>
    </w:p>
    <w:p w14:paraId="24F5BF71">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42.3 第一阶段评审</w:t>
      </w:r>
    </w:p>
    <w:p w14:paraId="2EA56EA6">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42.3</w:t>
      </w:r>
      <w:r>
        <w:rPr>
          <w:rFonts w:hint="eastAsia" w:ascii="宋体" w:hAnsi="宋体"/>
          <w:color w:val="auto"/>
          <w:sz w:val="20"/>
          <w:szCs w:val="20"/>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1700592B">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42.3.2</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详细审查评分：评标委员会按照本办法附表</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详细审查评分表》对通过技术标有效性审查的投标文件进行详细审查，评出</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得分。</w:t>
      </w:r>
    </w:p>
    <w:p w14:paraId="5747D05D">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42.3.4评标委员会按照“第一阶段得分=</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6F3FAF44">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42.3.5招标人应在《投标须知前附表》中明确选择使用施工企业总排名或相应的施工专业承包排名计分。</w:t>
      </w:r>
    </w:p>
    <w:p w14:paraId="5EB76585">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42.4</w:t>
      </w:r>
      <w:r>
        <w:rPr>
          <w:rFonts w:hint="eastAsia" w:ascii="宋体" w:hAnsi="宋体"/>
          <w:color w:val="auto"/>
          <w:sz w:val="20"/>
          <w:szCs w:val="20"/>
          <w:highlight w:val="none"/>
        </w:rPr>
        <w:t xml:space="preserve"> 第二阶段评审</w:t>
      </w:r>
    </w:p>
    <w:p w14:paraId="755DADDF">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42.4.1</w:t>
      </w:r>
      <w:r>
        <w:rPr>
          <w:rFonts w:hint="eastAsia" w:ascii="宋体" w:hAnsi="宋体"/>
          <w:color w:val="auto"/>
          <w:sz w:val="20"/>
          <w:szCs w:val="20"/>
          <w:highlight w:val="none"/>
        </w:rPr>
        <w:t>按照投标须知前附表第25项规定，确定进入第二阶段评审的投标人。若在进入第二阶段的最后名次发生并列的，则所有并列的投标人均进入第二阶段。</w:t>
      </w:r>
    </w:p>
    <w:p w14:paraId="1B4978CB">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42.4.2若进入第二阶段投标人中所有投标报价均大于等于最高投标限价*D%（D的取值范围为[94,100],由招标人自主确定）的（具体金额为：</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元），则本项目招标失败，由招标人依法重新招标。</w:t>
      </w:r>
    </w:p>
    <w:p w14:paraId="124A06C1">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42.4.3投标文件经济标的评分</w:t>
      </w:r>
    </w:p>
    <w:p w14:paraId="473EC422">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42.4.3.1按方法</w:t>
      </w:r>
      <w:r>
        <w:rPr>
          <w:rFonts w:hint="eastAsia" w:ascii="宋体" w:hAnsi="宋体"/>
          <w:color w:val="auto"/>
          <w:sz w:val="20"/>
          <w:szCs w:val="20"/>
          <w:highlight w:val="none"/>
          <w:u w:val="single"/>
        </w:rPr>
        <w:t xml:space="preserve">    </w:t>
      </w:r>
      <w:r>
        <w:rPr>
          <w:rFonts w:hint="eastAsia" w:ascii="宋体" w:hAnsi="宋体"/>
          <w:color w:val="auto"/>
          <w:sz w:val="20"/>
          <w:szCs w:val="20"/>
          <w:highlight w:val="none"/>
        </w:rPr>
        <w:t>计算评标参考价：</w:t>
      </w:r>
    </w:p>
    <w:p w14:paraId="6249F019">
      <w:pPr>
        <w:widowControl/>
        <w:spacing w:line="360" w:lineRule="auto"/>
        <w:ind w:firstLine="402" w:firstLineChars="200"/>
        <w:rPr>
          <w:rFonts w:ascii="宋体" w:hAnsi="宋体"/>
          <w:b/>
          <w:bCs/>
          <w:color w:val="auto"/>
          <w:kern w:val="0"/>
          <w:sz w:val="20"/>
          <w:szCs w:val="20"/>
          <w:highlight w:val="none"/>
        </w:rPr>
      </w:pPr>
      <w:r>
        <w:rPr>
          <w:rFonts w:hint="eastAsia" w:ascii="宋体" w:hAnsi="宋体" w:cs="仿宋"/>
          <w:b/>
          <w:bCs/>
          <w:color w:val="auto"/>
          <w:kern w:val="0"/>
          <w:sz w:val="20"/>
          <w:szCs w:val="20"/>
          <w:highlight w:val="none"/>
        </w:rPr>
        <w:t>方法一：加权平均法</w:t>
      </w:r>
    </w:p>
    <w:p w14:paraId="637516BD">
      <w:pPr>
        <w:spacing w:line="360" w:lineRule="auto"/>
        <w:ind w:firstLine="400" w:firstLineChars="200"/>
        <w:rPr>
          <w:rFonts w:ascii="宋体" w:hAnsi="宋体" w:cs="仿宋"/>
          <w:color w:val="auto"/>
          <w:sz w:val="20"/>
          <w:szCs w:val="20"/>
          <w:highlight w:val="none"/>
        </w:rPr>
      </w:pPr>
      <w:r>
        <w:rPr>
          <w:rFonts w:hint="eastAsia" w:ascii="宋体" w:hAnsi="宋体" w:cs="仿宋"/>
          <w:color w:val="auto"/>
          <w:sz w:val="20"/>
          <w:szCs w:val="20"/>
          <w:highlight w:val="none"/>
        </w:rPr>
        <w:t>技术标或技术标加诚信得分或第一阶段入围得分（具体由招标人自定）前</w:t>
      </w:r>
      <w:r>
        <w:rPr>
          <w:rFonts w:ascii="宋体" w:hAnsi="宋体" w:cs="仿宋"/>
          <w:color w:val="auto"/>
          <w:sz w:val="20"/>
          <w:szCs w:val="20"/>
          <w:highlight w:val="none"/>
        </w:rPr>
        <w:t>N</w:t>
      </w:r>
      <w:r>
        <w:rPr>
          <w:rFonts w:hint="eastAsia" w:ascii="宋体" w:hAnsi="宋体" w:cs="仿宋"/>
          <w:color w:val="auto"/>
          <w:sz w:val="20"/>
          <w:szCs w:val="20"/>
          <w:highlight w:val="none"/>
        </w:rPr>
        <w:t>名（N≥5，具体由招标人自定）的经济报价加权平均，计算评标参考价。公式如下：</w:t>
      </w:r>
    </w:p>
    <w:p w14:paraId="2C4B6D8E">
      <w:pPr>
        <w:spacing w:line="360" w:lineRule="auto"/>
        <w:ind w:firstLine="400" w:firstLineChars="200"/>
        <w:rPr>
          <w:rFonts w:ascii="宋体" w:hAnsi="宋体" w:cs="仿宋"/>
          <w:color w:val="auto"/>
          <w:sz w:val="20"/>
          <w:szCs w:val="20"/>
          <w:highlight w:val="none"/>
        </w:rPr>
      </w:pPr>
      <w:r>
        <w:rPr>
          <w:rFonts w:hint="eastAsia" w:ascii="宋体" w:hAnsi="宋体" w:cs="仿宋"/>
          <w:color w:val="auto"/>
          <w:sz w:val="20"/>
          <w:szCs w:val="20"/>
          <w:highlight w:val="none"/>
        </w:rPr>
        <w:t>评标参考价</w:t>
      </w:r>
      <w:r>
        <w:rPr>
          <w:rFonts w:ascii="宋体" w:hAnsi="宋体" w:cs="仿宋"/>
          <w:color w:val="auto"/>
          <w:sz w:val="20"/>
          <w:szCs w:val="20"/>
          <w:highlight w:val="none"/>
        </w:rPr>
        <w:t>=</w:t>
      </w:r>
      <w:r>
        <w:rPr>
          <w:rFonts w:hint="eastAsia" w:ascii="宋体" w:hAnsi="宋体" w:cs="仿宋"/>
          <w:color w:val="auto"/>
          <w:sz w:val="20"/>
          <w:szCs w:val="20"/>
          <w:highlight w:val="none"/>
        </w:rPr>
        <w:t>Σ（投标人的投标报价</w:t>
      </w:r>
      <w:r>
        <w:rPr>
          <w:rFonts w:ascii="宋体" w:hAnsi="宋体" w:cs="仿宋"/>
          <w:color w:val="auto"/>
          <w:sz w:val="20"/>
          <w:szCs w:val="20"/>
          <w:highlight w:val="none"/>
        </w:rPr>
        <w:t>*</w:t>
      </w:r>
      <w:r>
        <w:rPr>
          <w:rFonts w:hint="eastAsia" w:ascii="宋体" w:hAnsi="宋体" w:cs="仿宋"/>
          <w:color w:val="auto"/>
          <w:sz w:val="20"/>
          <w:szCs w:val="20"/>
          <w:highlight w:val="none"/>
        </w:rPr>
        <w:t>报价权重）。</w:t>
      </w:r>
    </w:p>
    <w:p w14:paraId="4E69407E">
      <w:pPr>
        <w:spacing w:line="360" w:lineRule="auto"/>
        <w:ind w:firstLine="400" w:firstLineChars="200"/>
        <w:rPr>
          <w:rFonts w:ascii="宋体" w:hAnsi="宋体" w:cs="仿宋"/>
          <w:color w:val="auto"/>
          <w:sz w:val="20"/>
          <w:szCs w:val="20"/>
          <w:highlight w:val="none"/>
        </w:rPr>
      </w:pPr>
      <w:r>
        <w:rPr>
          <w:rFonts w:hint="eastAsia" w:ascii="宋体" w:hAnsi="宋体" w:cs="仿宋"/>
          <w:color w:val="auto"/>
          <w:sz w:val="20"/>
          <w:szCs w:val="20"/>
          <w:highlight w:val="none"/>
        </w:rPr>
        <w:t>其中：报价权重的计算方法为：将</w:t>
      </w:r>
      <w:r>
        <w:rPr>
          <w:rFonts w:ascii="宋体" w:hAnsi="宋体" w:cs="仿宋"/>
          <w:color w:val="auto"/>
          <w:sz w:val="20"/>
          <w:szCs w:val="20"/>
          <w:highlight w:val="none"/>
        </w:rPr>
        <w:t>N</w:t>
      </w:r>
      <w:r>
        <w:rPr>
          <w:rFonts w:hint="eastAsia" w:ascii="宋体" w:hAnsi="宋体" w:cs="仿宋"/>
          <w:color w:val="auto"/>
          <w:sz w:val="20"/>
          <w:szCs w:val="20"/>
          <w:highlight w:val="none"/>
        </w:rPr>
        <w:t>名投标人按技术分由高至低进行排序，第一名投标人的权重为（</w:t>
      </w:r>
      <w:r>
        <w:rPr>
          <w:rFonts w:ascii="宋体" w:hAnsi="宋体" w:cs="仿宋"/>
          <w:color w:val="auto"/>
          <w:sz w:val="20"/>
          <w:szCs w:val="20"/>
          <w:highlight w:val="none"/>
        </w:rPr>
        <w:fldChar w:fldCharType="begin"/>
      </w:r>
      <w:r>
        <w:rPr>
          <w:rFonts w:ascii="宋体" w:hAnsi="宋体" w:cs="仿宋"/>
          <w:color w:val="auto"/>
          <w:sz w:val="20"/>
          <w:szCs w:val="20"/>
          <w:highlight w:val="none"/>
        </w:rPr>
        <w:instrText xml:space="preserve"> QUOTE </w:instrText>
      </w:r>
      <w:r>
        <w:rPr>
          <w:rFonts w:ascii="宋体" w:hAnsi="宋体"/>
          <w:color w:val="auto"/>
          <w:sz w:val="20"/>
          <w:szCs w:val="20"/>
          <w:highlight w:val="none"/>
        </w:rPr>
        <w:drawing>
          <wp:inline distT="0" distB="0" distL="114300" distR="114300">
            <wp:extent cx="381000" cy="440055"/>
            <wp:effectExtent l="0" t="0" r="0" b="762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381000" cy="440055"/>
                    </a:xfrm>
                    <a:prstGeom prst="rect">
                      <a:avLst/>
                    </a:prstGeom>
                    <a:noFill/>
                    <a:ln>
                      <a:noFill/>
                    </a:ln>
                  </pic:spPr>
                </pic:pic>
              </a:graphicData>
            </a:graphic>
          </wp:inline>
        </w:drawing>
      </w:r>
      <w:r>
        <w:rPr>
          <w:rFonts w:ascii="宋体" w:hAnsi="宋体" w:cs="仿宋"/>
          <w:color w:val="auto"/>
          <w:sz w:val="20"/>
          <w:szCs w:val="20"/>
          <w:highlight w:val="none"/>
        </w:rPr>
        <w:fldChar w:fldCharType="separate"/>
      </w:r>
      <w:r>
        <w:rPr>
          <w:rFonts w:ascii="宋体" w:hAnsi="宋体"/>
          <w:color w:val="auto"/>
          <w:sz w:val="20"/>
          <w:szCs w:val="20"/>
          <w:highlight w:val="none"/>
        </w:rPr>
        <w:drawing>
          <wp:inline distT="0" distB="0" distL="114300" distR="114300">
            <wp:extent cx="381000" cy="440055"/>
            <wp:effectExtent l="0" t="0" r="0" b="762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381000" cy="440055"/>
                    </a:xfrm>
                    <a:prstGeom prst="rect">
                      <a:avLst/>
                    </a:prstGeom>
                    <a:noFill/>
                    <a:ln>
                      <a:noFill/>
                    </a:ln>
                  </pic:spPr>
                </pic:pic>
              </a:graphicData>
            </a:graphic>
          </wp:inline>
        </w:drawing>
      </w:r>
      <w:r>
        <w:rPr>
          <w:rFonts w:ascii="宋体" w:hAnsi="宋体" w:cs="仿宋"/>
          <w:color w:val="auto"/>
          <w:sz w:val="20"/>
          <w:szCs w:val="20"/>
          <w:highlight w:val="none"/>
        </w:rPr>
        <w:fldChar w:fldCharType="end"/>
      </w:r>
      <w:r>
        <w:rPr>
          <w:rFonts w:hint="eastAsia" w:ascii="宋体" w:hAnsi="宋体" w:cs="仿宋"/>
          <w:color w:val="auto"/>
          <w:sz w:val="20"/>
          <w:szCs w:val="20"/>
          <w:highlight w:val="none"/>
        </w:rPr>
        <w:t>），第二名投标人的权重为（</w:t>
      </w:r>
      <w:r>
        <w:rPr>
          <w:rFonts w:ascii="宋体" w:hAnsi="宋体" w:cs="仿宋"/>
          <w:color w:val="auto"/>
          <w:sz w:val="20"/>
          <w:szCs w:val="20"/>
          <w:highlight w:val="none"/>
        </w:rPr>
        <w:fldChar w:fldCharType="begin"/>
      </w:r>
      <w:r>
        <w:rPr>
          <w:rFonts w:ascii="宋体" w:hAnsi="宋体" w:cs="仿宋"/>
          <w:color w:val="auto"/>
          <w:sz w:val="20"/>
          <w:szCs w:val="20"/>
          <w:highlight w:val="none"/>
        </w:rPr>
        <w:instrText xml:space="preserve"> QUOTE </w:instrText>
      </w:r>
      <w:r>
        <w:rPr>
          <w:rFonts w:ascii="宋体" w:hAnsi="宋体"/>
          <w:color w:val="auto"/>
          <w:position w:val="-23"/>
          <w:sz w:val="20"/>
          <w:szCs w:val="20"/>
          <w:highlight w:val="none"/>
        </w:rPr>
        <w:drawing>
          <wp:inline distT="0" distB="0" distL="114300" distR="114300">
            <wp:extent cx="330200" cy="398145"/>
            <wp:effectExtent l="0" t="0" r="3175" b="190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30200" cy="398145"/>
                    </a:xfrm>
                    <a:prstGeom prst="rect">
                      <a:avLst/>
                    </a:prstGeom>
                    <a:noFill/>
                    <a:ln>
                      <a:noFill/>
                    </a:ln>
                  </pic:spPr>
                </pic:pic>
              </a:graphicData>
            </a:graphic>
          </wp:inline>
        </w:drawing>
      </w:r>
      <w:r>
        <w:rPr>
          <w:rFonts w:ascii="宋体" w:hAnsi="宋体" w:cs="仿宋"/>
          <w:color w:val="auto"/>
          <w:sz w:val="20"/>
          <w:szCs w:val="20"/>
          <w:highlight w:val="none"/>
        </w:rPr>
        <w:fldChar w:fldCharType="separate"/>
      </w:r>
      <w:r>
        <w:rPr>
          <w:rFonts w:ascii="宋体" w:hAnsi="宋体"/>
          <w:color w:val="auto"/>
          <w:position w:val="-23"/>
          <w:sz w:val="20"/>
          <w:szCs w:val="20"/>
          <w:highlight w:val="none"/>
        </w:rPr>
        <w:drawing>
          <wp:inline distT="0" distB="0" distL="114300" distR="114300">
            <wp:extent cx="330200" cy="398145"/>
            <wp:effectExtent l="0" t="0" r="3175" b="1905"/>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30200" cy="398145"/>
                    </a:xfrm>
                    <a:prstGeom prst="rect">
                      <a:avLst/>
                    </a:prstGeom>
                    <a:noFill/>
                    <a:ln>
                      <a:noFill/>
                    </a:ln>
                  </pic:spPr>
                </pic:pic>
              </a:graphicData>
            </a:graphic>
          </wp:inline>
        </w:drawing>
      </w:r>
      <w:r>
        <w:rPr>
          <w:rFonts w:ascii="宋体" w:hAnsi="宋体" w:cs="仿宋"/>
          <w:color w:val="auto"/>
          <w:sz w:val="20"/>
          <w:szCs w:val="20"/>
          <w:highlight w:val="none"/>
        </w:rPr>
        <w:fldChar w:fldCharType="end"/>
      </w:r>
      <w:r>
        <w:rPr>
          <w:rFonts w:hint="eastAsia" w:ascii="宋体" w:hAnsi="宋体" w:cs="仿宋"/>
          <w:color w:val="auto"/>
          <w:sz w:val="20"/>
          <w:szCs w:val="20"/>
          <w:highlight w:val="none"/>
        </w:rPr>
        <w:t>），以此类推，最后一名投标人的权重为（</w:t>
      </w:r>
      <w:r>
        <w:rPr>
          <w:rFonts w:ascii="宋体" w:hAnsi="宋体" w:cs="仿宋"/>
          <w:color w:val="auto"/>
          <w:sz w:val="20"/>
          <w:szCs w:val="20"/>
          <w:highlight w:val="none"/>
        </w:rPr>
        <w:fldChar w:fldCharType="begin"/>
      </w:r>
      <w:r>
        <w:rPr>
          <w:rFonts w:ascii="宋体" w:hAnsi="宋体" w:cs="仿宋"/>
          <w:color w:val="auto"/>
          <w:sz w:val="20"/>
          <w:szCs w:val="20"/>
          <w:highlight w:val="none"/>
        </w:rPr>
        <w:instrText xml:space="preserve"> QUOTE </w:instrText>
      </w:r>
      <w:r>
        <w:rPr>
          <w:rFonts w:ascii="宋体" w:hAnsi="宋体"/>
          <w:color w:val="auto"/>
          <w:position w:val="-23"/>
          <w:sz w:val="20"/>
          <w:szCs w:val="20"/>
          <w:highlight w:val="none"/>
        </w:rPr>
        <w:drawing>
          <wp:inline distT="0" distB="0" distL="114300" distR="114300">
            <wp:extent cx="330200" cy="398145"/>
            <wp:effectExtent l="0" t="0" r="3175" b="1905"/>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30200" cy="398145"/>
                    </a:xfrm>
                    <a:prstGeom prst="rect">
                      <a:avLst/>
                    </a:prstGeom>
                    <a:noFill/>
                    <a:ln>
                      <a:noFill/>
                    </a:ln>
                  </pic:spPr>
                </pic:pic>
              </a:graphicData>
            </a:graphic>
          </wp:inline>
        </w:drawing>
      </w:r>
      <w:r>
        <w:rPr>
          <w:rFonts w:ascii="宋体" w:hAnsi="宋体" w:cs="仿宋"/>
          <w:color w:val="auto"/>
          <w:sz w:val="20"/>
          <w:szCs w:val="20"/>
          <w:highlight w:val="none"/>
        </w:rPr>
        <w:fldChar w:fldCharType="separate"/>
      </w:r>
      <w:r>
        <w:rPr>
          <w:rFonts w:ascii="宋体" w:hAnsi="宋体"/>
          <w:color w:val="auto"/>
          <w:position w:val="-23"/>
          <w:sz w:val="20"/>
          <w:szCs w:val="20"/>
          <w:highlight w:val="none"/>
        </w:rPr>
        <w:drawing>
          <wp:inline distT="0" distB="0" distL="114300" distR="114300">
            <wp:extent cx="330200" cy="398145"/>
            <wp:effectExtent l="0" t="0" r="3175" b="190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30200" cy="398145"/>
                    </a:xfrm>
                    <a:prstGeom prst="rect">
                      <a:avLst/>
                    </a:prstGeom>
                    <a:noFill/>
                    <a:ln>
                      <a:noFill/>
                    </a:ln>
                  </pic:spPr>
                </pic:pic>
              </a:graphicData>
            </a:graphic>
          </wp:inline>
        </w:drawing>
      </w:r>
      <w:r>
        <w:rPr>
          <w:rFonts w:ascii="宋体" w:hAnsi="宋体" w:cs="仿宋"/>
          <w:color w:val="auto"/>
          <w:sz w:val="20"/>
          <w:szCs w:val="20"/>
          <w:highlight w:val="none"/>
        </w:rPr>
        <w:fldChar w:fldCharType="end"/>
      </w:r>
      <w:r>
        <w:rPr>
          <w:rFonts w:hint="eastAsia" w:ascii="宋体" w:hAnsi="宋体" w:cs="仿宋"/>
          <w:color w:val="auto"/>
          <w:sz w:val="20"/>
          <w:szCs w:val="20"/>
          <w:highlight w:val="none"/>
        </w:rPr>
        <w:t>）。</w:t>
      </w:r>
    </w:p>
    <w:p w14:paraId="4767E63A">
      <w:pPr>
        <w:widowControl/>
        <w:spacing w:line="360" w:lineRule="auto"/>
        <w:ind w:firstLine="402" w:firstLineChars="200"/>
        <w:rPr>
          <w:rFonts w:ascii="宋体" w:hAnsi="宋体"/>
          <w:b/>
          <w:bCs/>
          <w:color w:val="auto"/>
          <w:kern w:val="0"/>
          <w:sz w:val="20"/>
          <w:szCs w:val="20"/>
          <w:highlight w:val="none"/>
        </w:rPr>
      </w:pPr>
      <w:r>
        <w:rPr>
          <w:rFonts w:hint="eastAsia" w:ascii="宋体" w:hAnsi="宋体" w:cs="仿宋"/>
          <w:b/>
          <w:bCs/>
          <w:color w:val="auto"/>
          <w:kern w:val="0"/>
          <w:sz w:val="20"/>
          <w:szCs w:val="20"/>
          <w:highlight w:val="none"/>
        </w:rPr>
        <w:t>方法二：区间抽取法</w:t>
      </w:r>
    </w:p>
    <w:p w14:paraId="4E81FFA1">
      <w:pPr>
        <w:widowControl/>
        <w:snapToGrid w:val="0"/>
        <w:spacing w:line="360" w:lineRule="auto"/>
        <w:ind w:firstLine="400" w:firstLineChars="200"/>
        <w:rPr>
          <w:rFonts w:ascii="宋体" w:hAnsi="宋体"/>
          <w:color w:val="auto"/>
          <w:kern w:val="0"/>
          <w:sz w:val="20"/>
          <w:szCs w:val="20"/>
          <w:highlight w:val="none"/>
        </w:rPr>
      </w:pPr>
      <w:r>
        <w:rPr>
          <w:rFonts w:hint="eastAsia" w:ascii="宋体" w:hAnsi="宋体" w:cs="仿宋"/>
          <w:color w:val="auto"/>
          <w:sz w:val="20"/>
          <w:szCs w:val="20"/>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EE8E350">
      <w:pPr>
        <w:widowControl/>
        <w:snapToGrid w:val="0"/>
        <w:spacing w:line="360" w:lineRule="auto"/>
        <w:ind w:firstLine="400" w:firstLineChars="200"/>
        <w:rPr>
          <w:rFonts w:ascii="宋体" w:hAnsi="宋体"/>
          <w:color w:val="auto"/>
          <w:kern w:val="0"/>
          <w:sz w:val="20"/>
          <w:szCs w:val="20"/>
          <w:highlight w:val="none"/>
          <w:vertAlign w:val="subscript"/>
        </w:rPr>
      </w:pPr>
      <w:r>
        <w:rPr>
          <w:rFonts w:hint="eastAsia" w:ascii="宋体" w:hAnsi="宋体" w:cs="仿宋"/>
          <w:color w:val="auto"/>
          <w:kern w:val="0"/>
          <w:sz w:val="20"/>
          <w:szCs w:val="20"/>
          <w:highlight w:val="none"/>
        </w:rPr>
        <w:t>评标参考价</w:t>
      </w:r>
      <w:r>
        <w:rPr>
          <w:rFonts w:ascii="宋体" w:hAnsi="宋体" w:cs="仿宋"/>
          <w:color w:val="auto"/>
          <w:kern w:val="0"/>
          <w:sz w:val="20"/>
          <w:szCs w:val="20"/>
          <w:highlight w:val="none"/>
        </w:rPr>
        <w:t>=</w:t>
      </w:r>
      <w:r>
        <w:rPr>
          <w:rFonts w:hint="eastAsia" w:ascii="宋体" w:hAnsi="宋体" w:cs="仿宋"/>
          <w:color w:val="auto"/>
          <w:kern w:val="0"/>
          <w:sz w:val="20"/>
          <w:szCs w:val="20"/>
          <w:highlight w:val="none"/>
        </w:rPr>
        <w:t>（</w:t>
      </w:r>
      <w:r>
        <w:rPr>
          <w:rFonts w:ascii="宋体" w:hAnsi="宋体" w:cs="仿宋"/>
          <w:color w:val="auto"/>
          <w:kern w:val="0"/>
          <w:sz w:val="20"/>
          <w:szCs w:val="20"/>
          <w:highlight w:val="none"/>
        </w:rPr>
        <w:t>Q</w:t>
      </w:r>
      <w:r>
        <w:rPr>
          <w:rFonts w:hint="eastAsia" w:ascii="宋体" w:hAnsi="宋体" w:cs="仿宋"/>
          <w:color w:val="auto"/>
          <w:kern w:val="0"/>
          <w:sz w:val="20"/>
          <w:szCs w:val="20"/>
          <w:highlight w:val="none"/>
          <w:vertAlign w:val="subscript"/>
        </w:rPr>
        <w:t>高</w:t>
      </w:r>
      <w:r>
        <w:rPr>
          <w:rFonts w:ascii="宋体" w:hAnsi="宋体" w:cs="仿宋"/>
          <w:color w:val="auto"/>
          <w:kern w:val="0"/>
          <w:sz w:val="20"/>
          <w:szCs w:val="20"/>
          <w:highlight w:val="none"/>
        </w:rPr>
        <w:t>-Q</w:t>
      </w:r>
      <w:r>
        <w:rPr>
          <w:rFonts w:hint="eastAsia" w:ascii="宋体" w:hAnsi="宋体" w:cs="仿宋"/>
          <w:color w:val="auto"/>
          <w:kern w:val="0"/>
          <w:sz w:val="20"/>
          <w:szCs w:val="20"/>
          <w:highlight w:val="none"/>
          <w:vertAlign w:val="subscript"/>
        </w:rPr>
        <w:t>低</w:t>
      </w:r>
      <w:r>
        <w:rPr>
          <w:rFonts w:hint="eastAsia" w:ascii="宋体" w:hAnsi="宋体" w:cs="仿宋"/>
          <w:color w:val="auto"/>
          <w:kern w:val="0"/>
          <w:sz w:val="20"/>
          <w:szCs w:val="20"/>
          <w:highlight w:val="none"/>
        </w:rPr>
        <w:t>）</w:t>
      </w:r>
      <w:r>
        <w:rPr>
          <w:rFonts w:ascii="宋体" w:hAnsi="宋体" w:cs="仿宋"/>
          <w:color w:val="auto"/>
          <w:kern w:val="0"/>
          <w:sz w:val="20"/>
          <w:szCs w:val="20"/>
          <w:highlight w:val="none"/>
        </w:rPr>
        <w:t>/100*</w:t>
      </w:r>
      <w:r>
        <w:rPr>
          <w:rFonts w:hint="eastAsia" w:ascii="宋体" w:hAnsi="宋体" w:cs="仿宋"/>
          <w:color w:val="auto"/>
          <w:kern w:val="0"/>
          <w:sz w:val="20"/>
          <w:szCs w:val="20"/>
          <w:highlight w:val="none"/>
        </w:rPr>
        <w:t>Ｘ</w:t>
      </w:r>
      <w:r>
        <w:rPr>
          <w:rFonts w:ascii="宋体" w:hAnsi="宋体" w:cs="仿宋"/>
          <w:color w:val="auto"/>
          <w:kern w:val="0"/>
          <w:sz w:val="20"/>
          <w:szCs w:val="20"/>
          <w:highlight w:val="none"/>
        </w:rPr>
        <w:t>+Q</w:t>
      </w:r>
      <w:r>
        <w:rPr>
          <w:rFonts w:hint="eastAsia" w:ascii="宋体" w:hAnsi="宋体" w:cs="仿宋"/>
          <w:color w:val="auto"/>
          <w:kern w:val="0"/>
          <w:sz w:val="20"/>
          <w:szCs w:val="20"/>
          <w:highlight w:val="none"/>
          <w:vertAlign w:val="subscript"/>
        </w:rPr>
        <w:t>低</w:t>
      </w:r>
    </w:p>
    <w:p w14:paraId="3C2055C6">
      <w:pPr>
        <w:widowControl/>
        <w:snapToGrid w:val="0"/>
        <w:spacing w:line="360" w:lineRule="auto"/>
        <w:ind w:firstLine="400" w:firstLineChars="200"/>
        <w:rPr>
          <w:rFonts w:ascii="宋体" w:hAnsi="宋体"/>
          <w:color w:val="auto"/>
          <w:sz w:val="20"/>
          <w:szCs w:val="20"/>
          <w:highlight w:val="none"/>
        </w:rPr>
      </w:pPr>
      <w:r>
        <w:rPr>
          <w:rFonts w:ascii="宋体" w:hAnsi="宋体" w:cs="仿宋"/>
          <w:color w:val="auto"/>
          <w:sz w:val="20"/>
          <w:szCs w:val="20"/>
          <w:highlight w:val="none"/>
        </w:rPr>
        <w:t>Q</w:t>
      </w:r>
      <w:r>
        <w:rPr>
          <w:rFonts w:hint="eastAsia" w:ascii="宋体" w:hAnsi="宋体" w:cs="仿宋"/>
          <w:color w:val="auto"/>
          <w:sz w:val="20"/>
          <w:szCs w:val="20"/>
          <w:highlight w:val="none"/>
          <w:vertAlign w:val="subscript"/>
        </w:rPr>
        <w:t>低</w:t>
      </w:r>
      <w:r>
        <w:rPr>
          <w:rFonts w:hint="eastAsia" w:ascii="宋体" w:hAnsi="宋体" w:cs="仿宋"/>
          <w:color w:val="auto"/>
          <w:sz w:val="20"/>
          <w:szCs w:val="20"/>
          <w:highlight w:val="none"/>
        </w:rPr>
        <w:t>：为达到或超过技术标及格分数线的投标人最低报价与工程成本警示价两者中的较高值；</w:t>
      </w:r>
    </w:p>
    <w:p w14:paraId="03D9A89D">
      <w:pPr>
        <w:spacing w:line="360" w:lineRule="auto"/>
        <w:ind w:firstLine="400" w:firstLineChars="200"/>
        <w:rPr>
          <w:rFonts w:ascii="宋体" w:hAnsi="宋体" w:cs="仿宋"/>
          <w:color w:val="auto"/>
          <w:sz w:val="20"/>
          <w:szCs w:val="20"/>
          <w:highlight w:val="none"/>
        </w:rPr>
      </w:pPr>
      <w:r>
        <w:rPr>
          <w:rFonts w:ascii="宋体" w:hAnsi="宋体" w:cs="仿宋"/>
          <w:color w:val="auto"/>
          <w:kern w:val="0"/>
          <w:sz w:val="20"/>
          <w:szCs w:val="20"/>
          <w:highlight w:val="none"/>
        </w:rPr>
        <w:t>Q</w:t>
      </w:r>
      <w:r>
        <w:rPr>
          <w:rFonts w:hint="eastAsia" w:ascii="宋体" w:hAnsi="宋体" w:cs="仿宋"/>
          <w:color w:val="auto"/>
          <w:kern w:val="0"/>
          <w:sz w:val="20"/>
          <w:szCs w:val="20"/>
          <w:highlight w:val="none"/>
          <w:vertAlign w:val="subscript"/>
        </w:rPr>
        <w:t>高</w:t>
      </w:r>
      <w:r>
        <w:rPr>
          <w:rFonts w:hint="eastAsia" w:ascii="宋体" w:hAnsi="宋体" w:cs="仿宋"/>
          <w:color w:val="auto"/>
          <w:sz w:val="20"/>
          <w:szCs w:val="20"/>
          <w:highlight w:val="none"/>
        </w:rPr>
        <w:t>：为（最高投标限价</w:t>
      </w:r>
      <w:r>
        <w:rPr>
          <w:rFonts w:ascii="宋体" w:hAnsi="宋体" w:cs="仿宋"/>
          <w:color w:val="auto"/>
          <w:sz w:val="20"/>
          <w:szCs w:val="20"/>
          <w:highlight w:val="none"/>
        </w:rPr>
        <w:t>*D%</w:t>
      </w:r>
      <w:r>
        <w:rPr>
          <w:rFonts w:hint="eastAsia" w:ascii="宋体" w:hAnsi="宋体" w:cs="仿宋"/>
          <w:color w:val="auto"/>
          <w:sz w:val="20"/>
          <w:szCs w:val="20"/>
          <w:highlight w:val="none"/>
        </w:rPr>
        <w:t>）（</w:t>
      </w:r>
      <w:r>
        <w:rPr>
          <w:rFonts w:ascii="宋体" w:hAnsi="宋体" w:cs="仿宋"/>
          <w:color w:val="auto"/>
          <w:sz w:val="20"/>
          <w:szCs w:val="20"/>
          <w:highlight w:val="none"/>
        </w:rPr>
        <w:t>D</w:t>
      </w:r>
      <w:r>
        <w:rPr>
          <w:rFonts w:hint="eastAsia" w:ascii="宋体" w:hAnsi="宋体" w:cs="仿宋"/>
          <w:color w:val="auto"/>
          <w:sz w:val="20"/>
          <w:szCs w:val="20"/>
          <w:highlight w:val="none"/>
        </w:rPr>
        <w:t>的取值范围为</w:t>
      </w:r>
      <w:r>
        <w:rPr>
          <w:rFonts w:ascii="宋体" w:hAnsi="宋体" w:cs="仿宋"/>
          <w:color w:val="auto"/>
          <w:sz w:val="20"/>
          <w:szCs w:val="20"/>
          <w:highlight w:val="none"/>
        </w:rPr>
        <w:t>[94,100],</w:t>
      </w:r>
      <w:r>
        <w:rPr>
          <w:rFonts w:hint="eastAsia" w:ascii="宋体" w:hAnsi="宋体" w:cs="仿宋"/>
          <w:color w:val="auto"/>
          <w:sz w:val="20"/>
          <w:szCs w:val="20"/>
          <w:highlight w:val="none"/>
        </w:rPr>
        <w:t>由招标人自定）</w:t>
      </w:r>
    </w:p>
    <w:p w14:paraId="59222B23">
      <w:pPr>
        <w:spacing w:line="360" w:lineRule="auto"/>
        <w:ind w:firstLine="400" w:firstLineChars="200"/>
        <w:rPr>
          <w:rFonts w:ascii="宋体" w:hAnsi="宋体"/>
          <w:color w:val="auto"/>
          <w:sz w:val="20"/>
          <w:szCs w:val="20"/>
          <w:highlight w:val="none"/>
        </w:rPr>
      </w:pPr>
      <w:r>
        <w:rPr>
          <w:rFonts w:hint="eastAsia" w:ascii="宋体" w:hAnsi="宋体" w:cs="仿宋"/>
          <w:color w:val="auto"/>
          <w:sz w:val="20"/>
          <w:szCs w:val="20"/>
          <w:highlight w:val="none"/>
        </w:rPr>
        <w:t xml:space="preserve">    </w:t>
      </w:r>
      <w:r>
        <w:rPr>
          <w:rFonts w:ascii="宋体" w:hAnsi="宋体" w:cs="仿宋"/>
          <w:color w:val="auto"/>
          <w:sz w:val="20"/>
          <w:szCs w:val="20"/>
          <w:highlight w:val="none"/>
        </w:rPr>
        <w:t>X:</w:t>
      </w:r>
      <w:r>
        <w:rPr>
          <w:rFonts w:hint="eastAsia" w:ascii="宋体" w:hAnsi="宋体" w:cs="仿宋"/>
          <w:color w:val="auto"/>
          <w:sz w:val="20"/>
          <w:szCs w:val="20"/>
          <w:highlight w:val="none"/>
        </w:rPr>
        <w:t>为等分点值，在开标前从</w:t>
      </w:r>
      <w:r>
        <w:rPr>
          <w:rFonts w:ascii="宋体" w:hAnsi="宋体" w:cs="仿宋"/>
          <w:color w:val="auto"/>
          <w:sz w:val="20"/>
          <w:szCs w:val="20"/>
          <w:highlight w:val="none"/>
        </w:rPr>
        <w:t>[0,100]</w:t>
      </w:r>
      <w:r>
        <w:rPr>
          <w:rFonts w:hint="eastAsia" w:ascii="宋体" w:hAnsi="宋体" w:cs="仿宋"/>
          <w:color w:val="auto"/>
          <w:sz w:val="20"/>
          <w:szCs w:val="20"/>
          <w:highlight w:val="none"/>
        </w:rPr>
        <w:t>整数中随机抽取</w:t>
      </w:r>
    </w:p>
    <w:p w14:paraId="1E6C28CD">
      <w:pPr>
        <w:spacing w:line="360" w:lineRule="auto"/>
        <w:ind w:firstLine="400" w:firstLineChars="200"/>
        <w:rPr>
          <w:rFonts w:ascii="宋体" w:hAnsi="宋体"/>
          <w:color w:val="auto"/>
          <w:sz w:val="20"/>
          <w:szCs w:val="20"/>
          <w:highlight w:val="none"/>
        </w:rPr>
      </w:pPr>
      <w:r>
        <w:rPr>
          <w:rFonts w:hint="eastAsia" w:ascii="宋体" w:hAnsi="宋体" w:cs="宋体"/>
          <w:color w:val="auto"/>
          <w:kern w:val="0"/>
          <w:sz w:val="20"/>
          <w:szCs w:val="20"/>
          <w:highlight w:val="none"/>
        </w:rPr>
        <w:t>42.4.3.2</w:t>
      </w:r>
      <w:r>
        <w:rPr>
          <w:rFonts w:hint="eastAsia" w:ascii="宋体" w:hAnsi="宋体"/>
          <w:color w:val="auto"/>
          <w:sz w:val="20"/>
          <w:szCs w:val="20"/>
          <w:highlight w:val="none"/>
        </w:rPr>
        <w:t>当标价等于评标参考价时得</w:t>
      </w:r>
      <w:r>
        <w:rPr>
          <w:rFonts w:ascii="宋体" w:hAnsi="宋体"/>
          <w:color w:val="auto"/>
          <w:sz w:val="20"/>
          <w:szCs w:val="20"/>
          <w:highlight w:val="none"/>
        </w:rPr>
        <w:t>100</w:t>
      </w:r>
      <w:r>
        <w:rPr>
          <w:rFonts w:hint="eastAsia" w:ascii="宋体" w:hAnsi="宋体"/>
          <w:color w:val="auto"/>
          <w:sz w:val="20"/>
          <w:szCs w:val="20"/>
          <w:highlight w:val="none"/>
        </w:rPr>
        <w:t>分，标价每高于评标参考价</w:t>
      </w:r>
      <w:r>
        <w:rPr>
          <w:rFonts w:ascii="宋体" w:hAnsi="宋体"/>
          <w:color w:val="auto"/>
          <w:sz w:val="20"/>
          <w:szCs w:val="20"/>
          <w:highlight w:val="none"/>
        </w:rPr>
        <w:t>1%</w:t>
      </w:r>
      <w:r>
        <w:rPr>
          <w:rFonts w:hint="eastAsia" w:ascii="宋体" w:hAnsi="宋体"/>
          <w:color w:val="auto"/>
          <w:sz w:val="20"/>
          <w:szCs w:val="20"/>
          <w:highlight w:val="none"/>
        </w:rPr>
        <w:t>，扣</w:t>
      </w:r>
      <w:r>
        <w:rPr>
          <w:rFonts w:ascii="宋体" w:hAnsi="宋体"/>
          <w:color w:val="auto"/>
          <w:sz w:val="20"/>
          <w:szCs w:val="20"/>
          <w:highlight w:val="none"/>
        </w:rPr>
        <w:t>1.5</w:t>
      </w:r>
      <w:r>
        <w:rPr>
          <w:rFonts w:hint="eastAsia" w:ascii="宋体" w:hAnsi="宋体"/>
          <w:color w:val="auto"/>
          <w:sz w:val="20"/>
          <w:szCs w:val="20"/>
          <w:highlight w:val="none"/>
        </w:rPr>
        <w:t>分，每低于评标参考价</w:t>
      </w:r>
      <w:r>
        <w:rPr>
          <w:rFonts w:ascii="宋体" w:hAnsi="宋体"/>
          <w:color w:val="auto"/>
          <w:sz w:val="20"/>
          <w:szCs w:val="20"/>
          <w:highlight w:val="none"/>
        </w:rPr>
        <w:t>1%</w:t>
      </w:r>
      <w:r>
        <w:rPr>
          <w:rFonts w:hint="eastAsia" w:ascii="宋体" w:hAnsi="宋体"/>
          <w:color w:val="auto"/>
          <w:sz w:val="20"/>
          <w:szCs w:val="20"/>
          <w:highlight w:val="none"/>
        </w:rPr>
        <w:t>，扣</w:t>
      </w:r>
      <w:r>
        <w:rPr>
          <w:rFonts w:ascii="宋体" w:hAnsi="宋体"/>
          <w:color w:val="auto"/>
          <w:sz w:val="20"/>
          <w:szCs w:val="20"/>
          <w:highlight w:val="none"/>
        </w:rPr>
        <w:t>1</w:t>
      </w:r>
      <w:r>
        <w:rPr>
          <w:rFonts w:hint="eastAsia" w:ascii="宋体" w:hAnsi="宋体"/>
          <w:color w:val="auto"/>
          <w:sz w:val="20"/>
          <w:szCs w:val="20"/>
          <w:highlight w:val="none"/>
        </w:rPr>
        <w:t>分，扣至</w:t>
      </w:r>
      <w:r>
        <w:rPr>
          <w:rFonts w:ascii="宋体" w:hAnsi="宋体"/>
          <w:color w:val="auto"/>
          <w:sz w:val="20"/>
          <w:szCs w:val="20"/>
          <w:highlight w:val="none"/>
        </w:rPr>
        <w:t>0</w:t>
      </w:r>
      <w:r>
        <w:rPr>
          <w:rFonts w:hint="eastAsia" w:ascii="宋体" w:hAnsi="宋体"/>
          <w:color w:val="auto"/>
          <w:sz w:val="20"/>
          <w:szCs w:val="20"/>
          <w:highlight w:val="none"/>
        </w:rPr>
        <w:t>分为止，得出经济分，精确到小数点后两位。</w:t>
      </w:r>
    </w:p>
    <w:p w14:paraId="4B469FEC">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42.4.3.3评标委员会按投标须知前附表第32项的规定确定排序。</w:t>
      </w:r>
    </w:p>
    <w:p w14:paraId="79B89A18">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8298DD0">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w:t>
      </w:r>
      <w:r>
        <w:rPr>
          <w:rFonts w:hint="eastAsia" w:ascii="宋体" w:hAnsi="宋体"/>
          <w:color w:val="auto"/>
          <w:sz w:val="20"/>
          <w:szCs w:val="20"/>
          <w:highlight w:val="none"/>
        </w:rPr>
        <w:t>4.5经济标的算术校核。评标委员会对进行经济标有效性审查的投标文件投标报价按照就低不就高的原则进行算术校核，具体标准如下：</w:t>
      </w:r>
    </w:p>
    <w:p w14:paraId="1C31725C">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w:t>
      </w:r>
      <w:r>
        <w:rPr>
          <w:rFonts w:hint="eastAsia" w:ascii="宋体" w:hAnsi="宋体"/>
          <w:color w:val="auto"/>
          <w:sz w:val="20"/>
          <w:szCs w:val="20"/>
          <w:highlight w:val="none"/>
        </w:rPr>
        <w:t>4.5.1如果数字表示的金额和用文字表示的金额不一致时，应以文字表示的金额为准；</w:t>
      </w:r>
    </w:p>
    <w:p w14:paraId="52C799AC">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w:t>
      </w:r>
      <w:r>
        <w:rPr>
          <w:rFonts w:hint="eastAsia" w:ascii="宋体" w:hAnsi="宋体"/>
          <w:color w:val="auto"/>
          <w:sz w:val="20"/>
          <w:szCs w:val="20"/>
          <w:highlight w:val="none"/>
        </w:rPr>
        <w:t>4.5.2经算术复核的投标人报价与其投标报价不一致时，按就低不就高原则确定其最终报价；</w:t>
      </w:r>
    </w:p>
    <w:p w14:paraId="63B263B0">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w:t>
      </w:r>
      <w:r>
        <w:rPr>
          <w:rFonts w:hint="eastAsia" w:ascii="宋体" w:hAnsi="宋体"/>
          <w:color w:val="auto"/>
          <w:sz w:val="20"/>
          <w:szCs w:val="20"/>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8BBF906">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w:t>
      </w:r>
      <w:r>
        <w:rPr>
          <w:rFonts w:hint="eastAsia" w:ascii="宋体" w:hAnsi="宋体"/>
          <w:color w:val="auto"/>
          <w:sz w:val="20"/>
          <w:szCs w:val="20"/>
          <w:highlight w:val="none"/>
        </w:rPr>
        <w:t>4.5.</w:t>
      </w:r>
      <w:r>
        <w:rPr>
          <w:rFonts w:ascii="宋体" w:hAnsi="宋体"/>
          <w:color w:val="auto"/>
          <w:sz w:val="20"/>
          <w:szCs w:val="20"/>
          <w:highlight w:val="none"/>
        </w:rPr>
        <w:t>4</w:t>
      </w:r>
      <w:r>
        <w:rPr>
          <w:rFonts w:hint="eastAsia" w:ascii="宋体" w:hAnsi="宋体"/>
          <w:color w:val="auto"/>
          <w:sz w:val="20"/>
          <w:szCs w:val="20"/>
          <w:highlight w:val="none"/>
        </w:rPr>
        <w:t>当合价、金额累加错误时，按就低不就高原则，如果累加修正值小于原累加值，则按累加修正值；如果累加修正值大于原累加值，则按原累加值；</w:t>
      </w:r>
    </w:p>
    <w:p w14:paraId="63DD9E63">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w:t>
      </w:r>
      <w:r>
        <w:rPr>
          <w:rFonts w:hint="eastAsia" w:ascii="宋体" w:hAnsi="宋体"/>
          <w:color w:val="auto"/>
          <w:sz w:val="20"/>
          <w:szCs w:val="20"/>
          <w:highlight w:val="none"/>
        </w:rPr>
        <w:t>4.5.</w:t>
      </w:r>
      <w:r>
        <w:rPr>
          <w:rFonts w:ascii="宋体" w:hAnsi="宋体"/>
          <w:color w:val="auto"/>
          <w:sz w:val="20"/>
          <w:szCs w:val="20"/>
          <w:highlight w:val="none"/>
        </w:rPr>
        <w:t>5</w:t>
      </w:r>
      <w:r>
        <w:rPr>
          <w:rFonts w:hint="eastAsia" w:ascii="宋体" w:hAnsi="宋体"/>
          <w:color w:val="auto"/>
          <w:sz w:val="20"/>
          <w:szCs w:val="20"/>
          <w:highlight w:val="none"/>
        </w:rPr>
        <w:t>如果投标人的有关规费、暂列金额、暂估价、绿色施工安全防护措施费等未按招标文件规定的金额填写的，由评标委员会按照招标文件规定的金额进行修正；</w:t>
      </w:r>
    </w:p>
    <w:p w14:paraId="583EA0CB">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w:t>
      </w:r>
      <w:r>
        <w:rPr>
          <w:rFonts w:hint="eastAsia" w:ascii="宋体" w:hAnsi="宋体"/>
          <w:color w:val="auto"/>
          <w:sz w:val="20"/>
          <w:szCs w:val="20"/>
          <w:highlight w:val="none"/>
        </w:rPr>
        <w:t>4.5.</w:t>
      </w:r>
      <w:r>
        <w:rPr>
          <w:rFonts w:ascii="宋体" w:hAnsi="宋体"/>
          <w:color w:val="auto"/>
          <w:sz w:val="20"/>
          <w:szCs w:val="20"/>
          <w:highlight w:val="none"/>
        </w:rPr>
        <w:t>6</w:t>
      </w:r>
      <w:r>
        <w:rPr>
          <w:rFonts w:hint="eastAsia" w:ascii="宋体" w:hAnsi="宋体"/>
          <w:color w:val="auto"/>
          <w:sz w:val="20"/>
          <w:szCs w:val="20"/>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4679B16">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w:t>
      </w:r>
      <w:r>
        <w:rPr>
          <w:rFonts w:hint="eastAsia" w:ascii="宋体" w:hAnsi="宋体"/>
          <w:color w:val="auto"/>
          <w:sz w:val="20"/>
          <w:szCs w:val="20"/>
          <w:highlight w:val="none"/>
        </w:rPr>
        <w:t>4.5.</w:t>
      </w:r>
      <w:r>
        <w:rPr>
          <w:rFonts w:ascii="宋体" w:hAnsi="宋体"/>
          <w:color w:val="auto"/>
          <w:sz w:val="20"/>
          <w:szCs w:val="20"/>
          <w:highlight w:val="none"/>
        </w:rPr>
        <w:t>7</w:t>
      </w:r>
      <w:r>
        <w:rPr>
          <w:rFonts w:hint="eastAsia" w:ascii="宋体" w:hAnsi="宋体"/>
          <w:color w:val="auto"/>
          <w:sz w:val="20"/>
          <w:szCs w:val="20"/>
          <w:highlight w:val="none"/>
        </w:rPr>
        <w:t>按就低不就高原则，当修正后报价小于原报价，总价按修正后报价；当修正后报价大于原报价，总价按原报价，并在签订合同时载明在结算价中扣除修正报价与原报价的差额。</w:t>
      </w:r>
    </w:p>
    <w:p w14:paraId="4D3E949D">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w:t>
      </w:r>
      <w:r>
        <w:rPr>
          <w:rFonts w:hint="eastAsia" w:ascii="宋体" w:hAnsi="宋体"/>
          <w:color w:val="auto"/>
          <w:sz w:val="20"/>
          <w:szCs w:val="20"/>
          <w:highlight w:val="none"/>
        </w:rPr>
        <w:t>4.5.</w:t>
      </w:r>
      <w:r>
        <w:rPr>
          <w:rFonts w:ascii="宋体" w:hAnsi="宋体"/>
          <w:color w:val="auto"/>
          <w:sz w:val="20"/>
          <w:szCs w:val="20"/>
          <w:highlight w:val="none"/>
        </w:rPr>
        <w:t>8</w:t>
      </w:r>
      <w:r>
        <w:rPr>
          <w:rFonts w:hint="eastAsia" w:ascii="宋体" w:hAnsi="宋体"/>
          <w:color w:val="auto"/>
          <w:sz w:val="20"/>
          <w:szCs w:val="20"/>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14:paraId="23D2DA82">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w:t>
      </w:r>
      <w:r>
        <w:rPr>
          <w:rFonts w:hint="eastAsia" w:ascii="宋体" w:hAnsi="宋体"/>
          <w:color w:val="auto"/>
          <w:sz w:val="20"/>
          <w:szCs w:val="20"/>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D697FC1">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w:t>
      </w:r>
      <w:r>
        <w:rPr>
          <w:rFonts w:hint="eastAsia" w:ascii="宋体" w:hAnsi="宋体"/>
          <w:color w:val="auto"/>
          <w:sz w:val="20"/>
          <w:szCs w:val="20"/>
          <w:highlight w:val="none"/>
        </w:rPr>
        <w:t>6评标委员会应在通过投标文件经济标有效性审查的投标人中，按步骤42.4确定的投标人第二阶段排序，推荐前</w:t>
      </w:r>
      <w:r>
        <w:rPr>
          <w:rFonts w:ascii="宋体" w:hAnsi="宋体"/>
          <w:color w:val="auto"/>
          <w:sz w:val="20"/>
          <w:szCs w:val="20"/>
          <w:highlight w:val="none"/>
        </w:rPr>
        <w:t>3</w:t>
      </w:r>
      <w:r>
        <w:rPr>
          <w:rFonts w:hint="eastAsia" w:ascii="宋体" w:hAnsi="宋体"/>
          <w:color w:val="auto"/>
          <w:sz w:val="20"/>
          <w:szCs w:val="20"/>
          <w:highlight w:val="none"/>
        </w:rPr>
        <w:t>名依次为第一中标候选人至第三中标候选人</w:t>
      </w:r>
      <w:r>
        <w:rPr>
          <w:rFonts w:ascii="宋体" w:hAnsi="宋体"/>
          <w:color w:val="auto"/>
          <w:sz w:val="20"/>
          <w:szCs w:val="20"/>
          <w:highlight w:val="none"/>
        </w:rPr>
        <w:t>,</w:t>
      </w:r>
      <w:r>
        <w:rPr>
          <w:rFonts w:hint="eastAsia" w:ascii="宋体" w:hAnsi="宋体"/>
          <w:color w:val="auto"/>
          <w:sz w:val="20"/>
          <w:szCs w:val="20"/>
          <w:highlight w:val="none"/>
        </w:rPr>
        <w:t>并编制评标报告。</w:t>
      </w:r>
    </w:p>
    <w:p w14:paraId="62E08DFE">
      <w:pPr>
        <w:spacing w:line="360" w:lineRule="auto"/>
        <w:ind w:firstLine="400" w:firstLineChars="200"/>
        <w:rPr>
          <w:rFonts w:ascii="宋体" w:hAnsi="宋体"/>
          <w:color w:val="auto"/>
          <w:sz w:val="20"/>
          <w:szCs w:val="20"/>
          <w:highlight w:val="none"/>
        </w:rPr>
      </w:pPr>
      <w:r>
        <w:rPr>
          <w:rFonts w:ascii="宋体" w:hAnsi="宋体"/>
          <w:color w:val="auto"/>
          <w:sz w:val="20"/>
          <w:szCs w:val="20"/>
          <w:highlight w:val="none"/>
        </w:rPr>
        <w:t>42.</w:t>
      </w:r>
      <w:r>
        <w:rPr>
          <w:rFonts w:hint="eastAsia" w:ascii="宋体" w:hAnsi="宋体"/>
          <w:color w:val="auto"/>
          <w:sz w:val="20"/>
          <w:szCs w:val="20"/>
          <w:highlight w:val="none"/>
        </w:rPr>
        <w:t>7若通过经济标有效性审查的投标人不足三家，应当依法重新招标。（当</w:t>
      </w:r>
      <w:r>
        <w:rPr>
          <w:rFonts w:ascii="宋体" w:hAnsi="宋体"/>
          <w:color w:val="auto"/>
          <w:sz w:val="20"/>
          <w:szCs w:val="20"/>
          <w:highlight w:val="none"/>
        </w:rPr>
        <w:t>N</w:t>
      </w:r>
      <w:r>
        <w:rPr>
          <w:rFonts w:hint="eastAsia" w:ascii="宋体" w:hAnsi="宋体"/>
          <w:color w:val="auto"/>
          <w:sz w:val="20"/>
          <w:szCs w:val="20"/>
          <w:highlight w:val="none"/>
        </w:rPr>
        <w:t>个标段同时招标且不允许兼中时，若有效投标人不足</w:t>
      </w:r>
      <w:r>
        <w:rPr>
          <w:rFonts w:ascii="宋体" w:hAnsi="宋体"/>
          <w:color w:val="auto"/>
          <w:sz w:val="20"/>
          <w:szCs w:val="20"/>
          <w:highlight w:val="none"/>
        </w:rPr>
        <w:t>N+2</w:t>
      </w:r>
      <w:r>
        <w:rPr>
          <w:rFonts w:hint="eastAsia" w:ascii="宋体" w:hAnsi="宋体"/>
          <w:color w:val="auto"/>
          <w:sz w:val="20"/>
          <w:szCs w:val="20"/>
          <w:highlight w:val="none"/>
        </w:rPr>
        <w:t>家，应当依法重新招标）</w:t>
      </w:r>
    </w:p>
    <w:bookmarkEnd w:id="36"/>
    <w:bookmarkEnd w:id="37"/>
    <w:bookmarkEnd w:id="38"/>
    <w:bookmarkEnd w:id="39"/>
    <w:p w14:paraId="4980D111">
      <w:pPr>
        <w:spacing w:line="360" w:lineRule="auto"/>
        <w:rPr>
          <w:rFonts w:hint="eastAsia" w:ascii="宋体" w:hAnsi="宋体" w:cs="宋体"/>
          <w:color w:val="auto"/>
          <w:sz w:val="24"/>
          <w:szCs w:val="24"/>
          <w:highlight w:val="none"/>
        </w:rPr>
        <w:sectPr>
          <w:footerReference r:id="rId7" w:type="first"/>
          <w:footerReference r:id="rId6" w:type="default"/>
          <w:endnotePr>
            <w:numFmt w:val="decimal"/>
          </w:endnotePr>
          <w:pgSz w:w="11906" w:h="16838"/>
          <w:pgMar w:top="1134" w:right="1418" w:bottom="1247" w:left="1418" w:header="851" w:footer="907" w:gutter="0"/>
          <w:pgNumType w:start="1"/>
          <w:cols w:space="720" w:num="1"/>
          <w:docGrid w:type="lines" w:linePitch="312" w:charSpace="0"/>
        </w:sectPr>
      </w:pPr>
    </w:p>
    <w:p w14:paraId="3891E6F6">
      <w:pPr>
        <w:pStyle w:val="4"/>
        <w:jc w:val="left"/>
        <w:rPr>
          <w:rFonts w:hint="eastAsia" w:cs="宋体"/>
          <w:color w:val="auto"/>
          <w:highlight w:val="none"/>
        </w:rPr>
      </w:pPr>
      <w:bookmarkStart w:id="40" w:name="_Toc100130482"/>
      <w:bookmarkStart w:id="41" w:name="_Toc27191"/>
      <w:r>
        <w:rPr>
          <w:rFonts w:hint="eastAsia" w:cs="宋体"/>
          <w:color w:val="auto"/>
          <w:highlight w:val="none"/>
        </w:rPr>
        <w:t>附表一</w:t>
      </w:r>
      <w:bookmarkEnd w:id="40"/>
      <w:bookmarkEnd w:id="41"/>
    </w:p>
    <w:p w14:paraId="20029BA1">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141D90C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p w14:paraId="096B23E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50"/>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6831"/>
        <w:gridCol w:w="6350"/>
        <w:gridCol w:w="1065"/>
      </w:tblGrid>
      <w:tr w14:paraId="6C95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60530CDD">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32A015DC">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审查项目</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79B74FE2">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4BF2E6E">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审查结果</w:t>
            </w:r>
          </w:p>
        </w:tc>
      </w:tr>
      <w:tr w14:paraId="460C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0658945A">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6934C1CB">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7C953DA2">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CDB533E">
            <w:pPr>
              <w:spacing w:before="120" w:after="60"/>
              <w:jc w:val="center"/>
              <w:rPr>
                <w:rFonts w:hint="eastAsia" w:ascii="宋体" w:hAnsi="宋体" w:cs="宋体"/>
                <w:color w:val="auto"/>
                <w:szCs w:val="21"/>
                <w:highlight w:val="none"/>
              </w:rPr>
            </w:pPr>
          </w:p>
        </w:tc>
      </w:tr>
      <w:tr w14:paraId="3A52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5B2808B7">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6C1DBF17">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64E0C60B">
            <w:pPr>
              <w:spacing w:before="120" w:after="60"/>
              <w:rPr>
                <w:rFonts w:hint="eastAsia" w:ascii="宋体" w:hAnsi="宋体" w:cs="宋体"/>
                <w:color w:val="auto"/>
                <w:szCs w:val="21"/>
                <w:highlight w:val="none"/>
              </w:rPr>
            </w:pPr>
            <w:r>
              <w:rPr>
                <w:rFonts w:hint="eastAsia" w:ascii="宋体" w:hAnsi="宋体" w:cs="宋体"/>
                <w:color w:val="auto"/>
                <w:szCs w:val="21"/>
                <w:highlight w:val="none"/>
              </w:rPr>
              <w:t>营业执照扫描件或电子证照</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D23B254">
            <w:pPr>
              <w:spacing w:before="120" w:after="60"/>
              <w:jc w:val="center"/>
              <w:rPr>
                <w:rFonts w:hint="eastAsia" w:ascii="宋体" w:hAnsi="宋体" w:cs="宋体"/>
                <w:color w:val="auto"/>
                <w:szCs w:val="21"/>
                <w:highlight w:val="none"/>
              </w:rPr>
            </w:pPr>
          </w:p>
        </w:tc>
      </w:tr>
      <w:tr w14:paraId="4C83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253B0596">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4867D630">
            <w:pPr>
              <w:spacing w:before="120" w:after="60"/>
              <w:rPr>
                <w:rFonts w:hint="eastAsia" w:ascii="宋体" w:hAnsi="宋体" w:cs="宋体"/>
                <w:color w:val="auto"/>
                <w:szCs w:val="21"/>
                <w:highlight w:val="none"/>
              </w:rPr>
            </w:pPr>
            <w:r>
              <w:rPr>
                <w:rFonts w:hint="eastAsia" w:ascii="宋体" w:hAnsi="宋体" w:cs="宋体"/>
                <w:bCs/>
                <w:color w:val="auto"/>
                <w:kern w:val="0"/>
                <w:szCs w:val="21"/>
                <w:highlight w:val="none"/>
              </w:rPr>
              <w:t>投标人均持有建设行政主管部门颁发的</w:t>
            </w:r>
            <w:r>
              <w:rPr>
                <w:rFonts w:hint="eastAsia" w:ascii="宋体" w:hAnsi="宋体" w:cs="宋体"/>
                <w:b/>
                <w:bCs/>
                <w:color w:val="auto"/>
                <w:kern w:val="0"/>
                <w:szCs w:val="21"/>
                <w:highlight w:val="none"/>
              </w:rPr>
              <w:t>有效期</w:t>
            </w:r>
            <w:r>
              <w:rPr>
                <w:rFonts w:ascii="宋体" w:hAnsi="宋体" w:cs="宋体"/>
                <w:b/>
                <w:bCs/>
                <w:color w:val="auto"/>
                <w:kern w:val="0"/>
                <w:szCs w:val="21"/>
                <w:highlight w:val="none"/>
              </w:rPr>
              <w:t>内</w:t>
            </w:r>
            <w:r>
              <w:rPr>
                <w:rFonts w:hint="eastAsia" w:ascii="宋体" w:hAnsi="宋体" w:cs="宋体"/>
                <w:b/>
                <w:bCs/>
                <w:color w:val="auto"/>
                <w:kern w:val="0"/>
                <w:szCs w:val="21"/>
                <w:highlight w:val="none"/>
              </w:rPr>
              <w:t>的</w:t>
            </w:r>
            <w:r>
              <w:rPr>
                <w:rFonts w:hint="eastAsia" w:ascii="宋体" w:hAnsi="宋体" w:cs="宋体"/>
                <w:bCs/>
                <w:color w:val="auto"/>
                <w:kern w:val="0"/>
                <w:szCs w:val="21"/>
                <w:highlight w:val="none"/>
              </w:rPr>
              <w:t>企业资质证书及安全生产许可证</w:t>
            </w:r>
            <w:r>
              <w:rPr>
                <w:rFonts w:hint="eastAsia" w:ascii="宋体" w:hAnsi="宋体" w:cs="宋体"/>
                <w:color w:val="auto"/>
                <w:szCs w:val="21"/>
                <w:highlight w:val="none"/>
              </w:rPr>
              <w:t>；投标人资质符合公告要求</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766C0C2F">
            <w:pPr>
              <w:spacing w:before="120" w:after="60"/>
              <w:rPr>
                <w:rFonts w:hint="eastAsia" w:ascii="宋体" w:hAnsi="宋体" w:cs="宋体"/>
                <w:color w:val="auto"/>
                <w:szCs w:val="21"/>
                <w:highlight w:val="none"/>
              </w:rPr>
            </w:pPr>
            <w:r>
              <w:rPr>
                <w:rFonts w:hint="eastAsia" w:ascii="宋体" w:hAnsi="宋体" w:cs="宋体"/>
                <w:color w:val="auto"/>
                <w:szCs w:val="21"/>
                <w:highlight w:val="none"/>
              </w:rPr>
              <w:t>资质证书扫描件或电子证照、安全生产许可证扫描件或电子证照</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1091CA0">
            <w:pPr>
              <w:spacing w:before="120" w:after="60"/>
              <w:jc w:val="center"/>
              <w:rPr>
                <w:rFonts w:hint="eastAsia" w:ascii="宋体" w:hAnsi="宋体" w:cs="宋体"/>
                <w:color w:val="auto"/>
                <w:szCs w:val="21"/>
                <w:highlight w:val="none"/>
              </w:rPr>
            </w:pPr>
          </w:p>
        </w:tc>
      </w:tr>
      <w:tr w14:paraId="4578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51A400AB">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5AA94C08">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6A47754C">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有效期内的建造师注册证书扫描件或电子证书</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62EDB2C">
            <w:pPr>
              <w:spacing w:before="120" w:after="60"/>
              <w:jc w:val="center"/>
              <w:rPr>
                <w:rFonts w:hint="eastAsia" w:ascii="宋体" w:hAnsi="宋体" w:cs="宋体"/>
                <w:color w:val="auto"/>
                <w:szCs w:val="21"/>
                <w:highlight w:val="none"/>
              </w:rPr>
            </w:pPr>
          </w:p>
        </w:tc>
      </w:tr>
      <w:tr w14:paraId="7F15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4383FC5E">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6D604533">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0E3595FE">
            <w:pPr>
              <w:spacing w:before="120" w:after="60"/>
              <w:rPr>
                <w:rFonts w:hint="eastAsia"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项目负责人安全生产考核合格证（B类）或建筑施工企业项目负责人安全生产考核合格证证书扫描件或电子证书</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D6C462E">
            <w:pPr>
              <w:spacing w:before="120" w:after="60"/>
              <w:jc w:val="center"/>
              <w:rPr>
                <w:rFonts w:hint="eastAsia" w:ascii="宋体" w:hAnsi="宋体" w:cs="宋体"/>
                <w:color w:val="auto"/>
                <w:szCs w:val="21"/>
                <w:highlight w:val="none"/>
              </w:rPr>
            </w:pPr>
          </w:p>
        </w:tc>
      </w:tr>
      <w:tr w14:paraId="4CBA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77766419">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5808D67C">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59914AE2">
            <w:pPr>
              <w:spacing w:before="120" w:after="60"/>
              <w:rPr>
                <w:rFonts w:hint="eastAsia" w:ascii="宋体" w:hAnsi="宋体" w:cs="宋体"/>
                <w:color w:val="auto"/>
                <w:szCs w:val="21"/>
                <w:highlight w:val="none"/>
              </w:rPr>
            </w:pPr>
            <w:r>
              <w:rPr>
                <w:rFonts w:hint="eastAsia" w:ascii="宋体" w:hAnsi="宋体" w:cs="宋体"/>
                <w:bCs/>
                <w:color w:val="auto"/>
                <w:szCs w:val="21"/>
                <w:highlight w:val="none"/>
                <w:u w:val="single"/>
              </w:rPr>
              <w:t>拟委派技术负责人的职称证书原件清晰扫描件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B26BD9C">
            <w:pPr>
              <w:spacing w:before="120" w:after="60"/>
              <w:jc w:val="center"/>
              <w:rPr>
                <w:rFonts w:hint="eastAsia" w:ascii="宋体" w:hAnsi="宋体" w:cs="宋体"/>
                <w:color w:val="auto"/>
                <w:szCs w:val="21"/>
                <w:highlight w:val="none"/>
              </w:rPr>
            </w:pPr>
          </w:p>
        </w:tc>
      </w:tr>
      <w:tr w14:paraId="294E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174AAA4F">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61EEE64C">
            <w:pPr>
              <w:spacing w:before="120" w:after="60"/>
              <w:rPr>
                <w:rFonts w:hint="eastAsia" w:ascii="宋体" w:hAnsi="宋体" w:cs="宋体"/>
                <w:color w:val="auto"/>
                <w:szCs w:val="21"/>
                <w:highlight w:val="none"/>
              </w:rPr>
            </w:pPr>
            <w:r>
              <w:rPr>
                <w:rFonts w:hint="eastAsia" w:ascii="宋体" w:hAnsi="宋体" w:cs="宋体"/>
                <w:color w:val="auto"/>
                <w:szCs w:val="21"/>
                <w:highlight w:val="none"/>
              </w:rPr>
              <w:t>专职安全员须具有安全生产考核合格证（C类）或建筑施工企业专职安全生产管理人员安全生产考核合格证（C3）</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60E2A8F1">
            <w:pPr>
              <w:spacing w:before="120" w:after="60"/>
              <w:rPr>
                <w:rFonts w:hint="eastAsia" w:ascii="宋体" w:hAnsi="宋体" w:cs="宋体"/>
                <w:color w:val="auto"/>
                <w:szCs w:val="21"/>
                <w:highlight w:val="none"/>
              </w:rPr>
            </w:pPr>
            <w:r>
              <w:rPr>
                <w:rFonts w:hint="eastAsia" w:ascii="宋体" w:hAnsi="宋体" w:cs="宋体"/>
                <w:color w:val="auto"/>
                <w:szCs w:val="21"/>
                <w:highlight w:val="none"/>
              </w:rPr>
              <w:t>专职安全员的安全生产考核合格证（C类）或建筑施工企业专职安全生产管理人员安全生产考核合格证证书扫描件或电子证书，</w:t>
            </w:r>
            <w:r>
              <w:rPr>
                <w:rFonts w:hint="eastAsia"/>
                <w:b/>
                <w:color w:val="auto"/>
                <w:szCs w:val="21"/>
                <w:highlight w:val="none"/>
                <w:u w:val="single"/>
              </w:rPr>
              <w:t>项目负责人和安全员不为同一人</w:t>
            </w:r>
            <w:r>
              <w:rPr>
                <w:rFonts w:hint="eastAsia"/>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BAC68E1">
            <w:pPr>
              <w:spacing w:before="120" w:after="60"/>
              <w:jc w:val="center"/>
              <w:rPr>
                <w:rFonts w:hint="eastAsia" w:ascii="宋体" w:hAnsi="宋体" w:cs="宋体"/>
                <w:color w:val="auto"/>
                <w:szCs w:val="21"/>
                <w:highlight w:val="none"/>
              </w:rPr>
            </w:pPr>
          </w:p>
        </w:tc>
      </w:tr>
      <w:tr w14:paraId="190F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73A4DFB3">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78A165CB">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投标人提供的投标人声明符合公告要求</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39D9F7D1">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投标人声明</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249FE1A">
            <w:pPr>
              <w:spacing w:before="120" w:after="60"/>
              <w:jc w:val="center"/>
              <w:rPr>
                <w:rFonts w:hint="eastAsia" w:ascii="宋体" w:hAnsi="宋体" w:cs="宋体"/>
                <w:color w:val="auto"/>
                <w:szCs w:val="21"/>
                <w:highlight w:val="none"/>
              </w:rPr>
            </w:pPr>
          </w:p>
        </w:tc>
      </w:tr>
      <w:tr w14:paraId="429D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666A89CD">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25FF1886">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62F2293C">
            <w:pPr>
              <w:spacing w:before="120" w:after="60"/>
              <w:rPr>
                <w:rFonts w:hint="eastAsia"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A2A68D">
            <w:pPr>
              <w:spacing w:before="120" w:after="60"/>
              <w:jc w:val="center"/>
              <w:rPr>
                <w:rFonts w:hint="eastAsia" w:ascii="宋体" w:hAnsi="宋体" w:cs="宋体"/>
                <w:color w:val="auto"/>
                <w:szCs w:val="21"/>
                <w:highlight w:val="none"/>
              </w:rPr>
            </w:pPr>
          </w:p>
        </w:tc>
      </w:tr>
      <w:tr w14:paraId="70D5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46AD0495">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202AF040">
            <w:pPr>
              <w:spacing w:before="120" w:after="60"/>
              <w:rPr>
                <w:rFonts w:hint="eastAsia" w:ascii="宋体" w:hAnsi="宋体" w:cs="宋体"/>
                <w:color w:val="auto"/>
                <w:szCs w:val="21"/>
                <w:highlight w:val="none"/>
              </w:rPr>
            </w:pPr>
            <w:r>
              <w:rPr>
                <w:rStyle w:val="135"/>
                <w:rFonts w:hint="default" w:cs="宋体"/>
                <w:color w:val="auto"/>
                <w:sz w:val="21"/>
                <w:szCs w:val="21"/>
                <w:highlight w:val="none"/>
              </w:rPr>
              <w:t>关于联合体投标：本项目不接受联合体投标</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29371959">
            <w:pPr>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投标人非联合体投标</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5D600F9">
            <w:pPr>
              <w:spacing w:before="120" w:after="60"/>
              <w:jc w:val="center"/>
              <w:rPr>
                <w:rFonts w:hint="eastAsia" w:ascii="宋体" w:hAnsi="宋体" w:cs="宋体"/>
                <w:color w:val="auto"/>
                <w:szCs w:val="21"/>
                <w:highlight w:val="none"/>
              </w:rPr>
            </w:pPr>
          </w:p>
        </w:tc>
      </w:tr>
      <w:tr w14:paraId="4753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4E46204A">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6C08219D">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投标人应在惠州市建筑业信用信息平台办理并通过信用信息录入，拟派驻本工程的最基本的管理班子人员（项目负责人、技术负责人、专职安全员）必须是惠州市建筑业信用信息平台录入的对应岗位人员（提供相关网页截图）</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21116995">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惠州市建筑业信用信息平台相关网页截图</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A9B27AB">
            <w:pPr>
              <w:spacing w:before="120" w:after="60"/>
              <w:jc w:val="center"/>
              <w:rPr>
                <w:rFonts w:hint="eastAsia" w:ascii="宋体" w:hAnsi="宋体" w:cs="宋体"/>
                <w:color w:val="auto"/>
                <w:szCs w:val="21"/>
                <w:highlight w:val="none"/>
              </w:rPr>
            </w:pPr>
          </w:p>
        </w:tc>
      </w:tr>
      <w:tr w14:paraId="4848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4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E64BBB">
            <w:pPr>
              <w:spacing w:before="120" w:after="60"/>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12</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5A762969">
            <w:pPr>
              <w:spacing w:before="120" w:after="60"/>
              <w:rPr>
                <w:rFonts w:hint="eastAsia" w:ascii="宋体" w:hAnsi="宋体" w:eastAsia="宋体" w:cs="宋体"/>
                <w:color w:val="auto"/>
                <w:szCs w:val="21"/>
                <w:highlight w:val="none"/>
                <w:lang w:eastAsia="zh-CN"/>
              </w:rPr>
            </w:pPr>
            <w:r>
              <w:rPr>
                <w:rFonts w:hint="eastAsia" w:ascii="宋体" w:hAnsi="宋体" w:eastAsia="宋体" w:cs="宋体"/>
                <w:b w:val="0"/>
                <w:bCs/>
                <w:color w:val="auto"/>
                <w:kern w:val="2"/>
                <w:sz w:val="20"/>
                <w:szCs w:val="20"/>
                <w:highlight w:val="none"/>
                <w:u w:val="single"/>
              </w:rPr>
              <w:t>资格审查前，投标人在广州公共资源交易中心已办理企业信息登记，拟担任本工程项目负责人、专职安全员须是投标人本企业信息登记中的在册人员</w:t>
            </w:r>
            <w:r>
              <w:rPr>
                <w:rFonts w:hint="eastAsia" w:ascii="宋体" w:hAnsi="宋体" w:eastAsia="宋体" w:cs="宋体"/>
                <w:b w:val="0"/>
                <w:bCs/>
                <w:color w:val="auto"/>
                <w:kern w:val="2"/>
                <w:sz w:val="20"/>
                <w:szCs w:val="20"/>
                <w:highlight w:val="none"/>
                <w:u w:val="single"/>
                <w:lang w:eastAsia="zh-CN"/>
              </w:rPr>
              <w:t>。</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4C83CF98">
            <w:pPr>
              <w:spacing w:before="120" w:after="60"/>
              <w:rPr>
                <w:rFonts w:hint="eastAsia" w:ascii="宋体" w:hAnsi="宋体" w:cs="宋体"/>
                <w:color w:val="auto"/>
                <w:szCs w:val="21"/>
                <w:highlight w:val="none"/>
              </w:rPr>
            </w:pPr>
            <w:r>
              <w:rPr>
                <w:rFonts w:hint="eastAsia" w:ascii="宋体" w:hAnsi="宋体" w:eastAsia="宋体" w:cs="@等线"/>
                <w:bCs/>
                <w:color w:val="auto"/>
                <w:szCs w:val="21"/>
                <w:highlight w:val="none"/>
              </w:rPr>
              <w:t>投标人在</w:t>
            </w:r>
            <w:r>
              <w:rPr>
                <w:rFonts w:hint="eastAsia" w:ascii="宋体" w:hAnsi="宋体" w:eastAsia="宋体" w:cs="@等线"/>
                <w:bCs/>
                <w:color w:val="auto"/>
                <w:kern w:val="0"/>
                <w:szCs w:val="21"/>
                <w:highlight w:val="none"/>
              </w:rPr>
              <w:t>广州公共资源交易中心企业库</w:t>
            </w:r>
            <w:r>
              <w:rPr>
                <w:rFonts w:hint="eastAsia" w:ascii="宋体" w:hAnsi="宋体" w:eastAsia="宋体" w:cs="@等线"/>
                <w:bCs/>
                <w:color w:val="auto"/>
                <w:szCs w:val="21"/>
                <w:highlight w:val="none"/>
              </w:rPr>
              <w:t>内的企业和人员信息</w:t>
            </w:r>
            <w:r>
              <w:rPr>
                <w:rFonts w:hint="eastAsia" w:ascii="宋体" w:hAnsi="宋体" w:cs="宋体"/>
                <w:color w:val="auto"/>
                <w:szCs w:val="21"/>
                <w:highlight w:val="none"/>
              </w:rPr>
              <w:t>相关网页截图</w:t>
            </w:r>
            <w:r>
              <w:rPr>
                <w:rFonts w:hint="eastAsia" w:ascii="宋体" w:hAnsi="宋体" w:eastAsia="宋体" w:cs="@等线"/>
                <w:bCs/>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2BC453D">
            <w:pPr>
              <w:spacing w:before="120" w:after="60"/>
              <w:jc w:val="center"/>
              <w:rPr>
                <w:rFonts w:hint="eastAsia" w:ascii="宋体" w:hAnsi="宋体" w:cs="宋体"/>
                <w:color w:val="auto"/>
                <w:szCs w:val="21"/>
                <w:highlight w:val="none"/>
              </w:rPr>
            </w:pPr>
          </w:p>
        </w:tc>
      </w:tr>
      <w:tr w14:paraId="7F40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5C4F25">
            <w:pPr>
              <w:spacing w:before="120" w:after="60"/>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13</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13878B88">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未在以往工程中因不充分履约行为被本项目招标人书面拒绝投标的</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35DD160B">
            <w:pPr>
              <w:spacing w:before="120" w:after="60"/>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详见招标公告附件二《被招标人拒绝投标的企业名单》</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B90A8E4">
            <w:pPr>
              <w:spacing w:before="120" w:after="60"/>
              <w:jc w:val="center"/>
              <w:rPr>
                <w:rFonts w:hint="eastAsia" w:ascii="宋体" w:hAnsi="宋体" w:cs="宋体"/>
                <w:color w:val="auto"/>
                <w:szCs w:val="21"/>
                <w:highlight w:val="none"/>
              </w:rPr>
            </w:pPr>
          </w:p>
        </w:tc>
      </w:tr>
      <w:tr w14:paraId="5F42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210489">
            <w:pPr>
              <w:spacing w:before="120" w:after="60"/>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14</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6FD6C6F6">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投标人未出现以下情形：与其它投标人的单位负责人为同一人或者存在控股、管理关系的（按投标人提供的《投标人声明》第八条内容进行评审）</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63A6C729">
            <w:pPr>
              <w:spacing w:before="120" w:after="60"/>
              <w:rPr>
                <w:rFonts w:hint="eastAsia" w:ascii="宋体" w:hAnsi="宋体" w:cs="宋体"/>
                <w:color w:val="auto"/>
                <w:szCs w:val="21"/>
                <w:highlight w:val="none"/>
              </w:rPr>
            </w:pPr>
            <w:r>
              <w:rPr>
                <w:rFonts w:hint="eastAsia" w:ascii="宋体" w:hAnsi="宋体" w:cs="宋体"/>
                <w:color w:val="auto"/>
                <w:szCs w:val="21"/>
                <w:highlight w:val="none"/>
              </w:rPr>
              <w:t>投标人声明</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398A6D9">
            <w:pPr>
              <w:spacing w:before="120" w:after="60"/>
              <w:jc w:val="center"/>
              <w:rPr>
                <w:rFonts w:hint="eastAsia" w:ascii="宋体" w:hAnsi="宋体" w:cs="宋体"/>
                <w:color w:val="auto"/>
                <w:szCs w:val="21"/>
                <w:highlight w:val="none"/>
              </w:rPr>
            </w:pPr>
          </w:p>
        </w:tc>
      </w:tr>
      <w:tr w14:paraId="64C7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018B7A2A">
            <w:pPr>
              <w:spacing w:before="120" w:after="6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13F12E6B">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未被列入拖欠农民工工资失信联合惩戒对象名单。</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6E1C795E">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投标人无需提供资料，按交易系统比对的结果进行评审</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694A8F0">
            <w:pPr>
              <w:spacing w:before="120" w:after="60"/>
              <w:jc w:val="center"/>
              <w:rPr>
                <w:rFonts w:hint="eastAsia" w:ascii="宋体" w:hAnsi="宋体" w:cs="宋体"/>
                <w:color w:val="auto"/>
                <w:szCs w:val="21"/>
                <w:highlight w:val="none"/>
              </w:rPr>
            </w:pPr>
          </w:p>
        </w:tc>
      </w:tr>
    </w:tbl>
    <w:p w14:paraId="6D292B0A">
      <w:pPr>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备注：</w:t>
      </w:r>
    </w:p>
    <w:p w14:paraId="231AD741">
      <w:pPr>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1、每一项目符合的打“○”，不符合的打“×”；</w:t>
      </w:r>
    </w:p>
    <w:p w14:paraId="0F59ABC9">
      <w:pPr>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18D1141C">
      <w:pPr>
        <w:ind w:firstLine="470" w:firstLineChars="224"/>
        <w:rPr>
          <w:rFonts w:hint="eastAsia" w:ascii="宋体" w:hAnsi="宋体" w:cs="宋体"/>
          <w:color w:val="auto"/>
          <w:highlight w:val="none"/>
        </w:rPr>
        <w:sectPr>
          <w:endnotePr>
            <w:numFmt w:val="decimal"/>
          </w:endnotePr>
          <w:pgSz w:w="16838" w:h="11906" w:orient="landscape"/>
          <w:pgMar w:top="1418" w:right="1134" w:bottom="1418" w:left="1247" w:header="851" w:footer="907" w:gutter="0"/>
          <w:cols w:space="720" w:num="1"/>
          <w:titlePg/>
          <w:docGrid w:type="linesAndChars" w:linePitch="312" w:charSpace="0"/>
        </w:sectPr>
      </w:pPr>
      <w:r>
        <w:rPr>
          <w:rFonts w:hint="eastAsia" w:ascii="宋体" w:hAnsi="宋体" w:cs="宋体"/>
          <w:color w:val="auto"/>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74CC61E">
      <w:pPr>
        <w:pStyle w:val="4"/>
        <w:jc w:val="left"/>
        <w:rPr>
          <w:rFonts w:hint="eastAsia" w:cs="宋体"/>
          <w:color w:val="auto"/>
          <w:highlight w:val="none"/>
        </w:rPr>
      </w:pPr>
      <w:bookmarkStart w:id="42" w:name="_Toc21504"/>
      <w:bookmarkStart w:id="43" w:name="_Toc100130483"/>
      <w:r>
        <w:rPr>
          <w:rFonts w:hint="eastAsia" w:cs="宋体"/>
          <w:color w:val="auto"/>
          <w:highlight w:val="none"/>
        </w:rPr>
        <w:t>附表二</w:t>
      </w:r>
      <w:bookmarkEnd w:id="42"/>
      <w:bookmarkEnd w:id="43"/>
    </w:p>
    <w:p w14:paraId="3DAB1947">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4A8EE144">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7809"/>
        <w:gridCol w:w="1056"/>
        <w:gridCol w:w="1057"/>
        <w:gridCol w:w="1057"/>
        <w:gridCol w:w="1057"/>
        <w:gridCol w:w="1057"/>
        <w:gridCol w:w="1057"/>
      </w:tblGrid>
      <w:tr w14:paraId="3F1F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406D88B6">
            <w:pPr>
              <w:adjustRightInd w:val="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809"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4551ECC8">
            <w:pPr>
              <w:adjustRightInd w:val="0"/>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投标人</w:t>
            </w:r>
          </w:p>
          <w:p w14:paraId="61DCE044">
            <w:pPr>
              <w:adjustRightInd w:val="0"/>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056" w:type="dxa"/>
            <w:tcBorders>
              <w:top w:val="single" w:color="auto" w:sz="4" w:space="0"/>
              <w:left w:val="single" w:color="auto" w:sz="4" w:space="0"/>
              <w:bottom w:val="single" w:color="auto" w:sz="4" w:space="0"/>
              <w:right w:val="single" w:color="auto" w:sz="4" w:space="0"/>
            </w:tcBorders>
            <w:noWrap w:val="0"/>
            <w:vAlign w:val="top"/>
          </w:tcPr>
          <w:p w14:paraId="674691D3">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A915F96">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3D678EF">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78ADC9D">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E2E2CCE">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53C99022">
            <w:pPr>
              <w:adjustRightInd w:val="0"/>
              <w:rPr>
                <w:rFonts w:hint="eastAsia" w:ascii="宋体" w:hAnsi="宋体" w:cs="宋体"/>
                <w:color w:val="auto"/>
                <w:szCs w:val="21"/>
                <w:highlight w:val="none"/>
              </w:rPr>
            </w:pPr>
          </w:p>
        </w:tc>
      </w:tr>
      <w:tr w14:paraId="3DF9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0CEA4AAC">
            <w:pPr>
              <w:adjustRightInd w:val="0"/>
              <w:rPr>
                <w:rFonts w:hint="eastAsia" w:ascii="宋体" w:hAnsi="宋体" w:cs="宋体"/>
                <w:color w:val="auto"/>
                <w:szCs w:val="21"/>
                <w:highlight w:val="none"/>
              </w:rPr>
            </w:pPr>
            <w:r>
              <w:rPr>
                <w:rFonts w:hint="eastAsia" w:ascii="宋体" w:hAnsi="宋体" w:cs="宋体"/>
                <w:color w:val="auto"/>
                <w:szCs w:val="21"/>
                <w:highlight w:val="none"/>
              </w:rPr>
              <w:t>1</w:t>
            </w:r>
          </w:p>
        </w:tc>
        <w:tc>
          <w:tcPr>
            <w:tcW w:w="7809" w:type="dxa"/>
            <w:tcBorders>
              <w:top w:val="single" w:color="auto" w:sz="4" w:space="0"/>
              <w:left w:val="single" w:color="auto" w:sz="4" w:space="0"/>
              <w:bottom w:val="single" w:color="auto" w:sz="4" w:space="0"/>
              <w:right w:val="single" w:color="auto" w:sz="4" w:space="0"/>
            </w:tcBorders>
            <w:noWrap w:val="0"/>
            <w:vAlign w:val="center"/>
          </w:tcPr>
          <w:p w14:paraId="3E7B0CF6">
            <w:pPr>
              <w:adjustRightIn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《广州建设工程施工招标投标书》中的总工期不符合招标文件要求的；</w:t>
            </w:r>
          </w:p>
        </w:tc>
        <w:tc>
          <w:tcPr>
            <w:tcW w:w="1056" w:type="dxa"/>
            <w:tcBorders>
              <w:top w:val="single" w:color="auto" w:sz="4" w:space="0"/>
              <w:left w:val="single" w:color="auto" w:sz="4" w:space="0"/>
              <w:bottom w:val="single" w:color="auto" w:sz="4" w:space="0"/>
              <w:right w:val="single" w:color="auto" w:sz="4" w:space="0"/>
            </w:tcBorders>
            <w:noWrap w:val="0"/>
            <w:vAlign w:val="top"/>
          </w:tcPr>
          <w:p w14:paraId="5B62E652">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AC62B40">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6CDA997">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13365713">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31CAFA9">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F49E791">
            <w:pPr>
              <w:adjustRightInd w:val="0"/>
              <w:rPr>
                <w:rFonts w:hint="eastAsia" w:ascii="宋体" w:hAnsi="宋体" w:cs="宋体"/>
                <w:color w:val="auto"/>
                <w:szCs w:val="21"/>
                <w:highlight w:val="none"/>
              </w:rPr>
            </w:pPr>
          </w:p>
        </w:tc>
      </w:tr>
      <w:tr w14:paraId="4546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03C9D1C9">
            <w:pPr>
              <w:adjustRightInd w:val="0"/>
              <w:rPr>
                <w:rFonts w:hint="eastAsia" w:ascii="宋体" w:hAnsi="宋体" w:cs="宋体"/>
                <w:color w:val="auto"/>
                <w:szCs w:val="21"/>
                <w:highlight w:val="none"/>
              </w:rPr>
            </w:pPr>
            <w:r>
              <w:rPr>
                <w:rFonts w:hint="eastAsia" w:ascii="宋体" w:hAnsi="宋体" w:cs="宋体"/>
                <w:color w:val="auto"/>
                <w:szCs w:val="21"/>
                <w:highlight w:val="none"/>
              </w:rPr>
              <w:t>2</w:t>
            </w:r>
          </w:p>
        </w:tc>
        <w:tc>
          <w:tcPr>
            <w:tcW w:w="7809" w:type="dxa"/>
            <w:tcBorders>
              <w:top w:val="single" w:color="auto" w:sz="4" w:space="0"/>
              <w:left w:val="single" w:color="auto" w:sz="4" w:space="0"/>
              <w:bottom w:val="single" w:color="auto" w:sz="4" w:space="0"/>
              <w:right w:val="single" w:color="auto" w:sz="4" w:space="0"/>
            </w:tcBorders>
            <w:noWrap w:val="0"/>
            <w:vAlign w:val="center"/>
          </w:tcPr>
          <w:p w14:paraId="7B2DECD1">
            <w:pPr>
              <w:adjustRightInd w:val="0"/>
              <w:rPr>
                <w:rFonts w:hint="eastAsia" w:ascii="宋体" w:hAnsi="宋体" w:cs="宋体"/>
                <w:color w:val="auto"/>
                <w:szCs w:val="21"/>
                <w:highlight w:val="none"/>
              </w:rPr>
            </w:pPr>
            <w:r>
              <w:rPr>
                <w:rFonts w:hint="eastAsia" w:ascii="宋体" w:hAnsi="宋体" w:cs="宋体"/>
                <w:color w:val="auto"/>
                <w:szCs w:val="21"/>
                <w:highlight w:val="none"/>
                <w:u w:val="single"/>
              </w:rPr>
              <w:t>《广州建设工程施工招标投标书》中的工程质量标准不符合招标文件要求的；</w:t>
            </w:r>
          </w:p>
        </w:tc>
        <w:tc>
          <w:tcPr>
            <w:tcW w:w="1056" w:type="dxa"/>
            <w:tcBorders>
              <w:top w:val="single" w:color="auto" w:sz="4" w:space="0"/>
              <w:left w:val="single" w:color="auto" w:sz="4" w:space="0"/>
              <w:bottom w:val="single" w:color="auto" w:sz="4" w:space="0"/>
              <w:right w:val="single" w:color="auto" w:sz="4" w:space="0"/>
            </w:tcBorders>
            <w:noWrap w:val="0"/>
            <w:vAlign w:val="top"/>
          </w:tcPr>
          <w:p w14:paraId="42C6C39D">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57BF3BC6">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45EFDD6">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55418C00">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A8A58AF">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5F8677F">
            <w:pPr>
              <w:adjustRightInd w:val="0"/>
              <w:rPr>
                <w:rFonts w:hint="eastAsia" w:ascii="宋体" w:hAnsi="宋体" w:cs="宋体"/>
                <w:color w:val="auto"/>
                <w:szCs w:val="21"/>
                <w:highlight w:val="none"/>
              </w:rPr>
            </w:pPr>
          </w:p>
        </w:tc>
      </w:tr>
      <w:tr w14:paraId="3E10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6A2E0721">
            <w:pPr>
              <w:adjustRightIn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p>
        </w:tc>
        <w:tc>
          <w:tcPr>
            <w:tcW w:w="7809" w:type="dxa"/>
            <w:tcBorders>
              <w:top w:val="single" w:color="auto" w:sz="4" w:space="0"/>
              <w:left w:val="single" w:color="auto" w:sz="4" w:space="0"/>
              <w:bottom w:val="single" w:color="auto" w:sz="4" w:space="0"/>
              <w:right w:val="single" w:color="auto" w:sz="4" w:space="0"/>
            </w:tcBorders>
            <w:noWrap w:val="0"/>
            <w:vAlign w:val="center"/>
          </w:tcPr>
          <w:p w14:paraId="215B4B9B">
            <w:pPr>
              <w:adjustRightInd w:val="0"/>
              <w:rPr>
                <w:rFonts w:hint="eastAsia"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w:t>
            </w:r>
            <w:r>
              <w:rPr>
                <w:rFonts w:hint="eastAsia" w:ascii="宋体" w:hAnsi="宋体" w:cs="宋体"/>
                <w:color w:val="auto"/>
                <w:szCs w:val="21"/>
                <w:highlight w:val="none"/>
                <w:u w:val="single"/>
              </w:rPr>
              <w:t>或盖章</w:t>
            </w:r>
            <w:r>
              <w:rPr>
                <w:rFonts w:hint="eastAsia" w:ascii="宋体" w:hAnsi="宋体" w:cs="宋体"/>
                <w:color w:val="auto"/>
                <w:szCs w:val="21"/>
                <w:highlight w:val="none"/>
              </w:rPr>
              <w:t>的投标文件中没有法定代表人授权书；</w:t>
            </w:r>
          </w:p>
        </w:tc>
        <w:tc>
          <w:tcPr>
            <w:tcW w:w="1056" w:type="dxa"/>
            <w:tcBorders>
              <w:top w:val="single" w:color="auto" w:sz="4" w:space="0"/>
              <w:left w:val="single" w:color="auto" w:sz="4" w:space="0"/>
              <w:bottom w:val="single" w:color="auto" w:sz="4" w:space="0"/>
              <w:right w:val="single" w:color="auto" w:sz="4" w:space="0"/>
            </w:tcBorders>
            <w:noWrap w:val="0"/>
            <w:vAlign w:val="top"/>
          </w:tcPr>
          <w:p w14:paraId="6F56179D">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32F1994">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D3A3068">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6851969">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5B5C3808">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9BC4593">
            <w:pPr>
              <w:adjustRightInd w:val="0"/>
              <w:rPr>
                <w:rFonts w:hint="eastAsia" w:ascii="宋体" w:hAnsi="宋体" w:cs="宋体"/>
                <w:color w:val="auto"/>
                <w:szCs w:val="21"/>
                <w:highlight w:val="none"/>
              </w:rPr>
            </w:pPr>
          </w:p>
        </w:tc>
      </w:tr>
      <w:tr w14:paraId="4049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3A442BCC">
            <w:pPr>
              <w:adjustRightIn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4</w:t>
            </w:r>
          </w:p>
        </w:tc>
        <w:tc>
          <w:tcPr>
            <w:tcW w:w="7809" w:type="dxa"/>
            <w:tcBorders>
              <w:top w:val="single" w:color="auto" w:sz="4" w:space="0"/>
              <w:left w:val="single" w:color="auto" w:sz="4" w:space="0"/>
              <w:bottom w:val="single" w:color="auto" w:sz="4" w:space="0"/>
              <w:right w:val="single" w:color="auto" w:sz="4" w:space="0"/>
            </w:tcBorders>
            <w:noWrap w:val="0"/>
            <w:vAlign w:val="center"/>
          </w:tcPr>
          <w:p w14:paraId="58780A44">
            <w:pPr>
              <w:adjustRightInd w:val="0"/>
              <w:rPr>
                <w:rFonts w:hint="eastAsia" w:ascii="宋体" w:hAnsi="宋体" w:cs="宋体"/>
                <w:color w:val="auto"/>
                <w:szCs w:val="21"/>
                <w:highlight w:val="none"/>
                <w:u w:val="single"/>
              </w:rPr>
            </w:pPr>
            <w:r>
              <w:rPr>
                <w:rFonts w:hint="eastAsia" w:ascii="宋体" w:hAnsi="宋体" w:cs="宋体"/>
                <w:color w:val="auto"/>
                <w:szCs w:val="21"/>
                <w:highlight w:val="none"/>
              </w:rPr>
              <w:t>投标文件未按规定的格式填写</w:t>
            </w:r>
            <w:r>
              <w:rPr>
                <w:rFonts w:hint="eastAsia" w:ascii="宋体" w:hAnsi="宋体" w:cs="宋体"/>
                <w:color w:val="auto"/>
                <w:highlight w:val="none"/>
                <w:u w:val="single"/>
              </w:rPr>
              <w:t>（除第四章投标文件格式中格式二、</w:t>
            </w:r>
            <w:r>
              <w:rPr>
                <w:rFonts w:hint="eastAsia" w:ascii="宋体" w:hAnsi="宋体" w:cs="宋体"/>
                <w:color w:val="auto"/>
                <w:highlight w:val="none"/>
                <w:u w:val="single"/>
                <w:lang w:eastAsia="zh-CN"/>
              </w:rPr>
              <w:t>格式八</w:t>
            </w:r>
            <w:r>
              <w:rPr>
                <w:rFonts w:hint="eastAsia" w:ascii="宋体" w:hAnsi="宋体" w:cs="宋体"/>
                <w:color w:val="auto"/>
                <w:highlight w:val="none"/>
                <w:u w:val="single"/>
              </w:rPr>
              <w:t>、</w:t>
            </w:r>
            <w:r>
              <w:rPr>
                <w:rFonts w:hint="eastAsia" w:ascii="宋体" w:hAnsi="宋体" w:cs="宋体"/>
                <w:color w:val="auto"/>
                <w:highlight w:val="none"/>
                <w:u w:val="single"/>
                <w:lang w:eastAsia="zh-CN"/>
              </w:rPr>
              <w:t>格式九</w:t>
            </w:r>
            <w:r>
              <w:rPr>
                <w:rFonts w:hint="eastAsia" w:ascii="宋体" w:hAnsi="宋体" w:cs="宋体"/>
                <w:color w:val="auto"/>
                <w:highlight w:val="none"/>
                <w:u w:val="single"/>
              </w:rPr>
              <w:t>必须按招标文件规定的格式进行编制外，其余格式仅供参考不作为投标文件有效性审查的条件）</w:t>
            </w:r>
            <w:r>
              <w:rPr>
                <w:rFonts w:hint="eastAsia" w:ascii="宋体" w:hAnsi="宋体" w:cs="宋体"/>
                <w:color w:val="auto"/>
                <w:szCs w:val="21"/>
                <w:highlight w:val="none"/>
              </w:rPr>
              <w:t>，或主要内容不全，或关键字迹模糊、无法辨认的；</w:t>
            </w:r>
          </w:p>
        </w:tc>
        <w:tc>
          <w:tcPr>
            <w:tcW w:w="1056" w:type="dxa"/>
            <w:tcBorders>
              <w:top w:val="single" w:color="auto" w:sz="4" w:space="0"/>
              <w:left w:val="single" w:color="auto" w:sz="4" w:space="0"/>
              <w:bottom w:val="single" w:color="auto" w:sz="4" w:space="0"/>
              <w:right w:val="single" w:color="auto" w:sz="4" w:space="0"/>
            </w:tcBorders>
            <w:noWrap w:val="0"/>
            <w:vAlign w:val="top"/>
          </w:tcPr>
          <w:p w14:paraId="3D9D63DA">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1857E61A">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0950940">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33F5806E">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D4B8276">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171AC2DA">
            <w:pPr>
              <w:adjustRightInd w:val="0"/>
              <w:rPr>
                <w:rFonts w:hint="eastAsia" w:ascii="宋体" w:hAnsi="宋体" w:cs="宋体"/>
                <w:color w:val="auto"/>
                <w:szCs w:val="21"/>
                <w:highlight w:val="none"/>
              </w:rPr>
            </w:pPr>
          </w:p>
        </w:tc>
      </w:tr>
      <w:tr w14:paraId="0DEC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6E0B7C5B">
            <w:pPr>
              <w:adjustRightIn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5</w:t>
            </w:r>
          </w:p>
        </w:tc>
        <w:tc>
          <w:tcPr>
            <w:tcW w:w="7809" w:type="dxa"/>
            <w:tcBorders>
              <w:top w:val="single" w:color="auto" w:sz="4" w:space="0"/>
              <w:left w:val="single" w:color="auto" w:sz="4" w:space="0"/>
              <w:bottom w:val="single" w:color="auto" w:sz="4" w:space="0"/>
              <w:right w:val="single" w:color="auto" w:sz="4" w:space="0"/>
            </w:tcBorders>
            <w:noWrap w:val="0"/>
            <w:vAlign w:val="center"/>
          </w:tcPr>
          <w:p w14:paraId="424B929C">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投标人之间存在《广东省实施&lt;中华人民共和国招标投标法&gt;办法》第十六条所禁止的情形的；</w:t>
            </w:r>
          </w:p>
        </w:tc>
        <w:tc>
          <w:tcPr>
            <w:tcW w:w="1056" w:type="dxa"/>
            <w:tcBorders>
              <w:top w:val="single" w:color="auto" w:sz="4" w:space="0"/>
              <w:left w:val="single" w:color="auto" w:sz="4" w:space="0"/>
              <w:bottom w:val="single" w:color="auto" w:sz="4" w:space="0"/>
              <w:right w:val="single" w:color="auto" w:sz="4" w:space="0"/>
            </w:tcBorders>
            <w:noWrap w:val="0"/>
            <w:vAlign w:val="top"/>
          </w:tcPr>
          <w:p w14:paraId="68166F48">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78329C3">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8AC4C7F">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2F5E91C">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03D3312">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54A24DAE">
            <w:pPr>
              <w:adjustRightInd w:val="0"/>
              <w:rPr>
                <w:rFonts w:hint="eastAsia" w:ascii="宋体" w:hAnsi="宋体" w:cs="宋体"/>
                <w:color w:val="auto"/>
                <w:szCs w:val="21"/>
                <w:highlight w:val="none"/>
              </w:rPr>
            </w:pPr>
          </w:p>
        </w:tc>
      </w:tr>
      <w:tr w14:paraId="067D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48CFAEC1">
            <w:pPr>
              <w:adjustRightIn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6</w:t>
            </w:r>
          </w:p>
        </w:tc>
        <w:tc>
          <w:tcPr>
            <w:tcW w:w="7809" w:type="dxa"/>
            <w:tcBorders>
              <w:top w:val="single" w:color="auto" w:sz="4" w:space="0"/>
              <w:left w:val="single" w:color="auto" w:sz="4" w:space="0"/>
              <w:bottom w:val="single" w:color="auto" w:sz="4" w:space="0"/>
              <w:right w:val="single" w:color="auto" w:sz="4" w:space="0"/>
            </w:tcBorders>
            <w:noWrap w:val="0"/>
            <w:vAlign w:val="center"/>
          </w:tcPr>
          <w:p w14:paraId="04B4EF2C">
            <w:pPr>
              <w:adjustRightInd w:val="0"/>
              <w:rPr>
                <w:rFonts w:hint="eastAsia"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1056" w:type="dxa"/>
            <w:tcBorders>
              <w:top w:val="single" w:color="auto" w:sz="4" w:space="0"/>
              <w:left w:val="single" w:color="auto" w:sz="4" w:space="0"/>
              <w:bottom w:val="single" w:color="auto" w:sz="4" w:space="0"/>
              <w:right w:val="single" w:color="auto" w:sz="4" w:space="0"/>
            </w:tcBorders>
            <w:noWrap w:val="0"/>
            <w:vAlign w:val="top"/>
          </w:tcPr>
          <w:p w14:paraId="43256F53">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8374ED0">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52244F52">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1066ECEC">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CFF3525">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187DFC0E">
            <w:pPr>
              <w:adjustRightInd w:val="0"/>
              <w:rPr>
                <w:rFonts w:hint="eastAsia" w:ascii="宋体" w:hAnsi="宋体" w:cs="宋体"/>
                <w:color w:val="auto"/>
                <w:szCs w:val="21"/>
                <w:highlight w:val="none"/>
              </w:rPr>
            </w:pPr>
          </w:p>
        </w:tc>
      </w:tr>
      <w:tr w14:paraId="6147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06A69CED">
            <w:pPr>
              <w:adjustRightIn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7</w:t>
            </w:r>
          </w:p>
        </w:tc>
        <w:tc>
          <w:tcPr>
            <w:tcW w:w="7809" w:type="dxa"/>
            <w:tcBorders>
              <w:top w:val="single" w:color="auto" w:sz="4" w:space="0"/>
              <w:left w:val="single" w:color="auto" w:sz="4" w:space="0"/>
              <w:bottom w:val="single" w:color="auto" w:sz="4" w:space="0"/>
              <w:right w:val="single" w:color="auto" w:sz="4" w:space="0"/>
            </w:tcBorders>
            <w:noWrap w:val="0"/>
            <w:vAlign w:val="center"/>
          </w:tcPr>
          <w:p w14:paraId="0ACD65E3">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投标人与</w:t>
            </w:r>
            <w:r>
              <w:rPr>
                <w:rFonts w:hint="eastAsia" w:ascii="宋体" w:hAnsi="宋体" w:cs="宋体"/>
                <w:color w:val="auto"/>
                <w:szCs w:val="21"/>
                <w:highlight w:val="none"/>
                <w:u w:val="single"/>
              </w:rPr>
              <w:t>本项目</w:t>
            </w:r>
            <w:r>
              <w:rPr>
                <w:rFonts w:hint="eastAsia" w:ascii="宋体" w:hAnsi="宋体" w:cs="宋体"/>
                <w:color w:val="auto"/>
                <w:szCs w:val="21"/>
                <w:highlight w:val="none"/>
              </w:rPr>
              <w:t>其他投标人加密打包投标文件电脑机器特征码一致的(以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交易平台评标系统的检索信息为准)。</w:t>
            </w:r>
          </w:p>
        </w:tc>
        <w:tc>
          <w:tcPr>
            <w:tcW w:w="1056" w:type="dxa"/>
            <w:tcBorders>
              <w:top w:val="single" w:color="auto" w:sz="4" w:space="0"/>
              <w:left w:val="single" w:color="auto" w:sz="4" w:space="0"/>
              <w:bottom w:val="single" w:color="auto" w:sz="4" w:space="0"/>
              <w:right w:val="single" w:color="auto" w:sz="4" w:space="0"/>
            </w:tcBorders>
            <w:noWrap w:val="0"/>
            <w:vAlign w:val="top"/>
          </w:tcPr>
          <w:p w14:paraId="2F278D76">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4700D1F">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416FBB8">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AC690B9">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3061FAB">
            <w:pPr>
              <w:adjustRightInd w:val="0"/>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EC80790">
            <w:pPr>
              <w:adjustRightInd w:val="0"/>
              <w:rPr>
                <w:rFonts w:hint="eastAsia" w:ascii="宋体" w:hAnsi="宋体" w:cs="宋体"/>
                <w:color w:val="auto"/>
                <w:szCs w:val="21"/>
                <w:highlight w:val="none"/>
              </w:rPr>
            </w:pPr>
          </w:p>
        </w:tc>
      </w:tr>
    </w:tbl>
    <w:p w14:paraId="30137329">
      <w:pPr>
        <w:rPr>
          <w:rFonts w:hint="eastAsia" w:ascii="宋体" w:hAnsi="宋体" w:cs="宋体"/>
          <w:color w:val="auto"/>
          <w:sz w:val="20"/>
          <w:szCs w:val="20"/>
          <w:highlight w:val="none"/>
        </w:rPr>
      </w:pPr>
      <w:r>
        <w:rPr>
          <w:rFonts w:hint="eastAsia" w:ascii="宋体" w:hAnsi="宋体" w:cs="宋体"/>
          <w:color w:val="auto"/>
          <w:sz w:val="20"/>
          <w:szCs w:val="20"/>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3E8300C8">
      <w:pPr>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5505B82A">
      <w:pPr>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3.凡出现以上任何一项情形，结论均为无效，否则就为有效。</w:t>
      </w:r>
    </w:p>
    <w:p w14:paraId="549A6E70">
      <w:pPr>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4.如对本表中某种情形的评审意见不一致时，以评标委员会过半数成员的意见作为评标委员会对该情形的认定结论。</w:t>
      </w:r>
    </w:p>
    <w:p w14:paraId="3299E8FA">
      <w:pPr>
        <w:rPr>
          <w:rFonts w:hint="eastAsia" w:ascii="宋体" w:hAnsi="宋体" w:cs="宋体"/>
          <w:color w:val="auto"/>
          <w:highlight w:val="none"/>
        </w:rPr>
      </w:pPr>
      <w:r>
        <w:rPr>
          <w:rFonts w:hint="eastAsia" w:ascii="宋体" w:hAnsi="宋体" w:cs="宋体"/>
          <w:color w:val="auto"/>
          <w:sz w:val="20"/>
          <w:szCs w:val="20"/>
          <w:highlight w:val="none"/>
        </w:rPr>
        <w:t xml:space="preserve">评委签名： </w:t>
      </w:r>
      <w:r>
        <w:rPr>
          <w:rFonts w:hint="eastAsia" w:ascii="宋体" w:hAnsi="宋体" w:cs="宋体"/>
          <w:color w:val="auto"/>
          <w:szCs w:val="21"/>
          <w:highlight w:val="none"/>
        </w:rPr>
        <w:t xml:space="preserve">                                                    日期：</w:t>
      </w:r>
    </w:p>
    <w:p w14:paraId="3E21C759">
      <w:pPr>
        <w:pStyle w:val="4"/>
        <w:jc w:val="left"/>
        <w:rPr>
          <w:rFonts w:hint="eastAsia" w:cs="宋体"/>
          <w:color w:val="auto"/>
          <w:highlight w:val="none"/>
        </w:rPr>
      </w:pPr>
      <w:bookmarkStart w:id="44" w:name="_Toc8697"/>
      <w:bookmarkStart w:id="45" w:name="_Toc100130484"/>
      <w:r>
        <w:rPr>
          <w:rFonts w:hint="eastAsia" w:cs="宋体"/>
          <w:color w:val="auto"/>
          <w:highlight w:val="none"/>
        </w:rPr>
        <w:t>附表三</w:t>
      </w:r>
      <w:bookmarkEnd w:id="44"/>
      <w:bookmarkEnd w:id="45"/>
    </w:p>
    <w:p w14:paraId="63608408">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14:paraId="5AFF7984">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50"/>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648"/>
        <w:gridCol w:w="851"/>
        <w:gridCol w:w="1030"/>
        <w:gridCol w:w="1005"/>
        <w:gridCol w:w="942"/>
        <w:gridCol w:w="992"/>
        <w:gridCol w:w="850"/>
      </w:tblGrid>
      <w:tr w14:paraId="7CF4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616F459B">
            <w:pP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648"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76C2BB28">
            <w:pPr>
              <w:ind w:firstLine="3990" w:firstLineChars="1900"/>
              <w:rPr>
                <w:rFonts w:hint="eastAsia" w:ascii="宋体" w:hAnsi="宋体" w:cs="宋体"/>
                <w:color w:val="auto"/>
                <w:szCs w:val="21"/>
                <w:highlight w:val="none"/>
              </w:rPr>
            </w:pPr>
            <w:r>
              <w:rPr>
                <w:rFonts w:hint="eastAsia" w:ascii="宋体" w:hAnsi="宋体" w:cs="宋体"/>
                <w:color w:val="auto"/>
                <w:szCs w:val="21"/>
                <w:highlight w:val="none"/>
              </w:rPr>
              <w:t>投标人</w:t>
            </w:r>
          </w:p>
          <w:p w14:paraId="665B9667">
            <w:pPr>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851" w:type="dxa"/>
            <w:tcBorders>
              <w:top w:val="single" w:color="auto" w:sz="4" w:space="0"/>
              <w:left w:val="single" w:color="auto" w:sz="4" w:space="0"/>
              <w:bottom w:val="single" w:color="auto" w:sz="4" w:space="0"/>
              <w:right w:val="single" w:color="auto" w:sz="4" w:space="0"/>
            </w:tcBorders>
            <w:noWrap w:val="0"/>
            <w:vAlign w:val="top"/>
          </w:tcPr>
          <w:p w14:paraId="464A5301">
            <w:pPr>
              <w:rPr>
                <w:rFonts w:hint="eastAsia" w:ascii="宋体" w:hAnsi="宋体" w:cs="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noWrap w:val="0"/>
            <w:vAlign w:val="top"/>
          </w:tcPr>
          <w:p w14:paraId="4335906C">
            <w:pPr>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3A15E34D">
            <w:pPr>
              <w:rPr>
                <w:rFonts w:hint="eastAsia" w:ascii="宋体" w:hAnsi="宋体" w:cs="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3EBACAEE">
            <w:pPr>
              <w:rPr>
                <w:rFonts w:hint="eastAsia" w:ascii="宋体" w:hAnsi="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C650525">
            <w:pPr>
              <w:rPr>
                <w:rFonts w:hint="eastAsia"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4AAC6BC">
            <w:pPr>
              <w:rPr>
                <w:rFonts w:hint="eastAsia" w:ascii="宋体" w:hAnsi="宋体" w:cs="宋体"/>
                <w:color w:val="auto"/>
                <w:szCs w:val="21"/>
                <w:highlight w:val="none"/>
              </w:rPr>
            </w:pPr>
          </w:p>
        </w:tc>
      </w:tr>
      <w:tr w14:paraId="7671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2BD92B70">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8648" w:type="dxa"/>
            <w:tcBorders>
              <w:top w:val="single" w:color="auto" w:sz="4" w:space="0"/>
              <w:left w:val="single" w:color="auto" w:sz="4" w:space="0"/>
              <w:bottom w:val="single" w:color="auto" w:sz="4" w:space="0"/>
              <w:right w:val="single" w:color="auto" w:sz="4" w:space="0"/>
            </w:tcBorders>
            <w:noWrap w:val="0"/>
            <w:vAlign w:val="center"/>
          </w:tcPr>
          <w:p w14:paraId="0341E30C">
            <w:pPr>
              <w:rPr>
                <w:rFonts w:hint="eastAsia"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851" w:type="dxa"/>
            <w:tcBorders>
              <w:top w:val="single" w:color="auto" w:sz="4" w:space="0"/>
              <w:left w:val="single" w:color="auto" w:sz="4" w:space="0"/>
              <w:bottom w:val="single" w:color="auto" w:sz="4" w:space="0"/>
              <w:right w:val="single" w:color="auto" w:sz="4" w:space="0"/>
            </w:tcBorders>
            <w:noWrap w:val="0"/>
            <w:vAlign w:val="top"/>
          </w:tcPr>
          <w:p w14:paraId="5ED8838A">
            <w:pPr>
              <w:rPr>
                <w:rFonts w:hint="eastAsia" w:ascii="宋体" w:hAnsi="宋体" w:cs="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noWrap w:val="0"/>
            <w:vAlign w:val="top"/>
          </w:tcPr>
          <w:p w14:paraId="32126427">
            <w:pPr>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06340D06">
            <w:pPr>
              <w:rPr>
                <w:rFonts w:hint="eastAsia" w:ascii="宋体" w:hAnsi="宋体" w:cs="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327A457A">
            <w:pPr>
              <w:rPr>
                <w:rFonts w:hint="eastAsia" w:ascii="宋体" w:hAnsi="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B39F18E">
            <w:pPr>
              <w:rPr>
                <w:rFonts w:hint="eastAsia"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FB1DA4A">
            <w:pPr>
              <w:rPr>
                <w:rFonts w:hint="eastAsia" w:ascii="宋体" w:hAnsi="宋体" w:cs="宋体"/>
                <w:color w:val="auto"/>
                <w:szCs w:val="21"/>
                <w:highlight w:val="none"/>
              </w:rPr>
            </w:pPr>
          </w:p>
        </w:tc>
      </w:tr>
      <w:tr w14:paraId="7942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300D308B">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8648" w:type="dxa"/>
            <w:tcBorders>
              <w:top w:val="single" w:color="auto" w:sz="4" w:space="0"/>
              <w:left w:val="single" w:color="auto" w:sz="4" w:space="0"/>
              <w:bottom w:val="single" w:color="auto" w:sz="4" w:space="0"/>
              <w:right w:val="single" w:color="auto" w:sz="4" w:space="0"/>
            </w:tcBorders>
            <w:noWrap w:val="0"/>
            <w:vAlign w:val="center"/>
          </w:tcPr>
          <w:p w14:paraId="0C3E2AB0">
            <w:pPr>
              <w:rPr>
                <w:rFonts w:hint="eastAsia" w:ascii="宋体" w:hAnsi="宋体" w:cs="宋体"/>
                <w:color w:val="auto"/>
                <w:szCs w:val="21"/>
                <w:highlight w:val="none"/>
              </w:rPr>
            </w:pPr>
            <w:r>
              <w:rPr>
                <w:rFonts w:hint="eastAsia" w:ascii="宋体" w:hAnsi="宋体" w:cs="宋体"/>
                <w:color w:val="auto"/>
                <w:szCs w:val="21"/>
                <w:highlight w:val="none"/>
              </w:rPr>
              <w:t>投标报价高于最高投标限价的，</w:t>
            </w:r>
            <w:r>
              <w:rPr>
                <w:rFonts w:hint="eastAsia"/>
                <w:color w:val="auto"/>
                <w:szCs w:val="21"/>
                <w:highlight w:val="none"/>
                <w:u w:val="single"/>
              </w:rPr>
              <w:t>或投标报价中任一项投标综合单价高于工程量清单中相应的综合单价限价</w:t>
            </w:r>
            <w:r>
              <w:rPr>
                <w:rFonts w:hint="eastAsia" w:ascii="宋体" w:hAnsi="宋体"/>
                <w:color w:val="auto"/>
                <w:szCs w:val="21"/>
                <w:highlight w:val="none"/>
                <w:u w:val="single"/>
              </w:rPr>
              <w:t>的</w:t>
            </w:r>
            <w:r>
              <w:rPr>
                <w:rFonts w:hint="eastAsia" w:ascii="宋体" w:hAnsi="宋体" w:cs="宋体"/>
                <w:color w:val="auto"/>
                <w:szCs w:val="21"/>
                <w:highlight w:val="none"/>
              </w:rPr>
              <w:t>；</w:t>
            </w:r>
          </w:p>
        </w:tc>
        <w:tc>
          <w:tcPr>
            <w:tcW w:w="851" w:type="dxa"/>
            <w:tcBorders>
              <w:top w:val="single" w:color="auto" w:sz="4" w:space="0"/>
              <w:left w:val="single" w:color="auto" w:sz="4" w:space="0"/>
              <w:bottom w:val="single" w:color="auto" w:sz="4" w:space="0"/>
              <w:right w:val="single" w:color="auto" w:sz="4" w:space="0"/>
            </w:tcBorders>
            <w:noWrap w:val="0"/>
            <w:vAlign w:val="top"/>
          </w:tcPr>
          <w:p w14:paraId="4B6201F4">
            <w:pPr>
              <w:rPr>
                <w:rFonts w:hint="eastAsia" w:ascii="宋体" w:hAnsi="宋体" w:cs="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noWrap w:val="0"/>
            <w:vAlign w:val="top"/>
          </w:tcPr>
          <w:p w14:paraId="12528AF0">
            <w:pPr>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6D93983D">
            <w:pPr>
              <w:rPr>
                <w:rFonts w:hint="eastAsia" w:ascii="宋体" w:hAnsi="宋体" w:cs="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71385E42">
            <w:pPr>
              <w:rPr>
                <w:rFonts w:hint="eastAsia" w:ascii="宋体" w:hAnsi="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203510D">
            <w:pPr>
              <w:rPr>
                <w:rFonts w:hint="eastAsia"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8937D23">
            <w:pPr>
              <w:rPr>
                <w:rFonts w:hint="eastAsia" w:ascii="宋体" w:hAnsi="宋体" w:cs="宋体"/>
                <w:color w:val="auto"/>
                <w:szCs w:val="21"/>
                <w:highlight w:val="none"/>
              </w:rPr>
            </w:pPr>
          </w:p>
        </w:tc>
      </w:tr>
      <w:tr w14:paraId="47E6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33EC5865">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8648" w:type="dxa"/>
            <w:tcBorders>
              <w:top w:val="single" w:color="auto" w:sz="4" w:space="0"/>
              <w:left w:val="single" w:color="auto" w:sz="4" w:space="0"/>
              <w:bottom w:val="single" w:color="auto" w:sz="4" w:space="0"/>
              <w:right w:val="single" w:color="auto" w:sz="4" w:space="0"/>
            </w:tcBorders>
            <w:noWrap w:val="0"/>
            <w:vAlign w:val="center"/>
          </w:tcPr>
          <w:p w14:paraId="26D67CE7">
            <w:pPr>
              <w:autoSpaceDE w:val="0"/>
              <w:autoSpaceDN w:val="0"/>
              <w:adjustRightInd w:val="0"/>
              <w:ind w:left="-2" w:leftChars="-1"/>
              <w:jc w:val="left"/>
              <w:rPr>
                <w:rFonts w:hint="eastAsia" w:ascii="宋体" w:hAnsi="宋体" w:cs="宋体"/>
                <w:color w:val="auto"/>
                <w:szCs w:val="21"/>
                <w:highlight w:val="none"/>
              </w:rPr>
            </w:pPr>
            <w:r>
              <w:rPr>
                <w:rFonts w:hint="eastAsia" w:ascii="宋体" w:hAnsi="宋体" w:cs="宋体"/>
                <w:color w:val="auto"/>
                <w:szCs w:val="21"/>
                <w:highlight w:val="none"/>
              </w:rPr>
              <w:t>投标报价低于成本的；</w:t>
            </w:r>
          </w:p>
        </w:tc>
        <w:tc>
          <w:tcPr>
            <w:tcW w:w="851" w:type="dxa"/>
            <w:tcBorders>
              <w:top w:val="single" w:color="auto" w:sz="4" w:space="0"/>
              <w:left w:val="single" w:color="auto" w:sz="4" w:space="0"/>
              <w:bottom w:val="single" w:color="auto" w:sz="4" w:space="0"/>
              <w:right w:val="single" w:color="auto" w:sz="4" w:space="0"/>
            </w:tcBorders>
            <w:noWrap w:val="0"/>
            <w:vAlign w:val="top"/>
          </w:tcPr>
          <w:p w14:paraId="65A43D85">
            <w:pPr>
              <w:rPr>
                <w:rFonts w:hint="eastAsia" w:ascii="宋体" w:hAnsi="宋体" w:cs="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noWrap w:val="0"/>
            <w:vAlign w:val="top"/>
          </w:tcPr>
          <w:p w14:paraId="4FB3CD0D">
            <w:pPr>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74799884">
            <w:pPr>
              <w:rPr>
                <w:rFonts w:hint="eastAsia" w:ascii="宋体" w:hAnsi="宋体" w:cs="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4093AA39">
            <w:pPr>
              <w:rPr>
                <w:rFonts w:hint="eastAsia" w:ascii="宋体" w:hAnsi="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9CC5145">
            <w:pPr>
              <w:rPr>
                <w:rFonts w:hint="eastAsia"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DE4D791">
            <w:pPr>
              <w:rPr>
                <w:rFonts w:hint="eastAsia" w:ascii="宋体" w:hAnsi="宋体" w:cs="宋体"/>
                <w:color w:val="auto"/>
                <w:szCs w:val="21"/>
                <w:highlight w:val="none"/>
              </w:rPr>
            </w:pPr>
          </w:p>
        </w:tc>
      </w:tr>
      <w:tr w14:paraId="27B1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18053B57">
            <w:pPr>
              <w:rPr>
                <w:rFonts w:hint="eastAsia" w:ascii="宋体" w:hAnsi="宋体" w:cs="宋体"/>
                <w:color w:val="auto"/>
                <w:szCs w:val="21"/>
                <w:highlight w:val="none"/>
              </w:rPr>
            </w:pPr>
            <w:r>
              <w:rPr>
                <w:rFonts w:hint="eastAsia" w:ascii="宋体" w:hAnsi="宋体" w:cs="宋体"/>
                <w:color w:val="auto"/>
                <w:szCs w:val="21"/>
                <w:highlight w:val="none"/>
              </w:rPr>
              <w:t>4</w:t>
            </w:r>
          </w:p>
        </w:tc>
        <w:tc>
          <w:tcPr>
            <w:tcW w:w="8648" w:type="dxa"/>
            <w:tcBorders>
              <w:top w:val="single" w:color="auto" w:sz="4" w:space="0"/>
              <w:left w:val="single" w:color="auto" w:sz="4" w:space="0"/>
              <w:bottom w:val="single" w:color="auto" w:sz="4" w:space="0"/>
              <w:right w:val="single" w:color="auto" w:sz="4" w:space="0"/>
            </w:tcBorders>
            <w:noWrap w:val="0"/>
            <w:vAlign w:val="center"/>
          </w:tcPr>
          <w:p w14:paraId="2FB41F6B">
            <w:pPr>
              <w:rPr>
                <w:rFonts w:hint="eastAsia" w:ascii="宋体" w:hAnsi="宋体" w:cs="宋体"/>
                <w:color w:val="auto"/>
                <w:szCs w:val="21"/>
                <w:highlight w:val="none"/>
              </w:rPr>
            </w:pPr>
            <w:r>
              <w:rPr>
                <w:rFonts w:hint="eastAsia" w:ascii="宋体" w:hAnsi="宋体" w:cs="宋体"/>
                <w:color w:val="auto"/>
                <w:szCs w:val="21"/>
                <w:highlight w:val="none"/>
              </w:rPr>
              <w:t>投标文件未按规定的格式填写</w:t>
            </w:r>
            <w:r>
              <w:rPr>
                <w:rFonts w:hint="eastAsia" w:ascii="宋体" w:hAnsi="宋体" w:cs="宋体"/>
                <w:color w:val="auto"/>
                <w:highlight w:val="none"/>
                <w:u w:val="single"/>
              </w:rPr>
              <w:t>（除第四章投标文件格式中格式三、格式四必须按招标文件规定的格式进行编制外，其余格式仅供参考不作为投标文件有效性审查的条件）</w:t>
            </w:r>
            <w:r>
              <w:rPr>
                <w:rFonts w:hint="eastAsia" w:ascii="宋体" w:hAnsi="宋体" w:cs="宋体"/>
                <w:color w:val="auto"/>
                <w:szCs w:val="21"/>
                <w:highlight w:val="none"/>
              </w:rPr>
              <w:t>，或主要内容不全，或关键字迹模糊、无法辨认的；</w:t>
            </w:r>
          </w:p>
        </w:tc>
        <w:tc>
          <w:tcPr>
            <w:tcW w:w="851" w:type="dxa"/>
            <w:tcBorders>
              <w:top w:val="single" w:color="auto" w:sz="4" w:space="0"/>
              <w:left w:val="single" w:color="auto" w:sz="4" w:space="0"/>
              <w:bottom w:val="single" w:color="auto" w:sz="4" w:space="0"/>
              <w:right w:val="single" w:color="auto" w:sz="4" w:space="0"/>
            </w:tcBorders>
            <w:noWrap w:val="0"/>
            <w:vAlign w:val="top"/>
          </w:tcPr>
          <w:p w14:paraId="18D27D5C">
            <w:pPr>
              <w:rPr>
                <w:rFonts w:hint="eastAsia" w:ascii="宋体" w:hAnsi="宋体" w:cs="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noWrap w:val="0"/>
            <w:vAlign w:val="top"/>
          </w:tcPr>
          <w:p w14:paraId="3D3CED0B">
            <w:pPr>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3B183B5F">
            <w:pPr>
              <w:rPr>
                <w:rFonts w:hint="eastAsia" w:ascii="宋体" w:hAnsi="宋体" w:cs="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3F7FD180">
            <w:pPr>
              <w:rPr>
                <w:rFonts w:hint="eastAsia" w:ascii="宋体" w:hAnsi="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A9DC93B">
            <w:pPr>
              <w:rPr>
                <w:rFonts w:hint="eastAsia"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1198F42">
            <w:pPr>
              <w:rPr>
                <w:rFonts w:hint="eastAsia" w:ascii="宋体" w:hAnsi="宋体" w:cs="宋体"/>
                <w:color w:val="auto"/>
                <w:szCs w:val="21"/>
                <w:highlight w:val="none"/>
              </w:rPr>
            </w:pPr>
          </w:p>
        </w:tc>
      </w:tr>
      <w:tr w14:paraId="4940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2C9C24BC">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8648" w:type="dxa"/>
            <w:tcBorders>
              <w:top w:val="single" w:color="auto" w:sz="4" w:space="0"/>
              <w:left w:val="single" w:color="auto" w:sz="4" w:space="0"/>
              <w:bottom w:val="single" w:color="auto" w:sz="4" w:space="0"/>
              <w:right w:val="single" w:color="auto" w:sz="4" w:space="0"/>
            </w:tcBorders>
            <w:noWrap w:val="0"/>
            <w:vAlign w:val="center"/>
          </w:tcPr>
          <w:p w14:paraId="1DEEE666">
            <w:pPr>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投标人之间存在《广东省实施&lt;中华人民共和国招标投标法&gt;办法》第十六条所禁止的情形的；</w:t>
            </w:r>
          </w:p>
        </w:tc>
        <w:tc>
          <w:tcPr>
            <w:tcW w:w="851" w:type="dxa"/>
            <w:tcBorders>
              <w:top w:val="single" w:color="auto" w:sz="4" w:space="0"/>
              <w:left w:val="single" w:color="auto" w:sz="4" w:space="0"/>
              <w:bottom w:val="single" w:color="auto" w:sz="4" w:space="0"/>
              <w:right w:val="single" w:color="auto" w:sz="4" w:space="0"/>
            </w:tcBorders>
            <w:noWrap w:val="0"/>
            <w:vAlign w:val="top"/>
          </w:tcPr>
          <w:p w14:paraId="4B0BAF20">
            <w:pPr>
              <w:rPr>
                <w:rFonts w:hint="eastAsia" w:ascii="宋体" w:hAnsi="宋体" w:cs="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noWrap w:val="0"/>
            <w:vAlign w:val="top"/>
          </w:tcPr>
          <w:p w14:paraId="548C7AB8">
            <w:pPr>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2456F0A3">
            <w:pPr>
              <w:rPr>
                <w:rFonts w:hint="eastAsia" w:ascii="宋体" w:hAnsi="宋体" w:cs="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0F677577">
            <w:pPr>
              <w:rPr>
                <w:rFonts w:hint="eastAsia" w:ascii="宋体" w:hAnsi="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A2AB8E8">
            <w:pPr>
              <w:rPr>
                <w:rFonts w:hint="eastAsia"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B1D88A4">
            <w:pPr>
              <w:rPr>
                <w:rFonts w:hint="eastAsia" w:ascii="宋体" w:hAnsi="宋体" w:cs="宋体"/>
                <w:color w:val="auto"/>
                <w:szCs w:val="21"/>
                <w:highlight w:val="none"/>
              </w:rPr>
            </w:pPr>
          </w:p>
        </w:tc>
      </w:tr>
      <w:tr w14:paraId="6D87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6FD5E388">
            <w:pPr>
              <w:rPr>
                <w:rFonts w:hint="eastAsia" w:ascii="宋体" w:hAnsi="宋体" w:cs="宋体"/>
                <w:color w:val="auto"/>
                <w:szCs w:val="21"/>
                <w:highlight w:val="none"/>
              </w:rPr>
            </w:pPr>
            <w:r>
              <w:rPr>
                <w:rFonts w:hint="eastAsia" w:ascii="宋体" w:hAnsi="宋体" w:cs="宋体"/>
                <w:color w:val="auto"/>
                <w:szCs w:val="21"/>
                <w:highlight w:val="none"/>
              </w:rPr>
              <w:t>6</w:t>
            </w:r>
          </w:p>
        </w:tc>
        <w:tc>
          <w:tcPr>
            <w:tcW w:w="8648" w:type="dxa"/>
            <w:tcBorders>
              <w:top w:val="single" w:color="auto" w:sz="4" w:space="0"/>
              <w:left w:val="single" w:color="auto" w:sz="4" w:space="0"/>
              <w:bottom w:val="single" w:color="auto" w:sz="4" w:space="0"/>
              <w:right w:val="single" w:color="auto" w:sz="4" w:space="0"/>
            </w:tcBorders>
            <w:noWrap w:val="0"/>
            <w:vAlign w:val="center"/>
          </w:tcPr>
          <w:p w14:paraId="24F02439">
            <w:pPr>
              <w:rPr>
                <w:rFonts w:hint="eastAsia"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851" w:type="dxa"/>
            <w:tcBorders>
              <w:top w:val="single" w:color="auto" w:sz="4" w:space="0"/>
              <w:left w:val="single" w:color="auto" w:sz="4" w:space="0"/>
              <w:bottom w:val="single" w:color="auto" w:sz="4" w:space="0"/>
              <w:right w:val="single" w:color="auto" w:sz="4" w:space="0"/>
            </w:tcBorders>
            <w:noWrap w:val="0"/>
            <w:vAlign w:val="top"/>
          </w:tcPr>
          <w:p w14:paraId="10DCB71F">
            <w:pPr>
              <w:rPr>
                <w:rFonts w:hint="eastAsia" w:ascii="宋体" w:hAnsi="宋体" w:cs="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noWrap w:val="0"/>
            <w:vAlign w:val="top"/>
          </w:tcPr>
          <w:p w14:paraId="0E5BE030">
            <w:pPr>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5304F835">
            <w:pPr>
              <w:rPr>
                <w:rFonts w:hint="eastAsia" w:ascii="宋体" w:hAnsi="宋体" w:cs="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6B1C7C3D">
            <w:pPr>
              <w:rPr>
                <w:rFonts w:hint="eastAsia" w:ascii="宋体" w:hAnsi="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F2D79D5">
            <w:pPr>
              <w:rPr>
                <w:rFonts w:hint="eastAsia"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673A0CC">
            <w:pPr>
              <w:rPr>
                <w:rFonts w:hint="eastAsia" w:ascii="宋体" w:hAnsi="宋体" w:cs="宋体"/>
                <w:color w:val="auto"/>
                <w:szCs w:val="21"/>
                <w:highlight w:val="none"/>
              </w:rPr>
            </w:pPr>
          </w:p>
        </w:tc>
      </w:tr>
      <w:tr w14:paraId="55E4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5AE7BF52">
            <w:pPr>
              <w:rPr>
                <w:rFonts w:hint="eastAsia" w:ascii="宋体" w:hAnsi="宋体" w:cs="宋体"/>
                <w:color w:val="auto"/>
                <w:szCs w:val="21"/>
                <w:highlight w:val="none"/>
              </w:rPr>
            </w:pPr>
            <w:r>
              <w:rPr>
                <w:rFonts w:hint="eastAsia" w:ascii="宋体" w:hAnsi="宋体" w:cs="宋体"/>
                <w:color w:val="auto"/>
                <w:szCs w:val="21"/>
                <w:highlight w:val="none"/>
              </w:rPr>
              <w:t>7</w:t>
            </w:r>
          </w:p>
        </w:tc>
        <w:tc>
          <w:tcPr>
            <w:tcW w:w="8648" w:type="dxa"/>
            <w:tcBorders>
              <w:top w:val="single" w:color="auto" w:sz="4" w:space="0"/>
              <w:left w:val="single" w:color="auto" w:sz="4" w:space="0"/>
              <w:bottom w:val="single" w:color="auto" w:sz="4" w:space="0"/>
              <w:right w:val="single" w:color="auto" w:sz="4" w:space="0"/>
            </w:tcBorders>
            <w:noWrap w:val="0"/>
            <w:vAlign w:val="center"/>
          </w:tcPr>
          <w:p w14:paraId="0ACE3D03">
            <w:pPr>
              <w:rPr>
                <w:rFonts w:hint="eastAsia"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851" w:type="dxa"/>
            <w:tcBorders>
              <w:top w:val="single" w:color="auto" w:sz="4" w:space="0"/>
              <w:left w:val="single" w:color="auto" w:sz="4" w:space="0"/>
              <w:bottom w:val="single" w:color="auto" w:sz="4" w:space="0"/>
              <w:right w:val="single" w:color="auto" w:sz="4" w:space="0"/>
            </w:tcBorders>
            <w:noWrap w:val="0"/>
            <w:vAlign w:val="top"/>
          </w:tcPr>
          <w:p w14:paraId="13CB936B">
            <w:pPr>
              <w:rPr>
                <w:rFonts w:hint="eastAsia" w:ascii="宋体" w:hAnsi="宋体" w:cs="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noWrap w:val="0"/>
            <w:vAlign w:val="top"/>
          </w:tcPr>
          <w:p w14:paraId="7EA48FE7">
            <w:pPr>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568918A7">
            <w:pPr>
              <w:rPr>
                <w:rFonts w:hint="eastAsia" w:ascii="宋体" w:hAnsi="宋体" w:cs="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2882CE63">
            <w:pPr>
              <w:rPr>
                <w:rFonts w:hint="eastAsia" w:ascii="宋体" w:hAnsi="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C5755C8">
            <w:pPr>
              <w:rPr>
                <w:rFonts w:hint="eastAsia"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9C02780">
            <w:pPr>
              <w:rPr>
                <w:rFonts w:hint="eastAsia" w:ascii="宋体" w:hAnsi="宋体" w:cs="宋体"/>
                <w:color w:val="auto"/>
                <w:szCs w:val="21"/>
                <w:highlight w:val="none"/>
              </w:rPr>
            </w:pPr>
          </w:p>
        </w:tc>
      </w:tr>
      <w:tr w14:paraId="0B6C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094548AF">
            <w:pPr>
              <w:rPr>
                <w:rFonts w:hint="eastAsia" w:ascii="宋体" w:hAnsi="宋体" w:cs="宋体"/>
                <w:color w:val="auto"/>
                <w:szCs w:val="21"/>
                <w:highlight w:val="none"/>
              </w:rPr>
            </w:pPr>
            <w:r>
              <w:rPr>
                <w:rFonts w:hint="eastAsia" w:ascii="宋体" w:hAnsi="宋体" w:cs="宋体"/>
                <w:color w:val="auto"/>
                <w:szCs w:val="21"/>
                <w:highlight w:val="none"/>
              </w:rPr>
              <w:t>8</w:t>
            </w:r>
          </w:p>
        </w:tc>
        <w:tc>
          <w:tcPr>
            <w:tcW w:w="8648" w:type="dxa"/>
            <w:tcBorders>
              <w:top w:val="single" w:color="auto" w:sz="4" w:space="0"/>
              <w:left w:val="single" w:color="auto" w:sz="4" w:space="0"/>
              <w:bottom w:val="single" w:color="auto" w:sz="4" w:space="0"/>
              <w:right w:val="single" w:color="auto" w:sz="4" w:space="0"/>
            </w:tcBorders>
            <w:noWrap w:val="0"/>
            <w:vAlign w:val="center"/>
          </w:tcPr>
          <w:p w14:paraId="58B7FABD">
            <w:pPr>
              <w:rPr>
                <w:rFonts w:hint="eastAsia" w:ascii="宋体" w:hAnsi="宋体" w:cs="宋体"/>
                <w:color w:val="auto"/>
                <w:szCs w:val="21"/>
                <w:highlight w:val="none"/>
              </w:rPr>
            </w:pPr>
            <w:r>
              <w:rPr>
                <w:rFonts w:hint="eastAsia" w:ascii="宋体" w:hAnsi="宋体" w:cs="宋体"/>
                <w:color w:val="auto"/>
                <w:highlight w:val="none"/>
                <w:u w:val="single"/>
              </w:rPr>
              <w:t>投标人与本项目其他投标人的投标文件工程量清单编制机器硬件信息一致的（以</w:t>
            </w:r>
            <w:r>
              <w:rPr>
                <w:rFonts w:hint="eastAsia" w:ascii="宋体" w:hAnsi="宋体" w:cs="宋体"/>
                <w:color w:val="auto"/>
                <w:szCs w:val="21"/>
                <w:highlight w:val="none"/>
                <w:u w:val="single"/>
              </w:rPr>
              <w:t>广州公共资源交易中心</w:t>
            </w:r>
            <w:r>
              <w:rPr>
                <w:rFonts w:hint="eastAsia" w:ascii="宋体" w:hAnsi="宋体" w:cs="宋体"/>
                <w:color w:val="auto"/>
                <w:highlight w:val="none"/>
                <w:u w:val="single"/>
              </w:rPr>
              <w:t>交易平台评标系统的检索信息为准）</w:t>
            </w:r>
          </w:p>
        </w:tc>
        <w:tc>
          <w:tcPr>
            <w:tcW w:w="851" w:type="dxa"/>
            <w:tcBorders>
              <w:top w:val="single" w:color="auto" w:sz="4" w:space="0"/>
              <w:left w:val="single" w:color="auto" w:sz="4" w:space="0"/>
              <w:bottom w:val="single" w:color="auto" w:sz="4" w:space="0"/>
              <w:right w:val="single" w:color="auto" w:sz="4" w:space="0"/>
            </w:tcBorders>
            <w:noWrap w:val="0"/>
            <w:vAlign w:val="top"/>
          </w:tcPr>
          <w:p w14:paraId="78E06973">
            <w:pPr>
              <w:rPr>
                <w:rFonts w:hint="eastAsia" w:ascii="宋体" w:hAnsi="宋体" w:cs="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noWrap w:val="0"/>
            <w:vAlign w:val="top"/>
          </w:tcPr>
          <w:p w14:paraId="7C516B89">
            <w:pPr>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7027B2D9">
            <w:pPr>
              <w:rPr>
                <w:rFonts w:hint="eastAsia" w:ascii="宋体" w:hAnsi="宋体" w:cs="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15FA341F">
            <w:pPr>
              <w:rPr>
                <w:rFonts w:hint="eastAsia" w:ascii="宋体" w:hAnsi="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344BAF6">
            <w:pPr>
              <w:rPr>
                <w:rFonts w:hint="eastAsia"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7826BE6">
            <w:pPr>
              <w:rPr>
                <w:rFonts w:hint="eastAsia" w:ascii="宋体" w:hAnsi="宋体" w:cs="宋体"/>
                <w:color w:val="auto"/>
                <w:szCs w:val="21"/>
                <w:highlight w:val="none"/>
              </w:rPr>
            </w:pPr>
          </w:p>
        </w:tc>
      </w:tr>
    </w:tbl>
    <w:p w14:paraId="40233466">
      <w:pPr>
        <w:ind w:firstLine="458"/>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67A1BD82">
      <w:pPr>
        <w:ind w:firstLine="458"/>
        <w:rPr>
          <w:rFonts w:hint="eastAsia"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1B2F7F6C">
      <w:pPr>
        <w:ind w:firstLine="458"/>
        <w:rPr>
          <w:rFonts w:hint="eastAsia"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3B92D0B3">
      <w:pPr>
        <w:ind w:firstLine="458"/>
        <w:rPr>
          <w:rFonts w:hint="eastAsia" w:ascii="宋体" w:hAnsi="宋体" w:cs="宋体"/>
          <w:color w:val="auto"/>
          <w:highlight w:val="none"/>
        </w:rPr>
      </w:pPr>
      <w:r>
        <w:rPr>
          <w:rFonts w:hint="eastAsia" w:ascii="宋体" w:hAnsi="宋体" w:cs="宋体"/>
          <w:color w:val="auto"/>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A16056A">
      <w:pPr>
        <w:ind w:firstLine="458"/>
        <w:rPr>
          <w:rFonts w:hint="eastAsia" w:ascii="宋体" w:hAnsi="宋体" w:cs="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s="宋体"/>
          <w:color w:val="auto"/>
          <w:szCs w:val="21"/>
          <w:highlight w:val="none"/>
        </w:rPr>
        <w:t>评委签名：                                                日期：</w:t>
      </w:r>
    </w:p>
    <w:p w14:paraId="20706815">
      <w:pPr>
        <w:pStyle w:val="4"/>
        <w:jc w:val="left"/>
        <w:rPr>
          <w:rFonts w:hint="eastAsia" w:cs="宋体"/>
          <w:color w:val="auto"/>
          <w:highlight w:val="none"/>
        </w:rPr>
      </w:pPr>
      <w:bookmarkStart w:id="46" w:name="_Toc23494909"/>
      <w:bookmarkStart w:id="47" w:name="_Toc13454"/>
      <w:bookmarkStart w:id="48" w:name="_Toc100130486"/>
      <w:r>
        <w:rPr>
          <w:rFonts w:hint="eastAsia" w:cs="宋体"/>
          <w:color w:val="auto"/>
          <w:highlight w:val="none"/>
        </w:rPr>
        <w:t>附表四</w:t>
      </w:r>
    </w:p>
    <w:bookmarkEnd w:id="46"/>
    <w:p w14:paraId="7FD59FFA">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技术标详细审查评分表</w:t>
      </w:r>
    </w:p>
    <w:tbl>
      <w:tblPr>
        <w:tblStyle w:val="50"/>
        <w:tblW w:w="4960" w:type="pct"/>
        <w:tblInd w:w="0" w:type="dxa"/>
        <w:tblLayout w:type="autofit"/>
        <w:tblCellMar>
          <w:top w:w="0" w:type="dxa"/>
          <w:left w:w="108" w:type="dxa"/>
          <w:bottom w:w="0" w:type="dxa"/>
          <w:right w:w="108" w:type="dxa"/>
        </w:tblCellMar>
      </w:tblPr>
      <w:tblGrid>
        <w:gridCol w:w="1214"/>
        <w:gridCol w:w="1261"/>
        <w:gridCol w:w="2027"/>
        <w:gridCol w:w="10054"/>
      </w:tblGrid>
      <w:tr w14:paraId="3F36E2C0">
        <w:tblPrEx>
          <w:tblCellMar>
            <w:top w:w="0" w:type="dxa"/>
            <w:left w:w="108" w:type="dxa"/>
            <w:bottom w:w="0" w:type="dxa"/>
            <w:right w:w="108" w:type="dxa"/>
          </w:tblCellMar>
        </w:tblPrEx>
        <w:trPr>
          <w:trHeight w:val="90" w:hRule="atLeast"/>
        </w:trPr>
        <w:tc>
          <w:tcPr>
            <w:tcW w:w="417" w:type="pct"/>
            <w:tcBorders>
              <w:top w:val="single" w:color="000000" w:sz="4" w:space="0"/>
              <w:left w:val="single" w:color="000000" w:sz="4" w:space="0"/>
              <w:bottom w:val="single" w:color="000000" w:sz="4" w:space="0"/>
              <w:right w:val="single" w:color="000000" w:sz="4" w:space="0"/>
            </w:tcBorders>
            <w:noWrap w:val="0"/>
            <w:vAlign w:val="center"/>
          </w:tcPr>
          <w:p w14:paraId="3E36CCCA">
            <w:pPr>
              <w:rPr>
                <w:rFonts w:hint="eastAsia" w:ascii="宋体" w:hAnsi="宋体" w:cs="宋体"/>
                <w:b/>
                <w:bCs/>
                <w:color w:val="auto"/>
                <w:sz w:val="22"/>
                <w:highlight w:val="none"/>
              </w:rPr>
            </w:pPr>
            <w:r>
              <w:rPr>
                <w:rFonts w:hint="eastAsia" w:ascii="宋体" w:hAnsi="宋体" w:cs="宋体"/>
                <w:color w:val="auto"/>
                <w:sz w:val="22"/>
                <w:highlight w:val="none"/>
              </w:rPr>
              <w:br w:type="page"/>
            </w:r>
            <w:r>
              <w:rPr>
                <w:rFonts w:hint="eastAsia" w:ascii="宋体" w:hAnsi="宋体" w:cs="宋体"/>
                <w:b/>
                <w:bCs/>
                <w:color w:val="auto"/>
                <w:kern w:val="0"/>
                <w:sz w:val="22"/>
                <w:highlight w:val="none"/>
                <w:lang w:bidi="ar"/>
              </w:rPr>
              <w:t>序号</w:t>
            </w:r>
          </w:p>
        </w:tc>
        <w:tc>
          <w:tcPr>
            <w:tcW w:w="1129" w:type="pct"/>
            <w:gridSpan w:val="2"/>
            <w:tcBorders>
              <w:top w:val="single" w:color="000000" w:sz="4" w:space="0"/>
              <w:left w:val="single" w:color="000000" w:sz="4" w:space="0"/>
              <w:bottom w:val="single" w:color="auto" w:sz="4" w:space="0"/>
              <w:right w:val="single" w:color="000000" w:sz="4" w:space="0"/>
            </w:tcBorders>
            <w:noWrap w:val="0"/>
            <w:vAlign w:val="center"/>
          </w:tcPr>
          <w:p w14:paraId="1ACF7AA6">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评分因素</w:t>
            </w:r>
          </w:p>
        </w:tc>
        <w:tc>
          <w:tcPr>
            <w:tcW w:w="3453" w:type="pct"/>
            <w:tcBorders>
              <w:top w:val="single" w:color="000000" w:sz="4" w:space="0"/>
              <w:left w:val="single" w:color="000000" w:sz="4" w:space="0"/>
              <w:bottom w:val="single" w:color="000000" w:sz="4" w:space="0"/>
              <w:right w:val="single" w:color="000000" w:sz="4" w:space="0"/>
            </w:tcBorders>
            <w:noWrap w:val="0"/>
            <w:vAlign w:val="center"/>
          </w:tcPr>
          <w:p w14:paraId="0A4CF122">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评分标准</w:t>
            </w:r>
          </w:p>
        </w:tc>
      </w:tr>
      <w:tr w14:paraId="736E0D9E">
        <w:tblPrEx>
          <w:tblCellMar>
            <w:top w:w="0" w:type="dxa"/>
            <w:left w:w="108" w:type="dxa"/>
            <w:bottom w:w="0" w:type="dxa"/>
            <w:right w:w="108" w:type="dxa"/>
          </w:tblCellMar>
        </w:tblPrEx>
        <w:trPr>
          <w:trHeight w:val="558" w:hRule="atLeast"/>
        </w:trPr>
        <w:tc>
          <w:tcPr>
            <w:tcW w:w="417" w:type="pct"/>
            <w:tcBorders>
              <w:top w:val="single" w:color="000000" w:sz="4" w:space="0"/>
              <w:left w:val="single" w:color="000000" w:sz="4" w:space="0"/>
              <w:bottom w:val="single" w:color="auto" w:sz="4" w:space="0"/>
              <w:right w:val="single" w:color="000000" w:sz="4" w:space="0"/>
            </w:tcBorders>
            <w:noWrap w:val="0"/>
            <w:vAlign w:val="center"/>
          </w:tcPr>
          <w:p w14:paraId="52BED7F9">
            <w:pPr>
              <w:widowControl/>
              <w:jc w:val="center"/>
              <w:textAlignment w:val="center"/>
              <w:rPr>
                <w:rFonts w:hint="eastAsia" w:ascii="宋体" w:hAnsi="宋体" w:eastAsia="宋体" w:cs="宋体"/>
                <w:b/>
                <w:bCs/>
                <w:color w:val="auto"/>
                <w:sz w:val="22"/>
                <w:highlight w:val="none"/>
                <w:lang w:eastAsia="zh-CN"/>
              </w:rPr>
            </w:pPr>
            <w:r>
              <w:rPr>
                <w:rFonts w:hint="eastAsia" w:ascii="宋体" w:hAnsi="宋体" w:cs="宋体"/>
                <w:b/>
                <w:bCs/>
                <w:color w:val="auto"/>
                <w:sz w:val="22"/>
                <w:highlight w:val="none"/>
                <w:lang w:val="en-US" w:eastAsia="zh-CN"/>
              </w:rPr>
              <w:t>1</w:t>
            </w:r>
          </w:p>
        </w:tc>
        <w:tc>
          <w:tcPr>
            <w:tcW w:w="433" w:type="pct"/>
            <w:tcBorders>
              <w:top w:val="single" w:color="000000" w:sz="4" w:space="0"/>
              <w:left w:val="single" w:color="000000" w:sz="4" w:space="0"/>
              <w:bottom w:val="single" w:color="auto" w:sz="4" w:space="0"/>
              <w:right w:val="single" w:color="000000" w:sz="4" w:space="0"/>
            </w:tcBorders>
            <w:noWrap w:val="0"/>
            <w:vAlign w:val="center"/>
          </w:tcPr>
          <w:p w14:paraId="388125D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项目管理机构能力评分标准</w:t>
            </w:r>
          </w:p>
          <w:p w14:paraId="57F8A51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w:t>
            </w:r>
            <w:r>
              <w:rPr>
                <w:rFonts w:hint="eastAsia" w:ascii="宋体" w:hAnsi="宋体" w:cs="宋体"/>
                <w:color w:val="auto"/>
                <w:kern w:val="0"/>
                <w:sz w:val="22"/>
                <w:highlight w:val="none"/>
                <w:lang w:val="en-US" w:eastAsia="zh-CN" w:bidi="ar"/>
              </w:rPr>
              <w:t>40</w:t>
            </w:r>
            <w:r>
              <w:rPr>
                <w:rFonts w:hint="eastAsia" w:ascii="宋体" w:hAnsi="宋体" w:cs="宋体"/>
                <w:color w:val="auto"/>
                <w:kern w:val="0"/>
                <w:sz w:val="22"/>
                <w:highlight w:val="none"/>
                <w:lang w:bidi="ar"/>
              </w:rPr>
              <w:t>分）</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2E468F7B">
            <w:pPr>
              <w:widowControl/>
              <w:jc w:val="center"/>
              <w:textAlignment w:val="center"/>
              <w:rPr>
                <w:rFonts w:hint="eastAsia" w:ascii="宋体" w:hAnsi="宋体" w:cs="宋体"/>
                <w:color w:val="auto"/>
                <w:sz w:val="22"/>
                <w:highlight w:val="none"/>
              </w:rPr>
            </w:pPr>
            <w:r>
              <w:rPr>
                <w:rFonts w:hint="eastAsia" w:ascii="宋体" w:hAnsi="宋体" w:cs="宋体"/>
                <w:color w:val="auto"/>
                <w:sz w:val="22"/>
                <w:highlight w:val="none"/>
              </w:rPr>
              <w:t>项目管理机构配置情况（</w:t>
            </w:r>
            <w:r>
              <w:rPr>
                <w:rFonts w:hint="eastAsia" w:ascii="宋体" w:hAnsi="宋体" w:cs="宋体"/>
                <w:color w:val="auto"/>
                <w:sz w:val="22"/>
                <w:highlight w:val="none"/>
                <w:lang w:val="en-US" w:eastAsia="zh-CN"/>
              </w:rPr>
              <w:t>40</w:t>
            </w:r>
            <w:r>
              <w:rPr>
                <w:rFonts w:hint="eastAsia" w:ascii="宋体" w:hAnsi="宋体" w:cs="宋体"/>
                <w:color w:val="auto"/>
                <w:sz w:val="22"/>
                <w:highlight w:val="none"/>
              </w:rPr>
              <w:t>分）</w:t>
            </w:r>
          </w:p>
        </w:tc>
        <w:tc>
          <w:tcPr>
            <w:tcW w:w="3453" w:type="pct"/>
            <w:tcBorders>
              <w:top w:val="single" w:color="000000" w:sz="4" w:space="0"/>
              <w:left w:val="single" w:color="000000" w:sz="4" w:space="0"/>
              <w:bottom w:val="single" w:color="000000" w:sz="4" w:space="0"/>
              <w:right w:val="single" w:color="000000" w:sz="4" w:space="0"/>
            </w:tcBorders>
            <w:noWrap w:val="0"/>
            <w:vAlign w:val="center"/>
          </w:tcPr>
          <w:p w14:paraId="0DC11D9E">
            <w:pPr>
              <w:widowControl/>
              <w:adjustRightInd w:val="0"/>
              <w:spacing w:line="288" w:lineRule="auto"/>
              <w:jc w:val="left"/>
              <w:rPr>
                <w:rFonts w:ascii="宋体" w:hAnsi="宋体" w:cs="宋体"/>
                <w:b/>
                <w:bCs/>
                <w:color w:val="auto"/>
                <w:sz w:val="22"/>
                <w:highlight w:val="none"/>
              </w:rPr>
            </w:pPr>
            <w:r>
              <w:rPr>
                <w:rFonts w:hint="eastAsia" w:ascii="宋体" w:hAnsi="宋体" w:cs="宋体"/>
                <w:b/>
                <w:bCs/>
                <w:color w:val="auto"/>
                <w:sz w:val="22"/>
                <w:highlight w:val="none"/>
              </w:rPr>
              <w:t>①项目负责人1人（</w:t>
            </w:r>
            <w:r>
              <w:rPr>
                <w:rFonts w:hint="eastAsia" w:ascii="宋体" w:hAnsi="宋体" w:cs="宋体"/>
                <w:b/>
                <w:bCs/>
                <w:color w:val="auto"/>
                <w:sz w:val="22"/>
                <w:highlight w:val="none"/>
                <w:lang w:val="en-US" w:eastAsia="zh-CN"/>
              </w:rPr>
              <w:t>14</w:t>
            </w:r>
            <w:r>
              <w:rPr>
                <w:rFonts w:hint="eastAsia" w:ascii="宋体" w:hAnsi="宋体" w:cs="宋体"/>
                <w:b/>
                <w:bCs/>
                <w:color w:val="auto"/>
                <w:sz w:val="22"/>
                <w:highlight w:val="none"/>
              </w:rPr>
              <w:t>分）:</w:t>
            </w:r>
          </w:p>
          <w:p w14:paraId="013E4182">
            <w:pPr>
              <w:widowControl/>
              <w:adjustRightInd w:val="0"/>
              <w:spacing w:line="288" w:lineRule="auto"/>
              <w:jc w:val="lef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1）具有建筑工程相关专业高级工程师或以上职称的,得</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分，具有建筑工程相关专业工程师职称的，得</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r>
              <w:rPr>
                <w:rFonts w:hint="eastAsia" w:ascii="宋体" w:hAnsi="宋体" w:cs="宋体"/>
                <w:color w:val="auto"/>
                <w:sz w:val="22"/>
                <w:highlight w:val="none"/>
                <w:lang w:bidi="ar"/>
              </w:rPr>
              <w:t>本小项最多得</w:t>
            </w:r>
            <w:r>
              <w:rPr>
                <w:rFonts w:hint="eastAsia" w:ascii="宋体" w:hAnsi="宋体" w:cs="宋体"/>
                <w:color w:val="auto"/>
                <w:sz w:val="22"/>
                <w:highlight w:val="none"/>
                <w:lang w:val="en-US" w:eastAsia="zh-CN" w:bidi="ar"/>
              </w:rPr>
              <w:t>4</w:t>
            </w:r>
            <w:r>
              <w:rPr>
                <w:rFonts w:hint="eastAsia" w:ascii="宋体" w:hAnsi="宋体" w:cs="宋体"/>
                <w:color w:val="auto"/>
                <w:sz w:val="22"/>
                <w:highlight w:val="none"/>
                <w:lang w:bidi="ar"/>
              </w:rPr>
              <w:t>分</w:t>
            </w:r>
            <w:r>
              <w:rPr>
                <w:rFonts w:hint="eastAsia" w:ascii="宋体" w:hAnsi="宋体" w:cs="宋体"/>
                <w:color w:val="auto"/>
                <w:sz w:val="22"/>
                <w:highlight w:val="none"/>
              </w:rPr>
              <w:t>。</w:t>
            </w:r>
          </w:p>
          <w:p w14:paraId="61C94169">
            <w:pPr>
              <w:widowControl/>
              <w:adjustRightInd w:val="0"/>
              <w:spacing w:line="288" w:lineRule="auto"/>
              <w:jc w:val="left"/>
              <w:rPr>
                <w:rFonts w:hint="eastAsia"/>
                <w:color w:val="auto"/>
                <w:sz w:val="22"/>
                <w:szCs w:val="22"/>
                <w:highlight w:val="none"/>
                <w:lang w:val="en-US" w:eastAsia="zh-CN"/>
              </w:rPr>
            </w:pPr>
            <w:r>
              <w:rPr>
                <w:rFonts w:hint="eastAsia"/>
                <w:color w:val="auto"/>
                <w:sz w:val="22"/>
                <w:szCs w:val="22"/>
                <w:highlight w:val="none"/>
                <w:lang w:val="en-US" w:eastAsia="zh-CN" w:bidi="ar"/>
              </w:rPr>
              <w:t>2）担任项目负责人</w:t>
            </w:r>
            <w:r>
              <w:rPr>
                <w:rFonts w:hint="eastAsia"/>
                <w:color w:val="auto"/>
                <w:sz w:val="22"/>
                <w:szCs w:val="22"/>
                <w:highlight w:val="none"/>
                <w:lang w:val="en-US" w:eastAsia="zh-CN"/>
              </w:rPr>
              <w:t>完成过</w:t>
            </w:r>
            <w:r>
              <w:rPr>
                <w:rFonts w:hint="eastAsia"/>
                <w:color w:val="auto"/>
                <w:sz w:val="22"/>
                <w:szCs w:val="22"/>
                <w:highlight w:val="none"/>
                <w:lang w:val="en-US" w:eastAsia="zh-CN" w:bidi="ar-SA"/>
              </w:rPr>
              <w:t>50000万元或以上</w:t>
            </w:r>
            <w:r>
              <w:rPr>
                <w:rFonts w:hint="eastAsia"/>
                <w:color w:val="auto"/>
                <w:kern w:val="0"/>
                <w:sz w:val="22"/>
                <w:szCs w:val="22"/>
                <w:highlight w:val="none"/>
                <w:lang w:val="en-US" w:eastAsia="zh-CN" w:bidi="ar"/>
              </w:rPr>
              <w:t>的建筑工程施工总承包或工程总承包业绩</w:t>
            </w:r>
            <w:r>
              <w:rPr>
                <w:rFonts w:hint="eastAsia"/>
                <w:color w:val="auto"/>
                <w:sz w:val="22"/>
                <w:szCs w:val="22"/>
                <w:highlight w:val="none"/>
                <w:lang w:val="en-US" w:eastAsia="zh-CN"/>
              </w:rPr>
              <w:t>，得10分，</w:t>
            </w:r>
            <w:r>
              <w:rPr>
                <w:rFonts w:hint="eastAsia"/>
                <w:color w:val="auto"/>
                <w:sz w:val="22"/>
                <w:szCs w:val="22"/>
                <w:highlight w:val="none"/>
                <w:lang w:val="en-US" w:eastAsia="zh-CN" w:bidi="ar"/>
              </w:rPr>
              <w:t>本小项最多得10分。</w:t>
            </w:r>
          </w:p>
          <w:p w14:paraId="0EA3C4B1">
            <w:pPr>
              <w:widowControl/>
              <w:adjustRightInd w:val="0"/>
              <w:spacing w:line="288" w:lineRule="auto"/>
              <w:jc w:val="left"/>
              <w:rPr>
                <w:color w:val="auto"/>
                <w:sz w:val="22"/>
                <w:szCs w:val="22"/>
                <w:highlight w:val="none"/>
                <w:lang w:val="en-US" w:eastAsia="zh-CN"/>
              </w:rPr>
            </w:pPr>
            <w:r>
              <w:rPr>
                <w:rFonts w:hint="eastAsia"/>
                <w:color w:val="auto"/>
                <w:sz w:val="22"/>
                <w:szCs w:val="22"/>
                <w:highlight w:val="none"/>
                <w:lang w:val="en-US" w:eastAsia="zh-CN" w:bidi="ar"/>
              </w:rPr>
              <w:t>本项最高累计得14分。</w:t>
            </w:r>
          </w:p>
          <w:p w14:paraId="6ED805DB">
            <w:pPr>
              <w:widowControl/>
              <w:adjustRightInd w:val="0"/>
              <w:spacing w:line="288" w:lineRule="auto"/>
              <w:jc w:val="left"/>
              <w:rPr>
                <w:rFonts w:ascii="宋体" w:hAnsi="宋体" w:cs="宋体"/>
                <w:color w:val="auto"/>
                <w:sz w:val="22"/>
                <w:highlight w:val="none"/>
              </w:rPr>
            </w:pPr>
            <w:r>
              <w:rPr>
                <w:rFonts w:hint="eastAsia" w:ascii="宋体" w:hAnsi="宋体" w:cs="宋体"/>
                <w:b/>
                <w:bCs/>
                <w:color w:val="auto"/>
                <w:sz w:val="22"/>
                <w:highlight w:val="none"/>
                <w:lang w:val="en-US" w:eastAsia="zh-CN"/>
              </w:rPr>
              <w:t>②</w:t>
            </w:r>
            <w:r>
              <w:rPr>
                <w:rFonts w:hint="eastAsia" w:ascii="宋体" w:hAnsi="宋体" w:cs="宋体"/>
                <w:b/>
                <w:bCs/>
                <w:color w:val="auto"/>
                <w:sz w:val="22"/>
                <w:highlight w:val="none"/>
              </w:rPr>
              <w:t>技术负责人1人（</w:t>
            </w:r>
            <w:r>
              <w:rPr>
                <w:rFonts w:hint="eastAsia" w:ascii="宋体" w:hAnsi="宋体" w:cs="宋体"/>
                <w:b/>
                <w:bCs/>
                <w:color w:val="auto"/>
                <w:sz w:val="22"/>
                <w:highlight w:val="none"/>
                <w:lang w:val="en-US" w:eastAsia="zh-CN"/>
              </w:rPr>
              <w:t>8</w:t>
            </w:r>
            <w:r>
              <w:rPr>
                <w:rFonts w:hint="eastAsia" w:ascii="宋体" w:hAnsi="宋体" w:cs="宋体"/>
                <w:b/>
                <w:bCs/>
                <w:color w:val="auto"/>
                <w:sz w:val="22"/>
                <w:highlight w:val="none"/>
              </w:rPr>
              <w:t>分）</w:t>
            </w:r>
            <w:r>
              <w:rPr>
                <w:rFonts w:hint="eastAsia" w:ascii="宋体" w:hAnsi="宋体" w:cs="宋体"/>
                <w:color w:val="auto"/>
                <w:sz w:val="22"/>
                <w:highlight w:val="none"/>
              </w:rPr>
              <w:t>：</w:t>
            </w:r>
          </w:p>
          <w:p w14:paraId="34096309">
            <w:pPr>
              <w:widowControl/>
              <w:adjustRightInd w:val="0"/>
              <w:spacing w:line="288" w:lineRule="auto"/>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1）技术负责人取得建筑工程类相关专业正高级工程师</w:t>
            </w:r>
            <w:r>
              <w:rPr>
                <w:rFonts w:hint="eastAsia" w:ascii="宋体" w:hAnsi="宋体" w:cs="宋体"/>
                <w:color w:val="auto"/>
                <w:sz w:val="22"/>
                <w:highlight w:val="none"/>
                <w:lang w:eastAsia="zh-CN" w:bidi="ar"/>
              </w:rPr>
              <w:t>（</w:t>
            </w:r>
            <w:r>
              <w:rPr>
                <w:rFonts w:hint="eastAsia" w:ascii="宋体" w:hAnsi="宋体" w:cs="宋体"/>
                <w:color w:val="auto"/>
                <w:sz w:val="22"/>
                <w:highlight w:val="none"/>
                <w:lang w:val="en-US" w:eastAsia="zh-CN" w:bidi="ar"/>
              </w:rPr>
              <w:t>含教授级</w:t>
            </w:r>
            <w:r>
              <w:rPr>
                <w:rFonts w:hint="eastAsia" w:ascii="宋体" w:hAnsi="宋体" w:cs="宋体"/>
                <w:color w:val="auto"/>
                <w:sz w:val="22"/>
                <w:highlight w:val="none"/>
                <w:lang w:eastAsia="zh-CN" w:bidi="ar"/>
              </w:rPr>
              <w:t>）</w:t>
            </w:r>
            <w:r>
              <w:rPr>
                <w:rFonts w:hint="eastAsia" w:ascii="宋体" w:hAnsi="宋体" w:cs="宋体"/>
                <w:color w:val="auto"/>
                <w:sz w:val="22"/>
                <w:highlight w:val="none"/>
                <w:lang w:bidi="ar"/>
              </w:rPr>
              <w:t>技术职称，或取得建筑工程类相关专业高级工程师技术职称5年（含5年）以上的，得</w:t>
            </w:r>
            <w:r>
              <w:rPr>
                <w:rFonts w:hint="eastAsia" w:ascii="宋体" w:hAnsi="宋体" w:cs="宋体"/>
                <w:color w:val="auto"/>
                <w:sz w:val="22"/>
                <w:highlight w:val="none"/>
                <w:lang w:val="en-US" w:eastAsia="zh-CN" w:bidi="ar"/>
              </w:rPr>
              <w:t>8</w:t>
            </w:r>
            <w:r>
              <w:rPr>
                <w:rFonts w:hint="eastAsia" w:ascii="宋体" w:hAnsi="宋体" w:cs="宋体"/>
                <w:color w:val="auto"/>
                <w:sz w:val="22"/>
                <w:highlight w:val="none"/>
                <w:lang w:bidi="ar"/>
              </w:rPr>
              <w:t>分；</w:t>
            </w:r>
          </w:p>
          <w:p w14:paraId="136ADE31">
            <w:pPr>
              <w:widowControl/>
              <w:adjustRightInd w:val="0"/>
              <w:spacing w:line="288" w:lineRule="auto"/>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2）技术负责人取得建筑工程类相关专业高级工程师技术职称3年（含3年）至5年（不含5年）的，得</w:t>
            </w:r>
            <w:r>
              <w:rPr>
                <w:rFonts w:hint="eastAsia" w:ascii="宋体" w:hAnsi="宋体" w:cs="宋体"/>
                <w:color w:val="auto"/>
                <w:sz w:val="22"/>
                <w:highlight w:val="none"/>
                <w:lang w:val="en-US" w:eastAsia="zh-CN" w:bidi="ar"/>
              </w:rPr>
              <w:t>5</w:t>
            </w:r>
            <w:r>
              <w:rPr>
                <w:rFonts w:hint="eastAsia" w:ascii="宋体" w:hAnsi="宋体" w:cs="宋体"/>
                <w:color w:val="auto"/>
                <w:sz w:val="22"/>
                <w:highlight w:val="none"/>
                <w:lang w:bidi="ar"/>
              </w:rPr>
              <w:t>分；</w:t>
            </w:r>
          </w:p>
          <w:p w14:paraId="1C1F0DA7">
            <w:pPr>
              <w:widowControl/>
              <w:adjustRightInd w:val="0"/>
              <w:spacing w:line="288" w:lineRule="auto"/>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3）技术负责人取得建筑工程类相关专业高级工程师技术职称3年（不含3年）以下的，得</w:t>
            </w:r>
            <w:r>
              <w:rPr>
                <w:rFonts w:hint="eastAsia" w:ascii="宋体" w:hAnsi="宋体" w:cs="宋体"/>
                <w:color w:val="auto"/>
                <w:sz w:val="22"/>
                <w:highlight w:val="none"/>
                <w:lang w:val="en-US" w:eastAsia="zh-CN" w:bidi="ar"/>
              </w:rPr>
              <w:t>3</w:t>
            </w:r>
            <w:r>
              <w:rPr>
                <w:rFonts w:hint="eastAsia" w:ascii="宋体" w:hAnsi="宋体" w:cs="宋体"/>
                <w:color w:val="auto"/>
                <w:sz w:val="22"/>
                <w:highlight w:val="none"/>
                <w:lang w:bidi="ar"/>
              </w:rPr>
              <w:t>分。</w:t>
            </w:r>
          </w:p>
          <w:p w14:paraId="1FE899EA">
            <w:pPr>
              <w:widowControl/>
              <w:adjustRightInd w:val="0"/>
              <w:spacing w:line="288" w:lineRule="auto"/>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不满足前述条件的本项不得分，本项最高得</w:t>
            </w:r>
            <w:r>
              <w:rPr>
                <w:rFonts w:hint="eastAsia" w:ascii="宋体" w:hAnsi="宋体" w:cs="宋体"/>
                <w:color w:val="auto"/>
                <w:sz w:val="22"/>
                <w:highlight w:val="none"/>
                <w:lang w:val="en-US" w:eastAsia="zh-CN" w:bidi="ar"/>
              </w:rPr>
              <w:t>8</w:t>
            </w:r>
            <w:r>
              <w:rPr>
                <w:rFonts w:hint="eastAsia" w:ascii="宋体" w:hAnsi="宋体" w:cs="宋体"/>
                <w:color w:val="auto"/>
                <w:sz w:val="22"/>
                <w:highlight w:val="none"/>
                <w:lang w:bidi="ar"/>
              </w:rPr>
              <w:t>分。</w:t>
            </w:r>
          </w:p>
          <w:p w14:paraId="00D49E8D">
            <w:pPr>
              <w:widowControl/>
              <w:adjustRightInd w:val="0"/>
              <w:spacing w:line="288" w:lineRule="auto"/>
              <w:jc w:val="left"/>
              <w:rPr>
                <w:rFonts w:ascii="宋体" w:hAnsi="宋体" w:cs="宋体"/>
                <w:color w:val="auto"/>
                <w:sz w:val="22"/>
                <w:highlight w:val="none"/>
              </w:rPr>
            </w:pPr>
            <w:r>
              <w:rPr>
                <w:rFonts w:hint="eastAsia" w:ascii="宋体" w:hAnsi="宋体" w:cs="宋体"/>
                <w:b/>
                <w:bCs/>
                <w:color w:val="auto"/>
                <w:sz w:val="22"/>
                <w:highlight w:val="none"/>
                <w:lang w:val="en-US" w:eastAsia="zh-CN"/>
              </w:rPr>
              <w:t>③</w:t>
            </w:r>
            <w:r>
              <w:rPr>
                <w:rFonts w:hint="eastAsia" w:ascii="宋体" w:hAnsi="宋体" w:cs="宋体"/>
                <w:b/>
                <w:bCs/>
                <w:color w:val="auto"/>
                <w:sz w:val="22"/>
                <w:highlight w:val="none"/>
              </w:rPr>
              <w:t>质量负责人1人（</w:t>
            </w:r>
            <w:r>
              <w:rPr>
                <w:rFonts w:hint="eastAsia" w:ascii="宋体" w:hAnsi="宋体" w:cs="宋体"/>
                <w:b/>
                <w:bCs/>
                <w:color w:val="auto"/>
                <w:sz w:val="22"/>
                <w:highlight w:val="none"/>
                <w:lang w:val="en-US" w:eastAsia="zh-CN"/>
              </w:rPr>
              <w:t>6</w:t>
            </w:r>
            <w:r>
              <w:rPr>
                <w:rFonts w:hint="eastAsia" w:ascii="宋体" w:hAnsi="宋体" w:cs="宋体"/>
                <w:b/>
                <w:bCs/>
                <w:color w:val="auto"/>
                <w:sz w:val="22"/>
                <w:highlight w:val="none"/>
              </w:rPr>
              <w:t>分）</w:t>
            </w:r>
            <w:r>
              <w:rPr>
                <w:rFonts w:hint="eastAsia" w:ascii="宋体" w:hAnsi="宋体" w:cs="宋体"/>
                <w:color w:val="auto"/>
                <w:sz w:val="22"/>
                <w:highlight w:val="none"/>
              </w:rPr>
              <w:t>：具有建筑工程相关专业高级工程师或以上职称的，得</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分。</w:t>
            </w:r>
            <w:r>
              <w:rPr>
                <w:rFonts w:hint="eastAsia" w:ascii="宋体" w:hAnsi="宋体" w:cs="宋体"/>
                <w:color w:val="auto"/>
                <w:sz w:val="22"/>
                <w:highlight w:val="none"/>
                <w:lang w:bidi="ar"/>
              </w:rPr>
              <w:t>本小项最多得</w:t>
            </w:r>
            <w:r>
              <w:rPr>
                <w:rFonts w:hint="eastAsia" w:ascii="宋体" w:hAnsi="宋体" w:cs="宋体"/>
                <w:color w:val="auto"/>
                <w:sz w:val="22"/>
                <w:highlight w:val="none"/>
                <w:lang w:val="en-US" w:eastAsia="zh-CN" w:bidi="ar"/>
              </w:rPr>
              <w:t>6</w:t>
            </w:r>
            <w:r>
              <w:rPr>
                <w:rFonts w:hint="eastAsia" w:ascii="宋体" w:hAnsi="宋体" w:cs="宋体"/>
                <w:color w:val="auto"/>
                <w:sz w:val="22"/>
                <w:highlight w:val="none"/>
                <w:lang w:bidi="ar"/>
              </w:rPr>
              <w:t>分</w:t>
            </w:r>
            <w:r>
              <w:rPr>
                <w:rFonts w:hint="eastAsia" w:ascii="宋体" w:hAnsi="宋体" w:cs="宋体"/>
                <w:color w:val="auto"/>
                <w:sz w:val="22"/>
                <w:highlight w:val="none"/>
              </w:rPr>
              <w:t>。</w:t>
            </w:r>
          </w:p>
          <w:p w14:paraId="74D32069">
            <w:pPr>
              <w:widowControl/>
              <w:adjustRightInd w:val="0"/>
              <w:spacing w:line="288" w:lineRule="auto"/>
              <w:jc w:val="left"/>
              <w:rPr>
                <w:rFonts w:ascii="宋体" w:hAnsi="宋体" w:cs="宋体"/>
                <w:color w:val="auto"/>
                <w:sz w:val="22"/>
                <w:highlight w:val="none"/>
              </w:rPr>
            </w:pPr>
            <w:r>
              <w:rPr>
                <w:rFonts w:hint="eastAsia" w:ascii="宋体" w:hAnsi="宋体" w:cs="宋体"/>
                <w:b/>
                <w:bCs/>
                <w:color w:val="auto"/>
                <w:sz w:val="22"/>
                <w:highlight w:val="none"/>
                <w:lang w:val="en-US" w:eastAsia="zh-CN"/>
              </w:rPr>
              <w:t>④</w:t>
            </w:r>
            <w:r>
              <w:rPr>
                <w:rFonts w:hint="eastAsia" w:ascii="宋体" w:hAnsi="宋体" w:cs="宋体"/>
                <w:b/>
                <w:bCs/>
                <w:color w:val="auto"/>
                <w:sz w:val="22"/>
                <w:highlight w:val="none"/>
              </w:rPr>
              <w:t>安全负责人1人（</w:t>
            </w:r>
            <w:r>
              <w:rPr>
                <w:rFonts w:hint="eastAsia" w:ascii="宋体" w:hAnsi="宋体" w:cs="宋体"/>
                <w:b/>
                <w:bCs/>
                <w:color w:val="auto"/>
                <w:sz w:val="22"/>
                <w:highlight w:val="none"/>
                <w:lang w:val="en-US" w:eastAsia="zh-CN"/>
              </w:rPr>
              <w:t>6</w:t>
            </w:r>
            <w:r>
              <w:rPr>
                <w:rFonts w:hint="eastAsia" w:ascii="宋体" w:hAnsi="宋体" w:cs="宋体"/>
                <w:b/>
                <w:bCs/>
                <w:color w:val="auto"/>
                <w:sz w:val="22"/>
                <w:highlight w:val="none"/>
              </w:rPr>
              <w:t>分）</w:t>
            </w:r>
            <w:r>
              <w:rPr>
                <w:rFonts w:hint="eastAsia" w:ascii="宋体" w:hAnsi="宋体" w:cs="宋体"/>
                <w:color w:val="auto"/>
                <w:sz w:val="22"/>
                <w:highlight w:val="none"/>
              </w:rPr>
              <w:t>：具有</w:t>
            </w:r>
            <w:r>
              <w:rPr>
                <w:rFonts w:hint="eastAsia" w:hAnsi="宋体" w:cs="宋体"/>
                <w:color w:val="auto"/>
                <w:sz w:val="22"/>
                <w:highlight w:val="none"/>
              </w:rPr>
              <w:t>建筑工程相关专业</w:t>
            </w:r>
            <w:r>
              <w:rPr>
                <w:rFonts w:hint="eastAsia" w:ascii="宋体" w:hAnsi="宋体" w:cs="宋体"/>
                <w:color w:val="auto"/>
                <w:sz w:val="22"/>
                <w:highlight w:val="none"/>
              </w:rPr>
              <w:t>高级工程师或以上职称的，得</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分。</w:t>
            </w:r>
            <w:r>
              <w:rPr>
                <w:rFonts w:hint="eastAsia" w:ascii="宋体" w:hAnsi="宋体" w:cs="宋体"/>
                <w:color w:val="auto"/>
                <w:sz w:val="22"/>
                <w:highlight w:val="none"/>
                <w:lang w:bidi="ar"/>
              </w:rPr>
              <w:t>本小项最多得</w:t>
            </w:r>
            <w:r>
              <w:rPr>
                <w:rFonts w:hint="eastAsia" w:ascii="宋体" w:hAnsi="宋体" w:cs="宋体"/>
                <w:color w:val="auto"/>
                <w:sz w:val="22"/>
                <w:highlight w:val="none"/>
                <w:lang w:val="en-US" w:eastAsia="zh-CN"/>
              </w:rPr>
              <w:t>6</w:t>
            </w:r>
            <w:r>
              <w:rPr>
                <w:rFonts w:hint="eastAsia" w:ascii="宋体" w:hAnsi="宋体" w:cs="宋体"/>
                <w:color w:val="auto"/>
                <w:sz w:val="22"/>
                <w:highlight w:val="none"/>
                <w:lang w:bidi="ar"/>
              </w:rPr>
              <w:t>分</w:t>
            </w:r>
            <w:r>
              <w:rPr>
                <w:rFonts w:hint="eastAsia" w:ascii="宋体" w:hAnsi="宋体" w:cs="宋体"/>
                <w:color w:val="auto"/>
                <w:sz w:val="22"/>
                <w:highlight w:val="none"/>
              </w:rPr>
              <w:t>。</w:t>
            </w:r>
          </w:p>
          <w:p w14:paraId="2411CB70">
            <w:pPr>
              <w:widowControl/>
              <w:adjustRightInd w:val="0"/>
              <w:spacing w:line="288" w:lineRule="auto"/>
              <w:jc w:val="left"/>
              <w:rPr>
                <w:rFonts w:hint="eastAsia" w:ascii="宋体" w:hAnsi="宋体" w:cs="宋体"/>
                <w:color w:val="auto"/>
                <w:sz w:val="22"/>
                <w:highlight w:val="none"/>
                <w:lang w:bidi="ar"/>
              </w:rPr>
            </w:pPr>
            <w:r>
              <w:rPr>
                <w:rFonts w:hint="eastAsia" w:ascii="宋体" w:hAnsi="宋体" w:cs="宋体"/>
                <w:b/>
                <w:bCs/>
                <w:color w:val="auto"/>
                <w:sz w:val="22"/>
                <w:highlight w:val="none"/>
                <w:lang w:val="en-US" w:eastAsia="zh-CN"/>
              </w:rPr>
              <w:t>⑤</w:t>
            </w:r>
            <w:r>
              <w:rPr>
                <w:rFonts w:hint="eastAsia" w:ascii="宋体" w:hAnsi="宋体" w:cs="宋体"/>
                <w:b/>
                <w:bCs/>
                <w:color w:val="auto"/>
                <w:sz w:val="22"/>
                <w:highlight w:val="none"/>
              </w:rPr>
              <w:t>造价负责人1人（</w:t>
            </w:r>
            <w:r>
              <w:rPr>
                <w:rFonts w:hint="eastAsia" w:ascii="宋体" w:hAnsi="宋体" w:cs="宋体"/>
                <w:b/>
                <w:bCs/>
                <w:color w:val="auto"/>
                <w:sz w:val="22"/>
                <w:highlight w:val="none"/>
                <w:lang w:val="en-US" w:eastAsia="zh-CN"/>
              </w:rPr>
              <w:t>6</w:t>
            </w:r>
            <w:r>
              <w:rPr>
                <w:rFonts w:hint="eastAsia" w:ascii="宋体" w:hAnsi="宋体" w:cs="宋体"/>
                <w:b/>
                <w:bCs/>
                <w:color w:val="auto"/>
                <w:sz w:val="22"/>
                <w:highlight w:val="none"/>
              </w:rPr>
              <w:t xml:space="preserve">分）: </w:t>
            </w:r>
            <w:r>
              <w:rPr>
                <w:rFonts w:hint="eastAsia" w:ascii="宋体" w:hAnsi="宋体" w:cs="宋体"/>
                <w:color w:val="auto"/>
                <w:sz w:val="22"/>
                <w:highlight w:val="none"/>
              </w:rPr>
              <w:t>具有建筑工程相关专业</w:t>
            </w:r>
            <w:r>
              <w:rPr>
                <w:rFonts w:hint="eastAsia" w:ascii="宋体" w:hAnsi="宋体" w:cs="宋体"/>
                <w:color w:val="auto"/>
                <w:sz w:val="22"/>
                <w:highlight w:val="none"/>
                <w:lang w:bidi="ar"/>
              </w:rPr>
              <w:t>高级工程师或以上职称的得</w:t>
            </w:r>
            <w:r>
              <w:rPr>
                <w:rFonts w:hint="eastAsia" w:ascii="宋体" w:hAnsi="宋体" w:cs="宋体"/>
                <w:color w:val="auto"/>
                <w:sz w:val="22"/>
                <w:highlight w:val="none"/>
                <w:lang w:val="en-US" w:eastAsia="zh-CN" w:bidi="ar"/>
              </w:rPr>
              <w:t>6</w:t>
            </w:r>
            <w:r>
              <w:rPr>
                <w:rFonts w:hint="eastAsia" w:ascii="宋体" w:hAnsi="宋体" w:cs="宋体"/>
                <w:color w:val="auto"/>
                <w:sz w:val="22"/>
                <w:highlight w:val="none"/>
                <w:lang w:bidi="ar"/>
              </w:rPr>
              <w:t>分</w:t>
            </w:r>
            <w:r>
              <w:rPr>
                <w:rFonts w:hint="eastAsia" w:ascii="宋体" w:hAnsi="宋体" w:cs="宋体"/>
                <w:color w:val="auto"/>
                <w:sz w:val="22"/>
                <w:highlight w:val="none"/>
              </w:rPr>
              <w:t>。</w:t>
            </w:r>
            <w:r>
              <w:rPr>
                <w:rFonts w:hint="eastAsia" w:ascii="宋体" w:hAnsi="宋体" w:cs="宋体"/>
                <w:color w:val="auto"/>
                <w:sz w:val="22"/>
                <w:highlight w:val="none"/>
                <w:lang w:bidi="ar"/>
              </w:rPr>
              <w:t>本小项最多得</w:t>
            </w:r>
            <w:r>
              <w:rPr>
                <w:rFonts w:hint="eastAsia" w:ascii="宋体" w:hAnsi="宋体" w:cs="宋体"/>
                <w:color w:val="auto"/>
                <w:sz w:val="22"/>
                <w:highlight w:val="none"/>
                <w:lang w:val="en-US" w:eastAsia="zh-CN" w:bidi="ar"/>
              </w:rPr>
              <w:t>6分</w:t>
            </w:r>
            <w:r>
              <w:rPr>
                <w:rFonts w:hint="eastAsia" w:ascii="宋体" w:hAnsi="宋体" w:cs="宋体"/>
                <w:color w:val="auto"/>
                <w:sz w:val="22"/>
                <w:highlight w:val="none"/>
              </w:rPr>
              <w:t>。</w:t>
            </w:r>
          </w:p>
        </w:tc>
      </w:tr>
      <w:tr w14:paraId="306D5181">
        <w:tblPrEx>
          <w:tblCellMar>
            <w:top w:w="0" w:type="dxa"/>
            <w:left w:w="108" w:type="dxa"/>
            <w:bottom w:w="0" w:type="dxa"/>
            <w:right w:w="108" w:type="dxa"/>
          </w:tblCellMar>
        </w:tblPrEx>
        <w:trPr>
          <w:trHeight w:val="1031"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64B493A4">
            <w:pPr>
              <w:widowControl/>
              <w:jc w:val="center"/>
              <w:textAlignment w:val="center"/>
              <w:rPr>
                <w:rFonts w:hint="eastAsia" w:ascii="宋体" w:hAnsi="宋体" w:eastAsia="宋体" w:cs="宋体"/>
                <w:b/>
                <w:bCs/>
                <w:color w:val="auto"/>
                <w:sz w:val="22"/>
                <w:highlight w:val="none"/>
                <w:lang w:eastAsia="zh-CN"/>
              </w:rPr>
            </w:pPr>
            <w:r>
              <w:rPr>
                <w:rFonts w:hint="eastAsia" w:ascii="宋体" w:hAnsi="宋体" w:cs="宋体"/>
                <w:b/>
                <w:bCs/>
                <w:color w:val="auto"/>
                <w:sz w:val="22"/>
                <w:highlight w:val="none"/>
                <w:lang w:val="en-US" w:eastAsia="zh-CN"/>
              </w:rPr>
              <w:t>2</w:t>
            </w:r>
          </w:p>
        </w:tc>
        <w:tc>
          <w:tcPr>
            <w:tcW w:w="433" w:type="pct"/>
            <w:vMerge w:val="restart"/>
            <w:tcBorders>
              <w:top w:val="single" w:color="auto" w:sz="4" w:space="0"/>
              <w:left w:val="single" w:color="auto" w:sz="4" w:space="0"/>
              <w:bottom w:val="single" w:color="auto" w:sz="4" w:space="0"/>
              <w:right w:val="single" w:color="auto" w:sz="4" w:space="0"/>
            </w:tcBorders>
            <w:noWrap w:val="0"/>
            <w:vAlign w:val="center"/>
          </w:tcPr>
          <w:p w14:paraId="017142A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企业资信评分标准</w:t>
            </w:r>
          </w:p>
          <w:p w14:paraId="3A530F5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w:t>
            </w:r>
            <w:r>
              <w:rPr>
                <w:rFonts w:hint="eastAsia" w:ascii="宋体" w:hAnsi="宋体" w:cs="宋体"/>
                <w:color w:val="auto"/>
                <w:kern w:val="0"/>
                <w:sz w:val="22"/>
                <w:highlight w:val="none"/>
                <w:lang w:val="en-US" w:eastAsia="zh-CN" w:bidi="ar"/>
              </w:rPr>
              <w:t>6</w:t>
            </w:r>
            <w:r>
              <w:rPr>
                <w:rFonts w:hint="eastAsia" w:ascii="宋体" w:hAnsi="宋体" w:cs="宋体"/>
                <w:color w:val="auto"/>
                <w:kern w:val="0"/>
                <w:sz w:val="22"/>
                <w:highlight w:val="none"/>
                <w:lang w:bidi="ar"/>
              </w:rPr>
              <w:t>0分）</w:t>
            </w:r>
          </w:p>
        </w:tc>
        <w:tc>
          <w:tcPr>
            <w:tcW w:w="695" w:type="pct"/>
            <w:tcBorders>
              <w:top w:val="single" w:color="000000" w:sz="4" w:space="0"/>
              <w:left w:val="single" w:color="auto" w:sz="4" w:space="0"/>
              <w:bottom w:val="single" w:color="auto" w:sz="4" w:space="0"/>
              <w:right w:val="single" w:color="000000" w:sz="4" w:space="0"/>
            </w:tcBorders>
            <w:noWrap w:val="0"/>
            <w:vAlign w:val="center"/>
          </w:tcPr>
          <w:p w14:paraId="1289C41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企业类似业绩</w:t>
            </w:r>
          </w:p>
          <w:p w14:paraId="0BD8207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w:t>
            </w:r>
            <w:r>
              <w:rPr>
                <w:rFonts w:hint="eastAsia" w:ascii="宋体" w:hAnsi="宋体" w:cs="宋体"/>
                <w:color w:val="auto"/>
                <w:kern w:val="0"/>
                <w:sz w:val="22"/>
                <w:highlight w:val="none"/>
                <w:lang w:val="en-US" w:eastAsia="zh-CN" w:bidi="ar"/>
              </w:rPr>
              <w:t>20</w:t>
            </w:r>
            <w:r>
              <w:rPr>
                <w:rFonts w:hint="eastAsia" w:ascii="宋体" w:hAnsi="宋体" w:cs="宋体"/>
                <w:color w:val="auto"/>
                <w:kern w:val="0"/>
                <w:sz w:val="22"/>
                <w:highlight w:val="none"/>
                <w:lang w:bidi="ar"/>
              </w:rPr>
              <w:t>分）</w:t>
            </w:r>
          </w:p>
        </w:tc>
        <w:tc>
          <w:tcPr>
            <w:tcW w:w="3453" w:type="pct"/>
            <w:tcBorders>
              <w:top w:val="single" w:color="000000" w:sz="4" w:space="0"/>
              <w:left w:val="single" w:color="000000" w:sz="4" w:space="0"/>
              <w:bottom w:val="single" w:color="auto" w:sz="4" w:space="0"/>
              <w:right w:val="single" w:color="000000" w:sz="4" w:space="0"/>
            </w:tcBorders>
            <w:noWrap w:val="0"/>
            <w:vAlign w:val="center"/>
          </w:tcPr>
          <w:p w14:paraId="6AB316C6">
            <w:pPr>
              <w:pStyle w:val="384"/>
              <w:spacing w:line="288" w:lineRule="auto"/>
              <w:rPr>
                <w:rFonts w:hint="eastAsia"/>
                <w:color w:val="auto"/>
                <w:kern w:val="0"/>
                <w:sz w:val="22"/>
                <w:szCs w:val="22"/>
                <w:highlight w:val="none"/>
                <w:lang w:val="en-US" w:eastAsia="zh-CN" w:bidi="ar"/>
              </w:rPr>
            </w:pPr>
            <w:r>
              <w:rPr>
                <w:rFonts w:hint="eastAsia"/>
                <w:bCs/>
                <w:color w:val="auto"/>
                <w:sz w:val="22"/>
                <w:szCs w:val="22"/>
                <w:highlight w:val="none"/>
                <w:lang w:val="en-US" w:eastAsia="zh-CN" w:bidi="ar-SA"/>
              </w:rPr>
              <w:t>自2020年1月1日至今，投标人</w:t>
            </w:r>
            <w:r>
              <w:rPr>
                <w:rFonts w:hint="eastAsia"/>
                <w:color w:val="auto"/>
                <w:kern w:val="0"/>
                <w:sz w:val="22"/>
                <w:szCs w:val="22"/>
                <w:highlight w:val="none"/>
                <w:lang w:val="en-US" w:eastAsia="zh-CN" w:bidi="ar"/>
              </w:rPr>
              <w:t>完成过金额在</w:t>
            </w:r>
            <w:r>
              <w:rPr>
                <w:rFonts w:hint="eastAsia"/>
                <w:color w:val="auto"/>
                <w:sz w:val="22"/>
                <w:szCs w:val="22"/>
                <w:highlight w:val="none"/>
                <w:lang w:val="en-US" w:eastAsia="zh-CN" w:bidi="ar"/>
              </w:rPr>
              <w:t>50000</w:t>
            </w:r>
            <w:r>
              <w:rPr>
                <w:rFonts w:hint="eastAsia"/>
                <w:color w:val="auto"/>
                <w:sz w:val="22"/>
                <w:szCs w:val="22"/>
                <w:highlight w:val="none"/>
                <w:lang w:val="en-US" w:eastAsia="zh-CN" w:bidi="ar-SA"/>
              </w:rPr>
              <w:t>万元或以上</w:t>
            </w:r>
            <w:r>
              <w:rPr>
                <w:rFonts w:hint="eastAsia"/>
                <w:color w:val="auto"/>
                <w:kern w:val="0"/>
                <w:sz w:val="22"/>
                <w:szCs w:val="22"/>
                <w:highlight w:val="none"/>
                <w:lang w:val="en-US" w:eastAsia="zh-CN" w:bidi="ar"/>
              </w:rPr>
              <w:t>的建筑工程施工总承包或工程总承包业绩的，每提供1项，得2分，最高得20分。</w:t>
            </w:r>
          </w:p>
        </w:tc>
      </w:tr>
      <w:tr w14:paraId="4ABD209C">
        <w:tblPrEx>
          <w:tblCellMar>
            <w:top w:w="0" w:type="dxa"/>
            <w:left w:w="108" w:type="dxa"/>
            <w:bottom w:w="0" w:type="dxa"/>
            <w:right w:w="108" w:type="dxa"/>
          </w:tblCellMar>
        </w:tblPrEx>
        <w:trPr>
          <w:trHeight w:val="841"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1F2F9218">
            <w:pPr>
              <w:widowControl/>
              <w:jc w:val="center"/>
              <w:textAlignment w:val="center"/>
              <w:rPr>
                <w:rFonts w:hint="eastAsia" w:ascii="宋体" w:hAnsi="宋体" w:eastAsia="宋体" w:cs="宋体"/>
                <w:b/>
                <w:bCs/>
                <w:color w:val="auto"/>
                <w:sz w:val="22"/>
                <w:highlight w:val="none"/>
                <w:lang w:eastAsia="zh-CN"/>
              </w:rPr>
            </w:pPr>
            <w:r>
              <w:rPr>
                <w:rFonts w:hint="eastAsia" w:ascii="宋体" w:hAnsi="宋体" w:cs="宋体"/>
                <w:b/>
                <w:bCs/>
                <w:color w:val="auto"/>
                <w:kern w:val="0"/>
                <w:sz w:val="22"/>
                <w:highlight w:val="none"/>
                <w:lang w:val="en-US" w:eastAsia="zh-CN" w:bidi="ar"/>
              </w:rPr>
              <w:t>3</w:t>
            </w:r>
          </w:p>
        </w:tc>
        <w:tc>
          <w:tcPr>
            <w:tcW w:w="433" w:type="pct"/>
            <w:vMerge w:val="continue"/>
            <w:tcBorders>
              <w:top w:val="single" w:color="auto" w:sz="4" w:space="0"/>
              <w:left w:val="single" w:color="auto" w:sz="4" w:space="0"/>
              <w:bottom w:val="single" w:color="auto" w:sz="4" w:space="0"/>
              <w:right w:val="single" w:color="auto" w:sz="4" w:space="0"/>
            </w:tcBorders>
            <w:noWrap w:val="0"/>
            <w:vAlign w:val="center"/>
          </w:tcPr>
          <w:p w14:paraId="7581D18A">
            <w:pPr>
              <w:jc w:val="center"/>
              <w:rPr>
                <w:rFonts w:hint="eastAsia" w:ascii="宋体" w:hAnsi="宋体" w:cs="宋体"/>
                <w:color w:val="auto"/>
                <w:sz w:val="22"/>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588ADBA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工程获奖</w:t>
            </w:r>
          </w:p>
          <w:p w14:paraId="4D58BD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w:t>
            </w:r>
            <w:r>
              <w:rPr>
                <w:rFonts w:hint="eastAsia" w:ascii="宋体" w:hAnsi="宋体" w:cs="宋体"/>
                <w:color w:val="auto"/>
                <w:kern w:val="0"/>
                <w:sz w:val="22"/>
                <w:highlight w:val="none"/>
                <w:lang w:val="en-US" w:eastAsia="zh-CN" w:bidi="ar"/>
              </w:rPr>
              <w:t>20</w:t>
            </w:r>
            <w:r>
              <w:rPr>
                <w:rFonts w:hint="eastAsia" w:ascii="宋体" w:hAnsi="宋体" w:cs="宋体"/>
                <w:color w:val="auto"/>
                <w:kern w:val="0"/>
                <w:sz w:val="22"/>
                <w:highlight w:val="none"/>
                <w:lang w:bidi="ar"/>
              </w:rPr>
              <w:t>分）</w:t>
            </w:r>
          </w:p>
        </w:tc>
        <w:tc>
          <w:tcPr>
            <w:tcW w:w="3453" w:type="pct"/>
            <w:tcBorders>
              <w:top w:val="single" w:color="auto" w:sz="4" w:space="0"/>
              <w:left w:val="single" w:color="auto" w:sz="4" w:space="0"/>
              <w:bottom w:val="single" w:color="auto" w:sz="4" w:space="0"/>
              <w:right w:val="single" w:color="auto" w:sz="4" w:space="0"/>
            </w:tcBorders>
            <w:noWrap w:val="0"/>
            <w:vAlign w:val="center"/>
          </w:tcPr>
          <w:p w14:paraId="171B5970">
            <w:pPr>
              <w:spacing w:line="288" w:lineRule="auto"/>
              <w:rPr>
                <w:color w:val="auto"/>
                <w:sz w:val="22"/>
                <w:highlight w:val="none"/>
              </w:rPr>
            </w:pPr>
            <w:r>
              <w:rPr>
                <w:rFonts w:hint="eastAsia" w:ascii="宋体" w:hAnsi="宋体" w:cs="宋体"/>
                <w:bCs/>
                <w:color w:val="auto"/>
                <w:sz w:val="22"/>
                <w:highlight w:val="none"/>
              </w:rPr>
              <w:t>自</w:t>
            </w:r>
            <w:r>
              <w:rPr>
                <w:rFonts w:hint="eastAsia" w:ascii="宋体" w:hAnsi="宋体" w:cs="宋体"/>
                <w:bCs/>
                <w:color w:val="auto"/>
                <w:sz w:val="22"/>
                <w:highlight w:val="none"/>
                <w:lang w:eastAsia="zh-CN"/>
              </w:rPr>
              <w:t>2020</w:t>
            </w:r>
            <w:r>
              <w:rPr>
                <w:rFonts w:hint="eastAsia" w:ascii="宋体" w:hAnsi="宋体" w:cs="宋体"/>
                <w:bCs/>
                <w:color w:val="auto"/>
                <w:sz w:val="22"/>
                <w:highlight w:val="none"/>
              </w:rPr>
              <w:t>年1月1日至今，</w:t>
            </w:r>
            <w:r>
              <w:rPr>
                <w:rFonts w:hint="eastAsia"/>
                <w:color w:val="auto"/>
                <w:sz w:val="22"/>
                <w:highlight w:val="none"/>
              </w:rPr>
              <w:t>投标人</w:t>
            </w:r>
            <w:r>
              <w:rPr>
                <w:rFonts w:hint="eastAsia"/>
                <w:color w:val="auto"/>
                <w:sz w:val="22"/>
                <w:highlight w:val="none"/>
                <w:lang w:val="en-US" w:eastAsia="zh-CN"/>
              </w:rPr>
              <w:t>以</w:t>
            </w:r>
            <w:r>
              <w:rPr>
                <w:rFonts w:hint="eastAsia"/>
                <w:color w:val="auto"/>
                <w:sz w:val="22"/>
                <w:highlight w:val="none"/>
              </w:rPr>
              <w:t>施工总承包单位</w:t>
            </w:r>
            <w:r>
              <w:rPr>
                <w:rFonts w:hint="eastAsia" w:ascii="宋体" w:hAnsi="宋体" w:cs="宋体"/>
                <w:bCs/>
                <w:color w:val="auto"/>
                <w:sz w:val="22"/>
                <w:highlight w:val="none"/>
                <w:lang w:val="en-US" w:eastAsia="zh-CN"/>
              </w:rPr>
              <w:t>身份</w:t>
            </w:r>
            <w:r>
              <w:rPr>
                <w:rFonts w:hint="eastAsia"/>
                <w:color w:val="auto"/>
                <w:sz w:val="22"/>
                <w:highlight w:val="none"/>
              </w:rPr>
              <w:t>获得过</w:t>
            </w:r>
            <w:r>
              <w:rPr>
                <w:rFonts w:hint="eastAsia" w:ascii="宋体" w:hAnsi="宋体" w:cs="宋体"/>
                <w:color w:val="auto"/>
                <w:szCs w:val="21"/>
                <w:highlight w:val="none"/>
              </w:rPr>
              <w:t>房屋建筑工程项目</w:t>
            </w:r>
            <w:r>
              <w:rPr>
                <w:rFonts w:hint="eastAsia" w:ascii="宋体" w:hAnsi="宋体" w:cs="宋体"/>
                <w:color w:val="auto"/>
                <w:kern w:val="0"/>
                <w:szCs w:val="21"/>
                <w:highlight w:val="none"/>
              </w:rPr>
              <w:t>奖项：</w:t>
            </w:r>
          </w:p>
          <w:p w14:paraId="599CBF1F">
            <w:pPr>
              <w:spacing w:line="288" w:lineRule="auto"/>
              <w:rPr>
                <w:rFonts w:hint="eastAsia"/>
                <w:color w:val="auto"/>
                <w:sz w:val="22"/>
                <w:highlight w:val="none"/>
              </w:rPr>
            </w:pPr>
            <w:r>
              <w:rPr>
                <w:rFonts w:hint="eastAsia"/>
                <w:color w:val="auto"/>
                <w:sz w:val="22"/>
                <w:highlight w:val="none"/>
              </w:rPr>
              <w:t>1）获得过国家级工程质量奖，每项得</w:t>
            </w:r>
            <w:r>
              <w:rPr>
                <w:rFonts w:hint="eastAsia"/>
                <w:color w:val="auto"/>
                <w:sz w:val="22"/>
                <w:highlight w:val="none"/>
                <w:lang w:val="en-US" w:eastAsia="zh-CN"/>
              </w:rPr>
              <w:t>5</w:t>
            </w:r>
            <w:r>
              <w:rPr>
                <w:rFonts w:hint="eastAsia"/>
                <w:color w:val="auto"/>
                <w:sz w:val="22"/>
                <w:highlight w:val="none"/>
              </w:rPr>
              <w:t>分，本小项最多得</w:t>
            </w:r>
            <w:r>
              <w:rPr>
                <w:rFonts w:hint="eastAsia"/>
                <w:color w:val="auto"/>
                <w:sz w:val="22"/>
                <w:highlight w:val="none"/>
                <w:lang w:val="en-US" w:eastAsia="zh-CN"/>
              </w:rPr>
              <w:t>20</w:t>
            </w:r>
            <w:r>
              <w:rPr>
                <w:rFonts w:hint="eastAsia"/>
                <w:color w:val="auto"/>
                <w:sz w:val="22"/>
                <w:highlight w:val="none"/>
              </w:rPr>
              <w:t>分。</w:t>
            </w:r>
          </w:p>
          <w:p w14:paraId="7FE0315E">
            <w:pPr>
              <w:spacing w:line="288" w:lineRule="auto"/>
              <w:rPr>
                <w:rFonts w:hint="eastAsia"/>
                <w:color w:val="auto"/>
                <w:sz w:val="22"/>
                <w:highlight w:val="none"/>
              </w:rPr>
            </w:pPr>
            <w:r>
              <w:rPr>
                <w:rFonts w:hint="eastAsia"/>
                <w:color w:val="auto"/>
                <w:sz w:val="22"/>
                <w:highlight w:val="none"/>
              </w:rPr>
              <w:t>2）获得过省级工程质量奖，每项得</w:t>
            </w:r>
            <w:r>
              <w:rPr>
                <w:rFonts w:hint="eastAsia"/>
                <w:color w:val="auto"/>
                <w:sz w:val="22"/>
                <w:highlight w:val="none"/>
                <w:lang w:val="en-US" w:eastAsia="zh-CN"/>
              </w:rPr>
              <w:t>2</w:t>
            </w:r>
            <w:r>
              <w:rPr>
                <w:rFonts w:hint="eastAsia"/>
                <w:color w:val="auto"/>
                <w:sz w:val="22"/>
                <w:highlight w:val="none"/>
              </w:rPr>
              <w:t>分，本小项最多得</w:t>
            </w:r>
            <w:r>
              <w:rPr>
                <w:rFonts w:hint="eastAsia"/>
                <w:color w:val="auto"/>
                <w:sz w:val="22"/>
                <w:highlight w:val="none"/>
                <w:lang w:val="en-US" w:eastAsia="zh-CN"/>
              </w:rPr>
              <w:t>8</w:t>
            </w:r>
            <w:r>
              <w:rPr>
                <w:rFonts w:hint="eastAsia"/>
                <w:color w:val="auto"/>
                <w:sz w:val="22"/>
                <w:highlight w:val="none"/>
              </w:rPr>
              <w:t>分。</w:t>
            </w:r>
          </w:p>
          <w:p w14:paraId="50886C6E">
            <w:pPr>
              <w:spacing w:line="288" w:lineRule="auto"/>
              <w:rPr>
                <w:color w:val="auto"/>
                <w:sz w:val="22"/>
                <w:highlight w:val="none"/>
              </w:rPr>
            </w:pPr>
            <w:r>
              <w:rPr>
                <w:rFonts w:hint="eastAsia"/>
                <w:color w:val="auto"/>
                <w:sz w:val="22"/>
                <w:highlight w:val="none"/>
              </w:rPr>
              <w:t>3）获得过市（含副省）级工程质量奖，每项得</w:t>
            </w:r>
            <w:r>
              <w:rPr>
                <w:rFonts w:hint="eastAsia"/>
                <w:color w:val="auto"/>
                <w:sz w:val="22"/>
                <w:highlight w:val="none"/>
                <w:lang w:val="en-US" w:eastAsia="zh-CN"/>
              </w:rPr>
              <w:t>1</w:t>
            </w:r>
            <w:r>
              <w:rPr>
                <w:rFonts w:hint="eastAsia"/>
                <w:color w:val="auto"/>
                <w:sz w:val="22"/>
                <w:highlight w:val="none"/>
              </w:rPr>
              <w:t>分，本小项最多得</w:t>
            </w:r>
            <w:r>
              <w:rPr>
                <w:rFonts w:hint="eastAsia"/>
                <w:color w:val="auto"/>
                <w:sz w:val="22"/>
                <w:highlight w:val="none"/>
                <w:lang w:val="en-US" w:eastAsia="zh-CN"/>
              </w:rPr>
              <w:t>4</w:t>
            </w:r>
            <w:r>
              <w:rPr>
                <w:rFonts w:hint="eastAsia"/>
                <w:color w:val="auto"/>
                <w:sz w:val="22"/>
                <w:highlight w:val="none"/>
              </w:rPr>
              <w:t>分。</w:t>
            </w:r>
          </w:p>
          <w:p w14:paraId="1A3419F9">
            <w:pPr>
              <w:spacing w:line="288" w:lineRule="auto"/>
              <w:rPr>
                <w:rFonts w:hint="eastAsia" w:eastAsia="宋体"/>
                <w:color w:val="auto"/>
                <w:highlight w:val="none"/>
                <w:lang w:val="en-US" w:eastAsia="zh-CN"/>
              </w:rPr>
            </w:pPr>
            <w:r>
              <w:rPr>
                <w:rFonts w:hint="eastAsia" w:ascii="宋体" w:hAnsi="宋体" w:cs="宋体"/>
                <w:color w:val="auto"/>
                <w:sz w:val="22"/>
                <w:highlight w:val="none"/>
              </w:rPr>
              <w:t>没有的不得分。</w:t>
            </w:r>
            <w:r>
              <w:rPr>
                <w:rFonts w:hint="eastAsia" w:ascii="宋体" w:hAnsi="宋体" w:cs="宋体"/>
                <w:bCs/>
                <w:color w:val="auto"/>
                <w:sz w:val="22"/>
                <w:highlight w:val="none"/>
              </w:rPr>
              <w:t>本项最多得</w:t>
            </w:r>
            <w:r>
              <w:rPr>
                <w:rFonts w:hint="eastAsia" w:ascii="宋体" w:hAnsi="宋体" w:cs="宋体"/>
                <w:bCs/>
                <w:color w:val="auto"/>
                <w:sz w:val="22"/>
                <w:highlight w:val="none"/>
                <w:lang w:val="en-US" w:eastAsia="zh-CN"/>
              </w:rPr>
              <w:t>20</w:t>
            </w:r>
            <w:r>
              <w:rPr>
                <w:rFonts w:hint="eastAsia" w:ascii="宋体" w:hAnsi="宋体" w:cs="宋体"/>
                <w:bCs/>
                <w:color w:val="auto"/>
                <w:sz w:val="22"/>
                <w:highlight w:val="none"/>
              </w:rPr>
              <w:t>分。</w:t>
            </w:r>
          </w:p>
        </w:tc>
      </w:tr>
      <w:tr w14:paraId="29D5942A">
        <w:tblPrEx>
          <w:tblCellMar>
            <w:top w:w="0" w:type="dxa"/>
            <w:left w:w="108" w:type="dxa"/>
            <w:bottom w:w="0" w:type="dxa"/>
            <w:right w:w="108" w:type="dxa"/>
          </w:tblCellMar>
        </w:tblPrEx>
        <w:trPr>
          <w:trHeight w:val="416"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3FA8654C">
            <w:pPr>
              <w:widowControl/>
              <w:jc w:val="center"/>
              <w:textAlignment w:val="center"/>
              <w:rPr>
                <w:rFonts w:hint="eastAsia" w:ascii="宋体" w:hAnsi="宋体" w:eastAsia="宋体" w:cs="宋体"/>
                <w:b/>
                <w:bCs/>
                <w:color w:val="auto"/>
                <w:kern w:val="0"/>
                <w:sz w:val="22"/>
                <w:highlight w:val="none"/>
                <w:lang w:eastAsia="zh-CN" w:bidi="ar"/>
              </w:rPr>
            </w:pPr>
            <w:r>
              <w:rPr>
                <w:rFonts w:hint="eastAsia" w:ascii="宋体" w:hAnsi="宋体" w:cs="宋体"/>
                <w:b/>
                <w:bCs/>
                <w:color w:val="auto"/>
                <w:kern w:val="0"/>
                <w:sz w:val="22"/>
                <w:highlight w:val="none"/>
                <w:lang w:val="en-US" w:eastAsia="zh-CN" w:bidi="ar"/>
              </w:rPr>
              <w:t>4</w:t>
            </w:r>
          </w:p>
        </w:tc>
        <w:tc>
          <w:tcPr>
            <w:tcW w:w="433" w:type="pct"/>
            <w:vMerge w:val="continue"/>
            <w:tcBorders>
              <w:top w:val="single" w:color="auto" w:sz="4" w:space="0"/>
              <w:left w:val="single" w:color="auto" w:sz="4" w:space="0"/>
              <w:bottom w:val="single" w:color="auto" w:sz="4" w:space="0"/>
              <w:right w:val="single" w:color="auto" w:sz="4" w:space="0"/>
            </w:tcBorders>
            <w:noWrap w:val="0"/>
            <w:vAlign w:val="center"/>
          </w:tcPr>
          <w:p w14:paraId="42218500">
            <w:pPr>
              <w:jc w:val="center"/>
              <w:rPr>
                <w:rFonts w:hint="eastAsia" w:ascii="宋体" w:hAnsi="宋体" w:cs="宋体"/>
                <w:color w:val="auto"/>
                <w:sz w:val="22"/>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1CF8D1E0">
            <w:pPr>
              <w:widowControl/>
              <w:jc w:val="center"/>
              <w:textAlignment w:val="center"/>
              <w:rPr>
                <w:rFonts w:ascii="宋体" w:hAnsi="宋体" w:cs="宋体"/>
                <w:color w:val="auto"/>
                <w:kern w:val="0"/>
                <w:sz w:val="22"/>
                <w:highlight w:val="none"/>
                <w:lang w:bidi="ar"/>
              </w:rPr>
            </w:pPr>
            <w:r>
              <w:rPr>
                <w:rFonts w:hint="eastAsia" w:ascii="宋体" w:hAnsi="宋体" w:cs="宋体"/>
                <w:color w:val="auto"/>
                <w:kern w:val="0"/>
                <w:sz w:val="22"/>
                <w:highlight w:val="none"/>
                <w:lang w:bidi="ar"/>
              </w:rPr>
              <w:t>工程研发能力</w:t>
            </w:r>
          </w:p>
          <w:p w14:paraId="43B8FB64">
            <w:pPr>
              <w:pStyle w:val="49"/>
              <w:rPr>
                <w:rFonts w:hint="eastAsia" w:cs="宋体"/>
                <w:color w:val="auto"/>
                <w:sz w:val="22"/>
                <w:szCs w:val="22"/>
                <w:highlight w:val="none"/>
                <w:lang w:bidi="ar"/>
              </w:rPr>
            </w:pPr>
            <w:r>
              <w:rPr>
                <w:rFonts w:hint="eastAsia" w:cs="宋体"/>
                <w:color w:val="auto"/>
                <w:sz w:val="22"/>
                <w:szCs w:val="22"/>
                <w:highlight w:val="none"/>
                <w:lang w:bidi="ar"/>
              </w:rPr>
              <w:t>（</w:t>
            </w:r>
            <w:r>
              <w:rPr>
                <w:rFonts w:hint="eastAsia" w:cs="宋体"/>
                <w:color w:val="auto"/>
                <w:sz w:val="22"/>
                <w:szCs w:val="22"/>
                <w:highlight w:val="none"/>
                <w:lang w:val="en-US" w:eastAsia="zh-CN" w:bidi="ar"/>
              </w:rPr>
              <w:t>15</w:t>
            </w:r>
            <w:r>
              <w:rPr>
                <w:rFonts w:hint="eastAsia" w:cs="宋体"/>
                <w:color w:val="auto"/>
                <w:sz w:val="22"/>
                <w:szCs w:val="22"/>
                <w:highlight w:val="none"/>
                <w:lang w:bidi="ar"/>
              </w:rPr>
              <w:t>分）</w:t>
            </w:r>
          </w:p>
        </w:tc>
        <w:tc>
          <w:tcPr>
            <w:tcW w:w="3453" w:type="pct"/>
            <w:tcBorders>
              <w:top w:val="single" w:color="auto" w:sz="4" w:space="0"/>
              <w:left w:val="single" w:color="auto" w:sz="4" w:space="0"/>
              <w:bottom w:val="single" w:color="auto" w:sz="4" w:space="0"/>
              <w:right w:val="single" w:color="auto" w:sz="4" w:space="0"/>
            </w:tcBorders>
            <w:noWrap w:val="0"/>
            <w:vAlign w:val="center"/>
          </w:tcPr>
          <w:p w14:paraId="55B601B5">
            <w:pPr>
              <w:spacing w:line="288" w:lineRule="auto"/>
              <w:rPr>
                <w:rFonts w:ascii="宋体" w:hAnsi="宋体" w:cs="宋体"/>
                <w:bCs/>
                <w:color w:val="auto"/>
                <w:sz w:val="22"/>
                <w:highlight w:val="none"/>
              </w:rPr>
            </w:pPr>
            <w:r>
              <w:rPr>
                <w:rFonts w:hint="eastAsia" w:ascii="宋体" w:hAnsi="宋体" w:cs="宋体"/>
                <w:bCs/>
                <w:color w:val="auto"/>
                <w:sz w:val="22"/>
                <w:highlight w:val="none"/>
              </w:rPr>
              <w:t>1）投标人自</w:t>
            </w:r>
            <w:r>
              <w:rPr>
                <w:rFonts w:hint="eastAsia" w:ascii="宋体" w:hAnsi="宋体" w:cs="宋体"/>
                <w:bCs/>
                <w:color w:val="auto"/>
                <w:sz w:val="22"/>
                <w:highlight w:val="none"/>
                <w:lang w:eastAsia="zh-CN"/>
              </w:rPr>
              <w:t>2020</w:t>
            </w:r>
            <w:r>
              <w:rPr>
                <w:rFonts w:hint="eastAsia" w:ascii="宋体" w:hAnsi="宋体" w:cs="宋体"/>
                <w:bCs/>
                <w:color w:val="auto"/>
                <w:sz w:val="22"/>
                <w:highlight w:val="none"/>
              </w:rPr>
              <w:t>年1月1日至今获得过省级或以上工法证书的，每提供1项，得0</w:t>
            </w:r>
            <w:r>
              <w:rPr>
                <w:rFonts w:ascii="宋体" w:hAnsi="宋体" w:cs="宋体"/>
                <w:bCs/>
                <w:color w:val="auto"/>
                <w:sz w:val="22"/>
                <w:highlight w:val="none"/>
              </w:rPr>
              <w:t>.</w:t>
            </w:r>
            <w:r>
              <w:rPr>
                <w:rFonts w:hint="eastAsia" w:ascii="宋体" w:hAnsi="宋体" w:cs="宋体"/>
                <w:bCs/>
                <w:color w:val="auto"/>
                <w:sz w:val="22"/>
                <w:highlight w:val="none"/>
                <w:lang w:val="en-US" w:eastAsia="zh-CN"/>
              </w:rPr>
              <w:t>25</w:t>
            </w:r>
            <w:r>
              <w:rPr>
                <w:rFonts w:hint="eastAsia" w:ascii="宋体" w:hAnsi="宋体" w:cs="宋体"/>
                <w:bCs/>
                <w:color w:val="auto"/>
                <w:sz w:val="22"/>
                <w:highlight w:val="none"/>
              </w:rPr>
              <w:t>分，最高得</w:t>
            </w:r>
            <w:r>
              <w:rPr>
                <w:rFonts w:hint="eastAsia" w:ascii="宋体" w:hAnsi="宋体" w:cs="宋体"/>
                <w:bCs/>
                <w:color w:val="auto"/>
                <w:sz w:val="22"/>
                <w:highlight w:val="none"/>
                <w:lang w:val="en-US" w:eastAsia="zh-CN"/>
              </w:rPr>
              <w:t>5</w:t>
            </w:r>
            <w:r>
              <w:rPr>
                <w:rFonts w:hint="eastAsia" w:ascii="宋体" w:hAnsi="宋体" w:cs="宋体"/>
                <w:bCs/>
                <w:color w:val="auto"/>
                <w:sz w:val="22"/>
                <w:highlight w:val="none"/>
              </w:rPr>
              <w:t>分。</w:t>
            </w:r>
          </w:p>
          <w:p w14:paraId="0C353BA6">
            <w:pPr>
              <w:pStyle w:val="49"/>
              <w:ind w:firstLine="0"/>
              <w:rPr>
                <w:rFonts w:cs="宋体"/>
                <w:bCs/>
                <w:color w:val="auto"/>
                <w:sz w:val="22"/>
                <w:highlight w:val="none"/>
              </w:rPr>
            </w:pPr>
            <w:r>
              <w:rPr>
                <w:color w:val="auto"/>
                <w:highlight w:val="none"/>
              </w:rPr>
              <w:t>2</w:t>
            </w:r>
            <w:r>
              <w:rPr>
                <w:rFonts w:hint="eastAsia"/>
                <w:color w:val="auto"/>
                <w:highlight w:val="none"/>
              </w:rPr>
              <w:t>）</w:t>
            </w:r>
            <w:r>
              <w:rPr>
                <w:rFonts w:hint="eastAsia" w:cs="宋体"/>
                <w:bCs/>
                <w:color w:val="auto"/>
                <w:sz w:val="22"/>
                <w:highlight w:val="none"/>
              </w:rPr>
              <w:t>投标人自</w:t>
            </w:r>
            <w:r>
              <w:rPr>
                <w:rFonts w:hint="eastAsia" w:cs="宋体"/>
                <w:bCs/>
                <w:color w:val="auto"/>
                <w:sz w:val="22"/>
                <w:highlight w:val="none"/>
                <w:lang w:eastAsia="zh-CN"/>
              </w:rPr>
              <w:t>2020</w:t>
            </w:r>
            <w:r>
              <w:rPr>
                <w:rFonts w:hint="eastAsia" w:cs="宋体"/>
                <w:bCs/>
                <w:color w:val="auto"/>
                <w:sz w:val="22"/>
                <w:highlight w:val="none"/>
              </w:rPr>
              <w:t>年1月1日至今获得过</w:t>
            </w:r>
            <w:r>
              <w:rPr>
                <w:rFonts w:hint="eastAsia" w:cs="宋体"/>
                <w:bCs/>
                <w:color w:val="auto"/>
                <w:sz w:val="22"/>
                <w:highlight w:val="none"/>
                <w:lang w:val="en-US" w:eastAsia="zh-CN"/>
              </w:rPr>
              <w:t>国家级</w:t>
            </w:r>
            <w:r>
              <w:rPr>
                <w:rFonts w:hint="eastAsia" w:cs="宋体"/>
                <w:bCs/>
                <w:color w:val="auto"/>
                <w:sz w:val="22"/>
                <w:highlight w:val="none"/>
              </w:rPr>
              <w:t>科学技术进步奖或科学技术奖</w:t>
            </w:r>
            <w:r>
              <w:rPr>
                <w:rFonts w:hint="eastAsia" w:cs="宋体"/>
                <w:bCs/>
                <w:color w:val="auto"/>
                <w:sz w:val="22"/>
                <w:highlight w:val="none"/>
                <w:lang w:eastAsia="zh-CN"/>
              </w:rPr>
              <w:t>，</w:t>
            </w:r>
            <w:r>
              <w:rPr>
                <w:rFonts w:hint="eastAsia" w:cs="宋体"/>
                <w:bCs/>
                <w:color w:val="auto"/>
                <w:sz w:val="22"/>
                <w:highlight w:val="none"/>
              </w:rPr>
              <w:t>每提供1项，得</w:t>
            </w:r>
            <w:r>
              <w:rPr>
                <w:rFonts w:hint="eastAsia" w:cs="宋体"/>
                <w:bCs/>
                <w:color w:val="auto"/>
                <w:sz w:val="22"/>
                <w:highlight w:val="none"/>
                <w:lang w:val="en-US" w:eastAsia="zh-CN"/>
              </w:rPr>
              <w:t>1</w:t>
            </w:r>
            <w:r>
              <w:rPr>
                <w:rFonts w:hint="eastAsia" w:cs="宋体"/>
                <w:bCs/>
                <w:color w:val="auto"/>
                <w:sz w:val="22"/>
                <w:highlight w:val="none"/>
              </w:rPr>
              <w:t>分，</w:t>
            </w:r>
            <w:r>
              <w:rPr>
                <w:rFonts w:hint="eastAsia" w:cs="宋体"/>
                <w:bCs/>
                <w:color w:val="auto"/>
                <w:sz w:val="22"/>
                <w:highlight w:val="none"/>
                <w:lang w:val="en-US" w:eastAsia="zh-CN"/>
              </w:rPr>
              <w:t>获得</w:t>
            </w:r>
            <w:r>
              <w:rPr>
                <w:rFonts w:hint="eastAsia" w:cs="宋体"/>
                <w:bCs/>
                <w:color w:val="auto"/>
                <w:sz w:val="22"/>
                <w:highlight w:val="none"/>
              </w:rPr>
              <w:t>省级科学技术进步奖或科学技术奖的，</w:t>
            </w:r>
            <w:bookmarkStart w:id="49" w:name="OLE_LINK1"/>
            <w:r>
              <w:rPr>
                <w:rFonts w:hint="eastAsia" w:cs="宋体"/>
                <w:bCs/>
                <w:color w:val="auto"/>
                <w:sz w:val="22"/>
                <w:highlight w:val="none"/>
              </w:rPr>
              <w:t>每提供1项，得0</w:t>
            </w:r>
            <w:r>
              <w:rPr>
                <w:rFonts w:cs="宋体"/>
                <w:bCs/>
                <w:color w:val="auto"/>
                <w:sz w:val="22"/>
                <w:highlight w:val="none"/>
              </w:rPr>
              <w:t>.</w:t>
            </w:r>
            <w:r>
              <w:rPr>
                <w:rFonts w:hint="eastAsia" w:cs="宋体"/>
                <w:bCs/>
                <w:color w:val="auto"/>
                <w:sz w:val="22"/>
                <w:highlight w:val="none"/>
                <w:lang w:val="en-US" w:eastAsia="zh-CN"/>
              </w:rPr>
              <w:t>5</w:t>
            </w:r>
            <w:r>
              <w:rPr>
                <w:rFonts w:hint="eastAsia" w:cs="宋体"/>
                <w:bCs/>
                <w:color w:val="auto"/>
                <w:sz w:val="22"/>
                <w:highlight w:val="none"/>
              </w:rPr>
              <w:t>分，</w:t>
            </w:r>
            <w:bookmarkEnd w:id="49"/>
            <w:r>
              <w:rPr>
                <w:rFonts w:hint="eastAsia" w:cs="宋体"/>
                <w:bCs/>
                <w:color w:val="auto"/>
                <w:sz w:val="22"/>
                <w:highlight w:val="none"/>
              </w:rPr>
              <w:t>最高得</w:t>
            </w:r>
            <w:r>
              <w:rPr>
                <w:rFonts w:hint="eastAsia" w:cs="宋体"/>
                <w:bCs/>
                <w:color w:val="auto"/>
                <w:sz w:val="22"/>
                <w:highlight w:val="none"/>
                <w:lang w:val="en-US" w:eastAsia="zh-CN"/>
              </w:rPr>
              <w:t>10</w:t>
            </w:r>
            <w:r>
              <w:rPr>
                <w:rFonts w:hint="eastAsia" w:cs="宋体"/>
                <w:bCs/>
                <w:color w:val="auto"/>
                <w:sz w:val="22"/>
                <w:highlight w:val="none"/>
              </w:rPr>
              <w:t>分。</w:t>
            </w:r>
          </w:p>
          <w:p w14:paraId="6D3AF842">
            <w:pPr>
              <w:pStyle w:val="49"/>
              <w:ind w:firstLine="0"/>
              <w:rPr>
                <w:rFonts w:hint="eastAsia"/>
                <w:color w:val="auto"/>
                <w:highlight w:val="none"/>
              </w:rPr>
            </w:pPr>
            <w:r>
              <w:rPr>
                <w:rFonts w:hint="eastAsia" w:cs="宋体"/>
                <w:bCs/>
                <w:color w:val="auto"/>
                <w:sz w:val="22"/>
                <w:highlight w:val="none"/>
              </w:rPr>
              <w:t>本项最高得</w:t>
            </w:r>
            <w:r>
              <w:rPr>
                <w:rFonts w:hint="eastAsia" w:cs="宋体"/>
                <w:bCs/>
                <w:color w:val="auto"/>
                <w:sz w:val="22"/>
                <w:highlight w:val="none"/>
                <w:lang w:val="en-US" w:eastAsia="zh-CN"/>
              </w:rPr>
              <w:t>15</w:t>
            </w:r>
            <w:r>
              <w:rPr>
                <w:rFonts w:hint="eastAsia" w:cs="宋体"/>
                <w:bCs/>
                <w:color w:val="auto"/>
                <w:sz w:val="22"/>
                <w:highlight w:val="none"/>
              </w:rPr>
              <w:t>分。</w:t>
            </w:r>
          </w:p>
        </w:tc>
      </w:tr>
      <w:tr w14:paraId="5F65C7C4">
        <w:tblPrEx>
          <w:tblCellMar>
            <w:top w:w="0" w:type="dxa"/>
            <w:left w:w="108" w:type="dxa"/>
            <w:bottom w:w="0" w:type="dxa"/>
            <w:right w:w="108" w:type="dxa"/>
          </w:tblCellMar>
        </w:tblPrEx>
        <w:trPr>
          <w:trHeight w:val="558" w:hRule="atLeast"/>
        </w:trPr>
        <w:tc>
          <w:tcPr>
            <w:tcW w:w="417" w:type="pct"/>
            <w:tcBorders>
              <w:top w:val="single" w:color="auto" w:sz="4" w:space="0"/>
              <w:left w:val="single" w:color="auto" w:sz="4" w:space="0"/>
              <w:bottom w:val="single" w:color="auto" w:sz="4" w:space="0"/>
              <w:right w:val="single" w:color="auto" w:sz="4" w:space="0"/>
            </w:tcBorders>
            <w:noWrap w:val="0"/>
            <w:vAlign w:val="center"/>
          </w:tcPr>
          <w:p w14:paraId="7434A9FB">
            <w:pPr>
              <w:widowControl/>
              <w:jc w:val="center"/>
              <w:textAlignment w:val="center"/>
              <w:rPr>
                <w:rFonts w:hint="eastAsia" w:ascii="宋体" w:hAnsi="宋体" w:eastAsia="宋体" w:cs="宋体"/>
                <w:b/>
                <w:bCs/>
                <w:color w:val="auto"/>
                <w:sz w:val="22"/>
                <w:highlight w:val="none"/>
                <w:lang w:eastAsia="zh-CN"/>
              </w:rPr>
            </w:pPr>
            <w:r>
              <w:rPr>
                <w:rFonts w:hint="eastAsia" w:ascii="宋体" w:hAnsi="宋体" w:cs="宋体"/>
                <w:b/>
                <w:bCs/>
                <w:color w:val="auto"/>
                <w:kern w:val="0"/>
                <w:sz w:val="22"/>
                <w:highlight w:val="none"/>
                <w:lang w:val="en-US" w:eastAsia="zh-CN" w:bidi="ar"/>
              </w:rPr>
              <w:t>5</w:t>
            </w:r>
          </w:p>
        </w:tc>
        <w:tc>
          <w:tcPr>
            <w:tcW w:w="433" w:type="pct"/>
            <w:vMerge w:val="continue"/>
            <w:tcBorders>
              <w:top w:val="single" w:color="auto" w:sz="4" w:space="0"/>
              <w:left w:val="single" w:color="auto" w:sz="4" w:space="0"/>
              <w:bottom w:val="single" w:color="auto" w:sz="4" w:space="0"/>
              <w:right w:val="single" w:color="auto" w:sz="4" w:space="0"/>
            </w:tcBorders>
            <w:noWrap w:val="0"/>
            <w:vAlign w:val="center"/>
          </w:tcPr>
          <w:p w14:paraId="563C35CC">
            <w:pPr>
              <w:jc w:val="center"/>
              <w:rPr>
                <w:rFonts w:hint="eastAsia" w:ascii="宋体" w:hAnsi="宋体" w:cs="宋体"/>
                <w:color w:val="auto"/>
                <w:sz w:val="22"/>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3343800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第三方评价</w:t>
            </w:r>
          </w:p>
          <w:p w14:paraId="6B18B3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w:t>
            </w: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分）</w:t>
            </w:r>
          </w:p>
        </w:tc>
        <w:tc>
          <w:tcPr>
            <w:tcW w:w="3453" w:type="pct"/>
            <w:tcBorders>
              <w:top w:val="single" w:color="auto" w:sz="4" w:space="0"/>
              <w:left w:val="single" w:color="auto" w:sz="4" w:space="0"/>
              <w:bottom w:val="single" w:color="auto" w:sz="4" w:space="0"/>
              <w:right w:val="single" w:color="auto" w:sz="4" w:space="0"/>
            </w:tcBorders>
            <w:noWrap w:val="0"/>
            <w:vAlign w:val="center"/>
          </w:tcPr>
          <w:p w14:paraId="43D984DD">
            <w:pPr>
              <w:pStyle w:val="386"/>
              <w:spacing w:after="0" w:line="360" w:lineRule="auto"/>
              <w:rPr>
                <w:rFonts w:hint="eastAsia" w:ascii="宋体" w:hAnsi="宋体" w:cs="宋体"/>
                <w:color w:val="auto"/>
                <w:kern w:val="2"/>
                <w:sz w:val="22"/>
                <w:szCs w:val="22"/>
                <w:highlight w:val="none"/>
              </w:rPr>
            </w:pPr>
            <w:r>
              <w:rPr>
                <w:rFonts w:hint="eastAsia" w:ascii="宋体" w:hAnsi="宋体" w:cs="宋体"/>
                <w:color w:val="auto"/>
                <w:kern w:val="2"/>
                <w:sz w:val="22"/>
                <w:szCs w:val="22"/>
                <w:highlight w:val="none"/>
              </w:rPr>
              <w:t>1）投标人同时具有有效的质量管理体系认证证书、环境管理体系认证证书、职业健康安全管理体系认证证书，得</w:t>
            </w:r>
            <w:r>
              <w:rPr>
                <w:rFonts w:hint="eastAsia" w:ascii="宋体" w:hAnsi="宋体" w:cs="宋体"/>
                <w:color w:val="auto"/>
                <w:kern w:val="2"/>
                <w:sz w:val="22"/>
                <w:szCs w:val="22"/>
                <w:highlight w:val="none"/>
                <w:lang w:val="en-US" w:eastAsia="zh-CN"/>
              </w:rPr>
              <w:t>2</w:t>
            </w:r>
            <w:r>
              <w:rPr>
                <w:rFonts w:hint="eastAsia" w:ascii="宋体" w:hAnsi="宋体" w:cs="宋体"/>
                <w:color w:val="auto"/>
                <w:kern w:val="2"/>
                <w:sz w:val="22"/>
                <w:szCs w:val="22"/>
                <w:highlight w:val="none"/>
              </w:rPr>
              <w:t>分；同时具有以上任意二项认证证书的，得</w:t>
            </w:r>
            <w:r>
              <w:rPr>
                <w:rFonts w:hint="eastAsia" w:ascii="宋体" w:hAnsi="宋体" w:cs="宋体"/>
                <w:color w:val="auto"/>
                <w:kern w:val="2"/>
                <w:sz w:val="22"/>
                <w:szCs w:val="22"/>
                <w:highlight w:val="none"/>
                <w:lang w:val="en-US" w:eastAsia="zh-CN"/>
              </w:rPr>
              <w:t>1</w:t>
            </w:r>
            <w:r>
              <w:rPr>
                <w:rFonts w:hint="eastAsia" w:ascii="宋体" w:hAnsi="宋体" w:cs="宋体"/>
                <w:color w:val="auto"/>
                <w:kern w:val="2"/>
                <w:sz w:val="22"/>
                <w:szCs w:val="22"/>
                <w:highlight w:val="none"/>
              </w:rPr>
              <w:t>分；仅具有以上任意一项认证证书的，得0</w:t>
            </w:r>
            <w:r>
              <w:rPr>
                <w:rFonts w:ascii="宋体" w:hAnsi="宋体" w:cs="宋体"/>
                <w:color w:val="auto"/>
                <w:kern w:val="2"/>
                <w:sz w:val="22"/>
                <w:szCs w:val="22"/>
                <w:highlight w:val="none"/>
              </w:rPr>
              <w:t>.5</w:t>
            </w:r>
            <w:r>
              <w:rPr>
                <w:rFonts w:hint="eastAsia" w:ascii="宋体" w:hAnsi="宋体" w:cs="宋体"/>
                <w:color w:val="auto"/>
                <w:kern w:val="2"/>
                <w:sz w:val="22"/>
                <w:szCs w:val="22"/>
                <w:highlight w:val="none"/>
              </w:rPr>
              <w:t>分；其它情况不得分。</w:t>
            </w:r>
          </w:p>
          <w:p w14:paraId="25739657">
            <w:pPr>
              <w:pStyle w:val="386"/>
              <w:spacing w:after="0" w:line="360" w:lineRule="auto"/>
              <w:rPr>
                <w:rFonts w:ascii="宋体" w:hAnsi="宋体" w:cs="宋体"/>
                <w:color w:val="auto"/>
                <w:kern w:val="2"/>
                <w:sz w:val="22"/>
                <w:szCs w:val="22"/>
                <w:highlight w:val="none"/>
              </w:rPr>
            </w:pPr>
            <w:r>
              <w:rPr>
                <w:rFonts w:ascii="宋体" w:hAnsi="宋体" w:cs="宋体"/>
                <w:color w:val="auto"/>
                <w:kern w:val="2"/>
                <w:sz w:val="22"/>
                <w:szCs w:val="22"/>
                <w:highlight w:val="none"/>
              </w:rPr>
              <w:t>2</w:t>
            </w:r>
            <w:r>
              <w:rPr>
                <w:rFonts w:hint="eastAsia" w:ascii="宋体" w:hAnsi="宋体" w:cs="宋体"/>
                <w:color w:val="auto"/>
                <w:kern w:val="2"/>
                <w:sz w:val="22"/>
                <w:szCs w:val="22"/>
                <w:highlight w:val="none"/>
              </w:rPr>
              <w:t>）投标人至今（须含最近评审年度（202</w:t>
            </w:r>
            <w:r>
              <w:rPr>
                <w:rFonts w:hint="eastAsia" w:ascii="宋体" w:hAnsi="宋体" w:cs="宋体"/>
                <w:color w:val="auto"/>
                <w:kern w:val="2"/>
                <w:sz w:val="22"/>
                <w:szCs w:val="22"/>
                <w:highlight w:val="none"/>
                <w:lang w:val="en-US" w:eastAsia="zh-CN"/>
              </w:rPr>
              <w:t>3</w:t>
            </w:r>
            <w:r>
              <w:rPr>
                <w:rFonts w:hint="eastAsia" w:ascii="宋体" w:hAnsi="宋体" w:cs="宋体"/>
                <w:color w:val="auto"/>
                <w:kern w:val="2"/>
                <w:sz w:val="22"/>
                <w:szCs w:val="22"/>
                <w:highlight w:val="none"/>
              </w:rPr>
              <w:t>年度）），获</w:t>
            </w:r>
            <w:r>
              <w:rPr>
                <w:rFonts w:ascii="宋体" w:hAnsi="宋体" w:cs="宋体"/>
                <w:color w:val="auto"/>
                <w:kern w:val="2"/>
                <w:sz w:val="22"/>
                <w:szCs w:val="22"/>
                <w:highlight w:val="none"/>
              </w:rPr>
              <w:t>得</w:t>
            </w:r>
            <w:r>
              <w:rPr>
                <w:rFonts w:hint="eastAsia" w:ascii="宋体" w:hAnsi="宋体" w:cs="宋体"/>
                <w:color w:val="auto"/>
                <w:kern w:val="2"/>
                <w:sz w:val="22"/>
                <w:szCs w:val="22"/>
                <w:highlight w:val="none"/>
              </w:rPr>
              <w:t>国家税务部门评定的</w:t>
            </w:r>
            <w:r>
              <w:rPr>
                <w:rFonts w:ascii="宋体" w:hAnsi="宋体" w:cs="宋体"/>
                <w:color w:val="auto"/>
                <w:kern w:val="2"/>
                <w:sz w:val="22"/>
                <w:szCs w:val="22"/>
                <w:highlight w:val="none"/>
              </w:rPr>
              <w:t>“</w:t>
            </w:r>
            <w:r>
              <w:rPr>
                <w:rFonts w:hint="eastAsia" w:ascii="宋体" w:hAnsi="宋体" w:cs="宋体"/>
                <w:color w:val="auto"/>
                <w:kern w:val="2"/>
                <w:sz w:val="22"/>
                <w:szCs w:val="22"/>
                <w:highlight w:val="none"/>
              </w:rPr>
              <w:t>纳税信用等级A级</w:t>
            </w:r>
            <w:r>
              <w:rPr>
                <w:rFonts w:ascii="宋体" w:hAnsi="宋体" w:cs="宋体"/>
                <w:color w:val="auto"/>
                <w:kern w:val="2"/>
                <w:sz w:val="22"/>
                <w:szCs w:val="22"/>
                <w:highlight w:val="none"/>
              </w:rPr>
              <w:t>”</w:t>
            </w:r>
            <w:r>
              <w:rPr>
                <w:rFonts w:hint="eastAsia" w:ascii="宋体" w:hAnsi="宋体" w:cs="宋体"/>
                <w:color w:val="auto"/>
                <w:kern w:val="2"/>
                <w:sz w:val="22"/>
                <w:szCs w:val="22"/>
                <w:highlight w:val="none"/>
              </w:rPr>
              <w:t>证书连续年限，连续</w:t>
            </w:r>
            <w:r>
              <w:rPr>
                <w:rFonts w:hint="eastAsia" w:ascii="宋体" w:hAnsi="宋体" w:cs="宋体"/>
                <w:color w:val="auto"/>
                <w:kern w:val="2"/>
                <w:sz w:val="22"/>
                <w:szCs w:val="22"/>
                <w:highlight w:val="none"/>
                <w:lang w:val="en-US" w:eastAsia="zh-CN"/>
              </w:rPr>
              <w:t>4</w:t>
            </w:r>
            <w:r>
              <w:rPr>
                <w:rFonts w:hint="eastAsia" w:ascii="宋体" w:hAnsi="宋体" w:cs="宋体"/>
                <w:color w:val="auto"/>
                <w:kern w:val="2"/>
                <w:sz w:val="22"/>
                <w:szCs w:val="22"/>
                <w:highlight w:val="none"/>
              </w:rPr>
              <w:t>个年度或以上获得过的，得</w:t>
            </w:r>
            <w:r>
              <w:rPr>
                <w:rFonts w:hint="eastAsia" w:ascii="宋体" w:hAnsi="宋体" w:cs="宋体"/>
                <w:color w:val="auto"/>
                <w:kern w:val="2"/>
                <w:sz w:val="22"/>
                <w:szCs w:val="22"/>
                <w:highlight w:val="none"/>
                <w:lang w:val="en-US" w:eastAsia="zh-CN"/>
              </w:rPr>
              <w:t>3</w:t>
            </w:r>
            <w:r>
              <w:rPr>
                <w:rFonts w:hint="eastAsia" w:ascii="宋体" w:hAnsi="宋体" w:cs="宋体"/>
                <w:color w:val="auto"/>
                <w:kern w:val="2"/>
                <w:sz w:val="22"/>
                <w:szCs w:val="22"/>
                <w:highlight w:val="none"/>
              </w:rPr>
              <w:t>分；连续</w:t>
            </w:r>
            <w:r>
              <w:rPr>
                <w:rFonts w:hint="eastAsia" w:ascii="宋体" w:hAnsi="宋体" w:cs="宋体"/>
                <w:color w:val="auto"/>
                <w:kern w:val="2"/>
                <w:sz w:val="22"/>
                <w:szCs w:val="22"/>
                <w:highlight w:val="none"/>
                <w:lang w:val="en-US" w:eastAsia="zh-CN"/>
              </w:rPr>
              <w:t>3</w:t>
            </w:r>
            <w:r>
              <w:rPr>
                <w:rFonts w:hint="eastAsia" w:ascii="宋体" w:hAnsi="宋体" w:cs="宋体"/>
                <w:color w:val="auto"/>
                <w:kern w:val="2"/>
                <w:sz w:val="22"/>
                <w:szCs w:val="22"/>
                <w:highlight w:val="none"/>
              </w:rPr>
              <w:t>个年度获得过的，得</w:t>
            </w:r>
            <w:r>
              <w:rPr>
                <w:rFonts w:hint="eastAsia" w:ascii="宋体" w:hAnsi="宋体" w:cs="宋体"/>
                <w:color w:val="auto"/>
                <w:kern w:val="2"/>
                <w:sz w:val="22"/>
                <w:szCs w:val="22"/>
                <w:highlight w:val="none"/>
                <w:lang w:val="en-US" w:eastAsia="zh-CN"/>
              </w:rPr>
              <w:t>2</w:t>
            </w:r>
            <w:r>
              <w:rPr>
                <w:rFonts w:hint="eastAsia" w:ascii="宋体" w:hAnsi="宋体" w:cs="宋体"/>
                <w:color w:val="auto"/>
                <w:kern w:val="2"/>
                <w:sz w:val="22"/>
                <w:szCs w:val="22"/>
                <w:highlight w:val="none"/>
              </w:rPr>
              <w:t>分；连续</w:t>
            </w:r>
            <w:r>
              <w:rPr>
                <w:rFonts w:ascii="宋体" w:hAnsi="宋体" w:cs="宋体"/>
                <w:color w:val="auto"/>
                <w:kern w:val="2"/>
                <w:sz w:val="22"/>
                <w:szCs w:val="22"/>
                <w:highlight w:val="none"/>
              </w:rPr>
              <w:t>1</w:t>
            </w:r>
            <w:r>
              <w:rPr>
                <w:rFonts w:hint="eastAsia" w:ascii="宋体" w:hAnsi="宋体" w:cs="宋体"/>
                <w:color w:val="auto"/>
                <w:kern w:val="2"/>
                <w:sz w:val="22"/>
                <w:szCs w:val="22"/>
                <w:highlight w:val="none"/>
                <w:lang w:val="en-US" w:eastAsia="zh-CN"/>
              </w:rPr>
              <w:t>-2</w:t>
            </w:r>
            <w:r>
              <w:rPr>
                <w:rFonts w:hint="eastAsia" w:ascii="宋体" w:hAnsi="宋体" w:cs="宋体"/>
                <w:color w:val="auto"/>
                <w:kern w:val="2"/>
                <w:sz w:val="22"/>
                <w:szCs w:val="22"/>
                <w:highlight w:val="none"/>
              </w:rPr>
              <w:t>个年度获得过的，得</w:t>
            </w:r>
            <w:r>
              <w:rPr>
                <w:rFonts w:hint="eastAsia" w:ascii="宋体" w:hAnsi="宋体" w:cs="宋体"/>
                <w:color w:val="auto"/>
                <w:kern w:val="2"/>
                <w:sz w:val="22"/>
                <w:szCs w:val="22"/>
                <w:highlight w:val="none"/>
                <w:lang w:val="en-US" w:eastAsia="zh-CN"/>
              </w:rPr>
              <w:t>1</w:t>
            </w:r>
            <w:r>
              <w:rPr>
                <w:rFonts w:hint="eastAsia" w:ascii="宋体" w:hAnsi="宋体" w:cs="宋体"/>
                <w:color w:val="auto"/>
                <w:kern w:val="2"/>
                <w:sz w:val="22"/>
                <w:szCs w:val="22"/>
                <w:highlight w:val="none"/>
              </w:rPr>
              <w:t>分；其它情况不得分。</w:t>
            </w:r>
          </w:p>
          <w:p w14:paraId="048CFF09">
            <w:pPr>
              <w:pStyle w:val="386"/>
              <w:spacing w:line="360" w:lineRule="auto"/>
              <w:rPr>
                <w:rFonts w:ascii="宋体" w:hAnsi="宋体" w:cs="宋体"/>
                <w:color w:val="auto"/>
                <w:kern w:val="2"/>
                <w:sz w:val="22"/>
                <w:szCs w:val="22"/>
                <w:highlight w:val="none"/>
              </w:rPr>
            </w:pPr>
            <w:r>
              <w:rPr>
                <w:rFonts w:hint="eastAsia" w:ascii="宋体" w:hAnsi="宋体" w:cs="宋体"/>
                <w:color w:val="auto"/>
                <w:kern w:val="2"/>
                <w:sz w:val="22"/>
                <w:szCs w:val="22"/>
                <w:highlight w:val="none"/>
              </w:rPr>
              <w:t>本项最高得2分。</w:t>
            </w:r>
          </w:p>
        </w:tc>
      </w:tr>
    </w:tbl>
    <w:p w14:paraId="67BE4587">
      <w:pPr>
        <w:pStyle w:val="385"/>
        <w:tabs>
          <w:tab w:val="left" w:pos="6398"/>
        </w:tabs>
        <w:spacing w:after="80" w:line="288" w:lineRule="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备注：</w:t>
      </w:r>
    </w:p>
    <w:p w14:paraId="6E71E602">
      <w:pPr>
        <w:pStyle w:val="384"/>
        <w:spacing w:line="288" w:lineRule="auto"/>
        <w:rPr>
          <w:rFonts w:hint="eastAsia"/>
          <w:b/>
          <w:bCs/>
          <w:color w:val="auto"/>
          <w:sz w:val="22"/>
          <w:szCs w:val="22"/>
          <w:highlight w:val="none"/>
          <w:lang w:val="en-US" w:eastAsia="zh-CN" w:bidi="ar"/>
        </w:rPr>
      </w:pPr>
      <w:r>
        <w:rPr>
          <w:rFonts w:hint="eastAsia"/>
          <w:b/>
          <w:bCs/>
          <w:color w:val="auto"/>
          <w:sz w:val="22"/>
          <w:szCs w:val="22"/>
          <w:highlight w:val="none"/>
          <w:lang w:val="en-US" w:eastAsia="zh-CN"/>
        </w:rPr>
        <w:t>1.项目管理机构配置情况：</w:t>
      </w:r>
    </w:p>
    <w:p w14:paraId="11CAE7ED">
      <w:pPr>
        <w:pStyle w:val="384"/>
        <w:spacing w:line="288" w:lineRule="auto"/>
        <w:rPr>
          <w:rFonts w:hint="eastAsia"/>
          <w:color w:val="auto"/>
          <w:sz w:val="22"/>
          <w:szCs w:val="22"/>
          <w:highlight w:val="none"/>
          <w:lang w:val="en-US" w:eastAsia="zh-CN" w:bidi="ar"/>
        </w:rPr>
      </w:pPr>
      <w:r>
        <w:rPr>
          <w:rFonts w:hint="eastAsia"/>
          <w:color w:val="auto"/>
          <w:sz w:val="22"/>
          <w:szCs w:val="22"/>
          <w:highlight w:val="none"/>
          <w:lang w:val="en-US" w:eastAsia="zh-CN" w:bidi="ar"/>
        </w:rPr>
        <w:t>（1）项目管理</w:t>
      </w:r>
      <w:r>
        <w:rPr>
          <w:rFonts w:hint="eastAsia"/>
          <w:color w:val="auto"/>
          <w:sz w:val="22"/>
          <w:szCs w:val="22"/>
          <w:highlight w:val="none"/>
          <w:lang w:val="en-US" w:eastAsia="zh-CN"/>
        </w:rPr>
        <w:t>人员均不得兼任，除须提供职称证、注册证、执业资格证、执业证等相关证明资料原件清晰扫描件外，还须提供近3个月（2025年3月至2025年5月）在投标人单位（或分公司）参保的社保缴纳记录证明原件清晰扫描件。</w:t>
      </w:r>
      <w:r>
        <w:rPr>
          <w:rFonts w:hint="eastAsia"/>
          <w:color w:val="auto"/>
          <w:sz w:val="22"/>
          <w:szCs w:val="22"/>
          <w:highlight w:val="none"/>
        </w:rPr>
        <w:t>各专业人员专业名称以职称证的专业名称为准</w:t>
      </w:r>
      <w:r>
        <w:rPr>
          <w:rFonts w:hint="eastAsia"/>
          <w:color w:val="auto"/>
          <w:sz w:val="22"/>
          <w:szCs w:val="22"/>
          <w:highlight w:val="none"/>
          <w:lang w:eastAsia="zh-CN"/>
        </w:rPr>
        <w:t>，</w:t>
      </w:r>
      <w:r>
        <w:rPr>
          <w:rFonts w:hint="eastAsia"/>
          <w:color w:val="auto"/>
          <w:sz w:val="22"/>
          <w:szCs w:val="22"/>
          <w:highlight w:val="none"/>
          <w:lang w:val="en-US" w:eastAsia="zh-CN"/>
        </w:rPr>
        <w:t>如职称证上无专业名称，以毕业证的专业名称为准</w:t>
      </w:r>
      <w:r>
        <w:rPr>
          <w:rFonts w:hint="eastAsia"/>
          <w:color w:val="auto"/>
          <w:sz w:val="22"/>
          <w:szCs w:val="22"/>
          <w:highlight w:val="none"/>
        </w:rPr>
        <w:t>，各岗位人员不得相互兼职，</w:t>
      </w:r>
      <w:r>
        <w:rPr>
          <w:rFonts w:hint="eastAsia"/>
          <w:color w:val="auto"/>
          <w:sz w:val="22"/>
          <w:szCs w:val="22"/>
          <w:highlight w:val="none"/>
          <w:lang w:val="en-US" w:eastAsia="zh-CN"/>
        </w:rPr>
        <w:t>未提供或所提供的证明资料不符合要求的，则不予得分。</w:t>
      </w:r>
    </w:p>
    <w:p w14:paraId="13B0CF17">
      <w:pPr>
        <w:spacing w:line="288" w:lineRule="auto"/>
        <w:rPr>
          <w:rFonts w:hint="eastAsia"/>
          <w:color w:val="auto"/>
          <w:kern w:val="0"/>
          <w:sz w:val="22"/>
          <w:highlight w:val="none"/>
          <w:lang w:bidi="ar"/>
        </w:rPr>
      </w:pPr>
      <w:r>
        <w:rPr>
          <w:rFonts w:hint="eastAsia"/>
          <w:color w:val="auto"/>
          <w:kern w:val="0"/>
          <w:sz w:val="22"/>
          <w:highlight w:val="none"/>
          <w:lang w:bidi="ar"/>
        </w:rPr>
        <w:t>（</w:t>
      </w:r>
      <w:r>
        <w:rPr>
          <w:rFonts w:hint="eastAsia"/>
          <w:color w:val="auto"/>
          <w:kern w:val="0"/>
          <w:sz w:val="22"/>
          <w:highlight w:val="none"/>
          <w:lang w:val="en-US" w:eastAsia="zh-CN" w:bidi="ar"/>
        </w:rPr>
        <w:t>2</w:t>
      </w:r>
      <w:r>
        <w:rPr>
          <w:rFonts w:hint="eastAsia"/>
          <w:color w:val="auto"/>
          <w:kern w:val="0"/>
          <w:sz w:val="22"/>
          <w:highlight w:val="none"/>
          <w:lang w:bidi="ar"/>
        </w:rPr>
        <w:t>）拟担任项目负责人的业绩取自广州市住建行业信用管理平台或提供业绩证明扫描件。取自平台的，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并加盖投标人企业电子印章</w:t>
      </w:r>
      <w:r>
        <w:rPr>
          <w:rFonts w:hint="eastAsia"/>
          <w:color w:val="auto"/>
          <w:kern w:val="0"/>
          <w:sz w:val="22"/>
          <w:highlight w:val="none"/>
          <w:u w:val="single"/>
          <w:lang w:bidi="ar"/>
        </w:rPr>
        <w:t>（业绩相关附件的上传件取广州市住建行业信用管理平台，投标阶段可不重复提交）</w:t>
      </w:r>
      <w:r>
        <w:rPr>
          <w:rFonts w:hint="eastAsia"/>
          <w:color w:val="auto"/>
          <w:kern w:val="0"/>
          <w:sz w:val="22"/>
          <w:highlight w:val="none"/>
          <w:lang w:bidi="ar"/>
        </w:rPr>
        <w:t>。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1869D7C2">
      <w:pPr>
        <w:pStyle w:val="385"/>
        <w:tabs>
          <w:tab w:val="left" w:pos="6398"/>
        </w:tabs>
        <w:spacing w:after="80" w:line="288" w:lineRule="auto"/>
        <w:ind w:firstLine="220" w:firstLineChars="100"/>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1）金额以中标通知书为准，中标通知书上没有金额或免招标的，以施工合同或EPC合同施工部分（不含补充合同）为准。</w:t>
      </w:r>
    </w:p>
    <w:p w14:paraId="6626BCFA">
      <w:pPr>
        <w:pStyle w:val="385"/>
        <w:tabs>
          <w:tab w:val="left" w:pos="6398"/>
        </w:tabs>
        <w:spacing w:after="80" w:line="288" w:lineRule="auto"/>
        <w:ind w:firstLine="220" w:firstLineChars="100"/>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2）验收文件至少具有建设单位、设计、施工和监理单位盖章。</w:t>
      </w:r>
    </w:p>
    <w:p w14:paraId="3AC99F1F">
      <w:pPr>
        <w:pStyle w:val="385"/>
        <w:tabs>
          <w:tab w:val="left" w:pos="6398"/>
        </w:tabs>
        <w:spacing w:after="80" w:line="288" w:lineRule="auto"/>
        <w:ind w:firstLine="220" w:firstLineChars="100"/>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3）平台内业绩上传件不符合上述要求的或登记的工程资质内容与施工合同或EPC合同施工部分等业绩证明资料不相符的，该项业绩不予认定。</w:t>
      </w:r>
    </w:p>
    <w:p w14:paraId="1F46E29E">
      <w:pPr>
        <w:pStyle w:val="385"/>
        <w:tabs>
          <w:tab w:val="left" w:pos="6398"/>
        </w:tabs>
        <w:spacing w:after="80" w:line="288" w:lineRule="auto"/>
        <w:ind w:firstLine="220" w:firstLineChars="100"/>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4）项目负责人业绩以在广州市住建行业信用管理平台业绩库内的验收材料中的列明的竣工验收的项目负责人或其他材料证明其为项目负责人，没有明确担任岗位或没有提供证明为项目负责人或担任岗位不清晰的均不得分。</w:t>
      </w:r>
    </w:p>
    <w:p w14:paraId="395341AF">
      <w:pPr>
        <w:spacing w:line="288" w:lineRule="auto"/>
        <w:ind w:firstLine="440" w:firstLineChars="200"/>
        <w:rPr>
          <w:rFonts w:hint="eastAsia"/>
          <w:b/>
          <w:bCs/>
          <w:color w:val="auto"/>
          <w:kern w:val="0"/>
          <w:sz w:val="22"/>
          <w:highlight w:val="none"/>
          <w:lang w:bidi="ar"/>
        </w:rPr>
      </w:pPr>
      <w:r>
        <w:rPr>
          <w:rFonts w:hint="eastAsia" w:ascii="宋体" w:hAnsi="宋体"/>
          <w:bCs/>
          <w:color w:val="auto"/>
          <w:sz w:val="22"/>
          <w:highlight w:val="none"/>
        </w:rPr>
        <w:t>业绩不取自广州市住建行业信用管理平台的，需要提供项目中标通知书（或免招标证明）、施工合同、验收文件的扫描件（验收记录或验收文件至少具有建设单位、设计、施工和监理单位盖章）。</w:t>
      </w:r>
      <w:r>
        <w:rPr>
          <w:rFonts w:hint="eastAsia"/>
          <w:color w:val="auto"/>
          <w:kern w:val="0"/>
          <w:sz w:val="22"/>
          <w:highlight w:val="none"/>
          <w:lang w:bidi="ar"/>
        </w:rPr>
        <w:t>金额以中标通知书为准，中标通知书上没有金额或免招标的，以施工合同或EPC合同施工部分（不含补充合同）为准；提供的证明材料需能证明其为项目负责人，没有明确担任岗位或没有提供证明为项目负责人或担任岗位不清晰的均不得分。</w:t>
      </w:r>
    </w:p>
    <w:p w14:paraId="7124645D">
      <w:pPr>
        <w:pStyle w:val="384"/>
        <w:spacing w:line="288" w:lineRule="auto"/>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（3）拟担任项目负责人的工程获奖</w:t>
      </w:r>
      <w:r>
        <w:rPr>
          <w:rFonts w:hint="eastAsia"/>
          <w:color w:val="auto"/>
          <w:sz w:val="22"/>
          <w:szCs w:val="22"/>
          <w:highlight w:val="none"/>
        </w:rPr>
        <w:t>可取自广州市住建行业信用管理平台或提供获奖证书原件清晰扫描件</w:t>
      </w:r>
      <w:r>
        <w:rPr>
          <w:rFonts w:hint="eastAsia"/>
          <w:color w:val="auto"/>
          <w:kern w:val="0"/>
          <w:sz w:val="22"/>
          <w:szCs w:val="22"/>
          <w:highlight w:val="none"/>
          <w:lang w:val="en-US" w:eastAsia="zh-CN" w:bidi="ar"/>
        </w:rPr>
        <w:t>。①</w:t>
      </w:r>
      <w:r>
        <w:rPr>
          <w:rFonts w:hint="eastAsia"/>
          <w:color w:val="auto"/>
          <w:kern w:val="0"/>
          <w:sz w:val="22"/>
          <w:szCs w:val="22"/>
          <w:highlight w:val="none"/>
          <w:u w:val="single"/>
          <w:lang w:val="en-US" w:eastAsia="zh-CN" w:bidi="ar"/>
        </w:rPr>
        <w:t>奖项</w:t>
      </w:r>
      <w:r>
        <w:rPr>
          <w:rFonts w:hint="eastAsia"/>
          <w:color w:val="auto"/>
          <w:sz w:val="22"/>
          <w:szCs w:val="22"/>
          <w:highlight w:val="none"/>
          <w:u w:val="single"/>
        </w:rPr>
        <w:t>取自广州市住建行业信用管理平台</w:t>
      </w:r>
      <w:r>
        <w:rPr>
          <w:rFonts w:hint="eastAsia"/>
          <w:color w:val="auto"/>
          <w:kern w:val="0"/>
          <w:sz w:val="22"/>
          <w:szCs w:val="22"/>
          <w:highlight w:val="none"/>
          <w:u w:val="single"/>
          <w:lang w:val="en-US" w:eastAsia="zh-CN" w:bidi="ar"/>
        </w:rPr>
        <w:t>的</w:t>
      </w:r>
      <w:r>
        <w:rPr>
          <w:rFonts w:hint="eastAsia"/>
          <w:color w:val="auto"/>
          <w:kern w:val="0"/>
          <w:sz w:val="22"/>
          <w:szCs w:val="22"/>
          <w:highlight w:val="none"/>
          <w:lang w:val="en-US" w:eastAsia="zh-CN" w:bidi="ar"/>
        </w:rPr>
        <w:t>，投标人须提交广州市住建行业信用管理平台的网页信息截图（网页信息截图须能清晰显示带有“住建行业信用管理平台”名称，并至少包含“项目基本信息”、“奖项信息”等信息）以供核对，并加盖投标人企业电子印章。②</w:t>
      </w:r>
      <w:r>
        <w:rPr>
          <w:rFonts w:hint="eastAsia"/>
          <w:color w:val="auto"/>
          <w:kern w:val="0"/>
          <w:sz w:val="22"/>
          <w:szCs w:val="22"/>
          <w:highlight w:val="none"/>
          <w:u w:val="single"/>
          <w:lang w:val="en-US" w:eastAsia="zh-CN" w:bidi="ar"/>
        </w:rPr>
        <w:t>奖项</w:t>
      </w:r>
      <w:r>
        <w:rPr>
          <w:rFonts w:hint="eastAsia"/>
          <w:color w:val="auto"/>
          <w:sz w:val="22"/>
          <w:szCs w:val="22"/>
          <w:highlight w:val="none"/>
          <w:u w:val="single"/>
        </w:rPr>
        <w:t>提供获奖证书原件</w:t>
      </w:r>
      <w:r>
        <w:rPr>
          <w:rFonts w:hint="eastAsia"/>
          <w:color w:val="auto"/>
          <w:sz w:val="22"/>
          <w:szCs w:val="22"/>
          <w:highlight w:val="none"/>
          <w:u w:val="single"/>
          <w:lang w:val="en-US" w:eastAsia="zh-CN"/>
        </w:rPr>
        <w:t>清晰</w:t>
      </w:r>
      <w:r>
        <w:rPr>
          <w:rFonts w:hint="eastAsia"/>
          <w:color w:val="auto"/>
          <w:sz w:val="22"/>
          <w:szCs w:val="22"/>
          <w:highlight w:val="none"/>
          <w:u w:val="single"/>
        </w:rPr>
        <w:t>扫描件的</w:t>
      </w:r>
      <w:r>
        <w:rPr>
          <w:rFonts w:hint="eastAsia"/>
          <w:color w:val="auto"/>
          <w:kern w:val="0"/>
          <w:sz w:val="22"/>
          <w:szCs w:val="22"/>
          <w:highlight w:val="none"/>
          <w:lang w:val="en-US" w:eastAsia="zh-CN" w:bidi="ar"/>
        </w:rPr>
        <w:t>，</w:t>
      </w:r>
      <w:r>
        <w:rPr>
          <w:rFonts w:hint="eastAsia"/>
          <w:color w:val="auto"/>
          <w:sz w:val="22"/>
          <w:szCs w:val="22"/>
          <w:highlight w:val="none"/>
        </w:rPr>
        <w:t>投标人须提供获奖证书原件</w:t>
      </w:r>
      <w:r>
        <w:rPr>
          <w:rFonts w:hint="eastAsia"/>
          <w:color w:val="auto"/>
          <w:sz w:val="22"/>
          <w:szCs w:val="22"/>
          <w:highlight w:val="none"/>
          <w:lang w:val="en-US" w:eastAsia="zh-CN"/>
        </w:rPr>
        <w:t>清晰</w:t>
      </w:r>
      <w:r>
        <w:rPr>
          <w:rFonts w:hint="eastAsia"/>
          <w:color w:val="auto"/>
          <w:sz w:val="22"/>
          <w:szCs w:val="22"/>
          <w:highlight w:val="none"/>
        </w:rPr>
        <w:t>扫描件，并同时提供获奖业绩的中标通知书（或免招标证明文件）、施工合同</w:t>
      </w:r>
      <w:r>
        <w:rPr>
          <w:rFonts w:hint="eastAsia"/>
          <w:color w:val="auto"/>
          <w:kern w:val="0"/>
          <w:sz w:val="22"/>
          <w:szCs w:val="22"/>
          <w:highlight w:val="none"/>
          <w:lang w:val="en-US" w:eastAsia="zh-CN" w:bidi="ar"/>
        </w:rPr>
        <w:t>或EPC合同施工部分</w:t>
      </w:r>
      <w:r>
        <w:rPr>
          <w:rFonts w:hint="eastAsia"/>
          <w:color w:val="auto"/>
          <w:sz w:val="22"/>
          <w:szCs w:val="22"/>
          <w:highlight w:val="none"/>
        </w:rPr>
        <w:t>（不含补充合同）并加盖</w:t>
      </w:r>
      <w:r>
        <w:rPr>
          <w:rFonts w:hint="eastAsia"/>
          <w:color w:val="auto"/>
          <w:kern w:val="0"/>
          <w:sz w:val="22"/>
          <w:szCs w:val="22"/>
          <w:highlight w:val="none"/>
          <w:lang w:val="en-US" w:eastAsia="zh-CN" w:bidi="ar"/>
        </w:rPr>
        <w:t>投标人企业电子印章。不符合上述条件或不提供平台内网页信息截图的工程获奖不予评审。</w:t>
      </w:r>
    </w:p>
    <w:p w14:paraId="267973BC">
      <w:pPr>
        <w:pStyle w:val="384"/>
        <w:spacing w:line="288" w:lineRule="auto"/>
        <w:ind w:firstLine="220" w:firstLineChars="100"/>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1）评标委员会对取自广州市住建行业信用管理平台的工程获奖评审以投标截止时间在平台内奖项上传件为依据。</w:t>
      </w:r>
    </w:p>
    <w:p w14:paraId="0FC41AC0">
      <w:pPr>
        <w:pStyle w:val="384"/>
        <w:spacing w:line="288" w:lineRule="auto"/>
        <w:ind w:firstLine="220" w:firstLineChars="100"/>
        <w:rPr>
          <w:color w:val="auto"/>
          <w:kern w:val="0"/>
          <w:sz w:val="22"/>
          <w:szCs w:val="22"/>
          <w:highlight w:val="none"/>
          <w:lang w:val="en-US" w:eastAsia="zh-CN" w:bidi="ar"/>
        </w:rPr>
      </w:pPr>
      <w:r>
        <w:rPr>
          <w:rFonts w:hint="eastAsia"/>
          <w:color w:val="auto"/>
          <w:kern w:val="0"/>
          <w:sz w:val="22"/>
          <w:szCs w:val="22"/>
          <w:highlight w:val="none"/>
          <w:lang w:val="en-US" w:eastAsia="zh-CN" w:bidi="ar"/>
        </w:rPr>
        <w:t>2）国家级奖项指的是中国建设工程鲁班奖、国家优质工程金质奖、国家优质工程奖、中国土木工程詹天佑奖；省或市级奖项指的是由省、市级建设行政主管部门或行业协会颁发的工程奖项</w:t>
      </w:r>
      <w:r>
        <w:rPr>
          <w:rFonts w:hint="eastAsia"/>
          <w:color w:val="auto"/>
          <w:sz w:val="22"/>
          <w:szCs w:val="22"/>
          <w:highlight w:val="none"/>
          <w:lang w:bidi="ar"/>
        </w:rPr>
        <w:t>（其它如技术创新、QC成果、钢结构、机电安装、科技进步及技术应用类等奖项不参与计分）</w:t>
      </w:r>
      <w:r>
        <w:rPr>
          <w:rFonts w:hint="eastAsia"/>
          <w:color w:val="auto"/>
          <w:kern w:val="0"/>
          <w:sz w:val="22"/>
          <w:szCs w:val="22"/>
          <w:highlight w:val="none"/>
          <w:lang w:val="en-US" w:eastAsia="zh-CN" w:bidi="ar"/>
        </w:rPr>
        <w:t>。只计算房建类工程奖项，其他非房建项目，如：路桥、铁路、水利、电力、化工、冶金、市政、装修等获奖不参与计分。</w:t>
      </w:r>
    </w:p>
    <w:p w14:paraId="1F0BCEDC">
      <w:pPr>
        <w:pStyle w:val="384"/>
        <w:spacing w:line="288" w:lineRule="auto"/>
        <w:ind w:firstLine="220" w:firstLineChars="100"/>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3）提供的证明材料需能证明该获奖项目的施工单位为该获奖项目的施工总承包单位，须提供相关证明材料（如施工合同、业主证明、评审申请材料、批复文件、竣工验收文件等）体现其为该获奖项目的施工总承包单位身份，否则不予计分。</w:t>
      </w:r>
    </w:p>
    <w:p w14:paraId="075BFD65">
      <w:pPr>
        <w:pStyle w:val="384"/>
        <w:spacing w:line="288" w:lineRule="auto"/>
        <w:ind w:firstLine="220" w:firstLineChars="100"/>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4）</w:t>
      </w:r>
      <w:r>
        <w:rPr>
          <w:rFonts w:hint="eastAsia"/>
          <w:color w:val="auto"/>
          <w:kern w:val="0"/>
          <w:sz w:val="22"/>
          <w:highlight w:val="none"/>
          <w:lang w:bidi="ar"/>
        </w:rPr>
        <w:t>提供的证明材料需能证明其为</w:t>
      </w:r>
      <w:r>
        <w:rPr>
          <w:rFonts w:hint="eastAsia"/>
          <w:color w:val="auto"/>
          <w:kern w:val="0"/>
          <w:sz w:val="22"/>
          <w:szCs w:val="22"/>
          <w:highlight w:val="none"/>
          <w:lang w:val="en-US" w:eastAsia="zh-CN" w:bidi="ar"/>
        </w:rPr>
        <w:t>其为获奖项目的项目负责人，没有明确担任岗位或没有提供证明为项目负责人或担任岗位不清晰的均不得分</w:t>
      </w:r>
      <w:r>
        <w:rPr>
          <w:rFonts w:hint="eastAsia"/>
          <w:color w:val="auto"/>
          <w:kern w:val="0"/>
          <w:sz w:val="22"/>
          <w:highlight w:val="none"/>
          <w:lang w:bidi="ar"/>
        </w:rPr>
        <w:t>。</w:t>
      </w:r>
    </w:p>
    <w:p w14:paraId="158CA01E">
      <w:pPr>
        <w:pStyle w:val="384"/>
        <w:spacing w:line="288" w:lineRule="auto"/>
        <w:ind w:firstLine="220" w:firstLineChars="100"/>
        <w:rPr>
          <w:rFonts w:hint="eastAsia"/>
          <w:color w:val="auto"/>
          <w:sz w:val="22"/>
          <w:szCs w:val="22"/>
          <w:highlight w:val="none"/>
        </w:rPr>
      </w:pPr>
      <w:r>
        <w:rPr>
          <w:rFonts w:hint="eastAsia"/>
          <w:color w:val="auto"/>
          <w:kern w:val="0"/>
          <w:sz w:val="22"/>
          <w:szCs w:val="22"/>
          <w:highlight w:val="none"/>
          <w:lang w:val="en-US" w:eastAsia="zh-CN" w:bidi="ar"/>
        </w:rPr>
        <w:t>5）同一项目获得多个奖项的，按最高级别奖项只计一次得分。</w:t>
      </w:r>
    </w:p>
    <w:p w14:paraId="5117B1AE">
      <w:pPr>
        <w:pStyle w:val="385"/>
        <w:tabs>
          <w:tab w:val="left" w:pos="6398"/>
        </w:tabs>
        <w:spacing w:after="80" w:line="288" w:lineRule="auto"/>
        <w:rPr>
          <w:rFonts w:hint="eastAsia"/>
          <w:b/>
          <w:bCs/>
          <w:color w:val="auto"/>
          <w:sz w:val="22"/>
          <w:szCs w:val="22"/>
          <w:highlight w:val="none"/>
          <w:lang w:val="en-US" w:eastAsia="zh-CN" w:bidi="ar"/>
        </w:rPr>
      </w:pPr>
      <w:r>
        <w:rPr>
          <w:rFonts w:hint="eastAsia"/>
          <w:b/>
          <w:bCs/>
          <w:color w:val="auto"/>
          <w:sz w:val="22"/>
          <w:szCs w:val="22"/>
          <w:highlight w:val="none"/>
          <w:lang w:val="en-US" w:eastAsia="zh-CN" w:bidi="ar"/>
        </w:rPr>
        <w:t>2.企业类似业绩：</w:t>
      </w:r>
    </w:p>
    <w:p w14:paraId="7C798541">
      <w:pPr>
        <w:spacing w:line="288" w:lineRule="auto"/>
        <w:ind w:firstLine="440" w:firstLineChars="200"/>
        <w:rPr>
          <w:rFonts w:hint="eastAsia"/>
          <w:color w:val="auto"/>
          <w:kern w:val="0"/>
          <w:sz w:val="22"/>
          <w:highlight w:val="none"/>
          <w:lang w:bidi="ar"/>
        </w:rPr>
      </w:pPr>
      <w:r>
        <w:rPr>
          <w:rFonts w:hint="eastAsia"/>
          <w:color w:val="auto"/>
          <w:kern w:val="0"/>
          <w:sz w:val="22"/>
          <w:highlight w:val="none"/>
          <w:lang w:bidi="ar"/>
        </w:rPr>
        <w:t>业绩取自广州市住建行业信用管理平台或提供业绩证明扫描件。取自平台的，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并加盖投标人企业电子印章</w:t>
      </w:r>
      <w:r>
        <w:rPr>
          <w:rFonts w:hint="eastAsia"/>
          <w:color w:val="auto"/>
          <w:kern w:val="0"/>
          <w:sz w:val="22"/>
          <w:highlight w:val="none"/>
          <w:u w:val="single"/>
          <w:lang w:bidi="ar"/>
        </w:rPr>
        <w:t>（业绩相关附件的上传件取广州市住建行业信用管理平台，投标阶段可不重复提交）。</w:t>
      </w:r>
      <w:r>
        <w:rPr>
          <w:rFonts w:hint="eastAsia"/>
          <w:color w:val="auto"/>
          <w:kern w:val="0"/>
          <w:sz w:val="22"/>
          <w:highlight w:val="none"/>
          <w:lang w:bidi="ar"/>
        </w:rPr>
        <w:t>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0E121AD0">
      <w:pPr>
        <w:pStyle w:val="385"/>
        <w:numPr>
          <w:ilvl w:val="0"/>
          <w:numId w:val="1"/>
        </w:numPr>
        <w:tabs>
          <w:tab w:val="left" w:pos="6398"/>
        </w:tabs>
        <w:spacing w:after="80" w:line="288" w:lineRule="auto"/>
        <w:ind w:firstLine="440" w:firstLineChars="200"/>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金额以中标通知书为准，中标通知书上没有金额或免招标的，以施工合同或EPC合同施工部分（不含补充合同）为准。</w:t>
      </w:r>
    </w:p>
    <w:p w14:paraId="32A9E0B1">
      <w:pPr>
        <w:pStyle w:val="385"/>
        <w:numPr>
          <w:ilvl w:val="0"/>
          <w:numId w:val="1"/>
        </w:numPr>
        <w:tabs>
          <w:tab w:val="left" w:pos="6398"/>
        </w:tabs>
        <w:spacing w:after="80" w:line="288" w:lineRule="auto"/>
        <w:ind w:firstLine="440" w:firstLineChars="200"/>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完成时间以竣工验收文件为准。验收文件至少具有建设单位、设计、施工和监理单位盖章。</w:t>
      </w:r>
    </w:p>
    <w:p w14:paraId="42114A0E">
      <w:pPr>
        <w:pStyle w:val="385"/>
        <w:numPr>
          <w:ilvl w:val="0"/>
          <w:numId w:val="1"/>
        </w:numPr>
        <w:tabs>
          <w:tab w:val="left" w:pos="6398"/>
        </w:tabs>
        <w:spacing w:after="80" w:line="288" w:lineRule="auto"/>
        <w:ind w:firstLine="440" w:firstLineChars="200"/>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平台内业绩上传件不符合上述要求的或登记的工程资质内容与施工合同或EPC合同施工部分等业绩证明资料不相符的，该项业绩不予认定。</w:t>
      </w:r>
    </w:p>
    <w:p w14:paraId="51E73FF0">
      <w:pPr>
        <w:spacing w:line="288" w:lineRule="auto"/>
        <w:ind w:firstLine="440" w:firstLineChars="200"/>
        <w:rPr>
          <w:rFonts w:hint="eastAsia"/>
          <w:color w:val="auto"/>
          <w:kern w:val="0"/>
          <w:sz w:val="22"/>
          <w:highlight w:val="none"/>
          <w:lang w:bidi="ar"/>
        </w:rPr>
      </w:pPr>
      <w:bookmarkStart w:id="50" w:name="_Hlk98232065"/>
      <w:r>
        <w:rPr>
          <w:rFonts w:hint="eastAsia" w:ascii="宋体" w:hAnsi="宋体"/>
          <w:bCs/>
          <w:color w:val="auto"/>
          <w:sz w:val="22"/>
          <w:highlight w:val="none"/>
        </w:rPr>
        <w:t>业绩不取自广州市住建行业信用管理平台的，需要提供项目中标通知书（或免招标证明）、施工合同、验收文件的扫描件（验收记录或验收文件至少具有建设单位、设计、施工和监理单位盖章）。</w:t>
      </w:r>
      <w:bookmarkEnd w:id="50"/>
      <w:r>
        <w:rPr>
          <w:rFonts w:hint="eastAsia"/>
          <w:color w:val="auto"/>
          <w:kern w:val="0"/>
          <w:sz w:val="22"/>
          <w:highlight w:val="none"/>
          <w:lang w:bidi="ar"/>
        </w:rPr>
        <w:t>金额以中标通知书为准，中标通知书上没有金额或免招标的，以施工合同或EPC合同施工部分（不含补充合同）为准。完成时间以竣工验收文件为准。</w:t>
      </w:r>
    </w:p>
    <w:p w14:paraId="5D66666F">
      <w:pPr>
        <w:spacing w:line="288" w:lineRule="auto"/>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3.工程获奖：</w:t>
      </w:r>
    </w:p>
    <w:p w14:paraId="588C5574">
      <w:pPr>
        <w:pStyle w:val="384"/>
        <w:spacing w:line="288" w:lineRule="auto"/>
        <w:ind w:firstLine="220" w:firstLineChars="100"/>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工程获奖</w:t>
      </w:r>
      <w:r>
        <w:rPr>
          <w:rFonts w:hint="eastAsia"/>
          <w:color w:val="auto"/>
          <w:sz w:val="22"/>
          <w:szCs w:val="22"/>
          <w:highlight w:val="none"/>
        </w:rPr>
        <w:t>可取自广州市住建行业信用管理平台或提供获奖证书原件清晰扫描件</w:t>
      </w:r>
      <w:r>
        <w:rPr>
          <w:rFonts w:hint="eastAsia"/>
          <w:color w:val="auto"/>
          <w:kern w:val="0"/>
          <w:sz w:val="22"/>
          <w:szCs w:val="22"/>
          <w:highlight w:val="none"/>
          <w:lang w:val="en-US" w:eastAsia="zh-CN" w:bidi="ar"/>
        </w:rPr>
        <w:t>。①</w:t>
      </w:r>
      <w:r>
        <w:rPr>
          <w:rFonts w:hint="eastAsia"/>
          <w:color w:val="auto"/>
          <w:kern w:val="0"/>
          <w:sz w:val="22"/>
          <w:szCs w:val="22"/>
          <w:highlight w:val="none"/>
          <w:u w:val="single"/>
          <w:lang w:val="en-US" w:eastAsia="zh-CN" w:bidi="ar"/>
        </w:rPr>
        <w:t>奖项</w:t>
      </w:r>
      <w:r>
        <w:rPr>
          <w:rFonts w:hint="eastAsia"/>
          <w:color w:val="auto"/>
          <w:sz w:val="22"/>
          <w:szCs w:val="22"/>
          <w:highlight w:val="none"/>
          <w:u w:val="single"/>
        </w:rPr>
        <w:t>取自广州市住建行业信用管理平台</w:t>
      </w:r>
      <w:r>
        <w:rPr>
          <w:rFonts w:hint="eastAsia"/>
          <w:color w:val="auto"/>
          <w:kern w:val="0"/>
          <w:sz w:val="22"/>
          <w:szCs w:val="22"/>
          <w:highlight w:val="none"/>
          <w:u w:val="single"/>
          <w:lang w:val="en-US" w:eastAsia="zh-CN" w:bidi="ar"/>
        </w:rPr>
        <w:t>的</w:t>
      </w:r>
      <w:r>
        <w:rPr>
          <w:rFonts w:hint="eastAsia"/>
          <w:color w:val="auto"/>
          <w:kern w:val="0"/>
          <w:sz w:val="22"/>
          <w:szCs w:val="22"/>
          <w:highlight w:val="none"/>
          <w:lang w:val="en-US" w:eastAsia="zh-CN" w:bidi="ar"/>
        </w:rPr>
        <w:t>，投标人须提交广州市住建行业信用管理平台的网页信息截图（网页信息截图须能清晰显示带有“住建行业信用管理平台”名称，并至少包含“项目基本信息”、“奖项信息”等信息）以供核对，并加盖投标人企业电子印章。②</w:t>
      </w:r>
      <w:r>
        <w:rPr>
          <w:rFonts w:hint="eastAsia"/>
          <w:color w:val="auto"/>
          <w:kern w:val="0"/>
          <w:sz w:val="22"/>
          <w:szCs w:val="22"/>
          <w:highlight w:val="none"/>
          <w:u w:val="single"/>
          <w:lang w:val="en-US" w:eastAsia="zh-CN" w:bidi="ar"/>
        </w:rPr>
        <w:t>奖项</w:t>
      </w:r>
      <w:r>
        <w:rPr>
          <w:rFonts w:hint="eastAsia"/>
          <w:color w:val="auto"/>
          <w:sz w:val="22"/>
          <w:szCs w:val="22"/>
          <w:highlight w:val="none"/>
          <w:u w:val="single"/>
        </w:rPr>
        <w:t>提供获奖证书原件</w:t>
      </w:r>
      <w:r>
        <w:rPr>
          <w:rFonts w:hint="eastAsia"/>
          <w:color w:val="auto"/>
          <w:sz w:val="22"/>
          <w:szCs w:val="22"/>
          <w:highlight w:val="none"/>
          <w:u w:val="single"/>
          <w:lang w:val="en-US" w:eastAsia="zh-CN"/>
        </w:rPr>
        <w:t>清晰</w:t>
      </w:r>
      <w:r>
        <w:rPr>
          <w:rFonts w:hint="eastAsia"/>
          <w:color w:val="auto"/>
          <w:sz w:val="22"/>
          <w:szCs w:val="22"/>
          <w:highlight w:val="none"/>
          <w:u w:val="single"/>
        </w:rPr>
        <w:t>扫描件的</w:t>
      </w:r>
      <w:r>
        <w:rPr>
          <w:rFonts w:hint="eastAsia"/>
          <w:color w:val="auto"/>
          <w:kern w:val="0"/>
          <w:sz w:val="22"/>
          <w:szCs w:val="22"/>
          <w:highlight w:val="none"/>
          <w:lang w:val="en-US" w:eastAsia="zh-CN" w:bidi="ar"/>
        </w:rPr>
        <w:t>，</w:t>
      </w:r>
      <w:r>
        <w:rPr>
          <w:rFonts w:hint="eastAsia"/>
          <w:color w:val="auto"/>
          <w:sz w:val="22"/>
          <w:szCs w:val="22"/>
          <w:highlight w:val="none"/>
        </w:rPr>
        <w:t>投标人须提供获奖证书原件</w:t>
      </w:r>
      <w:r>
        <w:rPr>
          <w:rFonts w:hint="eastAsia"/>
          <w:color w:val="auto"/>
          <w:sz w:val="22"/>
          <w:szCs w:val="22"/>
          <w:highlight w:val="none"/>
          <w:lang w:val="en-US" w:eastAsia="zh-CN"/>
        </w:rPr>
        <w:t>清晰</w:t>
      </w:r>
      <w:r>
        <w:rPr>
          <w:rFonts w:hint="eastAsia"/>
          <w:color w:val="auto"/>
          <w:sz w:val="22"/>
          <w:szCs w:val="22"/>
          <w:highlight w:val="none"/>
        </w:rPr>
        <w:t>扫描件，并同时提供获奖业绩的中标通知书（或免招标证明文件）、施工合同</w:t>
      </w:r>
      <w:r>
        <w:rPr>
          <w:rFonts w:hint="eastAsia"/>
          <w:color w:val="auto"/>
          <w:kern w:val="0"/>
          <w:sz w:val="22"/>
          <w:szCs w:val="22"/>
          <w:highlight w:val="none"/>
          <w:lang w:val="en-US" w:eastAsia="zh-CN" w:bidi="ar"/>
        </w:rPr>
        <w:t>或EPC合同施工部分</w:t>
      </w:r>
      <w:r>
        <w:rPr>
          <w:rFonts w:hint="eastAsia"/>
          <w:color w:val="auto"/>
          <w:sz w:val="22"/>
          <w:szCs w:val="22"/>
          <w:highlight w:val="none"/>
        </w:rPr>
        <w:t>（不含补充合同）并加盖</w:t>
      </w:r>
      <w:r>
        <w:rPr>
          <w:rFonts w:hint="eastAsia"/>
          <w:color w:val="auto"/>
          <w:kern w:val="0"/>
          <w:sz w:val="22"/>
          <w:szCs w:val="22"/>
          <w:highlight w:val="none"/>
          <w:lang w:val="en-US" w:eastAsia="zh-CN" w:bidi="ar"/>
        </w:rPr>
        <w:t>投标人企业电子印章。不符合上述条件或不提供平台内网页信息截图的工程获奖不予评审。</w:t>
      </w:r>
    </w:p>
    <w:p w14:paraId="4C3C3E30">
      <w:pPr>
        <w:pStyle w:val="384"/>
        <w:spacing w:line="288" w:lineRule="auto"/>
        <w:ind w:firstLine="220" w:firstLineChars="100"/>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1）时间以获奖证书颁发时间为准。</w:t>
      </w:r>
    </w:p>
    <w:p w14:paraId="61D6F194">
      <w:pPr>
        <w:pStyle w:val="384"/>
        <w:spacing w:line="288" w:lineRule="auto"/>
        <w:ind w:firstLine="220" w:firstLineChars="100"/>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2）评标委员会对取自广州市住建行业信用管理平台的工程获奖评审以投标截止时间在平台内奖项上传件为依据。</w:t>
      </w:r>
    </w:p>
    <w:p w14:paraId="1802AFE3">
      <w:pPr>
        <w:pStyle w:val="384"/>
        <w:spacing w:line="288" w:lineRule="auto"/>
        <w:ind w:firstLine="220" w:firstLineChars="100"/>
        <w:rPr>
          <w:color w:val="auto"/>
          <w:kern w:val="0"/>
          <w:sz w:val="22"/>
          <w:szCs w:val="22"/>
          <w:highlight w:val="none"/>
          <w:lang w:val="en-US" w:eastAsia="zh-CN" w:bidi="ar"/>
        </w:rPr>
      </w:pPr>
      <w:r>
        <w:rPr>
          <w:rFonts w:hint="eastAsia"/>
          <w:color w:val="auto"/>
          <w:kern w:val="0"/>
          <w:sz w:val="22"/>
          <w:szCs w:val="22"/>
          <w:highlight w:val="none"/>
          <w:lang w:val="en-US" w:eastAsia="zh-CN" w:bidi="ar"/>
        </w:rPr>
        <w:t>3）国家级奖项指的是中国建设工程鲁班奖、国家优质工程金质奖、国家优质工程奖、中国土木工程詹天佑奖等质量类奖项；省或市级奖项指的是由省、市级建设行政主管部门或行业协会颁发的质量类奖项</w:t>
      </w:r>
      <w:r>
        <w:rPr>
          <w:rFonts w:hint="eastAsia"/>
          <w:color w:val="auto"/>
          <w:sz w:val="22"/>
          <w:szCs w:val="22"/>
          <w:highlight w:val="none"/>
          <w:lang w:bidi="ar"/>
        </w:rPr>
        <w:t>（其它如安全文明、技术创新、QC成果、钢结构、机电安装、科技进步及技术应用类</w:t>
      </w:r>
      <w:r>
        <w:rPr>
          <w:rFonts w:hint="eastAsia"/>
          <w:color w:val="auto"/>
          <w:sz w:val="22"/>
          <w:szCs w:val="22"/>
          <w:highlight w:val="none"/>
          <w:lang w:eastAsia="zh-CN" w:bidi="ar"/>
        </w:rPr>
        <w:t>、装修</w:t>
      </w:r>
      <w:r>
        <w:rPr>
          <w:rFonts w:hint="eastAsia"/>
          <w:color w:val="auto"/>
          <w:sz w:val="22"/>
          <w:szCs w:val="22"/>
          <w:highlight w:val="none"/>
          <w:lang w:bidi="ar"/>
        </w:rPr>
        <w:t>等奖项不参与计分）</w:t>
      </w:r>
      <w:r>
        <w:rPr>
          <w:rFonts w:hint="eastAsia"/>
          <w:color w:val="auto"/>
          <w:kern w:val="0"/>
          <w:sz w:val="22"/>
          <w:szCs w:val="22"/>
          <w:highlight w:val="none"/>
          <w:lang w:val="en-US" w:eastAsia="zh-CN" w:bidi="ar"/>
        </w:rPr>
        <w:t>。只计算房建类工程奖项，其他非房建项目，如：路桥、铁路、水利、电力、化工、冶金、市政等获奖不参与计分。</w:t>
      </w:r>
    </w:p>
    <w:p w14:paraId="0FF3B267">
      <w:pPr>
        <w:pStyle w:val="384"/>
        <w:spacing w:line="288" w:lineRule="auto"/>
        <w:ind w:firstLine="220" w:firstLineChars="100"/>
        <w:rPr>
          <w:rFonts w:hint="eastAsia"/>
          <w:color w:val="auto"/>
          <w:kern w:val="0"/>
          <w:sz w:val="22"/>
          <w:szCs w:val="22"/>
          <w:highlight w:val="none"/>
          <w:lang w:val="en-US" w:eastAsia="zh-CN" w:bidi="ar"/>
        </w:rPr>
      </w:pPr>
      <w:r>
        <w:rPr>
          <w:rFonts w:hint="eastAsia"/>
          <w:color w:val="auto"/>
          <w:kern w:val="0"/>
          <w:sz w:val="22"/>
          <w:szCs w:val="22"/>
          <w:highlight w:val="none"/>
          <w:lang w:val="en-US" w:eastAsia="zh-CN" w:bidi="ar"/>
        </w:rPr>
        <w:t>4）投标人须为该获奖项目的施工总承包单位，须提供相关证明材料（如施工合同、业主证明、评审申请材料、批复文件、竣工验收文件等）体现其为施工总承包单位身份，否则不予计分。</w:t>
      </w:r>
    </w:p>
    <w:p w14:paraId="0D68ADC7">
      <w:pPr>
        <w:pStyle w:val="384"/>
        <w:spacing w:line="288" w:lineRule="auto"/>
        <w:ind w:firstLine="220" w:firstLineChars="100"/>
        <w:rPr>
          <w:rFonts w:hint="eastAsia"/>
          <w:color w:val="auto"/>
          <w:sz w:val="22"/>
          <w:szCs w:val="22"/>
          <w:highlight w:val="none"/>
        </w:rPr>
      </w:pPr>
      <w:r>
        <w:rPr>
          <w:rFonts w:hint="eastAsia"/>
          <w:color w:val="auto"/>
          <w:kern w:val="0"/>
          <w:sz w:val="22"/>
          <w:szCs w:val="22"/>
          <w:highlight w:val="none"/>
          <w:lang w:val="en-US" w:eastAsia="zh-CN" w:bidi="ar"/>
        </w:rPr>
        <w:t>5）同一项目获得多个奖项的，按最高级别奖项只计一次得分。</w:t>
      </w:r>
    </w:p>
    <w:p w14:paraId="1D0EEE17">
      <w:pPr>
        <w:pStyle w:val="385"/>
        <w:tabs>
          <w:tab w:val="left" w:pos="6398"/>
        </w:tabs>
        <w:spacing w:after="80" w:line="288" w:lineRule="auto"/>
        <w:rPr>
          <w:b/>
          <w:bCs/>
          <w:color w:val="auto"/>
          <w:sz w:val="22"/>
          <w:szCs w:val="22"/>
          <w:highlight w:val="none"/>
          <w:lang w:val="en-US" w:eastAsia="zh-CN" w:bidi="ar"/>
        </w:rPr>
      </w:pPr>
      <w:r>
        <w:rPr>
          <w:rFonts w:hint="eastAsia"/>
          <w:b/>
          <w:bCs/>
          <w:color w:val="auto"/>
          <w:sz w:val="22"/>
          <w:szCs w:val="22"/>
          <w:highlight w:val="none"/>
          <w:lang w:val="en-US" w:eastAsia="zh-CN" w:bidi="ar"/>
        </w:rPr>
        <w:t>4.工程研发能力</w:t>
      </w:r>
    </w:p>
    <w:p w14:paraId="29654EBF">
      <w:pPr>
        <w:pStyle w:val="385"/>
        <w:tabs>
          <w:tab w:val="left" w:pos="6398"/>
        </w:tabs>
        <w:spacing w:after="80" w:line="288" w:lineRule="auto"/>
        <w:ind w:firstLine="220" w:firstLineChars="100"/>
        <w:rPr>
          <w:rFonts w:hint="eastAsia"/>
          <w:color w:val="auto"/>
          <w:sz w:val="22"/>
          <w:szCs w:val="22"/>
          <w:highlight w:val="none"/>
          <w:lang w:eastAsia="zh-CN"/>
        </w:rPr>
      </w:pPr>
      <w:r>
        <w:rPr>
          <w:rFonts w:hint="eastAsia"/>
          <w:color w:val="auto"/>
          <w:sz w:val="22"/>
          <w:szCs w:val="22"/>
          <w:highlight w:val="none"/>
          <w:lang w:eastAsia="zh-CN"/>
        </w:rPr>
        <w:t>（1）工法奖项以投标人所提供的工法证明材料为准，须提供由省级或以上行政主管部门或省级或以上行业协会或其他工法主管部门颁发的工法获奖证书扫描件，不符合上述条件或无法提供证书扫描件或扫描件无加盖投标人电子印章的不予计分。获奖日期以工法证书发证日期为准。获奖单位必须与投标单位名称一致，子、分公司获奖均不予计算。</w:t>
      </w:r>
    </w:p>
    <w:p w14:paraId="0998AA1B">
      <w:pPr>
        <w:pStyle w:val="385"/>
        <w:numPr>
          <w:ilvl w:val="0"/>
          <w:numId w:val="2"/>
        </w:numPr>
        <w:tabs>
          <w:tab w:val="left" w:pos="6398"/>
        </w:tabs>
        <w:spacing w:after="80" w:line="288" w:lineRule="auto"/>
        <w:ind w:left="220"/>
        <w:rPr>
          <w:rFonts w:hint="eastAsia"/>
          <w:color w:val="auto"/>
          <w:sz w:val="22"/>
          <w:szCs w:val="22"/>
          <w:highlight w:val="none"/>
          <w:lang w:eastAsia="zh-CN"/>
        </w:rPr>
      </w:pPr>
      <w:r>
        <w:rPr>
          <w:rFonts w:hint="eastAsia"/>
          <w:color w:val="auto"/>
          <w:sz w:val="22"/>
          <w:szCs w:val="22"/>
          <w:highlight w:val="none"/>
          <w:lang w:eastAsia="zh-CN"/>
        </w:rPr>
        <w:t>科学技术奖项：需提供</w:t>
      </w:r>
      <w:r>
        <w:rPr>
          <w:rFonts w:hint="eastAsia"/>
          <w:color w:val="auto"/>
          <w:sz w:val="22"/>
          <w:szCs w:val="22"/>
          <w:highlight w:val="none"/>
          <w:lang w:val="en-US" w:eastAsia="zh-CN"/>
        </w:rPr>
        <w:t>国家级</w:t>
      </w:r>
      <w:r>
        <w:rPr>
          <w:rFonts w:hint="eastAsia"/>
          <w:color w:val="auto"/>
          <w:sz w:val="22"/>
          <w:szCs w:val="22"/>
          <w:highlight w:val="none"/>
          <w:lang w:eastAsia="zh-CN"/>
        </w:rPr>
        <w:t>人民政府或建设行政主管部门或协会或学会</w:t>
      </w:r>
      <w:r>
        <w:rPr>
          <w:rFonts w:hint="eastAsia"/>
          <w:color w:val="auto"/>
          <w:sz w:val="22"/>
          <w:szCs w:val="22"/>
          <w:highlight w:val="none"/>
          <w:lang w:val="en-US" w:eastAsia="zh-CN"/>
        </w:rPr>
        <w:t>或委员会</w:t>
      </w:r>
      <w:r>
        <w:rPr>
          <w:rFonts w:hint="eastAsia"/>
          <w:color w:val="auto"/>
          <w:sz w:val="22"/>
          <w:szCs w:val="22"/>
          <w:highlight w:val="none"/>
          <w:lang w:eastAsia="zh-CN"/>
        </w:rPr>
        <w:t>颁发的科学技术进步奖或科学技术奖扫描件</w:t>
      </w:r>
      <w:r>
        <w:rPr>
          <w:rFonts w:hint="eastAsia" w:cs="宋体"/>
          <w:bCs/>
          <w:color w:val="auto"/>
          <w:sz w:val="22"/>
          <w:highlight w:val="none"/>
          <w:lang w:eastAsia="zh-CN"/>
        </w:rPr>
        <w:t>；</w:t>
      </w:r>
      <w:r>
        <w:rPr>
          <w:rFonts w:hint="eastAsia" w:cs="宋体"/>
          <w:bCs/>
          <w:color w:val="auto"/>
          <w:sz w:val="22"/>
          <w:highlight w:val="none"/>
          <w:lang w:val="en-US" w:eastAsia="zh-CN"/>
        </w:rPr>
        <w:t>或</w:t>
      </w:r>
      <w:r>
        <w:rPr>
          <w:rFonts w:hint="eastAsia"/>
          <w:color w:val="auto"/>
          <w:sz w:val="22"/>
          <w:szCs w:val="22"/>
          <w:highlight w:val="none"/>
          <w:lang w:eastAsia="zh-CN"/>
        </w:rPr>
        <w:t>省级人民政府或建设行政主管部门或协会或学会</w:t>
      </w:r>
      <w:r>
        <w:rPr>
          <w:rFonts w:hint="eastAsia"/>
          <w:color w:val="auto"/>
          <w:sz w:val="22"/>
          <w:szCs w:val="22"/>
          <w:highlight w:val="none"/>
          <w:lang w:val="en-US" w:eastAsia="zh-CN"/>
        </w:rPr>
        <w:t>或委员会</w:t>
      </w:r>
      <w:r>
        <w:rPr>
          <w:rFonts w:hint="eastAsia"/>
          <w:color w:val="auto"/>
          <w:sz w:val="22"/>
          <w:szCs w:val="22"/>
          <w:highlight w:val="none"/>
          <w:lang w:eastAsia="zh-CN"/>
        </w:rPr>
        <w:t>颁发的省级或以上科学技术进步奖或科学技术奖扫描件，时间以获奖证书时间为准。若颁发单位是行业协会或学会</w:t>
      </w:r>
      <w:r>
        <w:rPr>
          <w:rFonts w:hint="eastAsia"/>
          <w:color w:val="auto"/>
          <w:sz w:val="22"/>
          <w:szCs w:val="22"/>
          <w:highlight w:val="none"/>
          <w:lang w:val="en-US" w:eastAsia="zh-CN"/>
        </w:rPr>
        <w:t>或委员会</w:t>
      </w:r>
      <w:r>
        <w:rPr>
          <w:rFonts w:hint="eastAsia"/>
          <w:color w:val="auto"/>
          <w:sz w:val="22"/>
          <w:szCs w:val="22"/>
          <w:highlight w:val="none"/>
          <w:lang w:eastAsia="zh-CN"/>
        </w:rPr>
        <w:t>，须同时提供该颁发单位在“中国社会组织公共服务平台”网站(https://chinanpo.mca.gov.cn)登记的查询结果截图，否则该获奖证书不予认定。以上要求提供的扫描件缺一不可，否则不予计分。</w:t>
      </w:r>
    </w:p>
    <w:p w14:paraId="47A59D78">
      <w:pPr>
        <w:pStyle w:val="385"/>
        <w:tabs>
          <w:tab w:val="left" w:pos="6398"/>
        </w:tabs>
        <w:spacing w:after="80" w:line="288" w:lineRule="auto"/>
        <w:rPr>
          <w:rFonts w:hint="eastAsia"/>
          <w:b/>
          <w:bCs/>
          <w:color w:val="auto"/>
          <w:sz w:val="22"/>
          <w:szCs w:val="22"/>
          <w:highlight w:val="none"/>
          <w:lang w:val="en-US" w:bidi="ar"/>
        </w:rPr>
      </w:pPr>
      <w:r>
        <w:rPr>
          <w:b/>
          <w:bCs/>
          <w:color w:val="auto"/>
          <w:sz w:val="22"/>
          <w:szCs w:val="22"/>
          <w:highlight w:val="none"/>
          <w:lang w:val="en-US" w:bidi="ar"/>
        </w:rPr>
        <w:t>5.</w:t>
      </w:r>
      <w:r>
        <w:rPr>
          <w:rFonts w:hint="eastAsia"/>
          <w:b/>
          <w:bCs/>
          <w:color w:val="auto"/>
          <w:sz w:val="22"/>
          <w:szCs w:val="22"/>
          <w:highlight w:val="none"/>
          <w:lang w:val="en-US" w:bidi="ar"/>
        </w:rPr>
        <w:t>第三方评价</w:t>
      </w:r>
    </w:p>
    <w:p w14:paraId="7CCF9532">
      <w:pPr>
        <w:pStyle w:val="385"/>
        <w:tabs>
          <w:tab w:val="left" w:pos="6398"/>
        </w:tabs>
        <w:spacing w:after="80" w:line="288" w:lineRule="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rPr>
        <w:t>1）管理体系认证：（只计算投标人自身（不含投标人的子、分公司或区域公司），需同时提供体系证书原件扫描件及在国家认证认可监督管理委员会（网址：http://www.cnca.gov.cn/）网站查询结果截图并加盖投标单位电子印章，并提供证书相关的网页截图，已失效或撤销或无提供的不得分。</w:t>
      </w:r>
    </w:p>
    <w:p w14:paraId="71BCC558">
      <w:pPr>
        <w:pStyle w:val="385"/>
        <w:tabs>
          <w:tab w:val="left" w:pos="6398"/>
        </w:tabs>
        <w:spacing w:after="80" w:line="288" w:lineRule="auto"/>
        <w:rPr>
          <w:color w:val="auto"/>
          <w:sz w:val="22"/>
          <w:szCs w:val="22"/>
          <w:highlight w:val="none"/>
          <w:lang w:val="en-US" w:eastAsia="zh-CN"/>
        </w:rPr>
      </w:pPr>
      <w:r>
        <w:rPr>
          <w:color w:val="auto"/>
          <w:sz w:val="22"/>
          <w:szCs w:val="22"/>
          <w:highlight w:val="none"/>
          <w:lang w:eastAsia="zh-CN"/>
        </w:rPr>
        <w:t>（2）</w:t>
      </w:r>
      <w:r>
        <w:rPr>
          <w:rFonts w:hint="eastAsia"/>
          <w:color w:val="auto"/>
          <w:sz w:val="22"/>
          <w:szCs w:val="22"/>
          <w:highlight w:val="none"/>
          <w:lang w:val="en-US" w:eastAsia="zh-CN"/>
        </w:rPr>
        <w:t>“纳税信用A级”证书须包含2023年度：</w:t>
      </w:r>
      <w:r>
        <w:rPr>
          <w:rFonts w:hint="eastAsia"/>
          <w:color w:val="auto"/>
          <w:highlight w:val="none"/>
        </w:rPr>
        <w:t xml:space="preserve"> </w:t>
      </w:r>
      <w:r>
        <w:rPr>
          <w:rFonts w:hint="eastAsia"/>
          <w:color w:val="auto"/>
          <w:sz w:val="22"/>
          <w:szCs w:val="22"/>
          <w:highlight w:val="none"/>
          <w:lang w:val="en-US" w:eastAsia="zh-CN"/>
        </w:rPr>
        <w:t>投标人须提供税务部门颁发的“纳税信用A级”证书扫描件或提供省级或以上税务局网站查询结果网页截图加盖投标人电子印章；评定时间以证书上注明的评价（评定）年度为准。（查询结果不包括子公司、分公司）的网页截图。不符合条件的不计分。</w:t>
      </w:r>
    </w:p>
    <w:p w14:paraId="0A25D8A7">
      <w:pPr>
        <w:pStyle w:val="385"/>
        <w:tabs>
          <w:tab w:val="left" w:pos="6398"/>
        </w:tabs>
        <w:spacing w:after="80" w:line="288" w:lineRule="auto"/>
        <w:rPr>
          <w:rFonts w:hint="eastAsia"/>
          <w:b/>
          <w:bCs/>
          <w:color w:val="auto"/>
          <w:sz w:val="22"/>
          <w:highlight w:val="none"/>
        </w:rPr>
      </w:pPr>
      <w:r>
        <w:rPr>
          <w:rFonts w:cs="Times New Roman"/>
          <w:b/>
          <w:bCs/>
          <w:color w:val="auto"/>
          <w:sz w:val="22"/>
          <w:szCs w:val="22"/>
          <w:highlight w:val="none"/>
          <w:lang w:val="en-US" w:eastAsia="zh-CN"/>
        </w:rPr>
        <w:t>6.</w:t>
      </w:r>
      <w:r>
        <w:rPr>
          <w:rFonts w:hint="eastAsia" w:cs="Times New Roman"/>
          <w:b/>
          <w:bCs/>
          <w:color w:val="auto"/>
          <w:sz w:val="22"/>
          <w:szCs w:val="22"/>
          <w:highlight w:val="none"/>
          <w:lang w:val="en-US" w:eastAsia="zh-CN"/>
        </w:rPr>
        <w:t>工程总承包业绩包括勘察设计施工总承包或设计施工总承包或设计采购施工总承包或勘察设计采购施工总承包业绩。</w:t>
      </w:r>
    </w:p>
    <w:p w14:paraId="6A42B6D1">
      <w:pPr>
        <w:spacing w:line="360" w:lineRule="auto"/>
        <w:rPr>
          <w:rFonts w:ascii="宋体" w:hAnsi="宋体"/>
          <w:b/>
          <w:bCs/>
          <w:color w:val="auto"/>
          <w:szCs w:val="21"/>
          <w:highlight w:val="none"/>
        </w:rPr>
      </w:pPr>
      <w:r>
        <w:rPr>
          <w:rFonts w:hint="eastAsia" w:ascii="宋体" w:hAnsi="宋体"/>
          <w:b/>
          <w:bCs/>
          <w:color w:val="auto"/>
          <w:szCs w:val="21"/>
          <w:highlight w:val="none"/>
        </w:rPr>
        <w:t>7.投标人所提供资料同时满足多个档次的，按满足的最高档次得分。</w:t>
      </w:r>
    </w:p>
    <w:p w14:paraId="63FE2B6E">
      <w:pPr>
        <w:spacing w:line="360" w:lineRule="auto"/>
        <w:ind w:firstLine="0" w:firstLineChars="0"/>
        <w:rPr>
          <w:rFonts w:hint="eastAsia"/>
          <w:color w:val="auto"/>
          <w:highlight w:val="none"/>
        </w:rPr>
        <w:sectPr>
          <w:headerReference r:id="rId8" w:type="default"/>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b/>
          <w:bCs/>
          <w:color w:val="auto"/>
          <w:szCs w:val="21"/>
          <w:highlight w:val="none"/>
        </w:rPr>
        <w:t>8.投标人得分为各评委评分的算术平均值（若分数出现小数点时，保留小数点后二位，第三位小数四舍五入）。</w:t>
      </w:r>
    </w:p>
    <w:p w14:paraId="011A524E">
      <w:pPr>
        <w:pStyle w:val="386"/>
        <w:rPr>
          <w:color w:val="auto"/>
          <w:highlight w:val="none"/>
        </w:rPr>
      </w:pPr>
    </w:p>
    <w:p w14:paraId="143C2A8C">
      <w:pPr>
        <w:pStyle w:val="4"/>
        <w:jc w:val="left"/>
        <w:rPr>
          <w:rFonts w:hint="eastAsia" w:cs="宋体"/>
          <w:color w:val="auto"/>
          <w:highlight w:val="none"/>
        </w:rPr>
      </w:pPr>
      <w:r>
        <w:rPr>
          <w:rFonts w:hint="eastAsia" w:cs="宋体"/>
          <w:color w:val="auto"/>
          <w:highlight w:val="none"/>
        </w:rPr>
        <w:t>附表五</w:t>
      </w:r>
      <w:bookmarkEnd w:id="47"/>
      <w:bookmarkEnd w:id="48"/>
      <w:r>
        <w:rPr>
          <w:rFonts w:hint="eastAsia" w:cs="宋体"/>
          <w:color w:val="auto"/>
          <w:highlight w:val="none"/>
        </w:rPr>
        <w:t xml:space="preserve"> （适用于</w:t>
      </w:r>
      <w:r>
        <w:rPr>
          <w:rFonts w:hint="eastAsia" w:cs="宋体"/>
          <w:color w:val="auto"/>
          <w:highlight w:val="none"/>
          <w:lang w:eastAsia="zh-CN"/>
        </w:rPr>
        <w:t>区间抽取法</w:t>
      </w:r>
      <w:r>
        <w:rPr>
          <w:rFonts w:hint="eastAsia" w:cs="宋体"/>
          <w:color w:val="auto"/>
          <w:highlight w:val="none"/>
        </w:rPr>
        <w:t>）</w:t>
      </w:r>
    </w:p>
    <w:p w14:paraId="5856D759">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经济标评分表</w:t>
      </w:r>
    </w:p>
    <w:p w14:paraId="468D3B46">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1037"/>
        <w:gridCol w:w="1051"/>
        <w:gridCol w:w="1050"/>
        <w:gridCol w:w="1050"/>
        <w:gridCol w:w="1050"/>
        <w:gridCol w:w="1050"/>
        <w:gridCol w:w="1050"/>
        <w:gridCol w:w="1050"/>
        <w:gridCol w:w="1050"/>
        <w:gridCol w:w="1050"/>
        <w:gridCol w:w="1050"/>
        <w:gridCol w:w="1049"/>
      </w:tblGrid>
      <w:tr w14:paraId="617E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14:paraId="29870CAD">
            <w:pPr>
              <w:rPr>
                <w:rFonts w:ascii="宋体" w:hAnsi="宋体"/>
                <w:color w:val="auto"/>
                <w:szCs w:val="21"/>
                <w:highlight w:val="none"/>
              </w:rPr>
            </w:pPr>
            <w:r>
              <w:rPr>
                <w:rFonts w:hint="eastAsia" w:ascii="宋体" w:hAnsi="宋体"/>
                <w:color w:val="auto"/>
                <w:szCs w:val="21"/>
                <w:highlight w:val="none"/>
              </w:rPr>
              <w:t>投标人名称</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98AB631">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09A32B0B">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1453AF3">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BF6A645">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D9699C2">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CE8905D">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F5E5BF9">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BB71BCC">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7D9E33B">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02EBF59">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620F927">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5410729E">
            <w:pPr>
              <w:rPr>
                <w:rFonts w:ascii="宋体" w:hAnsi="宋体"/>
                <w:color w:val="auto"/>
                <w:szCs w:val="21"/>
                <w:highlight w:val="none"/>
              </w:rPr>
            </w:pPr>
          </w:p>
        </w:tc>
      </w:tr>
      <w:tr w14:paraId="7DB0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14:paraId="772748BD">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716B77E">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064E248B">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D6E2C1B">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AE5B61E">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C466512">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F1CC5FA">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D999AD2">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5064257">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AF8A1DE">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F88FD5">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24AF0B">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20AD010C">
            <w:pPr>
              <w:rPr>
                <w:rFonts w:ascii="宋体" w:hAnsi="宋体"/>
                <w:color w:val="auto"/>
                <w:szCs w:val="21"/>
                <w:highlight w:val="none"/>
              </w:rPr>
            </w:pPr>
          </w:p>
        </w:tc>
      </w:tr>
      <w:tr w14:paraId="21B5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14:paraId="20DD8CEA">
            <w:pPr>
              <w:rPr>
                <w:rFonts w:ascii="宋体" w:hAnsi="宋体"/>
                <w:color w:val="auto"/>
                <w:szCs w:val="21"/>
                <w:highlight w:val="none"/>
              </w:rPr>
            </w:pPr>
            <w:r>
              <w:rPr>
                <w:rFonts w:hint="eastAsia" w:ascii="宋体" w:hAnsi="宋体"/>
                <w:color w:val="auto"/>
                <w:szCs w:val="21"/>
                <w:highlight w:val="none"/>
              </w:rPr>
              <w:t>计算评标参考价的等分点值X</w:t>
            </w:r>
          </w:p>
        </w:tc>
        <w:tc>
          <w:tcPr>
            <w:tcW w:w="12587" w:type="dxa"/>
            <w:gridSpan w:val="12"/>
            <w:tcBorders>
              <w:top w:val="single" w:color="auto" w:sz="4" w:space="0"/>
              <w:left w:val="single" w:color="auto" w:sz="4" w:space="0"/>
              <w:bottom w:val="single" w:color="auto" w:sz="4" w:space="0"/>
              <w:right w:val="single" w:color="auto" w:sz="4" w:space="0"/>
            </w:tcBorders>
            <w:noWrap w:val="0"/>
            <w:vAlign w:val="center"/>
          </w:tcPr>
          <w:p w14:paraId="7050510B">
            <w:pPr>
              <w:rPr>
                <w:rFonts w:ascii="宋体" w:hAnsi="宋体"/>
                <w:color w:val="auto"/>
                <w:szCs w:val="21"/>
                <w:highlight w:val="none"/>
              </w:rPr>
            </w:pPr>
          </w:p>
        </w:tc>
      </w:tr>
      <w:tr w14:paraId="28B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14:paraId="02D8C05B">
            <w:pPr>
              <w:rPr>
                <w:rFonts w:hint="eastAsia" w:ascii="宋体" w:hAnsi="宋体"/>
                <w:color w:val="auto"/>
                <w:szCs w:val="21"/>
                <w:highlight w:val="none"/>
              </w:rPr>
            </w:pPr>
            <w:r>
              <w:rPr>
                <w:rFonts w:hint="eastAsia" w:ascii="宋体" w:hAnsi="宋体"/>
                <w:color w:val="auto"/>
                <w:szCs w:val="21"/>
                <w:highlight w:val="none"/>
              </w:rPr>
              <w:t>评标参考价PC（元）</w:t>
            </w:r>
          </w:p>
        </w:tc>
        <w:tc>
          <w:tcPr>
            <w:tcW w:w="12587" w:type="dxa"/>
            <w:gridSpan w:val="12"/>
            <w:tcBorders>
              <w:top w:val="single" w:color="auto" w:sz="4" w:space="0"/>
              <w:left w:val="single" w:color="auto" w:sz="4" w:space="0"/>
              <w:bottom w:val="single" w:color="auto" w:sz="4" w:space="0"/>
              <w:right w:val="single" w:color="auto" w:sz="4" w:space="0"/>
            </w:tcBorders>
            <w:noWrap w:val="0"/>
            <w:vAlign w:val="center"/>
          </w:tcPr>
          <w:p w14:paraId="6E6E2409">
            <w:pPr>
              <w:rPr>
                <w:rFonts w:ascii="宋体" w:hAnsi="宋体"/>
                <w:color w:val="auto"/>
                <w:szCs w:val="21"/>
                <w:highlight w:val="none"/>
              </w:rPr>
            </w:pPr>
          </w:p>
        </w:tc>
      </w:tr>
      <w:tr w14:paraId="3749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14:paraId="34CBC1D1">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5A39538">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4B416A6D">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1438BFE">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CFDBB76">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BF2F376">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28F778E">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6F85963">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2287751">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065254B">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A561817">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A459203">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06B8A672">
            <w:pPr>
              <w:rPr>
                <w:rFonts w:ascii="宋体" w:hAnsi="宋体"/>
                <w:color w:val="auto"/>
                <w:szCs w:val="21"/>
                <w:highlight w:val="none"/>
              </w:rPr>
            </w:pPr>
          </w:p>
        </w:tc>
      </w:tr>
      <w:tr w14:paraId="4B52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14:paraId="1D9F7DC4">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DFBC152">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2E24F7CE">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6E74DFE">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7AFE76D">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FC9E2ED">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E3AF417">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62CEA5">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5C1C832">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84E7CD">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E5467AD">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7671020">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1CCF671D">
            <w:pPr>
              <w:rPr>
                <w:rFonts w:ascii="宋体" w:hAnsi="宋体"/>
                <w:color w:val="auto"/>
                <w:szCs w:val="21"/>
                <w:highlight w:val="none"/>
              </w:rPr>
            </w:pPr>
          </w:p>
        </w:tc>
      </w:tr>
      <w:tr w14:paraId="681F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14:paraId="699FC31C">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466BCF46">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5A2ECEC">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2D70120">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9725E47">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63B2038">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C83553D">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0299D74">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00B8A3F">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CE81D34">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C767660">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4987CD">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1EA811F8">
            <w:pPr>
              <w:rPr>
                <w:rFonts w:ascii="宋体" w:hAnsi="宋体"/>
                <w:color w:val="auto"/>
                <w:szCs w:val="21"/>
                <w:highlight w:val="none"/>
              </w:rPr>
            </w:pPr>
          </w:p>
        </w:tc>
      </w:tr>
      <w:tr w14:paraId="0B23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14:paraId="3C01CAA7">
            <w:pPr>
              <w:rPr>
                <w:rFonts w:ascii="宋体" w:hAnsi="宋体"/>
                <w:color w:val="auto"/>
                <w:szCs w:val="21"/>
                <w:highlight w:val="none"/>
              </w:rPr>
            </w:pPr>
            <w:r>
              <w:rPr>
                <w:rFonts w:hint="eastAsia" w:ascii="宋体" w:hAnsi="宋体"/>
                <w:color w:val="auto"/>
                <w:szCs w:val="21"/>
                <w:highlight w:val="none"/>
              </w:rPr>
              <w:t>得分排名次序</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46366A72">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318F581">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3D2C6AE">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F87C44">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D562258">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6A69915">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0F6F123">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6D2E55F">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453E16C">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D395D3C">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553E9D">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2EA7F7F4">
            <w:pPr>
              <w:rPr>
                <w:rFonts w:ascii="宋体" w:hAnsi="宋体"/>
                <w:color w:val="auto"/>
                <w:szCs w:val="21"/>
                <w:highlight w:val="none"/>
              </w:rPr>
            </w:pPr>
          </w:p>
        </w:tc>
      </w:tr>
    </w:tbl>
    <w:p w14:paraId="0B5887DA">
      <w:pPr>
        <w:rPr>
          <w:rFonts w:hint="eastAsia" w:ascii="宋体" w:hAnsi="宋体" w:cs="宋体"/>
          <w:color w:val="auto"/>
          <w:highlight w:val="none"/>
        </w:rPr>
      </w:pPr>
      <w:r>
        <w:rPr>
          <w:rFonts w:hint="eastAsia" w:ascii="宋体" w:hAnsi="宋体" w:cs="宋体"/>
          <w:color w:val="auto"/>
          <w:szCs w:val="21"/>
          <w:highlight w:val="none"/>
        </w:rPr>
        <w:t>评委签名：                                                                                          日期：</w:t>
      </w:r>
    </w:p>
    <w:p w14:paraId="3AEFB17F">
      <w:pPr>
        <w:rPr>
          <w:rFonts w:hint="eastAsia" w:ascii="宋体" w:hAnsi="宋体" w:cs="宋体"/>
          <w:color w:val="auto"/>
          <w:highlight w:val="none"/>
        </w:rPr>
      </w:pPr>
      <w:r>
        <w:rPr>
          <w:rFonts w:hint="eastAsia" w:ascii="宋体" w:hAnsi="宋体" w:cs="宋体"/>
          <w:color w:val="auto"/>
          <w:szCs w:val="21"/>
          <w:highlight w:val="none"/>
        </w:rPr>
        <w:t xml:space="preserve">                                                  </w:t>
      </w:r>
    </w:p>
    <w:p w14:paraId="74405892">
      <w:pPr>
        <w:pStyle w:val="4"/>
        <w:jc w:val="left"/>
        <w:rPr>
          <w:rFonts w:hint="eastAsia" w:cs="宋体"/>
          <w:color w:val="auto"/>
          <w:highlight w:val="none"/>
        </w:rPr>
      </w:pPr>
      <w:r>
        <w:rPr>
          <w:rFonts w:hint="eastAsia" w:cs="宋体"/>
          <w:color w:val="auto"/>
          <w:sz w:val="36"/>
          <w:szCs w:val="36"/>
          <w:highlight w:val="none"/>
        </w:rPr>
        <w:br w:type="page"/>
      </w:r>
      <w:bookmarkStart w:id="51" w:name="_Toc14555"/>
      <w:bookmarkStart w:id="52" w:name="_Toc100130487"/>
      <w:r>
        <w:rPr>
          <w:rFonts w:hint="eastAsia" w:cs="宋体"/>
          <w:color w:val="auto"/>
          <w:highlight w:val="none"/>
        </w:rPr>
        <w:t>附表六</w:t>
      </w:r>
      <w:bookmarkEnd w:id="51"/>
      <w:bookmarkEnd w:id="52"/>
    </w:p>
    <w:p w14:paraId="5D69D862">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008039D1">
      <w:pPr>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工程名称：投标人:                                                  单位：元</w:t>
      </w:r>
    </w:p>
    <w:tbl>
      <w:tblPr>
        <w:tblStyle w:val="50"/>
        <w:tblW w:w="0" w:type="auto"/>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676FE61F">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3DDC2496">
            <w:pPr>
              <w:rPr>
                <w:rFonts w:hint="eastAsia"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14:paraId="2E040AD2">
            <w:pPr>
              <w:rPr>
                <w:rFonts w:hint="eastAsia"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14:paraId="00C835E0">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修正前投标</w:t>
            </w:r>
          </w:p>
          <w:p w14:paraId="14608E28">
            <w:pPr>
              <w:rPr>
                <w:rFonts w:hint="eastAsia"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noWrap w:val="0"/>
            <w:vAlign w:val="center"/>
          </w:tcPr>
          <w:p w14:paraId="6D0D5D4B">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修正后投标</w:t>
            </w:r>
          </w:p>
          <w:p w14:paraId="5DD9AFCD">
            <w:pPr>
              <w:rPr>
                <w:rFonts w:hint="eastAsia"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noWrap w:val="0"/>
            <w:vAlign w:val="center"/>
          </w:tcPr>
          <w:p w14:paraId="598961A5">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修正率</w:t>
            </w:r>
          </w:p>
          <w:p w14:paraId="14901DAE">
            <w:pPr>
              <w:rPr>
                <w:rFonts w:hint="eastAsia"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14:paraId="453CC952">
            <w:pPr>
              <w:rPr>
                <w:rFonts w:hint="eastAsia"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14:paraId="6C27BFEE">
            <w:pPr>
              <w:rPr>
                <w:rFonts w:hint="eastAsia"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14:paraId="4DC5DBB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6B93610E">
            <w:pP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noWrap w:val="0"/>
            <w:vAlign w:val="center"/>
          </w:tcPr>
          <w:p w14:paraId="49C06F0F">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noWrap w:val="0"/>
            <w:vAlign w:val="center"/>
          </w:tcPr>
          <w:p w14:paraId="200C0A54">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78992E7C">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48D0A6F1">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5743F7BC">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612C1452">
            <w:pPr>
              <w:rPr>
                <w:rFonts w:hint="eastAsia" w:ascii="宋体" w:hAnsi="宋体" w:cs="宋体"/>
                <w:color w:val="auto"/>
                <w:kern w:val="0"/>
                <w:szCs w:val="21"/>
                <w:highlight w:val="none"/>
              </w:rPr>
            </w:pPr>
          </w:p>
        </w:tc>
      </w:tr>
      <w:tr w14:paraId="6A0EB1E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CD6EA04">
            <w:pP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noWrap w:val="0"/>
            <w:vAlign w:val="center"/>
          </w:tcPr>
          <w:p w14:paraId="16BC0507">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noWrap w:val="0"/>
            <w:vAlign w:val="center"/>
          </w:tcPr>
          <w:p w14:paraId="5BC5C9B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32197A6B">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637F88B">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4E1C69D5">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162488E2">
            <w:pPr>
              <w:rPr>
                <w:rFonts w:hint="eastAsia" w:ascii="宋体" w:hAnsi="宋体" w:cs="宋体"/>
                <w:color w:val="auto"/>
                <w:kern w:val="0"/>
                <w:szCs w:val="21"/>
                <w:highlight w:val="none"/>
              </w:rPr>
            </w:pPr>
          </w:p>
        </w:tc>
      </w:tr>
      <w:tr w14:paraId="1F293D6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0C317E11">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09ECC63A">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0790A1A4">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016E413">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BA7CB78">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2E77AE8F">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5E561E52">
            <w:pPr>
              <w:rPr>
                <w:rFonts w:hint="eastAsia" w:ascii="宋体" w:hAnsi="宋体" w:cs="宋体"/>
                <w:color w:val="auto"/>
                <w:kern w:val="0"/>
                <w:szCs w:val="21"/>
                <w:highlight w:val="none"/>
              </w:rPr>
            </w:pPr>
          </w:p>
        </w:tc>
      </w:tr>
      <w:tr w14:paraId="2B87562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3C0A616F">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5A5879F0">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44B5ACB3">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324B8299">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A401D7F">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3EF947F7">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1C81576B">
            <w:pPr>
              <w:rPr>
                <w:rFonts w:hint="eastAsia" w:ascii="宋体" w:hAnsi="宋体" w:cs="宋体"/>
                <w:color w:val="auto"/>
                <w:kern w:val="0"/>
                <w:szCs w:val="21"/>
                <w:highlight w:val="none"/>
              </w:rPr>
            </w:pPr>
          </w:p>
        </w:tc>
      </w:tr>
      <w:tr w14:paraId="309B9C3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B3005AA">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5D5310D9">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0AF624B0">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4D0E9442">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533EB60A">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11F85D6F">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441D77A1">
            <w:pPr>
              <w:rPr>
                <w:rFonts w:hint="eastAsia" w:ascii="宋体" w:hAnsi="宋体" w:cs="宋体"/>
                <w:color w:val="auto"/>
                <w:kern w:val="0"/>
                <w:szCs w:val="21"/>
                <w:highlight w:val="none"/>
              </w:rPr>
            </w:pPr>
          </w:p>
        </w:tc>
      </w:tr>
      <w:tr w14:paraId="2AE90A3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03D0673E">
            <w:pPr>
              <w:rPr>
                <w:rFonts w:hint="eastAsia"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noWrap w:val="0"/>
            <w:vAlign w:val="center"/>
          </w:tcPr>
          <w:p w14:paraId="14DC9F4A">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noWrap w:val="0"/>
            <w:vAlign w:val="center"/>
          </w:tcPr>
          <w:p w14:paraId="156233CC">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3420934">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4A17A98B">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6BEC2906">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07B1283B">
            <w:pPr>
              <w:rPr>
                <w:rFonts w:hint="eastAsia" w:ascii="宋体" w:hAnsi="宋体" w:cs="宋体"/>
                <w:color w:val="auto"/>
                <w:kern w:val="0"/>
                <w:szCs w:val="21"/>
                <w:highlight w:val="none"/>
              </w:rPr>
            </w:pPr>
          </w:p>
        </w:tc>
      </w:tr>
      <w:tr w14:paraId="3554324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B982515">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7BA60844">
            <w:pP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noWrap w:val="0"/>
            <w:vAlign w:val="center"/>
          </w:tcPr>
          <w:p w14:paraId="4A1AF6F3">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4CBA5C57">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14:paraId="14538519">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319A4B63">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78CB13A2">
            <w:pPr>
              <w:rPr>
                <w:rFonts w:hint="eastAsia"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14:paraId="2FEA0DF2">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14:paraId="2E8A9D1C">
      <w:pPr>
        <w:rPr>
          <w:rFonts w:hint="eastAsia"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 xml:space="preserve">                               日期：</w:t>
      </w:r>
    </w:p>
    <w:p w14:paraId="7F91CACA">
      <w:pPr>
        <w:rPr>
          <w:rFonts w:hint="eastAsia" w:ascii="宋体" w:hAnsi="宋体" w:cs="宋体"/>
          <w:color w:val="auto"/>
          <w:highlight w:val="none"/>
        </w:rPr>
      </w:pPr>
    </w:p>
    <w:p w14:paraId="3D43FB4E">
      <w:pPr>
        <w:rPr>
          <w:rFonts w:hint="eastAsia" w:ascii="宋体" w:hAnsi="宋体" w:cs="宋体"/>
          <w:color w:val="auto"/>
          <w:highlight w:val="none"/>
        </w:rPr>
      </w:pPr>
      <w:r>
        <w:rPr>
          <w:rFonts w:hint="eastAsia" w:ascii="宋体" w:hAnsi="宋体" w:cs="宋体"/>
          <w:color w:val="auto"/>
          <w:highlight w:val="none"/>
        </w:rPr>
        <w:br w:type="page"/>
      </w:r>
    </w:p>
    <w:p w14:paraId="0A868AB2">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648F8B25">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6941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23" w:type="dxa"/>
            <w:tcBorders>
              <w:top w:val="single" w:color="auto" w:sz="4" w:space="0"/>
              <w:left w:val="single" w:color="auto" w:sz="4" w:space="0"/>
              <w:bottom w:val="single" w:color="auto" w:sz="4" w:space="0"/>
              <w:right w:val="single" w:color="auto" w:sz="4" w:space="0"/>
            </w:tcBorders>
            <w:noWrap w:val="0"/>
            <w:vAlign w:val="center"/>
          </w:tcPr>
          <w:p w14:paraId="6CE0A9B7">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编号</w:t>
            </w:r>
          </w:p>
        </w:tc>
        <w:tc>
          <w:tcPr>
            <w:tcW w:w="4297" w:type="dxa"/>
            <w:tcBorders>
              <w:top w:val="single" w:color="auto" w:sz="4" w:space="0"/>
              <w:left w:val="single" w:color="auto" w:sz="4" w:space="0"/>
              <w:bottom w:val="single" w:color="auto" w:sz="4" w:space="0"/>
              <w:right w:val="single" w:color="auto" w:sz="4" w:space="0"/>
            </w:tcBorders>
            <w:noWrap w:val="0"/>
            <w:vAlign w:val="center"/>
          </w:tcPr>
          <w:p w14:paraId="1B6835D5">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投标人名称</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4C1FE9C0">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原投标报价（A）</w:t>
            </w:r>
          </w:p>
        </w:tc>
        <w:tc>
          <w:tcPr>
            <w:tcW w:w="3101" w:type="dxa"/>
            <w:tcBorders>
              <w:top w:val="single" w:color="auto" w:sz="4" w:space="0"/>
              <w:left w:val="single" w:color="auto" w:sz="4" w:space="0"/>
              <w:bottom w:val="single" w:color="auto" w:sz="4" w:space="0"/>
              <w:right w:val="single" w:color="auto" w:sz="4" w:space="0"/>
            </w:tcBorders>
            <w:noWrap w:val="0"/>
            <w:vAlign w:val="center"/>
          </w:tcPr>
          <w:p w14:paraId="0E237D14">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noWrap w:val="0"/>
            <w:vAlign w:val="center"/>
          </w:tcPr>
          <w:p w14:paraId="547EEE96">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误差率（r=|A-B|/A*100%）</w:t>
            </w:r>
          </w:p>
        </w:tc>
      </w:tr>
      <w:tr w14:paraId="12DF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2800C8F2">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167DD524">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4D29BD67">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2647981A">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54B9D7C0">
            <w:pPr>
              <w:rPr>
                <w:rFonts w:hint="eastAsia" w:ascii="宋体" w:hAnsi="宋体" w:cs="宋体"/>
                <w:color w:val="auto"/>
                <w:sz w:val="36"/>
                <w:szCs w:val="36"/>
                <w:highlight w:val="none"/>
              </w:rPr>
            </w:pPr>
          </w:p>
        </w:tc>
      </w:tr>
      <w:tr w14:paraId="6537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28F5983C">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21C20EC7">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46EA34F8">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26C40C6A">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0BE796AD">
            <w:pPr>
              <w:rPr>
                <w:rFonts w:hint="eastAsia" w:ascii="宋体" w:hAnsi="宋体" w:cs="宋体"/>
                <w:color w:val="auto"/>
                <w:sz w:val="36"/>
                <w:szCs w:val="36"/>
                <w:highlight w:val="none"/>
              </w:rPr>
            </w:pPr>
          </w:p>
        </w:tc>
      </w:tr>
      <w:tr w14:paraId="3BCD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7B5B7821">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25787E3F">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6766DCE1">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792E728D">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0800AA64">
            <w:pPr>
              <w:rPr>
                <w:rFonts w:hint="eastAsia" w:ascii="宋体" w:hAnsi="宋体" w:cs="宋体"/>
                <w:color w:val="auto"/>
                <w:sz w:val="36"/>
                <w:szCs w:val="36"/>
                <w:highlight w:val="none"/>
              </w:rPr>
            </w:pPr>
          </w:p>
        </w:tc>
      </w:tr>
      <w:tr w14:paraId="0637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57317A90">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31AD2005">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6431C6A6">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288962C4">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440F6F2A">
            <w:pPr>
              <w:rPr>
                <w:rFonts w:hint="eastAsia" w:ascii="宋体" w:hAnsi="宋体" w:cs="宋体"/>
                <w:color w:val="auto"/>
                <w:sz w:val="36"/>
                <w:szCs w:val="36"/>
                <w:highlight w:val="none"/>
              </w:rPr>
            </w:pPr>
          </w:p>
        </w:tc>
      </w:tr>
      <w:tr w14:paraId="4648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301D52CB">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2F1F8E1F">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16FF227F">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6B1D70F3">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0FB34ED3">
            <w:pPr>
              <w:rPr>
                <w:rFonts w:hint="eastAsia" w:ascii="宋体" w:hAnsi="宋体" w:cs="宋体"/>
                <w:color w:val="auto"/>
                <w:sz w:val="36"/>
                <w:szCs w:val="36"/>
                <w:highlight w:val="none"/>
              </w:rPr>
            </w:pPr>
          </w:p>
        </w:tc>
      </w:tr>
      <w:tr w14:paraId="345A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32008971">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6EBB875E">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57FFA9F7">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3EDE1687">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199D6164">
            <w:pPr>
              <w:rPr>
                <w:rFonts w:hint="eastAsia" w:ascii="宋体" w:hAnsi="宋体" w:cs="宋体"/>
                <w:color w:val="auto"/>
                <w:sz w:val="36"/>
                <w:szCs w:val="36"/>
                <w:highlight w:val="none"/>
              </w:rPr>
            </w:pPr>
          </w:p>
        </w:tc>
      </w:tr>
      <w:tr w14:paraId="7CF3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19DBF2CE">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67AE038E">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25272B8E">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079F2E5F">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242701E7">
            <w:pPr>
              <w:rPr>
                <w:rFonts w:hint="eastAsia" w:ascii="宋体" w:hAnsi="宋体" w:cs="宋体"/>
                <w:color w:val="auto"/>
                <w:sz w:val="36"/>
                <w:szCs w:val="36"/>
                <w:highlight w:val="none"/>
              </w:rPr>
            </w:pPr>
          </w:p>
        </w:tc>
      </w:tr>
      <w:tr w14:paraId="5D9E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17858E18">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2DA79721">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4961CD90">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3FD6CF16">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047EEE6D">
            <w:pPr>
              <w:rPr>
                <w:rFonts w:hint="eastAsia" w:ascii="宋体" w:hAnsi="宋体" w:cs="宋体"/>
                <w:color w:val="auto"/>
                <w:sz w:val="36"/>
                <w:szCs w:val="36"/>
                <w:highlight w:val="none"/>
              </w:rPr>
            </w:pPr>
          </w:p>
        </w:tc>
      </w:tr>
    </w:tbl>
    <w:p w14:paraId="05F32D6F">
      <w:pPr>
        <w:rPr>
          <w:rFonts w:ascii="宋体" w:hAnsi="宋体" w:cs="宋体"/>
          <w:color w:val="auto"/>
          <w:szCs w:val="21"/>
          <w:highlight w:val="none"/>
        </w:rPr>
      </w:pPr>
      <w:r>
        <w:rPr>
          <w:rFonts w:hint="eastAsia" w:ascii="宋体" w:hAnsi="宋体" w:cs="宋体"/>
          <w:color w:val="auto"/>
          <w:szCs w:val="21"/>
          <w:highlight w:val="none"/>
        </w:rPr>
        <w:t>评委签名：                                                 日期：</w:t>
      </w:r>
    </w:p>
    <w:p w14:paraId="0200185F">
      <w:pPr>
        <w:pStyle w:val="49"/>
        <w:rPr>
          <w:color w:val="auto"/>
          <w:highlight w:val="none"/>
        </w:rPr>
      </w:pPr>
    </w:p>
    <w:p w14:paraId="47A261A5">
      <w:pPr>
        <w:pStyle w:val="4"/>
        <w:jc w:val="left"/>
        <w:rPr>
          <w:color w:val="auto"/>
          <w:highlight w:val="none"/>
        </w:rPr>
      </w:pPr>
      <w:r>
        <w:rPr>
          <w:color w:val="auto"/>
          <w:highlight w:val="none"/>
        </w:rPr>
        <w:br w:type="page"/>
      </w:r>
      <w:r>
        <w:rPr>
          <w:rFonts w:hint="eastAsia"/>
          <w:color w:val="auto"/>
          <w:highlight w:val="none"/>
        </w:rPr>
        <w:t xml:space="preserve">附表七 </w:t>
      </w:r>
    </w:p>
    <w:p w14:paraId="25728586">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项目管理班子答辩详细评分表</w:t>
      </w:r>
    </w:p>
    <w:tbl>
      <w:tblPr>
        <w:tblStyle w:val="50"/>
        <w:tblW w:w="4960" w:type="pct"/>
        <w:tblInd w:w="0" w:type="dxa"/>
        <w:tblLayout w:type="autofit"/>
        <w:tblCellMar>
          <w:top w:w="0" w:type="dxa"/>
          <w:left w:w="108" w:type="dxa"/>
          <w:bottom w:w="0" w:type="dxa"/>
          <w:right w:w="108" w:type="dxa"/>
        </w:tblCellMar>
      </w:tblPr>
      <w:tblGrid>
        <w:gridCol w:w="667"/>
        <w:gridCol w:w="1797"/>
        <w:gridCol w:w="1747"/>
        <w:gridCol w:w="10345"/>
      </w:tblGrid>
      <w:tr w14:paraId="119FEBF0">
        <w:tblPrEx>
          <w:tblCellMar>
            <w:top w:w="0" w:type="dxa"/>
            <w:left w:w="108" w:type="dxa"/>
            <w:bottom w:w="0" w:type="dxa"/>
            <w:right w:w="108" w:type="dxa"/>
          </w:tblCellMar>
        </w:tblPrEx>
        <w:trPr>
          <w:trHeight w:val="90" w:hRule="atLeast"/>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112DBA55">
            <w:pPr>
              <w:rPr>
                <w:rFonts w:hint="eastAsia" w:ascii="宋体" w:hAnsi="宋体" w:cs="宋体"/>
                <w:b/>
                <w:bCs/>
                <w:color w:val="auto"/>
                <w:sz w:val="22"/>
                <w:highlight w:val="none"/>
              </w:rPr>
            </w:pPr>
            <w:r>
              <w:rPr>
                <w:rFonts w:hint="eastAsia" w:ascii="宋体" w:hAnsi="宋体" w:cs="宋体"/>
                <w:color w:val="auto"/>
                <w:sz w:val="22"/>
                <w:highlight w:val="none"/>
              </w:rPr>
              <w:br w:type="page"/>
            </w:r>
            <w:r>
              <w:rPr>
                <w:rFonts w:hint="eastAsia" w:ascii="宋体" w:hAnsi="宋体" w:cs="宋体"/>
                <w:b/>
                <w:bCs/>
                <w:color w:val="auto"/>
                <w:kern w:val="0"/>
                <w:sz w:val="22"/>
                <w:highlight w:val="none"/>
                <w:lang w:bidi="ar"/>
              </w:rPr>
              <w:t>序号</w:t>
            </w:r>
          </w:p>
        </w:tc>
        <w:tc>
          <w:tcPr>
            <w:tcW w:w="1217" w:type="pct"/>
            <w:gridSpan w:val="2"/>
            <w:tcBorders>
              <w:top w:val="single" w:color="000000" w:sz="4" w:space="0"/>
              <w:left w:val="single" w:color="000000" w:sz="4" w:space="0"/>
              <w:bottom w:val="single" w:color="000000" w:sz="4" w:space="0"/>
              <w:right w:val="single" w:color="000000" w:sz="4" w:space="0"/>
            </w:tcBorders>
            <w:noWrap w:val="0"/>
            <w:vAlign w:val="center"/>
          </w:tcPr>
          <w:p w14:paraId="2F7EDC57">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评分因素</w:t>
            </w:r>
          </w:p>
        </w:tc>
        <w:tc>
          <w:tcPr>
            <w:tcW w:w="3552" w:type="pct"/>
            <w:tcBorders>
              <w:top w:val="single" w:color="000000" w:sz="4" w:space="0"/>
              <w:left w:val="single" w:color="000000" w:sz="4" w:space="0"/>
              <w:bottom w:val="single" w:color="000000" w:sz="4" w:space="0"/>
              <w:right w:val="single" w:color="000000" w:sz="4" w:space="0"/>
            </w:tcBorders>
            <w:noWrap w:val="0"/>
            <w:vAlign w:val="center"/>
          </w:tcPr>
          <w:p w14:paraId="461898D5">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评分标准</w:t>
            </w:r>
          </w:p>
        </w:tc>
      </w:tr>
      <w:tr w14:paraId="65C99030">
        <w:tblPrEx>
          <w:tblCellMar>
            <w:top w:w="0" w:type="dxa"/>
            <w:left w:w="108" w:type="dxa"/>
            <w:bottom w:w="0" w:type="dxa"/>
            <w:right w:w="108" w:type="dxa"/>
          </w:tblCellMar>
        </w:tblPrEx>
        <w:trPr>
          <w:trHeight w:val="1031" w:hRule="atLeast"/>
        </w:trPr>
        <w:tc>
          <w:tcPr>
            <w:tcW w:w="229" w:type="pct"/>
            <w:tcBorders>
              <w:top w:val="single" w:color="000000" w:sz="4" w:space="0"/>
              <w:left w:val="single" w:color="000000" w:sz="4" w:space="0"/>
              <w:bottom w:val="single" w:color="000000" w:sz="4" w:space="0"/>
              <w:right w:val="single" w:color="000000" w:sz="4" w:space="0"/>
            </w:tcBorders>
            <w:noWrap w:val="0"/>
            <w:vAlign w:val="center"/>
          </w:tcPr>
          <w:p w14:paraId="258ED472">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1</w:t>
            </w:r>
          </w:p>
        </w:tc>
        <w:tc>
          <w:tcPr>
            <w:tcW w:w="617" w:type="pct"/>
            <w:vMerge w:val="restart"/>
            <w:tcBorders>
              <w:top w:val="single" w:color="000000" w:sz="4" w:space="0"/>
              <w:left w:val="single" w:color="000000" w:sz="4" w:space="0"/>
              <w:right w:val="single" w:color="000000" w:sz="4" w:space="0"/>
            </w:tcBorders>
            <w:noWrap w:val="0"/>
            <w:vAlign w:val="center"/>
          </w:tcPr>
          <w:p w14:paraId="1C2CB96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项目管理班子答辩评分标准</w:t>
            </w:r>
          </w:p>
          <w:p w14:paraId="4EB69F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0分）</w:t>
            </w:r>
          </w:p>
        </w:tc>
        <w:tc>
          <w:tcPr>
            <w:tcW w:w="600" w:type="pct"/>
            <w:vMerge w:val="restart"/>
            <w:tcBorders>
              <w:top w:val="single" w:color="000000" w:sz="4" w:space="0"/>
              <w:left w:val="single" w:color="000000" w:sz="4" w:space="0"/>
              <w:right w:val="single" w:color="000000" w:sz="4" w:space="0"/>
            </w:tcBorders>
            <w:noWrap w:val="0"/>
            <w:vAlign w:val="center"/>
          </w:tcPr>
          <w:p w14:paraId="4BC1C55E">
            <w:pPr>
              <w:jc w:val="center"/>
              <w:rPr>
                <w:rFonts w:ascii="宋体" w:hAnsi="宋体" w:cs="宋体"/>
                <w:color w:val="auto"/>
                <w:sz w:val="22"/>
                <w:highlight w:val="none"/>
              </w:rPr>
            </w:pPr>
            <w:r>
              <w:rPr>
                <w:rFonts w:hint="eastAsia" w:ascii="宋体" w:hAnsi="宋体" w:cs="宋体"/>
                <w:color w:val="auto"/>
                <w:sz w:val="22"/>
                <w:highlight w:val="none"/>
              </w:rPr>
              <w:t>项目负责人答辩</w:t>
            </w:r>
          </w:p>
          <w:p w14:paraId="284F04F1">
            <w:pPr>
              <w:jc w:val="center"/>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10</w:t>
            </w:r>
            <w:r>
              <w:rPr>
                <w:rFonts w:hint="eastAsia" w:ascii="宋体" w:hAnsi="宋体" w:cs="宋体"/>
                <w:color w:val="auto"/>
                <w:sz w:val="22"/>
                <w:highlight w:val="none"/>
              </w:rPr>
              <w:t>分）</w:t>
            </w:r>
          </w:p>
        </w:tc>
        <w:tc>
          <w:tcPr>
            <w:tcW w:w="3552" w:type="pct"/>
            <w:tcBorders>
              <w:top w:val="single" w:color="000000" w:sz="4" w:space="0"/>
              <w:left w:val="single" w:color="000000" w:sz="4" w:space="0"/>
              <w:bottom w:val="single" w:color="000000" w:sz="4" w:space="0"/>
              <w:right w:val="single" w:color="000000" w:sz="4" w:space="0"/>
            </w:tcBorders>
            <w:noWrap w:val="0"/>
            <w:vAlign w:val="center"/>
          </w:tcPr>
          <w:p w14:paraId="14A06927">
            <w:pPr>
              <w:pStyle w:val="384"/>
              <w:spacing w:line="240" w:lineRule="auto"/>
              <w:jc w:val="left"/>
              <w:rPr>
                <w:rFonts w:hint="eastAsia"/>
                <w:color w:val="auto"/>
                <w:sz w:val="22"/>
                <w:szCs w:val="22"/>
                <w:highlight w:val="none"/>
                <w:lang w:val="en-US" w:eastAsia="zh-CN"/>
              </w:rPr>
            </w:pPr>
            <w:r>
              <w:rPr>
                <w:rFonts w:hint="eastAsia"/>
                <w:color w:val="auto"/>
                <w:sz w:val="22"/>
                <w:szCs w:val="22"/>
                <w:highlight w:val="none"/>
                <w:lang w:val="en-US" w:eastAsia="zh-CN"/>
              </w:rPr>
              <w:t>从项目管理班子团队人员情况的介绍、实施本项目自身优势、工程管理重难点及关键问题和采取的措施、场地使用组织等方面进行阐述：</w:t>
            </w:r>
          </w:p>
          <w:p w14:paraId="5403C787">
            <w:pPr>
              <w:pStyle w:val="384"/>
              <w:spacing w:line="240" w:lineRule="auto"/>
              <w:jc w:val="left"/>
              <w:rPr>
                <w:rFonts w:hint="eastAsia"/>
                <w:color w:val="auto"/>
                <w:sz w:val="22"/>
                <w:szCs w:val="22"/>
                <w:highlight w:val="none"/>
                <w:lang w:val="en-US" w:eastAsia="zh-CN"/>
              </w:rPr>
            </w:pPr>
            <w:r>
              <w:rPr>
                <w:rFonts w:hint="eastAsia"/>
                <w:color w:val="auto"/>
                <w:sz w:val="22"/>
                <w:szCs w:val="22"/>
                <w:highlight w:val="none"/>
                <w:lang w:val="en-US" w:eastAsia="zh-CN"/>
              </w:rPr>
              <w:t>【优】阐述要点条理清晰，对本工程特点有针对性，各要点之间关联性强。充分考虑本工程安全风险控制、进度管理、质量管理。问题解答全面，答案对本工程特点针对性强，得5分。</w:t>
            </w:r>
          </w:p>
          <w:p w14:paraId="7C6D3C92">
            <w:pPr>
              <w:rPr>
                <w:rFonts w:hint="eastAsia" w:ascii="宋体" w:hAnsi="宋体" w:cs="宋体"/>
                <w:color w:val="auto"/>
                <w:sz w:val="22"/>
                <w:highlight w:val="none"/>
              </w:rPr>
            </w:pPr>
            <w:r>
              <w:rPr>
                <w:rFonts w:hint="eastAsia" w:ascii="宋体" w:hAnsi="宋体" w:cs="宋体"/>
                <w:color w:val="auto"/>
                <w:sz w:val="22"/>
                <w:highlight w:val="none"/>
              </w:rPr>
              <w:t>【良】</w:t>
            </w:r>
            <w:r>
              <w:rPr>
                <w:rFonts w:hint="eastAsia"/>
                <w:color w:val="auto"/>
                <w:sz w:val="22"/>
                <w:highlight w:val="none"/>
              </w:rPr>
              <w:t>阐述</w:t>
            </w:r>
            <w:r>
              <w:rPr>
                <w:rFonts w:hint="eastAsia"/>
                <w:color w:val="auto"/>
                <w:sz w:val="22"/>
                <w:highlight w:val="none"/>
                <w:lang w:eastAsia="zh-CN"/>
              </w:rPr>
              <w:t>要点</w:t>
            </w:r>
            <w:r>
              <w:rPr>
                <w:rFonts w:hint="eastAsia"/>
                <w:color w:val="auto"/>
                <w:sz w:val="22"/>
                <w:highlight w:val="none"/>
              </w:rPr>
              <w:t>条理清晰，对本工程特点有针对性</w:t>
            </w:r>
            <w:r>
              <w:rPr>
                <w:rFonts w:hint="eastAsia" w:ascii="宋体" w:hAnsi="宋体" w:cs="宋体"/>
                <w:color w:val="auto"/>
                <w:sz w:val="22"/>
                <w:highlight w:val="none"/>
              </w:rPr>
              <w:t>，各要点之间关联性一般。考虑本工程部分安全风险控制、进度管理、质量管理。</w:t>
            </w:r>
            <w:r>
              <w:rPr>
                <w:rFonts w:hint="eastAsia" w:ascii="宋体" w:hAnsi="宋体" w:cs="宋体"/>
                <w:color w:val="auto"/>
                <w:sz w:val="22"/>
                <w:highlight w:val="none"/>
                <w:lang w:eastAsia="zh-CN"/>
              </w:rPr>
              <w:t>问题解</w:t>
            </w:r>
            <w:r>
              <w:rPr>
                <w:rFonts w:hint="eastAsia" w:ascii="宋体" w:hAnsi="宋体" w:cs="宋体"/>
                <w:color w:val="auto"/>
                <w:sz w:val="22"/>
                <w:highlight w:val="none"/>
              </w:rPr>
              <w:t>答不够全面，答案对本工程特点针对性一般，得</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分。</w:t>
            </w:r>
          </w:p>
          <w:p w14:paraId="4B24869C">
            <w:pPr>
              <w:rPr>
                <w:rFonts w:ascii="宋体" w:hAnsi="宋体" w:cs="宋体"/>
                <w:color w:val="auto"/>
                <w:sz w:val="22"/>
                <w:highlight w:val="none"/>
              </w:rPr>
            </w:pPr>
            <w:r>
              <w:rPr>
                <w:rFonts w:hint="eastAsia" w:ascii="宋体" w:hAnsi="宋体" w:cs="宋体"/>
                <w:color w:val="auto"/>
                <w:sz w:val="22"/>
                <w:highlight w:val="none"/>
              </w:rPr>
              <w:t>【差】达不到优与良的相关答辩要求，得</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分。</w:t>
            </w:r>
          </w:p>
          <w:p w14:paraId="06DB1BA5">
            <w:pPr>
              <w:pStyle w:val="384"/>
              <w:spacing w:line="240" w:lineRule="auto"/>
              <w:jc w:val="left"/>
              <w:rPr>
                <w:rFonts w:hint="eastAsia"/>
                <w:color w:val="auto"/>
                <w:highlight w:val="none"/>
                <w:lang w:eastAsia="zh-CN"/>
              </w:rPr>
            </w:pPr>
            <w:r>
              <w:rPr>
                <w:rFonts w:hint="eastAsia"/>
                <w:color w:val="auto"/>
                <w:sz w:val="22"/>
                <w:szCs w:val="22"/>
                <w:highlight w:val="none"/>
              </w:rPr>
              <w:t>注：需提交包含上述</w:t>
            </w:r>
            <w:r>
              <w:rPr>
                <w:rFonts w:hint="eastAsia"/>
                <w:color w:val="auto"/>
                <w:sz w:val="22"/>
                <w:szCs w:val="22"/>
                <w:highlight w:val="none"/>
                <w:lang w:val="en-US" w:eastAsia="zh-CN"/>
              </w:rPr>
              <w:t>阐述要点</w:t>
            </w:r>
            <w:r>
              <w:rPr>
                <w:rFonts w:hint="eastAsia"/>
                <w:color w:val="auto"/>
                <w:sz w:val="22"/>
                <w:szCs w:val="22"/>
                <w:highlight w:val="none"/>
              </w:rPr>
              <w:t>要求，提炼总体字数</w:t>
            </w:r>
            <w:r>
              <w:rPr>
                <w:color w:val="auto"/>
                <w:sz w:val="22"/>
                <w:szCs w:val="22"/>
                <w:highlight w:val="none"/>
              </w:rPr>
              <w:t>800-1000</w:t>
            </w:r>
            <w:r>
              <w:rPr>
                <w:rFonts w:hint="eastAsia"/>
                <w:color w:val="auto"/>
                <w:sz w:val="22"/>
                <w:szCs w:val="22"/>
                <w:highlight w:val="none"/>
              </w:rPr>
              <w:t>字之内的摘要。</w:t>
            </w:r>
          </w:p>
        </w:tc>
      </w:tr>
      <w:tr w14:paraId="714FAF6E">
        <w:tblPrEx>
          <w:tblCellMar>
            <w:top w:w="0" w:type="dxa"/>
            <w:left w:w="108" w:type="dxa"/>
            <w:bottom w:w="0" w:type="dxa"/>
            <w:right w:w="108" w:type="dxa"/>
          </w:tblCellMar>
        </w:tblPrEx>
        <w:trPr>
          <w:trHeight w:val="426" w:hRule="atLeast"/>
        </w:trPr>
        <w:tc>
          <w:tcPr>
            <w:tcW w:w="229" w:type="pct"/>
            <w:tcBorders>
              <w:top w:val="single" w:color="000000" w:sz="4" w:space="0"/>
              <w:left w:val="single" w:color="000000" w:sz="4" w:space="0"/>
              <w:bottom w:val="single" w:color="auto" w:sz="4" w:space="0"/>
              <w:right w:val="single" w:color="000000" w:sz="4" w:space="0"/>
            </w:tcBorders>
            <w:noWrap w:val="0"/>
            <w:vAlign w:val="center"/>
          </w:tcPr>
          <w:p w14:paraId="78893C33">
            <w:pPr>
              <w:widowControl/>
              <w:jc w:val="center"/>
              <w:textAlignment w:val="center"/>
              <w:rPr>
                <w:rFonts w:hint="eastAsia" w:ascii="宋体" w:hAnsi="宋体" w:cs="宋体"/>
                <w:b/>
                <w:bCs/>
                <w:color w:val="auto"/>
                <w:kern w:val="0"/>
                <w:sz w:val="22"/>
                <w:highlight w:val="none"/>
                <w:lang w:bidi="ar"/>
              </w:rPr>
            </w:pPr>
          </w:p>
        </w:tc>
        <w:tc>
          <w:tcPr>
            <w:tcW w:w="617" w:type="pct"/>
            <w:vMerge w:val="continue"/>
            <w:tcBorders>
              <w:left w:val="single" w:color="000000" w:sz="4" w:space="0"/>
              <w:right w:val="single" w:color="000000" w:sz="4" w:space="0"/>
            </w:tcBorders>
            <w:noWrap w:val="0"/>
            <w:vAlign w:val="center"/>
          </w:tcPr>
          <w:p w14:paraId="1A720832">
            <w:pPr>
              <w:jc w:val="center"/>
              <w:rPr>
                <w:rFonts w:hint="eastAsia" w:ascii="宋体" w:hAnsi="宋体" w:cs="宋体"/>
                <w:color w:val="auto"/>
                <w:sz w:val="22"/>
                <w:highlight w:val="none"/>
              </w:rPr>
            </w:pPr>
          </w:p>
        </w:tc>
        <w:tc>
          <w:tcPr>
            <w:tcW w:w="600" w:type="pct"/>
            <w:vMerge w:val="continue"/>
            <w:tcBorders>
              <w:left w:val="single" w:color="000000" w:sz="4" w:space="0"/>
              <w:bottom w:val="single" w:color="auto" w:sz="4" w:space="0"/>
              <w:right w:val="single" w:color="000000" w:sz="4" w:space="0"/>
            </w:tcBorders>
            <w:noWrap w:val="0"/>
            <w:vAlign w:val="center"/>
          </w:tcPr>
          <w:p w14:paraId="5DBC598E">
            <w:pPr>
              <w:jc w:val="center"/>
              <w:rPr>
                <w:rFonts w:hint="eastAsia" w:ascii="宋体" w:hAnsi="宋体" w:cs="宋体"/>
                <w:color w:val="auto"/>
                <w:sz w:val="22"/>
                <w:highlight w:val="none"/>
              </w:rPr>
            </w:pPr>
          </w:p>
        </w:tc>
        <w:tc>
          <w:tcPr>
            <w:tcW w:w="3552" w:type="pct"/>
            <w:tcBorders>
              <w:top w:val="single" w:color="000000" w:sz="4" w:space="0"/>
              <w:left w:val="single" w:color="000000" w:sz="4" w:space="0"/>
              <w:bottom w:val="single" w:color="auto" w:sz="4" w:space="0"/>
              <w:right w:val="single" w:color="000000" w:sz="4" w:space="0"/>
            </w:tcBorders>
            <w:noWrap w:val="0"/>
            <w:vAlign w:val="top"/>
          </w:tcPr>
          <w:p w14:paraId="1EC9BBA1">
            <w:pPr>
              <w:rPr>
                <w:rFonts w:hint="eastAsia" w:ascii="宋体" w:hAnsi="宋体" w:eastAsia="宋体" w:cs="宋体"/>
                <w:color w:val="auto"/>
                <w:sz w:val="22"/>
                <w:szCs w:val="22"/>
                <w:highlight w:val="none"/>
                <w:lang w:val="en-US" w:eastAsia="zh-CN" w:bidi="zh-TW"/>
              </w:rPr>
            </w:pPr>
            <w:r>
              <w:rPr>
                <w:rFonts w:hint="eastAsia" w:ascii="宋体" w:hAnsi="宋体" w:eastAsia="宋体" w:cs="宋体"/>
                <w:color w:val="auto"/>
                <w:sz w:val="22"/>
                <w:szCs w:val="22"/>
                <w:highlight w:val="none"/>
                <w:lang w:val="en-US" w:eastAsia="zh-CN" w:bidi="zh-TW"/>
              </w:rPr>
              <w:t>请陈述以下</w:t>
            </w:r>
            <w:r>
              <w:rPr>
                <w:rFonts w:hint="eastAsia" w:ascii="宋体" w:hAnsi="宋体" w:cs="宋体"/>
                <w:color w:val="auto"/>
                <w:sz w:val="22"/>
                <w:szCs w:val="22"/>
                <w:highlight w:val="none"/>
                <w:lang w:val="en-US" w:eastAsia="zh-CN" w:bidi="zh-TW"/>
              </w:rPr>
              <w:t>3</w:t>
            </w:r>
            <w:r>
              <w:rPr>
                <w:rFonts w:hint="eastAsia" w:ascii="宋体" w:hAnsi="宋体" w:eastAsia="宋体" w:cs="宋体"/>
                <w:color w:val="auto"/>
                <w:sz w:val="22"/>
                <w:szCs w:val="22"/>
                <w:highlight w:val="none"/>
                <w:lang w:val="en-US" w:eastAsia="zh-CN" w:bidi="zh-TW"/>
              </w:rPr>
              <w:t>个问题：</w:t>
            </w:r>
            <w:r>
              <w:rPr>
                <w:rFonts w:hint="eastAsia" w:ascii="宋体" w:hAnsi="宋体" w:cs="宋体"/>
                <w:color w:val="auto"/>
                <w:sz w:val="22"/>
                <w:szCs w:val="22"/>
                <w:highlight w:val="none"/>
                <w:lang w:val="en-US" w:eastAsia="zh-CN"/>
              </w:rPr>
              <w:t>①请陈述对本项目施工管理的总体设想（含项目管理团队人员稳定性的措施）；②请投标人陈述在以往项目中，如何进行项目进度管理以确保项目按时交付；③请投标人陈述，针对本项目投资控制中，如何识别和评估潜在的风险？请举例说明你识别出的主要风险及应对措施。</w:t>
            </w:r>
          </w:p>
          <w:p w14:paraId="4C60B11C">
            <w:pPr>
              <w:rPr>
                <w:rFonts w:hint="eastAsia" w:ascii="宋体" w:hAnsi="宋体" w:eastAsia="宋体" w:cs="宋体"/>
                <w:color w:val="auto"/>
                <w:sz w:val="22"/>
                <w:szCs w:val="22"/>
                <w:highlight w:val="none"/>
                <w:lang w:val="en-US" w:eastAsia="zh-CN" w:bidi="zh-TW"/>
              </w:rPr>
            </w:pPr>
            <w:r>
              <w:rPr>
                <w:rFonts w:hint="eastAsia" w:ascii="宋体" w:hAnsi="宋体" w:eastAsia="宋体" w:cs="宋体"/>
                <w:color w:val="auto"/>
                <w:sz w:val="22"/>
                <w:szCs w:val="22"/>
                <w:highlight w:val="none"/>
                <w:lang w:val="en-US" w:eastAsia="zh-CN" w:bidi="zh-TW"/>
              </w:rPr>
              <w:t>【优】</w:t>
            </w:r>
            <w:r>
              <w:rPr>
                <w:rFonts w:hint="eastAsia" w:ascii="宋体" w:hAnsi="宋体" w:eastAsia="宋体" w:cs="宋体"/>
                <w:color w:val="auto"/>
                <w:sz w:val="22"/>
                <w:highlight w:val="none"/>
                <w:lang w:bidi="zh-TW"/>
              </w:rPr>
              <w:t>思路清晰、内容</w:t>
            </w:r>
            <w:r>
              <w:rPr>
                <w:rFonts w:hint="eastAsia" w:ascii="宋体" w:hAnsi="宋体" w:eastAsia="宋体" w:cs="宋体"/>
                <w:color w:val="auto"/>
                <w:sz w:val="22"/>
                <w:highlight w:val="none"/>
                <w:lang w:eastAsia="zh-CN" w:bidi="zh-TW"/>
              </w:rPr>
              <w:t>全面，</w:t>
            </w:r>
            <w:r>
              <w:rPr>
                <w:rFonts w:hint="eastAsia" w:ascii="宋体" w:hAnsi="宋体" w:eastAsia="宋体" w:cs="宋体"/>
                <w:color w:val="auto"/>
                <w:sz w:val="22"/>
                <w:szCs w:val="22"/>
                <w:highlight w:val="none"/>
                <w:lang w:val="en-US" w:eastAsia="zh-CN" w:bidi="zh-TW"/>
              </w:rPr>
              <w:t>对本工程特点针对性强，得5分。</w:t>
            </w:r>
          </w:p>
          <w:p w14:paraId="739051EF">
            <w:pPr>
              <w:rPr>
                <w:rFonts w:hint="eastAsia" w:ascii="宋体" w:hAnsi="宋体" w:eastAsia="宋体" w:cs="宋体"/>
                <w:color w:val="auto"/>
                <w:sz w:val="22"/>
                <w:highlight w:val="none"/>
                <w:lang w:bidi="zh-TW"/>
              </w:rPr>
            </w:pPr>
            <w:r>
              <w:rPr>
                <w:rFonts w:hint="eastAsia" w:ascii="宋体" w:hAnsi="宋体" w:eastAsia="宋体" w:cs="宋体"/>
                <w:color w:val="auto"/>
                <w:sz w:val="22"/>
                <w:highlight w:val="none"/>
                <w:lang w:bidi="zh-TW"/>
              </w:rPr>
              <w:t>【良】思路比较清晰、内容</w:t>
            </w:r>
            <w:r>
              <w:rPr>
                <w:rFonts w:hint="eastAsia" w:ascii="宋体" w:hAnsi="宋体" w:eastAsia="宋体" w:cs="宋体"/>
                <w:color w:val="auto"/>
                <w:sz w:val="22"/>
                <w:highlight w:val="none"/>
                <w:lang w:eastAsia="zh-CN" w:bidi="zh-TW"/>
              </w:rPr>
              <w:t>不够全面，</w:t>
            </w:r>
            <w:r>
              <w:rPr>
                <w:rFonts w:hint="eastAsia" w:ascii="宋体" w:hAnsi="宋体" w:eastAsia="宋体" w:cs="宋体"/>
                <w:color w:val="auto"/>
                <w:sz w:val="22"/>
                <w:highlight w:val="none"/>
                <w:lang w:bidi="zh-TW"/>
              </w:rPr>
              <w:t>对本工程特点针对性一般，得</w:t>
            </w:r>
            <w:r>
              <w:rPr>
                <w:rFonts w:hint="eastAsia" w:ascii="宋体" w:hAnsi="宋体" w:eastAsia="宋体" w:cs="宋体"/>
                <w:color w:val="auto"/>
                <w:sz w:val="22"/>
                <w:highlight w:val="none"/>
                <w:lang w:val="en-US" w:eastAsia="zh-CN" w:bidi="zh-TW"/>
              </w:rPr>
              <w:t>3</w:t>
            </w:r>
            <w:r>
              <w:rPr>
                <w:rFonts w:hint="eastAsia" w:ascii="宋体" w:hAnsi="宋体" w:eastAsia="宋体" w:cs="宋体"/>
                <w:color w:val="auto"/>
                <w:sz w:val="22"/>
                <w:highlight w:val="none"/>
                <w:lang w:bidi="zh-TW"/>
              </w:rPr>
              <w:t>分。</w:t>
            </w:r>
          </w:p>
          <w:p w14:paraId="6FD9D301">
            <w:pPr>
              <w:rPr>
                <w:rFonts w:hint="eastAsia" w:ascii="宋体" w:hAnsi="宋体" w:eastAsia="宋体" w:cs="宋体"/>
                <w:color w:val="auto"/>
                <w:sz w:val="22"/>
                <w:highlight w:val="none"/>
                <w:lang w:bidi="zh-TW"/>
              </w:rPr>
            </w:pPr>
            <w:r>
              <w:rPr>
                <w:rFonts w:hint="eastAsia" w:ascii="宋体" w:hAnsi="宋体" w:eastAsia="宋体" w:cs="宋体"/>
                <w:color w:val="auto"/>
                <w:sz w:val="22"/>
                <w:highlight w:val="none"/>
                <w:lang w:bidi="zh-TW"/>
              </w:rPr>
              <w:t>【差】达不到优与良的相关答辩要求，得</w:t>
            </w:r>
            <w:r>
              <w:rPr>
                <w:rFonts w:hint="eastAsia" w:ascii="宋体" w:hAnsi="宋体" w:eastAsia="宋体" w:cs="宋体"/>
                <w:color w:val="auto"/>
                <w:sz w:val="22"/>
                <w:highlight w:val="none"/>
                <w:lang w:val="en-US" w:eastAsia="zh-CN" w:bidi="zh-TW"/>
              </w:rPr>
              <w:t>1</w:t>
            </w:r>
            <w:r>
              <w:rPr>
                <w:rFonts w:hint="eastAsia" w:ascii="宋体" w:hAnsi="宋体" w:eastAsia="宋体" w:cs="宋体"/>
                <w:color w:val="auto"/>
                <w:sz w:val="22"/>
                <w:highlight w:val="none"/>
                <w:lang w:bidi="zh-TW"/>
              </w:rPr>
              <w:t>分。</w:t>
            </w:r>
          </w:p>
          <w:p w14:paraId="6AF5BDE9">
            <w:pPr>
              <w:pStyle w:val="2"/>
              <w:rPr>
                <w:rFonts w:hint="eastAsia"/>
                <w:color w:val="auto"/>
                <w:highlight w:val="none"/>
              </w:rPr>
            </w:pPr>
            <w:r>
              <w:rPr>
                <w:rFonts w:hint="eastAsia"/>
                <w:color w:val="auto"/>
                <w:sz w:val="22"/>
                <w:szCs w:val="22"/>
                <w:highlight w:val="none"/>
              </w:rPr>
              <w:t>注：需提交包含上述</w:t>
            </w:r>
            <w:r>
              <w:rPr>
                <w:rFonts w:hint="eastAsia"/>
                <w:color w:val="auto"/>
                <w:sz w:val="22"/>
                <w:szCs w:val="22"/>
                <w:highlight w:val="none"/>
                <w:lang w:val="en-US" w:eastAsia="zh-CN"/>
              </w:rPr>
              <w:t>阐述要点</w:t>
            </w:r>
            <w:r>
              <w:rPr>
                <w:rFonts w:hint="eastAsia"/>
                <w:color w:val="auto"/>
                <w:sz w:val="22"/>
                <w:szCs w:val="22"/>
                <w:highlight w:val="none"/>
              </w:rPr>
              <w:t>要求，提炼总体字数</w:t>
            </w:r>
            <w:r>
              <w:rPr>
                <w:color w:val="auto"/>
                <w:sz w:val="22"/>
                <w:szCs w:val="22"/>
                <w:highlight w:val="none"/>
              </w:rPr>
              <w:t>800-1000</w:t>
            </w:r>
            <w:r>
              <w:rPr>
                <w:rFonts w:hint="eastAsia"/>
                <w:color w:val="auto"/>
                <w:sz w:val="22"/>
                <w:szCs w:val="22"/>
                <w:highlight w:val="none"/>
              </w:rPr>
              <w:t>字之内的摘要。</w:t>
            </w:r>
          </w:p>
        </w:tc>
      </w:tr>
      <w:tr w14:paraId="0C8D8F9B">
        <w:tblPrEx>
          <w:tblCellMar>
            <w:top w:w="0" w:type="dxa"/>
            <w:left w:w="108" w:type="dxa"/>
            <w:bottom w:w="0" w:type="dxa"/>
            <w:right w:w="108" w:type="dxa"/>
          </w:tblCellMar>
        </w:tblPrEx>
        <w:trPr>
          <w:trHeight w:val="426" w:hRule="atLeast"/>
        </w:trPr>
        <w:tc>
          <w:tcPr>
            <w:tcW w:w="229" w:type="pct"/>
            <w:tcBorders>
              <w:top w:val="single" w:color="000000" w:sz="4" w:space="0"/>
              <w:left w:val="single" w:color="000000" w:sz="4" w:space="0"/>
              <w:bottom w:val="single" w:color="auto" w:sz="4" w:space="0"/>
              <w:right w:val="single" w:color="000000" w:sz="4" w:space="0"/>
            </w:tcBorders>
            <w:noWrap w:val="0"/>
            <w:vAlign w:val="center"/>
          </w:tcPr>
          <w:p w14:paraId="4C761F48">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2</w:t>
            </w:r>
          </w:p>
        </w:tc>
        <w:tc>
          <w:tcPr>
            <w:tcW w:w="617" w:type="pct"/>
            <w:vMerge w:val="continue"/>
            <w:tcBorders>
              <w:left w:val="single" w:color="000000" w:sz="4" w:space="0"/>
              <w:right w:val="single" w:color="000000" w:sz="4" w:space="0"/>
            </w:tcBorders>
            <w:noWrap w:val="0"/>
            <w:vAlign w:val="center"/>
          </w:tcPr>
          <w:p w14:paraId="3110B109">
            <w:pPr>
              <w:jc w:val="center"/>
              <w:rPr>
                <w:rFonts w:hint="eastAsia" w:ascii="宋体" w:hAnsi="宋体" w:cs="宋体"/>
                <w:color w:val="auto"/>
                <w:sz w:val="22"/>
                <w:highlight w:val="none"/>
              </w:rPr>
            </w:pPr>
          </w:p>
        </w:tc>
        <w:tc>
          <w:tcPr>
            <w:tcW w:w="600" w:type="pct"/>
            <w:tcBorders>
              <w:top w:val="single" w:color="000000" w:sz="4" w:space="0"/>
              <w:left w:val="single" w:color="000000" w:sz="4" w:space="0"/>
              <w:bottom w:val="single" w:color="auto" w:sz="4" w:space="0"/>
              <w:right w:val="single" w:color="000000" w:sz="4" w:space="0"/>
            </w:tcBorders>
            <w:noWrap w:val="0"/>
            <w:vAlign w:val="center"/>
          </w:tcPr>
          <w:p w14:paraId="59E939FC">
            <w:pPr>
              <w:jc w:val="center"/>
              <w:rPr>
                <w:rFonts w:ascii="宋体" w:hAnsi="宋体" w:cs="宋体"/>
                <w:color w:val="auto"/>
                <w:sz w:val="22"/>
                <w:highlight w:val="none"/>
              </w:rPr>
            </w:pPr>
            <w:r>
              <w:rPr>
                <w:rFonts w:hint="eastAsia" w:ascii="宋体" w:hAnsi="宋体" w:cs="宋体"/>
                <w:color w:val="auto"/>
                <w:sz w:val="22"/>
                <w:highlight w:val="none"/>
              </w:rPr>
              <w:t>项目技术负责人答辩</w:t>
            </w:r>
          </w:p>
          <w:p w14:paraId="00D44E7E">
            <w:pPr>
              <w:jc w:val="center"/>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分）</w:t>
            </w:r>
          </w:p>
        </w:tc>
        <w:tc>
          <w:tcPr>
            <w:tcW w:w="3552" w:type="pct"/>
            <w:tcBorders>
              <w:top w:val="single" w:color="000000" w:sz="4" w:space="0"/>
              <w:left w:val="single" w:color="000000" w:sz="4" w:space="0"/>
              <w:bottom w:val="single" w:color="auto" w:sz="4" w:space="0"/>
              <w:right w:val="single" w:color="000000" w:sz="4" w:space="0"/>
            </w:tcBorders>
            <w:noWrap w:val="0"/>
            <w:vAlign w:val="top"/>
          </w:tcPr>
          <w:p w14:paraId="6F8AC898">
            <w:pPr>
              <w:pStyle w:val="384"/>
              <w:spacing w:line="240" w:lineRule="auto"/>
              <w:jc w:val="left"/>
              <w:rPr>
                <w:rFonts w:hint="eastAsia"/>
                <w:color w:val="auto"/>
                <w:sz w:val="22"/>
                <w:szCs w:val="22"/>
                <w:highlight w:val="none"/>
                <w:lang w:eastAsia="zh-CN"/>
              </w:rPr>
            </w:pPr>
            <w:r>
              <w:rPr>
                <w:rFonts w:hint="eastAsia"/>
                <w:color w:val="auto"/>
                <w:sz w:val="22"/>
                <w:szCs w:val="22"/>
                <w:highlight w:val="none"/>
                <w:lang w:eastAsia="zh-CN"/>
              </w:rPr>
              <w:t>从本工程技术难点及相应对策方面进行阐述：</w:t>
            </w:r>
          </w:p>
          <w:p w14:paraId="356B757C">
            <w:pPr>
              <w:pStyle w:val="384"/>
              <w:spacing w:line="240" w:lineRule="auto"/>
              <w:jc w:val="left"/>
              <w:rPr>
                <w:color w:val="auto"/>
                <w:sz w:val="22"/>
                <w:szCs w:val="22"/>
                <w:highlight w:val="none"/>
                <w:lang w:eastAsia="zh-CN"/>
              </w:rPr>
            </w:pPr>
            <w:r>
              <w:rPr>
                <w:rFonts w:hint="eastAsia"/>
                <w:color w:val="auto"/>
                <w:sz w:val="22"/>
                <w:szCs w:val="22"/>
                <w:highlight w:val="none"/>
                <w:lang w:eastAsia="zh-CN"/>
              </w:rPr>
              <w:t>【</w:t>
            </w:r>
            <w:r>
              <w:rPr>
                <w:rFonts w:hint="eastAsia"/>
                <w:color w:val="auto"/>
                <w:sz w:val="22"/>
                <w:szCs w:val="22"/>
                <w:highlight w:val="none"/>
                <w:lang w:val="en-US" w:eastAsia="zh-CN"/>
              </w:rPr>
              <w:t>优</w:t>
            </w:r>
            <w:r>
              <w:rPr>
                <w:rFonts w:hint="eastAsia"/>
                <w:color w:val="auto"/>
                <w:sz w:val="22"/>
                <w:szCs w:val="22"/>
                <w:highlight w:val="none"/>
                <w:lang w:eastAsia="zh-CN"/>
              </w:rPr>
              <w:t>】阐述要点条理清晰，对本工程特点有针对性，各要点之间关联性强。充分考虑本工程安全风险控制、质量管理、场地使用及工序衔接转换。</w:t>
            </w:r>
            <w:r>
              <w:rPr>
                <w:rFonts w:hint="eastAsia"/>
                <w:color w:val="auto"/>
                <w:sz w:val="22"/>
                <w:szCs w:val="22"/>
                <w:highlight w:val="none"/>
                <w:lang w:val="en-US" w:eastAsia="zh-CN"/>
              </w:rPr>
              <w:t>问题解答全面</w:t>
            </w:r>
            <w:r>
              <w:rPr>
                <w:rFonts w:hint="eastAsia"/>
                <w:color w:val="auto"/>
                <w:sz w:val="22"/>
                <w:szCs w:val="22"/>
                <w:highlight w:val="none"/>
                <w:lang w:eastAsia="zh-CN"/>
              </w:rPr>
              <w:t>，答案对本工程特点针对性强</w:t>
            </w:r>
            <w:r>
              <w:rPr>
                <w:rFonts w:hint="eastAsia"/>
                <w:color w:val="auto"/>
                <w:sz w:val="22"/>
                <w:szCs w:val="22"/>
                <w:highlight w:val="none"/>
                <w:lang w:val="en-US" w:eastAsia="zh-CN"/>
              </w:rPr>
              <w:t>，得5分。</w:t>
            </w:r>
          </w:p>
          <w:p w14:paraId="5FF7F74E">
            <w:pPr>
              <w:rPr>
                <w:rFonts w:hint="eastAsia" w:ascii="宋体" w:hAnsi="宋体" w:cs="宋体"/>
                <w:color w:val="auto"/>
                <w:sz w:val="22"/>
                <w:highlight w:val="none"/>
              </w:rPr>
            </w:pPr>
            <w:r>
              <w:rPr>
                <w:rFonts w:hint="eastAsia" w:ascii="宋体" w:hAnsi="宋体" w:cs="宋体"/>
                <w:color w:val="auto"/>
                <w:sz w:val="22"/>
                <w:highlight w:val="none"/>
              </w:rPr>
              <w:t>【良】阐述</w:t>
            </w:r>
            <w:r>
              <w:rPr>
                <w:rFonts w:hint="eastAsia" w:ascii="宋体" w:hAnsi="宋体" w:cs="宋体"/>
                <w:color w:val="auto"/>
                <w:sz w:val="22"/>
                <w:highlight w:val="none"/>
                <w:lang w:eastAsia="zh-CN"/>
              </w:rPr>
              <w:t>要点</w:t>
            </w:r>
            <w:r>
              <w:rPr>
                <w:rFonts w:hint="eastAsia" w:ascii="宋体" w:hAnsi="宋体" w:cs="宋体"/>
                <w:color w:val="auto"/>
                <w:sz w:val="22"/>
                <w:highlight w:val="none"/>
              </w:rPr>
              <w:t>条理基本清晰，对本工程特点有针对性，各要点之间关联性较强。基本考虑本工程安全风险控制、质量管理、场地使用及工序衔接转换。</w:t>
            </w:r>
            <w:r>
              <w:rPr>
                <w:rFonts w:hint="eastAsia" w:ascii="宋体" w:hAnsi="宋体" w:cs="宋体"/>
                <w:color w:val="auto"/>
                <w:sz w:val="22"/>
                <w:highlight w:val="none"/>
                <w:lang w:eastAsia="zh-CN"/>
              </w:rPr>
              <w:t>问题解</w:t>
            </w:r>
            <w:r>
              <w:rPr>
                <w:rFonts w:hint="eastAsia" w:ascii="宋体" w:hAnsi="宋体" w:cs="宋体"/>
                <w:color w:val="auto"/>
                <w:sz w:val="22"/>
                <w:highlight w:val="none"/>
              </w:rPr>
              <w:t>答不够全面，答案对本工程特点针对性一般</w:t>
            </w:r>
            <w:r>
              <w:rPr>
                <w:rFonts w:hint="eastAsia"/>
                <w:color w:val="auto"/>
                <w:sz w:val="22"/>
                <w:highlight w:val="none"/>
              </w:rPr>
              <w:t>，得</w:t>
            </w:r>
            <w:r>
              <w:rPr>
                <w:rFonts w:hint="eastAsia"/>
                <w:color w:val="auto"/>
                <w:sz w:val="22"/>
                <w:highlight w:val="none"/>
                <w:lang w:val="en-US" w:eastAsia="zh-CN"/>
              </w:rPr>
              <w:t>3</w:t>
            </w:r>
            <w:r>
              <w:rPr>
                <w:rFonts w:hint="eastAsia"/>
                <w:color w:val="auto"/>
                <w:sz w:val="22"/>
                <w:highlight w:val="none"/>
              </w:rPr>
              <w:t>分。</w:t>
            </w:r>
          </w:p>
          <w:p w14:paraId="72E6771D">
            <w:pPr>
              <w:rPr>
                <w:color w:val="auto"/>
                <w:sz w:val="22"/>
                <w:highlight w:val="none"/>
              </w:rPr>
            </w:pPr>
            <w:r>
              <w:rPr>
                <w:rFonts w:hint="eastAsia" w:ascii="宋体" w:hAnsi="宋体" w:cs="宋体"/>
                <w:color w:val="auto"/>
                <w:sz w:val="22"/>
                <w:highlight w:val="none"/>
              </w:rPr>
              <w:t>【差】达不到优与良的相关答辩要求</w:t>
            </w:r>
            <w:r>
              <w:rPr>
                <w:rFonts w:hint="eastAsia"/>
                <w:color w:val="auto"/>
                <w:sz w:val="22"/>
                <w:highlight w:val="none"/>
              </w:rPr>
              <w:t>，得</w:t>
            </w:r>
            <w:r>
              <w:rPr>
                <w:rFonts w:hint="eastAsia"/>
                <w:color w:val="auto"/>
                <w:sz w:val="22"/>
                <w:highlight w:val="none"/>
                <w:lang w:val="en-US" w:eastAsia="zh-CN"/>
              </w:rPr>
              <w:t>1</w:t>
            </w:r>
            <w:r>
              <w:rPr>
                <w:rFonts w:hint="eastAsia"/>
                <w:color w:val="auto"/>
                <w:sz w:val="22"/>
                <w:highlight w:val="none"/>
              </w:rPr>
              <w:t>分。</w:t>
            </w:r>
          </w:p>
          <w:p w14:paraId="634467C2">
            <w:pPr>
              <w:rPr>
                <w:rFonts w:hint="eastAsia"/>
                <w:color w:val="auto"/>
                <w:sz w:val="22"/>
                <w:highlight w:val="none"/>
              </w:rPr>
            </w:pPr>
            <w:r>
              <w:rPr>
                <w:rFonts w:hint="eastAsia" w:cs="宋体"/>
                <w:color w:val="auto"/>
                <w:sz w:val="22"/>
                <w:highlight w:val="none"/>
                <w:lang w:bidi="zh-TW"/>
              </w:rPr>
              <w:t>注：需提交包含上述</w:t>
            </w:r>
            <w:r>
              <w:rPr>
                <w:rFonts w:hint="eastAsia"/>
                <w:color w:val="auto"/>
                <w:sz w:val="22"/>
                <w:highlight w:val="none"/>
              </w:rPr>
              <w:t>阐述要点</w:t>
            </w:r>
            <w:r>
              <w:rPr>
                <w:rFonts w:hint="eastAsia" w:cs="宋体"/>
                <w:color w:val="auto"/>
                <w:sz w:val="22"/>
                <w:highlight w:val="none"/>
                <w:lang w:bidi="zh-TW"/>
              </w:rPr>
              <w:t>要求，</w:t>
            </w:r>
            <w:r>
              <w:rPr>
                <w:rFonts w:hint="eastAsia" w:ascii="宋体" w:hAnsi="宋体" w:cs="宋体"/>
                <w:color w:val="auto"/>
                <w:sz w:val="22"/>
                <w:highlight w:val="none"/>
                <w:lang w:val="zh-TW" w:eastAsia="zh-TW" w:bidi="zh-TW"/>
              </w:rPr>
              <w:t>提炼总体字数</w:t>
            </w:r>
            <w:r>
              <w:rPr>
                <w:rFonts w:ascii="宋体" w:hAnsi="宋体" w:cs="宋体"/>
                <w:color w:val="auto"/>
                <w:sz w:val="22"/>
                <w:highlight w:val="none"/>
                <w:lang w:val="zh-TW" w:eastAsia="zh-TW" w:bidi="zh-TW"/>
              </w:rPr>
              <w:t>800-1000</w:t>
            </w:r>
            <w:r>
              <w:rPr>
                <w:rFonts w:hint="eastAsia" w:ascii="宋体" w:hAnsi="宋体" w:cs="宋体"/>
                <w:color w:val="auto"/>
                <w:sz w:val="22"/>
                <w:highlight w:val="none"/>
                <w:lang w:val="zh-TW" w:eastAsia="zh-TW" w:bidi="zh-TW"/>
              </w:rPr>
              <w:t>字之内的摘要。</w:t>
            </w:r>
          </w:p>
        </w:tc>
      </w:tr>
      <w:tr w14:paraId="589E67AF">
        <w:tblPrEx>
          <w:tblCellMar>
            <w:top w:w="0" w:type="dxa"/>
            <w:left w:w="108" w:type="dxa"/>
            <w:bottom w:w="0" w:type="dxa"/>
            <w:right w:w="108" w:type="dxa"/>
          </w:tblCellMar>
        </w:tblPrEx>
        <w:trPr>
          <w:trHeight w:val="426"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671E0599">
            <w:pPr>
              <w:widowControl/>
              <w:jc w:val="center"/>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3</w:t>
            </w:r>
          </w:p>
        </w:tc>
        <w:tc>
          <w:tcPr>
            <w:tcW w:w="617" w:type="pct"/>
            <w:vMerge w:val="continue"/>
            <w:tcBorders>
              <w:left w:val="single" w:color="000000" w:sz="4" w:space="0"/>
              <w:right w:val="single" w:color="000000" w:sz="4" w:space="0"/>
            </w:tcBorders>
            <w:noWrap w:val="0"/>
            <w:vAlign w:val="center"/>
          </w:tcPr>
          <w:p w14:paraId="7B8FEA14">
            <w:pPr>
              <w:jc w:val="center"/>
              <w:rPr>
                <w:rFonts w:hint="eastAsia" w:ascii="宋体" w:hAnsi="宋体" w:cs="宋体"/>
                <w:color w:val="auto"/>
                <w:sz w:val="22"/>
                <w:highlight w:val="none"/>
              </w:rPr>
            </w:pPr>
          </w:p>
        </w:tc>
        <w:tc>
          <w:tcPr>
            <w:tcW w:w="600" w:type="pct"/>
            <w:tcBorders>
              <w:top w:val="single" w:color="auto" w:sz="4" w:space="0"/>
              <w:left w:val="single" w:color="auto" w:sz="4" w:space="0"/>
              <w:bottom w:val="single" w:color="auto" w:sz="4" w:space="0"/>
              <w:right w:val="single" w:color="auto" w:sz="4" w:space="0"/>
            </w:tcBorders>
            <w:noWrap w:val="0"/>
            <w:vAlign w:val="center"/>
          </w:tcPr>
          <w:p w14:paraId="15BB49C5">
            <w:pPr>
              <w:pStyle w:val="384"/>
              <w:spacing w:line="240" w:lineRule="auto"/>
              <w:jc w:val="center"/>
              <w:rPr>
                <w:color w:val="auto"/>
                <w:sz w:val="22"/>
                <w:szCs w:val="22"/>
                <w:highlight w:val="none"/>
                <w:lang w:val="en-US" w:eastAsia="zh-CN"/>
              </w:rPr>
            </w:pPr>
            <w:r>
              <w:rPr>
                <w:rFonts w:hint="eastAsia"/>
                <w:color w:val="auto"/>
                <w:sz w:val="22"/>
                <w:szCs w:val="22"/>
                <w:highlight w:val="none"/>
                <w:lang w:val="en-US" w:eastAsia="zh-CN"/>
              </w:rPr>
              <w:t>项目安全负责人答辩</w:t>
            </w:r>
          </w:p>
          <w:p w14:paraId="5CFAE771">
            <w:pPr>
              <w:pStyle w:val="384"/>
              <w:spacing w:line="240" w:lineRule="auto"/>
              <w:jc w:val="center"/>
              <w:rPr>
                <w:rFonts w:hint="eastAsia"/>
                <w:color w:val="auto"/>
                <w:sz w:val="22"/>
                <w:szCs w:val="22"/>
                <w:highlight w:val="none"/>
                <w:lang w:val="en-US" w:eastAsia="zh-CN"/>
              </w:rPr>
            </w:pPr>
            <w:r>
              <w:rPr>
                <w:rFonts w:hint="eastAsia"/>
                <w:color w:val="auto"/>
                <w:sz w:val="22"/>
                <w:szCs w:val="22"/>
                <w:highlight w:val="none"/>
                <w:lang w:val="en-US" w:eastAsia="zh-CN"/>
              </w:rPr>
              <w:t>（3分）</w:t>
            </w:r>
          </w:p>
        </w:tc>
        <w:tc>
          <w:tcPr>
            <w:tcW w:w="3552" w:type="pct"/>
            <w:tcBorders>
              <w:top w:val="single" w:color="auto" w:sz="4" w:space="0"/>
              <w:left w:val="single" w:color="auto" w:sz="4" w:space="0"/>
              <w:bottom w:val="single" w:color="auto" w:sz="4" w:space="0"/>
              <w:right w:val="single" w:color="auto" w:sz="4" w:space="0"/>
            </w:tcBorders>
            <w:noWrap w:val="0"/>
            <w:vAlign w:val="top"/>
          </w:tcPr>
          <w:p w14:paraId="66AC3042">
            <w:pPr>
              <w:rPr>
                <w:rFonts w:hint="eastAsia" w:ascii="宋体" w:hAnsi="宋体" w:eastAsia="宋体" w:cs="宋体"/>
                <w:color w:val="auto"/>
                <w:sz w:val="22"/>
                <w:highlight w:val="none"/>
                <w:lang w:eastAsia="zh-CN"/>
              </w:rPr>
            </w:pPr>
            <w:r>
              <w:rPr>
                <w:rFonts w:hint="eastAsia" w:ascii="宋体" w:hAnsi="宋体" w:cs="宋体"/>
                <w:color w:val="auto"/>
                <w:sz w:val="22"/>
                <w:highlight w:val="none"/>
              </w:rPr>
              <w:t>结合工程经验对现场安全管控的重难点进行阐述，并且要阐述出对现场安全管控要点的管理思路与方法</w:t>
            </w:r>
            <w:r>
              <w:rPr>
                <w:rFonts w:hint="eastAsia" w:ascii="宋体" w:hAnsi="宋体" w:cs="宋体"/>
                <w:color w:val="auto"/>
                <w:sz w:val="22"/>
                <w:highlight w:val="none"/>
                <w:lang w:eastAsia="zh-CN"/>
              </w:rPr>
              <w:t>：</w:t>
            </w:r>
          </w:p>
          <w:p w14:paraId="28D4A73B">
            <w:pPr>
              <w:rPr>
                <w:rFonts w:hint="eastAsia" w:ascii="宋体" w:hAnsi="宋体" w:cs="宋体"/>
                <w:color w:val="auto"/>
                <w:sz w:val="22"/>
                <w:highlight w:val="none"/>
              </w:rPr>
            </w:pPr>
            <w:r>
              <w:rPr>
                <w:rFonts w:hint="eastAsia" w:ascii="宋体" w:hAnsi="宋体" w:cs="宋体"/>
                <w:color w:val="auto"/>
                <w:sz w:val="22"/>
                <w:highlight w:val="none"/>
              </w:rPr>
              <w:t>【</w:t>
            </w:r>
            <w:r>
              <w:rPr>
                <w:rFonts w:hint="eastAsia"/>
                <w:color w:val="auto"/>
                <w:sz w:val="22"/>
                <w:highlight w:val="none"/>
              </w:rPr>
              <w:t>优</w:t>
            </w:r>
            <w:r>
              <w:rPr>
                <w:rFonts w:hint="eastAsia" w:ascii="宋体" w:hAnsi="宋体" w:cs="宋体"/>
                <w:color w:val="auto"/>
                <w:sz w:val="22"/>
                <w:highlight w:val="none"/>
              </w:rPr>
              <w:t>】阐述</w:t>
            </w:r>
            <w:r>
              <w:rPr>
                <w:rFonts w:hint="eastAsia" w:ascii="宋体" w:hAnsi="宋体" w:cs="宋体"/>
                <w:color w:val="auto"/>
                <w:sz w:val="22"/>
                <w:highlight w:val="none"/>
                <w:lang w:eastAsia="zh-CN"/>
              </w:rPr>
              <w:t>要点</w:t>
            </w:r>
            <w:r>
              <w:rPr>
                <w:rFonts w:hint="eastAsia" w:ascii="宋体" w:hAnsi="宋体" w:cs="宋体"/>
                <w:color w:val="auto"/>
                <w:sz w:val="22"/>
                <w:highlight w:val="none"/>
              </w:rPr>
              <w:t>条理清晰，对本工程特点有针对性，场地交叉施工控制到位，各要点之间关联性强。</w:t>
            </w:r>
            <w:r>
              <w:rPr>
                <w:rFonts w:hint="eastAsia"/>
                <w:color w:val="auto"/>
                <w:sz w:val="22"/>
                <w:szCs w:val="22"/>
                <w:highlight w:val="none"/>
                <w:lang w:val="en-US" w:eastAsia="zh-CN"/>
              </w:rPr>
              <w:t>问题解答全面</w:t>
            </w:r>
            <w:r>
              <w:rPr>
                <w:rFonts w:hint="eastAsia"/>
                <w:color w:val="auto"/>
                <w:sz w:val="22"/>
                <w:szCs w:val="22"/>
                <w:highlight w:val="none"/>
                <w:lang w:eastAsia="zh-CN"/>
              </w:rPr>
              <w:t>，</w:t>
            </w:r>
            <w:r>
              <w:rPr>
                <w:rFonts w:hint="eastAsia" w:ascii="宋体" w:hAnsi="宋体" w:cs="宋体"/>
                <w:color w:val="auto"/>
                <w:sz w:val="22"/>
                <w:highlight w:val="none"/>
              </w:rPr>
              <w:t>答案针对性强，得</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分。</w:t>
            </w:r>
          </w:p>
          <w:p w14:paraId="5380B1E4">
            <w:pPr>
              <w:rPr>
                <w:rFonts w:ascii="宋体" w:hAnsi="宋体" w:cs="宋体"/>
                <w:color w:val="auto"/>
                <w:sz w:val="22"/>
                <w:highlight w:val="none"/>
              </w:rPr>
            </w:pPr>
            <w:r>
              <w:rPr>
                <w:rFonts w:hint="eastAsia" w:ascii="宋体" w:hAnsi="宋体" w:cs="宋体"/>
                <w:color w:val="auto"/>
                <w:sz w:val="22"/>
                <w:highlight w:val="none"/>
              </w:rPr>
              <w:t>【良】阐述</w:t>
            </w:r>
            <w:r>
              <w:rPr>
                <w:rFonts w:hint="eastAsia" w:ascii="宋体" w:hAnsi="宋体" w:cs="宋体"/>
                <w:color w:val="auto"/>
                <w:sz w:val="22"/>
                <w:highlight w:val="none"/>
                <w:lang w:eastAsia="zh-CN"/>
              </w:rPr>
              <w:t>要点</w:t>
            </w:r>
            <w:r>
              <w:rPr>
                <w:rFonts w:hint="eastAsia" w:ascii="宋体" w:hAnsi="宋体" w:cs="宋体"/>
                <w:color w:val="auto"/>
                <w:sz w:val="22"/>
                <w:highlight w:val="none"/>
              </w:rPr>
              <w:t>条理基本清晰，对本工程特点有一定针对性，场地交叉施工控制基本到位，各要点之间有关联性。</w:t>
            </w:r>
            <w:r>
              <w:rPr>
                <w:rFonts w:hint="eastAsia" w:ascii="宋体" w:hAnsi="宋体" w:cs="宋体"/>
                <w:color w:val="auto"/>
                <w:sz w:val="22"/>
                <w:highlight w:val="none"/>
                <w:lang w:eastAsia="zh-CN"/>
              </w:rPr>
              <w:t>问题解</w:t>
            </w:r>
            <w:r>
              <w:rPr>
                <w:rFonts w:hint="eastAsia" w:ascii="宋体" w:hAnsi="宋体" w:cs="宋体"/>
                <w:color w:val="auto"/>
                <w:sz w:val="22"/>
                <w:highlight w:val="none"/>
              </w:rPr>
              <w:t>答不够全面，答案对本工程特点有针对性，得</w:t>
            </w:r>
            <w:r>
              <w:rPr>
                <w:rFonts w:hint="eastAsia" w:ascii="宋体" w:hAnsi="宋体" w:cs="宋体"/>
                <w:color w:val="auto"/>
                <w:sz w:val="22"/>
                <w:highlight w:val="none"/>
                <w:lang w:val="en-US" w:eastAsia="zh-CN"/>
              </w:rPr>
              <w:t>2</w:t>
            </w:r>
            <w:r>
              <w:rPr>
                <w:rFonts w:hint="eastAsia"/>
                <w:color w:val="auto"/>
                <w:sz w:val="22"/>
                <w:highlight w:val="none"/>
              </w:rPr>
              <w:t>分</w:t>
            </w:r>
            <w:r>
              <w:rPr>
                <w:rFonts w:hint="eastAsia" w:ascii="宋体" w:hAnsi="宋体" w:cs="宋体"/>
                <w:color w:val="auto"/>
                <w:sz w:val="22"/>
                <w:highlight w:val="none"/>
              </w:rPr>
              <w:t>。</w:t>
            </w:r>
          </w:p>
          <w:p w14:paraId="7F36BCE6">
            <w:pPr>
              <w:pStyle w:val="49"/>
              <w:spacing w:line="240" w:lineRule="auto"/>
              <w:ind w:firstLine="0"/>
              <w:rPr>
                <w:color w:val="auto"/>
                <w:sz w:val="22"/>
                <w:highlight w:val="none"/>
              </w:rPr>
            </w:pPr>
            <w:r>
              <w:rPr>
                <w:rFonts w:hint="eastAsia"/>
                <w:color w:val="auto"/>
                <w:sz w:val="22"/>
                <w:szCs w:val="22"/>
                <w:highlight w:val="none"/>
              </w:rPr>
              <w:t>【差】达不到</w:t>
            </w:r>
            <w:r>
              <w:rPr>
                <w:rFonts w:hint="eastAsia" w:cs="宋体"/>
                <w:color w:val="auto"/>
                <w:sz w:val="22"/>
                <w:highlight w:val="none"/>
              </w:rPr>
              <w:t>优与良</w:t>
            </w:r>
            <w:r>
              <w:rPr>
                <w:rFonts w:hint="eastAsia"/>
                <w:color w:val="auto"/>
                <w:sz w:val="22"/>
                <w:szCs w:val="22"/>
                <w:highlight w:val="none"/>
              </w:rPr>
              <w:t>的相关答辩要求，得</w:t>
            </w:r>
            <w:r>
              <w:rPr>
                <w:rFonts w:hint="eastAsia"/>
                <w:color w:val="auto"/>
                <w:sz w:val="22"/>
                <w:szCs w:val="22"/>
                <w:highlight w:val="none"/>
                <w:lang w:val="en-US" w:eastAsia="zh-CN"/>
              </w:rPr>
              <w:t>1</w:t>
            </w:r>
            <w:r>
              <w:rPr>
                <w:rFonts w:hint="eastAsia"/>
                <w:color w:val="auto"/>
                <w:sz w:val="22"/>
                <w:highlight w:val="none"/>
              </w:rPr>
              <w:t>分。</w:t>
            </w:r>
          </w:p>
          <w:p w14:paraId="64CE2982">
            <w:pPr>
              <w:pStyle w:val="49"/>
              <w:spacing w:line="240" w:lineRule="auto"/>
              <w:ind w:firstLine="0"/>
              <w:rPr>
                <w:rFonts w:hint="eastAsia"/>
                <w:color w:val="auto"/>
                <w:highlight w:val="none"/>
              </w:rPr>
            </w:pPr>
            <w:r>
              <w:rPr>
                <w:rFonts w:hint="eastAsia" w:cs="宋体"/>
                <w:color w:val="auto"/>
                <w:kern w:val="2"/>
                <w:sz w:val="22"/>
                <w:szCs w:val="22"/>
                <w:highlight w:val="none"/>
                <w:lang w:bidi="zh-TW"/>
              </w:rPr>
              <w:t>注：需提交包含上述</w:t>
            </w:r>
            <w:r>
              <w:rPr>
                <w:rFonts w:hint="eastAsia" w:cs="宋体"/>
                <w:color w:val="auto"/>
                <w:sz w:val="22"/>
                <w:highlight w:val="none"/>
              </w:rPr>
              <w:t>现场安全管控的重难点</w:t>
            </w:r>
            <w:r>
              <w:rPr>
                <w:rFonts w:hint="eastAsia" w:cs="宋体"/>
                <w:color w:val="auto"/>
                <w:kern w:val="2"/>
                <w:sz w:val="22"/>
                <w:szCs w:val="22"/>
                <w:highlight w:val="none"/>
                <w:lang w:bidi="zh-TW"/>
              </w:rPr>
              <w:t>要求，提炼</w:t>
            </w:r>
            <w:r>
              <w:rPr>
                <w:rFonts w:hint="eastAsia"/>
                <w:color w:val="auto"/>
                <w:sz w:val="22"/>
                <w:szCs w:val="22"/>
                <w:highlight w:val="none"/>
              </w:rPr>
              <w:t>总体</w:t>
            </w:r>
            <w:r>
              <w:rPr>
                <w:rFonts w:hint="eastAsia" w:cs="宋体"/>
                <w:color w:val="auto"/>
                <w:kern w:val="2"/>
                <w:sz w:val="22"/>
                <w:szCs w:val="22"/>
                <w:highlight w:val="none"/>
                <w:lang w:bidi="zh-TW"/>
              </w:rPr>
              <w:t>字数</w:t>
            </w:r>
            <w:r>
              <w:rPr>
                <w:rFonts w:cs="宋体"/>
                <w:color w:val="auto"/>
                <w:kern w:val="2"/>
                <w:sz w:val="22"/>
                <w:szCs w:val="22"/>
                <w:highlight w:val="none"/>
                <w:lang w:bidi="zh-TW"/>
              </w:rPr>
              <w:t>800-1000</w:t>
            </w:r>
            <w:r>
              <w:rPr>
                <w:rFonts w:hint="eastAsia" w:cs="宋体"/>
                <w:color w:val="auto"/>
                <w:kern w:val="2"/>
                <w:sz w:val="22"/>
                <w:szCs w:val="22"/>
                <w:highlight w:val="none"/>
                <w:lang w:bidi="zh-TW"/>
              </w:rPr>
              <w:t>字</w:t>
            </w:r>
            <w:r>
              <w:rPr>
                <w:rFonts w:hint="eastAsia"/>
                <w:color w:val="auto"/>
                <w:sz w:val="22"/>
                <w:szCs w:val="22"/>
                <w:highlight w:val="none"/>
              </w:rPr>
              <w:t>之内</w:t>
            </w:r>
            <w:r>
              <w:rPr>
                <w:rFonts w:hint="eastAsia" w:cs="宋体"/>
                <w:color w:val="auto"/>
                <w:kern w:val="2"/>
                <w:sz w:val="22"/>
                <w:szCs w:val="22"/>
                <w:highlight w:val="none"/>
                <w:lang w:bidi="zh-TW"/>
              </w:rPr>
              <w:t>的摘要</w:t>
            </w:r>
            <w:r>
              <w:rPr>
                <w:rFonts w:hint="eastAsia"/>
                <w:color w:val="auto"/>
                <w:sz w:val="22"/>
                <w:szCs w:val="22"/>
                <w:highlight w:val="none"/>
              </w:rPr>
              <w:t>。</w:t>
            </w:r>
          </w:p>
        </w:tc>
      </w:tr>
      <w:tr w14:paraId="624A7309">
        <w:tblPrEx>
          <w:tblCellMar>
            <w:top w:w="0" w:type="dxa"/>
            <w:left w:w="108" w:type="dxa"/>
            <w:bottom w:w="0" w:type="dxa"/>
            <w:right w:w="108" w:type="dxa"/>
          </w:tblCellMar>
        </w:tblPrEx>
        <w:trPr>
          <w:trHeight w:val="426" w:hRule="atLeast"/>
        </w:trPr>
        <w:tc>
          <w:tcPr>
            <w:tcW w:w="229" w:type="pct"/>
            <w:tcBorders>
              <w:top w:val="single" w:color="auto" w:sz="4" w:space="0"/>
              <w:left w:val="single" w:color="auto" w:sz="4" w:space="0"/>
              <w:bottom w:val="single" w:color="auto" w:sz="4" w:space="0"/>
              <w:right w:val="single" w:color="auto" w:sz="4" w:space="0"/>
            </w:tcBorders>
            <w:noWrap w:val="0"/>
            <w:vAlign w:val="center"/>
          </w:tcPr>
          <w:p w14:paraId="1AB35B0D">
            <w:pPr>
              <w:widowControl/>
              <w:jc w:val="center"/>
              <w:textAlignment w:val="center"/>
              <w:rPr>
                <w:rFonts w:hint="eastAsia" w:ascii="宋体" w:hAnsi="宋体" w:eastAsia="宋体" w:cs="宋体"/>
                <w:b/>
                <w:bCs/>
                <w:color w:val="auto"/>
                <w:kern w:val="0"/>
                <w:sz w:val="22"/>
                <w:highlight w:val="none"/>
                <w:lang w:val="en-US" w:eastAsia="zh-CN" w:bidi="ar"/>
              </w:rPr>
            </w:pPr>
            <w:r>
              <w:rPr>
                <w:rFonts w:hint="eastAsia" w:ascii="宋体" w:hAnsi="宋体" w:cs="宋体"/>
                <w:b/>
                <w:bCs/>
                <w:color w:val="auto"/>
                <w:kern w:val="0"/>
                <w:sz w:val="22"/>
                <w:highlight w:val="none"/>
                <w:lang w:val="en-US" w:eastAsia="zh-CN" w:bidi="ar"/>
              </w:rPr>
              <w:t>4</w:t>
            </w:r>
          </w:p>
        </w:tc>
        <w:tc>
          <w:tcPr>
            <w:tcW w:w="617" w:type="pct"/>
            <w:vMerge w:val="continue"/>
            <w:tcBorders>
              <w:left w:val="single" w:color="000000" w:sz="4" w:space="0"/>
              <w:bottom w:val="single" w:color="auto" w:sz="4" w:space="0"/>
              <w:right w:val="single" w:color="000000" w:sz="4" w:space="0"/>
            </w:tcBorders>
            <w:noWrap w:val="0"/>
            <w:vAlign w:val="center"/>
          </w:tcPr>
          <w:p w14:paraId="40C4EE0C">
            <w:pPr>
              <w:jc w:val="center"/>
              <w:rPr>
                <w:rFonts w:hint="eastAsia" w:ascii="宋体" w:hAnsi="宋体" w:cs="宋体"/>
                <w:color w:val="auto"/>
                <w:sz w:val="22"/>
                <w:highlight w:val="none"/>
              </w:rPr>
            </w:pPr>
          </w:p>
        </w:tc>
        <w:tc>
          <w:tcPr>
            <w:tcW w:w="600" w:type="pct"/>
            <w:tcBorders>
              <w:top w:val="single" w:color="auto" w:sz="4" w:space="0"/>
              <w:left w:val="single" w:color="auto" w:sz="4" w:space="0"/>
              <w:bottom w:val="single" w:color="auto" w:sz="4" w:space="0"/>
              <w:right w:val="single" w:color="auto" w:sz="4" w:space="0"/>
            </w:tcBorders>
            <w:noWrap w:val="0"/>
            <w:vAlign w:val="center"/>
          </w:tcPr>
          <w:p w14:paraId="2E86A18B">
            <w:pPr>
              <w:pStyle w:val="384"/>
              <w:spacing w:line="240" w:lineRule="auto"/>
              <w:jc w:val="center"/>
              <w:rPr>
                <w:rFonts w:hint="eastAsia" w:eastAsia="宋体"/>
                <w:color w:val="auto"/>
                <w:sz w:val="22"/>
                <w:szCs w:val="22"/>
                <w:highlight w:val="none"/>
                <w:lang w:val="en-US" w:eastAsia="zh-CN"/>
              </w:rPr>
            </w:pPr>
            <w:r>
              <w:rPr>
                <w:rFonts w:hint="eastAsia" w:ascii="宋体" w:hAnsi="宋体" w:cs="宋体"/>
                <w:color w:val="auto"/>
                <w:sz w:val="22"/>
                <w:highlight w:val="none"/>
              </w:rPr>
              <w:t>附加答辩问题</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2分</w:t>
            </w:r>
            <w:r>
              <w:rPr>
                <w:rFonts w:hint="eastAsia" w:ascii="宋体" w:hAnsi="宋体" w:cs="宋体"/>
                <w:color w:val="auto"/>
                <w:sz w:val="22"/>
                <w:highlight w:val="none"/>
                <w:lang w:eastAsia="zh-CN"/>
              </w:rPr>
              <w:t>）</w:t>
            </w:r>
          </w:p>
        </w:tc>
        <w:tc>
          <w:tcPr>
            <w:tcW w:w="3552" w:type="pct"/>
            <w:tcBorders>
              <w:top w:val="single" w:color="auto" w:sz="4" w:space="0"/>
              <w:left w:val="single" w:color="auto" w:sz="4" w:space="0"/>
              <w:bottom w:val="single" w:color="auto" w:sz="4" w:space="0"/>
              <w:right w:val="single" w:color="auto" w:sz="4" w:space="0"/>
            </w:tcBorders>
            <w:noWrap w:val="0"/>
            <w:vAlign w:val="top"/>
          </w:tcPr>
          <w:p w14:paraId="5F953188">
            <w:pPr>
              <w:pStyle w:val="49"/>
              <w:spacing w:line="240" w:lineRule="auto"/>
              <w:ind w:firstLine="0"/>
              <w:rPr>
                <w:rFonts w:hint="eastAsia" w:ascii="宋体" w:hAnsi="宋体" w:cs="宋体"/>
                <w:color w:val="auto"/>
                <w:sz w:val="22"/>
                <w:highlight w:val="none"/>
                <w:lang w:eastAsia="zh-CN"/>
              </w:rPr>
            </w:pPr>
            <w:r>
              <w:rPr>
                <w:rFonts w:hint="eastAsia" w:ascii="宋体" w:hAnsi="宋体" w:cs="宋体"/>
                <w:color w:val="auto"/>
                <w:sz w:val="22"/>
                <w:highlight w:val="none"/>
              </w:rPr>
              <w:t>由评标委员会自定附加1个答辩问题，并保持公平、公正性。</w:t>
            </w:r>
            <w:r>
              <w:rPr>
                <w:rFonts w:hint="eastAsia" w:ascii="宋体" w:hAnsi="宋体" w:cs="宋体"/>
                <w:color w:val="auto"/>
                <w:sz w:val="22"/>
                <w:highlight w:val="none"/>
                <w:lang w:eastAsia="zh-CN"/>
              </w:rPr>
              <w:t>评标委员会根据附加问题指定由哪位负责人（</w:t>
            </w:r>
            <w:r>
              <w:rPr>
                <w:rFonts w:hint="eastAsia"/>
                <w:color w:val="auto"/>
                <w:sz w:val="22"/>
                <w:szCs w:val="22"/>
                <w:highlight w:val="none"/>
                <w:lang w:eastAsia="zh-CN"/>
              </w:rPr>
              <w:t>项目负责人、项目技术负责人、安全负责人</w:t>
            </w:r>
            <w:r>
              <w:rPr>
                <w:rFonts w:hint="eastAsia" w:ascii="宋体" w:hAnsi="宋体" w:cs="宋体"/>
                <w:color w:val="auto"/>
                <w:sz w:val="22"/>
                <w:highlight w:val="none"/>
                <w:lang w:eastAsia="zh-CN"/>
              </w:rPr>
              <w:t>）进行回答，评标委员会综合解答情况给予评分。</w:t>
            </w:r>
          </w:p>
          <w:p w14:paraId="5FC8DA55">
            <w:pPr>
              <w:pStyle w:val="49"/>
              <w:spacing w:line="240" w:lineRule="auto"/>
              <w:ind w:firstLine="0"/>
              <w:rPr>
                <w:rFonts w:hint="eastAsia" w:ascii="宋体" w:hAnsi="宋体" w:eastAsia="宋体" w:cs="宋体"/>
                <w:color w:val="auto"/>
                <w:sz w:val="22"/>
                <w:highlight w:val="none"/>
                <w:lang w:bidi="zh-TW"/>
              </w:rPr>
            </w:pPr>
            <w:r>
              <w:rPr>
                <w:rFonts w:hint="eastAsia" w:ascii="宋体" w:hAnsi="宋体" w:eastAsia="宋体" w:cs="宋体"/>
                <w:color w:val="auto"/>
                <w:sz w:val="22"/>
                <w:szCs w:val="22"/>
                <w:highlight w:val="none"/>
                <w:lang w:val="en-US" w:eastAsia="zh-CN" w:bidi="zh-TW"/>
              </w:rPr>
              <w:t>【优】</w:t>
            </w:r>
            <w:r>
              <w:rPr>
                <w:rFonts w:hint="eastAsia" w:ascii="宋体" w:hAnsi="宋体" w:eastAsia="宋体" w:cs="宋体"/>
                <w:color w:val="auto"/>
                <w:sz w:val="22"/>
                <w:highlight w:val="none"/>
                <w:lang w:bidi="zh-TW"/>
              </w:rPr>
              <w:t>思路清晰、内容</w:t>
            </w:r>
            <w:r>
              <w:rPr>
                <w:rFonts w:hint="eastAsia" w:ascii="宋体" w:hAnsi="宋体" w:eastAsia="宋体" w:cs="宋体"/>
                <w:color w:val="auto"/>
                <w:sz w:val="22"/>
                <w:highlight w:val="none"/>
                <w:lang w:eastAsia="zh-CN" w:bidi="zh-TW"/>
              </w:rPr>
              <w:t>准确、全面。</w:t>
            </w:r>
            <w:r>
              <w:rPr>
                <w:rFonts w:hint="eastAsia" w:ascii="宋体" w:hAnsi="宋体" w:eastAsia="宋体" w:cs="宋体"/>
                <w:color w:val="auto"/>
                <w:sz w:val="22"/>
                <w:szCs w:val="22"/>
                <w:highlight w:val="none"/>
                <w:lang w:val="en-US" w:eastAsia="zh-CN" w:bidi="zh-TW"/>
              </w:rPr>
              <w:t>得2分。</w:t>
            </w:r>
            <w:r>
              <w:rPr>
                <w:rFonts w:hint="eastAsia" w:ascii="宋体" w:hAnsi="宋体" w:eastAsia="宋体" w:cs="宋体"/>
                <w:color w:val="auto"/>
                <w:sz w:val="22"/>
                <w:highlight w:val="none"/>
                <w:lang w:bidi="zh-TW"/>
              </w:rPr>
              <w:t>【良】思路比较清晰、内容</w:t>
            </w:r>
            <w:r>
              <w:rPr>
                <w:rFonts w:hint="eastAsia" w:ascii="宋体" w:hAnsi="宋体" w:eastAsia="宋体" w:cs="宋体"/>
                <w:color w:val="auto"/>
                <w:sz w:val="22"/>
                <w:highlight w:val="none"/>
                <w:lang w:eastAsia="zh-CN" w:bidi="zh-TW"/>
              </w:rPr>
              <w:t>基本准确、不够全面，</w:t>
            </w:r>
            <w:r>
              <w:rPr>
                <w:rFonts w:hint="eastAsia" w:ascii="宋体" w:hAnsi="宋体" w:eastAsia="宋体" w:cs="宋体"/>
                <w:color w:val="auto"/>
                <w:sz w:val="22"/>
                <w:highlight w:val="none"/>
                <w:lang w:bidi="zh-TW"/>
              </w:rPr>
              <w:t>得</w:t>
            </w:r>
            <w:r>
              <w:rPr>
                <w:rFonts w:hint="eastAsia" w:ascii="宋体" w:hAnsi="宋体" w:eastAsia="宋体" w:cs="宋体"/>
                <w:color w:val="auto"/>
                <w:sz w:val="22"/>
                <w:highlight w:val="none"/>
                <w:lang w:val="en-US" w:eastAsia="zh-CN" w:bidi="zh-TW"/>
              </w:rPr>
              <w:t>1</w:t>
            </w:r>
            <w:r>
              <w:rPr>
                <w:rFonts w:hint="eastAsia" w:ascii="宋体" w:hAnsi="宋体" w:eastAsia="宋体" w:cs="宋体"/>
                <w:color w:val="auto"/>
                <w:sz w:val="22"/>
                <w:highlight w:val="none"/>
                <w:lang w:bidi="zh-TW"/>
              </w:rPr>
              <w:t>分。【差】达不到优与良的相关答辩要求，得</w:t>
            </w:r>
            <w:r>
              <w:rPr>
                <w:rFonts w:hint="eastAsia" w:ascii="宋体" w:hAnsi="宋体" w:eastAsia="宋体" w:cs="宋体"/>
                <w:color w:val="auto"/>
                <w:sz w:val="22"/>
                <w:highlight w:val="none"/>
                <w:lang w:val="en-US" w:eastAsia="zh-CN" w:bidi="zh-TW"/>
              </w:rPr>
              <w:t>0.5</w:t>
            </w:r>
            <w:r>
              <w:rPr>
                <w:rFonts w:hint="eastAsia" w:ascii="宋体" w:hAnsi="宋体" w:eastAsia="宋体" w:cs="宋体"/>
                <w:color w:val="auto"/>
                <w:sz w:val="22"/>
                <w:highlight w:val="none"/>
                <w:lang w:bidi="zh-TW"/>
              </w:rPr>
              <w:t>分。</w:t>
            </w:r>
          </w:p>
          <w:p w14:paraId="6BF0FD37">
            <w:pPr>
              <w:pStyle w:val="49"/>
              <w:spacing w:line="240" w:lineRule="auto"/>
              <w:ind w:firstLine="0"/>
              <w:rPr>
                <w:rFonts w:hint="eastAsia" w:ascii="宋体" w:hAnsi="宋体" w:eastAsia="宋体" w:cs="宋体"/>
                <w:color w:val="auto"/>
                <w:sz w:val="22"/>
                <w:highlight w:val="none"/>
                <w:lang w:eastAsia="zh-CN" w:bidi="zh-TW"/>
              </w:rPr>
            </w:pPr>
            <w:r>
              <w:rPr>
                <w:rFonts w:hint="eastAsia" w:ascii="宋体" w:hAnsi="宋体" w:eastAsia="宋体" w:cs="宋体"/>
                <w:color w:val="auto"/>
                <w:sz w:val="22"/>
                <w:highlight w:val="none"/>
                <w:lang w:eastAsia="zh-CN" w:bidi="zh-TW"/>
              </w:rPr>
              <w:t>注：如评标委员会决定不提供附加</w:t>
            </w:r>
            <w:r>
              <w:rPr>
                <w:rFonts w:hint="eastAsia" w:ascii="宋体" w:hAnsi="宋体" w:cs="宋体"/>
                <w:color w:val="auto"/>
                <w:sz w:val="22"/>
                <w:highlight w:val="none"/>
              </w:rPr>
              <w:t>答辩问题</w:t>
            </w:r>
            <w:r>
              <w:rPr>
                <w:rFonts w:hint="eastAsia" w:ascii="宋体" w:hAnsi="宋体" w:cs="宋体"/>
                <w:color w:val="auto"/>
                <w:sz w:val="22"/>
                <w:highlight w:val="none"/>
                <w:lang w:eastAsia="zh-CN"/>
              </w:rPr>
              <w:t>，则该项不得分。</w:t>
            </w:r>
          </w:p>
        </w:tc>
      </w:tr>
    </w:tbl>
    <w:p w14:paraId="63178A72">
      <w:pPr>
        <w:spacing w:line="360" w:lineRule="auto"/>
        <w:rPr>
          <w:rFonts w:hint="eastAsia" w:ascii="宋体" w:hAnsi="宋体"/>
          <w:b/>
          <w:bCs/>
          <w:color w:val="auto"/>
          <w:szCs w:val="21"/>
          <w:highlight w:val="none"/>
        </w:rPr>
      </w:pPr>
      <w:r>
        <w:rPr>
          <w:rFonts w:hint="eastAsia" w:ascii="宋体" w:hAnsi="宋体"/>
          <w:b/>
          <w:bCs/>
          <w:color w:val="auto"/>
          <w:szCs w:val="21"/>
          <w:highlight w:val="none"/>
        </w:rPr>
        <w:t>备注：</w:t>
      </w:r>
    </w:p>
    <w:p w14:paraId="69BF0965">
      <w:pPr>
        <w:spacing w:line="360" w:lineRule="auto"/>
        <w:rPr>
          <w:rFonts w:hint="eastAsia"/>
          <w:b/>
          <w:bCs/>
          <w:color w:val="auto"/>
          <w:highlight w:val="none"/>
          <w:lang w:bidi="zh-TW"/>
        </w:rPr>
      </w:pPr>
      <w:r>
        <w:rPr>
          <w:rFonts w:hint="eastAsia" w:ascii="宋体" w:hAnsi="宋体"/>
          <w:b/>
          <w:bCs/>
          <w:color w:val="auto"/>
          <w:szCs w:val="21"/>
          <w:highlight w:val="none"/>
          <w:lang w:eastAsia="zh-CN"/>
        </w:rPr>
        <w:t>1</w:t>
      </w:r>
      <w:r>
        <w:rPr>
          <w:rFonts w:hint="eastAsia" w:ascii="宋体" w:hAnsi="宋体"/>
          <w:b/>
          <w:bCs/>
          <w:color w:val="auto"/>
          <w:szCs w:val="21"/>
          <w:highlight w:val="none"/>
        </w:rPr>
        <w:t>.投标人得分为各评委评分的算术平均值（若分数出现小数点时，保留小数点后二位，第三位小数四舍五入）。</w:t>
      </w:r>
    </w:p>
    <w:p w14:paraId="3EEB7BDB">
      <w:pPr>
        <w:pStyle w:val="49"/>
        <w:ind w:firstLine="0"/>
        <w:rPr>
          <w:rFonts w:hint="eastAsia" w:cs="宋体"/>
          <w:color w:val="auto"/>
          <w:kern w:val="2"/>
          <w:sz w:val="22"/>
          <w:szCs w:val="22"/>
          <w:highlight w:val="none"/>
        </w:rPr>
      </w:pPr>
      <w:r>
        <w:rPr>
          <w:rFonts w:hint="eastAsia" w:cs="宋体"/>
          <w:b/>
          <w:bCs/>
          <w:color w:val="auto"/>
          <w:kern w:val="2"/>
          <w:sz w:val="22"/>
          <w:szCs w:val="22"/>
          <w:highlight w:val="none"/>
          <w:lang w:eastAsia="zh-CN"/>
        </w:rPr>
        <w:t>2</w:t>
      </w:r>
      <w:r>
        <w:rPr>
          <w:rFonts w:hint="eastAsia" w:cs="宋体"/>
          <w:b/>
          <w:bCs/>
          <w:color w:val="auto"/>
          <w:kern w:val="2"/>
          <w:sz w:val="22"/>
          <w:szCs w:val="22"/>
          <w:highlight w:val="none"/>
        </w:rPr>
        <w:t>.答辩要求</w:t>
      </w:r>
      <w:r>
        <w:rPr>
          <w:rFonts w:hint="eastAsia" w:cs="宋体"/>
          <w:color w:val="auto"/>
          <w:kern w:val="2"/>
          <w:sz w:val="22"/>
          <w:szCs w:val="22"/>
          <w:highlight w:val="none"/>
        </w:rPr>
        <w:t>：</w:t>
      </w:r>
    </w:p>
    <w:p w14:paraId="1C314909">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（1）参与答辩人员（项目负责人、项目技术负责人、安全负责人）须携带证明本人身份的证件原件参加答辩，</w:t>
      </w:r>
      <w:r>
        <w:rPr>
          <w:rFonts w:hint="eastAsia" w:ascii="宋体" w:hAnsi="宋体" w:cs="宋体"/>
          <w:color w:val="auto"/>
          <w:sz w:val="22"/>
          <w:highlight w:val="none"/>
          <w:lang w:val="en-US" w:eastAsia="zh-CN"/>
        </w:rPr>
        <w:t>具体答辩时间在开标后以</w:t>
      </w:r>
      <w:r>
        <w:rPr>
          <w:rFonts w:hint="eastAsia" w:ascii="宋体" w:hAnsi="宋体" w:eastAsia="宋体" w:cs="宋体"/>
          <w:color w:val="auto"/>
          <w:highlight w:val="none"/>
        </w:rPr>
        <w:t>招标人或招标代理通知为准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请</w:t>
      </w:r>
      <w:r>
        <w:rPr>
          <w:rFonts w:hint="eastAsia" w:ascii="宋体" w:hAnsi="宋体" w:cs="宋体"/>
          <w:color w:val="auto"/>
          <w:sz w:val="22"/>
          <w:highlight w:val="none"/>
        </w:rPr>
        <w:t>参与答辩人员</w:t>
      </w:r>
      <w:r>
        <w:rPr>
          <w:rFonts w:hint="eastAsia" w:ascii="宋体" w:hAnsi="宋体" w:cs="宋体"/>
          <w:color w:val="auto"/>
          <w:sz w:val="22"/>
          <w:highlight w:val="none"/>
          <w:lang w:val="en-US" w:eastAsia="zh-CN"/>
        </w:rPr>
        <w:t>按照通知时间</w:t>
      </w:r>
      <w:r>
        <w:rPr>
          <w:rFonts w:hint="eastAsia" w:ascii="宋体" w:hAnsi="宋体" w:cs="宋体"/>
          <w:color w:val="auto"/>
          <w:sz w:val="22"/>
          <w:highlight w:val="none"/>
        </w:rPr>
        <w:t>到达广州公共资源交易中心（广州市天河区天润路333号）等候，如参与答辩的相关人员存在未到场</w:t>
      </w:r>
      <w:r>
        <w:rPr>
          <w:rFonts w:hint="eastAsia" w:ascii="宋体" w:hAnsi="宋体" w:cs="宋体"/>
          <w:color w:val="auto"/>
          <w:sz w:val="22"/>
          <w:highlight w:val="none"/>
          <w:lang w:val="en-US" w:eastAsia="zh-CN"/>
        </w:rPr>
        <w:t>或未</w:t>
      </w:r>
      <w:r>
        <w:rPr>
          <w:rFonts w:hint="eastAsia" w:ascii="宋体" w:hAnsi="宋体" w:cs="宋体"/>
          <w:color w:val="auto"/>
          <w:sz w:val="22"/>
          <w:highlight w:val="none"/>
        </w:rPr>
        <w:t>携带证明本人身份的证件原件参与答辩的情况，则相应答辩分值不得分。投标人参与答辩人员答辩时允许携带稿件和纸笔，但不得携带具有通讯、存储、编程、查询等功能的电子产品（包括但不限于电脑、手机、智能手表、智能手环、智能眼镜等），如发现携带上述电子产品的，答辩不得分。</w:t>
      </w:r>
    </w:p>
    <w:p w14:paraId="104C5E64">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（2）答辩顺序的确定：</w:t>
      </w:r>
    </w:p>
    <w:p w14:paraId="422FDC5D">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1)按照本招标项目《开标记录表</w:t>
      </w:r>
      <w:r>
        <w:rPr>
          <w:rFonts w:hint="eastAsia" w:ascii="宋体" w:hAnsi="宋体" w:cs="宋体"/>
          <w:color w:val="auto"/>
          <w:sz w:val="22"/>
          <w:highlight w:val="none"/>
          <w:lang w:eastAsia="zh-CN"/>
        </w:rPr>
        <w:t>》</w:t>
      </w:r>
      <w:r>
        <w:rPr>
          <w:rFonts w:hint="eastAsia" w:ascii="宋体" w:hAnsi="宋体" w:cs="宋体"/>
          <w:color w:val="auto"/>
          <w:sz w:val="22"/>
          <w:highlight w:val="none"/>
        </w:rPr>
        <w:t>中的序号，由小到大依次排序进行签到答辩，答辩开始前由代理工作人员进行参与答辩人员的身份核验，非投标文件内拟派的项目负责人、项目技术负责人、安全负责人不得参与答辩。</w:t>
      </w:r>
    </w:p>
    <w:p w14:paraId="02629C02">
      <w:pPr>
        <w:spacing w:line="360" w:lineRule="auto"/>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rPr>
        <w:t>2)排号第一的单位按照项目负责人、项目技术负责人、安全负责人的顺序依次进行答辩，第一家单位答辩完成后，排号第二的单位按照项目负责人、项目技术负责人、安全负责人的顺序依次进行答辩，依此类推，如投标人未进入第二阶段则不参与答辩，答辩顺序由后面的序号依次替补而顺延</w:t>
      </w:r>
      <w:r>
        <w:rPr>
          <w:rFonts w:hint="eastAsia" w:ascii="宋体" w:hAnsi="宋体" w:cs="宋体"/>
          <w:color w:val="auto"/>
          <w:sz w:val="22"/>
          <w:highlight w:val="none"/>
          <w:lang w:eastAsia="zh-CN"/>
        </w:rPr>
        <w:t>。</w:t>
      </w:r>
    </w:p>
    <w:p w14:paraId="43AFE0E4">
      <w:pPr>
        <w:spacing w:line="36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（3）答辩每家单位总时间控制在</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分钟内</w:t>
      </w:r>
      <w:r>
        <w:rPr>
          <w:rFonts w:hint="eastAsia" w:ascii="宋体" w:hAnsi="宋体" w:cs="宋体"/>
          <w:color w:val="auto"/>
          <w:sz w:val="22"/>
          <w:highlight w:val="none"/>
          <w:lang w:eastAsia="zh-CN"/>
        </w:rPr>
        <w:t>（其中陈述问题</w:t>
      </w:r>
      <w:r>
        <w:rPr>
          <w:rFonts w:hint="eastAsia" w:ascii="宋体" w:hAnsi="宋体" w:cs="宋体"/>
          <w:color w:val="auto"/>
          <w:sz w:val="22"/>
          <w:highlight w:val="none"/>
          <w:lang w:val="en-US" w:eastAsia="zh-CN"/>
        </w:rPr>
        <w:t>13分钟，</w:t>
      </w:r>
      <w:r>
        <w:rPr>
          <w:rFonts w:hint="eastAsia" w:ascii="宋体" w:hAnsi="宋体" w:cs="宋体"/>
          <w:color w:val="auto"/>
          <w:sz w:val="22"/>
          <w:highlight w:val="none"/>
        </w:rPr>
        <w:t>附加答辩问题</w:t>
      </w:r>
      <w:r>
        <w:rPr>
          <w:rFonts w:hint="eastAsia" w:ascii="宋体" w:hAnsi="宋体" w:cs="宋体"/>
          <w:color w:val="auto"/>
          <w:sz w:val="22"/>
          <w:highlight w:val="none"/>
          <w:lang w:val="en-US" w:eastAsia="zh-CN"/>
        </w:rPr>
        <w:t>2分钟</w:t>
      </w:r>
      <w:r>
        <w:rPr>
          <w:rFonts w:hint="eastAsia" w:ascii="宋体" w:hAnsi="宋体" w:cs="宋体"/>
          <w:color w:val="auto"/>
          <w:sz w:val="22"/>
          <w:highlight w:val="none"/>
          <w:lang w:eastAsia="zh-CN"/>
        </w:rPr>
        <w:t>）</w:t>
      </w:r>
      <w:r>
        <w:rPr>
          <w:rFonts w:hint="eastAsia" w:ascii="宋体" w:hAnsi="宋体" w:cs="宋体"/>
          <w:color w:val="auto"/>
          <w:sz w:val="22"/>
          <w:highlight w:val="none"/>
        </w:rPr>
        <w:t>，投标单位参与答辩的人员根据自身情况合理分配时间。答辩人员先陈述，评委针对答辩内容提问，由答辩人员进行解答。</w:t>
      </w:r>
    </w:p>
    <w:p w14:paraId="1A2E9046">
      <w:pPr>
        <w:widowControl/>
        <w:jc w:val="both"/>
        <w:textAlignment w:val="center"/>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color w:val="auto"/>
          <w:highlight w:val="none"/>
        </w:rPr>
        <w:t>附表</w:t>
      </w:r>
      <w:r>
        <w:rPr>
          <w:rFonts w:hint="eastAsia"/>
          <w:color w:val="auto"/>
          <w:highlight w:val="none"/>
          <w:lang w:val="en-US" w:eastAsia="zh-CN"/>
        </w:rPr>
        <w:t>八</w:t>
      </w:r>
      <w:r>
        <w:rPr>
          <w:rFonts w:hint="eastAsia"/>
          <w:color w:val="auto"/>
          <w:highlight w:val="none"/>
        </w:rPr>
        <w:t xml:space="preserve"> </w:t>
      </w:r>
    </w:p>
    <w:p w14:paraId="2F3C26D1">
      <w:pPr>
        <w:widowControl/>
        <w:jc w:val="center"/>
        <w:textAlignment w:val="center"/>
        <w:rPr>
          <w:rFonts w:hint="eastAsia" w:ascii="宋体" w:hAnsi="宋体" w:eastAsia="宋体" w:cs="宋体"/>
          <w:b/>
          <w:color w:val="auto"/>
          <w:kern w:val="2"/>
          <w:sz w:val="36"/>
          <w:szCs w:val="36"/>
          <w:highlight w:val="none"/>
          <w:lang w:val="en-US" w:eastAsia="zh-CN" w:bidi="ar"/>
        </w:rPr>
      </w:pPr>
      <w:r>
        <w:rPr>
          <w:rFonts w:hint="eastAsia" w:ascii="宋体" w:hAnsi="宋体" w:cs="宋体"/>
          <w:b/>
          <w:color w:val="auto"/>
          <w:kern w:val="2"/>
          <w:sz w:val="36"/>
          <w:szCs w:val="36"/>
          <w:highlight w:val="none"/>
          <w:lang w:bidi="ar"/>
        </w:rPr>
        <w:t>施工组织设计评分</w:t>
      </w:r>
      <w:r>
        <w:rPr>
          <w:rFonts w:hint="eastAsia" w:ascii="宋体" w:hAnsi="宋体" w:cs="宋体"/>
          <w:b/>
          <w:color w:val="auto"/>
          <w:kern w:val="2"/>
          <w:sz w:val="36"/>
          <w:szCs w:val="36"/>
          <w:highlight w:val="none"/>
          <w:lang w:val="en-US" w:eastAsia="zh-CN" w:bidi="ar"/>
        </w:rPr>
        <w:t>表</w:t>
      </w:r>
    </w:p>
    <w:p w14:paraId="6EE494BC">
      <w:pPr>
        <w:spacing w:line="360" w:lineRule="auto"/>
        <w:jc w:val="center"/>
        <w:rPr>
          <w:rFonts w:hint="eastAsia" w:ascii="宋体" w:hAnsi="宋体" w:cs="宋体"/>
          <w:color w:val="auto"/>
          <w:szCs w:val="21"/>
          <w:highlight w:val="none"/>
        </w:rPr>
      </w:pPr>
    </w:p>
    <w:tbl>
      <w:tblPr>
        <w:tblStyle w:val="50"/>
        <w:tblW w:w="4529" w:type="pct"/>
        <w:tblInd w:w="0" w:type="dxa"/>
        <w:tblLayout w:type="autofit"/>
        <w:tblCellMar>
          <w:top w:w="0" w:type="dxa"/>
          <w:left w:w="108" w:type="dxa"/>
          <w:bottom w:w="0" w:type="dxa"/>
          <w:right w:w="108" w:type="dxa"/>
        </w:tblCellMar>
      </w:tblPr>
      <w:tblGrid>
        <w:gridCol w:w="1212"/>
        <w:gridCol w:w="2026"/>
        <w:gridCol w:w="10053"/>
      </w:tblGrid>
      <w:tr w14:paraId="2734A58D">
        <w:tblPrEx>
          <w:tblCellMar>
            <w:top w:w="0" w:type="dxa"/>
            <w:left w:w="108" w:type="dxa"/>
            <w:bottom w:w="0" w:type="dxa"/>
            <w:right w:w="108" w:type="dxa"/>
          </w:tblCellMar>
        </w:tblPrEx>
        <w:trPr>
          <w:trHeight w:val="1031" w:hRule="atLeast"/>
        </w:trPr>
        <w:tc>
          <w:tcPr>
            <w:tcW w:w="456" w:type="pct"/>
            <w:tcBorders>
              <w:top w:val="single" w:color="000000" w:sz="4" w:space="0"/>
              <w:left w:val="single" w:color="000000" w:sz="4" w:space="0"/>
              <w:bottom w:val="single" w:color="000000" w:sz="4" w:space="0"/>
              <w:right w:val="single" w:color="auto" w:sz="4" w:space="0"/>
            </w:tcBorders>
            <w:noWrap w:val="0"/>
            <w:vAlign w:val="center"/>
          </w:tcPr>
          <w:p w14:paraId="26F0131C">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1</w:t>
            </w:r>
          </w:p>
        </w:tc>
        <w:tc>
          <w:tcPr>
            <w:tcW w:w="762" w:type="pct"/>
            <w:tcBorders>
              <w:top w:val="single" w:color="auto" w:sz="4" w:space="0"/>
              <w:left w:val="single" w:color="auto" w:sz="4" w:space="0"/>
              <w:bottom w:val="single" w:color="auto" w:sz="4" w:space="0"/>
              <w:right w:val="single" w:color="auto" w:sz="4" w:space="0"/>
            </w:tcBorders>
            <w:noWrap w:val="0"/>
            <w:vAlign w:val="center"/>
          </w:tcPr>
          <w:p w14:paraId="4EF6A742">
            <w:pPr>
              <w:jc w:val="center"/>
              <w:rPr>
                <w:rFonts w:hint="eastAsia" w:ascii="宋体" w:hAnsi="宋体" w:cs="宋体"/>
                <w:color w:val="auto"/>
                <w:sz w:val="22"/>
                <w:highlight w:val="none"/>
                <w:lang w:val="zh-TW" w:eastAsia="zh-TW" w:bidi="zh-TW"/>
              </w:rPr>
            </w:pPr>
            <w:r>
              <w:rPr>
                <w:rFonts w:hint="eastAsia" w:ascii="宋体" w:hAnsi="宋体" w:cs="宋体"/>
                <w:color w:val="auto"/>
                <w:sz w:val="22"/>
                <w:highlight w:val="none"/>
                <w:lang w:val="zh-TW" w:eastAsia="zh-TW" w:bidi="zh-TW"/>
              </w:rPr>
              <w:t>施工组织方案与技术措施</w:t>
            </w:r>
          </w:p>
          <w:p w14:paraId="12A3C907">
            <w:pPr>
              <w:jc w:val="center"/>
              <w:rPr>
                <w:rFonts w:hint="eastAsia" w:ascii="宋体" w:hAnsi="宋体" w:cs="宋体"/>
                <w:color w:val="auto"/>
                <w:sz w:val="22"/>
                <w:highlight w:val="none"/>
              </w:rPr>
            </w:pPr>
            <w:r>
              <w:rPr>
                <w:rFonts w:hint="eastAsia" w:ascii="宋体" w:hAnsi="宋体" w:cs="宋体"/>
                <w:color w:val="auto"/>
                <w:sz w:val="22"/>
                <w:highlight w:val="none"/>
                <w:lang w:bidi="zh-TW"/>
              </w:rPr>
              <w:t>(</w:t>
            </w:r>
            <w:r>
              <w:rPr>
                <w:rFonts w:hint="eastAsia" w:ascii="宋体" w:hAnsi="宋体" w:cs="宋体"/>
                <w:color w:val="auto"/>
                <w:sz w:val="22"/>
                <w:highlight w:val="none"/>
                <w:lang w:val="en-US" w:eastAsia="zh-CN" w:bidi="zh-TW"/>
              </w:rPr>
              <w:t>1</w:t>
            </w:r>
            <w:r>
              <w:rPr>
                <w:rFonts w:hint="eastAsia" w:ascii="宋体" w:hAnsi="宋体" w:cs="宋体"/>
                <w:color w:val="auto"/>
                <w:sz w:val="22"/>
                <w:highlight w:val="none"/>
                <w:lang w:bidi="zh-TW"/>
              </w:rPr>
              <w:t>分）</w:t>
            </w:r>
          </w:p>
        </w:tc>
        <w:tc>
          <w:tcPr>
            <w:tcW w:w="3781" w:type="pct"/>
            <w:tcBorders>
              <w:top w:val="single" w:color="000000" w:sz="4" w:space="0"/>
              <w:left w:val="single" w:color="auto" w:sz="4" w:space="0"/>
              <w:bottom w:val="single" w:color="000000" w:sz="4" w:space="0"/>
              <w:right w:val="single" w:color="000000" w:sz="4" w:space="0"/>
            </w:tcBorders>
            <w:noWrap w:val="0"/>
            <w:vAlign w:val="center"/>
          </w:tcPr>
          <w:p w14:paraId="2C69A956">
            <w:pPr>
              <w:pStyle w:val="384"/>
              <w:spacing w:line="288" w:lineRule="auto"/>
              <w:jc w:val="left"/>
              <w:rPr>
                <w:rFonts w:hint="eastAsia"/>
                <w:color w:val="auto"/>
                <w:sz w:val="22"/>
                <w:szCs w:val="22"/>
                <w:highlight w:val="none"/>
                <w:lang w:val="en-US" w:eastAsia="zh-CN"/>
              </w:rPr>
            </w:pPr>
            <w:r>
              <w:rPr>
                <w:rFonts w:hint="eastAsia"/>
                <w:color w:val="auto"/>
                <w:sz w:val="22"/>
                <w:szCs w:val="22"/>
                <w:highlight w:val="none"/>
              </w:rPr>
              <w:t>【优】</w:t>
            </w:r>
            <w:r>
              <w:rPr>
                <w:rFonts w:hint="eastAsia"/>
                <w:color w:val="auto"/>
                <w:sz w:val="22"/>
                <w:szCs w:val="22"/>
                <w:highlight w:val="none"/>
                <w:lang w:val="en-US" w:eastAsia="zh-CN"/>
              </w:rPr>
              <w:t>制定了</w:t>
            </w:r>
            <w:r>
              <w:rPr>
                <w:rFonts w:hint="eastAsia"/>
                <w:color w:val="auto"/>
                <w:sz w:val="22"/>
                <w:szCs w:val="22"/>
                <w:highlight w:val="none"/>
              </w:rPr>
              <w:t>施工组织方案及施工方法，</w:t>
            </w:r>
            <w:r>
              <w:rPr>
                <w:rFonts w:hint="eastAsia"/>
                <w:color w:val="auto"/>
                <w:sz w:val="22"/>
                <w:szCs w:val="22"/>
                <w:highlight w:val="none"/>
                <w:lang w:val="en-US" w:eastAsia="zh-CN"/>
              </w:rPr>
              <w:t>并对</w:t>
            </w:r>
            <w:r>
              <w:rPr>
                <w:rFonts w:hint="eastAsia"/>
                <w:color w:val="auto"/>
                <w:sz w:val="22"/>
                <w:szCs w:val="22"/>
                <w:highlight w:val="none"/>
              </w:rPr>
              <w:t>施工关键技术工艺有编制相应技术措施保障工程质量、工期和施工安全生产</w:t>
            </w:r>
            <w:r>
              <w:rPr>
                <w:rFonts w:hint="eastAsia"/>
                <w:color w:val="auto"/>
                <w:sz w:val="22"/>
                <w:szCs w:val="22"/>
                <w:highlight w:val="none"/>
                <w:lang w:val="en-US" w:eastAsia="zh-CN"/>
              </w:rPr>
              <w:t>全部三项</w:t>
            </w:r>
            <w:r>
              <w:rPr>
                <w:rFonts w:hint="eastAsia"/>
                <w:color w:val="auto"/>
                <w:sz w:val="22"/>
                <w:szCs w:val="22"/>
                <w:highlight w:val="none"/>
              </w:rPr>
              <w:t>的，得</w:t>
            </w:r>
            <w:r>
              <w:rPr>
                <w:rFonts w:hint="eastAsia"/>
                <w:color w:val="auto"/>
                <w:sz w:val="22"/>
                <w:szCs w:val="22"/>
                <w:highlight w:val="none"/>
                <w:lang w:val="en-US" w:eastAsia="zh-CN"/>
              </w:rPr>
              <w:t>1</w:t>
            </w:r>
            <w:r>
              <w:rPr>
                <w:rFonts w:hint="eastAsia"/>
                <w:color w:val="auto"/>
                <w:sz w:val="22"/>
                <w:szCs w:val="22"/>
                <w:highlight w:val="none"/>
              </w:rPr>
              <w:t>分。</w:t>
            </w:r>
          </w:p>
          <w:p w14:paraId="056313F6">
            <w:pPr>
              <w:pStyle w:val="384"/>
              <w:spacing w:line="288" w:lineRule="auto"/>
              <w:jc w:val="left"/>
              <w:rPr>
                <w:rFonts w:hint="eastAsia"/>
                <w:color w:val="auto"/>
                <w:sz w:val="22"/>
                <w:szCs w:val="22"/>
                <w:highlight w:val="none"/>
                <w:lang w:eastAsia="zh-CN"/>
              </w:rPr>
            </w:pPr>
            <w:r>
              <w:rPr>
                <w:rFonts w:hint="eastAsia"/>
                <w:color w:val="auto"/>
                <w:sz w:val="22"/>
                <w:szCs w:val="22"/>
                <w:highlight w:val="none"/>
              </w:rPr>
              <w:t>【良】</w:t>
            </w:r>
            <w:r>
              <w:rPr>
                <w:rFonts w:hint="eastAsia"/>
                <w:color w:val="auto"/>
                <w:sz w:val="22"/>
                <w:szCs w:val="22"/>
                <w:highlight w:val="none"/>
                <w:lang w:val="en-US" w:eastAsia="zh-CN"/>
              </w:rPr>
              <w:t>制定了</w:t>
            </w:r>
            <w:r>
              <w:rPr>
                <w:rFonts w:hint="eastAsia"/>
                <w:color w:val="auto"/>
                <w:sz w:val="22"/>
                <w:szCs w:val="22"/>
                <w:highlight w:val="none"/>
              </w:rPr>
              <w:t>施工组织方案及施工方法，</w:t>
            </w:r>
            <w:r>
              <w:rPr>
                <w:rFonts w:hint="eastAsia"/>
                <w:color w:val="auto"/>
                <w:sz w:val="22"/>
                <w:szCs w:val="22"/>
                <w:highlight w:val="none"/>
                <w:lang w:val="en-US" w:eastAsia="zh-CN"/>
              </w:rPr>
              <w:t>并对</w:t>
            </w:r>
            <w:r>
              <w:rPr>
                <w:rFonts w:hint="eastAsia"/>
                <w:color w:val="auto"/>
                <w:sz w:val="22"/>
                <w:szCs w:val="22"/>
                <w:highlight w:val="none"/>
              </w:rPr>
              <w:t>施工关键技术工艺有编制相应技术措施保障工程质量</w:t>
            </w:r>
            <w:r>
              <w:rPr>
                <w:rFonts w:hint="eastAsia"/>
                <w:color w:val="auto"/>
                <w:sz w:val="22"/>
                <w:szCs w:val="22"/>
                <w:highlight w:val="none"/>
                <w:lang w:eastAsia="zh-CN"/>
              </w:rPr>
              <w:t>、</w:t>
            </w:r>
            <w:r>
              <w:rPr>
                <w:rFonts w:hint="eastAsia"/>
                <w:color w:val="auto"/>
                <w:sz w:val="22"/>
                <w:szCs w:val="22"/>
                <w:highlight w:val="none"/>
              </w:rPr>
              <w:t>工期和施工安全生产其中二项的，得</w:t>
            </w:r>
            <w:r>
              <w:rPr>
                <w:rFonts w:hint="eastAsia"/>
                <w:color w:val="auto"/>
                <w:sz w:val="22"/>
                <w:szCs w:val="22"/>
                <w:highlight w:val="none"/>
                <w:lang w:val="en-US" w:eastAsia="zh-CN"/>
              </w:rPr>
              <w:t>0.5分</w:t>
            </w:r>
            <w:r>
              <w:rPr>
                <w:rFonts w:hint="eastAsia"/>
                <w:color w:val="auto"/>
                <w:sz w:val="22"/>
                <w:szCs w:val="22"/>
                <w:highlight w:val="none"/>
              </w:rPr>
              <w:t>。</w:t>
            </w:r>
          </w:p>
          <w:p w14:paraId="63FB048E">
            <w:pPr>
              <w:pStyle w:val="384"/>
              <w:spacing w:line="288" w:lineRule="auto"/>
              <w:jc w:val="left"/>
              <w:rPr>
                <w:rFonts w:hint="eastAsia"/>
                <w:color w:val="auto"/>
                <w:sz w:val="22"/>
                <w:szCs w:val="22"/>
                <w:highlight w:val="none"/>
                <w:lang w:eastAsia="zh-CN"/>
              </w:rPr>
            </w:pPr>
            <w:r>
              <w:rPr>
                <w:rFonts w:hint="eastAsia"/>
                <w:color w:val="auto"/>
                <w:sz w:val="22"/>
                <w:szCs w:val="22"/>
                <w:highlight w:val="none"/>
              </w:rPr>
              <w:t>【中】</w:t>
            </w:r>
            <w:r>
              <w:rPr>
                <w:rFonts w:hint="eastAsia"/>
                <w:color w:val="auto"/>
                <w:sz w:val="22"/>
                <w:szCs w:val="22"/>
                <w:highlight w:val="none"/>
                <w:lang w:val="en-US" w:eastAsia="zh-CN"/>
              </w:rPr>
              <w:t>制定了</w:t>
            </w:r>
            <w:r>
              <w:rPr>
                <w:rFonts w:hint="eastAsia"/>
                <w:color w:val="auto"/>
                <w:sz w:val="22"/>
                <w:szCs w:val="22"/>
                <w:highlight w:val="none"/>
              </w:rPr>
              <w:t>施工组织方案及施工方法，</w:t>
            </w:r>
            <w:r>
              <w:rPr>
                <w:rFonts w:hint="eastAsia"/>
                <w:color w:val="auto"/>
                <w:sz w:val="22"/>
                <w:szCs w:val="22"/>
                <w:highlight w:val="none"/>
                <w:lang w:val="en-US" w:eastAsia="zh-CN"/>
              </w:rPr>
              <w:t>并对</w:t>
            </w:r>
            <w:r>
              <w:rPr>
                <w:rFonts w:hint="eastAsia"/>
                <w:color w:val="auto"/>
                <w:sz w:val="22"/>
                <w:szCs w:val="22"/>
                <w:highlight w:val="none"/>
              </w:rPr>
              <w:t>施工关键技术工艺有编制相应技术措施保障工程质量</w:t>
            </w:r>
            <w:r>
              <w:rPr>
                <w:rFonts w:hint="eastAsia"/>
                <w:color w:val="auto"/>
                <w:sz w:val="22"/>
                <w:szCs w:val="22"/>
                <w:highlight w:val="none"/>
                <w:lang w:eastAsia="zh-CN"/>
              </w:rPr>
              <w:t>、</w:t>
            </w:r>
            <w:r>
              <w:rPr>
                <w:rFonts w:hint="eastAsia"/>
                <w:color w:val="auto"/>
                <w:sz w:val="22"/>
                <w:szCs w:val="22"/>
                <w:highlight w:val="none"/>
              </w:rPr>
              <w:t>工期和施工安全生产其中一项的，得</w:t>
            </w:r>
            <w:r>
              <w:rPr>
                <w:rFonts w:hint="eastAsia"/>
                <w:color w:val="auto"/>
                <w:sz w:val="22"/>
                <w:szCs w:val="22"/>
                <w:highlight w:val="none"/>
                <w:lang w:val="en-US" w:eastAsia="zh-CN"/>
              </w:rPr>
              <w:t>0.3分</w:t>
            </w:r>
            <w:r>
              <w:rPr>
                <w:rFonts w:hint="eastAsia"/>
                <w:color w:val="auto"/>
                <w:sz w:val="22"/>
                <w:szCs w:val="22"/>
                <w:highlight w:val="none"/>
              </w:rPr>
              <w:t>。</w:t>
            </w:r>
          </w:p>
          <w:p w14:paraId="625D28E5">
            <w:pPr>
              <w:pStyle w:val="384"/>
              <w:spacing w:line="288" w:lineRule="auto"/>
              <w:jc w:val="left"/>
              <w:rPr>
                <w:rFonts w:hint="eastAsia"/>
                <w:color w:val="auto"/>
                <w:sz w:val="22"/>
                <w:szCs w:val="22"/>
                <w:highlight w:val="none"/>
                <w:lang w:val="en-US" w:eastAsia="zh-CN"/>
              </w:rPr>
            </w:pPr>
            <w:r>
              <w:rPr>
                <w:rFonts w:hint="eastAsia"/>
                <w:color w:val="auto"/>
                <w:sz w:val="22"/>
                <w:szCs w:val="22"/>
                <w:highlight w:val="none"/>
              </w:rPr>
              <w:t>【差】不满足前述要求者，得0分</w:t>
            </w:r>
            <w:r>
              <w:rPr>
                <w:rFonts w:hint="eastAsia"/>
                <w:color w:val="auto"/>
                <w:sz w:val="22"/>
                <w:szCs w:val="22"/>
                <w:highlight w:val="none"/>
                <w:lang w:eastAsia="zh-CN"/>
              </w:rPr>
              <w:t>。</w:t>
            </w:r>
          </w:p>
        </w:tc>
      </w:tr>
      <w:tr w14:paraId="007BA963">
        <w:tblPrEx>
          <w:tblCellMar>
            <w:top w:w="0" w:type="dxa"/>
            <w:left w:w="108" w:type="dxa"/>
            <w:bottom w:w="0" w:type="dxa"/>
            <w:right w:w="108" w:type="dxa"/>
          </w:tblCellMar>
        </w:tblPrEx>
        <w:trPr>
          <w:trHeight w:val="426" w:hRule="atLeast"/>
        </w:trPr>
        <w:tc>
          <w:tcPr>
            <w:tcW w:w="456" w:type="pct"/>
            <w:tcBorders>
              <w:top w:val="single" w:color="000000" w:sz="4" w:space="0"/>
              <w:left w:val="single" w:color="000000" w:sz="4" w:space="0"/>
              <w:bottom w:val="single" w:color="000000" w:sz="4" w:space="0"/>
              <w:right w:val="single" w:color="auto" w:sz="4" w:space="0"/>
            </w:tcBorders>
            <w:noWrap w:val="0"/>
            <w:vAlign w:val="center"/>
          </w:tcPr>
          <w:p w14:paraId="768CC8AE">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2</w:t>
            </w:r>
          </w:p>
        </w:tc>
        <w:tc>
          <w:tcPr>
            <w:tcW w:w="762" w:type="pct"/>
            <w:tcBorders>
              <w:top w:val="single" w:color="auto" w:sz="4" w:space="0"/>
              <w:left w:val="single" w:color="auto" w:sz="4" w:space="0"/>
              <w:bottom w:val="single" w:color="auto" w:sz="4" w:space="0"/>
              <w:right w:val="single" w:color="auto" w:sz="4" w:space="0"/>
            </w:tcBorders>
            <w:noWrap w:val="0"/>
            <w:vAlign w:val="center"/>
          </w:tcPr>
          <w:p w14:paraId="4392B76B">
            <w:pPr>
              <w:jc w:val="center"/>
              <w:rPr>
                <w:rFonts w:hint="eastAsia" w:ascii="宋体" w:hAnsi="宋体" w:cs="宋体"/>
                <w:color w:val="auto"/>
                <w:sz w:val="22"/>
                <w:highlight w:val="none"/>
                <w:lang w:val="zh-TW" w:eastAsia="zh-TW" w:bidi="zh-TW"/>
              </w:rPr>
            </w:pPr>
            <w:r>
              <w:rPr>
                <w:rFonts w:hint="eastAsia" w:ascii="宋体" w:hAnsi="宋体" w:cs="宋体"/>
                <w:color w:val="auto"/>
                <w:sz w:val="22"/>
                <w:highlight w:val="none"/>
                <w:lang w:val="zh-TW" w:eastAsia="zh-TW" w:bidi="zh-TW"/>
              </w:rPr>
              <w:t>绿色节能控制措施</w:t>
            </w:r>
          </w:p>
          <w:p w14:paraId="0F54D56B">
            <w:pPr>
              <w:jc w:val="center"/>
              <w:rPr>
                <w:rFonts w:hint="eastAsia" w:ascii="宋体" w:hAnsi="宋体" w:cs="宋体"/>
                <w:color w:val="auto"/>
                <w:sz w:val="22"/>
                <w:highlight w:val="none"/>
              </w:rPr>
            </w:pPr>
            <w:r>
              <w:rPr>
                <w:rFonts w:hint="eastAsia" w:ascii="宋体" w:hAnsi="宋体" w:cs="宋体"/>
                <w:color w:val="auto"/>
                <w:sz w:val="22"/>
                <w:highlight w:val="none"/>
                <w:lang w:val="zh-TW" w:bidi="zh-TW"/>
              </w:rPr>
              <w:t>（</w:t>
            </w:r>
            <w:r>
              <w:rPr>
                <w:rFonts w:hint="eastAsia" w:ascii="宋体" w:hAnsi="宋体" w:cs="宋体"/>
                <w:color w:val="auto"/>
                <w:sz w:val="22"/>
                <w:highlight w:val="none"/>
                <w:lang w:val="en-US" w:eastAsia="zh-CN" w:bidi="zh-TW"/>
              </w:rPr>
              <w:t>1</w:t>
            </w:r>
            <w:r>
              <w:rPr>
                <w:rFonts w:hint="eastAsia" w:ascii="宋体" w:hAnsi="宋体" w:cs="宋体"/>
                <w:color w:val="auto"/>
                <w:sz w:val="22"/>
                <w:highlight w:val="none"/>
                <w:lang w:bidi="zh-TW"/>
              </w:rPr>
              <w:t>分）</w:t>
            </w:r>
          </w:p>
        </w:tc>
        <w:tc>
          <w:tcPr>
            <w:tcW w:w="3781" w:type="pct"/>
            <w:tcBorders>
              <w:top w:val="single" w:color="000000" w:sz="4" w:space="0"/>
              <w:left w:val="single" w:color="auto" w:sz="4" w:space="0"/>
              <w:bottom w:val="single" w:color="000000" w:sz="4" w:space="0"/>
              <w:right w:val="single" w:color="000000" w:sz="4" w:space="0"/>
            </w:tcBorders>
            <w:noWrap w:val="0"/>
            <w:vAlign w:val="top"/>
          </w:tcPr>
          <w:p w14:paraId="41AFBC51">
            <w:pPr>
              <w:pStyle w:val="384"/>
              <w:spacing w:line="288" w:lineRule="auto"/>
              <w:jc w:val="left"/>
              <w:rPr>
                <w:rFonts w:hint="eastAsia"/>
                <w:color w:val="auto"/>
                <w:kern w:val="0"/>
                <w:sz w:val="22"/>
                <w:szCs w:val="22"/>
                <w:highlight w:val="none"/>
              </w:rPr>
            </w:pPr>
            <w:r>
              <w:rPr>
                <w:rFonts w:hint="eastAsia"/>
                <w:color w:val="auto"/>
                <w:sz w:val="22"/>
                <w:szCs w:val="22"/>
                <w:highlight w:val="none"/>
              </w:rPr>
              <w:t>【优】</w:t>
            </w:r>
            <w:r>
              <w:rPr>
                <w:rFonts w:hint="eastAsia"/>
                <w:color w:val="auto"/>
                <w:sz w:val="22"/>
                <w:szCs w:val="22"/>
                <w:highlight w:val="none"/>
                <w:lang w:val="en-US" w:eastAsia="zh-CN"/>
              </w:rPr>
              <w:t>制定了绿色施工管理体系和绿色文明施工措施，有从施工固体废弃物、施工扬尘、施工废水、噪声对环境的影响4个方面提出防治措施</w:t>
            </w:r>
            <w:r>
              <w:rPr>
                <w:rFonts w:hint="eastAsia"/>
                <w:color w:val="auto"/>
                <w:sz w:val="22"/>
                <w:szCs w:val="22"/>
                <w:highlight w:val="none"/>
              </w:rPr>
              <w:t>，有“节能施工设备应用”方案</w:t>
            </w:r>
            <w:r>
              <w:rPr>
                <w:rFonts w:hint="eastAsia"/>
                <w:color w:val="auto"/>
                <w:sz w:val="22"/>
                <w:szCs w:val="22"/>
                <w:highlight w:val="none"/>
                <w:lang w:val="en-US" w:eastAsia="zh-CN"/>
              </w:rPr>
              <w:t>的</w:t>
            </w:r>
            <w:r>
              <w:rPr>
                <w:rFonts w:hint="eastAsia"/>
                <w:color w:val="auto"/>
                <w:sz w:val="22"/>
                <w:szCs w:val="22"/>
                <w:highlight w:val="none"/>
              </w:rPr>
              <w:t>，有针对本项目范围内树木迁移制定具体措施</w:t>
            </w:r>
            <w:r>
              <w:rPr>
                <w:rFonts w:hint="eastAsia"/>
                <w:color w:val="auto"/>
                <w:sz w:val="22"/>
                <w:szCs w:val="22"/>
                <w:highlight w:val="none"/>
                <w:lang w:eastAsia="zh-CN"/>
              </w:rPr>
              <w:t>，</w:t>
            </w:r>
            <w:r>
              <w:rPr>
                <w:rFonts w:hint="eastAsia"/>
                <w:color w:val="auto"/>
                <w:sz w:val="22"/>
                <w:szCs w:val="22"/>
                <w:highlight w:val="none"/>
              </w:rPr>
              <w:t>得</w:t>
            </w:r>
            <w:r>
              <w:rPr>
                <w:rFonts w:hint="eastAsia"/>
                <w:color w:val="auto"/>
                <w:sz w:val="22"/>
                <w:szCs w:val="22"/>
                <w:highlight w:val="none"/>
                <w:lang w:val="en-US" w:eastAsia="zh-CN"/>
              </w:rPr>
              <w:t>1分</w:t>
            </w:r>
            <w:r>
              <w:rPr>
                <w:rFonts w:hint="eastAsia"/>
                <w:color w:val="auto"/>
                <w:kern w:val="0"/>
                <w:sz w:val="22"/>
                <w:szCs w:val="22"/>
                <w:highlight w:val="none"/>
              </w:rPr>
              <w:t>。</w:t>
            </w:r>
          </w:p>
          <w:p w14:paraId="0AC8B568">
            <w:pPr>
              <w:pStyle w:val="384"/>
              <w:spacing w:line="288" w:lineRule="auto"/>
              <w:jc w:val="left"/>
              <w:rPr>
                <w:rFonts w:hint="eastAsia"/>
                <w:color w:val="auto"/>
                <w:sz w:val="22"/>
                <w:szCs w:val="22"/>
                <w:highlight w:val="none"/>
                <w:lang w:val="en-US"/>
              </w:rPr>
            </w:pPr>
            <w:r>
              <w:rPr>
                <w:rFonts w:hint="eastAsia"/>
                <w:color w:val="auto"/>
                <w:sz w:val="22"/>
                <w:szCs w:val="22"/>
                <w:highlight w:val="none"/>
              </w:rPr>
              <w:t>【良】</w:t>
            </w:r>
            <w:r>
              <w:rPr>
                <w:rFonts w:hint="eastAsia"/>
                <w:color w:val="auto"/>
                <w:sz w:val="22"/>
                <w:szCs w:val="22"/>
                <w:highlight w:val="none"/>
                <w:lang w:val="en-US" w:eastAsia="zh-CN"/>
              </w:rPr>
              <w:t>制定了绿色施工管理体系和绿色文明施工措施，有从施工固体废弃物、施工扬尘、施工废水、噪声对环境的影响其中3个方面提出防治措施</w:t>
            </w:r>
            <w:r>
              <w:rPr>
                <w:rFonts w:hint="eastAsia"/>
                <w:color w:val="auto"/>
                <w:sz w:val="22"/>
                <w:szCs w:val="22"/>
                <w:highlight w:val="none"/>
              </w:rPr>
              <w:t>，有“节能施工设备应用”方案</w:t>
            </w:r>
            <w:r>
              <w:rPr>
                <w:rFonts w:hint="eastAsia"/>
                <w:color w:val="auto"/>
                <w:sz w:val="22"/>
                <w:szCs w:val="22"/>
                <w:highlight w:val="none"/>
                <w:lang w:val="en-US" w:eastAsia="zh-CN"/>
              </w:rPr>
              <w:t>的</w:t>
            </w:r>
            <w:r>
              <w:rPr>
                <w:rFonts w:hint="eastAsia"/>
                <w:color w:val="auto"/>
                <w:sz w:val="22"/>
                <w:szCs w:val="22"/>
                <w:highlight w:val="none"/>
                <w:lang w:eastAsia="zh-CN"/>
              </w:rPr>
              <w:t>，</w:t>
            </w:r>
            <w:r>
              <w:rPr>
                <w:rFonts w:hint="eastAsia"/>
                <w:color w:val="auto"/>
                <w:kern w:val="0"/>
                <w:sz w:val="22"/>
                <w:szCs w:val="22"/>
                <w:highlight w:val="none"/>
              </w:rPr>
              <w:t>得</w:t>
            </w:r>
            <w:r>
              <w:rPr>
                <w:rFonts w:hint="eastAsia"/>
                <w:color w:val="auto"/>
                <w:sz w:val="22"/>
                <w:szCs w:val="22"/>
                <w:highlight w:val="none"/>
                <w:lang w:val="en-US" w:eastAsia="zh-CN"/>
              </w:rPr>
              <w:t>0.5分</w:t>
            </w:r>
            <w:r>
              <w:rPr>
                <w:rFonts w:hint="eastAsia"/>
                <w:color w:val="auto"/>
                <w:kern w:val="0"/>
                <w:sz w:val="22"/>
                <w:szCs w:val="22"/>
                <w:highlight w:val="none"/>
              </w:rPr>
              <w:t>。</w:t>
            </w:r>
          </w:p>
          <w:p w14:paraId="4D2BADA2">
            <w:pPr>
              <w:pStyle w:val="384"/>
              <w:spacing w:line="288" w:lineRule="auto"/>
              <w:jc w:val="left"/>
              <w:rPr>
                <w:rFonts w:hint="eastAsia"/>
                <w:color w:val="auto"/>
                <w:sz w:val="22"/>
                <w:szCs w:val="22"/>
                <w:highlight w:val="none"/>
                <w:lang w:val="en-US"/>
              </w:rPr>
            </w:pPr>
            <w:r>
              <w:rPr>
                <w:rFonts w:hint="eastAsia"/>
                <w:color w:val="auto"/>
                <w:sz w:val="22"/>
                <w:szCs w:val="22"/>
                <w:highlight w:val="none"/>
              </w:rPr>
              <w:t>【中】</w:t>
            </w:r>
            <w:r>
              <w:rPr>
                <w:rFonts w:hint="eastAsia"/>
                <w:color w:val="auto"/>
                <w:sz w:val="22"/>
                <w:szCs w:val="22"/>
                <w:highlight w:val="none"/>
                <w:lang w:val="en-US" w:eastAsia="zh-CN"/>
              </w:rPr>
              <w:t>制定了绿色施工管理体系和绿色文明施工措施，有从施工固体废弃物、施工扬尘、施工废水、噪声对环境的影响其中2个方面提出防治措施</w:t>
            </w:r>
            <w:r>
              <w:rPr>
                <w:rFonts w:hint="eastAsia"/>
                <w:color w:val="auto"/>
                <w:kern w:val="0"/>
                <w:sz w:val="22"/>
                <w:szCs w:val="22"/>
                <w:highlight w:val="none"/>
              </w:rPr>
              <w:t>，得</w:t>
            </w:r>
            <w:r>
              <w:rPr>
                <w:rFonts w:hint="eastAsia"/>
                <w:color w:val="auto"/>
                <w:sz w:val="22"/>
                <w:szCs w:val="22"/>
                <w:highlight w:val="none"/>
                <w:lang w:val="en-US" w:eastAsia="zh-CN"/>
              </w:rPr>
              <w:t>0.3分</w:t>
            </w:r>
            <w:r>
              <w:rPr>
                <w:rFonts w:hint="eastAsia"/>
                <w:color w:val="auto"/>
                <w:kern w:val="0"/>
                <w:sz w:val="22"/>
                <w:szCs w:val="22"/>
                <w:highlight w:val="none"/>
              </w:rPr>
              <w:t>。</w:t>
            </w:r>
          </w:p>
          <w:p w14:paraId="43EB3F22">
            <w:pPr>
              <w:pStyle w:val="384"/>
              <w:spacing w:line="288" w:lineRule="auto"/>
              <w:jc w:val="left"/>
              <w:rPr>
                <w:rFonts w:hint="eastAsia"/>
                <w:color w:val="auto"/>
                <w:sz w:val="22"/>
                <w:szCs w:val="22"/>
                <w:highlight w:val="none"/>
                <w:lang w:eastAsia="zh-CN"/>
              </w:rPr>
            </w:pPr>
            <w:r>
              <w:rPr>
                <w:rFonts w:hint="eastAsia"/>
                <w:color w:val="auto"/>
                <w:sz w:val="22"/>
                <w:szCs w:val="22"/>
                <w:highlight w:val="none"/>
              </w:rPr>
              <w:t>【差】不满足前述要求者，得</w:t>
            </w:r>
            <w:r>
              <w:rPr>
                <w:rFonts w:hint="eastAsia"/>
                <w:color w:val="auto"/>
                <w:sz w:val="22"/>
                <w:szCs w:val="22"/>
                <w:highlight w:val="none"/>
                <w:lang w:val="en-US" w:eastAsia="zh-CN"/>
              </w:rPr>
              <w:t>0</w:t>
            </w:r>
            <w:r>
              <w:rPr>
                <w:rFonts w:hint="eastAsia"/>
                <w:color w:val="auto"/>
                <w:sz w:val="22"/>
                <w:szCs w:val="22"/>
                <w:highlight w:val="none"/>
              </w:rPr>
              <w:t>分。</w:t>
            </w:r>
          </w:p>
        </w:tc>
      </w:tr>
      <w:tr w14:paraId="1C779242">
        <w:tblPrEx>
          <w:tblCellMar>
            <w:top w:w="0" w:type="dxa"/>
            <w:left w:w="108" w:type="dxa"/>
            <w:bottom w:w="0" w:type="dxa"/>
            <w:right w:w="108" w:type="dxa"/>
          </w:tblCellMar>
        </w:tblPrEx>
        <w:trPr>
          <w:trHeight w:val="426" w:hRule="atLeast"/>
        </w:trPr>
        <w:tc>
          <w:tcPr>
            <w:tcW w:w="456" w:type="pct"/>
            <w:tcBorders>
              <w:top w:val="single" w:color="000000" w:sz="4" w:space="0"/>
              <w:left w:val="single" w:color="000000" w:sz="4" w:space="0"/>
              <w:bottom w:val="single" w:color="auto" w:sz="4" w:space="0"/>
              <w:right w:val="single" w:color="auto" w:sz="4" w:space="0"/>
            </w:tcBorders>
            <w:noWrap w:val="0"/>
            <w:vAlign w:val="center"/>
          </w:tcPr>
          <w:p w14:paraId="49064155">
            <w:pPr>
              <w:widowControl/>
              <w:jc w:val="center"/>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3</w:t>
            </w:r>
          </w:p>
        </w:tc>
        <w:tc>
          <w:tcPr>
            <w:tcW w:w="762" w:type="pct"/>
            <w:tcBorders>
              <w:top w:val="single" w:color="auto" w:sz="4" w:space="0"/>
              <w:left w:val="single" w:color="auto" w:sz="4" w:space="0"/>
              <w:bottom w:val="single" w:color="auto" w:sz="4" w:space="0"/>
              <w:right w:val="single" w:color="auto" w:sz="4" w:space="0"/>
            </w:tcBorders>
            <w:noWrap w:val="0"/>
            <w:vAlign w:val="center"/>
          </w:tcPr>
          <w:p w14:paraId="4B653EF6">
            <w:pPr>
              <w:pStyle w:val="384"/>
              <w:spacing w:line="240" w:lineRule="auto"/>
              <w:jc w:val="center"/>
              <w:rPr>
                <w:rFonts w:hint="eastAsia"/>
                <w:color w:val="auto"/>
                <w:sz w:val="22"/>
                <w:szCs w:val="22"/>
                <w:highlight w:val="none"/>
                <w:lang w:val="en-US" w:eastAsia="zh-CN"/>
              </w:rPr>
            </w:pPr>
            <w:r>
              <w:rPr>
                <w:rFonts w:hint="eastAsia"/>
                <w:color w:val="auto"/>
                <w:sz w:val="22"/>
                <w:szCs w:val="22"/>
                <w:highlight w:val="none"/>
                <w:lang w:val="en-US" w:eastAsia="zh-CN"/>
              </w:rPr>
              <w:t>安全文明管理措施</w:t>
            </w:r>
          </w:p>
          <w:p w14:paraId="4466A9CC">
            <w:pPr>
              <w:pStyle w:val="384"/>
              <w:spacing w:line="240" w:lineRule="auto"/>
              <w:jc w:val="center"/>
              <w:rPr>
                <w:rFonts w:hint="eastAsia"/>
                <w:color w:val="auto"/>
                <w:sz w:val="22"/>
                <w:szCs w:val="22"/>
                <w:highlight w:val="none"/>
                <w:lang w:val="en-US" w:eastAsia="zh-CN"/>
              </w:rPr>
            </w:pPr>
            <w:r>
              <w:rPr>
                <w:rFonts w:hint="eastAsia"/>
                <w:color w:val="auto"/>
                <w:sz w:val="22"/>
                <w:szCs w:val="22"/>
                <w:highlight w:val="none"/>
                <w:lang w:val="en-US" w:eastAsia="zh-CN"/>
              </w:rPr>
              <w:t>（1分）</w:t>
            </w:r>
          </w:p>
        </w:tc>
        <w:tc>
          <w:tcPr>
            <w:tcW w:w="3781" w:type="pct"/>
            <w:tcBorders>
              <w:top w:val="single" w:color="000000" w:sz="4" w:space="0"/>
              <w:left w:val="single" w:color="auto" w:sz="4" w:space="0"/>
              <w:bottom w:val="single" w:color="000000" w:sz="4" w:space="0"/>
              <w:right w:val="single" w:color="000000" w:sz="4" w:space="0"/>
            </w:tcBorders>
            <w:noWrap w:val="0"/>
            <w:vAlign w:val="top"/>
          </w:tcPr>
          <w:p w14:paraId="202DF92E">
            <w:pPr>
              <w:pStyle w:val="384"/>
              <w:spacing w:line="288" w:lineRule="auto"/>
              <w:rPr>
                <w:rFonts w:hint="eastAsia"/>
                <w:color w:val="auto"/>
                <w:sz w:val="22"/>
                <w:szCs w:val="22"/>
                <w:highlight w:val="none"/>
              </w:rPr>
            </w:pPr>
            <w:r>
              <w:rPr>
                <w:rFonts w:hint="eastAsia"/>
                <w:color w:val="auto"/>
                <w:sz w:val="22"/>
                <w:szCs w:val="22"/>
                <w:highlight w:val="none"/>
              </w:rPr>
              <w:t>【优】</w:t>
            </w:r>
            <w:r>
              <w:rPr>
                <w:rFonts w:hint="eastAsia"/>
                <w:color w:val="auto"/>
                <w:sz w:val="22"/>
                <w:szCs w:val="22"/>
                <w:highlight w:val="none"/>
                <w:lang w:val="en-US" w:eastAsia="zh-CN"/>
              </w:rPr>
              <w:t>制定了</w:t>
            </w:r>
            <w:r>
              <w:rPr>
                <w:rFonts w:hint="eastAsia"/>
                <w:color w:val="auto"/>
                <w:sz w:val="22"/>
                <w:szCs w:val="22"/>
                <w:highlight w:val="none"/>
              </w:rPr>
              <w:t>安全</w:t>
            </w:r>
            <w:r>
              <w:rPr>
                <w:rFonts w:hint="eastAsia"/>
                <w:color w:val="auto"/>
                <w:sz w:val="22"/>
                <w:szCs w:val="22"/>
                <w:highlight w:val="none"/>
                <w:lang w:val="en-US" w:eastAsia="zh-CN"/>
              </w:rPr>
              <w:t>文明</w:t>
            </w:r>
            <w:r>
              <w:rPr>
                <w:rFonts w:hint="eastAsia"/>
                <w:color w:val="auto"/>
                <w:sz w:val="22"/>
                <w:szCs w:val="22"/>
                <w:highlight w:val="none"/>
              </w:rPr>
              <w:t>施工的保证体系和保证措施</w:t>
            </w:r>
            <w:r>
              <w:rPr>
                <w:rFonts w:hint="eastAsia"/>
                <w:color w:val="auto"/>
                <w:sz w:val="22"/>
                <w:szCs w:val="22"/>
                <w:highlight w:val="none"/>
                <w:lang w:eastAsia="zh-CN"/>
              </w:rPr>
              <w:t>，</w:t>
            </w:r>
            <w:r>
              <w:rPr>
                <w:rFonts w:hint="eastAsia"/>
                <w:color w:val="auto"/>
                <w:sz w:val="22"/>
                <w:szCs w:val="22"/>
                <w:highlight w:val="none"/>
                <w:lang w:val="en-US" w:eastAsia="zh-CN"/>
              </w:rPr>
              <w:t>有从施工管理安全措施控制、施工环境类危害控制、人为因素控制、建筑类危害控制、设备和材料类因素危害控制5个方面提出措施</w:t>
            </w:r>
            <w:r>
              <w:rPr>
                <w:rFonts w:hint="eastAsia"/>
                <w:color w:val="auto"/>
                <w:sz w:val="22"/>
                <w:szCs w:val="22"/>
                <w:highlight w:val="none"/>
                <w:lang w:eastAsia="zh-CN"/>
              </w:rPr>
              <w:t>，安全生产文明施工控制</w:t>
            </w:r>
            <w:r>
              <w:rPr>
                <w:rFonts w:hint="eastAsia"/>
                <w:color w:val="auto"/>
                <w:sz w:val="22"/>
                <w:szCs w:val="22"/>
                <w:highlight w:val="none"/>
              </w:rPr>
              <w:t>目标优于招标文件要求</w:t>
            </w:r>
            <w:r>
              <w:rPr>
                <w:rFonts w:hint="eastAsia"/>
                <w:color w:val="auto"/>
                <w:sz w:val="22"/>
                <w:szCs w:val="22"/>
                <w:highlight w:val="none"/>
                <w:lang w:val="en-US" w:eastAsia="zh-CN"/>
              </w:rPr>
              <w:t>，并承诺获得广东省房屋市政工程安全生产文明施工示范工地奖项</w:t>
            </w:r>
            <w:r>
              <w:rPr>
                <w:rFonts w:hint="eastAsia"/>
                <w:color w:val="auto"/>
                <w:sz w:val="22"/>
                <w:szCs w:val="22"/>
                <w:highlight w:val="none"/>
                <w:lang w:eastAsia="zh-CN"/>
              </w:rPr>
              <w:t>，</w:t>
            </w:r>
            <w:r>
              <w:rPr>
                <w:rFonts w:hint="eastAsia"/>
                <w:color w:val="auto"/>
                <w:sz w:val="22"/>
                <w:szCs w:val="22"/>
                <w:highlight w:val="none"/>
              </w:rPr>
              <w:t>得</w:t>
            </w:r>
            <w:r>
              <w:rPr>
                <w:rFonts w:hint="eastAsia"/>
                <w:color w:val="auto"/>
                <w:sz w:val="22"/>
                <w:szCs w:val="22"/>
                <w:highlight w:val="none"/>
                <w:lang w:val="en-US" w:eastAsia="zh-CN"/>
              </w:rPr>
              <w:t>1分</w:t>
            </w:r>
            <w:r>
              <w:rPr>
                <w:rFonts w:hint="eastAsia"/>
                <w:color w:val="auto"/>
                <w:sz w:val="22"/>
                <w:szCs w:val="22"/>
                <w:highlight w:val="none"/>
              </w:rPr>
              <w:t>。</w:t>
            </w:r>
          </w:p>
          <w:p w14:paraId="73C198F7">
            <w:pPr>
              <w:pStyle w:val="384"/>
              <w:spacing w:line="288" w:lineRule="auto"/>
              <w:rPr>
                <w:rFonts w:hint="eastAsia"/>
                <w:color w:val="auto"/>
                <w:sz w:val="22"/>
                <w:szCs w:val="22"/>
                <w:highlight w:val="none"/>
              </w:rPr>
            </w:pPr>
            <w:r>
              <w:rPr>
                <w:rFonts w:hint="eastAsia"/>
                <w:color w:val="auto"/>
                <w:sz w:val="22"/>
                <w:szCs w:val="22"/>
                <w:highlight w:val="none"/>
              </w:rPr>
              <w:t>【良】</w:t>
            </w:r>
            <w:r>
              <w:rPr>
                <w:rFonts w:hint="eastAsia"/>
                <w:color w:val="auto"/>
                <w:sz w:val="22"/>
                <w:szCs w:val="22"/>
                <w:highlight w:val="none"/>
                <w:lang w:val="en-US" w:eastAsia="zh-CN"/>
              </w:rPr>
              <w:t>制定了</w:t>
            </w:r>
            <w:r>
              <w:rPr>
                <w:rFonts w:hint="eastAsia"/>
                <w:color w:val="auto"/>
                <w:sz w:val="22"/>
                <w:szCs w:val="22"/>
                <w:highlight w:val="none"/>
              </w:rPr>
              <w:t>安全</w:t>
            </w:r>
            <w:r>
              <w:rPr>
                <w:rFonts w:hint="eastAsia"/>
                <w:color w:val="auto"/>
                <w:sz w:val="22"/>
                <w:szCs w:val="22"/>
                <w:highlight w:val="none"/>
                <w:lang w:val="en-US" w:eastAsia="zh-CN"/>
              </w:rPr>
              <w:t>文明</w:t>
            </w:r>
            <w:r>
              <w:rPr>
                <w:rFonts w:hint="eastAsia"/>
                <w:color w:val="auto"/>
                <w:sz w:val="22"/>
                <w:szCs w:val="22"/>
                <w:highlight w:val="none"/>
              </w:rPr>
              <w:t>施工的保证体系和保证措施</w:t>
            </w:r>
            <w:r>
              <w:rPr>
                <w:rFonts w:hint="eastAsia"/>
                <w:color w:val="auto"/>
                <w:sz w:val="22"/>
                <w:szCs w:val="22"/>
                <w:highlight w:val="none"/>
                <w:lang w:eastAsia="zh-CN"/>
              </w:rPr>
              <w:t>，</w:t>
            </w:r>
            <w:r>
              <w:rPr>
                <w:rFonts w:hint="eastAsia"/>
                <w:color w:val="auto"/>
                <w:sz w:val="22"/>
                <w:szCs w:val="22"/>
                <w:highlight w:val="none"/>
                <w:lang w:val="en-US" w:eastAsia="zh-CN"/>
              </w:rPr>
              <w:t>有从施工管理安全措施控制、施工环境类危害控制、人为因素控制、建筑类危害控制、设备和材料类因素危害控制其中4个方面提出措施，</w:t>
            </w:r>
            <w:r>
              <w:rPr>
                <w:rFonts w:hint="eastAsia"/>
                <w:color w:val="auto"/>
                <w:sz w:val="22"/>
                <w:szCs w:val="22"/>
                <w:highlight w:val="none"/>
                <w:lang w:eastAsia="zh-CN"/>
              </w:rPr>
              <w:t>安全生产文明施工控制</w:t>
            </w:r>
            <w:r>
              <w:rPr>
                <w:rFonts w:hint="eastAsia"/>
                <w:color w:val="auto"/>
                <w:sz w:val="22"/>
                <w:szCs w:val="22"/>
                <w:highlight w:val="none"/>
              </w:rPr>
              <w:t>目标优于招标文件要求</w:t>
            </w:r>
            <w:r>
              <w:rPr>
                <w:rFonts w:hint="eastAsia"/>
                <w:color w:val="auto"/>
                <w:sz w:val="22"/>
                <w:szCs w:val="22"/>
                <w:highlight w:val="none"/>
                <w:lang w:val="en-US" w:eastAsia="zh-CN"/>
              </w:rPr>
              <w:t>，并承诺获得广东省房屋市政工程安全生产文明施工示范工地奖项</w:t>
            </w:r>
            <w:r>
              <w:rPr>
                <w:rFonts w:hint="eastAsia"/>
                <w:color w:val="auto"/>
                <w:sz w:val="22"/>
                <w:szCs w:val="22"/>
                <w:highlight w:val="none"/>
              </w:rPr>
              <w:t>，得</w:t>
            </w:r>
            <w:r>
              <w:rPr>
                <w:rFonts w:hint="eastAsia"/>
                <w:color w:val="auto"/>
                <w:sz w:val="22"/>
                <w:szCs w:val="22"/>
                <w:highlight w:val="none"/>
                <w:lang w:val="en-US" w:eastAsia="zh-CN"/>
              </w:rPr>
              <w:t>0.5分</w:t>
            </w:r>
            <w:r>
              <w:rPr>
                <w:rFonts w:hint="eastAsia"/>
                <w:color w:val="auto"/>
                <w:sz w:val="22"/>
                <w:szCs w:val="22"/>
                <w:highlight w:val="none"/>
              </w:rPr>
              <w:t>。</w:t>
            </w:r>
          </w:p>
          <w:p w14:paraId="0DD4AFCC">
            <w:pPr>
              <w:pStyle w:val="384"/>
              <w:spacing w:line="288" w:lineRule="auto"/>
              <w:rPr>
                <w:rFonts w:hint="eastAsia"/>
                <w:color w:val="auto"/>
                <w:sz w:val="22"/>
                <w:szCs w:val="22"/>
                <w:highlight w:val="none"/>
              </w:rPr>
            </w:pPr>
            <w:r>
              <w:rPr>
                <w:rFonts w:hint="eastAsia"/>
                <w:color w:val="auto"/>
                <w:sz w:val="22"/>
                <w:szCs w:val="22"/>
                <w:highlight w:val="none"/>
              </w:rPr>
              <w:t>【中】</w:t>
            </w:r>
            <w:r>
              <w:rPr>
                <w:rFonts w:hint="eastAsia"/>
                <w:color w:val="auto"/>
                <w:sz w:val="22"/>
                <w:szCs w:val="22"/>
                <w:highlight w:val="none"/>
                <w:lang w:val="en-US" w:eastAsia="zh-CN"/>
              </w:rPr>
              <w:t>制定了</w:t>
            </w:r>
            <w:r>
              <w:rPr>
                <w:rFonts w:hint="eastAsia"/>
                <w:color w:val="auto"/>
                <w:sz w:val="22"/>
                <w:szCs w:val="22"/>
                <w:highlight w:val="none"/>
              </w:rPr>
              <w:t>安全</w:t>
            </w:r>
            <w:r>
              <w:rPr>
                <w:rFonts w:hint="eastAsia"/>
                <w:color w:val="auto"/>
                <w:sz w:val="22"/>
                <w:szCs w:val="22"/>
                <w:highlight w:val="none"/>
                <w:lang w:val="en-US" w:eastAsia="zh-CN"/>
              </w:rPr>
              <w:t>文明</w:t>
            </w:r>
            <w:r>
              <w:rPr>
                <w:rFonts w:hint="eastAsia"/>
                <w:color w:val="auto"/>
                <w:sz w:val="22"/>
                <w:szCs w:val="22"/>
                <w:highlight w:val="none"/>
              </w:rPr>
              <w:t>施工的保证体系和保证措施</w:t>
            </w:r>
            <w:r>
              <w:rPr>
                <w:rFonts w:hint="eastAsia"/>
                <w:color w:val="auto"/>
                <w:sz w:val="22"/>
                <w:szCs w:val="22"/>
                <w:highlight w:val="none"/>
                <w:lang w:eastAsia="zh-CN"/>
              </w:rPr>
              <w:t>，</w:t>
            </w:r>
            <w:r>
              <w:rPr>
                <w:rFonts w:hint="eastAsia"/>
                <w:color w:val="auto"/>
                <w:sz w:val="22"/>
                <w:szCs w:val="22"/>
                <w:highlight w:val="none"/>
                <w:lang w:val="en-US" w:eastAsia="zh-CN"/>
              </w:rPr>
              <w:t>有从施工管理安全措施控制、施工环境类危害控制、人为因素控制、建筑类危害控制、设备和材料类因素危害控制其中3个方面提出措施，</w:t>
            </w:r>
            <w:r>
              <w:rPr>
                <w:rFonts w:hint="eastAsia"/>
                <w:color w:val="auto"/>
                <w:sz w:val="22"/>
                <w:szCs w:val="22"/>
                <w:highlight w:val="none"/>
                <w:lang w:eastAsia="zh-CN"/>
              </w:rPr>
              <w:t>安全生产文明施工控制</w:t>
            </w:r>
            <w:r>
              <w:rPr>
                <w:rFonts w:hint="eastAsia"/>
                <w:color w:val="auto"/>
                <w:sz w:val="22"/>
                <w:szCs w:val="22"/>
                <w:highlight w:val="none"/>
              </w:rPr>
              <w:t>目标符合招标文件要求，</w:t>
            </w:r>
            <w:r>
              <w:rPr>
                <w:rFonts w:hint="eastAsia"/>
                <w:color w:val="auto"/>
                <w:sz w:val="22"/>
                <w:szCs w:val="22"/>
                <w:highlight w:val="none"/>
                <w:lang w:val="en-US" w:eastAsia="zh-CN"/>
              </w:rPr>
              <w:t>并承诺获得广东省房屋市政工程安全生产文明施工示范工地奖项，</w:t>
            </w:r>
            <w:r>
              <w:rPr>
                <w:rFonts w:hint="eastAsia"/>
                <w:color w:val="auto"/>
                <w:sz w:val="22"/>
                <w:szCs w:val="22"/>
                <w:highlight w:val="none"/>
              </w:rPr>
              <w:t>得</w:t>
            </w:r>
            <w:r>
              <w:rPr>
                <w:rFonts w:hint="eastAsia"/>
                <w:color w:val="auto"/>
                <w:sz w:val="22"/>
                <w:szCs w:val="22"/>
                <w:highlight w:val="none"/>
                <w:lang w:val="en-US" w:eastAsia="zh-CN"/>
              </w:rPr>
              <w:t>0.3分</w:t>
            </w:r>
            <w:r>
              <w:rPr>
                <w:rFonts w:hint="eastAsia"/>
                <w:color w:val="auto"/>
                <w:sz w:val="22"/>
                <w:szCs w:val="22"/>
                <w:highlight w:val="none"/>
              </w:rPr>
              <w:t>。</w:t>
            </w:r>
          </w:p>
          <w:p w14:paraId="1EC32745">
            <w:pPr>
              <w:pStyle w:val="384"/>
              <w:spacing w:line="288" w:lineRule="auto"/>
              <w:rPr>
                <w:rFonts w:hint="eastAsia"/>
                <w:color w:val="auto"/>
                <w:sz w:val="22"/>
                <w:szCs w:val="22"/>
                <w:highlight w:val="none"/>
              </w:rPr>
            </w:pPr>
            <w:r>
              <w:rPr>
                <w:rFonts w:hint="eastAsia"/>
                <w:color w:val="auto"/>
                <w:sz w:val="22"/>
                <w:szCs w:val="22"/>
                <w:highlight w:val="none"/>
              </w:rPr>
              <w:t>【差】不满足前述要求者，得</w:t>
            </w:r>
            <w:r>
              <w:rPr>
                <w:rFonts w:hint="eastAsia"/>
                <w:color w:val="auto"/>
                <w:sz w:val="22"/>
                <w:szCs w:val="22"/>
                <w:highlight w:val="none"/>
                <w:lang w:val="en-US" w:eastAsia="zh-CN"/>
              </w:rPr>
              <w:t>0分</w:t>
            </w:r>
            <w:r>
              <w:rPr>
                <w:rFonts w:hint="eastAsia"/>
                <w:color w:val="auto"/>
                <w:sz w:val="22"/>
                <w:szCs w:val="22"/>
                <w:highlight w:val="none"/>
              </w:rPr>
              <w:t>。</w:t>
            </w:r>
          </w:p>
          <w:p w14:paraId="0C6AF5F4">
            <w:pPr>
              <w:pStyle w:val="384"/>
              <w:spacing w:line="288" w:lineRule="auto"/>
              <w:rPr>
                <w:rFonts w:hint="eastAsia"/>
                <w:color w:val="auto"/>
                <w:sz w:val="22"/>
                <w:szCs w:val="22"/>
                <w:highlight w:val="none"/>
                <w:lang w:eastAsia="zh-CN"/>
              </w:rPr>
            </w:pPr>
            <w:r>
              <w:rPr>
                <w:rFonts w:hint="eastAsia"/>
                <w:color w:val="auto"/>
                <w:sz w:val="22"/>
                <w:szCs w:val="22"/>
                <w:highlight w:val="none"/>
              </w:rPr>
              <w:t>注：承诺函格式自拟。</w:t>
            </w:r>
          </w:p>
        </w:tc>
      </w:tr>
      <w:tr w14:paraId="358FAC22">
        <w:tblPrEx>
          <w:tblCellMar>
            <w:top w:w="0" w:type="dxa"/>
            <w:left w:w="108" w:type="dxa"/>
            <w:bottom w:w="0" w:type="dxa"/>
            <w:right w:w="108" w:type="dxa"/>
          </w:tblCellMar>
        </w:tblPrEx>
        <w:trPr>
          <w:trHeight w:val="386" w:hRule="atLeast"/>
        </w:trPr>
        <w:tc>
          <w:tcPr>
            <w:tcW w:w="456" w:type="pct"/>
            <w:tcBorders>
              <w:top w:val="single" w:color="auto" w:sz="4" w:space="0"/>
              <w:left w:val="single" w:color="auto" w:sz="4" w:space="0"/>
              <w:bottom w:val="single" w:color="auto" w:sz="4" w:space="0"/>
              <w:right w:val="single" w:color="auto" w:sz="4" w:space="0"/>
            </w:tcBorders>
            <w:noWrap w:val="0"/>
            <w:vAlign w:val="center"/>
          </w:tcPr>
          <w:p w14:paraId="1E263CA9">
            <w:pPr>
              <w:widowControl/>
              <w:jc w:val="center"/>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4</w:t>
            </w:r>
          </w:p>
        </w:tc>
        <w:tc>
          <w:tcPr>
            <w:tcW w:w="762" w:type="pct"/>
            <w:tcBorders>
              <w:top w:val="single" w:color="auto" w:sz="4" w:space="0"/>
              <w:left w:val="single" w:color="auto" w:sz="4" w:space="0"/>
              <w:bottom w:val="single" w:color="auto" w:sz="4" w:space="0"/>
              <w:right w:val="single" w:color="auto" w:sz="4" w:space="0"/>
            </w:tcBorders>
            <w:noWrap w:val="0"/>
            <w:vAlign w:val="center"/>
          </w:tcPr>
          <w:p w14:paraId="7D2CB010">
            <w:pPr>
              <w:pStyle w:val="384"/>
              <w:spacing w:line="240" w:lineRule="auto"/>
              <w:jc w:val="center"/>
              <w:rPr>
                <w:rFonts w:hint="eastAsia"/>
                <w:color w:val="auto"/>
                <w:sz w:val="22"/>
                <w:szCs w:val="22"/>
                <w:highlight w:val="none"/>
              </w:rPr>
            </w:pPr>
            <w:r>
              <w:rPr>
                <w:rFonts w:hint="eastAsia"/>
                <w:color w:val="auto"/>
                <w:sz w:val="22"/>
                <w:szCs w:val="22"/>
                <w:highlight w:val="none"/>
              </w:rPr>
              <w:t>质量控制措施</w:t>
            </w:r>
          </w:p>
          <w:p w14:paraId="3EE61E68">
            <w:pPr>
              <w:pStyle w:val="384"/>
              <w:spacing w:line="240" w:lineRule="auto"/>
              <w:jc w:val="center"/>
              <w:rPr>
                <w:rFonts w:hint="eastAsia"/>
                <w:color w:val="auto"/>
                <w:sz w:val="22"/>
                <w:szCs w:val="22"/>
                <w:highlight w:val="none"/>
                <w:lang w:val="en-US" w:eastAsia="zh-CN"/>
              </w:rPr>
            </w:pPr>
            <w:r>
              <w:rPr>
                <w:rFonts w:hint="eastAsia"/>
                <w:color w:val="auto"/>
                <w:sz w:val="22"/>
                <w:szCs w:val="22"/>
                <w:highlight w:val="none"/>
                <w:lang w:val="en-US" w:eastAsia="zh-CN"/>
              </w:rPr>
              <w:t>（1分）</w:t>
            </w:r>
          </w:p>
        </w:tc>
        <w:tc>
          <w:tcPr>
            <w:tcW w:w="3781" w:type="pct"/>
            <w:tcBorders>
              <w:top w:val="single" w:color="000000" w:sz="4" w:space="0"/>
              <w:left w:val="single" w:color="auto" w:sz="4" w:space="0"/>
              <w:bottom w:val="single" w:color="000000" w:sz="4" w:space="0"/>
              <w:right w:val="single" w:color="000000" w:sz="4" w:space="0"/>
            </w:tcBorders>
            <w:noWrap w:val="0"/>
            <w:vAlign w:val="top"/>
          </w:tcPr>
          <w:p w14:paraId="0C018328">
            <w:pPr>
              <w:pStyle w:val="384"/>
              <w:spacing w:line="288" w:lineRule="auto"/>
              <w:jc w:val="left"/>
              <w:rPr>
                <w:rFonts w:hint="eastAsia" w:ascii="宋体" w:hAnsi="宋体" w:eastAsia="宋体" w:cs="宋体"/>
                <w:color w:val="auto"/>
                <w:sz w:val="22"/>
                <w:szCs w:val="22"/>
                <w:highlight w:val="none"/>
                <w:lang w:eastAsia="zh-CN"/>
              </w:rPr>
            </w:pPr>
            <w:r>
              <w:rPr>
                <w:rFonts w:hint="eastAsia"/>
                <w:color w:val="auto"/>
                <w:sz w:val="22"/>
                <w:szCs w:val="22"/>
                <w:highlight w:val="none"/>
              </w:rPr>
              <w:t>【优】有质量控制措施</w:t>
            </w:r>
            <w:r>
              <w:rPr>
                <w:rFonts w:hint="eastAsia"/>
                <w:color w:val="auto"/>
                <w:sz w:val="22"/>
                <w:szCs w:val="22"/>
                <w:highlight w:val="none"/>
                <w:lang w:eastAsia="zh-CN"/>
              </w:rPr>
              <w:t>，内容有质量目标、质量保证体系、质量保证措施、质量通病预防措施、材料进场检验措施、成品保护措施、质量事故应急预案，并承诺</w:t>
            </w:r>
            <w:r>
              <w:rPr>
                <w:rFonts w:hint="eastAsia" w:ascii="宋体" w:hAnsi="宋体" w:cs="宋体"/>
                <w:color w:val="auto"/>
                <w:sz w:val="22"/>
                <w:szCs w:val="22"/>
                <w:highlight w:val="none"/>
                <w:u w:val="none"/>
                <w:lang w:val="en-US" w:eastAsia="zh-CN"/>
              </w:rPr>
              <w:t>达到</w:t>
            </w:r>
            <w:r>
              <w:rPr>
                <w:rFonts w:hint="eastAsia"/>
                <w:color w:val="auto"/>
                <w:sz w:val="22"/>
                <w:szCs w:val="22"/>
                <w:highlight w:val="none"/>
                <w:u w:val="none"/>
                <w:lang w:eastAsia="zh-CN"/>
              </w:rPr>
              <w:t>广东省建设工程施工质量评价</w:t>
            </w:r>
            <w:r>
              <w:rPr>
                <w:rFonts w:hint="eastAsia"/>
                <w:color w:val="auto"/>
                <w:sz w:val="22"/>
                <w:szCs w:val="22"/>
                <w:highlight w:val="none"/>
                <w:u w:val="none"/>
                <w:lang w:val="en-US" w:eastAsia="zh-CN"/>
              </w:rPr>
              <w:t>标准</w:t>
            </w:r>
            <w:r>
              <w:rPr>
                <w:rFonts w:hint="eastAsia"/>
                <w:color w:val="auto"/>
                <w:sz w:val="22"/>
                <w:szCs w:val="22"/>
                <w:highlight w:val="none"/>
                <w:u w:val="none"/>
                <w:lang w:eastAsia="zh-CN"/>
              </w:rPr>
              <w:t>，</w:t>
            </w:r>
            <w:r>
              <w:rPr>
                <w:rFonts w:hint="eastAsia"/>
                <w:color w:val="auto"/>
                <w:sz w:val="22"/>
                <w:szCs w:val="22"/>
                <w:highlight w:val="none"/>
                <w:u w:val="none"/>
                <w:lang w:val="en-US" w:eastAsia="zh-CN"/>
              </w:rPr>
              <w:t>在</w:t>
            </w:r>
            <w:r>
              <w:rPr>
                <w:rFonts w:hint="eastAsia" w:ascii="宋体" w:hAnsi="宋体" w:cs="宋体"/>
                <w:color w:val="auto"/>
                <w:sz w:val="22"/>
                <w:szCs w:val="22"/>
                <w:highlight w:val="none"/>
                <w:u w:val="none"/>
                <w:lang w:eastAsia="zh-CN"/>
              </w:rPr>
              <w:t>广东省建设工程优质奖</w:t>
            </w:r>
            <w:r>
              <w:rPr>
                <w:rFonts w:hint="eastAsia" w:ascii="宋体" w:hAnsi="宋体" w:cs="宋体"/>
                <w:color w:val="auto"/>
                <w:sz w:val="22"/>
                <w:szCs w:val="22"/>
                <w:highlight w:val="none"/>
                <w:u w:val="none"/>
                <w:lang w:val="en-US" w:eastAsia="zh-CN"/>
              </w:rPr>
              <w:t>恢复评审时</w:t>
            </w:r>
            <w:r>
              <w:rPr>
                <w:rFonts w:hint="eastAsia" w:ascii="宋体" w:hAnsi="宋体" w:cs="宋体"/>
                <w:color w:val="auto"/>
                <w:sz w:val="22"/>
                <w:szCs w:val="22"/>
                <w:highlight w:val="none"/>
                <w:u w:val="none"/>
                <w:lang w:eastAsia="zh-CN"/>
              </w:rPr>
              <w:t>确保获得</w:t>
            </w:r>
            <w:r>
              <w:rPr>
                <w:rFonts w:hint="eastAsia" w:ascii="宋体" w:hAnsi="宋体" w:eastAsia="宋体" w:cs="宋体"/>
                <w:color w:val="auto"/>
                <w:sz w:val="22"/>
                <w:szCs w:val="22"/>
                <w:highlight w:val="none"/>
                <w:lang w:val="en-US" w:eastAsia="zh-CN"/>
              </w:rPr>
              <w:t>广东省级或以上建设工程优质奖</w:t>
            </w:r>
            <w:r>
              <w:rPr>
                <w:rFonts w:hint="eastAsia" w:ascii="宋体" w:hAnsi="宋体" w:eastAsia="宋体" w:cs="宋体"/>
                <w:color w:val="auto"/>
                <w:sz w:val="22"/>
                <w:szCs w:val="22"/>
                <w:highlight w:val="none"/>
                <w:lang w:eastAsia="zh-CN"/>
              </w:rPr>
              <w:t>，得</w:t>
            </w:r>
            <w:r>
              <w:rPr>
                <w:rFonts w:hint="eastAsia" w:ascii="宋体" w:hAnsi="宋体" w:eastAsia="宋体" w:cs="宋体"/>
                <w:color w:val="auto"/>
                <w:sz w:val="22"/>
                <w:szCs w:val="22"/>
                <w:highlight w:val="none"/>
                <w:lang w:val="en-US" w:eastAsia="zh-CN"/>
              </w:rPr>
              <w:t>1分</w:t>
            </w:r>
            <w:r>
              <w:rPr>
                <w:rFonts w:hint="eastAsia" w:ascii="宋体" w:hAnsi="宋体" w:eastAsia="宋体" w:cs="宋体"/>
                <w:color w:val="auto"/>
                <w:sz w:val="22"/>
                <w:szCs w:val="22"/>
                <w:highlight w:val="none"/>
                <w:lang w:eastAsia="zh-CN"/>
              </w:rPr>
              <w:t>。</w:t>
            </w:r>
          </w:p>
          <w:p w14:paraId="24C0AFE1">
            <w:pPr>
              <w:pStyle w:val="384"/>
              <w:spacing w:line="288"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【良】有质量控制措施，内容有质量目标、质量保证体系、质量保证措施、质量通病预防措施、材料进场检验措施、成品保护措施，并承诺</w:t>
            </w:r>
            <w:r>
              <w:rPr>
                <w:rFonts w:hint="eastAsia" w:ascii="宋体" w:hAnsi="宋体" w:cs="宋体"/>
                <w:color w:val="auto"/>
                <w:sz w:val="22"/>
                <w:szCs w:val="22"/>
                <w:highlight w:val="none"/>
                <w:u w:val="none"/>
                <w:lang w:val="en-US" w:eastAsia="zh-CN"/>
              </w:rPr>
              <w:t>达到</w:t>
            </w:r>
            <w:r>
              <w:rPr>
                <w:rFonts w:hint="eastAsia"/>
                <w:color w:val="auto"/>
                <w:sz w:val="22"/>
                <w:szCs w:val="22"/>
                <w:highlight w:val="none"/>
                <w:u w:val="none"/>
                <w:lang w:eastAsia="zh-CN"/>
              </w:rPr>
              <w:t>广东省建设工程施工质量评价</w:t>
            </w:r>
            <w:r>
              <w:rPr>
                <w:rFonts w:hint="eastAsia"/>
                <w:color w:val="auto"/>
                <w:sz w:val="22"/>
                <w:szCs w:val="22"/>
                <w:highlight w:val="none"/>
                <w:u w:val="none"/>
                <w:lang w:val="en-US" w:eastAsia="zh-CN"/>
              </w:rPr>
              <w:t>标准</w:t>
            </w:r>
            <w:r>
              <w:rPr>
                <w:rFonts w:hint="eastAsia"/>
                <w:color w:val="auto"/>
                <w:sz w:val="22"/>
                <w:szCs w:val="22"/>
                <w:highlight w:val="none"/>
                <w:u w:val="none"/>
                <w:lang w:eastAsia="zh-CN"/>
              </w:rPr>
              <w:t>，</w:t>
            </w:r>
            <w:r>
              <w:rPr>
                <w:rFonts w:hint="eastAsia"/>
                <w:color w:val="auto"/>
                <w:sz w:val="22"/>
                <w:szCs w:val="22"/>
                <w:highlight w:val="none"/>
                <w:u w:val="none"/>
                <w:lang w:val="en-US" w:eastAsia="zh-CN"/>
              </w:rPr>
              <w:t>在</w:t>
            </w:r>
            <w:r>
              <w:rPr>
                <w:rFonts w:hint="eastAsia" w:ascii="宋体" w:hAnsi="宋体" w:cs="宋体"/>
                <w:color w:val="auto"/>
                <w:sz w:val="22"/>
                <w:szCs w:val="22"/>
                <w:highlight w:val="none"/>
                <w:u w:val="none"/>
                <w:lang w:eastAsia="zh-CN"/>
              </w:rPr>
              <w:t>广东省建设工程优质奖</w:t>
            </w:r>
            <w:r>
              <w:rPr>
                <w:rFonts w:hint="eastAsia" w:ascii="宋体" w:hAnsi="宋体" w:cs="宋体"/>
                <w:color w:val="auto"/>
                <w:sz w:val="22"/>
                <w:szCs w:val="22"/>
                <w:highlight w:val="none"/>
                <w:u w:val="none"/>
                <w:lang w:val="en-US" w:eastAsia="zh-CN"/>
              </w:rPr>
              <w:t>恢复评审时</w:t>
            </w:r>
            <w:r>
              <w:rPr>
                <w:rFonts w:hint="eastAsia" w:ascii="宋体" w:hAnsi="宋体" w:cs="宋体"/>
                <w:color w:val="auto"/>
                <w:sz w:val="22"/>
                <w:szCs w:val="22"/>
                <w:highlight w:val="none"/>
                <w:u w:val="none"/>
                <w:lang w:eastAsia="zh-CN"/>
              </w:rPr>
              <w:t>确保获得</w:t>
            </w:r>
            <w:r>
              <w:rPr>
                <w:rFonts w:hint="eastAsia" w:ascii="宋体" w:hAnsi="宋体" w:eastAsia="宋体" w:cs="宋体"/>
                <w:color w:val="auto"/>
                <w:sz w:val="22"/>
                <w:szCs w:val="22"/>
                <w:highlight w:val="none"/>
                <w:lang w:val="en-US" w:eastAsia="zh-CN"/>
              </w:rPr>
              <w:t>广东省级或以上建设工程优质奖</w:t>
            </w:r>
            <w:r>
              <w:rPr>
                <w:rFonts w:hint="eastAsia" w:ascii="宋体" w:hAnsi="宋体" w:eastAsia="宋体" w:cs="宋体"/>
                <w:color w:val="auto"/>
                <w:sz w:val="22"/>
                <w:szCs w:val="22"/>
                <w:highlight w:val="none"/>
                <w:lang w:eastAsia="zh-CN"/>
              </w:rPr>
              <w:t>，得</w:t>
            </w:r>
            <w:r>
              <w:rPr>
                <w:rFonts w:hint="eastAsia" w:ascii="宋体" w:hAnsi="宋体" w:eastAsia="宋体" w:cs="宋体"/>
                <w:color w:val="auto"/>
                <w:sz w:val="22"/>
                <w:szCs w:val="22"/>
                <w:highlight w:val="none"/>
                <w:lang w:val="en-US" w:eastAsia="zh-CN"/>
              </w:rPr>
              <w:t>0.5分</w:t>
            </w:r>
            <w:r>
              <w:rPr>
                <w:rFonts w:hint="eastAsia" w:ascii="宋体" w:hAnsi="宋体" w:eastAsia="宋体" w:cs="宋体"/>
                <w:color w:val="auto"/>
                <w:sz w:val="22"/>
                <w:szCs w:val="22"/>
                <w:highlight w:val="none"/>
                <w:lang w:eastAsia="zh-CN"/>
              </w:rPr>
              <w:t>。</w:t>
            </w:r>
          </w:p>
          <w:p w14:paraId="21EA9871">
            <w:pPr>
              <w:pStyle w:val="384"/>
              <w:spacing w:line="288"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【中】有质量控制措施，内容有质量目标、质量保证体系、质量保证措施、质量通病预防措施、材料进场检验措施，并承诺</w:t>
            </w:r>
            <w:r>
              <w:rPr>
                <w:rFonts w:hint="eastAsia" w:ascii="宋体" w:hAnsi="宋体" w:cs="宋体"/>
                <w:color w:val="auto"/>
                <w:sz w:val="22"/>
                <w:szCs w:val="22"/>
                <w:highlight w:val="none"/>
                <w:u w:val="none"/>
                <w:lang w:val="en-US" w:eastAsia="zh-CN"/>
              </w:rPr>
              <w:t>达到</w:t>
            </w:r>
            <w:r>
              <w:rPr>
                <w:rFonts w:hint="eastAsia"/>
                <w:color w:val="auto"/>
                <w:sz w:val="22"/>
                <w:szCs w:val="22"/>
                <w:highlight w:val="none"/>
                <w:u w:val="none"/>
                <w:lang w:eastAsia="zh-CN"/>
              </w:rPr>
              <w:t>广东省建设工程施工质量评价</w:t>
            </w:r>
            <w:r>
              <w:rPr>
                <w:rFonts w:hint="eastAsia"/>
                <w:color w:val="auto"/>
                <w:sz w:val="22"/>
                <w:szCs w:val="22"/>
                <w:highlight w:val="none"/>
                <w:u w:val="none"/>
                <w:lang w:val="en-US" w:eastAsia="zh-CN"/>
              </w:rPr>
              <w:t>标准</w:t>
            </w:r>
            <w:r>
              <w:rPr>
                <w:rFonts w:hint="eastAsia"/>
                <w:color w:val="auto"/>
                <w:sz w:val="22"/>
                <w:szCs w:val="22"/>
                <w:highlight w:val="none"/>
                <w:u w:val="none"/>
                <w:lang w:eastAsia="zh-CN"/>
              </w:rPr>
              <w:t>，</w:t>
            </w:r>
            <w:r>
              <w:rPr>
                <w:rFonts w:hint="eastAsia"/>
                <w:color w:val="auto"/>
                <w:sz w:val="22"/>
                <w:szCs w:val="22"/>
                <w:highlight w:val="none"/>
                <w:u w:val="none"/>
                <w:lang w:val="en-US" w:eastAsia="zh-CN"/>
              </w:rPr>
              <w:t>在</w:t>
            </w:r>
            <w:r>
              <w:rPr>
                <w:rFonts w:hint="eastAsia" w:ascii="宋体" w:hAnsi="宋体" w:cs="宋体"/>
                <w:color w:val="auto"/>
                <w:sz w:val="22"/>
                <w:szCs w:val="22"/>
                <w:highlight w:val="none"/>
                <w:u w:val="none"/>
                <w:lang w:eastAsia="zh-CN"/>
              </w:rPr>
              <w:t>广东省建设工程优质奖</w:t>
            </w:r>
            <w:r>
              <w:rPr>
                <w:rFonts w:hint="eastAsia" w:ascii="宋体" w:hAnsi="宋体" w:cs="宋体"/>
                <w:color w:val="auto"/>
                <w:sz w:val="22"/>
                <w:szCs w:val="22"/>
                <w:highlight w:val="none"/>
                <w:u w:val="none"/>
                <w:lang w:val="en-US" w:eastAsia="zh-CN"/>
              </w:rPr>
              <w:t>恢复评审时</w:t>
            </w:r>
            <w:r>
              <w:rPr>
                <w:rFonts w:hint="eastAsia" w:ascii="宋体" w:hAnsi="宋体" w:cs="宋体"/>
                <w:color w:val="auto"/>
                <w:sz w:val="22"/>
                <w:szCs w:val="22"/>
                <w:highlight w:val="none"/>
                <w:u w:val="none"/>
                <w:lang w:eastAsia="zh-CN"/>
              </w:rPr>
              <w:t>确保获得</w:t>
            </w:r>
            <w:r>
              <w:rPr>
                <w:rFonts w:hint="eastAsia" w:ascii="宋体" w:hAnsi="宋体" w:eastAsia="宋体" w:cs="宋体"/>
                <w:color w:val="auto"/>
                <w:sz w:val="22"/>
                <w:szCs w:val="22"/>
                <w:highlight w:val="none"/>
                <w:lang w:val="en-US" w:eastAsia="zh-CN"/>
              </w:rPr>
              <w:t>广东省级或以上建设工程优质奖</w:t>
            </w:r>
            <w:r>
              <w:rPr>
                <w:rFonts w:hint="eastAsia" w:ascii="宋体" w:hAnsi="宋体" w:eastAsia="宋体" w:cs="宋体"/>
                <w:color w:val="auto"/>
                <w:sz w:val="22"/>
                <w:szCs w:val="22"/>
                <w:highlight w:val="none"/>
                <w:lang w:eastAsia="zh-CN"/>
              </w:rPr>
              <w:t>，得</w:t>
            </w:r>
            <w:r>
              <w:rPr>
                <w:rFonts w:hint="eastAsia" w:ascii="宋体" w:hAnsi="宋体" w:eastAsia="宋体" w:cs="宋体"/>
                <w:color w:val="auto"/>
                <w:sz w:val="22"/>
                <w:szCs w:val="22"/>
                <w:highlight w:val="none"/>
                <w:lang w:val="en-US" w:eastAsia="zh-CN"/>
              </w:rPr>
              <w:t>0.3分</w:t>
            </w:r>
            <w:r>
              <w:rPr>
                <w:rFonts w:hint="eastAsia" w:ascii="宋体" w:hAnsi="宋体" w:eastAsia="宋体" w:cs="宋体"/>
                <w:color w:val="auto"/>
                <w:sz w:val="22"/>
                <w:szCs w:val="22"/>
                <w:highlight w:val="none"/>
                <w:lang w:eastAsia="zh-CN"/>
              </w:rPr>
              <w:t>。</w:t>
            </w:r>
          </w:p>
          <w:p w14:paraId="6867BDDE">
            <w:pPr>
              <w:pStyle w:val="384"/>
              <w:tabs>
                <w:tab w:val="left" w:pos="5650"/>
              </w:tabs>
              <w:spacing w:line="288" w:lineRule="auto"/>
              <w:jc w:val="left"/>
              <w:rPr>
                <w:rFonts w:hint="eastAsia"/>
                <w:color w:val="auto"/>
                <w:sz w:val="22"/>
                <w:szCs w:val="22"/>
                <w:highlight w:val="none"/>
              </w:rPr>
            </w:pPr>
            <w:r>
              <w:rPr>
                <w:rFonts w:hint="eastAsia"/>
                <w:color w:val="auto"/>
                <w:sz w:val="22"/>
                <w:szCs w:val="22"/>
                <w:highlight w:val="none"/>
              </w:rPr>
              <w:t>【差】不满足前述要求者，得</w:t>
            </w:r>
            <w:r>
              <w:rPr>
                <w:rFonts w:hint="eastAsia"/>
                <w:color w:val="auto"/>
                <w:sz w:val="22"/>
                <w:szCs w:val="22"/>
                <w:highlight w:val="none"/>
                <w:lang w:val="en-US" w:eastAsia="zh-CN"/>
              </w:rPr>
              <w:t>0分</w:t>
            </w:r>
            <w:r>
              <w:rPr>
                <w:rFonts w:hint="eastAsia"/>
                <w:color w:val="auto"/>
                <w:sz w:val="22"/>
                <w:szCs w:val="22"/>
                <w:highlight w:val="none"/>
              </w:rPr>
              <w:t>。</w:t>
            </w:r>
          </w:p>
          <w:p w14:paraId="68812620">
            <w:pPr>
              <w:pStyle w:val="384"/>
              <w:tabs>
                <w:tab w:val="left" w:pos="5650"/>
              </w:tabs>
              <w:spacing w:line="288" w:lineRule="auto"/>
              <w:jc w:val="left"/>
              <w:rPr>
                <w:rFonts w:hint="eastAsia"/>
                <w:color w:val="auto"/>
                <w:sz w:val="22"/>
                <w:szCs w:val="22"/>
                <w:highlight w:val="none"/>
                <w:lang w:eastAsia="zh-CN"/>
              </w:rPr>
            </w:pPr>
            <w:r>
              <w:rPr>
                <w:rFonts w:hint="eastAsia"/>
                <w:color w:val="auto"/>
                <w:sz w:val="22"/>
                <w:szCs w:val="22"/>
                <w:highlight w:val="none"/>
              </w:rPr>
              <w:t>注：承诺函格式自拟。</w:t>
            </w:r>
          </w:p>
        </w:tc>
      </w:tr>
      <w:tr w14:paraId="0494477C">
        <w:tblPrEx>
          <w:tblCellMar>
            <w:top w:w="0" w:type="dxa"/>
            <w:left w:w="108" w:type="dxa"/>
            <w:bottom w:w="0" w:type="dxa"/>
            <w:right w:w="108" w:type="dxa"/>
          </w:tblCellMar>
        </w:tblPrEx>
        <w:trPr>
          <w:trHeight w:val="426" w:hRule="atLeast"/>
        </w:trPr>
        <w:tc>
          <w:tcPr>
            <w:tcW w:w="456" w:type="pct"/>
            <w:tcBorders>
              <w:top w:val="single" w:color="auto" w:sz="4" w:space="0"/>
              <w:left w:val="single" w:color="auto" w:sz="4" w:space="0"/>
              <w:bottom w:val="single" w:color="auto" w:sz="4" w:space="0"/>
              <w:right w:val="single" w:color="auto" w:sz="4" w:space="0"/>
            </w:tcBorders>
            <w:noWrap w:val="0"/>
            <w:vAlign w:val="center"/>
          </w:tcPr>
          <w:p w14:paraId="68449E78">
            <w:pPr>
              <w:widowControl/>
              <w:jc w:val="center"/>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5</w:t>
            </w:r>
          </w:p>
        </w:tc>
        <w:tc>
          <w:tcPr>
            <w:tcW w:w="762" w:type="pct"/>
            <w:tcBorders>
              <w:top w:val="single" w:color="auto" w:sz="4" w:space="0"/>
              <w:left w:val="single" w:color="auto" w:sz="4" w:space="0"/>
              <w:bottom w:val="single" w:color="auto" w:sz="4" w:space="0"/>
              <w:right w:val="single" w:color="auto" w:sz="4" w:space="0"/>
            </w:tcBorders>
            <w:noWrap w:val="0"/>
            <w:vAlign w:val="center"/>
          </w:tcPr>
          <w:p w14:paraId="097D87CC">
            <w:pPr>
              <w:pStyle w:val="384"/>
              <w:spacing w:line="240" w:lineRule="auto"/>
              <w:jc w:val="center"/>
              <w:rPr>
                <w:rFonts w:hint="eastAsia"/>
                <w:color w:val="auto"/>
                <w:sz w:val="22"/>
                <w:szCs w:val="22"/>
                <w:highlight w:val="none"/>
              </w:rPr>
            </w:pPr>
            <w:r>
              <w:rPr>
                <w:rFonts w:hint="eastAsia"/>
                <w:color w:val="auto"/>
                <w:sz w:val="22"/>
                <w:szCs w:val="22"/>
                <w:highlight w:val="none"/>
              </w:rPr>
              <w:t>进度控制措施</w:t>
            </w:r>
          </w:p>
          <w:p w14:paraId="26BD55CE">
            <w:pPr>
              <w:pStyle w:val="384"/>
              <w:spacing w:line="240" w:lineRule="auto"/>
              <w:jc w:val="center"/>
              <w:rPr>
                <w:rFonts w:hint="eastAsia"/>
                <w:color w:val="auto"/>
                <w:sz w:val="22"/>
                <w:szCs w:val="22"/>
                <w:highlight w:val="none"/>
              </w:rPr>
            </w:pPr>
            <w:r>
              <w:rPr>
                <w:rFonts w:hint="eastAsia"/>
                <w:color w:val="auto"/>
                <w:sz w:val="22"/>
                <w:szCs w:val="22"/>
                <w:highlight w:val="none"/>
                <w:lang w:val="en-US" w:eastAsia="zh-CN"/>
              </w:rPr>
              <w:t>（1分）</w:t>
            </w:r>
          </w:p>
        </w:tc>
        <w:tc>
          <w:tcPr>
            <w:tcW w:w="3781" w:type="pct"/>
            <w:tcBorders>
              <w:top w:val="single" w:color="000000" w:sz="4" w:space="0"/>
              <w:left w:val="single" w:color="auto" w:sz="4" w:space="0"/>
              <w:bottom w:val="single" w:color="000000" w:sz="4" w:space="0"/>
              <w:right w:val="single" w:color="000000" w:sz="4" w:space="0"/>
            </w:tcBorders>
            <w:noWrap w:val="0"/>
            <w:vAlign w:val="center"/>
          </w:tcPr>
          <w:p w14:paraId="627F0245">
            <w:pPr>
              <w:pStyle w:val="384"/>
              <w:tabs>
                <w:tab w:val="left" w:pos="5650"/>
              </w:tabs>
              <w:spacing w:line="288" w:lineRule="auto"/>
              <w:jc w:val="left"/>
              <w:rPr>
                <w:rFonts w:hint="eastAsia"/>
                <w:color w:val="auto"/>
                <w:sz w:val="22"/>
                <w:szCs w:val="22"/>
                <w:highlight w:val="none"/>
                <w:lang w:eastAsia="zh-CN"/>
              </w:rPr>
            </w:pPr>
            <w:r>
              <w:rPr>
                <w:rFonts w:hint="eastAsia"/>
                <w:color w:val="auto"/>
                <w:sz w:val="22"/>
                <w:szCs w:val="22"/>
                <w:highlight w:val="none"/>
                <w:lang w:eastAsia="zh-CN"/>
              </w:rPr>
              <w:t>【优】制定了施工进度计划并有进度计划保证措施，总工期比招标文件要求提前10天或以上的，得</w:t>
            </w:r>
            <w:r>
              <w:rPr>
                <w:rFonts w:hint="eastAsia"/>
                <w:color w:val="auto"/>
                <w:sz w:val="22"/>
                <w:szCs w:val="22"/>
                <w:highlight w:val="none"/>
                <w:lang w:val="en-US" w:eastAsia="zh-CN"/>
              </w:rPr>
              <w:t>1分</w:t>
            </w:r>
            <w:r>
              <w:rPr>
                <w:rFonts w:hint="eastAsia"/>
                <w:color w:val="auto"/>
                <w:sz w:val="22"/>
                <w:szCs w:val="22"/>
                <w:highlight w:val="none"/>
                <w:lang w:eastAsia="zh-CN"/>
              </w:rPr>
              <w:t>；</w:t>
            </w:r>
          </w:p>
          <w:p w14:paraId="17C17B5C">
            <w:pPr>
              <w:pStyle w:val="384"/>
              <w:tabs>
                <w:tab w:val="left" w:pos="5650"/>
              </w:tabs>
              <w:spacing w:line="288" w:lineRule="auto"/>
              <w:jc w:val="left"/>
              <w:rPr>
                <w:rFonts w:hint="eastAsia"/>
                <w:color w:val="auto"/>
                <w:sz w:val="22"/>
                <w:szCs w:val="22"/>
                <w:highlight w:val="none"/>
                <w:lang w:eastAsia="zh-CN"/>
              </w:rPr>
            </w:pPr>
            <w:r>
              <w:rPr>
                <w:rFonts w:hint="eastAsia"/>
                <w:color w:val="auto"/>
                <w:sz w:val="22"/>
                <w:szCs w:val="22"/>
                <w:highlight w:val="none"/>
                <w:lang w:eastAsia="zh-CN"/>
              </w:rPr>
              <w:t>【良】制定了施工进度计划并有进度计划保证措施，总工期比招标文件要求提前[5-9]天的，得</w:t>
            </w:r>
            <w:r>
              <w:rPr>
                <w:rFonts w:hint="eastAsia"/>
                <w:color w:val="auto"/>
                <w:sz w:val="22"/>
                <w:szCs w:val="22"/>
                <w:highlight w:val="none"/>
                <w:lang w:val="en-US" w:eastAsia="zh-CN"/>
              </w:rPr>
              <w:t>0.5分</w:t>
            </w:r>
            <w:r>
              <w:rPr>
                <w:rFonts w:hint="eastAsia"/>
                <w:color w:val="auto"/>
                <w:sz w:val="22"/>
                <w:szCs w:val="22"/>
                <w:highlight w:val="none"/>
                <w:lang w:eastAsia="zh-CN"/>
              </w:rPr>
              <w:t>。</w:t>
            </w:r>
          </w:p>
          <w:p w14:paraId="105DBA8E">
            <w:pPr>
              <w:pStyle w:val="384"/>
              <w:tabs>
                <w:tab w:val="left" w:pos="5650"/>
              </w:tabs>
              <w:spacing w:line="288" w:lineRule="auto"/>
              <w:jc w:val="left"/>
              <w:rPr>
                <w:rFonts w:hint="eastAsia"/>
                <w:color w:val="auto"/>
                <w:sz w:val="22"/>
                <w:szCs w:val="22"/>
                <w:highlight w:val="none"/>
                <w:lang w:eastAsia="zh-CN"/>
              </w:rPr>
            </w:pPr>
            <w:r>
              <w:rPr>
                <w:rFonts w:hint="eastAsia"/>
                <w:color w:val="auto"/>
                <w:sz w:val="22"/>
                <w:szCs w:val="22"/>
                <w:highlight w:val="none"/>
                <w:lang w:eastAsia="zh-CN"/>
              </w:rPr>
              <w:t>【中】制定了施工进度计划并有进度计划保证措施，总工期比招标文件要求提前[1-4]天的，得</w:t>
            </w:r>
            <w:r>
              <w:rPr>
                <w:rFonts w:hint="eastAsia"/>
                <w:color w:val="auto"/>
                <w:sz w:val="22"/>
                <w:szCs w:val="22"/>
                <w:highlight w:val="none"/>
                <w:lang w:val="en-US" w:eastAsia="zh-CN"/>
              </w:rPr>
              <w:t>0.3分</w:t>
            </w:r>
            <w:r>
              <w:rPr>
                <w:rFonts w:hint="eastAsia"/>
                <w:color w:val="auto"/>
                <w:sz w:val="22"/>
                <w:szCs w:val="22"/>
                <w:highlight w:val="none"/>
                <w:lang w:eastAsia="zh-CN"/>
              </w:rPr>
              <w:t>。</w:t>
            </w:r>
          </w:p>
          <w:p w14:paraId="46D865B7">
            <w:pPr>
              <w:pStyle w:val="384"/>
              <w:tabs>
                <w:tab w:val="left" w:pos="5650"/>
              </w:tabs>
              <w:spacing w:line="288" w:lineRule="auto"/>
              <w:jc w:val="left"/>
              <w:rPr>
                <w:rFonts w:hint="eastAsia"/>
                <w:color w:val="auto"/>
                <w:sz w:val="22"/>
                <w:szCs w:val="22"/>
                <w:highlight w:val="none"/>
              </w:rPr>
            </w:pPr>
            <w:r>
              <w:rPr>
                <w:rFonts w:hint="eastAsia"/>
                <w:color w:val="auto"/>
                <w:sz w:val="22"/>
                <w:szCs w:val="22"/>
                <w:highlight w:val="none"/>
                <w:lang w:eastAsia="zh-CN"/>
              </w:rPr>
              <w:t>【差】总工期不比招标文件要求提前的，得</w:t>
            </w:r>
            <w:r>
              <w:rPr>
                <w:rFonts w:hint="eastAsia"/>
                <w:color w:val="auto"/>
                <w:sz w:val="22"/>
                <w:szCs w:val="22"/>
                <w:highlight w:val="none"/>
                <w:lang w:val="en-US" w:eastAsia="zh-CN"/>
              </w:rPr>
              <w:t>0分</w:t>
            </w:r>
            <w:r>
              <w:rPr>
                <w:rFonts w:hint="eastAsia"/>
                <w:color w:val="auto"/>
                <w:sz w:val="22"/>
                <w:szCs w:val="22"/>
                <w:highlight w:val="none"/>
                <w:lang w:eastAsia="zh-CN"/>
              </w:rPr>
              <w:t>。</w:t>
            </w:r>
          </w:p>
        </w:tc>
      </w:tr>
      <w:tr w14:paraId="385D110F">
        <w:tblPrEx>
          <w:tblCellMar>
            <w:top w:w="0" w:type="dxa"/>
            <w:left w:w="108" w:type="dxa"/>
            <w:bottom w:w="0" w:type="dxa"/>
            <w:right w:w="108" w:type="dxa"/>
          </w:tblCellMar>
        </w:tblPrEx>
        <w:trPr>
          <w:trHeight w:val="1550" w:hRule="atLeast"/>
        </w:trPr>
        <w:tc>
          <w:tcPr>
            <w:tcW w:w="456" w:type="pct"/>
            <w:tcBorders>
              <w:top w:val="single" w:color="auto" w:sz="4" w:space="0"/>
              <w:left w:val="single" w:color="000000" w:sz="4" w:space="0"/>
              <w:bottom w:val="single" w:color="000000" w:sz="4" w:space="0"/>
              <w:right w:val="single" w:color="auto" w:sz="4" w:space="0"/>
            </w:tcBorders>
            <w:noWrap w:val="0"/>
            <w:vAlign w:val="center"/>
          </w:tcPr>
          <w:p w14:paraId="1986A4C4">
            <w:pPr>
              <w:widowControl/>
              <w:jc w:val="center"/>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6</w:t>
            </w:r>
          </w:p>
        </w:tc>
        <w:tc>
          <w:tcPr>
            <w:tcW w:w="762" w:type="pct"/>
            <w:tcBorders>
              <w:top w:val="single" w:color="auto" w:sz="4" w:space="0"/>
              <w:left w:val="single" w:color="000000" w:sz="4" w:space="0"/>
              <w:bottom w:val="single" w:color="000000" w:sz="4" w:space="0"/>
              <w:right w:val="single" w:color="000000" w:sz="4" w:space="0"/>
            </w:tcBorders>
            <w:noWrap w:val="0"/>
            <w:vAlign w:val="center"/>
          </w:tcPr>
          <w:p w14:paraId="56D3D8E5">
            <w:pPr>
              <w:pStyle w:val="384"/>
              <w:spacing w:line="240" w:lineRule="auto"/>
              <w:jc w:val="center"/>
              <w:rPr>
                <w:rFonts w:hint="eastAsia"/>
                <w:color w:val="auto"/>
                <w:sz w:val="22"/>
                <w:szCs w:val="22"/>
                <w:highlight w:val="none"/>
                <w:lang w:val="en-US" w:eastAsia="zh-CN"/>
              </w:rPr>
            </w:pPr>
            <w:r>
              <w:rPr>
                <w:rFonts w:hint="eastAsia"/>
                <w:color w:val="auto"/>
                <w:sz w:val="22"/>
                <w:szCs w:val="22"/>
                <w:highlight w:val="none"/>
              </w:rPr>
              <w:t>劳动力</w:t>
            </w:r>
            <w:r>
              <w:rPr>
                <w:rFonts w:hint="eastAsia"/>
                <w:color w:val="auto"/>
                <w:sz w:val="22"/>
                <w:szCs w:val="22"/>
                <w:highlight w:val="none"/>
                <w:lang w:val="en-US" w:eastAsia="zh-CN"/>
              </w:rPr>
              <w:t>投入</w:t>
            </w:r>
          </w:p>
          <w:p w14:paraId="5E5688DD">
            <w:pPr>
              <w:pStyle w:val="384"/>
              <w:spacing w:line="240" w:lineRule="auto"/>
              <w:jc w:val="center"/>
              <w:rPr>
                <w:rFonts w:hint="eastAsia"/>
                <w:color w:val="auto"/>
                <w:sz w:val="22"/>
                <w:szCs w:val="22"/>
                <w:highlight w:val="none"/>
              </w:rPr>
            </w:pPr>
            <w:r>
              <w:rPr>
                <w:rFonts w:hint="eastAsia"/>
                <w:color w:val="auto"/>
                <w:sz w:val="22"/>
                <w:szCs w:val="22"/>
                <w:highlight w:val="none"/>
                <w:lang w:val="en-US" w:eastAsia="zh-CN"/>
              </w:rPr>
              <w:t>（1分）</w:t>
            </w:r>
          </w:p>
        </w:tc>
        <w:tc>
          <w:tcPr>
            <w:tcW w:w="3781" w:type="pct"/>
            <w:tcBorders>
              <w:top w:val="single" w:color="000000" w:sz="4" w:space="0"/>
              <w:left w:val="single" w:color="000000" w:sz="4" w:space="0"/>
              <w:bottom w:val="single" w:color="000000" w:sz="4" w:space="0"/>
              <w:right w:val="single" w:color="000000" w:sz="4" w:space="0"/>
            </w:tcBorders>
            <w:noWrap w:val="0"/>
            <w:vAlign w:val="top"/>
          </w:tcPr>
          <w:p w14:paraId="160F8EA8">
            <w:pPr>
              <w:pStyle w:val="384"/>
              <w:spacing w:line="288" w:lineRule="auto"/>
              <w:ind w:left="24" w:hanging="24" w:hangingChars="11"/>
              <w:jc w:val="left"/>
              <w:rPr>
                <w:rFonts w:hint="eastAsia"/>
                <w:color w:val="auto"/>
                <w:sz w:val="22"/>
                <w:szCs w:val="22"/>
                <w:highlight w:val="none"/>
              </w:rPr>
            </w:pPr>
            <w:r>
              <w:rPr>
                <w:rFonts w:hint="eastAsia"/>
                <w:color w:val="auto"/>
                <w:sz w:val="22"/>
                <w:szCs w:val="22"/>
                <w:highlight w:val="none"/>
              </w:rPr>
              <w:t>【优】有提供劳动力投入计划及劳动力投入保证措施</w:t>
            </w:r>
            <w:r>
              <w:rPr>
                <w:rFonts w:hint="eastAsia"/>
                <w:color w:val="auto"/>
                <w:sz w:val="22"/>
                <w:szCs w:val="22"/>
                <w:highlight w:val="none"/>
                <w:lang w:eastAsia="zh-CN"/>
              </w:rPr>
              <w:t>，</w:t>
            </w:r>
            <w:r>
              <w:rPr>
                <w:rFonts w:hint="eastAsia"/>
                <w:color w:val="auto"/>
                <w:sz w:val="22"/>
                <w:szCs w:val="22"/>
                <w:highlight w:val="none"/>
              </w:rPr>
              <w:t>施工高峰期拟投入的劳动力数量</w:t>
            </w:r>
            <w:r>
              <w:rPr>
                <w:rFonts w:hint="eastAsia"/>
                <w:color w:val="auto"/>
                <w:sz w:val="22"/>
                <w:szCs w:val="22"/>
                <w:highlight w:val="none"/>
                <w:lang w:val="en-US" w:eastAsia="zh-CN"/>
              </w:rPr>
              <w:t>大于或等于600人的</w:t>
            </w:r>
            <w:r>
              <w:rPr>
                <w:rFonts w:hint="eastAsia"/>
                <w:color w:val="auto"/>
                <w:sz w:val="22"/>
                <w:szCs w:val="22"/>
                <w:highlight w:val="none"/>
              </w:rPr>
              <w:t>，得</w:t>
            </w:r>
            <w:r>
              <w:rPr>
                <w:rFonts w:hint="eastAsia"/>
                <w:color w:val="auto"/>
                <w:sz w:val="22"/>
                <w:szCs w:val="22"/>
                <w:highlight w:val="none"/>
                <w:lang w:val="en-US" w:eastAsia="zh-CN"/>
              </w:rPr>
              <w:t>1分</w:t>
            </w:r>
            <w:r>
              <w:rPr>
                <w:rFonts w:hint="eastAsia"/>
                <w:color w:val="auto"/>
                <w:sz w:val="22"/>
                <w:szCs w:val="22"/>
                <w:highlight w:val="none"/>
              </w:rPr>
              <w:t>。</w:t>
            </w:r>
          </w:p>
          <w:p w14:paraId="3323EE7F">
            <w:pPr>
              <w:pStyle w:val="384"/>
              <w:spacing w:line="288" w:lineRule="auto"/>
              <w:ind w:left="24" w:hanging="24" w:hangingChars="11"/>
              <w:jc w:val="left"/>
              <w:rPr>
                <w:rFonts w:hint="eastAsia"/>
                <w:color w:val="auto"/>
                <w:sz w:val="22"/>
                <w:szCs w:val="22"/>
                <w:highlight w:val="none"/>
              </w:rPr>
            </w:pPr>
            <w:r>
              <w:rPr>
                <w:rFonts w:hint="eastAsia"/>
                <w:color w:val="auto"/>
                <w:sz w:val="22"/>
                <w:szCs w:val="22"/>
                <w:highlight w:val="none"/>
              </w:rPr>
              <w:t>【良】有提供劳动力投入计划及劳动力投入保证措施</w:t>
            </w:r>
            <w:r>
              <w:rPr>
                <w:rFonts w:hint="eastAsia"/>
                <w:color w:val="auto"/>
                <w:sz w:val="22"/>
                <w:szCs w:val="22"/>
                <w:highlight w:val="none"/>
                <w:lang w:eastAsia="zh-CN"/>
              </w:rPr>
              <w:t>，</w:t>
            </w:r>
            <w:r>
              <w:rPr>
                <w:rFonts w:hint="eastAsia"/>
                <w:color w:val="auto"/>
                <w:sz w:val="22"/>
                <w:szCs w:val="22"/>
                <w:highlight w:val="none"/>
              </w:rPr>
              <w:t>施工高峰期拟投入的劳动力数量</w:t>
            </w:r>
            <w:r>
              <w:rPr>
                <w:rFonts w:hint="eastAsia"/>
                <w:color w:val="auto"/>
                <w:sz w:val="22"/>
                <w:szCs w:val="22"/>
                <w:highlight w:val="none"/>
                <w:lang w:val="en-US" w:eastAsia="zh-CN"/>
              </w:rPr>
              <w:t>大于或等于400人，小于600人的</w:t>
            </w:r>
            <w:r>
              <w:rPr>
                <w:rFonts w:hint="eastAsia"/>
                <w:color w:val="auto"/>
                <w:sz w:val="22"/>
                <w:szCs w:val="22"/>
                <w:highlight w:val="none"/>
              </w:rPr>
              <w:t>，得</w:t>
            </w:r>
            <w:r>
              <w:rPr>
                <w:rFonts w:hint="eastAsia"/>
                <w:color w:val="auto"/>
                <w:sz w:val="22"/>
                <w:szCs w:val="22"/>
                <w:highlight w:val="none"/>
                <w:lang w:val="en-US" w:eastAsia="zh-CN"/>
              </w:rPr>
              <w:t>0.5</w:t>
            </w:r>
            <w:r>
              <w:rPr>
                <w:rFonts w:hint="eastAsia"/>
                <w:color w:val="auto"/>
                <w:sz w:val="22"/>
                <w:szCs w:val="22"/>
                <w:highlight w:val="none"/>
              </w:rPr>
              <w:t>分。</w:t>
            </w:r>
          </w:p>
          <w:p w14:paraId="2312C36C">
            <w:pPr>
              <w:pStyle w:val="384"/>
              <w:spacing w:line="288" w:lineRule="auto"/>
              <w:ind w:left="24" w:hanging="24" w:hangingChars="11"/>
              <w:jc w:val="left"/>
              <w:rPr>
                <w:rFonts w:hint="eastAsia"/>
                <w:color w:val="auto"/>
                <w:sz w:val="22"/>
                <w:szCs w:val="22"/>
                <w:highlight w:val="none"/>
              </w:rPr>
            </w:pPr>
            <w:r>
              <w:rPr>
                <w:rFonts w:hint="eastAsia"/>
                <w:color w:val="auto"/>
                <w:sz w:val="22"/>
                <w:szCs w:val="22"/>
                <w:highlight w:val="none"/>
              </w:rPr>
              <w:t>【中】有提供劳动力投入计划及劳动力投入保证措施</w:t>
            </w:r>
            <w:r>
              <w:rPr>
                <w:rFonts w:hint="eastAsia"/>
                <w:color w:val="auto"/>
                <w:sz w:val="22"/>
                <w:szCs w:val="22"/>
                <w:highlight w:val="none"/>
                <w:lang w:eastAsia="zh-CN"/>
              </w:rPr>
              <w:t>，</w:t>
            </w:r>
            <w:r>
              <w:rPr>
                <w:rFonts w:hint="eastAsia"/>
                <w:color w:val="auto"/>
                <w:sz w:val="22"/>
                <w:szCs w:val="22"/>
                <w:highlight w:val="none"/>
              </w:rPr>
              <w:t>施工高峰期拟投入的劳动力数量</w:t>
            </w:r>
            <w:r>
              <w:rPr>
                <w:rFonts w:hint="eastAsia"/>
                <w:color w:val="auto"/>
                <w:sz w:val="22"/>
                <w:szCs w:val="22"/>
                <w:highlight w:val="none"/>
                <w:lang w:val="en-US" w:eastAsia="zh-CN"/>
              </w:rPr>
              <w:t>大于或等于200人，小于400人的</w:t>
            </w:r>
            <w:r>
              <w:rPr>
                <w:rFonts w:hint="eastAsia"/>
                <w:color w:val="auto"/>
                <w:sz w:val="22"/>
                <w:szCs w:val="22"/>
                <w:highlight w:val="none"/>
              </w:rPr>
              <w:t>，得</w:t>
            </w:r>
            <w:r>
              <w:rPr>
                <w:rFonts w:hint="eastAsia"/>
                <w:color w:val="auto"/>
                <w:sz w:val="22"/>
                <w:szCs w:val="22"/>
                <w:highlight w:val="none"/>
                <w:lang w:val="en-US" w:eastAsia="zh-CN"/>
              </w:rPr>
              <w:t>0.3</w:t>
            </w:r>
            <w:r>
              <w:rPr>
                <w:rFonts w:hint="eastAsia"/>
                <w:color w:val="auto"/>
                <w:sz w:val="22"/>
                <w:szCs w:val="22"/>
                <w:highlight w:val="none"/>
              </w:rPr>
              <w:t>分。</w:t>
            </w:r>
          </w:p>
          <w:p w14:paraId="0789A43E">
            <w:pPr>
              <w:pStyle w:val="384"/>
              <w:spacing w:line="288" w:lineRule="auto"/>
              <w:ind w:left="24" w:hanging="24" w:hangingChars="11"/>
              <w:jc w:val="left"/>
              <w:rPr>
                <w:rFonts w:hint="eastAsia"/>
                <w:color w:val="auto"/>
                <w:sz w:val="22"/>
                <w:szCs w:val="22"/>
                <w:highlight w:val="none"/>
              </w:rPr>
            </w:pPr>
            <w:r>
              <w:rPr>
                <w:rFonts w:hint="eastAsia"/>
                <w:color w:val="auto"/>
                <w:sz w:val="22"/>
                <w:szCs w:val="22"/>
                <w:highlight w:val="none"/>
              </w:rPr>
              <w:t>【差】</w:t>
            </w:r>
            <w:r>
              <w:rPr>
                <w:rFonts w:hint="eastAsia"/>
                <w:color w:val="auto"/>
                <w:sz w:val="22"/>
                <w:szCs w:val="22"/>
                <w:highlight w:val="none"/>
                <w:lang w:val="en-US" w:eastAsia="zh-CN"/>
              </w:rPr>
              <w:t>无</w:t>
            </w:r>
            <w:r>
              <w:rPr>
                <w:rFonts w:hint="eastAsia"/>
                <w:color w:val="auto"/>
                <w:sz w:val="22"/>
                <w:szCs w:val="22"/>
                <w:highlight w:val="none"/>
              </w:rPr>
              <w:t>劳动力投入计划及劳动力投入保证措施，施工高峰期拟投入的劳动力数量</w:t>
            </w:r>
            <w:r>
              <w:rPr>
                <w:rFonts w:hint="eastAsia"/>
                <w:color w:val="auto"/>
                <w:sz w:val="22"/>
                <w:szCs w:val="22"/>
                <w:highlight w:val="none"/>
                <w:lang w:val="en-US" w:eastAsia="zh-CN"/>
              </w:rPr>
              <w:t>小于200人的</w:t>
            </w:r>
            <w:r>
              <w:rPr>
                <w:rFonts w:hint="eastAsia"/>
                <w:color w:val="auto"/>
                <w:sz w:val="22"/>
                <w:szCs w:val="22"/>
                <w:highlight w:val="none"/>
              </w:rPr>
              <w:t>，得0分。</w:t>
            </w:r>
          </w:p>
        </w:tc>
      </w:tr>
      <w:tr w14:paraId="2CDFDBBF">
        <w:tblPrEx>
          <w:tblCellMar>
            <w:top w:w="0" w:type="dxa"/>
            <w:left w:w="108" w:type="dxa"/>
            <w:bottom w:w="0" w:type="dxa"/>
            <w:right w:w="108" w:type="dxa"/>
          </w:tblCellMar>
        </w:tblPrEx>
        <w:trPr>
          <w:trHeight w:val="1869" w:hRule="atLeast"/>
        </w:trPr>
        <w:tc>
          <w:tcPr>
            <w:tcW w:w="456" w:type="pct"/>
            <w:tcBorders>
              <w:top w:val="single" w:color="000000" w:sz="4" w:space="0"/>
              <w:left w:val="single" w:color="000000" w:sz="4" w:space="0"/>
              <w:bottom w:val="single" w:color="auto" w:sz="4" w:space="0"/>
              <w:right w:val="single" w:color="auto" w:sz="4" w:space="0"/>
            </w:tcBorders>
            <w:noWrap w:val="0"/>
            <w:vAlign w:val="center"/>
          </w:tcPr>
          <w:p w14:paraId="35A93045">
            <w:pPr>
              <w:widowControl/>
              <w:jc w:val="center"/>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7</w:t>
            </w:r>
          </w:p>
        </w:tc>
        <w:tc>
          <w:tcPr>
            <w:tcW w:w="762" w:type="pct"/>
            <w:tcBorders>
              <w:top w:val="single" w:color="000000" w:sz="4" w:space="0"/>
              <w:left w:val="single" w:color="000000" w:sz="4" w:space="0"/>
              <w:bottom w:val="single" w:color="auto" w:sz="4" w:space="0"/>
              <w:right w:val="single" w:color="000000" w:sz="4" w:space="0"/>
            </w:tcBorders>
            <w:noWrap w:val="0"/>
            <w:vAlign w:val="center"/>
          </w:tcPr>
          <w:p w14:paraId="2E5AA225">
            <w:pPr>
              <w:pStyle w:val="384"/>
              <w:spacing w:line="240" w:lineRule="auto"/>
              <w:jc w:val="center"/>
              <w:rPr>
                <w:color w:val="auto"/>
                <w:sz w:val="22"/>
                <w:szCs w:val="22"/>
                <w:highlight w:val="none"/>
                <w:lang w:val="en-US" w:eastAsia="zh-CN"/>
              </w:rPr>
            </w:pPr>
            <w:r>
              <w:rPr>
                <w:color w:val="auto"/>
                <w:sz w:val="22"/>
                <w:szCs w:val="22"/>
                <w:highlight w:val="none"/>
                <w:lang w:val="en-US" w:eastAsia="zh-CN"/>
              </w:rPr>
              <w:t>BIM技术应用</w:t>
            </w:r>
          </w:p>
          <w:p w14:paraId="29716944">
            <w:pPr>
              <w:pStyle w:val="384"/>
              <w:spacing w:line="240" w:lineRule="auto"/>
              <w:jc w:val="center"/>
              <w:rPr>
                <w:rFonts w:hint="eastAsia"/>
                <w:color w:val="auto"/>
                <w:sz w:val="22"/>
                <w:szCs w:val="22"/>
                <w:highlight w:val="none"/>
              </w:rPr>
            </w:pPr>
            <w:r>
              <w:rPr>
                <w:rFonts w:hint="eastAsia"/>
                <w:color w:val="auto"/>
                <w:sz w:val="22"/>
                <w:szCs w:val="22"/>
                <w:highlight w:val="none"/>
                <w:lang w:val="en-US" w:eastAsia="zh-CN"/>
              </w:rPr>
              <w:t>(0.5分）</w:t>
            </w:r>
          </w:p>
        </w:tc>
        <w:tc>
          <w:tcPr>
            <w:tcW w:w="3781" w:type="pct"/>
            <w:tcBorders>
              <w:top w:val="single" w:color="000000" w:sz="4" w:space="0"/>
              <w:left w:val="single" w:color="000000" w:sz="4" w:space="0"/>
              <w:bottom w:val="single" w:color="auto" w:sz="4" w:space="0"/>
              <w:right w:val="single" w:color="000000" w:sz="4" w:space="0"/>
            </w:tcBorders>
            <w:noWrap w:val="0"/>
            <w:vAlign w:val="top"/>
          </w:tcPr>
          <w:p w14:paraId="30C297BB">
            <w:pPr>
              <w:pStyle w:val="384"/>
              <w:spacing w:line="288" w:lineRule="auto"/>
              <w:ind w:left="24" w:hanging="24" w:hangingChars="11"/>
              <w:jc w:val="left"/>
              <w:rPr>
                <w:rFonts w:hint="eastAsia"/>
                <w:color w:val="auto"/>
                <w:sz w:val="22"/>
                <w:szCs w:val="22"/>
                <w:highlight w:val="none"/>
                <w:lang w:eastAsia="zh-CN"/>
              </w:rPr>
            </w:pPr>
            <w:r>
              <w:rPr>
                <w:rFonts w:hint="eastAsia"/>
                <w:color w:val="auto"/>
                <w:sz w:val="22"/>
                <w:szCs w:val="22"/>
                <w:highlight w:val="none"/>
              </w:rPr>
              <w:t>【优】制定了BIM技术应用方案和措施方法，有BIM专项实施方案</w:t>
            </w:r>
            <w:r>
              <w:rPr>
                <w:rFonts w:hint="eastAsia"/>
                <w:color w:val="auto"/>
                <w:sz w:val="22"/>
                <w:szCs w:val="22"/>
                <w:highlight w:val="none"/>
                <w:lang w:eastAsia="zh-CN"/>
              </w:rPr>
              <w:t>，</w:t>
            </w:r>
            <w:r>
              <w:rPr>
                <w:rFonts w:hint="eastAsia"/>
                <w:color w:val="auto"/>
                <w:sz w:val="22"/>
                <w:szCs w:val="22"/>
                <w:highlight w:val="none"/>
                <w:lang w:val="en-US" w:eastAsia="zh-CN"/>
              </w:rPr>
              <w:t>有</w:t>
            </w:r>
            <w:r>
              <w:rPr>
                <w:rFonts w:hint="eastAsia"/>
                <w:color w:val="auto"/>
                <w:sz w:val="22"/>
                <w:szCs w:val="22"/>
                <w:highlight w:val="none"/>
              </w:rPr>
              <w:t>利用BIM节约工期和投资的专项措施，得</w:t>
            </w:r>
            <w:r>
              <w:rPr>
                <w:rFonts w:hint="eastAsia"/>
                <w:color w:val="auto"/>
                <w:sz w:val="22"/>
                <w:szCs w:val="22"/>
                <w:highlight w:val="none"/>
                <w:lang w:val="en-US" w:eastAsia="zh-CN"/>
              </w:rPr>
              <w:t>0.5</w:t>
            </w:r>
            <w:r>
              <w:rPr>
                <w:rFonts w:hint="eastAsia"/>
                <w:color w:val="auto"/>
                <w:sz w:val="22"/>
                <w:szCs w:val="22"/>
                <w:highlight w:val="none"/>
              </w:rPr>
              <w:t>分；</w:t>
            </w:r>
          </w:p>
          <w:p w14:paraId="051B8B87">
            <w:pPr>
              <w:pStyle w:val="384"/>
              <w:spacing w:line="288" w:lineRule="auto"/>
              <w:ind w:left="24" w:hanging="24" w:hangingChars="11"/>
              <w:jc w:val="left"/>
              <w:rPr>
                <w:rFonts w:hint="eastAsia"/>
                <w:color w:val="auto"/>
                <w:sz w:val="22"/>
                <w:szCs w:val="22"/>
                <w:highlight w:val="none"/>
                <w:lang w:eastAsia="zh-CN"/>
              </w:rPr>
            </w:pPr>
            <w:r>
              <w:rPr>
                <w:rFonts w:hint="eastAsia"/>
                <w:color w:val="auto"/>
                <w:sz w:val="22"/>
                <w:szCs w:val="22"/>
                <w:highlight w:val="none"/>
              </w:rPr>
              <w:t>【</w:t>
            </w:r>
            <w:r>
              <w:rPr>
                <w:rFonts w:hint="eastAsia"/>
                <w:color w:val="auto"/>
                <w:sz w:val="22"/>
                <w:szCs w:val="22"/>
                <w:highlight w:val="none"/>
                <w:lang w:val="en-US" w:eastAsia="zh-CN"/>
              </w:rPr>
              <w:t>良</w:t>
            </w:r>
            <w:r>
              <w:rPr>
                <w:rFonts w:hint="eastAsia"/>
                <w:color w:val="auto"/>
                <w:sz w:val="22"/>
                <w:szCs w:val="22"/>
                <w:highlight w:val="none"/>
              </w:rPr>
              <w:t>】制定了BIM技术应用方案和措施方法，有BIM专项实施方案，得</w:t>
            </w:r>
            <w:r>
              <w:rPr>
                <w:rFonts w:hint="eastAsia"/>
                <w:color w:val="auto"/>
                <w:sz w:val="22"/>
                <w:szCs w:val="22"/>
                <w:highlight w:val="none"/>
                <w:lang w:val="en-US" w:eastAsia="zh-CN"/>
              </w:rPr>
              <w:t>0.3</w:t>
            </w:r>
            <w:r>
              <w:rPr>
                <w:rFonts w:hint="eastAsia"/>
                <w:color w:val="auto"/>
                <w:sz w:val="22"/>
                <w:szCs w:val="22"/>
                <w:highlight w:val="none"/>
              </w:rPr>
              <w:t>分；</w:t>
            </w:r>
          </w:p>
          <w:p w14:paraId="3C4F62D0">
            <w:pPr>
              <w:pStyle w:val="384"/>
              <w:spacing w:line="288" w:lineRule="auto"/>
              <w:ind w:left="24" w:hanging="24" w:hangingChars="11"/>
              <w:jc w:val="left"/>
              <w:rPr>
                <w:rFonts w:hint="eastAsia"/>
                <w:color w:val="auto"/>
                <w:sz w:val="22"/>
                <w:szCs w:val="22"/>
                <w:highlight w:val="none"/>
                <w:lang w:eastAsia="zh-CN"/>
              </w:rPr>
            </w:pPr>
            <w:r>
              <w:rPr>
                <w:rFonts w:hint="eastAsia"/>
                <w:color w:val="auto"/>
                <w:sz w:val="22"/>
                <w:szCs w:val="22"/>
                <w:highlight w:val="none"/>
              </w:rPr>
              <w:t>【</w:t>
            </w:r>
            <w:r>
              <w:rPr>
                <w:rFonts w:hint="eastAsia"/>
                <w:color w:val="auto"/>
                <w:sz w:val="22"/>
                <w:szCs w:val="22"/>
                <w:highlight w:val="none"/>
                <w:lang w:val="en-US" w:eastAsia="zh-CN"/>
              </w:rPr>
              <w:t>中</w:t>
            </w:r>
            <w:r>
              <w:rPr>
                <w:rFonts w:hint="eastAsia"/>
                <w:color w:val="auto"/>
                <w:sz w:val="22"/>
                <w:szCs w:val="22"/>
                <w:highlight w:val="none"/>
              </w:rPr>
              <w:t>】制定了BIM技术应用方案和措施方法，得</w:t>
            </w:r>
            <w:r>
              <w:rPr>
                <w:rFonts w:hint="eastAsia"/>
                <w:color w:val="auto"/>
                <w:sz w:val="22"/>
                <w:szCs w:val="22"/>
                <w:highlight w:val="none"/>
                <w:lang w:val="en-US" w:eastAsia="zh-CN"/>
              </w:rPr>
              <w:t>0.1</w:t>
            </w:r>
            <w:r>
              <w:rPr>
                <w:rFonts w:hint="eastAsia"/>
                <w:color w:val="auto"/>
                <w:sz w:val="22"/>
                <w:szCs w:val="22"/>
                <w:highlight w:val="none"/>
              </w:rPr>
              <w:t>分；</w:t>
            </w:r>
          </w:p>
          <w:p w14:paraId="4B7A0400">
            <w:pPr>
              <w:pStyle w:val="384"/>
              <w:spacing w:line="288" w:lineRule="auto"/>
              <w:ind w:left="24" w:hanging="24" w:hangingChars="11"/>
              <w:jc w:val="left"/>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差</w:t>
            </w:r>
            <w:r>
              <w:rPr>
                <w:rFonts w:hint="eastAsia"/>
                <w:color w:val="auto"/>
                <w:sz w:val="22"/>
                <w:szCs w:val="22"/>
                <w:highlight w:val="none"/>
              </w:rPr>
              <w:t>】无BIM技术应用方案和措施方法，得0分。</w:t>
            </w:r>
          </w:p>
        </w:tc>
      </w:tr>
      <w:tr w14:paraId="3BA9EF9C">
        <w:tblPrEx>
          <w:tblCellMar>
            <w:top w:w="0" w:type="dxa"/>
            <w:left w:w="108" w:type="dxa"/>
            <w:bottom w:w="0" w:type="dxa"/>
            <w:right w:w="108" w:type="dxa"/>
          </w:tblCellMar>
        </w:tblPrEx>
        <w:trPr>
          <w:trHeight w:val="1869" w:hRule="atLeast"/>
        </w:trPr>
        <w:tc>
          <w:tcPr>
            <w:tcW w:w="456" w:type="pct"/>
            <w:tcBorders>
              <w:top w:val="single" w:color="auto" w:sz="4" w:space="0"/>
              <w:left w:val="single" w:color="auto" w:sz="4" w:space="0"/>
              <w:bottom w:val="single" w:color="auto" w:sz="4" w:space="0"/>
              <w:right w:val="single" w:color="auto" w:sz="4" w:space="0"/>
            </w:tcBorders>
            <w:noWrap w:val="0"/>
            <w:vAlign w:val="center"/>
          </w:tcPr>
          <w:p w14:paraId="764FB510">
            <w:pPr>
              <w:widowControl/>
              <w:jc w:val="center"/>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8</w:t>
            </w:r>
          </w:p>
        </w:tc>
        <w:tc>
          <w:tcPr>
            <w:tcW w:w="762" w:type="pct"/>
            <w:tcBorders>
              <w:top w:val="single" w:color="auto" w:sz="4" w:space="0"/>
              <w:left w:val="single" w:color="auto" w:sz="4" w:space="0"/>
              <w:bottom w:val="single" w:color="auto" w:sz="4" w:space="0"/>
              <w:right w:val="single" w:color="auto" w:sz="4" w:space="0"/>
            </w:tcBorders>
            <w:noWrap w:val="0"/>
            <w:vAlign w:val="center"/>
          </w:tcPr>
          <w:p w14:paraId="6DDC7429">
            <w:pPr>
              <w:pStyle w:val="384"/>
              <w:spacing w:line="240" w:lineRule="auto"/>
              <w:jc w:val="center"/>
              <w:rPr>
                <w:color w:val="auto"/>
                <w:sz w:val="22"/>
                <w:szCs w:val="22"/>
                <w:highlight w:val="none"/>
                <w:lang w:val="en-US" w:eastAsia="zh-CN"/>
              </w:rPr>
            </w:pPr>
            <w:r>
              <w:rPr>
                <w:rFonts w:hint="eastAsia"/>
                <w:color w:val="auto"/>
                <w:sz w:val="22"/>
                <w:szCs w:val="22"/>
                <w:highlight w:val="none"/>
                <w:lang w:val="en-US" w:eastAsia="zh-CN"/>
              </w:rPr>
              <w:t>重点难点分析及保障措施</w:t>
            </w:r>
          </w:p>
          <w:p w14:paraId="05224FD2">
            <w:pPr>
              <w:pStyle w:val="384"/>
              <w:spacing w:line="240" w:lineRule="auto"/>
              <w:jc w:val="center"/>
              <w:rPr>
                <w:rFonts w:hint="eastAsia"/>
                <w:color w:val="auto"/>
                <w:sz w:val="22"/>
                <w:szCs w:val="22"/>
                <w:highlight w:val="none"/>
                <w:lang w:val="en-US" w:eastAsia="zh-CN"/>
              </w:rPr>
            </w:pPr>
            <w:r>
              <w:rPr>
                <w:rFonts w:hint="eastAsia"/>
                <w:color w:val="auto"/>
                <w:sz w:val="22"/>
                <w:szCs w:val="22"/>
                <w:highlight w:val="none"/>
                <w:lang w:val="en-US" w:eastAsia="zh-CN"/>
              </w:rPr>
              <w:t>（3分）</w:t>
            </w:r>
          </w:p>
        </w:tc>
        <w:tc>
          <w:tcPr>
            <w:tcW w:w="3781" w:type="pct"/>
            <w:tcBorders>
              <w:top w:val="single" w:color="auto" w:sz="4" w:space="0"/>
              <w:left w:val="single" w:color="auto" w:sz="4" w:space="0"/>
              <w:bottom w:val="single" w:color="auto" w:sz="4" w:space="0"/>
              <w:right w:val="single" w:color="auto" w:sz="4" w:space="0"/>
            </w:tcBorders>
            <w:noWrap w:val="0"/>
            <w:vAlign w:val="top"/>
          </w:tcPr>
          <w:p w14:paraId="39DAB16E">
            <w:pPr>
              <w:pStyle w:val="384"/>
              <w:spacing w:line="288" w:lineRule="auto"/>
              <w:ind w:left="24" w:hanging="24" w:hangingChars="11"/>
              <w:jc w:val="left"/>
              <w:rPr>
                <w:rFonts w:hint="eastAsia"/>
                <w:color w:val="auto"/>
                <w:sz w:val="22"/>
                <w:szCs w:val="22"/>
                <w:highlight w:val="none"/>
                <w:lang w:val="en-US" w:eastAsia="zh-CN"/>
              </w:rPr>
            </w:pPr>
            <w:r>
              <w:rPr>
                <w:rFonts w:hint="eastAsia"/>
                <w:color w:val="auto"/>
                <w:sz w:val="22"/>
                <w:szCs w:val="22"/>
                <w:highlight w:val="none"/>
                <w:lang w:val="en-US" w:eastAsia="zh-CN"/>
              </w:rPr>
              <w:t>评标委员会对投标人针对工程重难点的分析及应对措施：</w:t>
            </w:r>
            <w:r>
              <w:rPr>
                <w:rFonts w:hint="eastAsia" w:ascii="宋体" w:hAnsi="宋体" w:eastAsia="宋体" w:cs="宋体"/>
                <w:i w:val="0"/>
                <w:iCs w:val="0"/>
                <w:caps w:val="0"/>
                <w:color w:val="auto"/>
                <w:spacing w:val="0"/>
                <w:sz w:val="22"/>
                <w:szCs w:val="22"/>
                <w:highlight w:val="none"/>
                <w:shd w:val="clear"/>
                <w:lang w:val="en-US" w:eastAsia="zh-CN"/>
              </w:rPr>
              <w:t>主要针对</w:t>
            </w:r>
            <w:r>
              <w:rPr>
                <w:rFonts w:hint="eastAsia"/>
                <w:color w:val="auto"/>
                <w:sz w:val="22"/>
                <w:szCs w:val="22"/>
                <w:highlight w:val="none"/>
                <w:lang w:eastAsia="zh-CN"/>
              </w:rPr>
              <w:t>总承包管理统筹的计划性与动态控制管理能力、</w:t>
            </w:r>
            <w:r>
              <w:rPr>
                <w:rFonts w:hint="eastAsia" w:ascii="宋体" w:hAnsi="宋体" w:eastAsia="宋体" w:cs="宋体"/>
                <w:color w:val="auto"/>
                <w:sz w:val="22"/>
                <w:szCs w:val="22"/>
                <w:highlight w:val="none"/>
                <w:lang w:val="en-US" w:eastAsia="zh-CN"/>
              </w:rPr>
              <w:t>土方平衡</w:t>
            </w:r>
            <w:r>
              <w:rPr>
                <w:rFonts w:hint="eastAsia" w:ascii="宋体" w:hAnsi="宋体" w:eastAsia="宋体" w:cs="宋体"/>
                <w:i w:val="0"/>
                <w:iCs w:val="0"/>
                <w:caps w:val="0"/>
                <w:color w:val="auto"/>
                <w:spacing w:val="0"/>
                <w:sz w:val="22"/>
                <w:szCs w:val="22"/>
                <w:highlight w:val="none"/>
                <w:shd w:val="clear"/>
                <w:lang w:val="en-US" w:eastAsia="zh-CN"/>
              </w:rPr>
              <w:t>、</w:t>
            </w:r>
            <w:r>
              <w:rPr>
                <w:rFonts w:hint="eastAsia" w:ascii="宋体" w:hAnsi="宋体" w:eastAsia="宋体" w:cs="宋体"/>
                <w:color w:val="auto"/>
                <w:sz w:val="22"/>
                <w:szCs w:val="22"/>
                <w:highlight w:val="none"/>
                <w:lang w:val="en-US" w:eastAsia="zh-CN"/>
              </w:rPr>
              <w:t>截洪沟</w:t>
            </w:r>
            <w:r>
              <w:rPr>
                <w:rFonts w:hint="eastAsia" w:ascii="宋体" w:hAnsi="宋体" w:eastAsia="宋体" w:cs="宋体"/>
                <w:i w:val="0"/>
                <w:iCs w:val="0"/>
                <w:caps w:val="0"/>
                <w:color w:val="auto"/>
                <w:spacing w:val="0"/>
                <w:sz w:val="22"/>
                <w:szCs w:val="22"/>
                <w:highlight w:val="none"/>
                <w:shd w:val="clear"/>
                <w:lang w:val="en-US" w:eastAsia="zh-CN"/>
              </w:rPr>
              <w:t>、</w:t>
            </w:r>
            <w:r>
              <w:rPr>
                <w:rFonts w:hint="eastAsia" w:ascii="宋体" w:hAnsi="宋体" w:eastAsia="宋体" w:cs="宋体"/>
                <w:color w:val="auto"/>
                <w:sz w:val="22"/>
                <w:szCs w:val="22"/>
                <w:highlight w:val="none"/>
                <w:lang w:val="en-US" w:eastAsia="zh-CN"/>
              </w:rPr>
              <w:t>挡土墙与边坡</w:t>
            </w:r>
            <w:r>
              <w:rPr>
                <w:rFonts w:hint="eastAsia" w:ascii="宋体" w:hAnsi="宋体" w:eastAsia="宋体" w:cs="宋体"/>
                <w:i w:val="0"/>
                <w:iCs w:val="0"/>
                <w:caps w:val="0"/>
                <w:color w:val="auto"/>
                <w:spacing w:val="0"/>
                <w:sz w:val="22"/>
                <w:szCs w:val="22"/>
                <w:highlight w:val="none"/>
                <w:shd w:val="clear"/>
                <w:lang w:val="en-US" w:eastAsia="zh-CN"/>
              </w:rPr>
              <w:t>、</w:t>
            </w:r>
            <w:r>
              <w:rPr>
                <w:rFonts w:hint="eastAsia" w:ascii="宋体" w:hAnsi="宋体" w:eastAsia="宋体" w:cs="宋体"/>
                <w:color w:val="auto"/>
                <w:sz w:val="22"/>
                <w:szCs w:val="22"/>
                <w:highlight w:val="none"/>
                <w:lang w:val="en-US" w:eastAsia="zh-CN"/>
              </w:rPr>
              <w:t>围墙工程</w:t>
            </w:r>
            <w:r>
              <w:rPr>
                <w:rFonts w:hint="eastAsia" w:cs="宋体"/>
                <w:color w:val="auto"/>
                <w:sz w:val="22"/>
                <w:szCs w:val="22"/>
                <w:highlight w:val="none"/>
                <w:lang w:val="en-US" w:eastAsia="zh-CN"/>
              </w:rPr>
              <w:t>及</w:t>
            </w:r>
            <w:r>
              <w:rPr>
                <w:rFonts w:hint="eastAsia" w:ascii="宋体" w:hAnsi="宋体" w:eastAsia="宋体" w:cs="宋体"/>
                <w:color w:val="auto"/>
                <w:sz w:val="22"/>
                <w:szCs w:val="22"/>
                <w:highlight w:val="none"/>
                <w:lang w:val="en-US" w:eastAsia="zh-CN"/>
              </w:rPr>
              <w:t>装配式建筑</w:t>
            </w:r>
            <w:r>
              <w:rPr>
                <w:rFonts w:hint="eastAsia" w:cs="宋体"/>
                <w:color w:val="auto"/>
                <w:sz w:val="22"/>
                <w:szCs w:val="22"/>
                <w:highlight w:val="none"/>
                <w:lang w:val="en-US" w:eastAsia="zh-CN"/>
              </w:rPr>
              <w:t>（其中，</w:t>
            </w:r>
            <w:r>
              <w:rPr>
                <w:rFonts w:hint="eastAsia"/>
                <w:color w:val="auto"/>
                <w:sz w:val="22"/>
                <w:szCs w:val="22"/>
                <w:highlight w:val="none"/>
                <w:lang w:eastAsia="zh-CN"/>
              </w:rPr>
              <w:t>装配式建筑需描述：构建加工、运输、场地堆放和吊装等方面</w:t>
            </w:r>
            <w:r>
              <w:rPr>
                <w:rFonts w:hint="eastAsia" w:cs="宋体"/>
                <w:color w:val="auto"/>
                <w:sz w:val="22"/>
                <w:szCs w:val="22"/>
                <w:highlight w:val="none"/>
                <w:lang w:val="en-US" w:eastAsia="zh-CN"/>
              </w:rPr>
              <w:t>）。</w:t>
            </w:r>
          </w:p>
          <w:p w14:paraId="3FBCBE8F">
            <w:pPr>
              <w:pStyle w:val="384"/>
              <w:spacing w:line="288" w:lineRule="auto"/>
              <w:jc w:val="left"/>
              <w:rPr>
                <w:rFonts w:hint="eastAsia"/>
                <w:color w:val="auto"/>
                <w:sz w:val="22"/>
                <w:szCs w:val="22"/>
                <w:highlight w:val="none"/>
                <w:lang w:val="en-US" w:eastAsia="zh-CN"/>
              </w:rPr>
            </w:pPr>
            <w:r>
              <w:rPr>
                <w:rFonts w:hint="eastAsia"/>
                <w:color w:val="auto"/>
                <w:sz w:val="22"/>
                <w:szCs w:val="22"/>
                <w:highlight w:val="none"/>
              </w:rPr>
              <w:t>【优】</w:t>
            </w:r>
            <w:r>
              <w:rPr>
                <w:rFonts w:hint="eastAsia"/>
                <w:color w:val="auto"/>
                <w:sz w:val="22"/>
                <w:szCs w:val="22"/>
                <w:highlight w:val="none"/>
                <w:lang w:val="en-US" w:eastAsia="zh-CN"/>
              </w:rPr>
              <w:t>针对工程制定的重点难点分析及保障措施</w:t>
            </w:r>
            <w:r>
              <w:rPr>
                <w:rFonts w:hint="eastAsia"/>
                <w:color w:val="auto"/>
                <w:sz w:val="22"/>
                <w:szCs w:val="22"/>
                <w:highlight w:val="none"/>
              </w:rPr>
              <w:t>，</w:t>
            </w:r>
            <w:r>
              <w:rPr>
                <w:rFonts w:hint="eastAsia"/>
                <w:color w:val="auto"/>
                <w:sz w:val="22"/>
                <w:szCs w:val="22"/>
                <w:highlight w:val="none"/>
                <w:lang w:val="en-US" w:eastAsia="zh-CN"/>
              </w:rPr>
              <w:t>对重点难点及保障措施表述清晰、完整、严谨、可靠、合理，措施具体、针对性优，得3分。</w:t>
            </w:r>
          </w:p>
          <w:p w14:paraId="77F03A03">
            <w:pPr>
              <w:pStyle w:val="384"/>
              <w:spacing w:line="288" w:lineRule="auto"/>
              <w:jc w:val="left"/>
              <w:rPr>
                <w:color w:val="auto"/>
                <w:sz w:val="22"/>
                <w:szCs w:val="22"/>
                <w:highlight w:val="none"/>
                <w:lang w:val="en-US" w:eastAsia="zh-CN"/>
              </w:rPr>
            </w:pPr>
            <w:r>
              <w:rPr>
                <w:rFonts w:hint="eastAsia"/>
                <w:color w:val="auto"/>
                <w:sz w:val="22"/>
                <w:szCs w:val="22"/>
                <w:highlight w:val="none"/>
              </w:rPr>
              <w:t>【良】</w:t>
            </w:r>
            <w:r>
              <w:rPr>
                <w:rFonts w:hint="eastAsia"/>
                <w:color w:val="auto"/>
                <w:sz w:val="22"/>
                <w:szCs w:val="22"/>
                <w:highlight w:val="none"/>
                <w:lang w:val="en-US" w:eastAsia="zh-CN"/>
              </w:rPr>
              <w:t>针对工程制定的重点难点分析及保障措施</w:t>
            </w:r>
            <w:r>
              <w:rPr>
                <w:rFonts w:hint="eastAsia"/>
                <w:color w:val="auto"/>
                <w:sz w:val="22"/>
                <w:szCs w:val="22"/>
                <w:highlight w:val="none"/>
              </w:rPr>
              <w:t>，</w:t>
            </w:r>
            <w:r>
              <w:rPr>
                <w:rFonts w:hint="eastAsia"/>
                <w:color w:val="auto"/>
                <w:sz w:val="22"/>
                <w:szCs w:val="22"/>
                <w:highlight w:val="none"/>
                <w:lang w:val="en-US" w:eastAsia="zh-CN"/>
              </w:rPr>
              <w:t>对重点难点及保障措施表述比较清晰和完整、合理，措施比较具体，有一定的的针对性，</w:t>
            </w:r>
            <w:r>
              <w:rPr>
                <w:rFonts w:hint="eastAsia"/>
                <w:color w:val="auto"/>
                <w:sz w:val="22"/>
                <w:szCs w:val="22"/>
                <w:highlight w:val="none"/>
              </w:rPr>
              <w:t>得</w:t>
            </w:r>
            <w:r>
              <w:rPr>
                <w:rFonts w:hint="eastAsia"/>
                <w:color w:val="auto"/>
                <w:sz w:val="22"/>
                <w:szCs w:val="22"/>
                <w:highlight w:val="none"/>
                <w:lang w:val="en-US" w:eastAsia="zh-CN"/>
              </w:rPr>
              <w:t>2</w:t>
            </w:r>
            <w:r>
              <w:rPr>
                <w:rFonts w:hint="eastAsia"/>
                <w:color w:val="auto"/>
                <w:sz w:val="22"/>
                <w:szCs w:val="22"/>
                <w:highlight w:val="none"/>
              </w:rPr>
              <w:t>分。</w:t>
            </w:r>
          </w:p>
          <w:p w14:paraId="12BDD6CF">
            <w:pPr>
              <w:pStyle w:val="384"/>
              <w:spacing w:line="288" w:lineRule="auto"/>
              <w:jc w:val="left"/>
              <w:rPr>
                <w:rFonts w:hint="eastAsia"/>
                <w:color w:val="auto"/>
                <w:sz w:val="22"/>
                <w:szCs w:val="22"/>
                <w:highlight w:val="none"/>
                <w:lang w:val="en-US" w:eastAsia="zh-CN"/>
              </w:rPr>
            </w:pPr>
            <w:r>
              <w:rPr>
                <w:rFonts w:hint="eastAsia"/>
                <w:color w:val="auto"/>
                <w:sz w:val="22"/>
                <w:szCs w:val="22"/>
                <w:highlight w:val="none"/>
              </w:rPr>
              <w:t>【中】</w:t>
            </w:r>
            <w:r>
              <w:rPr>
                <w:rFonts w:hint="eastAsia"/>
                <w:color w:val="auto"/>
                <w:sz w:val="22"/>
                <w:szCs w:val="22"/>
                <w:highlight w:val="none"/>
                <w:lang w:val="en-US" w:eastAsia="zh-CN"/>
              </w:rPr>
              <w:t>针对工程制定的重点难点分析及保障措施</w:t>
            </w:r>
            <w:r>
              <w:rPr>
                <w:rFonts w:hint="eastAsia"/>
                <w:color w:val="auto"/>
                <w:sz w:val="22"/>
                <w:szCs w:val="22"/>
                <w:highlight w:val="none"/>
              </w:rPr>
              <w:t>，</w:t>
            </w:r>
            <w:r>
              <w:rPr>
                <w:rFonts w:hint="eastAsia"/>
                <w:color w:val="auto"/>
                <w:sz w:val="22"/>
                <w:szCs w:val="22"/>
                <w:highlight w:val="none"/>
                <w:lang w:val="en-US" w:eastAsia="zh-CN"/>
              </w:rPr>
              <w:t>对重点难点及保障措施的分析及表述一般，措施可行性一般或不具体，</w:t>
            </w:r>
            <w:r>
              <w:rPr>
                <w:rFonts w:hint="eastAsia"/>
                <w:color w:val="auto"/>
                <w:sz w:val="22"/>
                <w:szCs w:val="22"/>
                <w:highlight w:val="none"/>
              </w:rPr>
              <w:t>得</w:t>
            </w:r>
            <w:r>
              <w:rPr>
                <w:rFonts w:hint="eastAsia"/>
                <w:color w:val="auto"/>
                <w:sz w:val="22"/>
                <w:szCs w:val="22"/>
                <w:highlight w:val="none"/>
                <w:lang w:val="en-US" w:eastAsia="zh-CN"/>
              </w:rPr>
              <w:t>1</w:t>
            </w:r>
            <w:r>
              <w:rPr>
                <w:rFonts w:hint="eastAsia"/>
                <w:color w:val="auto"/>
                <w:sz w:val="22"/>
                <w:szCs w:val="22"/>
                <w:highlight w:val="none"/>
              </w:rPr>
              <w:t>分。</w:t>
            </w:r>
          </w:p>
          <w:p w14:paraId="1595C605">
            <w:pPr>
              <w:pStyle w:val="384"/>
              <w:spacing w:line="288" w:lineRule="auto"/>
              <w:ind w:left="24" w:hanging="24" w:hangingChars="11"/>
              <w:jc w:val="left"/>
              <w:rPr>
                <w:rFonts w:hint="eastAsia"/>
                <w:color w:val="auto"/>
                <w:sz w:val="22"/>
                <w:szCs w:val="22"/>
                <w:highlight w:val="none"/>
                <w:lang w:eastAsia="zh-CN"/>
              </w:rPr>
            </w:pPr>
            <w:r>
              <w:rPr>
                <w:rFonts w:hint="eastAsia"/>
                <w:color w:val="auto"/>
                <w:sz w:val="22"/>
                <w:szCs w:val="22"/>
                <w:highlight w:val="none"/>
              </w:rPr>
              <w:t>【差】不满足前述要求者，得0分</w:t>
            </w:r>
            <w:r>
              <w:rPr>
                <w:rFonts w:hint="eastAsia"/>
                <w:color w:val="auto"/>
                <w:sz w:val="22"/>
                <w:szCs w:val="22"/>
                <w:highlight w:val="none"/>
                <w:lang w:eastAsia="zh-CN"/>
              </w:rPr>
              <w:t>。</w:t>
            </w:r>
          </w:p>
          <w:p w14:paraId="3E752059">
            <w:pPr>
              <w:pStyle w:val="384"/>
              <w:spacing w:line="288" w:lineRule="auto"/>
              <w:ind w:left="24" w:hanging="24" w:hangingChars="11"/>
              <w:jc w:val="left"/>
              <w:rPr>
                <w:rFonts w:hint="eastAsia"/>
                <w:color w:val="auto"/>
                <w:sz w:val="22"/>
                <w:szCs w:val="22"/>
                <w:highlight w:val="none"/>
                <w:lang w:val="en-US" w:eastAsia="zh-CN"/>
              </w:rPr>
            </w:pPr>
            <w:r>
              <w:rPr>
                <w:rFonts w:hint="eastAsia"/>
                <w:color w:val="auto"/>
                <w:sz w:val="22"/>
                <w:szCs w:val="22"/>
                <w:highlight w:val="none"/>
                <w:lang w:eastAsia="zh-CN"/>
              </w:rPr>
              <w:t>注：</w:t>
            </w:r>
            <w:r>
              <w:rPr>
                <w:rFonts w:hint="eastAsia"/>
                <w:color w:val="auto"/>
                <w:sz w:val="22"/>
                <w:szCs w:val="22"/>
                <w:highlight w:val="none"/>
              </w:rPr>
              <w:t>重点难点分析措施方案字数控制在</w:t>
            </w:r>
            <w:r>
              <w:rPr>
                <w:rFonts w:hint="eastAsia"/>
                <w:color w:val="auto"/>
                <w:sz w:val="22"/>
                <w:szCs w:val="22"/>
                <w:highlight w:val="none"/>
                <w:lang w:eastAsia="zh-CN"/>
              </w:rPr>
              <w:t>1</w:t>
            </w:r>
            <w:r>
              <w:rPr>
                <w:color w:val="auto"/>
                <w:sz w:val="22"/>
                <w:szCs w:val="22"/>
                <w:highlight w:val="none"/>
                <w:lang w:eastAsia="zh-CN"/>
              </w:rPr>
              <w:t>500</w:t>
            </w:r>
            <w:r>
              <w:rPr>
                <w:rFonts w:hint="eastAsia"/>
                <w:color w:val="auto"/>
                <w:sz w:val="22"/>
                <w:szCs w:val="22"/>
                <w:highlight w:val="none"/>
                <w:lang w:eastAsia="zh-CN"/>
              </w:rPr>
              <w:t>字以内。</w:t>
            </w:r>
          </w:p>
        </w:tc>
      </w:tr>
      <w:tr w14:paraId="197CD67C">
        <w:tblPrEx>
          <w:tblCellMar>
            <w:top w:w="0" w:type="dxa"/>
            <w:left w:w="108" w:type="dxa"/>
            <w:bottom w:w="0" w:type="dxa"/>
            <w:right w:w="108" w:type="dxa"/>
          </w:tblCellMar>
        </w:tblPrEx>
        <w:trPr>
          <w:trHeight w:val="90" w:hRule="atLeast"/>
        </w:trPr>
        <w:tc>
          <w:tcPr>
            <w:tcW w:w="456" w:type="pct"/>
            <w:tcBorders>
              <w:top w:val="single" w:color="auto" w:sz="4" w:space="0"/>
              <w:left w:val="single" w:color="000000" w:sz="4" w:space="0"/>
              <w:bottom w:val="single" w:color="000000" w:sz="4" w:space="0"/>
              <w:right w:val="single" w:color="auto" w:sz="4" w:space="0"/>
            </w:tcBorders>
            <w:noWrap w:val="0"/>
            <w:vAlign w:val="center"/>
          </w:tcPr>
          <w:p w14:paraId="555C738D">
            <w:pPr>
              <w:widowControl/>
              <w:jc w:val="center"/>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9</w:t>
            </w:r>
          </w:p>
        </w:tc>
        <w:tc>
          <w:tcPr>
            <w:tcW w:w="762" w:type="pct"/>
            <w:tcBorders>
              <w:top w:val="single" w:color="auto" w:sz="4" w:space="0"/>
              <w:left w:val="single" w:color="000000" w:sz="4" w:space="0"/>
              <w:bottom w:val="single" w:color="000000" w:sz="4" w:space="0"/>
              <w:right w:val="single" w:color="000000" w:sz="4" w:space="0"/>
            </w:tcBorders>
            <w:noWrap w:val="0"/>
            <w:vAlign w:val="center"/>
          </w:tcPr>
          <w:p w14:paraId="3F3BC1D6">
            <w:pPr>
              <w:pStyle w:val="384"/>
              <w:spacing w:line="240" w:lineRule="auto"/>
              <w:jc w:val="center"/>
              <w:rPr>
                <w:color w:val="auto"/>
                <w:sz w:val="22"/>
                <w:szCs w:val="22"/>
                <w:highlight w:val="none"/>
                <w:lang w:val="en-US" w:eastAsia="zh-CN"/>
              </w:rPr>
            </w:pPr>
            <w:r>
              <w:rPr>
                <w:rFonts w:hint="eastAsia"/>
                <w:color w:val="auto"/>
                <w:sz w:val="22"/>
                <w:szCs w:val="22"/>
                <w:highlight w:val="none"/>
                <w:lang w:val="en-US" w:eastAsia="zh-CN"/>
              </w:rPr>
              <w:t>分包组织与管理措施</w:t>
            </w:r>
          </w:p>
          <w:p w14:paraId="2E2DF003">
            <w:pPr>
              <w:pStyle w:val="384"/>
              <w:spacing w:line="240" w:lineRule="auto"/>
              <w:jc w:val="center"/>
              <w:rPr>
                <w:rFonts w:hint="eastAsia"/>
                <w:color w:val="auto"/>
                <w:sz w:val="22"/>
                <w:szCs w:val="22"/>
                <w:highlight w:val="none"/>
                <w:lang w:val="en-US" w:eastAsia="zh-CN"/>
              </w:rPr>
            </w:pPr>
            <w:r>
              <w:rPr>
                <w:rFonts w:hint="eastAsia"/>
                <w:color w:val="auto"/>
                <w:sz w:val="22"/>
                <w:szCs w:val="22"/>
                <w:highlight w:val="none"/>
                <w:lang w:val="en-US" w:eastAsia="zh-CN"/>
              </w:rPr>
              <w:t>（0.5分）</w:t>
            </w:r>
          </w:p>
        </w:tc>
        <w:tc>
          <w:tcPr>
            <w:tcW w:w="3781" w:type="pct"/>
            <w:tcBorders>
              <w:top w:val="single" w:color="auto" w:sz="4" w:space="0"/>
              <w:left w:val="single" w:color="000000" w:sz="4" w:space="0"/>
              <w:bottom w:val="single" w:color="000000" w:sz="4" w:space="0"/>
              <w:right w:val="single" w:color="000000" w:sz="4" w:space="0"/>
            </w:tcBorders>
            <w:noWrap w:val="0"/>
            <w:vAlign w:val="top"/>
          </w:tcPr>
          <w:p w14:paraId="7A712208">
            <w:pPr>
              <w:pStyle w:val="384"/>
              <w:spacing w:line="288" w:lineRule="auto"/>
              <w:jc w:val="left"/>
              <w:rPr>
                <w:color w:val="auto"/>
                <w:sz w:val="22"/>
                <w:szCs w:val="22"/>
                <w:highlight w:val="none"/>
                <w:lang w:val="en-US" w:eastAsia="zh-CN"/>
              </w:rPr>
            </w:pPr>
            <w:r>
              <w:rPr>
                <w:rFonts w:hint="eastAsia"/>
                <w:color w:val="auto"/>
                <w:sz w:val="22"/>
                <w:szCs w:val="22"/>
                <w:highlight w:val="none"/>
                <w:lang w:val="en-US" w:eastAsia="zh-CN"/>
              </w:rPr>
              <w:t>【优】针对本项目分包组织与管理方法及措施，有具体明确的分包计划，有明确拟分包的专业，有分包队伍管理措施，有分包科学及合规性措施，得0.5分；</w:t>
            </w:r>
          </w:p>
          <w:p w14:paraId="51EAA319">
            <w:pPr>
              <w:pStyle w:val="384"/>
              <w:spacing w:line="288" w:lineRule="auto"/>
              <w:jc w:val="left"/>
              <w:rPr>
                <w:color w:val="auto"/>
                <w:sz w:val="22"/>
                <w:szCs w:val="22"/>
                <w:highlight w:val="none"/>
                <w:lang w:val="en-US" w:eastAsia="zh-CN"/>
              </w:rPr>
            </w:pPr>
            <w:r>
              <w:rPr>
                <w:rFonts w:hint="eastAsia"/>
                <w:color w:val="auto"/>
                <w:sz w:val="22"/>
                <w:szCs w:val="22"/>
                <w:highlight w:val="none"/>
                <w:lang w:val="en-US" w:eastAsia="zh-CN"/>
              </w:rPr>
              <w:t>【良】针对本项目分包组织与管理方法及措施，有具体明确的分包计划，有明确拟分包的专业，有分包队伍管理措施，得0.3分；</w:t>
            </w:r>
          </w:p>
          <w:p w14:paraId="1CD1C6C3">
            <w:pPr>
              <w:pStyle w:val="384"/>
              <w:spacing w:line="288" w:lineRule="auto"/>
              <w:jc w:val="left"/>
              <w:rPr>
                <w:color w:val="auto"/>
                <w:sz w:val="22"/>
                <w:szCs w:val="22"/>
                <w:highlight w:val="none"/>
                <w:lang w:val="en-US" w:eastAsia="zh-CN"/>
              </w:rPr>
            </w:pPr>
            <w:r>
              <w:rPr>
                <w:rFonts w:hint="eastAsia"/>
                <w:color w:val="auto"/>
                <w:sz w:val="22"/>
                <w:szCs w:val="22"/>
                <w:highlight w:val="none"/>
                <w:lang w:val="en-US" w:eastAsia="zh-CN"/>
              </w:rPr>
              <w:t>【中】针对本项目分包组织与管理方法及措施，有具体明确的分包计划，有明确拟分包的专业，得0.1分；</w:t>
            </w:r>
          </w:p>
          <w:p w14:paraId="1E616636">
            <w:pPr>
              <w:pStyle w:val="384"/>
              <w:spacing w:line="288" w:lineRule="auto"/>
              <w:jc w:val="left"/>
              <w:rPr>
                <w:color w:val="auto"/>
                <w:sz w:val="22"/>
                <w:szCs w:val="22"/>
                <w:highlight w:val="none"/>
                <w:lang w:val="en-US" w:eastAsia="zh-CN"/>
              </w:rPr>
            </w:pPr>
            <w:r>
              <w:rPr>
                <w:rFonts w:hint="eastAsia"/>
                <w:color w:val="auto"/>
                <w:sz w:val="22"/>
                <w:szCs w:val="22"/>
                <w:highlight w:val="none"/>
                <w:lang w:val="en-US" w:eastAsia="zh-CN"/>
              </w:rPr>
              <w:t>【差】无分包组织与管理方法及措施或不承诺施工工作不分包的，得0分。</w:t>
            </w:r>
          </w:p>
          <w:p w14:paraId="4533084B">
            <w:pPr>
              <w:pStyle w:val="384"/>
              <w:spacing w:line="288" w:lineRule="auto"/>
              <w:jc w:val="left"/>
              <w:rPr>
                <w:rFonts w:hint="eastAsia"/>
                <w:color w:val="auto"/>
                <w:sz w:val="22"/>
                <w:szCs w:val="22"/>
                <w:highlight w:val="none"/>
                <w:lang w:val="en-US" w:eastAsia="zh-CN"/>
              </w:rPr>
            </w:pPr>
            <w:r>
              <w:rPr>
                <w:rFonts w:hint="eastAsia"/>
                <w:color w:val="auto"/>
                <w:sz w:val="22"/>
                <w:szCs w:val="22"/>
                <w:highlight w:val="none"/>
                <w:lang w:val="en-US" w:eastAsia="zh-CN"/>
              </w:rPr>
              <w:t>注：投标人承诺自行承担全部施工工作任务，不对本项目施工工作范围内的专业施工任务进行分包的，按“优”档计分。（承诺函格式自拟）。</w:t>
            </w:r>
          </w:p>
        </w:tc>
      </w:tr>
    </w:tbl>
    <w:p w14:paraId="08E34635">
      <w:pPr>
        <w:spacing w:line="360" w:lineRule="auto"/>
        <w:rPr>
          <w:rFonts w:hint="eastAsia" w:ascii="宋体" w:hAnsi="宋体"/>
          <w:b/>
          <w:bCs/>
          <w:color w:val="auto"/>
          <w:szCs w:val="21"/>
          <w:highlight w:val="none"/>
        </w:rPr>
      </w:pPr>
      <w:r>
        <w:rPr>
          <w:rFonts w:hint="eastAsia" w:ascii="宋体" w:hAnsi="宋体"/>
          <w:b/>
          <w:bCs/>
          <w:color w:val="auto"/>
          <w:szCs w:val="21"/>
          <w:highlight w:val="none"/>
        </w:rPr>
        <w:t>备注：</w:t>
      </w:r>
    </w:p>
    <w:p w14:paraId="2EF1D050">
      <w:pPr>
        <w:spacing w:line="360" w:lineRule="auto"/>
        <w:rPr>
          <w:rFonts w:hint="eastAsia"/>
          <w:b/>
          <w:bCs/>
          <w:color w:val="auto"/>
          <w:highlight w:val="none"/>
          <w:lang w:bidi="zh-TW"/>
        </w:rPr>
      </w:pPr>
      <w:r>
        <w:rPr>
          <w:rFonts w:hint="eastAsia" w:ascii="宋体" w:hAnsi="宋体"/>
          <w:b/>
          <w:bCs/>
          <w:color w:val="auto"/>
          <w:szCs w:val="21"/>
          <w:highlight w:val="none"/>
          <w:lang w:eastAsia="zh-CN"/>
        </w:rPr>
        <w:t>1</w:t>
      </w:r>
      <w:r>
        <w:rPr>
          <w:rFonts w:hint="eastAsia" w:ascii="宋体" w:hAnsi="宋体"/>
          <w:b/>
          <w:bCs/>
          <w:color w:val="auto"/>
          <w:szCs w:val="21"/>
          <w:highlight w:val="none"/>
        </w:rPr>
        <w:t>.投标人得分为各评委评分的算术平均值（若分数出现小数点时，保留小数点后二位，第三位小数四舍五入）。</w:t>
      </w:r>
    </w:p>
    <w:p w14:paraId="22F5C5FE">
      <w:pPr>
        <w:spacing w:line="360" w:lineRule="auto"/>
        <w:jc w:val="center"/>
        <w:rPr>
          <w:rFonts w:hint="eastAsia" w:ascii="宋体" w:hAnsi="宋体" w:cs="宋体"/>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s="宋体"/>
          <w:color w:val="auto"/>
          <w:szCs w:val="21"/>
          <w:highlight w:val="none"/>
        </w:rPr>
        <w:t xml:space="preserve">                        </w:t>
      </w:r>
    </w:p>
    <w:p w14:paraId="79AA7CCA">
      <w:pPr>
        <w:pStyle w:val="3"/>
        <w:jc w:val="center"/>
        <w:rPr>
          <w:rFonts w:hint="eastAsia" w:cs="宋体"/>
          <w:color w:val="auto"/>
          <w:sz w:val="36"/>
          <w:szCs w:val="36"/>
          <w:highlight w:val="none"/>
        </w:rPr>
      </w:pPr>
      <w:bookmarkStart w:id="53" w:name="_Toc10169"/>
      <w:bookmarkStart w:id="54" w:name="_Toc100130488"/>
      <w:bookmarkStart w:id="55" w:name="_Toc2272566"/>
      <w:r>
        <w:rPr>
          <w:rFonts w:hint="eastAsia" w:cs="宋体"/>
          <w:color w:val="auto"/>
          <w:sz w:val="36"/>
          <w:szCs w:val="36"/>
          <w:highlight w:val="none"/>
        </w:rPr>
        <w:t>第三章 合同条款</w:t>
      </w:r>
      <w:bookmarkEnd w:id="53"/>
      <w:bookmarkEnd w:id="54"/>
      <w:bookmarkEnd w:id="55"/>
    </w:p>
    <w:p w14:paraId="1A958386">
      <w:pPr>
        <w:snapToGrid w:val="0"/>
        <w:spacing w:line="520" w:lineRule="exact"/>
        <w:jc w:val="center"/>
        <w:outlineLvl w:val="1"/>
        <w:rPr>
          <w:rFonts w:hint="eastAsia" w:ascii="宋体" w:hAnsi="宋体" w:cs="宋体"/>
          <w:b/>
          <w:color w:val="auto"/>
          <w:sz w:val="28"/>
          <w:szCs w:val="28"/>
          <w:highlight w:val="none"/>
        </w:rPr>
      </w:pPr>
      <w:bookmarkStart w:id="56" w:name="_Toc14012"/>
      <w:r>
        <w:rPr>
          <w:rFonts w:hint="eastAsia" w:ascii="宋体" w:hAnsi="宋体" w:cs="宋体"/>
          <w:b/>
          <w:color w:val="auto"/>
          <w:sz w:val="28"/>
          <w:szCs w:val="28"/>
          <w:highlight w:val="none"/>
        </w:rPr>
        <w:t>另册</w:t>
      </w:r>
      <w:bookmarkEnd w:id="56"/>
    </w:p>
    <w:p w14:paraId="04DE17C8">
      <w:pPr>
        <w:widowControl/>
        <w:jc w:val="center"/>
        <w:outlineLvl w:val="0"/>
        <w:rPr>
          <w:rFonts w:hint="eastAsia" w:ascii="宋体" w:hAnsi="宋体" w:cs="宋体"/>
          <w:color w:val="auto"/>
          <w:sz w:val="36"/>
          <w:szCs w:val="36"/>
          <w:highlight w:val="none"/>
        </w:rPr>
      </w:pPr>
      <w:bookmarkStart w:id="128" w:name="_GoBack"/>
      <w:bookmarkEnd w:id="128"/>
      <w:r>
        <w:rPr>
          <w:rFonts w:hint="eastAsia" w:ascii="宋体" w:hAnsi="宋体" w:cs="宋体"/>
          <w:b/>
          <w:color w:val="auto"/>
          <w:sz w:val="28"/>
          <w:szCs w:val="28"/>
          <w:highlight w:val="none"/>
        </w:rPr>
        <w:br w:type="page"/>
      </w:r>
      <w:bookmarkStart w:id="57" w:name="_Toc18961"/>
      <w:bookmarkStart w:id="58" w:name="_Toc2272567"/>
      <w:bookmarkStart w:id="59" w:name="_Toc100130489"/>
      <w:r>
        <w:rPr>
          <w:rFonts w:hint="eastAsia" w:ascii="宋体" w:hAnsi="宋体" w:cs="宋体"/>
          <w:b/>
          <w:bCs/>
          <w:color w:val="auto"/>
          <w:sz w:val="36"/>
          <w:szCs w:val="36"/>
          <w:highlight w:val="none"/>
        </w:rPr>
        <w:t>第四章 投标文件格式</w:t>
      </w:r>
      <w:bookmarkEnd w:id="57"/>
      <w:bookmarkEnd w:id="58"/>
      <w:bookmarkEnd w:id="59"/>
    </w:p>
    <w:p w14:paraId="1EBC4CF0">
      <w:pPr>
        <w:pStyle w:val="4"/>
        <w:rPr>
          <w:rFonts w:hint="eastAsia" w:cs="宋体"/>
          <w:color w:val="auto"/>
          <w:sz w:val="32"/>
          <w:szCs w:val="32"/>
          <w:highlight w:val="none"/>
        </w:rPr>
      </w:pPr>
      <w:bookmarkStart w:id="60" w:name="_Toc100130490"/>
      <w:bookmarkStart w:id="61" w:name="_Toc5478"/>
      <w:r>
        <w:rPr>
          <w:rFonts w:hint="eastAsia" w:cs="宋体"/>
          <w:color w:val="auto"/>
          <w:sz w:val="32"/>
          <w:szCs w:val="32"/>
          <w:highlight w:val="none"/>
        </w:rPr>
        <w:t>一、投标文件技术标部分格式</w:t>
      </w:r>
      <w:bookmarkEnd w:id="60"/>
      <w:bookmarkEnd w:id="61"/>
    </w:p>
    <w:p w14:paraId="51C365BE">
      <w:pPr>
        <w:topLinePunct/>
        <w:adjustRightInd w:val="0"/>
        <w:snapToGrid w:val="0"/>
        <w:spacing w:line="360" w:lineRule="auto"/>
        <w:jc w:val="left"/>
        <w:rPr>
          <w:rFonts w:hint="eastAsia" w:ascii="宋体" w:hAnsi="宋体" w:cs="宋体"/>
          <w:b/>
          <w:bCs/>
          <w:color w:val="auto"/>
          <w:sz w:val="24"/>
          <w:szCs w:val="24"/>
          <w:highlight w:val="none"/>
        </w:rPr>
      </w:pPr>
      <w:bookmarkStart w:id="62" w:name="_Toc60070621"/>
      <w:bookmarkStart w:id="63" w:name="_Toc100130491"/>
      <w:r>
        <w:rPr>
          <w:rFonts w:hint="eastAsia" w:ascii="宋体" w:hAnsi="宋体" w:cs="宋体"/>
          <w:b/>
          <w:bCs/>
          <w:color w:val="auto"/>
          <w:sz w:val="24"/>
          <w:szCs w:val="24"/>
          <w:highlight w:val="none"/>
        </w:rPr>
        <w:br w:type="page"/>
      </w:r>
      <w:r>
        <w:rPr>
          <w:rFonts w:hint="eastAsia" w:ascii="宋体" w:hAnsi="宋体" w:cs="宋体"/>
          <w:b/>
          <w:bCs/>
          <w:color w:val="auto"/>
          <w:sz w:val="24"/>
          <w:szCs w:val="24"/>
          <w:highlight w:val="none"/>
        </w:rPr>
        <w:t>格式一：技术标封面</w:t>
      </w:r>
    </w:p>
    <w:p w14:paraId="544E75B4">
      <w:pPr>
        <w:topLinePunct/>
        <w:adjustRightInd w:val="0"/>
        <w:snapToGrid w:val="0"/>
        <w:spacing w:line="360" w:lineRule="auto"/>
        <w:jc w:val="center"/>
        <w:rPr>
          <w:rFonts w:hint="eastAsia" w:ascii="宋体" w:hAnsi="宋体" w:cs="宋体"/>
          <w:color w:val="auto"/>
          <w:spacing w:val="4"/>
          <w:kern w:val="0"/>
          <w:sz w:val="36"/>
          <w:szCs w:val="36"/>
          <w:highlight w:val="none"/>
          <w:u w:val="single"/>
        </w:rPr>
      </w:pPr>
      <w:r>
        <w:rPr>
          <w:rFonts w:hint="eastAsia" w:ascii="宋体" w:hAnsi="宋体" w:cs="宋体"/>
          <w:color w:val="auto"/>
          <w:spacing w:val="4"/>
          <w:kern w:val="0"/>
          <w:sz w:val="36"/>
          <w:szCs w:val="36"/>
          <w:highlight w:val="none"/>
          <w:u w:val="single"/>
        </w:rPr>
        <w:t xml:space="preserve">[工程名称] </w:t>
      </w:r>
    </w:p>
    <w:p w14:paraId="612453B9">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547860A6">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71E0684F">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24DEED7F">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21E78D45">
      <w:pPr>
        <w:topLinePunct/>
        <w:adjustRightInd w:val="0"/>
        <w:snapToGrid w:val="0"/>
        <w:spacing w:line="360" w:lineRule="auto"/>
        <w:jc w:val="center"/>
        <w:rPr>
          <w:rFonts w:hint="eastAsia" w:ascii="宋体" w:hAnsi="宋体" w:cs="宋体"/>
          <w:color w:val="auto"/>
          <w:spacing w:val="4"/>
          <w:kern w:val="0"/>
          <w:sz w:val="84"/>
          <w:szCs w:val="84"/>
          <w:highlight w:val="none"/>
        </w:rPr>
      </w:pPr>
      <w:r>
        <w:rPr>
          <w:rFonts w:hint="eastAsia" w:ascii="宋体" w:hAnsi="宋体" w:cs="宋体"/>
          <w:color w:val="auto"/>
          <w:spacing w:val="4"/>
          <w:kern w:val="0"/>
          <w:sz w:val="84"/>
          <w:szCs w:val="84"/>
          <w:highlight w:val="none"/>
        </w:rPr>
        <w:t>投标文件</w:t>
      </w:r>
    </w:p>
    <w:p w14:paraId="59A2DA94">
      <w:pPr>
        <w:topLinePunct/>
        <w:adjustRightInd w:val="0"/>
        <w:snapToGrid w:val="0"/>
        <w:spacing w:line="360" w:lineRule="auto"/>
        <w:jc w:val="center"/>
        <w:rPr>
          <w:rFonts w:hint="eastAsia" w:ascii="宋体" w:hAnsi="宋体" w:cs="宋体"/>
          <w:color w:val="auto"/>
          <w:spacing w:val="4"/>
          <w:kern w:val="0"/>
          <w:sz w:val="36"/>
          <w:szCs w:val="36"/>
          <w:highlight w:val="none"/>
        </w:rPr>
      </w:pPr>
      <w:r>
        <w:rPr>
          <w:rFonts w:hint="eastAsia" w:ascii="宋体" w:hAnsi="宋体" w:cs="宋体"/>
          <w:color w:val="auto"/>
          <w:spacing w:val="4"/>
          <w:kern w:val="0"/>
          <w:sz w:val="36"/>
          <w:szCs w:val="36"/>
          <w:highlight w:val="none"/>
        </w:rPr>
        <w:t>第一册  【技术投标文件（含资格审查文件）】</w:t>
      </w:r>
    </w:p>
    <w:p w14:paraId="3AC4E3D2">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0E0F3DE9">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03E68C91">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16ED46BB">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44ED7FBB">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1748FB8D">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311C9240">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投标人：</w:t>
      </w:r>
      <w:r>
        <w:rPr>
          <w:rFonts w:hint="eastAsia" w:ascii="宋体" w:hAnsi="宋体" w:cs="宋体"/>
          <w:color w:val="auto"/>
          <w:spacing w:val="4"/>
          <w:kern w:val="0"/>
          <w:sz w:val="30"/>
          <w:szCs w:val="30"/>
          <w:highlight w:val="none"/>
          <w:u w:val="single"/>
        </w:rPr>
        <w:t xml:space="preserve">           （填写投标人单位名称）    （盖章）</w:t>
      </w:r>
    </w:p>
    <w:p w14:paraId="122C9DEB">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法定代表人或</w:t>
      </w:r>
    </w:p>
    <w:p w14:paraId="405DC97C">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其委托代理人：</w:t>
      </w:r>
      <w:r>
        <w:rPr>
          <w:rFonts w:hint="eastAsia" w:ascii="宋体" w:hAnsi="宋体" w:cs="宋体"/>
          <w:color w:val="auto"/>
          <w:spacing w:val="4"/>
          <w:kern w:val="0"/>
          <w:sz w:val="30"/>
          <w:szCs w:val="30"/>
          <w:highlight w:val="none"/>
          <w:u w:val="single"/>
        </w:rPr>
        <w:t xml:space="preserve">                         （签名或盖章）</w:t>
      </w:r>
    </w:p>
    <w:p w14:paraId="27AE6A39">
      <w:pPr>
        <w:topLinePunct/>
        <w:adjustRightInd w:val="0"/>
        <w:snapToGrid w:val="0"/>
        <w:spacing w:line="360" w:lineRule="auto"/>
        <w:ind w:firstLine="616" w:firstLineChars="200"/>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30"/>
          <w:szCs w:val="30"/>
          <w:highlight w:val="none"/>
        </w:rPr>
        <w:t>日  期：</w:t>
      </w:r>
      <w:r>
        <w:rPr>
          <w:rFonts w:hint="eastAsia" w:ascii="宋体" w:hAnsi="宋体" w:cs="宋体"/>
          <w:color w:val="auto"/>
          <w:spacing w:val="4"/>
          <w:kern w:val="0"/>
          <w:sz w:val="30"/>
          <w:szCs w:val="30"/>
          <w:highlight w:val="none"/>
          <w:u w:val="single"/>
        </w:rPr>
        <w:t xml:space="preserve">                                            </w:t>
      </w:r>
    </w:p>
    <w:p w14:paraId="246ACA39">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009268F6">
      <w:pPr>
        <w:rPr>
          <w:rFonts w:ascii="宋体" w:hAnsi="宋体"/>
          <w:color w:val="auto"/>
          <w:highlight w:val="none"/>
        </w:rPr>
      </w:pPr>
      <w:r>
        <w:rPr>
          <w:rFonts w:hint="eastAsia" w:ascii="宋体" w:hAnsi="宋体" w:cs="宋体"/>
          <w:b/>
          <w:bCs/>
          <w:color w:val="auto"/>
          <w:sz w:val="24"/>
          <w:szCs w:val="24"/>
          <w:highlight w:val="none"/>
        </w:rPr>
        <w:br w:type="page"/>
      </w:r>
      <w:bookmarkEnd w:id="62"/>
      <w:bookmarkEnd w:id="63"/>
      <w:bookmarkStart w:id="64" w:name="_Toc510963884"/>
      <w:bookmarkStart w:id="65" w:name="_Toc532475787"/>
      <w:bookmarkStart w:id="66" w:name="_Toc532475354"/>
      <w:bookmarkStart w:id="67" w:name="_Toc60070631"/>
      <w:bookmarkStart w:id="68" w:name="_Toc100130492"/>
      <w:bookmarkStart w:id="69" w:name="_Toc58838603"/>
      <w:bookmarkStart w:id="70" w:name="_Toc60070622"/>
    </w:p>
    <w:p w14:paraId="110773F9">
      <w:pPr>
        <w:pStyle w:val="5"/>
        <w:rPr>
          <w:color w:val="auto"/>
          <w:highlight w:val="none"/>
        </w:rPr>
      </w:pPr>
      <w:r>
        <w:rPr>
          <w:rFonts w:hint="eastAsia"/>
          <w:color w:val="auto"/>
          <w:highlight w:val="none"/>
        </w:rPr>
        <w:t>格式二：广州建设工程施工招标投标书</w:t>
      </w:r>
      <w:bookmarkEnd w:id="64"/>
      <w:bookmarkEnd w:id="65"/>
      <w:bookmarkEnd w:id="66"/>
    </w:p>
    <w:p w14:paraId="35B02E5C">
      <w:pPr>
        <w:pStyle w:val="143"/>
        <w:ind w:firstLine="496"/>
        <w:rPr>
          <w:color w:val="auto"/>
          <w:highlight w:val="none"/>
        </w:rPr>
      </w:pPr>
    </w:p>
    <w:p w14:paraId="07B0AA9F">
      <w:pPr>
        <w:autoSpaceDE w:val="0"/>
        <w:autoSpaceDN w:val="0"/>
        <w:adjustRightInd w:val="0"/>
        <w:ind w:left="-540" w:leftChars="-257" w:firstLine="1135" w:firstLineChars="257"/>
        <w:jc w:val="center"/>
        <w:rPr>
          <w:rFonts w:ascii="宋体" w:hAns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50"/>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5"/>
        <w:gridCol w:w="3574"/>
      </w:tblGrid>
      <w:tr w14:paraId="19A5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14:paraId="2329531D">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3574" w:type="dxa"/>
            <w:tcBorders>
              <w:top w:val="single" w:color="auto" w:sz="4" w:space="0"/>
              <w:left w:val="single" w:color="auto" w:sz="4" w:space="0"/>
              <w:bottom w:val="single" w:color="auto" w:sz="4" w:space="0"/>
              <w:right w:val="single" w:color="auto" w:sz="4" w:space="0"/>
            </w:tcBorders>
            <w:noWrap w:val="0"/>
            <w:vAlign w:val="top"/>
          </w:tcPr>
          <w:p w14:paraId="4C65387C">
            <w:pPr>
              <w:autoSpaceDE w:val="0"/>
              <w:autoSpaceDN w:val="0"/>
              <w:adjustRightInd w:val="0"/>
              <w:rPr>
                <w:rFonts w:ascii="宋体" w:hAnsi="宋体" w:cs="宋体"/>
                <w:b/>
                <w:bCs/>
                <w:color w:val="auto"/>
                <w:sz w:val="24"/>
                <w:szCs w:val="24"/>
                <w:highlight w:val="none"/>
                <w:lang w:val="zh-CN"/>
              </w:rPr>
            </w:pPr>
          </w:p>
        </w:tc>
      </w:tr>
      <w:tr w14:paraId="0525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14:paraId="14604BDF">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6CB4A163">
            <w:pPr>
              <w:autoSpaceDE w:val="0"/>
              <w:autoSpaceDN w:val="0"/>
              <w:adjustRightInd w:val="0"/>
              <w:rPr>
                <w:rFonts w:ascii="宋体" w:hAnsi="宋体" w:cs="宋体"/>
                <w:b/>
                <w:bCs/>
                <w:color w:val="auto"/>
                <w:sz w:val="24"/>
                <w:szCs w:val="24"/>
                <w:highlight w:val="none"/>
                <w:lang w:val="zh-CN"/>
              </w:rPr>
            </w:pPr>
          </w:p>
        </w:tc>
      </w:tr>
      <w:tr w14:paraId="4013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14:paraId="54AC33CC">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75D3AEAA">
            <w:pPr>
              <w:autoSpaceDE w:val="0"/>
              <w:autoSpaceDN w:val="0"/>
              <w:adjustRightInd w:val="0"/>
              <w:rPr>
                <w:rFonts w:ascii="宋体" w:hAnsi="宋体" w:cs="宋体"/>
                <w:b/>
                <w:bCs/>
                <w:color w:val="auto"/>
                <w:sz w:val="24"/>
                <w:szCs w:val="24"/>
                <w:highlight w:val="none"/>
                <w:lang w:val="zh-CN"/>
              </w:rPr>
            </w:pPr>
          </w:p>
        </w:tc>
      </w:tr>
      <w:tr w14:paraId="2818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3DA16F7C">
            <w:pPr>
              <w:widowControl/>
              <w:ind w:firstLine="1205" w:firstLineChars="5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4C3EA35D">
            <w:pPr>
              <w:autoSpaceDE w:val="0"/>
              <w:autoSpaceDN w:val="0"/>
              <w:adjustRightInd w:val="0"/>
              <w:rPr>
                <w:rFonts w:ascii="宋体" w:hAnsi="宋体" w:cs="宋体"/>
                <w:b/>
                <w:bCs/>
                <w:color w:val="auto"/>
                <w:sz w:val="24"/>
                <w:szCs w:val="24"/>
                <w:highlight w:val="none"/>
                <w:lang w:val="zh-CN"/>
              </w:rPr>
            </w:pPr>
          </w:p>
        </w:tc>
      </w:tr>
      <w:tr w14:paraId="32B0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14:paraId="15B737BE">
            <w:pPr>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3574" w:type="dxa"/>
            <w:tcBorders>
              <w:top w:val="single" w:color="auto" w:sz="4" w:space="0"/>
              <w:left w:val="single" w:color="auto" w:sz="4" w:space="0"/>
              <w:bottom w:val="single" w:color="auto" w:sz="4" w:space="0"/>
              <w:right w:val="single" w:color="auto" w:sz="4" w:space="0"/>
            </w:tcBorders>
            <w:noWrap w:val="0"/>
            <w:vAlign w:val="top"/>
          </w:tcPr>
          <w:p w14:paraId="6B769D75">
            <w:pPr>
              <w:autoSpaceDE w:val="0"/>
              <w:autoSpaceDN w:val="0"/>
              <w:adjustRightInd w:val="0"/>
              <w:rPr>
                <w:rFonts w:ascii="宋体" w:hAnsi="宋体" w:cs="宋体"/>
                <w:b/>
                <w:bCs/>
                <w:color w:val="auto"/>
                <w:sz w:val="24"/>
                <w:szCs w:val="24"/>
                <w:highlight w:val="none"/>
                <w:lang w:val="zh-CN"/>
              </w:rPr>
            </w:pPr>
          </w:p>
        </w:tc>
      </w:tr>
      <w:tr w14:paraId="3DB2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14:paraId="1AD7A18F">
            <w:pPr>
              <w:jc w:val="center"/>
              <w:rPr>
                <w:rFonts w:ascii="宋体" w:hAns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noWrap w:val="0"/>
            <w:vAlign w:val="top"/>
          </w:tcPr>
          <w:p w14:paraId="1AEE2343">
            <w:pPr>
              <w:autoSpaceDE w:val="0"/>
              <w:autoSpaceDN w:val="0"/>
              <w:adjustRightInd w:val="0"/>
              <w:rPr>
                <w:rFonts w:ascii="宋体" w:hAnsi="宋体" w:cs="宋体"/>
                <w:b/>
                <w:bCs/>
                <w:color w:val="auto"/>
                <w:sz w:val="24"/>
                <w:szCs w:val="24"/>
                <w:highlight w:val="none"/>
                <w:lang w:val="zh-CN"/>
              </w:rPr>
            </w:pPr>
          </w:p>
        </w:tc>
      </w:tr>
      <w:tr w14:paraId="2F55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14:paraId="0A1A86CD">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保修期限</w:t>
            </w:r>
          </w:p>
        </w:tc>
        <w:tc>
          <w:tcPr>
            <w:tcW w:w="3574" w:type="dxa"/>
            <w:tcBorders>
              <w:top w:val="single" w:color="auto" w:sz="4" w:space="0"/>
              <w:left w:val="single" w:color="auto" w:sz="4" w:space="0"/>
              <w:bottom w:val="single" w:color="auto" w:sz="4" w:space="0"/>
              <w:right w:val="single" w:color="auto" w:sz="4" w:space="0"/>
            </w:tcBorders>
            <w:noWrap w:val="0"/>
            <w:vAlign w:val="top"/>
          </w:tcPr>
          <w:p w14:paraId="4000DE33">
            <w:pPr>
              <w:autoSpaceDE w:val="0"/>
              <w:autoSpaceDN w:val="0"/>
              <w:adjustRightInd w:val="0"/>
              <w:rPr>
                <w:rFonts w:ascii="宋体" w:hAnsi="宋体" w:cs="宋体"/>
                <w:b/>
                <w:bCs/>
                <w:color w:val="auto"/>
                <w:sz w:val="24"/>
                <w:szCs w:val="24"/>
                <w:highlight w:val="none"/>
                <w:lang w:val="zh-CN"/>
              </w:rPr>
            </w:pPr>
          </w:p>
        </w:tc>
      </w:tr>
    </w:tbl>
    <w:p w14:paraId="0D1072DA">
      <w:pPr>
        <w:tabs>
          <w:tab w:val="left" w:pos="720"/>
        </w:tabs>
        <w:snapToGrid w:val="0"/>
        <w:spacing w:line="360" w:lineRule="auto"/>
        <w:rPr>
          <w:rFonts w:ascii="宋体" w:hAnsi="宋体"/>
          <w:b/>
          <w:bCs/>
          <w:color w:val="auto"/>
          <w:sz w:val="24"/>
          <w:szCs w:val="24"/>
          <w:highlight w:val="none"/>
          <w:u w:val="single"/>
        </w:rPr>
      </w:pPr>
      <w:r>
        <w:rPr>
          <w:rFonts w:hint="eastAsia" w:ascii="宋体" w:hAnsi="宋体"/>
          <w:b/>
          <w:bCs/>
          <w:color w:val="auto"/>
          <w:sz w:val="24"/>
          <w:szCs w:val="24"/>
          <w:highlight w:val="none"/>
          <w:u w:val="single"/>
        </w:rPr>
        <w:t>注：投标总报价明细表详见格式二附表。</w:t>
      </w:r>
    </w:p>
    <w:p w14:paraId="6ED16C27">
      <w:pPr>
        <w:pStyle w:val="5"/>
        <w:rPr>
          <w:rFonts w:hint="eastAsia" w:cs="宋体"/>
          <w:b/>
          <w:bCs/>
          <w:color w:val="auto"/>
          <w:sz w:val="24"/>
          <w:szCs w:val="24"/>
          <w:highlight w:val="none"/>
        </w:rPr>
      </w:pPr>
      <w:r>
        <w:rPr>
          <w:rFonts w:hint="eastAsia" w:cs="宋体"/>
          <w:b/>
          <w:bCs/>
          <w:color w:val="auto"/>
          <w:sz w:val="24"/>
          <w:szCs w:val="24"/>
          <w:highlight w:val="none"/>
        </w:rPr>
        <w:br w:type="page"/>
      </w:r>
      <w:r>
        <w:rPr>
          <w:rFonts w:hint="eastAsia" w:cs="宋体"/>
          <w:b/>
          <w:bCs/>
          <w:color w:val="auto"/>
          <w:sz w:val="24"/>
          <w:szCs w:val="24"/>
          <w:highlight w:val="none"/>
          <w:u w:val="single"/>
        </w:rPr>
        <w:t>格式二附表：</w:t>
      </w:r>
    </w:p>
    <w:p w14:paraId="1D20F45F">
      <w:pPr>
        <w:pStyle w:val="110"/>
        <w:rPr>
          <w:rFonts w:hint="eastAsia"/>
          <w:color w:val="auto"/>
          <w:highlight w:val="none"/>
        </w:rPr>
      </w:pPr>
    </w:p>
    <w:p w14:paraId="682BCE50">
      <w:pPr>
        <w:pStyle w:val="5"/>
        <w:jc w:val="center"/>
        <w:rPr>
          <w:rFonts w:hint="eastAsia"/>
          <w:b/>
          <w:color w:val="auto"/>
          <w:spacing w:val="4"/>
          <w:sz w:val="28"/>
          <w:szCs w:val="28"/>
          <w:highlight w:val="none"/>
        </w:rPr>
      </w:pPr>
      <w:r>
        <w:rPr>
          <w:rFonts w:hint="eastAsia"/>
          <w:b/>
          <w:color w:val="auto"/>
          <w:spacing w:val="4"/>
          <w:sz w:val="28"/>
          <w:szCs w:val="28"/>
          <w:highlight w:val="none"/>
        </w:rPr>
        <w:t>报价明细表</w:t>
      </w:r>
    </w:p>
    <w:tbl>
      <w:tblPr>
        <w:tblStyle w:val="50"/>
        <w:tblW w:w="51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981"/>
        <w:gridCol w:w="5876"/>
      </w:tblGrid>
      <w:tr w14:paraId="27E6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3608" w:type="dxa"/>
            <w:gridSpan w:val="2"/>
            <w:tcBorders>
              <w:left w:val="single" w:color="auto" w:sz="4" w:space="0"/>
              <w:right w:val="single" w:color="auto" w:sz="4" w:space="0"/>
            </w:tcBorders>
            <w:noWrap w:val="0"/>
            <w:vAlign w:val="center"/>
          </w:tcPr>
          <w:p w14:paraId="155BE3D8">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工</w:t>
            </w:r>
            <w:r>
              <w:rPr>
                <w:rFonts w:ascii="宋体" w:hAnsi="宋体" w:cs="宋体"/>
                <w:bCs/>
                <w:color w:val="auto"/>
                <w:sz w:val="24"/>
                <w:szCs w:val="24"/>
                <w:highlight w:val="none"/>
                <w:lang w:val="zh-CN"/>
              </w:rPr>
              <w:t xml:space="preserve"> </w:t>
            </w:r>
            <w:r>
              <w:rPr>
                <w:rFonts w:hint="eastAsia" w:ascii="宋体" w:hAnsi="宋体" w:cs="宋体"/>
                <w:bCs/>
                <w:color w:val="auto"/>
                <w:sz w:val="24"/>
                <w:szCs w:val="24"/>
                <w:highlight w:val="none"/>
                <w:lang w:val="zh-CN"/>
              </w:rPr>
              <w:t>程</w:t>
            </w:r>
            <w:r>
              <w:rPr>
                <w:rFonts w:ascii="宋体" w:hAnsi="宋体" w:cs="宋体"/>
                <w:bCs/>
                <w:color w:val="auto"/>
                <w:sz w:val="24"/>
                <w:szCs w:val="24"/>
                <w:highlight w:val="none"/>
                <w:lang w:val="zh-CN"/>
              </w:rPr>
              <w:t xml:space="preserve"> </w:t>
            </w:r>
            <w:r>
              <w:rPr>
                <w:rFonts w:hint="eastAsia" w:ascii="宋体" w:hAnsi="宋体" w:cs="宋体"/>
                <w:bCs/>
                <w:color w:val="auto"/>
                <w:sz w:val="24"/>
                <w:szCs w:val="24"/>
                <w:highlight w:val="none"/>
                <w:lang w:val="zh-CN"/>
              </w:rPr>
              <w:t>名</w:t>
            </w:r>
            <w:r>
              <w:rPr>
                <w:rFonts w:ascii="宋体" w:hAnsi="宋体" w:cs="宋体"/>
                <w:bCs/>
                <w:color w:val="auto"/>
                <w:sz w:val="24"/>
                <w:szCs w:val="24"/>
                <w:highlight w:val="none"/>
                <w:lang w:val="zh-CN"/>
              </w:rPr>
              <w:t xml:space="preserve"> </w:t>
            </w:r>
            <w:r>
              <w:rPr>
                <w:rFonts w:hint="eastAsia" w:ascii="宋体" w:hAnsi="宋体" w:cs="宋体"/>
                <w:bCs/>
                <w:color w:val="auto"/>
                <w:sz w:val="24"/>
                <w:szCs w:val="24"/>
                <w:highlight w:val="none"/>
                <w:lang w:val="zh-CN"/>
              </w:rPr>
              <w:t>称</w:t>
            </w:r>
          </w:p>
        </w:tc>
        <w:tc>
          <w:tcPr>
            <w:tcW w:w="5876" w:type="dxa"/>
            <w:tcBorders>
              <w:top w:val="single" w:color="auto" w:sz="4" w:space="0"/>
              <w:left w:val="single" w:color="auto" w:sz="4" w:space="0"/>
              <w:bottom w:val="single" w:color="auto" w:sz="4" w:space="0"/>
              <w:right w:val="single" w:color="auto" w:sz="4" w:space="0"/>
            </w:tcBorders>
            <w:noWrap w:val="0"/>
            <w:vAlign w:val="center"/>
          </w:tcPr>
          <w:p w14:paraId="2C0DDC20">
            <w:pPr>
              <w:autoSpaceDE w:val="0"/>
              <w:autoSpaceDN w:val="0"/>
              <w:adjustRightInd w:val="0"/>
              <w:jc w:val="left"/>
              <w:rPr>
                <w:rFonts w:hint="eastAsia" w:ascii="宋体" w:hAnsi="宋体" w:cs="宋体"/>
                <w:bCs/>
                <w:color w:val="auto"/>
                <w:sz w:val="24"/>
                <w:szCs w:val="24"/>
                <w:highlight w:val="none"/>
                <w:lang w:val="zh-CN"/>
              </w:rPr>
            </w:pPr>
          </w:p>
        </w:tc>
      </w:tr>
      <w:tr w14:paraId="5E2B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3608" w:type="dxa"/>
            <w:gridSpan w:val="2"/>
            <w:tcBorders>
              <w:left w:val="single" w:color="auto" w:sz="4" w:space="0"/>
              <w:right w:val="single" w:color="auto" w:sz="4" w:space="0"/>
            </w:tcBorders>
            <w:noWrap w:val="0"/>
            <w:vAlign w:val="center"/>
          </w:tcPr>
          <w:p w14:paraId="6331D6C3">
            <w:pPr>
              <w:spacing w:line="300" w:lineRule="exact"/>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投标总报价（元）</w:t>
            </w:r>
          </w:p>
        </w:tc>
        <w:tc>
          <w:tcPr>
            <w:tcW w:w="5876" w:type="dxa"/>
            <w:tcBorders>
              <w:top w:val="single" w:color="auto" w:sz="4" w:space="0"/>
              <w:left w:val="single" w:color="auto" w:sz="4" w:space="0"/>
              <w:bottom w:val="single" w:color="auto" w:sz="4" w:space="0"/>
              <w:right w:val="single" w:color="auto" w:sz="4" w:space="0"/>
            </w:tcBorders>
            <w:noWrap w:val="0"/>
            <w:vAlign w:val="center"/>
          </w:tcPr>
          <w:p w14:paraId="544D8742">
            <w:pPr>
              <w:autoSpaceDE w:val="0"/>
              <w:autoSpaceDN w:val="0"/>
              <w:adjustRightInd w:val="0"/>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lang w:val="zh-CN"/>
              </w:rPr>
              <w:t>大写：</w:t>
            </w:r>
            <w:r>
              <w:rPr>
                <w:rFonts w:hint="eastAsia" w:ascii="宋体" w:hAnsi="宋体" w:cs="宋体"/>
                <w:bCs/>
                <w:color w:val="auto"/>
                <w:sz w:val="24"/>
                <w:szCs w:val="24"/>
                <w:highlight w:val="none"/>
                <w:u w:val="single"/>
              </w:rPr>
              <w:t xml:space="preserve">                        </w:t>
            </w:r>
          </w:p>
          <w:p w14:paraId="3FC880DB">
            <w:pPr>
              <w:autoSpaceDE w:val="0"/>
              <w:autoSpaceDN w:val="0"/>
              <w:adjustRightInd w:val="0"/>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lang w:val="zh-CN"/>
              </w:rPr>
              <w:t>小写：</w:t>
            </w:r>
            <w:r>
              <w:rPr>
                <w:rFonts w:hint="eastAsia" w:ascii="宋体" w:hAnsi="宋体" w:cs="宋体"/>
                <w:bCs/>
                <w:color w:val="auto"/>
                <w:sz w:val="24"/>
                <w:szCs w:val="24"/>
                <w:highlight w:val="none"/>
                <w:u w:val="single"/>
              </w:rPr>
              <w:t xml:space="preserve">                        </w:t>
            </w:r>
          </w:p>
        </w:tc>
      </w:tr>
      <w:tr w14:paraId="2D62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27" w:type="dxa"/>
            <w:vMerge w:val="restart"/>
            <w:tcBorders>
              <w:left w:val="single" w:color="auto" w:sz="4" w:space="0"/>
              <w:right w:val="single" w:color="auto" w:sz="4" w:space="0"/>
            </w:tcBorders>
            <w:noWrap w:val="0"/>
            <w:vAlign w:val="center"/>
          </w:tcPr>
          <w:p w14:paraId="519E4588">
            <w:pPr>
              <w:spacing w:line="300" w:lineRule="exact"/>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其中</w:t>
            </w:r>
          </w:p>
        </w:tc>
        <w:tc>
          <w:tcPr>
            <w:tcW w:w="2981" w:type="dxa"/>
            <w:tcBorders>
              <w:left w:val="single" w:color="auto" w:sz="4" w:space="0"/>
              <w:right w:val="single" w:color="auto" w:sz="4" w:space="0"/>
            </w:tcBorders>
            <w:noWrap w:val="0"/>
            <w:vAlign w:val="center"/>
          </w:tcPr>
          <w:p w14:paraId="0CDD12A1">
            <w:pPr>
              <w:spacing w:line="300" w:lineRule="exact"/>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建安工程费投标报价（元）</w:t>
            </w:r>
          </w:p>
        </w:tc>
        <w:tc>
          <w:tcPr>
            <w:tcW w:w="5876" w:type="dxa"/>
            <w:tcBorders>
              <w:top w:val="single" w:color="auto" w:sz="4" w:space="0"/>
              <w:left w:val="single" w:color="auto" w:sz="4" w:space="0"/>
              <w:bottom w:val="single" w:color="auto" w:sz="4" w:space="0"/>
              <w:right w:val="single" w:color="auto" w:sz="4" w:space="0"/>
            </w:tcBorders>
            <w:noWrap w:val="0"/>
            <w:vAlign w:val="center"/>
          </w:tcPr>
          <w:p w14:paraId="0810254C">
            <w:pPr>
              <w:autoSpaceDE w:val="0"/>
              <w:autoSpaceDN w:val="0"/>
              <w:adjustRightInd w:val="0"/>
              <w:jc w:val="left"/>
              <w:rPr>
                <w:bCs/>
                <w:color w:val="auto"/>
                <w:sz w:val="24"/>
                <w:szCs w:val="24"/>
                <w:highlight w:val="none"/>
                <w:u w:val="single"/>
              </w:rPr>
            </w:pPr>
            <w:r>
              <w:rPr>
                <w:rFonts w:hint="eastAsia"/>
                <w:bCs/>
                <w:color w:val="auto"/>
                <w:sz w:val="24"/>
                <w:szCs w:val="24"/>
                <w:highlight w:val="none"/>
                <w:lang w:val="zh-CN"/>
              </w:rPr>
              <w:t>大写：</w:t>
            </w:r>
            <w:r>
              <w:rPr>
                <w:rFonts w:hint="eastAsia" w:ascii="宋体" w:hAnsi="宋体" w:cs="宋体"/>
                <w:bCs/>
                <w:color w:val="auto"/>
                <w:sz w:val="24"/>
                <w:szCs w:val="24"/>
                <w:highlight w:val="none"/>
                <w:u w:val="single"/>
              </w:rPr>
              <w:t xml:space="preserve">                        </w:t>
            </w:r>
          </w:p>
          <w:p w14:paraId="67A7305E">
            <w:pPr>
              <w:autoSpaceDE w:val="0"/>
              <w:autoSpaceDN w:val="0"/>
              <w:adjustRightInd w:val="0"/>
              <w:jc w:val="left"/>
              <w:rPr>
                <w:rFonts w:hint="eastAsia"/>
                <w:bCs/>
                <w:color w:val="auto"/>
                <w:sz w:val="24"/>
                <w:szCs w:val="24"/>
                <w:highlight w:val="none"/>
                <w:u w:val="single"/>
              </w:rPr>
            </w:pPr>
            <w:r>
              <w:rPr>
                <w:rFonts w:hint="eastAsia"/>
                <w:bCs/>
                <w:color w:val="auto"/>
                <w:sz w:val="24"/>
                <w:szCs w:val="24"/>
                <w:highlight w:val="none"/>
                <w:lang w:val="zh-CN"/>
              </w:rPr>
              <w:t>小写：</w:t>
            </w:r>
            <w:r>
              <w:rPr>
                <w:rFonts w:hint="eastAsia"/>
                <w:bCs/>
                <w:color w:val="auto"/>
                <w:sz w:val="24"/>
                <w:szCs w:val="24"/>
                <w:highlight w:val="none"/>
                <w:u w:val="single"/>
              </w:rPr>
              <w:t xml:space="preserve">                        </w:t>
            </w:r>
          </w:p>
        </w:tc>
      </w:tr>
      <w:tr w14:paraId="0D69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27" w:type="dxa"/>
            <w:vMerge w:val="continue"/>
            <w:tcBorders>
              <w:left w:val="single" w:color="auto" w:sz="4" w:space="0"/>
              <w:right w:val="single" w:color="auto" w:sz="4" w:space="0"/>
            </w:tcBorders>
            <w:noWrap w:val="0"/>
            <w:vAlign w:val="center"/>
          </w:tcPr>
          <w:p w14:paraId="44630284">
            <w:pPr>
              <w:spacing w:line="300" w:lineRule="exact"/>
              <w:jc w:val="center"/>
              <w:rPr>
                <w:rFonts w:ascii="宋体" w:hAnsi="宋体" w:cs="宋体"/>
                <w:bCs/>
                <w:color w:val="auto"/>
                <w:sz w:val="24"/>
                <w:szCs w:val="24"/>
                <w:highlight w:val="none"/>
                <w:lang w:val="zh-CN"/>
              </w:rPr>
            </w:pPr>
          </w:p>
        </w:tc>
        <w:tc>
          <w:tcPr>
            <w:tcW w:w="2981" w:type="dxa"/>
            <w:tcBorders>
              <w:left w:val="single" w:color="auto" w:sz="4" w:space="0"/>
              <w:right w:val="single" w:color="auto" w:sz="4" w:space="0"/>
            </w:tcBorders>
            <w:noWrap w:val="0"/>
            <w:vAlign w:val="center"/>
          </w:tcPr>
          <w:p w14:paraId="399820EC">
            <w:pPr>
              <w:spacing w:line="300" w:lineRule="exact"/>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BIM应用费投标报价（元）</w:t>
            </w:r>
          </w:p>
        </w:tc>
        <w:tc>
          <w:tcPr>
            <w:tcW w:w="5876" w:type="dxa"/>
            <w:tcBorders>
              <w:top w:val="single" w:color="auto" w:sz="4" w:space="0"/>
              <w:left w:val="single" w:color="auto" w:sz="4" w:space="0"/>
              <w:bottom w:val="single" w:color="auto" w:sz="4" w:space="0"/>
              <w:right w:val="single" w:color="auto" w:sz="4" w:space="0"/>
            </w:tcBorders>
            <w:noWrap w:val="0"/>
            <w:vAlign w:val="center"/>
          </w:tcPr>
          <w:p w14:paraId="20840705">
            <w:pPr>
              <w:autoSpaceDE w:val="0"/>
              <w:autoSpaceDN w:val="0"/>
              <w:adjustRightInd w:val="0"/>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lang w:val="zh-CN"/>
              </w:rPr>
              <w:t>大写：</w:t>
            </w:r>
            <w:r>
              <w:rPr>
                <w:rFonts w:hint="eastAsia" w:ascii="宋体" w:hAnsi="宋体" w:cs="宋体"/>
                <w:bCs/>
                <w:color w:val="auto"/>
                <w:sz w:val="24"/>
                <w:szCs w:val="24"/>
                <w:highlight w:val="none"/>
                <w:u w:val="single"/>
              </w:rPr>
              <w:t xml:space="preserve">                      </w:t>
            </w:r>
          </w:p>
          <w:p w14:paraId="04116835">
            <w:pPr>
              <w:autoSpaceDE w:val="0"/>
              <w:autoSpaceDN w:val="0"/>
              <w:adjustRightInd w:val="0"/>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lang w:val="zh-CN"/>
              </w:rPr>
              <w:t>小写：</w:t>
            </w:r>
            <w:r>
              <w:rPr>
                <w:rFonts w:hint="eastAsia" w:ascii="宋体" w:hAnsi="宋体" w:cs="宋体"/>
                <w:bCs/>
                <w:color w:val="auto"/>
                <w:sz w:val="24"/>
                <w:szCs w:val="24"/>
                <w:highlight w:val="none"/>
                <w:u w:val="single"/>
              </w:rPr>
              <w:t xml:space="preserve">                      </w:t>
            </w:r>
          </w:p>
        </w:tc>
      </w:tr>
    </w:tbl>
    <w:p w14:paraId="137B1E0E">
      <w:pPr>
        <w:pStyle w:val="252"/>
        <w:spacing w:before="240" w:after="240"/>
        <w:rPr>
          <w:rStyle w:val="109"/>
          <w:color w:val="auto"/>
          <w:highlight w:val="none"/>
        </w:rPr>
      </w:pPr>
      <w:r>
        <w:rPr>
          <w:rStyle w:val="109"/>
          <w:rFonts w:hint="eastAsia"/>
          <w:b/>
          <w:bCs/>
          <w:color w:val="auto"/>
          <w:highlight w:val="none"/>
        </w:rPr>
        <w:t>注：投标报价为人民币报价，保留小数点后两位数。</w:t>
      </w:r>
      <w:bookmarkEnd w:id="67"/>
      <w:bookmarkEnd w:id="68"/>
      <w:bookmarkEnd w:id="69"/>
    </w:p>
    <w:p w14:paraId="0DF78CA5">
      <w:pPr>
        <w:pStyle w:val="49"/>
        <w:ind w:firstLine="0"/>
        <w:rPr>
          <w:rStyle w:val="109"/>
          <w:color w:val="auto"/>
          <w:highlight w:val="none"/>
        </w:rPr>
      </w:pPr>
    </w:p>
    <w:p w14:paraId="1A693887">
      <w:pPr>
        <w:pStyle w:val="49"/>
        <w:ind w:firstLine="0"/>
        <w:rPr>
          <w:rStyle w:val="109"/>
          <w:color w:val="auto"/>
          <w:highlight w:val="none"/>
        </w:rPr>
      </w:pPr>
      <w:r>
        <w:rPr>
          <w:rStyle w:val="109"/>
          <w:color w:val="auto"/>
          <w:highlight w:val="none"/>
        </w:rPr>
        <w:br w:type="page"/>
      </w:r>
    </w:p>
    <w:p w14:paraId="5FFAC93C">
      <w:pPr>
        <w:outlineLvl w:val="2"/>
        <w:rPr>
          <w:rFonts w:ascii="宋体" w:hAnsi="宋体"/>
          <w:color w:val="auto"/>
          <w:kern w:val="0"/>
          <w:sz w:val="27"/>
          <w:szCs w:val="27"/>
          <w:highlight w:val="none"/>
        </w:rPr>
      </w:pPr>
      <w:bookmarkStart w:id="71" w:name="_Toc510963887"/>
      <w:bookmarkStart w:id="72" w:name="_Toc532475357"/>
      <w:bookmarkStart w:id="73" w:name="_Toc532475790"/>
      <w:r>
        <w:rPr>
          <w:rFonts w:hint="eastAsia" w:ascii="宋体" w:hAnsi="宋体"/>
          <w:color w:val="auto"/>
          <w:kern w:val="0"/>
          <w:sz w:val="27"/>
          <w:szCs w:val="27"/>
          <w:highlight w:val="none"/>
        </w:rPr>
        <w:t>格式三：法定代表人证明书、授权委托书</w:t>
      </w:r>
      <w:bookmarkEnd w:id="71"/>
      <w:bookmarkEnd w:id="72"/>
      <w:bookmarkEnd w:id="73"/>
    </w:p>
    <w:p w14:paraId="7E1CAE5A">
      <w:pPr>
        <w:pStyle w:val="277"/>
        <w:rPr>
          <w:rFonts w:eastAsia="宋体"/>
          <w:color w:val="auto"/>
          <w:sz w:val="28"/>
          <w:szCs w:val="28"/>
          <w:highlight w:val="none"/>
        </w:rPr>
      </w:pPr>
      <w:r>
        <w:rPr>
          <w:rFonts w:hint="eastAsia" w:eastAsia="宋体"/>
          <w:color w:val="auto"/>
          <w:sz w:val="28"/>
          <w:szCs w:val="28"/>
          <w:highlight w:val="none"/>
        </w:rPr>
        <w:t>法定代表人证明书、授权委托书</w:t>
      </w:r>
    </w:p>
    <w:p w14:paraId="14164B8B">
      <w:pPr>
        <w:rPr>
          <w:rFonts w:ascii="宋体" w:hAnsi="宋体"/>
          <w:color w:val="auto"/>
          <w:sz w:val="24"/>
          <w:szCs w:val="24"/>
          <w:highlight w:val="none"/>
        </w:rPr>
      </w:pPr>
      <w:bookmarkStart w:id="74" w:name="_Toc532475791"/>
      <w:bookmarkStart w:id="75" w:name="_Toc532475358"/>
      <w:bookmarkStart w:id="76" w:name="_Toc510963888"/>
      <w:r>
        <w:rPr>
          <w:rFonts w:hint="eastAsia" w:ascii="宋体" w:hAnsi="宋体"/>
          <w:color w:val="auto"/>
          <w:sz w:val="24"/>
          <w:szCs w:val="24"/>
          <w:highlight w:val="none"/>
        </w:rPr>
        <w:t>（1）法定代表人证明书</w:t>
      </w:r>
      <w:bookmarkEnd w:id="74"/>
      <w:bookmarkEnd w:id="75"/>
      <w:bookmarkEnd w:id="76"/>
    </w:p>
    <w:p w14:paraId="2773F9BA">
      <w:pPr>
        <w:pStyle w:val="143"/>
        <w:ind w:firstLine="7316" w:firstLineChars="2950"/>
        <w:rPr>
          <w:color w:val="auto"/>
          <w:highlight w:val="none"/>
        </w:rPr>
      </w:pPr>
      <w:r>
        <w:rPr>
          <w:rFonts w:hint="eastAsia"/>
          <w:color w:val="auto"/>
          <w:highlight w:val="none"/>
        </w:rPr>
        <w:t>（　 ）第　号</w:t>
      </w:r>
    </w:p>
    <w:p w14:paraId="4C1FD916">
      <w:pPr>
        <w:pStyle w:val="143"/>
        <w:ind w:firstLine="480"/>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41275</wp:posOffset>
                </wp:positionV>
                <wp:extent cx="5716905" cy="2773680"/>
                <wp:effectExtent l="4445" t="5080" r="12700" b="12065"/>
                <wp:wrapNone/>
                <wp:docPr id="1" name="文本框 8"/>
                <wp:cNvGraphicFramePr/>
                <a:graphic xmlns:a="http://schemas.openxmlformats.org/drawingml/2006/main">
                  <a:graphicData uri="http://schemas.microsoft.com/office/word/2010/wordprocessingShape">
                    <wps:wsp>
                      <wps:cNvSpPr txBox="1"/>
                      <wps:spPr>
                        <a:xfrm>
                          <a:off x="0" y="0"/>
                          <a:ext cx="5716905"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323B1E">
                            <w:pPr>
                              <w:pStyle w:val="143"/>
                              <w:ind w:firstLine="0" w:firstLineChars="0"/>
                              <w:rPr>
                                <w:szCs w:val="28"/>
                              </w:rPr>
                            </w:pPr>
                          </w:p>
                          <w:p w14:paraId="4C493DE8">
                            <w:pPr>
                              <w:pStyle w:val="143"/>
                              <w:ind w:firstLine="0" w:firstLineChars="0"/>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14:paraId="37ABE4F7">
                            <w:pPr>
                              <w:pStyle w:val="143"/>
                              <w:ind w:firstLine="0" w:firstLineChars="0"/>
                              <w:rPr>
                                <w:szCs w:val="28"/>
                              </w:rPr>
                            </w:pPr>
                            <w:r>
                              <w:rPr>
                                <w:rFonts w:hint="eastAsia"/>
                                <w:szCs w:val="28"/>
                              </w:rPr>
                              <w:t>特此证明。</w:t>
                            </w:r>
                          </w:p>
                          <w:p w14:paraId="377AD09A">
                            <w:pPr>
                              <w:pStyle w:val="143"/>
                              <w:ind w:firstLine="0" w:firstLineChars="0"/>
                              <w:rPr>
                                <w:szCs w:val="28"/>
                              </w:rPr>
                            </w:pPr>
                            <w:r>
                              <w:rPr>
                                <w:rFonts w:hint="eastAsia"/>
                                <w:szCs w:val="28"/>
                              </w:rPr>
                              <w:t>有效期限：</w:t>
                            </w:r>
                          </w:p>
                          <w:p w14:paraId="2CC1FFEF">
                            <w:pPr>
                              <w:pStyle w:val="143"/>
                              <w:ind w:firstLine="0" w:firstLineChars="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p>
                          <w:p w14:paraId="1F316B60">
                            <w:pPr>
                              <w:pStyle w:val="143"/>
                              <w:ind w:firstLine="0" w:firstLineChars="0"/>
                              <w:rPr>
                                <w:szCs w:val="28"/>
                              </w:rPr>
                            </w:pPr>
                            <w:r>
                              <w:rPr>
                                <w:rFonts w:hint="eastAsia"/>
                                <w:szCs w:val="28"/>
                              </w:rPr>
                              <w:t>注册号码：</w:t>
                            </w:r>
                            <w:r>
                              <w:rPr>
                                <w:rFonts w:hint="eastAsia"/>
                                <w:szCs w:val="28"/>
                                <w:u w:val="single"/>
                              </w:rPr>
                              <w:t>　　　　　　　　　　</w:t>
                            </w:r>
                            <w:r>
                              <w:rPr>
                                <w:rFonts w:hint="eastAsia"/>
                                <w:szCs w:val="28"/>
                              </w:rPr>
                              <w:t>企业类型：</w:t>
                            </w:r>
                          </w:p>
                          <w:p w14:paraId="4CB6A4B1">
                            <w:pPr>
                              <w:pStyle w:val="143"/>
                              <w:ind w:firstLine="0" w:firstLineChars="0"/>
                              <w:rPr>
                                <w:szCs w:val="28"/>
                              </w:rPr>
                            </w:pPr>
                            <w:r>
                              <w:rPr>
                                <w:rFonts w:hint="eastAsia"/>
                                <w:szCs w:val="28"/>
                              </w:rPr>
                              <w:t>经营范围：</w:t>
                            </w:r>
                          </w:p>
                          <w:p w14:paraId="7AC8C609">
                            <w:pPr>
                              <w:pStyle w:val="143"/>
                              <w:ind w:firstLine="0" w:firstLineChars="0"/>
                              <w:rPr>
                                <w:szCs w:val="28"/>
                              </w:rPr>
                            </w:pPr>
                            <w:r>
                              <w:rPr>
                                <w:rFonts w:hint="eastAsia"/>
                                <w:szCs w:val="28"/>
                              </w:rPr>
                              <w:t>　　　　　　　　　　单位：　　　　　　　　　　　（盖章）</w:t>
                            </w:r>
                          </w:p>
                          <w:p w14:paraId="11D1EBCD">
                            <w:pPr>
                              <w:pStyle w:val="143"/>
                              <w:ind w:firstLine="0" w:firstLineChars="0"/>
                              <w:rPr>
                                <w:szCs w:val="28"/>
                              </w:rPr>
                            </w:pPr>
                            <w:r>
                              <w:rPr>
                                <w:rFonts w:hint="eastAsia"/>
                                <w:szCs w:val="28"/>
                              </w:rPr>
                              <w:t>　　　　　　　　　　　　　　　　　　　　　              年　月　　日</w:t>
                            </w:r>
                          </w:p>
                        </w:txbxContent>
                      </wps:txbx>
                      <wps:bodyPr upright="1"/>
                    </wps:wsp>
                  </a:graphicData>
                </a:graphic>
              </wp:anchor>
            </w:drawing>
          </mc:Choice>
          <mc:Fallback>
            <w:pict>
              <v:shape id="文本框 8" o:spid="_x0000_s1026" o:spt="202" type="#_x0000_t202" style="position:absolute;left:0pt;margin-left:6pt;margin-top:3.25pt;height:218.4pt;width:450.15pt;z-index:251659264;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hMJ81wAAAAgBAAAPAAAAAAAAAAEAIAAA&#10;ACIAAABkcnMvZG93bnJldi54bWxQSwECFAAUAAAACACHTuJA08W4Kw0CAAA3BAAADgAAAAAAAAAB&#10;ACAAAAAmAQAAZHJzL2Uyb0RvYy54bWxQSwUGAAAAAAYABgBZAQAApQUAAAAA&#10;">
                <v:fill on="t" focussize="0,0"/>
                <v:stroke color="#000000" joinstyle="miter"/>
                <v:imagedata o:title=""/>
                <o:lock v:ext="edit" aspectratio="f"/>
                <v:textbox>
                  <w:txbxContent>
                    <w:p w14:paraId="4E323B1E">
                      <w:pPr>
                        <w:pStyle w:val="143"/>
                        <w:ind w:firstLine="0" w:firstLineChars="0"/>
                        <w:rPr>
                          <w:szCs w:val="28"/>
                        </w:rPr>
                      </w:pPr>
                    </w:p>
                    <w:p w14:paraId="4C493DE8">
                      <w:pPr>
                        <w:pStyle w:val="143"/>
                        <w:ind w:firstLine="0" w:firstLineChars="0"/>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14:paraId="37ABE4F7">
                      <w:pPr>
                        <w:pStyle w:val="143"/>
                        <w:ind w:firstLine="0" w:firstLineChars="0"/>
                        <w:rPr>
                          <w:szCs w:val="28"/>
                        </w:rPr>
                      </w:pPr>
                      <w:r>
                        <w:rPr>
                          <w:rFonts w:hint="eastAsia"/>
                          <w:szCs w:val="28"/>
                        </w:rPr>
                        <w:t>特此证明。</w:t>
                      </w:r>
                    </w:p>
                    <w:p w14:paraId="377AD09A">
                      <w:pPr>
                        <w:pStyle w:val="143"/>
                        <w:ind w:firstLine="0" w:firstLineChars="0"/>
                        <w:rPr>
                          <w:szCs w:val="28"/>
                        </w:rPr>
                      </w:pPr>
                      <w:r>
                        <w:rPr>
                          <w:rFonts w:hint="eastAsia"/>
                          <w:szCs w:val="28"/>
                        </w:rPr>
                        <w:t>有效期限：</w:t>
                      </w:r>
                    </w:p>
                    <w:p w14:paraId="2CC1FFEF">
                      <w:pPr>
                        <w:pStyle w:val="143"/>
                        <w:ind w:firstLine="0" w:firstLineChars="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p>
                    <w:p w14:paraId="1F316B60">
                      <w:pPr>
                        <w:pStyle w:val="143"/>
                        <w:ind w:firstLine="0" w:firstLineChars="0"/>
                        <w:rPr>
                          <w:szCs w:val="28"/>
                        </w:rPr>
                      </w:pPr>
                      <w:r>
                        <w:rPr>
                          <w:rFonts w:hint="eastAsia"/>
                          <w:szCs w:val="28"/>
                        </w:rPr>
                        <w:t>注册号码：</w:t>
                      </w:r>
                      <w:r>
                        <w:rPr>
                          <w:rFonts w:hint="eastAsia"/>
                          <w:szCs w:val="28"/>
                          <w:u w:val="single"/>
                        </w:rPr>
                        <w:t>　　　　　　　　　　</w:t>
                      </w:r>
                      <w:r>
                        <w:rPr>
                          <w:rFonts w:hint="eastAsia"/>
                          <w:szCs w:val="28"/>
                        </w:rPr>
                        <w:t>企业类型：</w:t>
                      </w:r>
                    </w:p>
                    <w:p w14:paraId="4CB6A4B1">
                      <w:pPr>
                        <w:pStyle w:val="143"/>
                        <w:ind w:firstLine="0" w:firstLineChars="0"/>
                        <w:rPr>
                          <w:szCs w:val="28"/>
                        </w:rPr>
                      </w:pPr>
                      <w:r>
                        <w:rPr>
                          <w:rFonts w:hint="eastAsia"/>
                          <w:szCs w:val="28"/>
                        </w:rPr>
                        <w:t>经营范围：</w:t>
                      </w:r>
                    </w:p>
                    <w:p w14:paraId="7AC8C609">
                      <w:pPr>
                        <w:pStyle w:val="143"/>
                        <w:ind w:firstLine="0" w:firstLineChars="0"/>
                        <w:rPr>
                          <w:szCs w:val="28"/>
                        </w:rPr>
                      </w:pPr>
                      <w:r>
                        <w:rPr>
                          <w:rFonts w:hint="eastAsia"/>
                          <w:szCs w:val="28"/>
                        </w:rPr>
                        <w:t>　　　　　　　　　　单位：　　　　　　　　　　　（盖章）</w:t>
                      </w:r>
                    </w:p>
                    <w:p w14:paraId="11D1EBCD">
                      <w:pPr>
                        <w:pStyle w:val="143"/>
                        <w:ind w:firstLine="0" w:firstLineChars="0"/>
                        <w:rPr>
                          <w:szCs w:val="28"/>
                        </w:rPr>
                      </w:pPr>
                      <w:r>
                        <w:rPr>
                          <w:rFonts w:hint="eastAsia"/>
                          <w:szCs w:val="28"/>
                        </w:rPr>
                        <w:t>　　　　　　　　　　　　　　　　　　　　　              年　月　　日</w:t>
                      </w:r>
                    </w:p>
                  </w:txbxContent>
                </v:textbox>
              </v:shape>
            </w:pict>
          </mc:Fallback>
        </mc:AlternateContent>
      </w:r>
    </w:p>
    <w:p w14:paraId="56CD17EE">
      <w:pPr>
        <w:pStyle w:val="143"/>
        <w:ind w:firstLine="496"/>
        <w:rPr>
          <w:color w:val="auto"/>
          <w:highlight w:val="none"/>
        </w:rPr>
      </w:pPr>
      <w:r>
        <w:rPr>
          <w:rFonts w:hint="eastAsia"/>
          <w:color w:val="auto"/>
          <w:highlight w:val="none"/>
        </w:rPr>
        <w:t>授权委</w:t>
      </w:r>
    </w:p>
    <w:p w14:paraId="13917495">
      <w:pPr>
        <w:pStyle w:val="143"/>
        <w:ind w:firstLine="496"/>
        <w:rPr>
          <w:color w:val="auto"/>
          <w:highlight w:val="none"/>
        </w:rPr>
      </w:pPr>
    </w:p>
    <w:p w14:paraId="66D08371">
      <w:pPr>
        <w:pStyle w:val="143"/>
        <w:ind w:firstLine="496"/>
        <w:rPr>
          <w:color w:val="auto"/>
          <w:highlight w:val="none"/>
        </w:rPr>
      </w:pPr>
      <w:r>
        <w:rPr>
          <w:rFonts w:hint="eastAsia"/>
          <w:color w:val="auto"/>
          <w:highlight w:val="none"/>
        </w:rPr>
        <w:t>托证明书</w:t>
      </w:r>
    </w:p>
    <w:p w14:paraId="659982C1">
      <w:pPr>
        <w:pStyle w:val="143"/>
        <w:ind w:firstLine="496"/>
        <w:rPr>
          <w:color w:val="auto"/>
          <w:highlight w:val="none"/>
        </w:rPr>
      </w:pPr>
      <w:r>
        <w:rPr>
          <w:rFonts w:hint="eastAsia"/>
          <w:color w:val="auto"/>
          <w:highlight w:val="none"/>
        </w:rPr>
        <w:t>（　 ）第　号</w:t>
      </w:r>
    </w:p>
    <w:p w14:paraId="2FD51903">
      <w:pPr>
        <w:pStyle w:val="143"/>
        <w:ind w:firstLine="496"/>
        <w:rPr>
          <w:color w:val="auto"/>
          <w:highlight w:val="none"/>
        </w:rPr>
      </w:pPr>
      <w:r>
        <w:rPr>
          <w:rFonts w:hint="eastAsia"/>
          <w:color w:val="auto"/>
          <w:highlight w:val="none"/>
        </w:rPr>
        <w:t>注：按提供的该表格格式填写，或使用从工商管理部门购买的表格填写。</w:t>
      </w:r>
    </w:p>
    <w:p w14:paraId="5D6528DB">
      <w:pPr>
        <w:pStyle w:val="143"/>
        <w:ind w:firstLine="496"/>
        <w:rPr>
          <w:color w:val="auto"/>
          <w:highlight w:val="none"/>
        </w:rPr>
      </w:pPr>
    </w:p>
    <w:p w14:paraId="52AA61EE">
      <w:pPr>
        <w:pStyle w:val="143"/>
        <w:ind w:firstLine="496"/>
        <w:rPr>
          <w:color w:val="auto"/>
          <w:highlight w:val="none"/>
        </w:rPr>
      </w:pPr>
    </w:p>
    <w:p w14:paraId="273C044A">
      <w:pPr>
        <w:pStyle w:val="143"/>
        <w:ind w:firstLine="496"/>
        <w:rPr>
          <w:color w:val="auto"/>
          <w:highlight w:val="none"/>
        </w:rPr>
      </w:pPr>
      <w:r>
        <w:rPr>
          <w:rFonts w:hint="eastAsia"/>
          <w:color w:val="auto"/>
          <w:highlight w:val="none"/>
        </w:rPr>
        <w:t>（2）法定代表人授权委托书</w:t>
      </w:r>
    </w:p>
    <w:p w14:paraId="4D08D21A">
      <w:pPr>
        <w:pStyle w:val="143"/>
        <w:ind w:firstLine="496"/>
        <w:rPr>
          <w:color w:val="auto"/>
          <w:highlight w:val="none"/>
        </w:rPr>
      </w:pPr>
    </w:p>
    <w:p w14:paraId="66494982">
      <w:pPr>
        <w:pStyle w:val="143"/>
        <w:ind w:firstLine="496"/>
        <w:jc w:val="left"/>
        <w:rPr>
          <w:color w:val="auto"/>
          <w:highlight w:val="none"/>
        </w:rPr>
      </w:pPr>
      <w:r>
        <w:rPr>
          <w:rFonts w:hint="eastAsia"/>
          <w:color w:val="auto"/>
          <w:highlight w:val="none"/>
        </w:rPr>
        <w:t>（2）法定代表人授权委托书</w:t>
      </w:r>
    </w:p>
    <w:p w14:paraId="186DF6A4">
      <w:pPr>
        <w:pStyle w:val="143"/>
        <w:ind w:firstLine="496"/>
        <w:jc w:val="right"/>
        <w:rPr>
          <w:color w:val="auto"/>
          <w:highlight w:val="none"/>
        </w:rPr>
      </w:pPr>
      <w:r>
        <w:rPr>
          <w:rFonts w:hint="eastAsia"/>
          <w:color w:val="auto"/>
          <w:highlight w:val="none"/>
        </w:rPr>
        <w:t>（   ）第  号</w:t>
      </w:r>
    </w:p>
    <w:p w14:paraId="41F5A258">
      <w:pPr>
        <w:pStyle w:val="143"/>
        <w:ind w:firstLine="480"/>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34290</wp:posOffset>
                </wp:positionV>
                <wp:extent cx="5692140" cy="2971800"/>
                <wp:effectExtent l="4445" t="4445" r="8890" b="5080"/>
                <wp:wrapNone/>
                <wp:docPr id="2" name="文本框 7"/>
                <wp:cNvGraphicFramePr/>
                <a:graphic xmlns:a="http://schemas.openxmlformats.org/drawingml/2006/main">
                  <a:graphicData uri="http://schemas.microsoft.com/office/word/2010/wordprocessingShape">
                    <wps:wsp>
                      <wps:cNvSpPr txBox="1"/>
                      <wps:spPr>
                        <a:xfrm>
                          <a:off x="0" y="0"/>
                          <a:ext cx="5692140" cy="2971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CD9FA4">
                            <w:pPr>
                              <w:pStyle w:val="143"/>
                              <w:ind w:firstLine="0" w:firstLineChars="0"/>
                            </w:pPr>
                            <w:r>
                              <w:rPr>
                                <w:rFonts w:hint="eastAsia"/>
                              </w:rPr>
                              <w:t>兹授权为我方委托代理人，其权限是：</w:t>
                            </w:r>
                          </w:p>
                          <w:p w14:paraId="7E7C5364">
                            <w:pPr>
                              <w:pStyle w:val="143"/>
                              <w:ind w:firstLine="0" w:firstLineChars="0"/>
                              <w:rPr>
                                <w:u w:val="single"/>
                              </w:rPr>
                            </w:pPr>
                          </w:p>
                          <w:p w14:paraId="64C31D3A">
                            <w:pPr>
                              <w:pStyle w:val="143"/>
                              <w:ind w:firstLine="0" w:firstLineChars="0"/>
                            </w:pPr>
                            <w:r>
                              <w:rPr>
                                <w:rFonts w:hint="eastAsia"/>
                              </w:rPr>
                              <w:t>有效期限：</w:t>
                            </w:r>
                          </w:p>
                          <w:p w14:paraId="307E2F77">
                            <w:pPr>
                              <w:pStyle w:val="143"/>
                              <w:ind w:firstLine="496"/>
                            </w:pPr>
                          </w:p>
                          <w:p w14:paraId="5E3D0C56">
                            <w:pPr>
                              <w:pStyle w:val="143"/>
                              <w:ind w:firstLine="0" w:firstLineChars="0"/>
                            </w:pPr>
                            <w:r>
                              <w:rPr>
                                <w:rFonts w:hint="eastAsia"/>
                              </w:rPr>
                              <w:t>附：代理人性别：年龄：身份证号码：</w:t>
                            </w:r>
                          </w:p>
                          <w:p w14:paraId="57B8F1E7">
                            <w:pPr>
                              <w:pStyle w:val="143"/>
                              <w:ind w:firstLine="0" w:firstLineChars="0"/>
                            </w:pPr>
                            <w:r>
                              <w:rPr>
                                <w:rFonts w:hint="eastAsia"/>
                              </w:rPr>
                              <w:t>注册号码：企业类型：</w:t>
                            </w:r>
                          </w:p>
                          <w:p w14:paraId="5887DC53">
                            <w:pPr>
                              <w:pStyle w:val="143"/>
                              <w:ind w:firstLine="0" w:firstLineChars="0"/>
                            </w:pPr>
                            <w:r>
                              <w:rPr>
                                <w:rFonts w:hint="eastAsia"/>
                              </w:rPr>
                              <w:t>经营范围：</w:t>
                            </w:r>
                          </w:p>
                          <w:p w14:paraId="3AA643E7">
                            <w:pPr>
                              <w:pStyle w:val="143"/>
                              <w:ind w:firstLine="0" w:firstLineChars="0"/>
                            </w:pPr>
                            <w:r>
                              <w:rPr>
                                <w:rFonts w:hint="eastAsia"/>
                              </w:rPr>
                              <w:t>法定代表人（负责人）：（签名或盖章）</w:t>
                            </w:r>
                          </w:p>
                          <w:p w14:paraId="3D01A0A5">
                            <w:pPr>
                              <w:pStyle w:val="143"/>
                              <w:ind w:firstLine="0" w:firstLineChars="0"/>
                            </w:pPr>
                            <w:r>
                              <w:rPr>
                                <w:rFonts w:hint="eastAsia"/>
                              </w:rPr>
                              <w:t>授权单位：（盖章）</w:t>
                            </w:r>
                          </w:p>
                          <w:p w14:paraId="22AADCA3">
                            <w:pPr>
                              <w:pStyle w:val="143"/>
                              <w:ind w:firstLine="496"/>
                              <w:jc w:val="right"/>
                            </w:pPr>
                            <w:r>
                              <w:rPr>
                                <w:rFonts w:hint="eastAsia"/>
                              </w:rPr>
                              <w:t>年    月    日</w:t>
                            </w:r>
                          </w:p>
                        </w:txbxContent>
                      </wps:txbx>
                      <wps:bodyPr upright="1"/>
                    </wps:wsp>
                  </a:graphicData>
                </a:graphic>
              </wp:anchor>
            </w:drawing>
          </mc:Choice>
          <mc:Fallback>
            <w:pict>
              <v:shape id="文本框 7" o:spid="_x0000_s1026" o:spt="202" type="#_x0000_t202" style="position:absolute;left:0pt;margin-left:9pt;margin-top:2.7pt;height:234pt;width:448.2pt;z-index:251660288;mso-width-relative:page;mso-height-relative:page;" fillcolor="#FFFFFF" filled="t" stroked="t" coordsize="21600,21600" o:gfxdata="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L4pldcAAAAIAQAADwAAAAAAAAABACAA&#10;AAAiAAAAZHJzL2Rvd25yZXYueG1sUEsBAhQAFAAAAAgAh07iQEDEFPEOAgAANwQAAA4AAAAAAAAA&#10;AQAgAAAAJgEAAGRycy9lMm9Eb2MueG1sUEsFBgAAAAAGAAYAWQEAAKYFAAAAAA==&#10;">
                <v:fill on="t" focussize="0,0"/>
                <v:stroke color="#000000" joinstyle="miter"/>
                <v:imagedata o:title=""/>
                <o:lock v:ext="edit" aspectratio="f"/>
                <v:textbox>
                  <w:txbxContent>
                    <w:p w14:paraId="0ACD9FA4">
                      <w:pPr>
                        <w:pStyle w:val="143"/>
                        <w:ind w:firstLine="0" w:firstLineChars="0"/>
                      </w:pPr>
                      <w:r>
                        <w:rPr>
                          <w:rFonts w:hint="eastAsia"/>
                        </w:rPr>
                        <w:t>兹授权为我方委托代理人，其权限是：</w:t>
                      </w:r>
                    </w:p>
                    <w:p w14:paraId="7E7C5364">
                      <w:pPr>
                        <w:pStyle w:val="143"/>
                        <w:ind w:firstLine="0" w:firstLineChars="0"/>
                        <w:rPr>
                          <w:u w:val="single"/>
                        </w:rPr>
                      </w:pPr>
                    </w:p>
                    <w:p w14:paraId="64C31D3A">
                      <w:pPr>
                        <w:pStyle w:val="143"/>
                        <w:ind w:firstLine="0" w:firstLineChars="0"/>
                      </w:pPr>
                      <w:r>
                        <w:rPr>
                          <w:rFonts w:hint="eastAsia"/>
                        </w:rPr>
                        <w:t>有效期限：</w:t>
                      </w:r>
                    </w:p>
                    <w:p w14:paraId="307E2F77">
                      <w:pPr>
                        <w:pStyle w:val="143"/>
                        <w:ind w:firstLine="496"/>
                      </w:pPr>
                    </w:p>
                    <w:p w14:paraId="5E3D0C56">
                      <w:pPr>
                        <w:pStyle w:val="143"/>
                        <w:ind w:firstLine="0" w:firstLineChars="0"/>
                      </w:pPr>
                      <w:r>
                        <w:rPr>
                          <w:rFonts w:hint="eastAsia"/>
                        </w:rPr>
                        <w:t>附：代理人性别：年龄：身份证号码：</w:t>
                      </w:r>
                    </w:p>
                    <w:p w14:paraId="57B8F1E7">
                      <w:pPr>
                        <w:pStyle w:val="143"/>
                        <w:ind w:firstLine="0" w:firstLineChars="0"/>
                      </w:pPr>
                      <w:r>
                        <w:rPr>
                          <w:rFonts w:hint="eastAsia"/>
                        </w:rPr>
                        <w:t>注册号码：企业类型：</w:t>
                      </w:r>
                    </w:p>
                    <w:p w14:paraId="5887DC53">
                      <w:pPr>
                        <w:pStyle w:val="143"/>
                        <w:ind w:firstLine="0" w:firstLineChars="0"/>
                      </w:pPr>
                      <w:r>
                        <w:rPr>
                          <w:rFonts w:hint="eastAsia"/>
                        </w:rPr>
                        <w:t>经营范围：</w:t>
                      </w:r>
                    </w:p>
                    <w:p w14:paraId="3AA643E7">
                      <w:pPr>
                        <w:pStyle w:val="143"/>
                        <w:ind w:firstLine="0" w:firstLineChars="0"/>
                      </w:pPr>
                      <w:r>
                        <w:rPr>
                          <w:rFonts w:hint="eastAsia"/>
                        </w:rPr>
                        <w:t>法定代表人（负责人）：（签名或盖章）</w:t>
                      </w:r>
                    </w:p>
                    <w:p w14:paraId="3D01A0A5">
                      <w:pPr>
                        <w:pStyle w:val="143"/>
                        <w:ind w:firstLine="0" w:firstLineChars="0"/>
                      </w:pPr>
                      <w:r>
                        <w:rPr>
                          <w:rFonts w:hint="eastAsia"/>
                        </w:rPr>
                        <w:t>授权单位：（盖章）</w:t>
                      </w:r>
                    </w:p>
                    <w:p w14:paraId="22AADCA3">
                      <w:pPr>
                        <w:pStyle w:val="143"/>
                        <w:ind w:firstLine="496"/>
                        <w:jc w:val="right"/>
                      </w:pPr>
                      <w:r>
                        <w:rPr>
                          <w:rFonts w:hint="eastAsia"/>
                        </w:rPr>
                        <w:t>年    月    日</w:t>
                      </w:r>
                    </w:p>
                  </w:txbxContent>
                </v:textbox>
              </v:shape>
            </w:pict>
          </mc:Fallback>
        </mc:AlternateContent>
      </w:r>
    </w:p>
    <w:p w14:paraId="5233E7DE">
      <w:pPr>
        <w:pStyle w:val="143"/>
        <w:ind w:firstLine="496"/>
        <w:rPr>
          <w:color w:val="auto"/>
          <w:highlight w:val="none"/>
        </w:rPr>
      </w:pPr>
    </w:p>
    <w:p w14:paraId="50B0ED12">
      <w:pPr>
        <w:pStyle w:val="143"/>
        <w:ind w:firstLine="496"/>
        <w:rPr>
          <w:color w:val="auto"/>
          <w:highlight w:val="none"/>
        </w:rPr>
      </w:pPr>
    </w:p>
    <w:p w14:paraId="37329EB4">
      <w:pPr>
        <w:pStyle w:val="143"/>
        <w:ind w:firstLine="496"/>
        <w:rPr>
          <w:color w:val="auto"/>
          <w:highlight w:val="none"/>
        </w:rPr>
      </w:pPr>
    </w:p>
    <w:p w14:paraId="67A57709">
      <w:pPr>
        <w:pStyle w:val="143"/>
        <w:ind w:firstLine="496"/>
        <w:rPr>
          <w:color w:val="auto"/>
          <w:highlight w:val="none"/>
        </w:rPr>
      </w:pPr>
    </w:p>
    <w:p w14:paraId="569D0A0C">
      <w:pPr>
        <w:pStyle w:val="143"/>
        <w:ind w:firstLine="496"/>
        <w:rPr>
          <w:color w:val="auto"/>
          <w:highlight w:val="none"/>
        </w:rPr>
      </w:pPr>
    </w:p>
    <w:p w14:paraId="20738084">
      <w:pPr>
        <w:pStyle w:val="143"/>
        <w:ind w:firstLine="496"/>
        <w:rPr>
          <w:color w:val="auto"/>
          <w:highlight w:val="none"/>
        </w:rPr>
      </w:pPr>
    </w:p>
    <w:p w14:paraId="0DBBE3FE">
      <w:pPr>
        <w:pStyle w:val="143"/>
        <w:ind w:firstLine="496"/>
        <w:rPr>
          <w:color w:val="auto"/>
          <w:highlight w:val="none"/>
        </w:rPr>
      </w:pPr>
    </w:p>
    <w:p w14:paraId="456D8E4E">
      <w:pPr>
        <w:pStyle w:val="143"/>
        <w:ind w:firstLine="496"/>
        <w:rPr>
          <w:color w:val="auto"/>
          <w:highlight w:val="none"/>
        </w:rPr>
      </w:pPr>
    </w:p>
    <w:p w14:paraId="75264920">
      <w:pPr>
        <w:pStyle w:val="143"/>
        <w:ind w:firstLine="496"/>
        <w:jc w:val="right"/>
        <w:rPr>
          <w:color w:val="auto"/>
          <w:highlight w:val="none"/>
        </w:rPr>
      </w:pPr>
      <w:r>
        <w:rPr>
          <w:rFonts w:hint="eastAsia"/>
          <w:color w:val="auto"/>
          <w:highlight w:val="none"/>
        </w:rPr>
        <w:t>注：该格式供参考，原件装订于正本中。</w:t>
      </w:r>
    </w:p>
    <w:p w14:paraId="0B24D693">
      <w:pPr>
        <w:pStyle w:val="143"/>
        <w:ind w:firstLine="496"/>
        <w:rPr>
          <w:color w:val="auto"/>
          <w:highlight w:val="none"/>
        </w:rPr>
      </w:pPr>
    </w:p>
    <w:p w14:paraId="0A957E65">
      <w:pPr>
        <w:pStyle w:val="143"/>
        <w:ind w:firstLine="496"/>
        <w:rPr>
          <w:color w:val="auto"/>
          <w:highlight w:val="none"/>
        </w:rPr>
      </w:pPr>
      <w:r>
        <w:rPr>
          <w:rFonts w:hint="eastAsia"/>
          <w:color w:val="auto"/>
          <w:highlight w:val="none"/>
        </w:rPr>
        <w:t>注：该格式供参考。</w:t>
      </w:r>
    </w:p>
    <w:p w14:paraId="69E7B2D7">
      <w:pPr>
        <w:outlineLvl w:val="2"/>
        <w:rPr>
          <w:rFonts w:hint="eastAsia" w:ascii="宋体" w:hAnsi="宋体"/>
          <w:color w:val="auto"/>
          <w:kern w:val="0"/>
          <w:sz w:val="27"/>
          <w:szCs w:val="27"/>
          <w:highlight w:val="none"/>
        </w:rPr>
      </w:pPr>
      <w:bookmarkStart w:id="77" w:name="_Toc532475793"/>
      <w:bookmarkStart w:id="78" w:name="_Toc532475360"/>
      <w:bookmarkStart w:id="79" w:name="_Toc510963890"/>
      <w:r>
        <w:rPr>
          <w:rFonts w:hint="eastAsia"/>
          <w:color w:val="auto"/>
          <w:highlight w:val="none"/>
        </w:rPr>
        <w:br w:type="page"/>
      </w:r>
      <w:bookmarkStart w:id="80" w:name="_Toc118116363"/>
      <w:r>
        <w:rPr>
          <w:rFonts w:hint="eastAsia" w:ascii="宋体" w:hAnsi="宋体"/>
          <w:color w:val="auto"/>
          <w:kern w:val="0"/>
          <w:sz w:val="27"/>
          <w:szCs w:val="27"/>
          <w:highlight w:val="none"/>
        </w:rPr>
        <w:t>格式四：施工组织架构图</w:t>
      </w:r>
      <w:bookmarkEnd w:id="80"/>
    </w:p>
    <w:p w14:paraId="321579AD">
      <w:pPr>
        <w:topLinePunct/>
        <w:adjustRightInd w:val="0"/>
        <w:snapToGrid w:val="0"/>
        <w:spacing w:line="360" w:lineRule="auto"/>
        <w:jc w:val="center"/>
        <w:rPr>
          <w:rFonts w:ascii="宋体" w:hAnsi="宋体" w:cs="宋体"/>
          <w:color w:val="auto"/>
          <w:spacing w:val="4"/>
          <w:kern w:val="0"/>
          <w:sz w:val="36"/>
          <w:szCs w:val="36"/>
          <w:highlight w:val="none"/>
        </w:rPr>
      </w:pPr>
    </w:p>
    <w:p w14:paraId="6C43EC19">
      <w:pPr>
        <w:topLinePunct/>
        <w:adjustRightInd w:val="0"/>
        <w:snapToGrid w:val="0"/>
        <w:spacing w:line="360" w:lineRule="auto"/>
        <w:jc w:val="center"/>
        <w:rPr>
          <w:rFonts w:ascii="宋体" w:hAnsi="宋体" w:cs="宋体"/>
          <w:b/>
          <w:color w:val="auto"/>
          <w:spacing w:val="4"/>
          <w:kern w:val="0"/>
          <w:sz w:val="32"/>
          <w:szCs w:val="32"/>
          <w:highlight w:val="none"/>
        </w:rPr>
      </w:pPr>
      <w:r>
        <w:rPr>
          <w:rFonts w:hint="eastAsia" w:ascii="宋体" w:hAnsi="宋体" w:cs="宋体"/>
          <w:b/>
          <w:color w:val="auto"/>
          <w:spacing w:val="4"/>
          <w:kern w:val="0"/>
          <w:sz w:val="32"/>
          <w:szCs w:val="32"/>
          <w:highlight w:val="none"/>
        </w:rPr>
        <w:t>施工组织架构图</w:t>
      </w:r>
    </w:p>
    <w:p w14:paraId="4554EC05">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注：</w:t>
      </w:r>
    </w:p>
    <w:p w14:paraId="25C07C21">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1、投标人应结合本工程的类型和特点，科学、合理地设置本项目的施工组织架构；</w:t>
      </w:r>
    </w:p>
    <w:p w14:paraId="3AEE5961">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2、施工组织架构图由投标人结合招标人对本工程的具体要求自行设定；</w:t>
      </w:r>
    </w:p>
    <w:p w14:paraId="5E6D810F">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3、可结合自身情况附相关辅助说明资料。</w:t>
      </w:r>
    </w:p>
    <w:p w14:paraId="364B37F1">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2F511FF3">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29987AAE">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027BDC23">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1E270DED">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6D8C6F11">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5E359B7E">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413B3CB3">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1718FC49">
      <w:pPr>
        <w:topLinePunct/>
        <w:adjustRightInd w:val="0"/>
        <w:snapToGrid w:val="0"/>
        <w:spacing w:line="360" w:lineRule="auto"/>
        <w:ind w:firstLine="4582" w:firstLineChars="1450"/>
        <w:rPr>
          <w:rFonts w:hint="eastAsia" w:ascii="宋体" w:hAnsi="宋体" w:cs="宋体"/>
          <w:color w:val="auto"/>
          <w:spacing w:val="4"/>
          <w:kern w:val="0"/>
          <w:sz w:val="24"/>
          <w:szCs w:val="24"/>
          <w:highlight w:val="none"/>
        </w:rPr>
      </w:pPr>
      <w:r>
        <w:rPr>
          <w:rFonts w:hint="eastAsia" w:ascii="宋体" w:hAnsi="宋体" w:cs="宋体"/>
          <w:color w:val="auto"/>
          <w:spacing w:val="18"/>
          <w:sz w:val="28"/>
          <w:szCs w:val="28"/>
          <w:highlight w:val="none"/>
        </w:rPr>
        <w:t xml:space="preserve"> </w:t>
      </w:r>
      <w:r>
        <w:rPr>
          <w:rFonts w:hint="eastAsia" w:ascii="宋体" w:hAnsi="宋体" w:eastAsia="宋体" w:cs="宋体"/>
          <w:color w:val="auto"/>
          <w:spacing w:val="0"/>
          <w:kern w:val="2"/>
          <w:sz w:val="24"/>
          <w:szCs w:val="24"/>
          <w:highlight w:val="none"/>
        </w:rPr>
        <w:t xml:space="preserve">投标人名称：            </w:t>
      </w:r>
    </w:p>
    <w:p w14:paraId="0B49FFA9">
      <w:pPr>
        <w:topLinePunct/>
        <w:adjustRightInd w:val="0"/>
        <w:snapToGrid w:val="0"/>
        <w:spacing w:line="360" w:lineRule="auto"/>
        <w:ind w:firstLine="3596" w:firstLineChars="14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日   期：    年    月    日 </w:t>
      </w:r>
    </w:p>
    <w:p w14:paraId="00FF9026">
      <w:pPr>
        <w:pStyle w:val="5"/>
        <w:rPr>
          <w:color w:val="auto"/>
          <w:highlight w:val="none"/>
        </w:rPr>
      </w:pPr>
      <w:r>
        <w:rPr>
          <w:rFonts w:hint="eastAsia" w:cs="宋体"/>
          <w:b/>
          <w:color w:val="auto"/>
          <w:highlight w:val="none"/>
        </w:rPr>
        <w:br w:type="page"/>
      </w:r>
      <w:r>
        <w:rPr>
          <w:rFonts w:hint="eastAsia"/>
          <w:color w:val="auto"/>
          <w:highlight w:val="none"/>
        </w:rPr>
        <w:t>格式五：</w:t>
      </w:r>
      <w:bookmarkEnd w:id="77"/>
      <w:bookmarkEnd w:id="78"/>
      <w:bookmarkEnd w:id="79"/>
      <w:r>
        <w:rPr>
          <w:rFonts w:hint="eastAsia"/>
          <w:color w:val="auto"/>
          <w:highlight w:val="none"/>
        </w:rPr>
        <w:t>施工项目管理团队人员信息表</w:t>
      </w:r>
    </w:p>
    <w:p w14:paraId="1A8D8499">
      <w:pPr>
        <w:pStyle w:val="2"/>
        <w:rPr>
          <w:rFonts w:hAnsi="宋体"/>
          <w:color w:val="auto"/>
          <w:highlight w:val="none"/>
        </w:rPr>
      </w:pPr>
    </w:p>
    <w:tbl>
      <w:tblPr>
        <w:tblStyle w:val="50"/>
        <w:tblW w:w="9368" w:type="dxa"/>
        <w:jc w:val="center"/>
        <w:tblLayout w:type="fixed"/>
        <w:tblCellMar>
          <w:top w:w="0" w:type="dxa"/>
          <w:left w:w="0" w:type="dxa"/>
          <w:bottom w:w="0" w:type="dxa"/>
          <w:right w:w="0" w:type="dxa"/>
        </w:tblCellMar>
      </w:tblPr>
      <w:tblGrid>
        <w:gridCol w:w="810"/>
        <w:gridCol w:w="1597"/>
        <w:gridCol w:w="1793"/>
        <w:gridCol w:w="1909"/>
        <w:gridCol w:w="3259"/>
      </w:tblGrid>
      <w:tr w14:paraId="487AEC75">
        <w:tblPrEx>
          <w:tblCellMar>
            <w:top w:w="0" w:type="dxa"/>
            <w:left w:w="0" w:type="dxa"/>
            <w:bottom w:w="0" w:type="dxa"/>
            <w:right w:w="0" w:type="dxa"/>
          </w:tblCellMar>
        </w:tblPrEx>
        <w:trPr>
          <w:trHeight w:val="880" w:hRule="atLeast"/>
          <w:jc w:val="center"/>
        </w:trPr>
        <w:tc>
          <w:tcPr>
            <w:tcW w:w="9368" w:type="dxa"/>
            <w:gridSpan w:val="5"/>
            <w:tcBorders>
              <w:top w:val="nil"/>
              <w:left w:val="nil"/>
              <w:bottom w:val="single" w:color="000000" w:sz="4" w:space="0"/>
              <w:right w:val="nil"/>
            </w:tcBorders>
            <w:noWrap/>
            <w:tcMar>
              <w:top w:w="15" w:type="dxa"/>
              <w:left w:w="15" w:type="dxa"/>
              <w:right w:w="15" w:type="dxa"/>
            </w:tcMar>
            <w:vAlign w:val="center"/>
          </w:tcPr>
          <w:p w14:paraId="51B9F2CB">
            <w:pPr>
              <w:widowControl/>
              <w:jc w:val="center"/>
              <w:textAlignment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施工项目管理团队人员信息表</w:t>
            </w:r>
          </w:p>
        </w:tc>
      </w:tr>
      <w:tr w14:paraId="51C6C96F">
        <w:tblPrEx>
          <w:tblCellMar>
            <w:top w:w="0" w:type="dxa"/>
            <w:left w:w="0" w:type="dxa"/>
            <w:bottom w:w="0" w:type="dxa"/>
            <w:right w:w="0" w:type="dxa"/>
          </w:tblCellMar>
        </w:tblPrEx>
        <w:trPr>
          <w:trHeight w:val="770" w:hRule="atLeast"/>
          <w:jc w:val="center"/>
        </w:trPr>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EF068">
            <w:pPr>
              <w:pStyle w:val="231"/>
              <w:jc w:val="center"/>
              <w:rPr>
                <w:rFonts w:cs="宋体"/>
                <w:color w:val="auto"/>
                <w:highlight w:val="none"/>
              </w:rPr>
            </w:pPr>
            <w:r>
              <w:rPr>
                <w:rFonts w:hint="eastAsia" w:cs="宋体"/>
                <w:color w:val="auto"/>
                <w:highlight w:val="none"/>
              </w:rPr>
              <w:t>序号</w:t>
            </w:r>
          </w:p>
        </w:tc>
        <w:tc>
          <w:tcPr>
            <w:tcW w:w="1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47617">
            <w:pPr>
              <w:pStyle w:val="231"/>
              <w:jc w:val="center"/>
              <w:rPr>
                <w:rFonts w:cs="宋体"/>
                <w:color w:val="auto"/>
                <w:highlight w:val="none"/>
              </w:rPr>
            </w:pPr>
            <w:r>
              <w:rPr>
                <w:rFonts w:hint="eastAsia" w:cs="宋体"/>
                <w:color w:val="auto"/>
                <w:highlight w:val="none"/>
              </w:rPr>
              <w:t>姓名</w:t>
            </w:r>
          </w:p>
        </w:tc>
        <w:tc>
          <w:tcPr>
            <w:tcW w:w="1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F0AFB">
            <w:pPr>
              <w:pStyle w:val="231"/>
              <w:jc w:val="center"/>
              <w:rPr>
                <w:rFonts w:cs="宋体"/>
                <w:color w:val="auto"/>
                <w:highlight w:val="none"/>
              </w:rPr>
            </w:pPr>
            <w:r>
              <w:rPr>
                <w:rFonts w:hint="eastAsia" w:cs="宋体"/>
                <w:color w:val="auto"/>
                <w:highlight w:val="none"/>
              </w:rPr>
              <w:t>岗位</w:t>
            </w:r>
          </w:p>
        </w:tc>
        <w:tc>
          <w:tcPr>
            <w:tcW w:w="19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31D46">
            <w:pPr>
              <w:pStyle w:val="231"/>
              <w:jc w:val="center"/>
              <w:rPr>
                <w:rFonts w:cs="宋体"/>
                <w:color w:val="auto"/>
                <w:highlight w:val="none"/>
              </w:rPr>
            </w:pPr>
            <w:r>
              <w:rPr>
                <w:rFonts w:hint="eastAsia" w:cs="宋体"/>
                <w:color w:val="auto"/>
                <w:highlight w:val="none"/>
              </w:rPr>
              <w:t>职称</w:t>
            </w:r>
          </w:p>
        </w:tc>
        <w:tc>
          <w:tcPr>
            <w:tcW w:w="3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4F30F">
            <w:pPr>
              <w:pStyle w:val="231"/>
              <w:jc w:val="center"/>
              <w:rPr>
                <w:rFonts w:cs="宋体"/>
                <w:color w:val="auto"/>
                <w:highlight w:val="none"/>
              </w:rPr>
            </w:pPr>
            <w:r>
              <w:rPr>
                <w:rFonts w:hint="eastAsia" w:cs="宋体"/>
                <w:color w:val="auto"/>
                <w:highlight w:val="none"/>
              </w:rPr>
              <w:t>职称证书或资格证书编号</w:t>
            </w:r>
          </w:p>
        </w:tc>
      </w:tr>
      <w:tr w14:paraId="251829FB">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27524">
            <w:pPr>
              <w:widowControl/>
              <w:numPr>
                <w:ilvl w:val="-1"/>
                <w:numId w:val="0"/>
              </w:numPr>
              <w:ind w:left="0" w:firstLine="0"/>
              <w:jc w:val="both"/>
              <w:textAlignment w:val="center"/>
              <w:rPr>
                <w:rFonts w:ascii="宋体" w:hAnsi="宋体" w:cs="宋体"/>
                <w:color w:val="auto"/>
                <w:szCs w:val="21"/>
                <w:highlight w:val="none"/>
              </w:rPr>
            </w:pP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EB8F3">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895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9B974">
            <w:pPr>
              <w:jc w:val="center"/>
              <w:rPr>
                <w:rFonts w:ascii="宋体" w:hAnsi="宋体" w:eastAsia="等线" w:cs="等线"/>
                <w:color w:val="auto"/>
                <w:szCs w:val="21"/>
                <w:highlight w:val="none"/>
              </w:rPr>
            </w:pPr>
          </w:p>
        </w:tc>
        <w:tc>
          <w:tcPr>
            <w:tcW w:w="3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5C565">
            <w:pPr>
              <w:jc w:val="center"/>
              <w:rPr>
                <w:rFonts w:ascii="宋体" w:hAnsi="宋体" w:cs="宋体"/>
                <w:color w:val="auto"/>
                <w:szCs w:val="21"/>
                <w:highlight w:val="none"/>
              </w:rPr>
            </w:pPr>
          </w:p>
        </w:tc>
      </w:tr>
      <w:tr w14:paraId="66F24354">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4F230B">
            <w:pPr>
              <w:widowControl/>
              <w:numPr>
                <w:ilvl w:val="-1"/>
                <w:numId w:val="0"/>
              </w:numPr>
              <w:ind w:left="0" w:firstLine="0"/>
              <w:jc w:val="both"/>
              <w:textAlignment w:val="center"/>
              <w:rPr>
                <w:rFonts w:ascii="宋体" w:hAnsi="宋体" w:cs="宋体"/>
                <w:color w:val="auto"/>
                <w:szCs w:val="21"/>
                <w:highlight w:val="none"/>
              </w:rPr>
            </w:pP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D0459">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8E4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993D5B">
            <w:pPr>
              <w:jc w:val="center"/>
              <w:rPr>
                <w:rFonts w:ascii="宋体" w:hAnsi="宋体" w:eastAsia="等线" w:cs="等线"/>
                <w:color w:val="auto"/>
                <w:szCs w:val="21"/>
                <w:highlight w:val="none"/>
              </w:rPr>
            </w:pPr>
          </w:p>
        </w:tc>
        <w:tc>
          <w:tcPr>
            <w:tcW w:w="3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59EAF">
            <w:pPr>
              <w:jc w:val="center"/>
              <w:rPr>
                <w:rFonts w:ascii="宋体" w:hAnsi="宋体" w:cs="宋体"/>
                <w:color w:val="auto"/>
                <w:szCs w:val="21"/>
                <w:highlight w:val="none"/>
              </w:rPr>
            </w:pPr>
          </w:p>
        </w:tc>
      </w:tr>
      <w:tr w14:paraId="21DDDB8F">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B8F00">
            <w:pPr>
              <w:widowControl/>
              <w:numPr>
                <w:ilvl w:val="-1"/>
                <w:numId w:val="0"/>
              </w:numPr>
              <w:ind w:left="0" w:firstLine="0"/>
              <w:jc w:val="both"/>
              <w:textAlignment w:val="center"/>
              <w:rPr>
                <w:rFonts w:ascii="宋体" w:hAnsi="宋体" w:cs="宋体"/>
                <w:color w:val="auto"/>
                <w:szCs w:val="21"/>
                <w:highlight w:val="none"/>
              </w:rPr>
            </w:pP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7D69C">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B4E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color w:val="auto"/>
                <w:kern w:val="0"/>
                <w:sz w:val="21"/>
                <w:szCs w:val="21"/>
                <w:highlight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F0043C">
            <w:pPr>
              <w:jc w:val="center"/>
              <w:rPr>
                <w:rFonts w:ascii="宋体" w:hAnsi="宋体" w:eastAsia="等线" w:cs="等线"/>
                <w:color w:val="auto"/>
                <w:szCs w:val="21"/>
                <w:highlight w:val="none"/>
              </w:rPr>
            </w:pPr>
          </w:p>
        </w:tc>
        <w:tc>
          <w:tcPr>
            <w:tcW w:w="3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C5EBC">
            <w:pPr>
              <w:jc w:val="center"/>
              <w:rPr>
                <w:rFonts w:ascii="宋体" w:hAnsi="宋体" w:cs="宋体"/>
                <w:color w:val="auto"/>
                <w:szCs w:val="21"/>
                <w:highlight w:val="none"/>
              </w:rPr>
            </w:pPr>
          </w:p>
        </w:tc>
      </w:tr>
      <w:tr w14:paraId="406FD179">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168E2">
            <w:pPr>
              <w:widowControl/>
              <w:numPr>
                <w:ilvl w:val="-1"/>
                <w:numId w:val="0"/>
              </w:numPr>
              <w:ind w:left="0" w:firstLine="0"/>
              <w:jc w:val="both"/>
              <w:textAlignment w:val="center"/>
              <w:rPr>
                <w:rFonts w:ascii="宋体" w:hAnsi="宋体" w:cs="宋体"/>
                <w:color w:val="auto"/>
                <w:szCs w:val="21"/>
                <w:highlight w:val="none"/>
              </w:rPr>
            </w:pP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6083C">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11B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F21D9">
            <w:pPr>
              <w:jc w:val="center"/>
              <w:rPr>
                <w:rFonts w:ascii="宋体" w:hAnsi="宋体" w:eastAsia="等线" w:cs="等线"/>
                <w:color w:val="auto"/>
                <w:szCs w:val="21"/>
                <w:highlight w:val="none"/>
              </w:rPr>
            </w:pPr>
          </w:p>
        </w:tc>
        <w:tc>
          <w:tcPr>
            <w:tcW w:w="3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A543B">
            <w:pPr>
              <w:jc w:val="center"/>
              <w:rPr>
                <w:rFonts w:ascii="宋体" w:hAnsi="宋体" w:cs="宋体"/>
                <w:color w:val="auto"/>
                <w:szCs w:val="21"/>
                <w:highlight w:val="none"/>
              </w:rPr>
            </w:pPr>
          </w:p>
        </w:tc>
      </w:tr>
      <w:tr w14:paraId="337FB768">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59CFB">
            <w:pPr>
              <w:widowControl/>
              <w:numPr>
                <w:ilvl w:val="-1"/>
                <w:numId w:val="0"/>
              </w:numPr>
              <w:ind w:left="0" w:firstLine="0"/>
              <w:jc w:val="both"/>
              <w:textAlignment w:val="center"/>
              <w:rPr>
                <w:rFonts w:ascii="宋体" w:hAnsi="宋体" w:cs="宋体"/>
                <w:color w:val="auto"/>
                <w:szCs w:val="21"/>
                <w:highlight w:val="none"/>
              </w:rPr>
            </w:pP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486D6">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AFC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26E67">
            <w:pPr>
              <w:jc w:val="center"/>
              <w:rPr>
                <w:rFonts w:ascii="宋体" w:hAnsi="宋体" w:eastAsia="等线" w:cs="等线"/>
                <w:color w:val="auto"/>
                <w:szCs w:val="21"/>
                <w:highlight w:val="none"/>
              </w:rPr>
            </w:pPr>
          </w:p>
        </w:tc>
        <w:tc>
          <w:tcPr>
            <w:tcW w:w="3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0C54C">
            <w:pPr>
              <w:jc w:val="center"/>
              <w:rPr>
                <w:rFonts w:ascii="宋体" w:hAnsi="宋体" w:cs="宋体"/>
                <w:color w:val="auto"/>
                <w:szCs w:val="21"/>
                <w:highlight w:val="none"/>
              </w:rPr>
            </w:pPr>
          </w:p>
        </w:tc>
      </w:tr>
      <w:tr w14:paraId="5A07697B">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22005">
            <w:pPr>
              <w:widowControl/>
              <w:numPr>
                <w:ilvl w:val="-1"/>
                <w:numId w:val="0"/>
              </w:numPr>
              <w:ind w:left="0" w:firstLine="0"/>
              <w:jc w:val="both"/>
              <w:textAlignment w:val="center"/>
              <w:rPr>
                <w:rFonts w:hint="eastAsia" w:ascii="宋体" w:hAnsi="宋体" w:cs="宋体"/>
                <w:color w:val="auto"/>
                <w:kern w:val="0"/>
                <w:szCs w:val="21"/>
                <w:highlight w:val="none"/>
              </w:rPr>
            </w:pP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8F57C">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1F6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2DE3C">
            <w:pPr>
              <w:jc w:val="center"/>
              <w:rPr>
                <w:rFonts w:ascii="宋体" w:hAnsi="宋体" w:eastAsia="等线" w:cs="等线"/>
                <w:color w:val="auto"/>
                <w:szCs w:val="21"/>
                <w:highlight w:val="none"/>
              </w:rPr>
            </w:pPr>
          </w:p>
        </w:tc>
        <w:tc>
          <w:tcPr>
            <w:tcW w:w="3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5202B">
            <w:pPr>
              <w:jc w:val="center"/>
              <w:rPr>
                <w:rFonts w:ascii="宋体" w:hAnsi="宋体" w:cs="宋体"/>
                <w:color w:val="auto"/>
                <w:szCs w:val="21"/>
                <w:highlight w:val="none"/>
              </w:rPr>
            </w:pPr>
          </w:p>
        </w:tc>
      </w:tr>
      <w:tr w14:paraId="209D9760">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FC211">
            <w:pPr>
              <w:widowControl/>
              <w:numPr>
                <w:ilvl w:val="-1"/>
                <w:numId w:val="0"/>
              </w:numPr>
              <w:ind w:left="0" w:firstLine="0"/>
              <w:jc w:val="both"/>
              <w:textAlignment w:val="center"/>
              <w:rPr>
                <w:rFonts w:hint="eastAsia" w:ascii="宋体" w:hAnsi="宋体" w:cs="宋体"/>
                <w:color w:val="auto"/>
                <w:kern w:val="0"/>
                <w:szCs w:val="21"/>
                <w:highlight w:val="none"/>
              </w:rPr>
            </w:pP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41766">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716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6DFA2">
            <w:pPr>
              <w:jc w:val="center"/>
              <w:rPr>
                <w:rFonts w:ascii="宋体" w:hAnsi="宋体" w:cs="宋体"/>
                <w:color w:val="auto"/>
                <w:szCs w:val="21"/>
                <w:highlight w:val="none"/>
              </w:rPr>
            </w:pPr>
          </w:p>
        </w:tc>
        <w:tc>
          <w:tcPr>
            <w:tcW w:w="3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192C8">
            <w:pPr>
              <w:jc w:val="center"/>
              <w:rPr>
                <w:rFonts w:ascii="宋体" w:hAnsi="宋体" w:cs="宋体"/>
                <w:color w:val="auto"/>
                <w:szCs w:val="21"/>
                <w:highlight w:val="none"/>
              </w:rPr>
            </w:pPr>
          </w:p>
        </w:tc>
      </w:tr>
      <w:tr w14:paraId="43FD615B">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C9144">
            <w:pPr>
              <w:widowControl/>
              <w:numPr>
                <w:ilvl w:val="-1"/>
                <w:numId w:val="0"/>
              </w:numPr>
              <w:ind w:left="0" w:firstLine="0"/>
              <w:jc w:val="both"/>
              <w:textAlignment w:val="center"/>
              <w:rPr>
                <w:rFonts w:ascii="宋体" w:hAnsi="宋体" w:cs="宋体"/>
                <w:color w:val="auto"/>
                <w:kern w:val="0"/>
                <w:szCs w:val="21"/>
                <w:highlight w:val="none"/>
              </w:rPr>
            </w:pP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10748E">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A115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color w:val="auto"/>
                <w:kern w:val="0"/>
                <w:sz w:val="21"/>
                <w:szCs w:val="21"/>
                <w:highlight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F6A21">
            <w:pPr>
              <w:jc w:val="center"/>
              <w:rPr>
                <w:rFonts w:ascii="宋体" w:hAnsi="宋体" w:cs="宋体"/>
                <w:color w:val="auto"/>
                <w:szCs w:val="21"/>
                <w:highlight w:val="none"/>
              </w:rPr>
            </w:pPr>
          </w:p>
        </w:tc>
        <w:tc>
          <w:tcPr>
            <w:tcW w:w="3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0BC04">
            <w:pPr>
              <w:jc w:val="center"/>
              <w:rPr>
                <w:rFonts w:ascii="宋体" w:hAnsi="宋体" w:cs="宋体"/>
                <w:color w:val="auto"/>
                <w:szCs w:val="21"/>
                <w:highlight w:val="none"/>
              </w:rPr>
            </w:pPr>
          </w:p>
        </w:tc>
      </w:tr>
      <w:tr w14:paraId="07551D4B">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4A2747">
            <w:pPr>
              <w:widowControl/>
              <w:numPr>
                <w:ilvl w:val="-1"/>
                <w:numId w:val="0"/>
              </w:numPr>
              <w:ind w:left="0" w:firstLine="0"/>
              <w:jc w:val="both"/>
              <w:textAlignment w:val="center"/>
              <w:rPr>
                <w:rFonts w:ascii="宋体" w:hAnsi="宋体" w:cs="宋体"/>
                <w:color w:val="auto"/>
                <w:kern w:val="0"/>
                <w:szCs w:val="21"/>
                <w:highlight w:val="none"/>
              </w:rPr>
            </w:pP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605FB">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DBF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C95941">
            <w:pPr>
              <w:jc w:val="center"/>
              <w:rPr>
                <w:rFonts w:ascii="宋体" w:hAnsi="宋体" w:cs="宋体"/>
                <w:color w:val="auto"/>
                <w:szCs w:val="21"/>
                <w:highlight w:val="none"/>
              </w:rPr>
            </w:pPr>
          </w:p>
        </w:tc>
        <w:tc>
          <w:tcPr>
            <w:tcW w:w="3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E6C0F">
            <w:pPr>
              <w:jc w:val="center"/>
              <w:rPr>
                <w:rFonts w:ascii="宋体" w:hAnsi="宋体" w:cs="宋体"/>
                <w:color w:val="auto"/>
                <w:szCs w:val="21"/>
                <w:highlight w:val="none"/>
              </w:rPr>
            </w:pPr>
          </w:p>
        </w:tc>
      </w:tr>
      <w:tr w14:paraId="17BB10A0">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B3958">
            <w:pPr>
              <w:widowControl/>
              <w:numPr>
                <w:ilvl w:val="-1"/>
                <w:numId w:val="0"/>
              </w:numPr>
              <w:ind w:left="0" w:firstLine="0"/>
              <w:jc w:val="both"/>
              <w:textAlignment w:val="center"/>
              <w:rPr>
                <w:rFonts w:ascii="宋体" w:hAnsi="宋体" w:cs="宋体"/>
                <w:color w:val="auto"/>
                <w:kern w:val="0"/>
                <w:szCs w:val="21"/>
                <w:highlight w:val="none"/>
              </w:rPr>
            </w:pP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D7F76">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8D50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3FE82">
            <w:pPr>
              <w:jc w:val="center"/>
              <w:rPr>
                <w:rFonts w:ascii="宋体" w:hAnsi="宋体" w:cs="宋体"/>
                <w:color w:val="auto"/>
                <w:szCs w:val="21"/>
                <w:highlight w:val="none"/>
              </w:rPr>
            </w:pPr>
          </w:p>
        </w:tc>
        <w:tc>
          <w:tcPr>
            <w:tcW w:w="3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D45684">
            <w:pPr>
              <w:jc w:val="center"/>
              <w:rPr>
                <w:rFonts w:ascii="宋体" w:hAnsi="宋体" w:cs="宋体"/>
                <w:color w:val="auto"/>
                <w:szCs w:val="21"/>
                <w:highlight w:val="none"/>
              </w:rPr>
            </w:pPr>
          </w:p>
        </w:tc>
      </w:tr>
      <w:tr w14:paraId="22CD32AC">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24B46">
            <w:pPr>
              <w:widowControl/>
              <w:numPr>
                <w:ilvl w:val="-1"/>
                <w:numId w:val="0"/>
              </w:numPr>
              <w:ind w:left="0" w:firstLine="0"/>
              <w:jc w:val="both"/>
              <w:textAlignment w:val="center"/>
              <w:rPr>
                <w:rFonts w:ascii="宋体" w:hAnsi="宋体" w:cs="宋体"/>
                <w:color w:val="auto"/>
                <w:kern w:val="0"/>
                <w:szCs w:val="21"/>
                <w:highlight w:val="none"/>
              </w:rPr>
            </w:pP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EAF82">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451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076BF">
            <w:pPr>
              <w:jc w:val="center"/>
              <w:rPr>
                <w:rFonts w:ascii="宋体" w:hAnsi="宋体" w:cs="宋体"/>
                <w:color w:val="auto"/>
                <w:szCs w:val="21"/>
                <w:highlight w:val="none"/>
              </w:rPr>
            </w:pPr>
          </w:p>
        </w:tc>
        <w:tc>
          <w:tcPr>
            <w:tcW w:w="3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AB34E">
            <w:pPr>
              <w:jc w:val="center"/>
              <w:rPr>
                <w:rFonts w:ascii="宋体" w:hAnsi="宋体" w:cs="宋体"/>
                <w:color w:val="auto"/>
                <w:szCs w:val="21"/>
                <w:highlight w:val="none"/>
              </w:rPr>
            </w:pPr>
          </w:p>
        </w:tc>
      </w:tr>
      <w:tr w14:paraId="41B1BA5C">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205F0">
            <w:pPr>
              <w:widowControl/>
              <w:numPr>
                <w:ilvl w:val="-1"/>
                <w:numId w:val="0"/>
              </w:numPr>
              <w:ind w:left="0" w:firstLine="0"/>
              <w:jc w:val="both"/>
              <w:textAlignment w:val="center"/>
              <w:rPr>
                <w:rFonts w:ascii="宋体" w:hAnsi="宋体" w:cs="宋体"/>
                <w:color w:val="auto"/>
                <w:kern w:val="0"/>
                <w:szCs w:val="21"/>
                <w:highlight w:val="none"/>
              </w:rPr>
            </w:pP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ABC86">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F06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CEA3F">
            <w:pPr>
              <w:jc w:val="center"/>
              <w:rPr>
                <w:rFonts w:ascii="宋体" w:hAnsi="宋体" w:cs="宋体"/>
                <w:color w:val="auto"/>
                <w:szCs w:val="21"/>
                <w:highlight w:val="none"/>
              </w:rPr>
            </w:pPr>
          </w:p>
        </w:tc>
        <w:tc>
          <w:tcPr>
            <w:tcW w:w="3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C3C0F">
            <w:pPr>
              <w:jc w:val="center"/>
              <w:rPr>
                <w:rFonts w:ascii="宋体" w:hAnsi="宋体" w:cs="宋体"/>
                <w:color w:val="auto"/>
                <w:szCs w:val="21"/>
                <w:highlight w:val="none"/>
              </w:rPr>
            </w:pPr>
          </w:p>
        </w:tc>
      </w:tr>
      <w:tr w14:paraId="495B6417">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21CAA">
            <w:pPr>
              <w:widowControl/>
              <w:numPr>
                <w:ilvl w:val="-1"/>
                <w:numId w:val="0"/>
              </w:numPr>
              <w:ind w:left="0" w:firstLine="0"/>
              <w:jc w:val="both"/>
              <w:textAlignment w:val="center"/>
              <w:rPr>
                <w:rFonts w:ascii="宋体" w:hAnsi="宋体" w:cs="宋体"/>
                <w:color w:val="auto"/>
                <w:kern w:val="0"/>
                <w:szCs w:val="21"/>
                <w:highlight w:val="none"/>
              </w:rPr>
            </w:pP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7906D">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269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DD6B6">
            <w:pPr>
              <w:jc w:val="center"/>
              <w:rPr>
                <w:rFonts w:ascii="宋体" w:hAnsi="宋体" w:cs="宋体"/>
                <w:color w:val="auto"/>
                <w:szCs w:val="21"/>
                <w:highlight w:val="none"/>
              </w:rPr>
            </w:pPr>
          </w:p>
        </w:tc>
        <w:tc>
          <w:tcPr>
            <w:tcW w:w="3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30728">
            <w:pPr>
              <w:jc w:val="center"/>
              <w:rPr>
                <w:rFonts w:ascii="宋体" w:hAnsi="宋体" w:cs="宋体"/>
                <w:color w:val="auto"/>
                <w:szCs w:val="21"/>
                <w:highlight w:val="none"/>
              </w:rPr>
            </w:pPr>
          </w:p>
        </w:tc>
      </w:tr>
      <w:tr w14:paraId="54FEAFDE">
        <w:tblPrEx>
          <w:tblCellMar>
            <w:top w:w="0" w:type="dxa"/>
            <w:left w:w="0" w:type="dxa"/>
            <w:bottom w:w="0" w:type="dxa"/>
            <w:right w:w="0" w:type="dxa"/>
          </w:tblCellMar>
        </w:tblPrEx>
        <w:trPr>
          <w:trHeight w:val="555" w:hRule="atLeast"/>
          <w:jc w:val="center"/>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0AF019">
            <w:pPr>
              <w:widowControl/>
              <w:numPr>
                <w:ilvl w:val="-1"/>
                <w:numId w:val="0"/>
              </w:numPr>
              <w:ind w:left="0" w:firstLine="0"/>
              <w:jc w:val="both"/>
              <w:textAlignment w:val="center"/>
              <w:rPr>
                <w:rFonts w:ascii="宋体" w:hAnsi="宋体" w:cs="宋体"/>
                <w:color w:val="auto"/>
                <w:kern w:val="0"/>
                <w:szCs w:val="21"/>
                <w:highlight w:val="none"/>
              </w:rPr>
            </w:pPr>
          </w:p>
        </w:tc>
        <w:tc>
          <w:tcPr>
            <w:tcW w:w="1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EC703">
            <w:pPr>
              <w:jc w:val="center"/>
              <w:rPr>
                <w:rFonts w:ascii="宋体" w:hAnsi="宋体" w:cs="宋体"/>
                <w:color w:val="auto"/>
                <w:szCs w:val="21"/>
                <w:highlight w:val="none"/>
              </w:rPr>
            </w:pP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2D5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41A43">
            <w:pPr>
              <w:jc w:val="center"/>
              <w:rPr>
                <w:rFonts w:ascii="宋体" w:hAnsi="宋体" w:cs="宋体"/>
                <w:color w:val="auto"/>
                <w:szCs w:val="21"/>
                <w:highlight w:val="none"/>
              </w:rPr>
            </w:pPr>
          </w:p>
        </w:tc>
        <w:tc>
          <w:tcPr>
            <w:tcW w:w="32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CD049">
            <w:pPr>
              <w:jc w:val="center"/>
              <w:rPr>
                <w:rFonts w:ascii="宋体" w:hAnsi="宋体" w:cs="宋体"/>
                <w:color w:val="auto"/>
                <w:szCs w:val="21"/>
                <w:highlight w:val="none"/>
              </w:rPr>
            </w:pPr>
          </w:p>
        </w:tc>
      </w:tr>
    </w:tbl>
    <w:p w14:paraId="2E51CA01">
      <w:pPr>
        <w:widowControl/>
        <w:jc w:val="left"/>
        <w:textAlignment w:val="center"/>
        <w:rPr>
          <w:rFonts w:hint="eastAsia"/>
          <w:color w:val="auto"/>
          <w:highlight w:val="none"/>
        </w:rPr>
      </w:pPr>
      <w:r>
        <w:rPr>
          <w:color w:val="auto"/>
          <w:highlight w:val="none"/>
        </w:rPr>
        <w:t>备注：</w:t>
      </w:r>
    </w:p>
    <w:p w14:paraId="0D41EB22">
      <w:pPr>
        <w:widowControl/>
        <w:jc w:val="left"/>
        <w:textAlignment w:val="center"/>
        <w:rPr>
          <w:rFonts w:hint="eastAsia"/>
          <w:color w:val="auto"/>
          <w:highlight w:val="none"/>
        </w:rPr>
      </w:pPr>
      <w:r>
        <w:rPr>
          <w:color w:val="auto"/>
          <w:highlight w:val="none"/>
        </w:rPr>
        <w:t>1、</w:t>
      </w:r>
      <w:r>
        <w:rPr>
          <w:rFonts w:hint="eastAsia"/>
          <w:color w:val="auto"/>
          <w:highlight w:val="none"/>
        </w:rPr>
        <w:t>“岗位”要求（除项目负责人和专职安全员外）由招标人根据项目管理需要在本表备注中明确提出。以上项目管理团队人员信息将由交易系统提取后供各相关单位在履约时比对、查核。</w:t>
      </w:r>
    </w:p>
    <w:p w14:paraId="33D5331E">
      <w:pPr>
        <w:widowControl/>
        <w:jc w:val="left"/>
        <w:textAlignment w:val="center"/>
        <w:rPr>
          <w:rFonts w:hint="eastAsia"/>
          <w:color w:val="auto"/>
          <w:highlight w:val="none"/>
        </w:rPr>
      </w:pPr>
      <w:r>
        <w:rPr>
          <w:color w:val="auto"/>
          <w:highlight w:val="none"/>
        </w:rPr>
        <w:t>2、</w:t>
      </w:r>
      <w:r>
        <w:rPr>
          <w:rFonts w:hint="eastAsia"/>
          <w:color w:val="auto"/>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4987F024">
      <w:pPr>
        <w:widowControl/>
        <w:jc w:val="left"/>
        <w:textAlignment w:val="center"/>
        <w:rPr>
          <w:rFonts w:hint="eastAsia"/>
          <w:color w:val="auto"/>
          <w:highlight w:val="none"/>
        </w:rPr>
      </w:pPr>
      <w:r>
        <w:rPr>
          <w:color w:val="auto"/>
          <w:highlight w:val="none"/>
        </w:rPr>
        <w:t>3、</w:t>
      </w:r>
      <w:r>
        <w:rPr>
          <w:rFonts w:hint="eastAsia"/>
          <w:color w:val="auto"/>
          <w:highlight w:val="none"/>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7062EB68">
      <w:pPr>
        <w:widowControl/>
        <w:jc w:val="left"/>
        <w:textAlignment w:val="center"/>
        <w:rPr>
          <w:rFonts w:hint="eastAsia"/>
          <w:color w:val="auto"/>
          <w:highlight w:val="none"/>
        </w:rPr>
      </w:pPr>
      <w:r>
        <w:rPr>
          <w:rFonts w:hint="eastAsia"/>
          <w:color w:val="auto"/>
          <w:highlight w:val="none"/>
        </w:rPr>
        <w:t>4、本表为项目管理团队人员的基本情况汇总，投标人可根据自身情况和招标文件要求配备专业技术管理人员，各岗位人员不得相互兼职。本表中填报的所有人员均需按招标文件第四章《主要人员简历表》格式要求编制并提交个人简历。</w:t>
      </w:r>
    </w:p>
    <w:p w14:paraId="6BBD821A">
      <w:pPr>
        <w:widowControl/>
        <w:shd w:val="clear" w:color="auto" w:fill="FFFFFF"/>
        <w:adjustRightInd w:val="0"/>
        <w:jc w:val="left"/>
        <w:rPr>
          <w:rFonts w:hint="eastAsia" w:ascii="宋体" w:hAnsi="宋体" w:cs="宋体"/>
          <w:color w:val="auto"/>
          <w:highlight w:val="none"/>
        </w:rPr>
      </w:pPr>
      <w:r>
        <w:rPr>
          <w:rFonts w:hint="eastAsia" w:ascii="宋体" w:hAnsi="宋体" w:cs="宋体"/>
          <w:color w:val="auto"/>
          <w:highlight w:val="none"/>
        </w:rPr>
        <w:t>5、本表项目管理团队人员需近</w:t>
      </w:r>
      <w:r>
        <w:rPr>
          <w:rFonts w:hint="eastAsia" w:ascii="宋体" w:hAnsi="宋体" w:cs="宋体"/>
          <w:color w:val="auto"/>
          <w:highlight w:val="none"/>
          <w:lang w:val="en-US" w:eastAsia="zh-CN"/>
        </w:rPr>
        <w:t>3个月（2025年3月至2025年5月）</w:t>
      </w:r>
      <w:r>
        <w:rPr>
          <w:rFonts w:hint="eastAsia" w:ascii="宋体" w:hAnsi="宋体" w:cs="宋体"/>
          <w:color w:val="auto"/>
          <w:highlight w:val="none"/>
        </w:rPr>
        <w:t>在投标人单位（或分公司）参保的社保缴纳记录证明原件清晰扫描件，并按招标公告及招标文件第二章附表四《技术标详细审查评分表》的评分要求提供相应证明材料，否则相应评分项不得分。所有证明材料要求为原件清晰扫描件。</w:t>
      </w:r>
    </w:p>
    <w:p w14:paraId="2323C45E">
      <w:pPr>
        <w:widowControl/>
        <w:shd w:val="clear" w:color="auto" w:fill="FFFFFF"/>
        <w:adjustRightInd w:val="0"/>
        <w:jc w:val="left"/>
        <w:rPr>
          <w:rFonts w:hint="eastAsia" w:ascii="宋体" w:hAnsi="宋体" w:cs="宋体"/>
          <w:color w:val="auto"/>
          <w:highlight w:val="none"/>
        </w:rPr>
      </w:pPr>
      <w:r>
        <w:rPr>
          <w:rFonts w:hint="eastAsia" w:ascii="宋体" w:hAnsi="宋体" w:cs="宋体"/>
          <w:color w:val="auto"/>
          <w:highlight w:val="none"/>
        </w:rPr>
        <w:t>6、人员仅指投标人单位（或分公司）人员。</w:t>
      </w:r>
    </w:p>
    <w:p w14:paraId="11AB1E88">
      <w:pPr>
        <w:widowControl/>
        <w:shd w:val="clear" w:color="auto" w:fill="FFFFFF"/>
        <w:adjustRightInd w:val="0"/>
        <w:jc w:val="left"/>
        <w:rPr>
          <w:rFonts w:ascii="宋体" w:hAnsi="宋体" w:cs="宋体"/>
          <w:color w:val="auto"/>
          <w:kern w:val="0"/>
          <w:sz w:val="20"/>
          <w:szCs w:val="20"/>
          <w:highlight w:val="none"/>
        </w:rPr>
      </w:pPr>
      <w:r>
        <w:rPr>
          <w:rFonts w:hint="eastAsia" w:ascii="宋体" w:hAnsi="宋体" w:cs="宋体"/>
          <w:color w:val="auto"/>
          <w:highlight w:val="none"/>
        </w:rPr>
        <w:t>7、拟投入的项目管理团队人员，未经招标人同意，中标后不得更换，否则按合同约定承担违约责任。</w:t>
      </w:r>
    </w:p>
    <w:p w14:paraId="35F7CDA1">
      <w:pPr>
        <w:pStyle w:val="143"/>
        <w:ind w:firstLine="3596" w:firstLineChars="1450"/>
        <w:rPr>
          <w:color w:val="auto"/>
          <w:highlight w:val="none"/>
        </w:rPr>
      </w:pPr>
    </w:p>
    <w:p w14:paraId="40E7BC1D">
      <w:pPr>
        <w:ind w:firstLine="4740" w:firstLineChars="1500"/>
        <w:rPr>
          <w:rFonts w:hint="eastAsia" w:ascii="宋体" w:hAnsi="宋体"/>
          <w:color w:val="auto"/>
          <w:sz w:val="24"/>
          <w:highlight w:val="none"/>
        </w:rPr>
      </w:pPr>
      <w:r>
        <w:rPr>
          <w:rFonts w:hint="eastAsia" w:ascii="宋体" w:hAnsi="宋体" w:cs="宋体"/>
          <w:color w:val="auto"/>
          <w:spacing w:val="18"/>
          <w:sz w:val="28"/>
          <w:szCs w:val="28"/>
          <w:highlight w:val="none"/>
        </w:rPr>
        <w:t xml:space="preserve"> </w:t>
      </w:r>
      <w:r>
        <w:rPr>
          <w:rFonts w:hint="eastAsia" w:ascii="宋体" w:hAnsi="宋体" w:eastAsia="宋体" w:cs="宋体"/>
          <w:color w:val="auto"/>
          <w:spacing w:val="0"/>
          <w:kern w:val="2"/>
          <w:sz w:val="24"/>
          <w:szCs w:val="24"/>
          <w:highlight w:val="none"/>
        </w:rPr>
        <w:t xml:space="preserve">投标人名称：            </w:t>
      </w:r>
    </w:p>
    <w:p w14:paraId="3FFA53B7">
      <w:pPr>
        <w:ind w:firstLine="3840" w:firstLineChars="1600"/>
        <w:rPr>
          <w:rFonts w:hint="eastAsia" w:ascii="宋体" w:hAnsi="宋体"/>
          <w:color w:val="auto"/>
          <w:sz w:val="24"/>
          <w:highlight w:val="none"/>
        </w:rPr>
      </w:pPr>
      <w:r>
        <w:rPr>
          <w:rFonts w:hint="eastAsia" w:ascii="宋体" w:hAnsi="宋体"/>
          <w:color w:val="auto"/>
          <w:sz w:val="24"/>
          <w:highlight w:val="none"/>
        </w:rPr>
        <w:t>日   期：    年    月    日</w:t>
      </w:r>
    </w:p>
    <w:p w14:paraId="1FA2E13B">
      <w:pPr>
        <w:widowControl/>
        <w:topLinePunct/>
        <w:adjustRightInd w:val="0"/>
        <w:snapToGrid w:val="0"/>
        <w:spacing w:after="200"/>
        <w:jc w:val="left"/>
        <w:outlineLvl w:val="2"/>
        <w:rPr>
          <w:rFonts w:hint="eastAsia"/>
          <w:color w:val="auto"/>
          <w:spacing w:val="4"/>
          <w:kern w:val="0"/>
          <w:sz w:val="24"/>
          <w:szCs w:val="24"/>
          <w:highlight w:val="none"/>
        </w:rPr>
      </w:pPr>
      <w:r>
        <w:rPr>
          <w:rFonts w:hint="eastAsia" w:ascii="宋体" w:hAnsi="宋体"/>
          <w:color w:val="auto"/>
          <w:sz w:val="24"/>
          <w:highlight w:val="none"/>
        </w:rPr>
        <w:br w:type="page"/>
      </w:r>
      <w:bookmarkStart w:id="81" w:name="_Toc4489949"/>
      <w:bookmarkStart w:id="82" w:name="_Toc504722515"/>
      <w:bookmarkStart w:id="83" w:name="_Toc1959"/>
      <w:bookmarkStart w:id="84" w:name="_Toc116898067"/>
      <w:bookmarkStart w:id="85" w:name="_Toc116898653"/>
      <w:bookmarkStart w:id="86" w:name="_Toc125032264"/>
      <w:bookmarkStart w:id="87" w:name="_Toc29476917"/>
      <w:bookmarkStart w:id="88" w:name="_Toc40024391"/>
      <w:r>
        <w:rPr>
          <w:rFonts w:hint="eastAsia" w:ascii="宋体" w:hAnsi="宋体" w:eastAsia="宋体"/>
          <w:color w:val="auto"/>
          <w:spacing w:val="0"/>
          <w:kern w:val="0"/>
          <w:sz w:val="27"/>
          <w:szCs w:val="27"/>
          <w:highlight w:val="none"/>
        </w:rPr>
        <w:t>格式</w:t>
      </w:r>
      <w:r>
        <w:rPr>
          <w:rFonts w:hint="eastAsia" w:ascii="宋体" w:hAnsi="宋体" w:eastAsia="宋体"/>
          <w:color w:val="auto"/>
          <w:spacing w:val="0"/>
          <w:kern w:val="0"/>
          <w:sz w:val="27"/>
          <w:szCs w:val="27"/>
          <w:highlight w:val="none"/>
          <w:lang w:val="en-US" w:eastAsia="zh-CN"/>
        </w:rPr>
        <w:t>六</w:t>
      </w:r>
      <w:r>
        <w:rPr>
          <w:rFonts w:hint="eastAsia" w:ascii="宋体" w:hAnsi="宋体" w:eastAsia="宋体"/>
          <w:color w:val="auto"/>
          <w:spacing w:val="0"/>
          <w:kern w:val="0"/>
          <w:sz w:val="27"/>
          <w:szCs w:val="27"/>
          <w:highlight w:val="none"/>
        </w:rPr>
        <w:t>：</w:t>
      </w:r>
      <w:bookmarkEnd w:id="81"/>
      <w:bookmarkEnd w:id="82"/>
      <w:bookmarkEnd w:id="83"/>
      <w:r>
        <w:rPr>
          <w:rFonts w:hint="eastAsia" w:ascii="宋体" w:hAnsi="宋体" w:eastAsia="宋体"/>
          <w:color w:val="auto"/>
          <w:spacing w:val="0"/>
          <w:kern w:val="0"/>
          <w:sz w:val="27"/>
          <w:szCs w:val="27"/>
          <w:highlight w:val="none"/>
        </w:rPr>
        <w:t>项目管理部组成人员配备表</w:t>
      </w:r>
      <w:bookmarkEnd w:id="84"/>
      <w:bookmarkEnd w:id="85"/>
      <w:bookmarkEnd w:id="86"/>
      <w:bookmarkEnd w:id="87"/>
      <w:bookmarkEnd w:id="88"/>
    </w:p>
    <w:p w14:paraId="4C27CB3E">
      <w:pPr>
        <w:widowControl/>
        <w:topLinePunct w:val="0"/>
        <w:adjustRightInd/>
        <w:snapToGrid/>
        <w:spacing w:line="240" w:lineRule="auto"/>
        <w:ind w:firstLine="0"/>
        <w:jc w:val="center"/>
        <w:textAlignment w:val="center"/>
        <w:rPr>
          <w:rFonts w:hint="eastAsia" w:ascii="宋体" w:hAnsi="宋体" w:eastAsia="宋体" w:cs="宋体"/>
          <w:b/>
          <w:snapToGrid/>
          <w:color w:val="auto"/>
          <w:spacing w:val="0"/>
          <w:kern w:val="0"/>
          <w:sz w:val="32"/>
          <w:szCs w:val="32"/>
          <w:highlight w:val="none"/>
        </w:rPr>
      </w:pPr>
      <w:r>
        <w:rPr>
          <w:rFonts w:hint="eastAsia" w:ascii="宋体" w:hAnsi="宋体" w:eastAsia="宋体" w:cs="宋体"/>
          <w:b/>
          <w:snapToGrid/>
          <w:color w:val="auto"/>
          <w:spacing w:val="0"/>
          <w:kern w:val="0"/>
          <w:sz w:val="32"/>
          <w:szCs w:val="32"/>
          <w:highlight w:val="none"/>
        </w:rPr>
        <w:t>项目管理部组成人员配备表</w:t>
      </w:r>
    </w:p>
    <w:tbl>
      <w:tblPr>
        <w:tblStyle w:val="50"/>
        <w:tblpPr w:leftFromText="180" w:rightFromText="180" w:vertAnchor="text" w:horzAnchor="margin" w:tblpXSpec="center" w:tblpY="44"/>
        <w:tblOverlap w:val="never"/>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693"/>
        <w:gridCol w:w="427"/>
        <w:gridCol w:w="427"/>
        <w:gridCol w:w="570"/>
        <w:gridCol w:w="427"/>
        <w:gridCol w:w="637"/>
        <w:gridCol w:w="427"/>
        <w:gridCol w:w="1426"/>
        <w:gridCol w:w="533"/>
        <w:gridCol w:w="2580"/>
        <w:gridCol w:w="1114"/>
      </w:tblGrid>
      <w:tr w14:paraId="33CB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22947981">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序号</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3589DD4">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姓名</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2C3D915E">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年龄</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6DD7651C">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工作年限</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30315560">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担任相应</w:t>
            </w:r>
          </w:p>
          <w:p w14:paraId="1237AEFD">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职务年限</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3C2950C7">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所学专业</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699625D5">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职称、资格证书</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0763C578">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原任职务</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49D6FB74">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在本项目任职</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591AB95">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数量</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34258E55">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基本要求</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12D87DBD">
            <w:pPr>
              <w:keepNext w:val="0"/>
              <w:keepLines w:val="0"/>
              <w:suppressLineNumbers w:val="0"/>
              <w:spacing w:before="0" w:beforeAutospacing="0" w:after="0" w:afterAutospacing="0" w:line="24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备注</w:t>
            </w:r>
          </w:p>
        </w:tc>
      </w:tr>
      <w:tr w14:paraId="4CE7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7CA5CCD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B8CA7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BDDE48D">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A9B3C74">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9B4042C">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C49C4F1">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1F7C8D57">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5AFEAF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5DD1A4">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项目负责人</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728E8D">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195587">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按招标公告要求。</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70B3DD">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按招标公告提供资料</w:t>
            </w:r>
          </w:p>
        </w:tc>
      </w:tr>
      <w:tr w14:paraId="7D36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7E86B44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AE304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1E3201D">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6C4CE3F">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38BBD2C">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C714EE8">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34932B61">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D12E17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60CDCB">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项目技术负责人</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68AFB7">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8AFBE5">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按招标公告要求。</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C864D">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按招标公告提供资料</w:t>
            </w:r>
          </w:p>
        </w:tc>
      </w:tr>
      <w:tr w14:paraId="334F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34661C3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C611B7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15042A7">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7BAF5B1">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6710AA7F">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0731486">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035E1BDC">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FF42E4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69D7FE">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项目安全负责人</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B15160">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DF0CA">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EB9E4A">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提供毕业证、职称证书扫描件</w:t>
            </w:r>
          </w:p>
        </w:tc>
      </w:tr>
      <w:tr w14:paraId="3EB8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118D1E7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E98F2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A573B7F">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6AF98F6">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710467E">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568DB22">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7D8C6881">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0C7834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E9F9FA">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项目质量负责人</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AAD149">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2886A5">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2A9416">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提供毕业证、职称证书扫描件</w:t>
            </w:r>
          </w:p>
        </w:tc>
      </w:tr>
      <w:tr w14:paraId="7402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5AE10B4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CE3E8A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46D85B8">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1C961C6">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09FFADF">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52F1C40">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2B3A1102">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C463C7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06B633">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项目造价负责人</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2857EA">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2FC6F1">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具有一级注册造价工程师资格。</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4122A2">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须提供一级注册造价工程师注册证扫描件</w:t>
            </w:r>
          </w:p>
        </w:tc>
      </w:tr>
      <w:tr w14:paraId="2370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69DB38D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02D9F9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CA07779">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85718A6">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910E55E">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670769A">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73C1FB88">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7A98C5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2FFB0F">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土建工程师</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D163FB">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8302D9">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1420D3">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提供毕业证、职称证书扫描件</w:t>
            </w:r>
          </w:p>
        </w:tc>
      </w:tr>
      <w:tr w14:paraId="3209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003007A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5EFF9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601041E">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8257F29">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0E13C8F">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A61B899">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64C1E1B0">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A9B9F3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3D0CA0">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机电工程师</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15F56F">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6A177B">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所学专业或职称为机电工程类相关专业，具备中级或以上技术职称。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DED8D2">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提供毕业证、职称证书扫描件</w:t>
            </w:r>
          </w:p>
        </w:tc>
      </w:tr>
      <w:tr w14:paraId="0FB7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494915B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77F9B5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36FB917">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72C97D7">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89EC64E">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CCCD64B">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0322783C">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26C4CB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4ADBF6">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质量管理、质检员</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51109">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C819FB">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所学专业或职称为建筑工程类或机电工程类相关专业，具备中级或以上技术职称。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9AE163">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提供毕业证、职称证书扫描件</w:t>
            </w:r>
          </w:p>
        </w:tc>
      </w:tr>
      <w:tr w14:paraId="2CB9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2AC0AE3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55372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CCCDE85">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FD054BB">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582EE83">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4F7CD56">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1E3B5F36">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4B2505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5A4D84">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测量工程师</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90D161">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D388C">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所学专业或职称为测量类或建筑工程类相关专业，具备中级或以上技术职称。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67BB68">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提供毕业证、职称证书扫描件</w:t>
            </w:r>
          </w:p>
        </w:tc>
      </w:tr>
      <w:tr w14:paraId="5163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608BF8A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14E988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B49F8F4">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31D3B08">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B6EEEB2">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D8A5166">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6A3FE090">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8FF347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CB8444">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造价管理工程师</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61434">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3E6201">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具有一级注册造价工程师资格。</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08746C">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须提供一级注册造价工程师注册证扫描件</w:t>
            </w:r>
          </w:p>
        </w:tc>
      </w:tr>
      <w:tr w14:paraId="6D9D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72050D5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EFDD19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384C3CD">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67A0360">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2F367E1">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91A6FC2">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60C3ADEA">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5E9307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7543E4">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专职安全员</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451A03">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D3A541">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按招标公告要求。</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AD3C7E">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按招标公告提供资料</w:t>
            </w:r>
          </w:p>
        </w:tc>
      </w:tr>
      <w:tr w14:paraId="2672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39EF7EE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BF9FC3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E72C2DB">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A27122E">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DD4B3C6">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B80CC7F">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556DA8B3">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FE2964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C5196F">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安全员</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DB4B47">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87CA3D">
            <w:pPr>
              <w:keepNext w:val="0"/>
              <w:keepLines w:val="0"/>
              <w:widowControl/>
              <w:suppressLineNumbers w:val="0"/>
              <w:spacing w:before="0" w:beforeAutospacing="0" w:after="0" w:afterAutospacing="0" w:line="240" w:lineRule="exac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所学专业或职称为建筑工程类相关专业，具备初级或以上技术职称，具有安全生产考核合格证（C类）或建筑施工企业专职安全生产管理人员安全生产考核合格证书（C3）。</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B41B84">
            <w:pPr>
              <w:keepNext w:val="0"/>
              <w:keepLines w:val="0"/>
              <w:widowControl/>
              <w:suppressLineNumbers w:val="0"/>
              <w:spacing w:before="0" w:beforeAutospacing="0" w:after="0" w:afterAutospacing="0" w:line="240" w:lineRule="exac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须提供毕业证、职称证书、安全生产考核合格证（C类）或建筑施工企业专职安全生产管理人员安全生产考核合格证书（C3）扫描件</w:t>
            </w:r>
          </w:p>
        </w:tc>
      </w:tr>
      <w:tr w14:paraId="370F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5802DBD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EB6EA1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A9F2BA9">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C9259B6">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A9BDF47">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A598D00">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27255E3E">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589EC9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F0961E">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资料员（数据员、图文件信息管理员）</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18C4ED">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05C72">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具备建筑工程类相关专业大专或以上学历，且具有建设行政主管部门或其授权的机构或行业协会颁发的资料员岗位证书或上岗证或培训证。</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1A8FE">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须提供建设行政主管部门或其授权的机构或行业协会等颁发的资料员岗位证书或上岗证或培训证扫描件</w:t>
            </w:r>
          </w:p>
        </w:tc>
      </w:tr>
      <w:tr w14:paraId="1934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629D658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43C938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E828829">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7C56E80">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65130D77">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C6AE736">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3F3CF195">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0E6F3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4F394F">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其他工程技术人员</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B7A10E">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F611BE">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所学专业或职称为建筑工程类相关专业，具备中级或以上技术职称。其中2人常驻建设单位协助本工程项目推进工作。</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0F3BF6">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提供毕业证、职称证书扫描件</w:t>
            </w:r>
          </w:p>
        </w:tc>
      </w:tr>
      <w:tr w14:paraId="4CB0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32C16E5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8D89EC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AAAA5F8">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94B9AEB">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F0472FE">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DDCBAC1">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55B2D685">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EE18CA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AB8D7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BIM项目工程师</w:t>
            </w:r>
          </w:p>
          <w:p w14:paraId="042EFECB">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（按照专业配置）</w:t>
            </w: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F4CE0A">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不少于2名</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545747">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997A18">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须提供毕业证、职称证书扫描件</w:t>
            </w:r>
          </w:p>
        </w:tc>
      </w:tr>
      <w:tr w14:paraId="6656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3D7E669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97B400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12DEDD0">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34CE0EA">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3EC12E7">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A53AC74">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6B1F4647">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ED96B2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1"/>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6A53B2">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5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2F6433">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DF8D9F">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54ED95">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highlight w:val="none"/>
                <w:lang w:val="en-US" w:eastAsia="zh-CN" w:bidi="ar-SA"/>
              </w:rPr>
            </w:pPr>
          </w:p>
        </w:tc>
      </w:tr>
    </w:tbl>
    <w:p w14:paraId="1613FCCE">
      <w:pPr>
        <w:widowControl/>
        <w:topLinePunct/>
        <w:adjustRightInd w:val="0"/>
        <w:snapToGrid w:val="0"/>
        <w:spacing w:after="200"/>
        <w:jc w:val="left"/>
        <w:rPr>
          <w:rFonts w:hint="eastAsia"/>
          <w:snapToGrid w:val="0"/>
          <w:color w:val="auto"/>
          <w:szCs w:val="21"/>
          <w:highlight w:val="none"/>
        </w:rPr>
      </w:pPr>
    </w:p>
    <w:p w14:paraId="677516BC">
      <w:pPr>
        <w:widowControl/>
        <w:shd w:val="clear" w:color="auto" w:fill="FFFFFF"/>
        <w:adjustRightInd w:val="0"/>
        <w:ind w:firstLine="361" w:firstLineChars="200"/>
        <w:jc w:val="left"/>
        <w:rPr>
          <w:rFonts w:hint="eastAsia" w:ascii="宋体" w:hAnsi="宋体" w:cs="宋体"/>
          <w:color w:val="auto"/>
          <w:kern w:val="0"/>
          <w:sz w:val="18"/>
          <w:szCs w:val="18"/>
          <w:highlight w:val="none"/>
          <w:lang w:bidi="ar"/>
        </w:rPr>
      </w:pPr>
      <w:r>
        <w:rPr>
          <w:rFonts w:hint="eastAsia" w:ascii="宋体" w:hAnsi="宋体" w:cs="宋体"/>
          <w:b/>
          <w:color w:val="auto"/>
          <w:kern w:val="0"/>
          <w:sz w:val="18"/>
          <w:szCs w:val="18"/>
          <w:highlight w:val="none"/>
          <w:lang w:bidi="ar"/>
        </w:rPr>
        <w:t>备注</w:t>
      </w:r>
      <w:r>
        <w:rPr>
          <w:rFonts w:hint="eastAsia" w:ascii="宋体" w:hAnsi="宋体" w:cs="宋体"/>
          <w:color w:val="auto"/>
          <w:kern w:val="0"/>
          <w:sz w:val="18"/>
          <w:szCs w:val="18"/>
          <w:highlight w:val="none"/>
          <w:lang w:bidi="ar"/>
        </w:rPr>
        <w:t>：</w:t>
      </w:r>
    </w:p>
    <w:p w14:paraId="60C5EA74">
      <w:pPr>
        <w:widowControl/>
        <w:shd w:val="clear" w:color="auto" w:fill="FFFFFF"/>
        <w:adjustRightInd w:val="0"/>
        <w:ind w:firstLine="360" w:firstLineChars="200"/>
        <w:jc w:val="left"/>
        <w:rPr>
          <w:rFonts w:hint="eastAsia" w:ascii="宋体" w:hAnsi="宋体" w:cs="宋体"/>
          <w:color w:val="auto"/>
          <w:sz w:val="18"/>
          <w:szCs w:val="18"/>
          <w:highlight w:val="none"/>
          <w:lang w:bidi="ar"/>
        </w:rPr>
      </w:pPr>
      <w:r>
        <w:rPr>
          <w:rFonts w:hint="eastAsia" w:ascii="宋体" w:hAnsi="宋体" w:cs="宋体"/>
          <w:color w:val="auto"/>
          <w:kern w:val="0"/>
          <w:sz w:val="18"/>
          <w:szCs w:val="18"/>
          <w:highlight w:val="none"/>
          <w:lang w:bidi="ar"/>
        </w:rPr>
        <w:t>1、本表为管理架构人员最低配置，投标单位可根据自身情况增加专业技术管理人员，</w:t>
      </w:r>
      <w:r>
        <w:rPr>
          <w:rFonts w:hint="eastAsia" w:ascii="宋体" w:hAnsi="宋体" w:cs="宋体"/>
          <w:color w:val="auto"/>
          <w:sz w:val="18"/>
          <w:szCs w:val="18"/>
          <w:highlight w:val="none"/>
          <w:lang w:bidi="ar"/>
        </w:rPr>
        <w:t>各岗位人员不得相互兼职。</w:t>
      </w:r>
    </w:p>
    <w:p w14:paraId="6F092F60">
      <w:pPr>
        <w:widowControl/>
        <w:shd w:val="clear" w:color="auto" w:fill="FFFFFF"/>
        <w:adjustRightInd w:val="0"/>
        <w:ind w:firstLine="360" w:firstLineChars="200"/>
        <w:jc w:val="left"/>
        <w:rPr>
          <w:rFonts w:hint="eastAsia" w:ascii="宋体" w:hAnsi="宋体" w:cs="宋体"/>
          <w:color w:val="auto"/>
          <w:kern w:val="0"/>
          <w:sz w:val="18"/>
          <w:szCs w:val="18"/>
          <w:highlight w:val="none"/>
          <w:u w:val="single"/>
          <w:lang w:bidi="ar"/>
        </w:rPr>
      </w:pPr>
      <w:r>
        <w:rPr>
          <w:rFonts w:hint="eastAsia" w:ascii="宋体" w:hAnsi="宋体" w:cs="宋体"/>
          <w:color w:val="auto"/>
          <w:kern w:val="0"/>
          <w:sz w:val="18"/>
          <w:szCs w:val="18"/>
          <w:highlight w:val="none"/>
          <w:u w:val="single"/>
          <w:lang w:bidi="ar"/>
        </w:rPr>
        <w:t>2、本表</w:t>
      </w:r>
      <w:r>
        <w:rPr>
          <w:rFonts w:hint="eastAsia" w:ascii="宋体" w:hAnsi="宋体" w:cs="宋体"/>
          <w:color w:val="auto"/>
          <w:kern w:val="0"/>
          <w:sz w:val="18"/>
          <w:szCs w:val="18"/>
          <w:highlight w:val="none"/>
          <w:u w:val="single"/>
          <w:lang w:val="en-US" w:eastAsia="zh-CN" w:bidi="ar"/>
        </w:rPr>
        <w:t>所列</w:t>
      </w:r>
      <w:r>
        <w:rPr>
          <w:rFonts w:hint="eastAsia" w:ascii="宋体" w:hAnsi="宋体" w:cs="宋体"/>
          <w:color w:val="auto"/>
          <w:kern w:val="0"/>
          <w:sz w:val="18"/>
          <w:szCs w:val="18"/>
          <w:highlight w:val="none"/>
          <w:u w:val="single"/>
          <w:lang w:bidi="ar"/>
        </w:rPr>
        <w:t>人员需</w:t>
      </w:r>
      <w:r>
        <w:rPr>
          <w:rFonts w:hint="eastAsia" w:ascii="宋体" w:hAnsi="宋体" w:cs="宋体"/>
          <w:b/>
          <w:bCs/>
          <w:color w:val="auto"/>
          <w:kern w:val="0"/>
          <w:sz w:val="18"/>
          <w:szCs w:val="18"/>
          <w:highlight w:val="none"/>
          <w:u w:val="single"/>
          <w:lang w:bidi="ar"/>
        </w:rPr>
        <w:t>提供近</w:t>
      </w:r>
      <w:r>
        <w:rPr>
          <w:rFonts w:hint="eastAsia" w:ascii="宋体" w:hAnsi="宋体" w:cs="宋体"/>
          <w:b/>
          <w:bCs/>
          <w:color w:val="auto"/>
          <w:kern w:val="0"/>
          <w:sz w:val="18"/>
          <w:szCs w:val="18"/>
          <w:highlight w:val="none"/>
          <w:u w:val="single"/>
          <w:lang w:eastAsia="zh-CN" w:bidi="ar"/>
        </w:rPr>
        <w:t>3个月（2025年3月至2025年5月）</w:t>
      </w:r>
      <w:r>
        <w:rPr>
          <w:rFonts w:hint="eastAsia" w:ascii="宋体" w:hAnsi="宋体" w:cs="宋体"/>
          <w:color w:val="auto"/>
          <w:kern w:val="0"/>
          <w:sz w:val="18"/>
          <w:szCs w:val="18"/>
          <w:highlight w:val="none"/>
          <w:u w:val="single"/>
          <w:lang w:bidi="ar"/>
        </w:rPr>
        <w:t>社保证明文件复印件，需提供的其他证明文件详见基本要求及备注。</w:t>
      </w:r>
    </w:p>
    <w:p w14:paraId="3569904F">
      <w:pPr>
        <w:widowControl/>
        <w:shd w:val="clear" w:color="auto" w:fill="FFFFFF"/>
        <w:adjustRightInd w:val="0"/>
        <w:ind w:firstLine="360" w:firstLineChars="200"/>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3、人员仅指投标人自身人员，如投标申请人为集团公司，则不含集团下属具有独立法人的子公司的人员，但包含非独立法人的分公司人员；同样下属具有独立法人的子公司也不得使用集团公司的人员。</w:t>
      </w:r>
    </w:p>
    <w:p w14:paraId="30A949CB">
      <w:pPr>
        <w:widowControl/>
        <w:adjustRightInd w:val="0"/>
        <w:ind w:firstLine="360" w:firstLineChars="200"/>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4、拟投入的人员，未经招标人同意，中标后不得更换，否则按合同约定承担违约责任。</w:t>
      </w:r>
    </w:p>
    <w:p w14:paraId="098C3A86">
      <w:pPr>
        <w:widowControl/>
        <w:adjustRightInd w:val="0"/>
        <w:ind w:firstLine="360" w:firstLineChars="200"/>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5、按照《造价工程师职业资格制度规定》的规定，根据原人事部、原建设部发布的《造价工程师执业资格制度暂行规定》（人发〔1996〕77号）取得的造价工程师执业资格，并经注册且在有限期内的，等同于一级注册造价工程师。上述注册类人员包括在广东省住房和城乡建设主管部门备案且备案的业务范围符合上述注册人员要求的香港专业人士。</w:t>
      </w:r>
    </w:p>
    <w:p w14:paraId="56409E61">
      <w:pPr>
        <w:widowControl/>
        <w:adjustRightInd w:val="0"/>
        <w:ind w:firstLine="360" w:firstLineChars="200"/>
        <w:jc w:val="left"/>
        <w:rPr>
          <w:rFonts w:hint="eastAsia" w:ascii="宋体" w:hAnsi="宋体" w:cs="宋体"/>
          <w:color w:val="auto"/>
          <w:kern w:val="0"/>
          <w:sz w:val="18"/>
          <w:szCs w:val="18"/>
          <w:highlight w:val="none"/>
          <w:u w:val="single"/>
          <w:lang w:bidi="ar"/>
        </w:rPr>
      </w:pPr>
      <w:r>
        <w:rPr>
          <w:rFonts w:ascii="宋体" w:hAnsi="宋体" w:cs="宋体"/>
          <w:color w:val="auto"/>
          <w:sz w:val="18"/>
          <w:szCs w:val="18"/>
          <w:highlight w:val="none"/>
          <w:u w:val="single"/>
          <w:lang w:bidi="ar"/>
        </w:rPr>
        <w:t>6、</w:t>
      </w:r>
      <w:r>
        <w:rPr>
          <w:rFonts w:hint="eastAsia" w:ascii="宋体" w:hAnsi="宋体" w:cs="宋体"/>
          <w:color w:val="auto"/>
          <w:sz w:val="18"/>
          <w:szCs w:val="18"/>
          <w:highlight w:val="none"/>
          <w:u w:val="single"/>
          <w:lang w:bidi="ar"/>
        </w:rPr>
        <w:t>本表中投标人提供的“项目</w:t>
      </w:r>
      <w:r>
        <w:rPr>
          <w:rFonts w:ascii="宋体" w:hAnsi="宋体" w:cs="宋体"/>
          <w:color w:val="auto"/>
          <w:sz w:val="18"/>
          <w:szCs w:val="18"/>
          <w:highlight w:val="none"/>
          <w:u w:val="single"/>
          <w:lang w:bidi="ar"/>
        </w:rPr>
        <w:t>负责人</w:t>
      </w:r>
      <w:r>
        <w:rPr>
          <w:rFonts w:hint="eastAsia" w:ascii="宋体" w:hAnsi="宋体" w:cs="宋体"/>
          <w:color w:val="auto"/>
          <w:sz w:val="18"/>
          <w:szCs w:val="18"/>
          <w:highlight w:val="none"/>
          <w:u w:val="single"/>
          <w:lang w:bidi="ar"/>
        </w:rPr>
        <w:t>、技术负责人、专职安全员”需满足招标公告要求，其余人员不全或未满足招标文件要求的，中标后须按招标文件的要求补充完善并报发包人审批同意；涉及违约的，还需按合同约定承担相应的违约责任。</w:t>
      </w:r>
      <w:r>
        <w:rPr>
          <w:rFonts w:ascii="宋体" w:hAnsi="宋体" w:cs="宋体"/>
          <w:color w:val="auto"/>
          <w:sz w:val="24"/>
          <w:szCs w:val="24"/>
          <w:highlight w:val="none"/>
        </w:rPr>
        <w:t xml:space="preserve"> </w:t>
      </w:r>
    </w:p>
    <w:p w14:paraId="6A15085F">
      <w:pPr>
        <w:pStyle w:val="7"/>
        <w:ind w:firstLine="400" w:firstLineChars="200"/>
        <w:rPr>
          <w:color w:val="auto"/>
          <w:highlight w:val="none"/>
        </w:rPr>
      </w:pPr>
    </w:p>
    <w:p w14:paraId="72C18082">
      <w:pPr>
        <w:widowControl/>
        <w:topLinePunct/>
        <w:adjustRightInd w:val="0"/>
        <w:snapToGrid w:val="0"/>
        <w:spacing w:after="200" w:line="360" w:lineRule="auto"/>
        <w:ind w:firstLine="3596" w:firstLineChars="1450"/>
        <w:jc w:val="left"/>
        <w:rPr>
          <w:color w:val="auto"/>
          <w:spacing w:val="4"/>
          <w:kern w:val="0"/>
          <w:sz w:val="24"/>
          <w:szCs w:val="24"/>
          <w:highlight w:val="none"/>
        </w:rPr>
      </w:pPr>
      <w:r>
        <w:rPr>
          <w:rFonts w:hint="eastAsia"/>
          <w:color w:val="auto"/>
          <w:spacing w:val="4"/>
          <w:kern w:val="0"/>
          <w:sz w:val="24"/>
          <w:szCs w:val="24"/>
          <w:highlight w:val="none"/>
        </w:rPr>
        <w:t>投标人：</w:t>
      </w:r>
    </w:p>
    <w:p w14:paraId="70054FC9">
      <w:pPr>
        <w:ind w:firstLine="3600" w:firstLineChars="1500"/>
        <w:rPr>
          <w:color w:val="auto"/>
          <w:sz w:val="24"/>
          <w:szCs w:val="24"/>
          <w:highlight w:val="none"/>
        </w:rPr>
      </w:pPr>
      <w:r>
        <w:rPr>
          <w:rFonts w:hint="eastAsia"/>
          <w:color w:val="auto"/>
          <w:sz w:val="24"/>
          <w:szCs w:val="24"/>
          <w:highlight w:val="none"/>
        </w:rPr>
        <w:t>日</w:t>
      </w:r>
      <w:r>
        <w:rPr>
          <w:color w:val="auto"/>
          <w:sz w:val="24"/>
          <w:szCs w:val="24"/>
          <w:highlight w:val="none"/>
        </w:rPr>
        <w:t xml:space="preserve">   </w:t>
      </w:r>
      <w:r>
        <w:rPr>
          <w:rFonts w:hint="eastAsia"/>
          <w:color w:val="auto"/>
          <w:sz w:val="24"/>
          <w:szCs w:val="24"/>
          <w:highlight w:val="none"/>
        </w:rPr>
        <w:t>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53BB5BD8">
      <w:pPr>
        <w:ind w:firstLine="3840" w:firstLineChars="1600"/>
        <w:rPr>
          <w:rFonts w:ascii="宋体" w:hAnsi="宋体"/>
          <w:color w:val="auto"/>
          <w:sz w:val="24"/>
          <w:highlight w:val="none"/>
        </w:rPr>
      </w:pPr>
    </w:p>
    <w:p w14:paraId="272309AC">
      <w:pPr>
        <w:ind w:right="-649" w:rightChars="-309"/>
        <w:rPr>
          <w:rFonts w:ascii="宋体" w:hAnsi="宋体"/>
          <w:b/>
          <w:color w:val="auto"/>
          <w:sz w:val="18"/>
          <w:szCs w:val="18"/>
          <w:highlight w:val="none"/>
        </w:rPr>
      </w:pPr>
    </w:p>
    <w:p w14:paraId="706FE9C9">
      <w:pPr>
        <w:pStyle w:val="5"/>
        <w:rPr>
          <w:color w:val="auto"/>
          <w:highlight w:val="none"/>
        </w:rPr>
      </w:pPr>
      <w:r>
        <w:rPr>
          <w:color w:val="auto"/>
          <w:highlight w:val="none"/>
        </w:rPr>
        <w:br w:type="page"/>
      </w:r>
      <w:bookmarkStart w:id="89" w:name="_Toc510963891"/>
      <w:bookmarkStart w:id="90" w:name="_Toc532475794"/>
      <w:bookmarkStart w:id="91" w:name="_Toc532475361"/>
      <w:r>
        <w:rPr>
          <w:rFonts w:hint="eastAsia"/>
          <w:color w:val="auto"/>
          <w:highlight w:val="none"/>
          <w:lang w:eastAsia="zh-CN"/>
        </w:rPr>
        <w:t>格式</w:t>
      </w:r>
      <w:r>
        <w:rPr>
          <w:rFonts w:hint="eastAsia"/>
          <w:color w:val="auto"/>
          <w:highlight w:val="none"/>
          <w:lang w:val="en-US" w:eastAsia="zh-CN"/>
        </w:rPr>
        <w:t>七</w:t>
      </w:r>
      <w:r>
        <w:rPr>
          <w:rFonts w:hint="eastAsia"/>
          <w:color w:val="auto"/>
          <w:highlight w:val="none"/>
        </w:rPr>
        <w:t>：主要人员简历表</w:t>
      </w:r>
      <w:bookmarkEnd w:id="89"/>
      <w:bookmarkEnd w:id="90"/>
      <w:bookmarkEnd w:id="91"/>
    </w:p>
    <w:p w14:paraId="03CD55AF">
      <w:pPr>
        <w:pStyle w:val="277"/>
        <w:rPr>
          <w:rFonts w:eastAsia="宋体"/>
          <w:color w:val="auto"/>
          <w:sz w:val="32"/>
          <w:szCs w:val="32"/>
          <w:highlight w:val="none"/>
        </w:rPr>
      </w:pPr>
      <w:r>
        <w:rPr>
          <w:rFonts w:hint="eastAsia" w:eastAsia="宋体"/>
          <w:color w:val="auto"/>
          <w:sz w:val="32"/>
          <w:szCs w:val="32"/>
          <w:highlight w:val="none"/>
        </w:rPr>
        <w:t>主要人员简历表</w:t>
      </w:r>
    </w:p>
    <w:tbl>
      <w:tblPr>
        <w:tblStyle w:val="50"/>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14:paraId="6194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noWrap w:val="0"/>
            <w:vAlign w:val="center"/>
          </w:tcPr>
          <w:p w14:paraId="272480CB">
            <w:pPr>
              <w:pStyle w:val="231"/>
              <w:spacing w:line="360" w:lineRule="auto"/>
              <w:jc w:val="center"/>
              <w:rPr>
                <w:b/>
                <w:color w:val="auto"/>
                <w:sz w:val="24"/>
                <w:szCs w:val="24"/>
                <w:highlight w:val="none"/>
              </w:rPr>
            </w:pPr>
            <w:r>
              <w:rPr>
                <w:rFonts w:hint="eastAsia"/>
                <w:b/>
                <w:color w:val="auto"/>
                <w:sz w:val="24"/>
                <w:szCs w:val="24"/>
                <w:highlight w:val="none"/>
              </w:rPr>
              <w:t>姓名</w:t>
            </w:r>
          </w:p>
        </w:tc>
        <w:tc>
          <w:tcPr>
            <w:tcW w:w="2126" w:type="dxa"/>
            <w:gridSpan w:val="3"/>
            <w:noWrap w:val="0"/>
            <w:vAlign w:val="center"/>
          </w:tcPr>
          <w:p w14:paraId="26D07036">
            <w:pPr>
              <w:pStyle w:val="143"/>
              <w:keepNext/>
              <w:keepLines/>
              <w:spacing w:before="120" w:after="120"/>
              <w:ind w:firstLine="0" w:firstLineChars="0"/>
              <w:jc w:val="center"/>
              <w:outlineLvl w:val="0"/>
              <w:rPr>
                <w:b/>
                <w:color w:val="auto"/>
                <w:kern w:val="2"/>
                <w:highlight w:val="none"/>
              </w:rPr>
            </w:pPr>
          </w:p>
        </w:tc>
        <w:tc>
          <w:tcPr>
            <w:tcW w:w="1370" w:type="dxa"/>
            <w:gridSpan w:val="2"/>
            <w:noWrap w:val="0"/>
            <w:vAlign w:val="center"/>
          </w:tcPr>
          <w:p w14:paraId="14D3C39F">
            <w:pPr>
              <w:pStyle w:val="231"/>
              <w:spacing w:line="360" w:lineRule="auto"/>
              <w:jc w:val="center"/>
              <w:rPr>
                <w:b/>
                <w:color w:val="auto"/>
                <w:sz w:val="24"/>
                <w:szCs w:val="24"/>
                <w:highlight w:val="none"/>
              </w:rPr>
            </w:pPr>
            <w:r>
              <w:rPr>
                <w:rFonts w:hint="eastAsia"/>
                <w:b/>
                <w:color w:val="auto"/>
                <w:sz w:val="24"/>
                <w:szCs w:val="24"/>
                <w:highlight w:val="none"/>
              </w:rPr>
              <w:t>性别</w:t>
            </w:r>
          </w:p>
        </w:tc>
        <w:tc>
          <w:tcPr>
            <w:tcW w:w="1701" w:type="dxa"/>
            <w:gridSpan w:val="2"/>
            <w:noWrap w:val="0"/>
            <w:vAlign w:val="center"/>
          </w:tcPr>
          <w:p w14:paraId="0E9D5E93">
            <w:pPr>
              <w:pStyle w:val="143"/>
              <w:keepNext/>
              <w:keepLines/>
              <w:spacing w:before="120" w:after="120"/>
              <w:ind w:firstLine="0" w:firstLineChars="0"/>
              <w:jc w:val="center"/>
              <w:outlineLvl w:val="0"/>
              <w:rPr>
                <w:b/>
                <w:color w:val="auto"/>
                <w:kern w:val="2"/>
                <w:highlight w:val="none"/>
              </w:rPr>
            </w:pPr>
          </w:p>
        </w:tc>
        <w:tc>
          <w:tcPr>
            <w:tcW w:w="1182" w:type="dxa"/>
            <w:noWrap w:val="0"/>
            <w:vAlign w:val="center"/>
          </w:tcPr>
          <w:p w14:paraId="5113B309">
            <w:pPr>
              <w:pStyle w:val="231"/>
              <w:spacing w:line="360" w:lineRule="auto"/>
              <w:jc w:val="center"/>
              <w:rPr>
                <w:b/>
                <w:color w:val="auto"/>
                <w:sz w:val="24"/>
                <w:szCs w:val="24"/>
                <w:highlight w:val="none"/>
              </w:rPr>
            </w:pPr>
            <w:r>
              <w:rPr>
                <w:rFonts w:hint="eastAsia"/>
                <w:b/>
                <w:color w:val="auto"/>
                <w:sz w:val="24"/>
                <w:szCs w:val="24"/>
                <w:highlight w:val="none"/>
              </w:rPr>
              <w:t>年龄</w:t>
            </w:r>
          </w:p>
        </w:tc>
        <w:tc>
          <w:tcPr>
            <w:tcW w:w="1620" w:type="dxa"/>
            <w:gridSpan w:val="2"/>
            <w:noWrap w:val="0"/>
            <w:vAlign w:val="center"/>
          </w:tcPr>
          <w:p w14:paraId="3390DFF8">
            <w:pPr>
              <w:pStyle w:val="143"/>
              <w:keepNext/>
              <w:keepLines/>
              <w:spacing w:before="120" w:after="120"/>
              <w:ind w:firstLine="0" w:firstLineChars="0"/>
              <w:jc w:val="center"/>
              <w:outlineLvl w:val="0"/>
              <w:rPr>
                <w:b/>
                <w:color w:val="auto"/>
                <w:kern w:val="2"/>
                <w:highlight w:val="none"/>
              </w:rPr>
            </w:pPr>
          </w:p>
        </w:tc>
      </w:tr>
      <w:tr w14:paraId="34A6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noWrap w:val="0"/>
            <w:vAlign w:val="center"/>
          </w:tcPr>
          <w:p w14:paraId="491A52C9">
            <w:pPr>
              <w:pStyle w:val="231"/>
              <w:spacing w:line="360" w:lineRule="auto"/>
              <w:jc w:val="center"/>
              <w:rPr>
                <w:b/>
                <w:color w:val="auto"/>
                <w:sz w:val="24"/>
                <w:szCs w:val="24"/>
                <w:highlight w:val="none"/>
              </w:rPr>
            </w:pPr>
            <w:r>
              <w:rPr>
                <w:b/>
                <w:bCs/>
                <w:color w:val="auto"/>
                <w:highlight w:val="none"/>
              </w:rPr>
              <w:t>身份证号码</w:t>
            </w:r>
          </w:p>
        </w:tc>
        <w:tc>
          <w:tcPr>
            <w:tcW w:w="7999" w:type="dxa"/>
            <w:gridSpan w:val="10"/>
            <w:noWrap w:val="0"/>
            <w:vAlign w:val="center"/>
          </w:tcPr>
          <w:p w14:paraId="4C9BB4DF">
            <w:pPr>
              <w:pStyle w:val="143"/>
              <w:ind w:firstLine="0" w:firstLineChars="0"/>
              <w:jc w:val="center"/>
              <w:rPr>
                <w:b/>
                <w:color w:val="auto"/>
                <w:kern w:val="2"/>
                <w:highlight w:val="none"/>
              </w:rPr>
            </w:pPr>
          </w:p>
        </w:tc>
      </w:tr>
      <w:tr w14:paraId="1DE7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noWrap w:val="0"/>
            <w:vAlign w:val="center"/>
          </w:tcPr>
          <w:p w14:paraId="41A8B210">
            <w:pPr>
              <w:pStyle w:val="231"/>
              <w:spacing w:line="360" w:lineRule="auto"/>
              <w:jc w:val="center"/>
              <w:rPr>
                <w:b/>
                <w:color w:val="auto"/>
                <w:sz w:val="24"/>
                <w:szCs w:val="24"/>
                <w:highlight w:val="none"/>
              </w:rPr>
            </w:pPr>
            <w:r>
              <w:rPr>
                <w:rFonts w:hint="eastAsia"/>
                <w:b/>
                <w:color w:val="auto"/>
                <w:sz w:val="18"/>
                <w:szCs w:val="18"/>
                <w:highlight w:val="none"/>
              </w:rPr>
              <w:t>在本项目任职</w:t>
            </w:r>
          </w:p>
        </w:tc>
        <w:tc>
          <w:tcPr>
            <w:tcW w:w="2126" w:type="dxa"/>
            <w:gridSpan w:val="3"/>
            <w:noWrap w:val="0"/>
            <w:vAlign w:val="center"/>
          </w:tcPr>
          <w:p w14:paraId="32C73684">
            <w:pPr>
              <w:pStyle w:val="143"/>
              <w:keepNext/>
              <w:keepLines/>
              <w:spacing w:before="120" w:after="120"/>
              <w:ind w:firstLine="0" w:firstLineChars="0"/>
              <w:jc w:val="center"/>
              <w:outlineLvl w:val="0"/>
              <w:rPr>
                <w:b/>
                <w:color w:val="auto"/>
                <w:kern w:val="2"/>
                <w:highlight w:val="none"/>
              </w:rPr>
            </w:pPr>
          </w:p>
        </w:tc>
        <w:tc>
          <w:tcPr>
            <w:tcW w:w="1370" w:type="dxa"/>
            <w:gridSpan w:val="2"/>
            <w:noWrap w:val="0"/>
            <w:vAlign w:val="center"/>
          </w:tcPr>
          <w:p w14:paraId="2FAEE2DE">
            <w:pPr>
              <w:pStyle w:val="231"/>
              <w:spacing w:line="360" w:lineRule="auto"/>
              <w:jc w:val="center"/>
              <w:rPr>
                <w:b/>
                <w:color w:val="auto"/>
                <w:sz w:val="24"/>
                <w:szCs w:val="24"/>
                <w:highlight w:val="none"/>
              </w:rPr>
            </w:pPr>
            <w:r>
              <w:rPr>
                <w:rFonts w:hint="eastAsia"/>
                <w:b/>
                <w:color w:val="auto"/>
                <w:sz w:val="24"/>
                <w:szCs w:val="24"/>
                <w:highlight w:val="none"/>
              </w:rPr>
              <w:t>职称</w:t>
            </w:r>
          </w:p>
        </w:tc>
        <w:tc>
          <w:tcPr>
            <w:tcW w:w="1701" w:type="dxa"/>
            <w:gridSpan w:val="2"/>
            <w:noWrap w:val="0"/>
            <w:vAlign w:val="center"/>
          </w:tcPr>
          <w:p w14:paraId="628FE7D8">
            <w:pPr>
              <w:pStyle w:val="143"/>
              <w:keepNext/>
              <w:keepLines/>
              <w:spacing w:before="120" w:after="120"/>
              <w:ind w:firstLine="0" w:firstLineChars="0"/>
              <w:jc w:val="center"/>
              <w:outlineLvl w:val="0"/>
              <w:rPr>
                <w:b/>
                <w:color w:val="auto"/>
                <w:kern w:val="2"/>
                <w:highlight w:val="none"/>
              </w:rPr>
            </w:pPr>
          </w:p>
        </w:tc>
        <w:tc>
          <w:tcPr>
            <w:tcW w:w="1182" w:type="dxa"/>
            <w:noWrap w:val="0"/>
            <w:vAlign w:val="center"/>
          </w:tcPr>
          <w:p w14:paraId="3FBEE3CF">
            <w:pPr>
              <w:pStyle w:val="231"/>
              <w:spacing w:line="360" w:lineRule="auto"/>
              <w:jc w:val="center"/>
              <w:rPr>
                <w:b/>
                <w:color w:val="auto"/>
                <w:sz w:val="24"/>
                <w:szCs w:val="24"/>
                <w:highlight w:val="none"/>
              </w:rPr>
            </w:pPr>
            <w:r>
              <w:rPr>
                <w:rFonts w:hint="eastAsia"/>
                <w:b/>
                <w:color w:val="auto"/>
                <w:sz w:val="24"/>
                <w:szCs w:val="24"/>
                <w:highlight w:val="none"/>
              </w:rPr>
              <w:t>学历</w:t>
            </w:r>
          </w:p>
        </w:tc>
        <w:tc>
          <w:tcPr>
            <w:tcW w:w="1620" w:type="dxa"/>
            <w:gridSpan w:val="2"/>
            <w:noWrap w:val="0"/>
            <w:vAlign w:val="center"/>
          </w:tcPr>
          <w:p w14:paraId="02476D23">
            <w:pPr>
              <w:pStyle w:val="143"/>
              <w:keepNext/>
              <w:keepLines/>
              <w:spacing w:before="120" w:after="120"/>
              <w:ind w:firstLine="0" w:firstLineChars="0"/>
              <w:jc w:val="center"/>
              <w:outlineLvl w:val="0"/>
              <w:rPr>
                <w:b/>
                <w:color w:val="auto"/>
                <w:kern w:val="2"/>
                <w:highlight w:val="none"/>
              </w:rPr>
            </w:pPr>
          </w:p>
        </w:tc>
      </w:tr>
      <w:tr w14:paraId="4C30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26" w:type="dxa"/>
            <w:noWrap w:val="0"/>
            <w:vAlign w:val="center"/>
          </w:tcPr>
          <w:p w14:paraId="290700C2">
            <w:pPr>
              <w:pStyle w:val="231"/>
              <w:spacing w:line="360" w:lineRule="auto"/>
              <w:jc w:val="center"/>
              <w:rPr>
                <w:b/>
                <w:color w:val="auto"/>
                <w:sz w:val="24"/>
                <w:szCs w:val="24"/>
                <w:highlight w:val="none"/>
              </w:rPr>
            </w:pPr>
            <w:r>
              <w:rPr>
                <w:rFonts w:hint="eastAsia"/>
                <w:b/>
                <w:color w:val="auto"/>
                <w:sz w:val="24"/>
                <w:szCs w:val="24"/>
                <w:highlight w:val="none"/>
              </w:rPr>
              <w:t>参加工作</w:t>
            </w:r>
          </w:p>
          <w:p w14:paraId="01F3C8E5">
            <w:pPr>
              <w:pStyle w:val="231"/>
              <w:spacing w:line="360" w:lineRule="auto"/>
              <w:jc w:val="center"/>
              <w:rPr>
                <w:b/>
                <w:color w:val="auto"/>
                <w:sz w:val="24"/>
                <w:szCs w:val="24"/>
                <w:highlight w:val="none"/>
              </w:rPr>
            </w:pPr>
            <w:r>
              <w:rPr>
                <w:rFonts w:hint="eastAsia"/>
                <w:b/>
                <w:color w:val="auto"/>
                <w:sz w:val="24"/>
                <w:szCs w:val="24"/>
                <w:highlight w:val="none"/>
              </w:rPr>
              <w:t>年限</w:t>
            </w:r>
          </w:p>
        </w:tc>
        <w:tc>
          <w:tcPr>
            <w:tcW w:w="2126" w:type="dxa"/>
            <w:gridSpan w:val="3"/>
            <w:noWrap w:val="0"/>
            <w:vAlign w:val="center"/>
          </w:tcPr>
          <w:p w14:paraId="7EAAEA25">
            <w:pPr>
              <w:pStyle w:val="143"/>
              <w:keepNext/>
              <w:keepLines/>
              <w:spacing w:before="120" w:after="120"/>
              <w:ind w:firstLine="0" w:firstLineChars="0"/>
              <w:jc w:val="center"/>
              <w:outlineLvl w:val="0"/>
              <w:rPr>
                <w:b/>
                <w:color w:val="auto"/>
                <w:kern w:val="2"/>
                <w:highlight w:val="none"/>
              </w:rPr>
            </w:pPr>
          </w:p>
        </w:tc>
        <w:tc>
          <w:tcPr>
            <w:tcW w:w="1370" w:type="dxa"/>
            <w:gridSpan w:val="2"/>
            <w:noWrap w:val="0"/>
            <w:vAlign w:val="center"/>
          </w:tcPr>
          <w:p w14:paraId="240A143B">
            <w:pPr>
              <w:pStyle w:val="143"/>
              <w:ind w:firstLine="0" w:firstLineChars="0"/>
              <w:jc w:val="center"/>
              <w:rPr>
                <w:b/>
                <w:color w:val="auto"/>
                <w:kern w:val="2"/>
                <w:highlight w:val="none"/>
              </w:rPr>
            </w:pPr>
            <w:r>
              <w:rPr>
                <w:rFonts w:hint="eastAsia"/>
                <w:b/>
                <w:color w:val="auto"/>
                <w:kern w:val="2"/>
                <w:highlight w:val="none"/>
              </w:rPr>
              <w:t>担任相应职务年限</w:t>
            </w:r>
          </w:p>
        </w:tc>
        <w:tc>
          <w:tcPr>
            <w:tcW w:w="4503" w:type="dxa"/>
            <w:gridSpan w:val="5"/>
            <w:noWrap w:val="0"/>
            <w:vAlign w:val="center"/>
          </w:tcPr>
          <w:p w14:paraId="0375BF82">
            <w:pPr>
              <w:pStyle w:val="143"/>
              <w:keepNext/>
              <w:keepLines/>
              <w:spacing w:before="120" w:after="120"/>
              <w:ind w:firstLine="0" w:firstLineChars="0"/>
              <w:jc w:val="center"/>
              <w:outlineLvl w:val="0"/>
              <w:rPr>
                <w:b/>
                <w:color w:val="auto"/>
                <w:kern w:val="2"/>
                <w:highlight w:val="none"/>
              </w:rPr>
            </w:pPr>
          </w:p>
        </w:tc>
      </w:tr>
      <w:tr w14:paraId="1EF4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noWrap w:val="0"/>
            <w:vAlign w:val="center"/>
          </w:tcPr>
          <w:p w14:paraId="54D0B34D">
            <w:pPr>
              <w:pStyle w:val="231"/>
              <w:spacing w:line="360" w:lineRule="auto"/>
              <w:jc w:val="center"/>
              <w:rPr>
                <w:b/>
                <w:color w:val="auto"/>
                <w:sz w:val="24"/>
                <w:szCs w:val="24"/>
                <w:highlight w:val="none"/>
              </w:rPr>
            </w:pPr>
            <w:r>
              <w:rPr>
                <w:rFonts w:hint="eastAsia"/>
                <w:b/>
                <w:color w:val="auto"/>
                <w:sz w:val="24"/>
                <w:szCs w:val="24"/>
                <w:highlight w:val="none"/>
              </w:rPr>
              <w:t>资格证书号</w:t>
            </w:r>
          </w:p>
        </w:tc>
        <w:tc>
          <w:tcPr>
            <w:tcW w:w="7999" w:type="dxa"/>
            <w:gridSpan w:val="10"/>
            <w:noWrap w:val="0"/>
            <w:vAlign w:val="center"/>
          </w:tcPr>
          <w:p w14:paraId="4F7A737D">
            <w:pPr>
              <w:pStyle w:val="143"/>
              <w:keepNext/>
              <w:keepLines/>
              <w:spacing w:before="120" w:after="120"/>
              <w:ind w:firstLine="0" w:firstLineChars="0"/>
              <w:jc w:val="center"/>
              <w:outlineLvl w:val="0"/>
              <w:rPr>
                <w:b/>
                <w:color w:val="auto"/>
                <w:kern w:val="2"/>
                <w:highlight w:val="none"/>
              </w:rPr>
            </w:pPr>
          </w:p>
        </w:tc>
      </w:tr>
      <w:tr w14:paraId="0B80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25" w:type="dxa"/>
            <w:gridSpan w:val="11"/>
            <w:noWrap w:val="0"/>
            <w:vAlign w:val="center"/>
          </w:tcPr>
          <w:p w14:paraId="0E7B373A">
            <w:pPr>
              <w:pStyle w:val="143"/>
              <w:ind w:firstLine="0" w:firstLineChars="0"/>
              <w:jc w:val="center"/>
              <w:rPr>
                <w:b/>
                <w:color w:val="auto"/>
                <w:kern w:val="2"/>
                <w:highlight w:val="none"/>
              </w:rPr>
            </w:pPr>
            <w:r>
              <w:rPr>
                <w:rFonts w:hint="eastAsia"/>
                <w:b/>
                <w:color w:val="auto"/>
                <w:kern w:val="2"/>
                <w:highlight w:val="none"/>
              </w:rPr>
              <w:t>业绩简介</w:t>
            </w:r>
          </w:p>
        </w:tc>
      </w:tr>
      <w:tr w14:paraId="1145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noWrap w:val="0"/>
            <w:vAlign w:val="center"/>
          </w:tcPr>
          <w:p w14:paraId="263D55BB">
            <w:pPr>
              <w:pStyle w:val="231"/>
              <w:spacing w:line="360" w:lineRule="auto"/>
              <w:jc w:val="center"/>
              <w:rPr>
                <w:b/>
                <w:color w:val="auto"/>
                <w:sz w:val="24"/>
                <w:szCs w:val="24"/>
                <w:highlight w:val="none"/>
              </w:rPr>
            </w:pPr>
            <w:r>
              <w:rPr>
                <w:rFonts w:hint="eastAsia"/>
                <w:b/>
                <w:color w:val="auto"/>
                <w:sz w:val="24"/>
                <w:szCs w:val="24"/>
                <w:highlight w:val="none"/>
              </w:rPr>
              <w:t>建设单位</w:t>
            </w:r>
          </w:p>
        </w:tc>
        <w:tc>
          <w:tcPr>
            <w:tcW w:w="1547" w:type="dxa"/>
            <w:noWrap w:val="0"/>
            <w:vAlign w:val="center"/>
          </w:tcPr>
          <w:p w14:paraId="1551437F">
            <w:pPr>
              <w:pStyle w:val="231"/>
              <w:spacing w:line="360" w:lineRule="auto"/>
              <w:jc w:val="center"/>
              <w:rPr>
                <w:b/>
                <w:color w:val="auto"/>
                <w:sz w:val="24"/>
                <w:szCs w:val="24"/>
                <w:highlight w:val="none"/>
              </w:rPr>
            </w:pPr>
            <w:r>
              <w:rPr>
                <w:rFonts w:hint="eastAsia"/>
                <w:b/>
                <w:color w:val="auto"/>
                <w:sz w:val="24"/>
                <w:szCs w:val="24"/>
                <w:highlight w:val="none"/>
              </w:rPr>
              <w:t>项目名称</w:t>
            </w:r>
          </w:p>
        </w:tc>
        <w:tc>
          <w:tcPr>
            <w:tcW w:w="1549" w:type="dxa"/>
            <w:gridSpan w:val="2"/>
            <w:noWrap w:val="0"/>
            <w:vAlign w:val="center"/>
          </w:tcPr>
          <w:p w14:paraId="03E642BC">
            <w:pPr>
              <w:pStyle w:val="231"/>
              <w:spacing w:line="360" w:lineRule="auto"/>
              <w:jc w:val="center"/>
              <w:rPr>
                <w:b/>
                <w:color w:val="auto"/>
                <w:sz w:val="24"/>
                <w:szCs w:val="24"/>
                <w:highlight w:val="none"/>
              </w:rPr>
            </w:pPr>
            <w:r>
              <w:rPr>
                <w:rFonts w:hint="eastAsia"/>
                <w:b/>
                <w:color w:val="auto"/>
                <w:sz w:val="24"/>
                <w:szCs w:val="24"/>
                <w:highlight w:val="none"/>
              </w:rPr>
              <w:t>建设规模</w:t>
            </w:r>
          </w:p>
        </w:tc>
        <w:tc>
          <w:tcPr>
            <w:tcW w:w="1783" w:type="dxa"/>
            <w:gridSpan w:val="2"/>
            <w:noWrap w:val="0"/>
            <w:vAlign w:val="center"/>
          </w:tcPr>
          <w:p w14:paraId="4626BF5C">
            <w:pPr>
              <w:pStyle w:val="231"/>
              <w:spacing w:line="360" w:lineRule="auto"/>
              <w:jc w:val="center"/>
              <w:rPr>
                <w:b/>
                <w:color w:val="auto"/>
                <w:sz w:val="24"/>
                <w:szCs w:val="24"/>
                <w:highlight w:val="none"/>
              </w:rPr>
            </w:pPr>
            <w:r>
              <w:rPr>
                <w:rFonts w:hint="eastAsia"/>
                <w:b/>
                <w:color w:val="auto"/>
                <w:sz w:val="24"/>
                <w:szCs w:val="24"/>
                <w:highlight w:val="none"/>
              </w:rPr>
              <w:t>开、竣工日期</w:t>
            </w:r>
          </w:p>
        </w:tc>
        <w:tc>
          <w:tcPr>
            <w:tcW w:w="1547" w:type="dxa"/>
            <w:gridSpan w:val="3"/>
            <w:noWrap w:val="0"/>
            <w:vAlign w:val="center"/>
          </w:tcPr>
          <w:p w14:paraId="7F3595D5">
            <w:pPr>
              <w:pStyle w:val="231"/>
              <w:spacing w:line="360" w:lineRule="auto"/>
              <w:jc w:val="center"/>
              <w:rPr>
                <w:b/>
                <w:color w:val="auto"/>
                <w:sz w:val="24"/>
                <w:szCs w:val="24"/>
                <w:highlight w:val="none"/>
              </w:rPr>
            </w:pPr>
            <w:r>
              <w:rPr>
                <w:rFonts w:hint="eastAsia"/>
                <w:b/>
                <w:color w:val="auto"/>
                <w:sz w:val="24"/>
                <w:szCs w:val="24"/>
                <w:highlight w:val="none"/>
              </w:rPr>
              <w:t>在建或已完</w:t>
            </w:r>
          </w:p>
        </w:tc>
        <w:tc>
          <w:tcPr>
            <w:tcW w:w="1551" w:type="dxa"/>
            <w:noWrap w:val="0"/>
            <w:vAlign w:val="center"/>
          </w:tcPr>
          <w:p w14:paraId="4650744D">
            <w:pPr>
              <w:pStyle w:val="231"/>
              <w:spacing w:line="360" w:lineRule="auto"/>
              <w:jc w:val="center"/>
              <w:rPr>
                <w:b/>
                <w:color w:val="auto"/>
                <w:sz w:val="24"/>
                <w:szCs w:val="24"/>
                <w:highlight w:val="none"/>
              </w:rPr>
            </w:pPr>
            <w:r>
              <w:rPr>
                <w:rFonts w:hint="eastAsia"/>
                <w:b/>
                <w:color w:val="auto"/>
                <w:sz w:val="24"/>
                <w:szCs w:val="24"/>
                <w:highlight w:val="none"/>
              </w:rPr>
              <w:t>工程质量</w:t>
            </w:r>
          </w:p>
        </w:tc>
      </w:tr>
      <w:tr w14:paraId="69BD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noWrap w:val="0"/>
            <w:vAlign w:val="center"/>
          </w:tcPr>
          <w:p w14:paraId="2B0E2C3A">
            <w:pPr>
              <w:pStyle w:val="143"/>
              <w:ind w:firstLine="0" w:firstLineChars="0"/>
              <w:jc w:val="center"/>
              <w:rPr>
                <w:b/>
                <w:color w:val="auto"/>
                <w:kern w:val="2"/>
                <w:highlight w:val="none"/>
              </w:rPr>
            </w:pPr>
          </w:p>
        </w:tc>
        <w:tc>
          <w:tcPr>
            <w:tcW w:w="1547" w:type="dxa"/>
            <w:noWrap w:val="0"/>
            <w:vAlign w:val="center"/>
          </w:tcPr>
          <w:p w14:paraId="7640CFEA">
            <w:pPr>
              <w:pStyle w:val="143"/>
              <w:ind w:firstLine="0" w:firstLineChars="0"/>
              <w:jc w:val="center"/>
              <w:rPr>
                <w:b/>
                <w:color w:val="auto"/>
                <w:kern w:val="2"/>
                <w:highlight w:val="none"/>
              </w:rPr>
            </w:pPr>
          </w:p>
        </w:tc>
        <w:tc>
          <w:tcPr>
            <w:tcW w:w="1549" w:type="dxa"/>
            <w:gridSpan w:val="2"/>
            <w:noWrap w:val="0"/>
            <w:vAlign w:val="center"/>
          </w:tcPr>
          <w:p w14:paraId="71CA3016">
            <w:pPr>
              <w:pStyle w:val="143"/>
              <w:ind w:firstLine="0" w:firstLineChars="0"/>
              <w:jc w:val="center"/>
              <w:rPr>
                <w:b/>
                <w:color w:val="auto"/>
                <w:kern w:val="2"/>
                <w:highlight w:val="none"/>
              </w:rPr>
            </w:pPr>
          </w:p>
        </w:tc>
        <w:tc>
          <w:tcPr>
            <w:tcW w:w="1783" w:type="dxa"/>
            <w:gridSpan w:val="2"/>
            <w:noWrap w:val="0"/>
            <w:vAlign w:val="center"/>
          </w:tcPr>
          <w:p w14:paraId="00E66E9B">
            <w:pPr>
              <w:pStyle w:val="143"/>
              <w:ind w:firstLine="0" w:firstLineChars="0"/>
              <w:jc w:val="center"/>
              <w:rPr>
                <w:b/>
                <w:color w:val="auto"/>
                <w:kern w:val="2"/>
                <w:highlight w:val="none"/>
              </w:rPr>
            </w:pPr>
          </w:p>
        </w:tc>
        <w:tc>
          <w:tcPr>
            <w:tcW w:w="1547" w:type="dxa"/>
            <w:gridSpan w:val="3"/>
            <w:noWrap w:val="0"/>
            <w:vAlign w:val="center"/>
          </w:tcPr>
          <w:p w14:paraId="0E0CB01C">
            <w:pPr>
              <w:pStyle w:val="143"/>
              <w:ind w:firstLine="0" w:firstLineChars="0"/>
              <w:jc w:val="center"/>
              <w:rPr>
                <w:b/>
                <w:color w:val="auto"/>
                <w:kern w:val="2"/>
                <w:highlight w:val="none"/>
              </w:rPr>
            </w:pPr>
          </w:p>
        </w:tc>
        <w:tc>
          <w:tcPr>
            <w:tcW w:w="1551" w:type="dxa"/>
            <w:noWrap w:val="0"/>
            <w:vAlign w:val="center"/>
          </w:tcPr>
          <w:p w14:paraId="134C60AC">
            <w:pPr>
              <w:pStyle w:val="143"/>
              <w:ind w:firstLine="0" w:firstLineChars="0"/>
              <w:jc w:val="center"/>
              <w:rPr>
                <w:b/>
                <w:color w:val="auto"/>
                <w:kern w:val="2"/>
                <w:highlight w:val="none"/>
              </w:rPr>
            </w:pPr>
          </w:p>
        </w:tc>
      </w:tr>
      <w:tr w14:paraId="5AAC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noWrap w:val="0"/>
            <w:vAlign w:val="center"/>
          </w:tcPr>
          <w:p w14:paraId="67A9906D">
            <w:pPr>
              <w:pStyle w:val="143"/>
              <w:ind w:firstLine="0" w:firstLineChars="0"/>
              <w:jc w:val="center"/>
              <w:rPr>
                <w:color w:val="auto"/>
                <w:kern w:val="2"/>
                <w:highlight w:val="none"/>
              </w:rPr>
            </w:pPr>
          </w:p>
        </w:tc>
        <w:tc>
          <w:tcPr>
            <w:tcW w:w="1547" w:type="dxa"/>
            <w:noWrap w:val="0"/>
            <w:vAlign w:val="center"/>
          </w:tcPr>
          <w:p w14:paraId="44A4BB8C">
            <w:pPr>
              <w:pStyle w:val="143"/>
              <w:ind w:firstLine="0" w:firstLineChars="0"/>
              <w:jc w:val="center"/>
              <w:rPr>
                <w:color w:val="auto"/>
                <w:kern w:val="2"/>
                <w:highlight w:val="none"/>
              </w:rPr>
            </w:pPr>
          </w:p>
        </w:tc>
        <w:tc>
          <w:tcPr>
            <w:tcW w:w="1549" w:type="dxa"/>
            <w:gridSpan w:val="2"/>
            <w:noWrap w:val="0"/>
            <w:vAlign w:val="center"/>
          </w:tcPr>
          <w:p w14:paraId="716AC288">
            <w:pPr>
              <w:pStyle w:val="143"/>
              <w:ind w:firstLine="0" w:firstLineChars="0"/>
              <w:jc w:val="center"/>
              <w:rPr>
                <w:color w:val="auto"/>
                <w:kern w:val="2"/>
                <w:highlight w:val="none"/>
              </w:rPr>
            </w:pPr>
          </w:p>
        </w:tc>
        <w:tc>
          <w:tcPr>
            <w:tcW w:w="1783" w:type="dxa"/>
            <w:gridSpan w:val="2"/>
            <w:noWrap w:val="0"/>
            <w:vAlign w:val="center"/>
          </w:tcPr>
          <w:p w14:paraId="0A303D13">
            <w:pPr>
              <w:pStyle w:val="143"/>
              <w:ind w:firstLine="0" w:firstLineChars="0"/>
              <w:jc w:val="center"/>
              <w:rPr>
                <w:color w:val="auto"/>
                <w:kern w:val="2"/>
                <w:highlight w:val="none"/>
              </w:rPr>
            </w:pPr>
          </w:p>
        </w:tc>
        <w:tc>
          <w:tcPr>
            <w:tcW w:w="1547" w:type="dxa"/>
            <w:gridSpan w:val="3"/>
            <w:noWrap w:val="0"/>
            <w:vAlign w:val="center"/>
          </w:tcPr>
          <w:p w14:paraId="2F5594BA">
            <w:pPr>
              <w:pStyle w:val="143"/>
              <w:ind w:firstLine="0" w:firstLineChars="0"/>
              <w:jc w:val="center"/>
              <w:rPr>
                <w:color w:val="auto"/>
                <w:kern w:val="2"/>
                <w:highlight w:val="none"/>
              </w:rPr>
            </w:pPr>
          </w:p>
        </w:tc>
        <w:tc>
          <w:tcPr>
            <w:tcW w:w="1551" w:type="dxa"/>
            <w:noWrap w:val="0"/>
            <w:vAlign w:val="center"/>
          </w:tcPr>
          <w:p w14:paraId="304DF44A">
            <w:pPr>
              <w:pStyle w:val="143"/>
              <w:ind w:firstLine="0" w:firstLineChars="0"/>
              <w:jc w:val="center"/>
              <w:rPr>
                <w:color w:val="auto"/>
                <w:kern w:val="2"/>
                <w:highlight w:val="none"/>
              </w:rPr>
            </w:pPr>
          </w:p>
        </w:tc>
      </w:tr>
      <w:tr w14:paraId="33E5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noWrap w:val="0"/>
            <w:vAlign w:val="center"/>
          </w:tcPr>
          <w:p w14:paraId="4193ADF9">
            <w:pPr>
              <w:pStyle w:val="143"/>
              <w:ind w:firstLine="0" w:firstLineChars="0"/>
              <w:jc w:val="center"/>
              <w:rPr>
                <w:color w:val="auto"/>
                <w:kern w:val="2"/>
                <w:highlight w:val="none"/>
              </w:rPr>
            </w:pPr>
          </w:p>
        </w:tc>
        <w:tc>
          <w:tcPr>
            <w:tcW w:w="1547" w:type="dxa"/>
            <w:noWrap w:val="0"/>
            <w:vAlign w:val="center"/>
          </w:tcPr>
          <w:p w14:paraId="0F4B8C93">
            <w:pPr>
              <w:pStyle w:val="143"/>
              <w:ind w:firstLine="0" w:firstLineChars="0"/>
              <w:jc w:val="center"/>
              <w:rPr>
                <w:color w:val="auto"/>
                <w:kern w:val="2"/>
                <w:highlight w:val="none"/>
              </w:rPr>
            </w:pPr>
          </w:p>
        </w:tc>
        <w:tc>
          <w:tcPr>
            <w:tcW w:w="1549" w:type="dxa"/>
            <w:gridSpan w:val="2"/>
            <w:noWrap w:val="0"/>
            <w:vAlign w:val="center"/>
          </w:tcPr>
          <w:p w14:paraId="3BB3074E">
            <w:pPr>
              <w:pStyle w:val="143"/>
              <w:ind w:firstLine="0" w:firstLineChars="0"/>
              <w:jc w:val="center"/>
              <w:rPr>
                <w:color w:val="auto"/>
                <w:kern w:val="2"/>
                <w:highlight w:val="none"/>
              </w:rPr>
            </w:pPr>
          </w:p>
        </w:tc>
        <w:tc>
          <w:tcPr>
            <w:tcW w:w="1783" w:type="dxa"/>
            <w:gridSpan w:val="2"/>
            <w:noWrap w:val="0"/>
            <w:vAlign w:val="center"/>
          </w:tcPr>
          <w:p w14:paraId="19557FCC">
            <w:pPr>
              <w:pStyle w:val="143"/>
              <w:ind w:firstLine="0" w:firstLineChars="0"/>
              <w:jc w:val="center"/>
              <w:rPr>
                <w:color w:val="auto"/>
                <w:kern w:val="2"/>
                <w:highlight w:val="none"/>
              </w:rPr>
            </w:pPr>
          </w:p>
        </w:tc>
        <w:tc>
          <w:tcPr>
            <w:tcW w:w="1547" w:type="dxa"/>
            <w:gridSpan w:val="3"/>
            <w:noWrap w:val="0"/>
            <w:vAlign w:val="center"/>
          </w:tcPr>
          <w:p w14:paraId="426B8081">
            <w:pPr>
              <w:pStyle w:val="143"/>
              <w:ind w:firstLine="0" w:firstLineChars="0"/>
              <w:jc w:val="center"/>
              <w:rPr>
                <w:color w:val="auto"/>
                <w:kern w:val="2"/>
                <w:highlight w:val="none"/>
              </w:rPr>
            </w:pPr>
          </w:p>
        </w:tc>
        <w:tc>
          <w:tcPr>
            <w:tcW w:w="1551" w:type="dxa"/>
            <w:noWrap w:val="0"/>
            <w:vAlign w:val="center"/>
          </w:tcPr>
          <w:p w14:paraId="178A6A20">
            <w:pPr>
              <w:pStyle w:val="143"/>
              <w:ind w:firstLine="0" w:firstLineChars="0"/>
              <w:jc w:val="center"/>
              <w:rPr>
                <w:color w:val="auto"/>
                <w:kern w:val="2"/>
                <w:highlight w:val="none"/>
              </w:rPr>
            </w:pPr>
          </w:p>
        </w:tc>
      </w:tr>
    </w:tbl>
    <w:p w14:paraId="378056CE">
      <w:pPr>
        <w:pStyle w:val="143"/>
        <w:spacing w:line="240" w:lineRule="auto"/>
        <w:ind w:firstLine="443" w:firstLineChars="179"/>
        <w:rPr>
          <w:rFonts w:hint="eastAsia" w:cs="宋体"/>
          <w:color w:val="auto"/>
          <w:highlight w:val="none"/>
        </w:rPr>
      </w:pPr>
      <w:r>
        <w:rPr>
          <w:rFonts w:hint="eastAsia" w:cs="宋体"/>
          <w:color w:val="auto"/>
          <w:highlight w:val="none"/>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0872F91B">
      <w:pPr>
        <w:pStyle w:val="143"/>
        <w:ind w:firstLine="4582" w:firstLineChars="1450"/>
        <w:rPr>
          <w:rFonts w:hint="eastAsia" w:cs="宋体"/>
          <w:color w:val="auto"/>
          <w:highlight w:val="none"/>
        </w:rPr>
      </w:pPr>
      <w:r>
        <w:rPr>
          <w:rFonts w:hint="eastAsia" w:ascii="宋体" w:hAnsi="宋体" w:cs="宋体"/>
          <w:color w:val="auto"/>
          <w:spacing w:val="18"/>
          <w:sz w:val="28"/>
          <w:szCs w:val="28"/>
          <w:highlight w:val="none"/>
        </w:rPr>
        <w:t xml:space="preserve"> </w:t>
      </w:r>
      <w:r>
        <w:rPr>
          <w:rFonts w:hint="eastAsia" w:ascii="宋体" w:hAnsi="宋体" w:eastAsia="宋体" w:cs="宋体"/>
          <w:color w:val="auto"/>
          <w:spacing w:val="0"/>
          <w:kern w:val="2"/>
          <w:sz w:val="24"/>
          <w:szCs w:val="24"/>
          <w:highlight w:val="none"/>
        </w:rPr>
        <w:t xml:space="preserve">投标人名称：            </w:t>
      </w:r>
    </w:p>
    <w:p w14:paraId="31DDB52B">
      <w:pPr>
        <w:pStyle w:val="143"/>
        <w:ind w:firstLine="3844" w:firstLineChars="1550"/>
        <w:rPr>
          <w:color w:val="auto"/>
          <w:highlight w:val="none"/>
        </w:rPr>
      </w:pPr>
      <w:r>
        <w:rPr>
          <w:rFonts w:hint="eastAsia" w:cs="宋体"/>
          <w:color w:val="auto"/>
          <w:highlight w:val="none"/>
        </w:rPr>
        <w:t>日   期：    年    月    日</w:t>
      </w:r>
    </w:p>
    <w:p w14:paraId="1E522913">
      <w:pPr>
        <w:pStyle w:val="143"/>
        <w:ind w:firstLine="496"/>
        <w:rPr>
          <w:color w:val="auto"/>
          <w:highlight w:val="none"/>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418" w:bottom="1418" w:left="1418" w:header="851" w:footer="851" w:gutter="0"/>
          <w:cols w:space="720" w:num="1"/>
          <w:docGrid w:type="lines" w:linePitch="312" w:charSpace="0"/>
        </w:sectPr>
      </w:pPr>
    </w:p>
    <w:p w14:paraId="6395875F">
      <w:pPr>
        <w:pStyle w:val="5"/>
        <w:rPr>
          <w:color w:val="auto"/>
          <w:highlight w:val="none"/>
        </w:rPr>
      </w:pPr>
      <w:bookmarkStart w:id="92" w:name="_Toc532475799"/>
      <w:bookmarkStart w:id="93" w:name="_Toc510963897"/>
      <w:bookmarkStart w:id="94" w:name="_Toc532475366"/>
      <w:r>
        <w:rPr>
          <w:rFonts w:hint="eastAsia"/>
          <w:color w:val="auto"/>
          <w:highlight w:val="none"/>
          <w:lang w:eastAsia="zh-CN"/>
        </w:rPr>
        <w:t>格式八</w:t>
      </w:r>
      <w:r>
        <w:rPr>
          <w:rFonts w:hint="eastAsia"/>
          <w:color w:val="auto"/>
          <w:highlight w:val="none"/>
        </w:rPr>
        <w:t>：参与编制技术标投标文件人员名单</w:t>
      </w:r>
    </w:p>
    <w:p w14:paraId="12991D01">
      <w:pPr>
        <w:tabs>
          <w:tab w:val="left" w:pos="720"/>
        </w:tabs>
        <w:snapToGrid w:val="0"/>
        <w:spacing w:line="360" w:lineRule="auto"/>
        <w:jc w:val="center"/>
        <w:rPr>
          <w:rFonts w:hint="eastAsia" w:ascii="宋体" w:hAnsi="宋体"/>
          <w:color w:val="auto"/>
          <w:szCs w:val="21"/>
          <w:highlight w:val="none"/>
        </w:rPr>
      </w:pPr>
    </w:p>
    <w:p w14:paraId="609ADA92">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一、参与编制技术标投标文件人员名单</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1470"/>
        <w:gridCol w:w="2520"/>
        <w:gridCol w:w="2415"/>
        <w:gridCol w:w="1448"/>
      </w:tblGrid>
      <w:tr w14:paraId="5A21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noWrap w:val="0"/>
            <w:vAlign w:val="center"/>
          </w:tcPr>
          <w:p w14:paraId="5FA054EA">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6CBA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08E619C4">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358FF63">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5799C77">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noWrap w:val="0"/>
            <w:vAlign w:val="center"/>
          </w:tcPr>
          <w:p w14:paraId="68019813">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5072163A">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3EC2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7A77FD91">
            <w:pPr>
              <w:tabs>
                <w:tab w:val="left" w:pos="720"/>
              </w:tabs>
              <w:snapToGrid w:val="0"/>
              <w:spacing w:line="360" w:lineRule="auto"/>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1EE01CB">
            <w:pPr>
              <w:tabs>
                <w:tab w:val="left" w:pos="720"/>
              </w:tabs>
              <w:snapToGrid w:val="0"/>
              <w:spacing w:line="360" w:lineRule="auto"/>
              <w:jc w:val="center"/>
              <w:rPr>
                <w:rFonts w:ascii="宋体" w:hAnsi="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7B86A52">
            <w:pPr>
              <w:tabs>
                <w:tab w:val="left" w:pos="720"/>
              </w:tabs>
              <w:snapToGrid w:val="0"/>
              <w:spacing w:line="360" w:lineRule="auto"/>
              <w:jc w:val="center"/>
              <w:rPr>
                <w:rFonts w:ascii="宋体" w:hAnsi="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37822199">
            <w:pPr>
              <w:tabs>
                <w:tab w:val="left" w:pos="720"/>
              </w:tabs>
              <w:snapToGrid w:val="0"/>
              <w:spacing w:line="360" w:lineRule="auto"/>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0706DBE">
            <w:pPr>
              <w:tabs>
                <w:tab w:val="left" w:pos="720"/>
              </w:tabs>
              <w:snapToGrid w:val="0"/>
              <w:spacing w:line="360" w:lineRule="auto"/>
              <w:jc w:val="center"/>
              <w:rPr>
                <w:rFonts w:ascii="宋体" w:hAnsi="宋体"/>
                <w:color w:val="auto"/>
                <w:szCs w:val="21"/>
                <w:highlight w:val="none"/>
              </w:rPr>
            </w:pPr>
          </w:p>
        </w:tc>
      </w:tr>
      <w:tr w14:paraId="29B7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66022396">
            <w:pPr>
              <w:tabs>
                <w:tab w:val="left" w:pos="720"/>
              </w:tabs>
              <w:snapToGrid w:val="0"/>
              <w:spacing w:line="360" w:lineRule="auto"/>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CA6E794">
            <w:pPr>
              <w:tabs>
                <w:tab w:val="left" w:pos="720"/>
              </w:tabs>
              <w:snapToGrid w:val="0"/>
              <w:spacing w:line="360" w:lineRule="auto"/>
              <w:jc w:val="center"/>
              <w:rPr>
                <w:rFonts w:ascii="宋体" w:hAnsi="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813FE4F">
            <w:pPr>
              <w:tabs>
                <w:tab w:val="left" w:pos="720"/>
              </w:tabs>
              <w:snapToGrid w:val="0"/>
              <w:spacing w:line="360" w:lineRule="auto"/>
              <w:jc w:val="center"/>
              <w:rPr>
                <w:rFonts w:ascii="宋体" w:hAnsi="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35BF2F85">
            <w:pPr>
              <w:tabs>
                <w:tab w:val="left" w:pos="720"/>
              </w:tabs>
              <w:snapToGrid w:val="0"/>
              <w:spacing w:line="360" w:lineRule="auto"/>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44AB8A57">
            <w:pPr>
              <w:tabs>
                <w:tab w:val="left" w:pos="720"/>
              </w:tabs>
              <w:snapToGrid w:val="0"/>
              <w:spacing w:line="360" w:lineRule="auto"/>
              <w:jc w:val="center"/>
              <w:rPr>
                <w:rFonts w:ascii="宋体" w:hAnsi="宋体"/>
                <w:color w:val="auto"/>
                <w:szCs w:val="21"/>
                <w:highlight w:val="none"/>
              </w:rPr>
            </w:pPr>
          </w:p>
        </w:tc>
      </w:tr>
      <w:tr w14:paraId="78C5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28894F1E">
            <w:pPr>
              <w:tabs>
                <w:tab w:val="left" w:pos="720"/>
              </w:tabs>
              <w:snapToGrid w:val="0"/>
              <w:spacing w:line="360" w:lineRule="auto"/>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1E2E9F5">
            <w:pPr>
              <w:tabs>
                <w:tab w:val="left" w:pos="720"/>
              </w:tabs>
              <w:snapToGrid w:val="0"/>
              <w:spacing w:line="360" w:lineRule="auto"/>
              <w:jc w:val="center"/>
              <w:rPr>
                <w:rFonts w:ascii="宋体" w:hAnsi="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5C83C5C">
            <w:pPr>
              <w:tabs>
                <w:tab w:val="left" w:pos="720"/>
              </w:tabs>
              <w:snapToGrid w:val="0"/>
              <w:spacing w:line="360" w:lineRule="auto"/>
              <w:jc w:val="center"/>
              <w:rPr>
                <w:rFonts w:ascii="宋体" w:hAnsi="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1E7A9F79">
            <w:pPr>
              <w:tabs>
                <w:tab w:val="left" w:pos="720"/>
              </w:tabs>
              <w:snapToGrid w:val="0"/>
              <w:spacing w:line="360" w:lineRule="auto"/>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5D0D5950">
            <w:pPr>
              <w:tabs>
                <w:tab w:val="left" w:pos="720"/>
              </w:tabs>
              <w:snapToGrid w:val="0"/>
              <w:spacing w:line="360" w:lineRule="auto"/>
              <w:jc w:val="center"/>
              <w:rPr>
                <w:rFonts w:ascii="宋体" w:hAnsi="宋体"/>
                <w:color w:val="auto"/>
                <w:szCs w:val="21"/>
                <w:highlight w:val="none"/>
              </w:rPr>
            </w:pPr>
          </w:p>
        </w:tc>
      </w:tr>
      <w:tr w14:paraId="03C4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455CE740">
            <w:pPr>
              <w:tabs>
                <w:tab w:val="left" w:pos="720"/>
              </w:tabs>
              <w:snapToGrid w:val="0"/>
              <w:spacing w:line="360" w:lineRule="auto"/>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B7AD293">
            <w:pPr>
              <w:tabs>
                <w:tab w:val="left" w:pos="720"/>
              </w:tabs>
              <w:snapToGrid w:val="0"/>
              <w:spacing w:line="360" w:lineRule="auto"/>
              <w:jc w:val="center"/>
              <w:rPr>
                <w:rFonts w:ascii="宋体" w:hAnsi="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74DD018">
            <w:pPr>
              <w:tabs>
                <w:tab w:val="left" w:pos="720"/>
              </w:tabs>
              <w:snapToGrid w:val="0"/>
              <w:spacing w:line="360" w:lineRule="auto"/>
              <w:jc w:val="center"/>
              <w:rPr>
                <w:rFonts w:ascii="宋体" w:hAnsi="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59F8D227">
            <w:pPr>
              <w:tabs>
                <w:tab w:val="left" w:pos="720"/>
              </w:tabs>
              <w:snapToGrid w:val="0"/>
              <w:spacing w:line="360" w:lineRule="auto"/>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0EA97CE">
            <w:pPr>
              <w:tabs>
                <w:tab w:val="left" w:pos="720"/>
              </w:tabs>
              <w:snapToGrid w:val="0"/>
              <w:spacing w:line="360" w:lineRule="auto"/>
              <w:jc w:val="center"/>
              <w:rPr>
                <w:rFonts w:ascii="宋体" w:hAnsi="宋体"/>
                <w:color w:val="auto"/>
                <w:szCs w:val="21"/>
                <w:highlight w:val="none"/>
              </w:rPr>
            </w:pPr>
          </w:p>
        </w:tc>
      </w:tr>
      <w:tr w14:paraId="784B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77809AD6">
            <w:pPr>
              <w:tabs>
                <w:tab w:val="left" w:pos="720"/>
              </w:tabs>
              <w:snapToGrid w:val="0"/>
              <w:spacing w:line="360" w:lineRule="auto"/>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026B993E">
            <w:pPr>
              <w:tabs>
                <w:tab w:val="left" w:pos="720"/>
              </w:tabs>
              <w:snapToGrid w:val="0"/>
              <w:spacing w:line="360" w:lineRule="auto"/>
              <w:jc w:val="center"/>
              <w:rPr>
                <w:rFonts w:ascii="宋体" w:hAnsi="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605E6EB">
            <w:pPr>
              <w:tabs>
                <w:tab w:val="left" w:pos="720"/>
              </w:tabs>
              <w:snapToGrid w:val="0"/>
              <w:spacing w:line="360" w:lineRule="auto"/>
              <w:jc w:val="center"/>
              <w:rPr>
                <w:rFonts w:ascii="宋体" w:hAnsi="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4E384BC6">
            <w:pPr>
              <w:tabs>
                <w:tab w:val="left" w:pos="720"/>
              </w:tabs>
              <w:snapToGrid w:val="0"/>
              <w:spacing w:line="360" w:lineRule="auto"/>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C222E35">
            <w:pPr>
              <w:tabs>
                <w:tab w:val="left" w:pos="720"/>
              </w:tabs>
              <w:snapToGrid w:val="0"/>
              <w:spacing w:line="360" w:lineRule="auto"/>
              <w:jc w:val="center"/>
              <w:rPr>
                <w:rFonts w:ascii="宋体" w:hAnsi="宋体"/>
                <w:color w:val="auto"/>
                <w:szCs w:val="21"/>
                <w:highlight w:val="none"/>
              </w:rPr>
            </w:pPr>
          </w:p>
        </w:tc>
      </w:tr>
      <w:tr w14:paraId="19D9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5D96201A">
            <w:pPr>
              <w:tabs>
                <w:tab w:val="left" w:pos="720"/>
              </w:tabs>
              <w:snapToGrid w:val="0"/>
              <w:spacing w:line="360" w:lineRule="auto"/>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68CB97E">
            <w:pPr>
              <w:tabs>
                <w:tab w:val="left" w:pos="720"/>
              </w:tabs>
              <w:snapToGrid w:val="0"/>
              <w:spacing w:line="360" w:lineRule="auto"/>
              <w:jc w:val="center"/>
              <w:rPr>
                <w:rFonts w:ascii="宋体" w:hAnsi="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060DEB8">
            <w:pPr>
              <w:tabs>
                <w:tab w:val="left" w:pos="720"/>
              </w:tabs>
              <w:snapToGrid w:val="0"/>
              <w:spacing w:line="360" w:lineRule="auto"/>
              <w:jc w:val="center"/>
              <w:rPr>
                <w:rFonts w:ascii="宋体" w:hAnsi="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3502C23A">
            <w:pPr>
              <w:tabs>
                <w:tab w:val="left" w:pos="720"/>
              </w:tabs>
              <w:snapToGrid w:val="0"/>
              <w:spacing w:line="360" w:lineRule="auto"/>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52CD3C6B">
            <w:pPr>
              <w:tabs>
                <w:tab w:val="left" w:pos="720"/>
              </w:tabs>
              <w:snapToGrid w:val="0"/>
              <w:spacing w:line="360" w:lineRule="auto"/>
              <w:jc w:val="center"/>
              <w:rPr>
                <w:rFonts w:ascii="宋体" w:hAnsi="宋体"/>
                <w:color w:val="auto"/>
                <w:szCs w:val="21"/>
                <w:highlight w:val="none"/>
              </w:rPr>
            </w:pPr>
          </w:p>
        </w:tc>
      </w:tr>
      <w:tr w14:paraId="5942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03BA1876">
            <w:pPr>
              <w:tabs>
                <w:tab w:val="left" w:pos="720"/>
              </w:tabs>
              <w:snapToGrid w:val="0"/>
              <w:spacing w:line="360" w:lineRule="auto"/>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009886F">
            <w:pPr>
              <w:tabs>
                <w:tab w:val="left" w:pos="720"/>
              </w:tabs>
              <w:snapToGrid w:val="0"/>
              <w:spacing w:line="360" w:lineRule="auto"/>
              <w:jc w:val="center"/>
              <w:rPr>
                <w:rFonts w:ascii="宋体" w:hAnsi="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471FA7E">
            <w:pPr>
              <w:tabs>
                <w:tab w:val="left" w:pos="720"/>
              </w:tabs>
              <w:snapToGrid w:val="0"/>
              <w:spacing w:line="360" w:lineRule="auto"/>
              <w:jc w:val="center"/>
              <w:rPr>
                <w:rFonts w:ascii="宋体" w:hAnsi="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3F146AF1">
            <w:pPr>
              <w:tabs>
                <w:tab w:val="left" w:pos="720"/>
              </w:tabs>
              <w:snapToGrid w:val="0"/>
              <w:spacing w:line="360" w:lineRule="auto"/>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8F0BF5E">
            <w:pPr>
              <w:tabs>
                <w:tab w:val="left" w:pos="720"/>
              </w:tabs>
              <w:snapToGrid w:val="0"/>
              <w:spacing w:line="360" w:lineRule="auto"/>
              <w:jc w:val="center"/>
              <w:rPr>
                <w:rFonts w:ascii="宋体" w:hAnsi="宋体"/>
                <w:color w:val="auto"/>
                <w:szCs w:val="21"/>
                <w:highlight w:val="none"/>
              </w:rPr>
            </w:pPr>
          </w:p>
        </w:tc>
      </w:tr>
      <w:tr w14:paraId="3B98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764E13C1">
            <w:pPr>
              <w:tabs>
                <w:tab w:val="left" w:pos="720"/>
              </w:tabs>
              <w:snapToGrid w:val="0"/>
              <w:spacing w:line="360" w:lineRule="auto"/>
              <w:jc w:val="center"/>
              <w:rPr>
                <w:rFonts w:ascii="宋体" w:hAnsi="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4CAE3A85">
            <w:pPr>
              <w:tabs>
                <w:tab w:val="left" w:pos="720"/>
              </w:tabs>
              <w:snapToGrid w:val="0"/>
              <w:spacing w:line="360" w:lineRule="auto"/>
              <w:jc w:val="center"/>
              <w:rPr>
                <w:rFonts w:ascii="宋体" w:hAnsi="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76EB67F">
            <w:pPr>
              <w:tabs>
                <w:tab w:val="left" w:pos="720"/>
              </w:tabs>
              <w:snapToGrid w:val="0"/>
              <w:spacing w:line="360" w:lineRule="auto"/>
              <w:jc w:val="center"/>
              <w:rPr>
                <w:rFonts w:ascii="宋体" w:hAnsi="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09C28444">
            <w:pPr>
              <w:tabs>
                <w:tab w:val="left" w:pos="720"/>
              </w:tabs>
              <w:snapToGrid w:val="0"/>
              <w:spacing w:line="360" w:lineRule="auto"/>
              <w:jc w:val="center"/>
              <w:rPr>
                <w:rFonts w:ascii="宋体" w:hAnsi="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6686D81A">
            <w:pPr>
              <w:tabs>
                <w:tab w:val="left" w:pos="720"/>
              </w:tabs>
              <w:snapToGrid w:val="0"/>
              <w:spacing w:line="360" w:lineRule="auto"/>
              <w:jc w:val="center"/>
              <w:rPr>
                <w:rFonts w:ascii="宋体" w:hAnsi="宋体"/>
                <w:color w:val="auto"/>
                <w:szCs w:val="21"/>
                <w:highlight w:val="none"/>
              </w:rPr>
            </w:pPr>
          </w:p>
        </w:tc>
      </w:tr>
    </w:tbl>
    <w:p w14:paraId="45684285">
      <w:pPr>
        <w:tabs>
          <w:tab w:val="left" w:pos="720"/>
        </w:tabs>
        <w:snapToGrid w:val="0"/>
        <w:spacing w:line="360" w:lineRule="auto"/>
        <w:rPr>
          <w:rFonts w:ascii="宋体" w:hAnsi="宋体"/>
          <w:color w:val="auto"/>
          <w:sz w:val="24"/>
          <w:szCs w:val="24"/>
          <w:highlight w:val="none"/>
        </w:rPr>
      </w:pPr>
    </w:p>
    <w:p w14:paraId="7E467733">
      <w:pPr>
        <w:rPr>
          <w:rFonts w:ascii="宋体" w:hAnsi="宋体"/>
          <w:color w:val="auto"/>
          <w:sz w:val="24"/>
          <w:szCs w:val="24"/>
          <w:highlight w:val="none"/>
        </w:rPr>
      </w:pPr>
      <w:r>
        <w:rPr>
          <w:rFonts w:hint="eastAsia" w:ascii="宋体" w:hAnsi="宋体"/>
          <w:color w:val="auto"/>
          <w:sz w:val="24"/>
          <w:szCs w:val="24"/>
          <w:highlight w:val="none"/>
        </w:rPr>
        <w:t>注：参与编制技术标书所有人员名单应包括如编制技术投标方案、负责清样校对、负责打印及复印等所有人员在内的人员名单。</w:t>
      </w:r>
    </w:p>
    <w:p w14:paraId="4674DE61">
      <w:pPr>
        <w:rPr>
          <w:rFonts w:ascii="宋体" w:hAnsi="宋体"/>
          <w:color w:val="auto"/>
          <w:sz w:val="24"/>
          <w:szCs w:val="24"/>
          <w:highlight w:val="none"/>
        </w:rPr>
      </w:pPr>
    </w:p>
    <w:p w14:paraId="1B9F4C5A">
      <w:pPr>
        <w:rPr>
          <w:rFonts w:ascii="宋体" w:hAnsi="宋体"/>
          <w:color w:val="auto"/>
          <w:sz w:val="24"/>
          <w:szCs w:val="24"/>
          <w:highlight w:val="none"/>
        </w:rPr>
      </w:pPr>
    </w:p>
    <w:p w14:paraId="18205351">
      <w:pPr>
        <w:pStyle w:val="5"/>
        <w:rPr>
          <w:color w:val="auto"/>
          <w:highlight w:val="none"/>
        </w:rPr>
      </w:pPr>
      <w:r>
        <w:rPr>
          <w:color w:val="auto"/>
          <w:sz w:val="24"/>
          <w:szCs w:val="24"/>
          <w:highlight w:val="none"/>
        </w:rPr>
        <w:br w:type="page"/>
      </w:r>
      <w:r>
        <w:rPr>
          <w:rFonts w:hint="eastAsia"/>
          <w:color w:val="auto"/>
          <w:highlight w:val="none"/>
          <w:lang w:eastAsia="zh-CN"/>
        </w:rPr>
        <w:t>格式九</w:t>
      </w:r>
      <w:r>
        <w:rPr>
          <w:rFonts w:hint="eastAsia"/>
          <w:color w:val="auto"/>
          <w:highlight w:val="none"/>
        </w:rPr>
        <w:t>：</w:t>
      </w:r>
      <w:bookmarkEnd w:id="92"/>
      <w:bookmarkEnd w:id="93"/>
      <w:bookmarkEnd w:id="94"/>
      <w:r>
        <w:rPr>
          <w:rFonts w:hint="eastAsia"/>
          <w:color w:val="auto"/>
          <w:highlight w:val="none"/>
        </w:rPr>
        <w:t>投标函</w:t>
      </w:r>
    </w:p>
    <w:p w14:paraId="624F24D6">
      <w:pPr>
        <w:topLinePunct/>
        <w:adjustRightInd w:val="0"/>
        <w:snapToGrid w:val="0"/>
        <w:spacing w:line="360" w:lineRule="auto"/>
        <w:jc w:val="center"/>
        <w:rPr>
          <w:rFonts w:ascii="宋体" w:hAnsi="宋体" w:cs="宋体"/>
          <w:b/>
          <w:snapToGrid w:val="0"/>
          <w:color w:val="auto"/>
          <w:spacing w:val="4"/>
          <w:kern w:val="0"/>
          <w:sz w:val="36"/>
          <w:szCs w:val="36"/>
          <w:highlight w:val="none"/>
        </w:rPr>
      </w:pPr>
      <w:r>
        <w:rPr>
          <w:rFonts w:hint="eastAsia" w:ascii="宋体" w:hAnsi="宋体" w:cs="宋体"/>
          <w:b/>
          <w:snapToGrid w:val="0"/>
          <w:color w:val="auto"/>
          <w:spacing w:val="4"/>
          <w:kern w:val="0"/>
          <w:sz w:val="36"/>
          <w:szCs w:val="36"/>
          <w:highlight w:val="none"/>
        </w:rPr>
        <w:t>投 标 函</w:t>
      </w:r>
    </w:p>
    <w:p w14:paraId="6D2A84B9">
      <w:pPr>
        <w:topLinePunct/>
        <w:adjustRightInd w:val="0"/>
        <w:snapToGrid w:val="0"/>
        <w:spacing w:line="360" w:lineRule="auto"/>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u w:val="single"/>
        </w:rPr>
        <w:t xml:space="preserve"> （招标人名称） </w:t>
      </w:r>
    </w:p>
    <w:p w14:paraId="503ED369">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1.根据招标人</w:t>
      </w:r>
      <w:r>
        <w:rPr>
          <w:rFonts w:hint="eastAsia" w:ascii="宋体" w:hAnsi="宋体" w:cs="宋体"/>
          <w:snapToGrid w:val="0"/>
          <w:color w:val="auto"/>
          <w:spacing w:val="4"/>
          <w:kern w:val="0"/>
          <w:sz w:val="24"/>
          <w:szCs w:val="24"/>
          <w:highlight w:val="none"/>
          <w:u w:val="single"/>
        </w:rPr>
        <w:t xml:space="preserve"> （工程项目名称） </w:t>
      </w:r>
      <w:r>
        <w:rPr>
          <w:rFonts w:hint="eastAsia" w:ascii="宋体" w:hAnsi="宋体" w:cs="宋体"/>
          <w:snapToGrid w:val="0"/>
          <w:color w:val="auto"/>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3940141E">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2.我方已详细审核全部招标文件，包括修改文件（如有时）及有关附件。</w:t>
      </w:r>
    </w:p>
    <w:p w14:paraId="121B79CE">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3.如果我方中标，我方保证按照合同文件中规定的开工日期开始施工，并按规定的预计竣工日期完成和交付全部工程。</w:t>
      </w:r>
    </w:p>
    <w:p w14:paraId="33DF816E">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4.如果我方中标，我方承诺在充分考虑场地环境变化及政策性调整等风险因素的前提下，继续补充完善施工组织设计，直至招标人满意为止并加以实施，由此产生的费用已包含在投标报价中。</w:t>
      </w:r>
    </w:p>
    <w:p w14:paraId="7F33DB6B">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52E510C4">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6.如果我方中标，我方将按照招标文件的规定，按时提交履约担保，以保障本项目优质、优价、按期、顺利完成。</w:t>
      </w:r>
    </w:p>
    <w:p w14:paraId="3671D51C">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7.我方同意所提交的投标文件在招标文件投标须知中第15条规定的投标有效期内有效，在此期限届满之前，本投标书始终将对我方具有约束力，并随时接受中标。</w:t>
      </w:r>
    </w:p>
    <w:p w14:paraId="5F72C631">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8.在合同协议书正式签署生效之前，本投标书连同你单位的中标通知书将构成我们双方之间共同遵守的文件，对双方具有约束力。</w:t>
      </w:r>
    </w:p>
    <w:p w14:paraId="08682D41">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9.我方理解，你单位不一定接受最低标价的投标或你单位接到的其它任何投标。同时也理解，你单位不负担我方的任何投标费用。</w:t>
      </w:r>
    </w:p>
    <w:p w14:paraId="5431C869">
      <w:pPr>
        <w:pStyle w:val="143"/>
        <w:ind w:firstLine="496"/>
        <w:rPr>
          <w:rFonts w:hint="eastAsia" w:cs="宋体"/>
          <w:color w:val="auto"/>
          <w:highlight w:val="none"/>
          <w:u w:val="single"/>
        </w:rPr>
      </w:pPr>
      <w:r>
        <w:rPr>
          <w:rFonts w:hint="eastAsia" w:cs="宋体"/>
          <w:color w:val="auto"/>
          <w:highlight w:val="none"/>
        </w:rPr>
        <w:t>10.</w:t>
      </w:r>
      <w:r>
        <w:rPr>
          <w:rFonts w:hint="eastAsia" w:cs="宋体"/>
          <w:color w:val="auto"/>
          <w:highlight w:val="none"/>
          <w:u w:val="single"/>
        </w:rPr>
        <w:t>如果我方中标，我方承诺按《广东省建设工程施工扬尘污染防治管理办法（试行）》（粤办函〔2017〕708号）、《惠州市扬尘污染防治条例》</w:t>
      </w:r>
      <w:r>
        <w:rPr>
          <w:rFonts w:hint="eastAsia" w:cs="宋体"/>
          <w:color w:val="auto"/>
          <w:highlight w:val="none"/>
          <w:u w:val="single"/>
          <w:lang w:eastAsia="zh-CN"/>
        </w:rPr>
        <w:t>、《惠州市建筑施工企业安全生产管理工作指引》（惠州住建函【2020】806 号）</w:t>
      </w:r>
      <w:r>
        <w:rPr>
          <w:rFonts w:hint="eastAsia" w:cs="宋体"/>
          <w:color w:val="auto"/>
          <w:highlight w:val="none"/>
          <w:u w:val="single"/>
        </w:rPr>
        <w:t>等文件的要求，并按招标文件和合同要求对施工范围内绿色施工、新型防护、施工围蔽工作负责，加强建筑工地文明施工管理，控制施工扬尘、噪声污染，推进生态文明建设，全面落实各项扬尘污染防治措施、绿色施工围蔽措施和安全防护措施，接受招标人及建设行政主管部门的监督、检查。确保噪声污染、扬尘污染等环境污染问题零投诉。</w:t>
      </w:r>
    </w:p>
    <w:p w14:paraId="239175E2">
      <w:pPr>
        <w:topLinePunct/>
        <w:adjustRightInd w:val="0"/>
        <w:snapToGrid w:val="0"/>
        <w:spacing w:line="360" w:lineRule="auto"/>
        <w:ind w:firstLine="669" w:firstLineChars="279"/>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11.如未履行上述承诺，经招标人催告后逾期不履行承诺或经教育后拒不整改或整改后仍不符合相关技术标准规定的，我方自愿接受被招标人拒绝规定时期参与后续工程投标的后果。</w:t>
      </w:r>
    </w:p>
    <w:p w14:paraId="350DF7EE">
      <w:pPr>
        <w:topLinePunct/>
        <w:adjustRightInd w:val="0"/>
        <w:snapToGrid w:val="0"/>
        <w:spacing w:line="360" w:lineRule="auto"/>
        <w:ind w:firstLine="669" w:firstLineChars="279"/>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12.我方承诺合同履行期间不更换项目管理团队人员。合同履行期间，除不可抗力因素外，我方更换项目管理团队人员，按合同约定承担违约责任。</w:t>
      </w:r>
    </w:p>
    <w:p w14:paraId="129A52CE">
      <w:pPr>
        <w:topLinePunct/>
        <w:adjustRightInd w:val="0"/>
        <w:snapToGrid w:val="0"/>
        <w:spacing w:line="360" w:lineRule="auto"/>
        <w:ind w:firstLine="669" w:firstLineChars="279"/>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13.我方</w:t>
      </w:r>
      <w:r>
        <w:rPr>
          <w:rFonts w:ascii="宋体" w:hAnsi="宋体" w:cs="宋体"/>
          <w:color w:val="auto"/>
          <w:sz w:val="24"/>
          <w:szCs w:val="24"/>
          <w:highlight w:val="none"/>
          <w:u w:val="single"/>
        </w:rPr>
        <w:t>因分包引起质量、安全事故以及社会舆情事件，自愿计入省代建局履约诚信记录，同时两年内自愿放弃参与省代建局项目的投标活动。</w:t>
      </w:r>
    </w:p>
    <w:p w14:paraId="65E142D5">
      <w:pPr>
        <w:topLinePunct/>
        <w:adjustRightInd w:val="0"/>
        <w:snapToGrid w:val="0"/>
        <w:spacing w:line="360" w:lineRule="auto"/>
        <w:ind w:firstLine="669" w:firstLineChars="279"/>
        <w:rPr>
          <w:rFonts w:ascii="宋体" w:hAnsi="宋体" w:cs="宋体"/>
          <w:color w:val="auto"/>
          <w:sz w:val="24"/>
          <w:szCs w:val="24"/>
          <w:highlight w:val="none"/>
          <w:u w:val="single"/>
        </w:rPr>
      </w:pPr>
    </w:p>
    <w:p w14:paraId="2A1BCE7A">
      <w:pPr>
        <w:pStyle w:val="49"/>
        <w:rPr>
          <w:rFonts w:hint="eastAsia"/>
          <w:color w:val="auto"/>
          <w:highlight w:val="none"/>
        </w:rPr>
      </w:pPr>
    </w:p>
    <w:p w14:paraId="0FB83D03">
      <w:pPr>
        <w:pStyle w:val="143"/>
        <w:ind w:firstLine="3052" w:firstLineChars="1400"/>
        <w:jc w:val="both"/>
        <w:rPr>
          <w:rFonts w:hint="eastAsia" w:cs="宋体"/>
          <w:color w:val="auto"/>
          <w:spacing w:val="0"/>
          <w:sz w:val="21"/>
          <w:szCs w:val="22"/>
          <w:highlight w:val="none"/>
        </w:rPr>
      </w:pPr>
      <w:r>
        <w:rPr>
          <w:rFonts w:hint="eastAsia" w:ascii="宋体" w:hAnsi="宋体" w:eastAsia="宋体" w:cs="宋体"/>
          <w:b w:val="0"/>
          <w:bCs w:val="0"/>
          <w:color w:val="auto"/>
          <w:kern w:val="0"/>
          <w:sz w:val="21"/>
          <w:highlight w:val="none"/>
        </w:rPr>
        <w:t>投标人名称：</w:t>
      </w:r>
    </w:p>
    <w:p w14:paraId="2AB834A0">
      <w:pPr>
        <w:pStyle w:val="143"/>
        <w:ind w:firstLine="2940" w:firstLineChars="1400"/>
        <w:jc w:val="both"/>
        <w:rPr>
          <w:color w:val="auto"/>
          <w:highlight w:val="none"/>
        </w:rPr>
      </w:pPr>
      <w:r>
        <w:rPr>
          <w:rFonts w:hint="eastAsia" w:cs="宋体"/>
          <w:color w:val="auto"/>
          <w:spacing w:val="0"/>
          <w:sz w:val="21"/>
          <w:szCs w:val="22"/>
          <w:highlight w:val="none"/>
        </w:rPr>
        <w:t>日    期：    年    月    日</w:t>
      </w:r>
    </w:p>
    <w:p w14:paraId="6AC4C848">
      <w:pPr>
        <w:pStyle w:val="5"/>
        <w:rPr>
          <w:color w:val="auto"/>
          <w:highlight w:val="none"/>
        </w:rPr>
      </w:pPr>
      <w:r>
        <w:rPr>
          <w:rFonts w:hint="eastAsia" w:cs="宋体"/>
          <w:color w:val="auto"/>
          <w:highlight w:val="none"/>
        </w:rPr>
        <w:br w:type="page"/>
      </w:r>
      <w:r>
        <w:rPr>
          <w:rFonts w:hint="eastAsia"/>
          <w:color w:val="auto"/>
          <w:highlight w:val="none"/>
          <w:lang w:eastAsia="zh-CN"/>
        </w:rPr>
        <w:t>格式十</w:t>
      </w:r>
      <w:r>
        <w:rPr>
          <w:rFonts w:hint="eastAsia"/>
          <w:color w:val="auto"/>
          <w:highlight w:val="none"/>
        </w:rPr>
        <w:t>：施工组织设计</w:t>
      </w:r>
    </w:p>
    <w:p w14:paraId="6E71BA0F">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施工组织设计</w:t>
      </w:r>
    </w:p>
    <w:p w14:paraId="49E0F66C">
      <w:pPr>
        <w:pStyle w:val="7"/>
        <w:ind w:firstLine="0"/>
        <w:jc w:val="center"/>
        <w:rPr>
          <w:rFonts w:hint="eastAsia"/>
          <w:color w:val="auto"/>
          <w:highlight w:val="none"/>
        </w:rPr>
      </w:pPr>
      <w:r>
        <w:rPr>
          <w:rFonts w:hint="eastAsia" w:ascii="宋体" w:hAnsi="宋体" w:cs="宋体"/>
          <w:color w:val="auto"/>
          <w:sz w:val="32"/>
          <w:szCs w:val="32"/>
          <w:highlight w:val="none"/>
        </w:rPr>
        <w:t>（格式自拟）</w:t>
      </w:r>
    </w:p>
    <w:p w14:paraId="1E4E7583">
      <w:pPr>
        <w:pStyle w:val="5"/>
        <w:rPr>
          <w:color w:val="auto"/>
          <w:highlight w:val="none"/>
        </w:rPr>
      </w:pPr>
      <w:r>
        <w:rPr>
          <w:rFonts w:hint="eastAsia" w:cs="宋体"/>
          <w:color w:val="auto"/>
          <w:highlight w:val="none"/>
        </w:rPr>
        <w:br w:type="page"/>
      </w:r>
      <w:r>
        <w:rPr>
          <w:rFonts w:hint="eastAsia"/>
          <w:color w:val="auto"/>
          <w:highlight w:val="none"/>
          <w:lang w:eastAsia="zh-CN"/>
        </w:rPr>
        <w:t>格式十一</w:t>
      </w:r>
      <w:r>
        <w:rPr>
          <w:rFonts w:hint="eastAsia"/>
          <w:color w:val="auto"/>
          <w:highlight w:val="none"/>
        </w:rPr>
        <w:t>：企业相关资料(附企业资信评审的相关资料)</w:t>
      </w:r>
    </w:p>
    <w:p w14:paraId="3A52679C">
      <w:pPr>
        <w:autoSpaceDE w:val="0"/>
        <w:autoSpaceDN w:val="0"/>
        <w:adjustRightInd w:val="0"/>
        <w:jc w:val="center"/>
        <w:rPr>
          <w:rFonts w:hint="eastAsia" w:ascii="宋体" w:hAnsi="宋体"/>
          <w:color w:val="auto"/>
          <w:kern w:val="0"/>
          <w:sz w:val="27"/>
          <w:szCs w:val="27"/>
          <w:highlight w:val="none"/>
        </w:rPr>
      </w:pPr>
      <w:r>
        <w:rPr>
          <w:rFonts w:hint="eastAsia" w:ascii="宋体" w:hAnsi="宋体"/>
          <w:color w:val="auto"/>
          <w:kern w:val="0"/>
          <w:sz w:val="27"/>
          <w:szCs w:val="27"/>
          <w:highlight w:val="none"/>
        </w:rPr>
        <w:t>（格式自拟）</w:t>
      </w:r>
    </w:p>
    <w:p w14:paraId="6C85112E">
      <w:pPr>
        <w:pStyle w:val="5"/>
        <w:rPr>
          <w:color w:val="auto"/>
          <w:highlight w:val="none"/>
        </w:rPr>
      </w:pPr>
      <w:r>
        <w:rPr>
          <w:rFonts w:hint="eastAsia"/>
          <w:color w:val="auto"/>
          <w:highlight w:val="none"/>
        </w:rPr>
        <w:br w:type="page"/>
      </w:r>
      <w:r>
        <w:rPr>
          <w:rFonts w:hint="eastAsia"/>
          <w:color w:val="auto"/>
          <w:highlight w:val="none"/>
          <w:lang w:eastAsia="zh-CN"/>
        </w:rPr>
        <w:t>格式十二</w:t>
      </w:r>
      <w:r>
        <w:rPr>
          <w:rFonts w:hint="eastAsia"/>
          <w:color w:val="auto"/>
          <w:highlight w:val="none"/>
        </w:rPr>
        <w:t>：投标人提交履约保函承诺书</w:t>
      </w:r>
    </w:p>
    <w:p w14:paraId="0458EF80">
      <w:pPr>
        <w:autoSpaceDE w:val="0"/>
        <w:autoSpaceDN w:val="0"/>
        <w:adjustRightInd w:val="0"/>
        <w:jc w:val="center"/>
        <w:rPr>
          <w:rFonts w:ascii="宋体" w:hAnsi="宋体" w:cs="宋体"/>
          <w:b/>
          <w:color w:val="auto"/>
          <w:sz w:val="30"/>
          <w:szCs w:val="30"/>
          <w:highlight w:val="none"/>
        </w:rPr>
      </w:pPr>
    </w:p>
    <w:p w14:paraId="69792FB8">
      <w:pPr>
        <w:autoSpaceDE w:val="0"/>
        <w:autoSpaceDN w:val="0"/>
        <w:adjustRightIn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投标人提交履约保函承诺书</w:t>
      </w:r>
    </w:p>
    <w:p w14:paraId="35272A99">
      <w:pPr>
        <w:autoSpaceDE w:val="0"/>
        <w:autoSpaceDN w:val="0"/>
        <w:adjustRightInd w:val="0"/>
        <w:jc w:val="center"/>
        <w:rPr>
          <w:rFonts w:hint="eastAsia" w:ascii="宋体" w:hAnsi="宋体" w:cs="宋体"/>
          <w:b/>
          <w:color w:val="auto"/>
          <w:sz w:val="30"/>
          <w:szCs w:val="30"/>
          <w:highlight w:val="none"/>
        </w:rPr>
      </w:pPr>
    </w:p>
    <w:p w14:paraId="3B7E7342">
      <w:pPr>
        <w:widowControl/>
        <w:snapToGrid w:val="0"/>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致：广东省代建项目管理局</w:t>
      </w:r>
    </w:p>
    <w:p w14:paraId="29C5938C">
      <w:pPr>
        <w:widowControl/>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如果我单位在项目招标中，被确定为中标人，我单位能够按照招标文件约定的时间和格式(详见附件），按照中标价款的10%填写，即</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万元人民币向贵局提供履约保函。履约保函的担保期限从提供履约担保之日起至工程结算审定完成并移交工程档案后止。首开保函的保证期间不少于三年。如我单位未能按照招标文件规定的时间和格式提供合格的履约保函，我单位自愿放弃中标资格，并承担相应责任。</w:t>
      </w:r>
    </w:p>
    <w:p w14:paraId="65B86D4A">
      <w:pPr>
        <w:widowControl/>
        <w:snapToGrid w:val="0"/>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     附件：履约保函格式</w:t>
      </w:r>
    </w:p>
    <w:p w14:paraId="22339100">
      <w:pPr>
        <w:widowControl/>
        <w:snapToGrid w:val="0"/>
        <w:spacing w:line="360" w:lineRule="auto"/>
        <w:ind w:firstLine="6580" w:firstLineChars="2350"/>
        <w:jc w:val="left"/>
        <w:rPr>
          <w:rFonts w:ascii="宋体" w:hAnsi="宋体" w:cs="宋体"/>
          <w:color w:val="auto"/>
          <w:sz w:val="28"/>
          <w:szCs w:val="28"/>
          <w:highlight w:val="none"/>
        </w:rPr>
      </w:pPr>
    </w:p>
    <w:p w14:paraId="635D0E5E">
      <w:pPr>
        <w:widowControl/>
        <w:spacing w:line="360" w:lineRule="exact"/>
        <w:ind w:firstLine="4740" w:firstLineChars="1500"/>
        <w:jc w:val="left"/>
        <w:rPr>
          <w:rFonts w:ascii="楷体" w:hAnsi="楷体" w:eastAsia="楷体" w:cs="宋体"/>
          <w:color w:val="auto"/>
          <w:kern w:val="0"/>
          <w:sz w:val="22"/>
          <w:highlight w:val="none"/>
        </w:rPr>
      </w:pPr>
      <w:r>
        <w:rPr>
          <w:rFonts w:hint="eastAsia" w:ascii="宋体" w:hAnsi="宋体" w:cs="宋体"/>
          <w:color w:val="auto"/>
          <w:spacing w:val="18"/>
          <w:sz w:val="28"/>
          <w:szCs w:val="28"/>
          <w:highlight w:val="none"/>
        </w:rPr>
        <w:t xml:space="preserve">  </w:t>
      </w:r>
      <w:r>
        <w:rPr>
          <w:rFonts w:hint="eastAsia" w:ascii="宋体" w:hAnsi="宋体" w:eastAsia="宋体" w:cs="宋体"/>
          <w:color w:val="auto"/>
          <w:spacing w:val="18"/>
          <w:kern w:val="2"/>
          <w:sz w:val="28"/>
          <w:szCs w:val="28"/>
          <w:highlight w:val="none"/>
        </w:rPr>
        <w:t xml:space="preserve">投标人名称：                        </w:t>
      </w:r>
      <w:r>
        <w:rPr>
          <w:rFonts w:hint="eastAsia" w:ascii="楷体" w:hAnsi="楷体" w:eastAsia="楷体" w:cs="宋体"/>
          <w:color w:val="auto"/>
          <w:kern w:val="0"/>
          <w:sz w:val="22"/>
          <w:highlight w:val="none"/>
        </w:rPr>
        <w:t xml:space="preserve">           </w:t>
      </w:r>
    </w:p>
    <w:p w14:paraId="0C1C3055">
      <w:pPr>
        <w:spacing w:line="360" w:lineRule="auto"/>
        <w:ind w:left="3160" w:hanging="2200" w:hangingChars="1000"/>
        <w:jc w:val="right"/>
        <w:rPr>
          <w:rFonts w:ascii="宋体" w:hAnsi="宋体" w:cs="宋体"/>
          <w:color w:val="auto"/>
          <w:spacing w:val="18"/>
          <w:sz w:val="28"/>
          <w:szCs w:val="28"/>
          <w:highlight w:val="none"/>
        </w:rPr>
      </w:pPr>
      <w:r>
        <w:rPr>
          <w:rFonts w:hint="eastAsia" w:ascii="楷体" w:hAnsi="楷体" w:eastAsia="楷体" w:cs="宋体"/>
          <w:color w:val="auto"/>
          <w:kern w:val="0"/>
          <w:sz w:val="22"/>
          <w:highlight w:val="none"/>
        </w:rPr>
        <w:t xml:space="preserve">                            </w:t>
      </w:r>
      <w:r>
        <w:rPr>
          <w:rFonts w:hint="eastAsia" w:ascii="宋体" w:hAnsi="宋体" w:cs="宋体"/>
          <w:color w:val="auto"/>
          <w:spacing w:val="18"/>
          <w:sz w:val="28"/>
          <w:szCs w:val="28"/>
          <w:highlight w:val="none"/>
        </w:rPr>
        <w:t xml:space="preserve">        </w:t>
      </w:r>
    </w:p>
    <w:p w14:paraId="4F0173E6">
      <w:pPr>
        <w:spacing w:line="360" w:lineRule="auto"/>
        <w:ind w:firstLine="2528" w:firstLineChars="800"/>
        <w:jc w:val="right"/>
        <w:rPr>
          <w:rFonts w:ascii="宋体" w:hAnsi="宋体" w:cs="宋体"/>
          <w:b/>
          <w:color w:val="auto"/>
          <w:sz w:val="28"/>
          <w:szCs w:val="28"/>
          <w:highlight w:val="none"/>
        </w:rPr>
      </w:pPr>
      <w:r>
        <w:rPr>
          <w:rFonts w:hint="eastAsia" w:ascii="宋体" w:hAnsi="宋体" w:cs="宋体"/>
          <w:color w:val="auto"/>
          <w:spacing w:val="18"/>
          <w:sz w:val="28"/>
          <w:szCs w:val="28"/>
          <w:highlight w:val="none"/>
        </w:rPr>
        <w:t>日期：   年   月  日</w:t>
      </w:r>
    </w:p>
    <w:p w14:paraId="2D05C115">
      <w:pPr>
        <w:spacing w:line="360" w:lineRule="auto"/>
        <w:rPr>
          <w:rFonts w:hint="eastAsia" w:hAnsi="宋体" w:cs="仿宋"/>
          <w:b/>
          <w:color w:val="auto"/>
          <w:sz w:val="24"/>
          <w:szCs w:val="24"/>
          <w:highlight w:val="none"/>
          <w:lang w:bidi="ar"/>
        </w:rPr>
      </w:pPr>
    </w:p>
    <w:p w14:paraId="58D84ABA">
      <w:pPr>
        <w:spacing w:line="360" w:lineRule="auto"/>
        <w:rPr>
          <w:rFonts w:hAnsi="宋体" w:cs="仿宋"/>
          <w:b/>
          <w:color w:val="auto"/>
          <w:sz w:val="24"/>
          <w:szCs w:val="24"/>
          <w:highlight w:val="none"/>
        </w:rPr>
      </w:pPr>
      <w:r>
        <w:rPr>
          <w:rFonts w:hint="eastAsia" w:hAnsi="宋体" w:cs="仿宋"/>
          <w:b/>
          <w:color w:val="auto"/>
          <w:sz w:val="24"/>
          <w:szCs w:val="24"/>
          <w:highlight w:val="none"/>
          <w:lang w:bidi="ar"/>
        </w:rPr>
        <w:t>注：投标人的投标文件中须提交本承诺书，承诺书的附件履约保函格式投标时可不提交，由中标人在中标后按招标人要求提交即可。</w:t>
      </w:r>
    </w:p>
    <w:p w14:paraId="64858593">
      <w:pPr>
        <w:spacing w:line="360" w:lineRule="auto"/>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附件：银行履约保函格式</w:t>
      </w:r>
    </w:p>
    <w:p w14:paraId="708031B8">
      <w:pPr>
        <w:spacing w:line="300" w:lineRule="exact"/>
        <w:ind w:firstLine="2534" w:firstLineChars="1056"/>
        <w:rPr>
          <w:rFonts w:ascii="宋体" w:hAnsi="宋体" w:cs="宋体"/>
          <w:color w:val="auto"/>
          <w:sz w:val="24"/>
          <w:szCs w:val="24"/>
          <w:highlight w:val="none"/>
        </w:rPr>
      </w:pPr>
    </w:p>
    <w:p w14:paraId="47FA2872">
      <w:pPr>
        <w:pStyle w:val="2"/>
        <w:rPr>
          <w:color w:val="auto"/>
          <w:highlight w:val="none"/>
        </w:rPr>
      </w:pPr>
    </w:p>
    <w:p w14:paraId="20C4EA6D">
      <w:pPr>
        <w:spacing w:line="300" w:lineRule="exact"/>
        <w:ind w:firstLine="3612" w:firstLineChars="1505"/>
        <w:rPr>
          <w:rFonts w:ascii="宋体" w:hAnsi="宋体" w:cs="宋体"/>
          <w:color w:val="auto"/>
          <w:sz w:val="24"/>
          <w:szCs w:val="24"/>
          <w:highlight w:val="none"/>
        </w:rPr>
      </w:pPr>
      <w:r>
        <w:rPr>
          <w:rFonts w:hint="eastAsia" w:ascii="宋体" w:hAnsi="宋体" w:cs="宋体"/>
          <w:color w:val="auto"/>
          <w:sz w:val="24"/>
          <w:szCs w:val="24"/>
          <w:highlight w:val="none"/>
        </w:rPr>
        <w:t>独立履约保函</w:t>
      </w:r>
    </w:p>
    <w:p w14:paraId="42C1192E">
      <w:pPr>
        <w:adjustRightInd w:val="0"/>
        <w:snapToGrid w:val="0"/>
        <w:ind w:right="420" w:firstLine="6720" w:firstLineChars="2800"/>
        <w:rPr>
          <w:rFonts w:ascii="宋体" w:hAnsi="宋体" w:cs="宋体"/>
          <w:color w:val="auto"/>
          <w:sz w:val="24"/>
          <w:szCs w:val="24"/>
          <w:highlight w:val="none"/>
        </w:rPr>
      </w:pPr>
      <w:r>
        <w:rPr>
          <w:rFonts w:hint="eastAsia" w:ascii="宋体" w:hAnsi="宋体" w:cs="宋体"/>
          <w:color w:val="auto"/>
          <w:sz w:val="24"/>
          <w:szCs w:val="24"/>
          <w:highlight w:val="none"/>
        </w:rPr>
        <w:t>保函编号：</w:t>
      </w:r>
    </w:p>
    <w:p w14:paraId="20FEC9AB">
      <w:pPr>
        <w:adjustRightInd w:val="0"/>
        <w:snapToGrid w:val="0"/>
        <w:jc w:val="left"/>
        <w:rPr>
          <w:rFonts w:ascii="宋体" w:hAnsi="宋体" w:cs="宋体"/>
          <w:color w:val="auto"/>
          <w:sz w:val="24"/>
          <w:szCs w:val="24"/>
          <w:highlight w:val="none"/>
        </w:rPr>
      </w:pPr>
    </w:p>
    <w:p w14:paraId="558EC24E">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致：广东省代建项目管理局</w:t>
      </w:r>
    </w:p>
    <w:p w14:paraId="569CCD18">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鉴于</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（下称“委托人”）在贵单位的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项目中标，我行同意为委托人出具履约保函，为委托人履行</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合同（以下称“合同”）担保，以使你方得到履约保函的保障。</w:t>
      </w:r>
    </w:p>
    <w:p w14:paraId="108DBA9D">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一、本保函为见索即付保函。我行保证在收到贵单位于保函担保期间内送达的依本保函约定的索赔文件后，在</w:t>
      </w:r>
      <w:r>
        <w:rPr>
          <w:rFonts w:ascii="宋体" w:hAnsi="宋体" w:cs="宋体"/>
          <w:color w:val="auto"/>
          <w:sz w:val="24"/>
          <w:szCs w:val="24"/>
          <w:highlight w:val="none"/>
        </w:rPr>
        <w:t xml:space="preserve"> 7 </w:t>
      </w:r>
      <w:r>
        <w:rPr>
          <w:rFonts w:hint="eastAsia" w:ascii="宋体" w:hAnsi="宋体" w:cs="宋体"/>
          <w:color w:val="auto"/>
          <w:sz w:val="24"/>
          <w:szCs w:val="24"/>
          <w:highlight w:val="none"/>
        </w:rPr>
        <w:t>个工作日内无条件和不可改变地向贵单位支付金额最高不超过人民币（币种）</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元（大写）的履约担保金（索赔可分次索赔，累计金额不超过最高金额），并放弃向你方提出任何异议和追索的权利。</w:t>
      </w:r>
    </w:p>
    <w:p w14:paraId="6F7671A3">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二、贵单位的索赔文件应符合下述条件：</w:t>
      </w:r>
    </w:p>
    <w:p w14:paraId="45CB7BC5">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（一）贵单位法定代表人或其授权代表签字并加盖单位公章；</w:t>
      </w:r>
    </w:p>
    <w:p w14:paraId="4A97F5C6">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（二）在保函担保期间内送达我行；</w:t>
      </w:r>
    </w:p>
    <w:p w14:paraId="799F4519">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（三）明确的索赔金额（不得超过本保函第一条所列之限额）；</w:t>
      </w:r>
    </w:p>
    <w:p w14:paraId="581DDF00">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（四）贵单位出具的委托人违约事项说明。</w:t>
      </w:r>
    </w:p>
    <w:p w14:paraId="6EC79BC5">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三、本保函担保期间为 年 月 日至 年 月 日，除非你方提前终止或解除本保函，本保函于下述任一事项发生之时立即失效，我行在本保函项下的担保义务即刻解除：</w:t>
      </w:r>
    </w:p>
    <w:p w14:paraId="563C7773">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（一）本保函担保期间届满；</w:t>
      </w:r>
    </w:p>
    <w:p w14:paraId="6A2C0CE4">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（二）委托人履行了合同项下全部义务；</w:t>
      </w:r>
    </w:p>
    <w:p w14:paraId="1B6D709B">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（三）我行担保的义务履行完毕。</w:t>
      </w:r>
    </w:p>
    <w:p w14:paraId="102D278E">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四、我行受本保函制约的责任是延续的、独立的和无条件的，合同的任何修改、变更、解释或不可执行都不能改变我行受本保函制约的责任，委托人在合同项下对你方的任何抗辩也不能改变我行在本保函项下的付款责任。若贵单位与委托人协商变更合同，应督促委托人书面告知我行并将变更后的合同送一份给我行备案。</w:t>
      </w:r>
    </w:p>
    <w:p w14:paraId="248240F0">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五、保函失效后请将本保函退回我行注销。无论正本最终退回与否，不影响本保函依上述约定自动失效。</w:t>
      </w:r>
    </w:p>
    <w:p w14:paraId="5BA86B6E">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六、本保函项下的所有权利和义务受中华人民共和国法律管辖和制约，我行在保函项下做出的付款承诺决不反悔。</w:t>
      </w:r>
    </w:p>
    <w:p w14:paraId="6BD48A3F">
      <w:pPr>
        <w:adjustRightInd w:val="0"/>
        <w:snapToGrid w:val="0"/>
        <w:ind w:firstLine="480" w:firstLineChars="200"/>
        <w:jc w:val="left"/>
        <w:rPr>
          <w:rFonts w:ascii="宋体" w:hAnsi="宋体" w:cs="宋体"/>
          <w:color w:val="auto"/>
          <w:sz w:val="24"/>
          <w:szCs w:val="24"/>
          <w:highlight w:val="none"/>
        </w:rPr>
      </w:pPr>
    </w:p>
    <w:p w14:paraId="2DE77036">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担保银行（公章）：              </w:t>
      </w:r>
      <w:r>
        <w:rPr>
          <w:rFonts w:ascii="宋体" w:hAnsi="宋体" w:cs="宋体"/>
          <w:color w:val="auto"/>
          <w:sz w:val="24"/>
          <w:szCs w:val="24"/>
          <w:highlight w:val="none"/>
        </w:rPr>
        <w:t>负责</w:t>
      </w:r>
      <w:r>
        <w:rPr>
          <w:rFonts w:hint="eastAsia" w:ascii="宋体" w:hAnsi="宋体" w:cs="宋体"/>
          <w:color w:val="auto"/>
          <w:sz w:val="24"/>
          <w:szCs w:val="24"/>
          <w:highlight w:val="none"/>
        </w:rPr>
        <w:t>人（签章）：</w:t>
      </w:r>
    </w:p>
    <w:p w14:paraId="0A2A7CB4">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单位地址：                     传真：</w:t>
      </w:r>
    </w:p>
    <w:p w14:paraId="5CE760DA">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                       联系电话：</w:t>
      </w:r>
    </w:p>
    <w:p w14:paraId="29845175">
      <w:pPr>
        <w:adjustRightInd w:val="0"/>
        <w:snapToGrid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开立日期：     年     月    日</w:t>
      </w:r>
    </w:p>
    <w:p w14:paraId="45D36D50">
      <w:pPr>
        <w:topLinePunct/>
        <w:adjustRightInd w:val="0"/>
        <w:snapToGrid w:val="0"/>
        <w:spacing w:line="360" w:lineRule="auto"/>
        <w:ind w:firstLine="198" w:firstLineChars="80"/>
        <w:jc w:val="left"/>
        <w:rPr>
          <w:rFonts w:ascii="宋体" w:hAnsi="宋体" w:cs="宋体"/>
          <w:snapToGrid w:val="0"/>
          <w:color w:val="auto"/>
          <w:spacing w:val="4"/>
          <w:kern w:val="0"/>
          <w:sz w:val="24"/>
          <w:szCs w:val="24"/>
          <w:highlight w:val="none"/>
        </w:rPr>
      </w:pPr>
    </w:p>
    <w:p w14:paraId="503D11FF">
      <w:pPr>
        <w:topLinePunct/>
        <w:adjustRightInd w:val="0"/>
        <w:snapToGrid w:val="0"/>
        <w:spacing w:line="360" w:lineRule="auto"/>
        <w:ind w:firstLine="198" w:firstLineChars="80"/>
        <w:jc w:val="left"/>
        <w:rPr>
          <w:rFonts w:ascii="宋体" w:hAnsi="宋体" w:cs="宋体"/>
          <w:snapToGrid w:val="0"/>
          <w:color w:val="auto"/>
          <w:spacing w:val="4"/>
          <w:kern w:val="0"/>
          <w:sz w:val="24"/>
          <w:szCs w:val="24"/>
          <w:highlight w:val="none"/>
        </w:rPr>
      </w:pPr>
    </w:p>
    <w:p w14:paraId="2BB8429D">
      <w:pPr>
        <w:pStyle w:val="5"/>
        <w:rPr>
          <w:rFonts w:cs="宋体"/>
          <w:color w:val="auto"/>
          <w:highlight w:val="none"/>
        </w:rPr>
      </w:pPr>
      <w:r>
        <w:rPr>
          <w:rFonts w:cs="仿宋"/>
          <w:color w:val="auto"/>
          <w:sz w:val="24"/>
          <w:szCs w:val="24"/>
          <w:highlight w:val="none"/>
        </w:rPr>
        <w:br w:type="page"/>
      </w:r>
      <w:r>
        <w:rPr>
          <w:rFonts w:hint="eastAsia"/>
          <w:color w:val="auto"/>
          <w:highlight w:val="none"/>
          <w:lang w:eastAsia="zh-CN"/>
        </w:rPr>
        <w:t>格式十三</w:t>
      </w:r>
      <w:r>
        <w:rPr>
          <w:rFonts w:hint="eastAsia"/>
          <w:color w:val="auto"/>
          <w:highlight w:val="none"/>
        </w:rPr>
        <w:t>：企业类似工程业绩信息表（技术标评分）、企业获奖业绩表</w:t>
      </w:r>
    </w:p>
    <w:p w14:paraId="1E3F8722">
      <w:pPr>
        <w:tabs>
          <w:tab w:val="left" w:pos="720"/>
        </w:tabs>
        <w:snapToGrid w:val="0"/>
        <w:spacing w:before="240" w:line="360" w:lineRule="auto"/>
        <w:jc w:val="center"/>
        <w:rPr>
          <w:rFonts w:ascii="宋体" w:hAnsi="宋体" w:cs="宋体"/>
          <w:color w:val="auto"/>
          <w:sz w:val="32"/>
          <w:szCs w:val="32"/>
          <w:highlight w:val="none"/>
        </w:rPr>
      </w:pPr>
      <w:r>
        <w:rPr>
          <w:rFonts w:hint="eastAsia" w:ascii="宋体" w:hAnsi="宋体" w:cs="宋体"/>
          <w:b/>
          <w:color w:val="auto"/>
          <w:sz w:val="24"/>
          <w:szCs w:val="28"/>
          <w:highlight w:val="none"/>
        </w:rPr>
        <w:t>企业类似工程业绩信息表（技术标评分）</w:t>
      </w:r>
    </w:p>
    <w:p w14:paraId="6F05763A">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17"/>
        <w:gridCol w:w="1701"/>
        <w:gridCol w:w="1418"/>
        <w:gridCol w:w="1275"/>
        <w:gridCol w:w="1930"/>
      </w:tblGrid>
      <w:tr w14:paraId="67A2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5B5DAB7B">
            <w:pPr>
              <w:tabs>
                <w:tab w:val="left" w:pos="720"/>
              </w:tabs>
              <w:snapToGrid w:val="0"/>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序号</w:t>
            </w:r>
          </w:p>
        </w:tc>
        <w:tc>
          <w:tcPr>
            <w:tcW w:w="1817" w:type="dxa"/>
            <w:noWrap w:val="0"/>
            <w:vAlign w:val="center"/>
          </w:tcPr>
          <w:p w14:paraId="21114E26">
            <w:pPr>
              <w:tabs>
                <w:tab w:val="left" w:pos="720"/>
              </w:tabs>
              <w:snapToGrid w:val="0"/>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项目编号</w:t>
            </w:r>
          </w:p>
        </w:tc>
        <w:tc>
          <w:tcPr>
            <w:tcW w:w="1701" w:type="dxa"/>
            <w:noWrap w:val="0"/>
            <w:vAlign w:val="center"/>
          </w:tcPr>
          <w:p w14:paraId="73197332">
            <w:pPr>
              <w:tabs>
                <w:tab w:val="left" w:pos="720"/>
              </w:tabs>
              <w:snapToGrid w:val="0"/>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项目名称</w:t>
            </w:r>
          </w:p>
        </w:tc>
        <w:tc>
          <w:tcPr>
            <w:tcW w:w="1418" w:type="dxa"/>
            <w:noWrap w:val="0"/>
            <w:vAlign w:val="center"/>
          </w:tcPr>
          <w:p w14:paraId="6EA340B6">
            <w:pPr>
              <w:tabs>
                <w:tab w:val="left" w:pos="720"/>
              </w:tabs>
              <w:snapToGrid w:val="0"/>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合同总价（万元）</w:t>
            </w:r>
          </w:p>
        </w:tc>
        <w:tc>
          <w:tcPr>
            <w:tcW w:w="1275" w:type="dxa"/>
            <w:noWrap w:val="0"/>
            <w:vAlign w:val="center"/>
          </w:tcPr>
          <w:p w14:paraId="24D9B90D">
            <w:pPr>
              <w:tabs>
                <w:tab w:val="left" w:pos="720"/>
              </w:tabs>
              <w:snapToGrid w:val="0"/>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完成时间</w:t>
            </w:r>
          </w:p>
        </w:tc>
        <w:tc>
          <w:tcPr>
            <w:tcW w:w="1930" w:type="dxa"/>
            <w:noWrap w:val="0"/>
            <w:vAlign w:val="center"/>
          </w:tcPr>
          <w:p w14:paraId="1D48686E">
            <w:pPr>
              <w:tabs>
                <w:tab w:val="left" w:pos="720"/>
              </w:tabs>
              <w:snapToGrid w:val="0"/>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建设单位联系人及联系电话</w:t>
            </w:r>
          </w:p>
        </w:tc>
      </w:tr>
      <w:tr w14:paraId="4CBF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top"/>
          </w:tcPr>
          <w:p w14:paraId="5155A096">
            <w:pPr>
              <w:tabs>
                <w:tab w:val="left" w:pos="720"/>
              </w:tabs>
              <w:snapToGrid w:val="0"/>
              <w:spacing w:line="360" w:lineRule="auto"/>
              <w:rPr>
                <w:rFonts w:ascii="宋体" w:hAnsi="宋体" w:cs="宋体"/>
                <w:color w:val="auto"/>
                <w:sz w:val="24"/>
                <w:szCs w:val="24"/>
                <w:highlight w:val="none"/>
              </w:rPr>
            </w:pPr>
          </w:p>
        </w:tc>
        <w:tc>
          <w:tcPr>
            <w:tcW w:w="1817" w:type="dxa"/>
            <w:noWrap w:val="0"/>
            <w:vAlign w:val="top"/>
          </w:tcPr>
          <w:p w14:paraId="123CF17D">
            <w:pPr>
              <w:tabs>
                <w:tab w:val="left" w:pos="720"/>
              </w:tabs>
              <w:snapToGrid w:val="0"/>
              <w:spacing w:line="360" w:lineRule="auto"/>
              <w:rPr>
                <w:rFonts w:ascii="宋体" w:hAnsi="宋体" w:cs="宋体"/>
                <w:color w:val="auto"/>
                <w:sz w:val="24"/>
                <w:szCs w:val="24"/>
                <w:highlight w:val="none"/>
              </w:rPr>
            </w:pPr>
          </w:p>
        </w:tc>
        <w:tc>
          <w:tcPr>
            <w:tcW w:w="1701" w:type="dxa"/>
            <w:noWrap w:val="0"/>
            <w:vAlign w:val="top"/>
          </w:tcPr>
          <w:p w14:paraId="4E927B6E">
            <w:pPr>
              <w:tabs>
                <w:tab w:val="left" w:pos="720"/>
              </w:tabs>
              <w:snapToGrid w:val="0"/>
              <w:spacing w:line="360" w:lineRule="auto"/>
              <w:rPr>
                <w:rFonts w:ascii="宋体" w:hAnsi="宋体" w:cs="宋体"/>
                <w:color w:val="auto"/>
                <w:sz w:val="24"/>
                <w:szCs w:val="24"/>
                <w:highlight w:val="none"/>
              </w:rPr>
            </w:pPr>
          </w:p>
        </w:tc>
        <w:tc>
          <w:tcPr>
            <w:tcW w:w="1418" w:type="dxa"/>
            <w:noWrap w:val="0"/>
            <w:vAlign w:val="top"/>
          </w:tcPr>
          <w:p w14:paraId="6D290478">
            <w:pPr>
              <w:tabs>
                <w:tab w:val="left" w:pos="720"/>
              </w:tabs>
              <w:snapToGrid w:val="0"/>
              <w:spacing w:line="360" w:lineRule="auto"/>
              <w:rPr>
                <w:rFonts w:ascii="宋体" w:hAnsi="宋体" w:cs="宋体"/>
                <w:color w:val="auto"/>
                <w:sz w:val="24"/>
                <w:szCs w:val="24"/>
                <w:highlight w:val="none"/>
              </w:rPr>
            </w:pPr>
          </w:p>
        </w:tc>
        <w:tc>
          <w:tcPr>
            <w:tcW w:w="1275" w:type="dxa"/>
            <w:noWrap w:val="0"/>
            <w:vAlign w:val="top"/>
          </w:tcPr>
          <w:p w14:paraId="468B5501">
            <w:pPr>
              <w:tabs>
                <w:tab w:val="left" w:pos="720"/>
              </w:tabs>
              <w:snapToGrid w:val="0"/>
              <w:spacing w:line="360" w:lineRule="auto"/>
              <w:rPr>
                <w:rFonts w:ascii="宋体" w:hAnsi="宋体" w:cs="宋体"/>
                <w:color w:val="auto"/>
                <w:sz w:val="24"/>
                <w:szCs w:val="24"/>
                <w:highlight w:val="none"/>
              </w:rPr>
            </w:pPr>
          </w:p>
        </w:tc>
        <w:tc>
          <w:tcPr>
            <w:tcW w:w="1930" w:type="dxa"/>
            <w:noWrap w:val="0"/>
            <w:vAlign w:val="top"/>
          </w:tcPr>
          <w:p w14:paraId="0336A668">
            <w:pPr>
              <w:tabs>
                <w:tab w:val="left" w:pos="720"/>
              </w:tabs>
              <w:snapToGrid w:val="0"/>
              <w:spacing w:line="360" w:lineRule="auto"/>
              <w:rPr>
                <w:rFonts w:ascii="宋体" w:hAnsi="宋体" w:cs="宋体"/>
                <w:color w:val="auto"/>
                <w:sz w:val="24"/>
                <w:szCs w:val="24"/>
                <w:highlight w:val="none"/>
              </w:rPr>
            </w:pPr>
          </w:p>
        </w:tc>
      </w:tr>
      <w:tr w14:paraId="0129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top"/>
          </w:tcPr>
          <w:p w14:paraId="0D7BC912">
            <w:pPr>
              <w:tabs>
                <w:tab w:val="left" w:pos="720"/>
              </w:tabs>
              <w:snapToGrid w:val="0"/>
              <w:spacing w:line="360" w:lineRule="auto"/>
              <w:rPr>
                <w:rFonts w:ascii="宋体" w:hAnsi="宋体" w:cs="宋体"/>
                <w:color w:val="auto"/>
                <w:sz w:val="24"/>
                <w:szCs w:val="24"/>
                <w:highlight w:val="none"/>
              </w:rPr>
            </w:pPr>
          </w:p>
        </w:tc>
        <w:tc>
          <w:tcPr>
            <w:tcW w:w="1817" w:type="dxa"/>
            <w:noWrap w:val="0"/>
            <w:vAlign w:val="top"/>
          </w:tcPr>
          <w:p w14:paraId="48C81308">
            <w:pPr>
              <w:tabs>
                <w:tab w:val="left" w:pos="720"/>
              </w:tabs>
              <w:snapToGrid w:val="0"/>
              <w:spacing w:line="360" w:lineRule="auto"/>
              <w:rPr>
                <w:rFonts w:ascii="宋体" w:hAnsi="宋体" w:cs="宋体"/>
                <w:color w:val="auto"/>
                <w:sz w:val="24"/>
                <w:szCs w:val="24"/>
                <w:highlight w:val="none"/>
              </w:rPr>
            </w:pPr>
          </w:p>
        </w:tc>
        <w:tc>
          <w:tcPr>
            <w:tcW w:w="1701" w:type="dxa"/>
            <w:noWrap w:val="0"/>
            <w:vAlign w:val="top"/>
          </w:tcPr>
          <w:p w14:paraId="56F789BE">
            <w:pPr>
              <w:tabs>
                <w:tab w:val="left" w:pos="720"/>
              </w:tabs>
              <w:snapToGrid w:val="0"/>
              <w:spacing w:line="360" w:lineRule="auto"/>
              <w:rPr>
                <w:rFonts w:ascii="宋体" w:hAnsi="宋体" w:cs="宋体"/>
                <w:color w:val="auto"/>
                <w:sz w:val="24"/>
                <w:szCs w:val="24"/>
                <w:highlight w:val="none"/>
              </w:rPr>
            </w:pPr>
          </w:p>
        </w:tc>
        <w:tc>
          <w:tcPr>
            <w:tcW w:w="1418" w:type="dxa"/>
            <w:noWrap w:val="0"/>
            <w:vAlign w:val="top"/>
          </w:tcPr>
          <w:p w14:paraId="4DFBB8B6">
            <w:pPr>
              <w:tabs>
                <w:tab w:val="left" w:pos="720"/>
              </w:tabs>
              <w:snapToGrid w:val="0"/>
              <w:spacing w:line="360" w:lineRule="auto"/>
              <w:rPr>
                <w:rFonts w:ascii="宋体" w:hAnsi="宋体" w:cs="宋体"/>
                <w:color w:val="auto"/>
                <w:sz w:val="24"/>
                <w:szCs w:val="24"/>
                <w:highlight w:val="none"/>
              </w:rPr>
            </w:pPr>
          </w:p>
        </w:tc>
        <w:tc>
          <w:tcPr>
            <w:tcW w:w="1275" w:type="dxa"/>
            <w:noWrap w:val="0"/>
            <w:vAlign w:val="top"/>
          </w:tcPr>
          <w:p w14:paraId="36722DB7">
            <w:pPr>
              <w:tabs>
                <w:tab w:val="left" w:pos="720"/>
              </w:tabs>
              <w:snapToGrid w:val="0"/>
              <w:spacing w:line="360" w:lineRule="auto"/>
              <w:rPr>
                <w:rFonts w:ascii="宋体" w:hAnsi="宋体" w:cs="宋体"/>
                <w:color w:val="auto"/>
                <w:sz w:val="24"/>
                <w:szCs w:val="24"/>
                <w:highlight w:val="none"/>
              </w:rPr>
            </w:pPr>
          </w:p>
        </w:tc>
        <w:tc>
          <w:tcPr>
            <w:tcW w:w="1930" w:type="dxa"/>
            <w:noWrap w:val="0"/>
            <w:vAlign w:val="top"/>
          </w:tcPr>
          <w:p w14:paraId="7C611943">
            <w:pPr>
              <w:tabs>
                <w:tab w:val="left" w:pos="720"/>
              </w:tabs>
              <w:snapToGrid w:val="0"/>
              <w:spacing w:line="360" w:lineRule="auto"/>
              <w:rPr>
                <w:rFonts w:ascii="宋体" w:hAnsi="宋体" w:cs="宋体"/>
                <w:color w:val="auto"/>
                <w:sz w:val="24"/>
                <w:szCs w:val="24"/>
                <w:highlight w:val="none"/>
              </w:rPr>
            </w:pPr>
          </w:p>
        </w:tc>
      </w:tr>
      <w:tr w14:paraId="03B0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top"/>
          </w:tcPr>
          <w:p w14:paraId="617BF007">
            <w:pPr>
              <w:tabs>
                <w:tab w:val="left" w:pos="720"/>
              </w:tabs>
              <w:snapToGrid w:val="0"/>
              <w:spacing w:line="360" w:lineRule="auto"/>
              <w:rPr>
                <w:rFonts w:ascii="宋体" w:hAnsi="宋体" w:cs="宋体"/>
                <w:color w:val="auto"/>
                <w:sz w:val="24"/>
                <w:szCs w:val="24"/>
                <w:highlight w:val="none"/>
              </w:rPr>
            </w:pPr>
          </w:p>
        </w:tc>
        <w:tc>
          <w:tcPr>
            <w:tcW w:w="1817" w:type="dxa"/>
            <w:noWrap w:val="0"/>
            <w:vAlign w:val="top"/>
          </w:tcPr>
          <w:p w14:paraId="0415C612">
            <w:pPr>
              <w:tabs>
                <w:tab w:val="left" w:pos="720"/>
              </w:tabs>
              <w:snapToGrid w:val="0"/>
              <w:spacing w:line="360" w:lineRule="auto"/>
              <w:rPr>
                <w:rFonts w:ascii="宋体" w:hAnsi="宋体" w:cs="宋体"/>
                <w:color w:val="auto"/>
                <w:sz w:val="24"/>
                <w:szCs w:val="24"/>
                <w:highlight w:val="none"/>
              </w:rPr>
            </w:pPr>
          </w:p>
        </w:tc>
        <w:tc>
          <w:tcPr>
            <w:tcW w:w="1701" w:type="dxa"/>
            <w:noWrap w:val="0"/>
            <w:vAlign w:val="top"/>
          </w:tcPr>
          <w:p w14:paraId="3D5B4C08">
            <w:pPr>
              <w:tabs>
                <w:tab w:val="left" w:pos="720"/>
              </w:tabs>
              <w:snapToGrid w:val="0"/>
              <w:spacing w:line="360" w:lineRule="auto"/>
              <w:rPr>
                <w:rFonts w:ascii="宋体" w:hAnsi="宋体" w:cs="宋体"/>
                <w:color w:val="auto"/>
                <w:sz w:val="24"/>
                <w:szCs w:val="24"/>
                <w:highlight w:val="none"/>
              </w:rPr>
            </w:pPr>
          </w:p>
        </w:tc>
        <w:tc>
          <w:tcPr>
            <w:tcW w:w="1418" w:type="dxa"/>
            <w:noWrap w:val="0"/>
            <w:vAlign w:val="top"/>
          </w:tcPr>
          <w:p w14:paraId="41612F70">
            <w:pPr>
              <w:tabs>
                <w:tab w:val="left" w:pos="720"/>
              </w:tabs>
              <w:snapToGrid w:val="0"/>
              <w:spacing w:line="360" w:lineRule="auto"/>
              <w:rPr>
                <w:rFonts w:ascii="宋体" w:hAnsi="宋体" w:cs="宋体"/>
                <w:color w:val="auto"/>
                <w:sz w:val="24"/>
                <w:szCs w:val="24"/>
                <w:highlight w:val="none"/>
              </w:rPr>
            </w:pPr>
          </w:p>
        </w:tc>
        <w:tc>
          <w:tcPr>
            <w:tcW w:w="1275" w:type="dxa"/>
            <w:noWrap w:val="0"/>
            <w:vAlign w:val="top"/>
          </w:tcPr>
          <w:p w14:paraId="05182A0F">
            <w:pPr>
              <w:tabs>
                <w:tab w:val="left" w:pos="720"/>
              </w:tabs>
              <w:snapToGrid w:val="0"/>
              <w:spacing w:line="360" w:lineRule="auto"/>
              <w:rPr>
                <w:rFonts w:ascii="宋体" w:hAnsi="宋体" w:cs="宋体"/>
                <w:color w:val="auto"/>
                <w:sz w:val="24"/>
                <w:szCs w:val="24"/>
                <w:highlight w:val="none"/>
              </w:rPr>
            </w:pPr>
          </w:p>
        </w:tc>
        <w:tc>
          <w:tcPr>
            <w:tcW w:w="1930" w:type="dxa"/>
            <w:noWrap w:val="0"/>
            <w:vAlign w:val="top"/>
          </w:tcPr>
          <w:p w14:paraId="0DD77FAD">
            <w:pPr>
              <w:tabs>
                <w:tab w:val="left" w:pos="720"/>
              </w:tabs>
              <w:snapToGrid w:val="0"/>
              <w:spacing w:line="360" w:lineRule="auto"/>
              <w:rPr>
                <w:rFonts w:ascii="宋体" w:hAnsi="宋体" w:cs="宋体"/>
                <w:color w:val="auto"/>
                <w:sz w:val="24"/>
                <w:szCs w:val="24"/>
                <w:highlight w:val="none"/>
              </w:rPr>
            </w:pPr>
          </w:p>
        </w:tc>
      </w:tr>
    </w:tbl>
    <w:p w14:paraId="2731A62C">
      <w:pPr>
        <w:tabs>
          <w:tab w:val="left" w:pos="720"/>
        </w:tabs>
        <w:snapToGrid w:val="0"/>
        <w:spacing w:line="360" w:lineRule="auto"/>
        <w:rPr>
          <w:rFonts w:ascii="宋体" w:hAnsi="宋体" w:cs="宋体"/>
          <w:color w:val="auto"/>
          <w:szCs w:val="20"/>
          <w:highlight w:val="none"/>
        </w:rPr>
      </w:pPr>
    </w:p>
    <w:p w14:paraId="315D7608">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注：投标人需根据评分标准提供相应证明材料。</w:t>
      </w:r>
    </w:p>
    <w:p w14:paraId="23109C6A">
      <w:pPr>
        <w:topLinePunct/>
        <w:adjustRightInd w:val="0"/>
        <w:snapToGrid w:val="0"/>
        <w:spacing w:line="360" w:lineRule="auto"/>
        <w:ind w:firstLine="3779" w:firstLineChars="1524"/>
        <w:rPr>
          <w:rFonts w:ascii="宋体" w:hAnsi="宋体" w:cs="宋体"/>
          <w:snapToGrid w:val="0"/>
          <w:color w:val="auto"/>
          <w:spacing w:val="4"/>
          <w:kern w:val="0"/>
          <w:sz w:val="24"/>
          <w:szCs w:val="24"/>
          <w:highlight w:val="none"/>
        </w:rPr>
      </w:pPr>
    </w:p>
    <w:p w14:paraId="48ACE6FA">
      <w:pPr>
        <w:topLinePunct/>
        <w:adjustRightInd w:val="0"/>
        <w:snapToGrid w:val="0"/>
        <w:spacing w:line="360" w:lineRule="auto"/>
        <w:ind w:firstLine="3779" w:firstLineChars="1524"/>
        <w:rPr>
          <w:rFonts w:ascii="宋体" w:hAnsi="宋体" w:cs="宋体"/>
          <w:snapToGrid w:val="0"/>
          <w:color w:val="auto"/>
          <w:spacing w:val="4"/>
          <w:kern w:val="0"/>
          <w:sz w:val="24"/>
          <w:szCs w:val="24"/>
          <w:highlight w:val="none"/>
        </w:rPr>
      </w:pPr>
    </w:p>
    <w:p w14:paraId="645DDB96">
      <w:pPr>
        <w:topLinePunct/>
        <w:adjustRightInd w:val="0"/>
        <w:snapToGrid w:val="0"/>
        <w:spacing w:line="360" w:lineRule="auto"/>
        <w:ind w:firstLine="4815" w:firstLineChars="1524"/>
        <w:rPr>
          <w:rFonts w:ascii="宋体" w:hAnsi="宋体" w:cs="宋体"/>
          <w:snapToGrid w:val="0"/>
          <w:color w:val="auto"/>
          <w:spacing w:val="4"/>
          <w:kern w:val="0"/>
          <w:sz w:val="24"/>
          <w:szCs w:val="24"/>
          <w:highlight w:val="none"/>
        </w:rPr>
      </w:pPr>
      <w:r>
        <w:rPr>
          <w:rFonts w:hint="eastAsia" w:ascii="宋体" w:hAnsi="宋体" w:cs="宋体"/>
          <w:color w:val="auto"/>
          <w:spacing w:val="18"/>
          <w:sz w:val="28"/>
          <w:szCs w:val="28"/>
          <w:highlight w:val="none"/>
        </w:rPr>
        <w:t xml:space="preserve"> </w:t>
      </w:r>
      <w:r>
        <w:rPr>
          <w:rFonts w:hint="eastAsia" w:ascii="宋体" w:hAnsi="宋体" w:eastAsia="宋体" w:cs="宋体"/>
          <w:color w:val="auto"/>
          <w:spacing w:val="0"/>
          <w:kern w:val="2"/>
          <w:sz w:val="24"/>
          <w:szCs w:val="24"/>
          <w:highlight w:val="none"/>
        </w:rPr>
        <w:t xml:space="preserve">投标人名称：            </w:t>
      </w:r>
    </w:p>
    <w:p w14:paraId="6099567A">
      <w:pPr>
        <w:spacing w:after="120" w:line="360" w:lineRule="auto"/>
        <w:ind w:firstLine="3895" w:firstLineChars="1623"/>
        <w:rPr>
          <w:rFonts w:ascii="宋体" w:hAnsi="宋体" w:cs="宋体"/>
          <w:color w:val="auto"/>
          <w:sz w:val="24"/>
          <w:szCs w:val="24"/>
          <w:highlight w:val="none"/>
        </w:rPr>
      </w:pPr>
      <w:r>
        <w:rPr>
          <w:rFonts w:hint="eastAsia" w:ascii="宋体" w:hAnsi="宋体" w:cs="宋体"/>
          <w:color w:val="auto"/>
          <w:sz w:val="24"/>
          <w:szCs w:val="24"/>
          <w:highlight w:val="none"/>
        </w:rPr>
        <w:t>日   期：     年    月    日</w:t>
      </w:r>
    </w:p>
    <w:p w14:paraId="20D9795E">
      <w:pPr>
        <w:widowControl/>
        <w:jc w:val="left"/>
        <w:rPr>
          <w:rFonts w:ascii="宋体" w:hAnsi="宋体"/>
          <w:snapToGrid w:val="0"/>
          <w:color w:val="auto"/>
          <w:spacing w:val="4"/>
          <w:sz w:val="24"/>
          <w:szCs w:val="24"/>
          <w:highlight w:val="none"/>
        </w:rPr>
      </w:pPr>
    </w:p>
    <w:p w14:paraId="4C80AAC8">
      <w:pPr>
        <w:jc w:val="center"/>
        <w:rPr>
          <w:rFonts w:hint="eastAsia" w:ascii="宋体" w:hAnsi="宋体" w:cs="宋体"/>
          <w:b/>
          <w:color w:val="auto"/>
          <w:sz w:val="24"/>
          <w:szCs w:val="24"/>
          <w:highlight w:val="none"/>
        </w:rPr>
      </w:pPr>
      <w:r>
        <w:rPr>
          <w:color w:val="auto"/>
          <w:highlight w:val="none"/>
        </w:rPr>
        <w:br w:type="page"/>
      </w:r>
      <w:r>
        <w:rPr>
          <w:rFonts w:ascii="宋体" w:hAnsi="宋体" w:cs="宋体"/>
          <w:b/>
          <w:color w:val="auto"/>
          <w:sz w:val="24"/>
          <w:szCs w:val="24"/>
          <w:highlight w:val="none"/>
        </w:rPr>
        <w:t>企业获奖业绩表</w:t>
      </w:r>
    </w:p>
    <w:p w14:paraId="1234C3DB">
      <w:pPr>
        <w:pStyle w:val="7"/>
        <w:rPr>
          <w:color w:val="auto"/>
          <w:highlight w:val="none"/>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681"/>
        <w:gridCol w:w="1502"/>
        <w:gridCol w:w="2226"/>
      </w:tblGrid>
      <w:tr w14:paraId="0D17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41A28A66">
            <w:pPr>
              <w:jc w:val="center"/>
              <w:rPr>
                <w:b/>
                <w:color w:val="auto"/>
                <w:sz w:val="24"/>
                <w:szCs w:val="24"/>
                <w:highlight w:val="none"/>
              </w:rPr>
            </w:pPr>
            <w:r>
              <w:rPr>
                <w:rFonts w:hint="eastAsia" w:ascii="宋体" w:hAnsi="宋体" w:cs="宋体"/>
                <w:b/>
                <w:color w:val="auto"/>
                <w:sz w:val="24"/>
                <w:szCs w:val="24"/>
                <w:highlight w:val="none"/>
                <w:lang w:bidi="ar"/>
              </w:rPr>
              <w:t>序号</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7E8CC787">
            <w:pPr>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130A2F98">
            <w:pPr>
              <w:jc w:val="center"/>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6C2EDF3">
            <w:pPr>
              <w:jc w:val="center"/>
              <w:rPr>
                <w:rFonts w:ascii="宋体" w:hAnsi="宋体" w:cs="宋体"/>
                <w:color w:val="auto"/>
                <w:sz w:val="24"/>
                <w:szCs w:val="24"/>
                <w:highlight w:val="none"/>
              </w:rPr>
            </w:pPr>
            <w:r>
              <w:rPr>
                <w:rFonts w:hint="eastAsia" w:ascii="宋体" w:hAnsi="宋体" w:cs="宋体"/>
                <w:color w:val="auto"/>
                <w:sz w:val="24"/>
                <w:szCs w:val="24"/>
                <w:highlight w:val="none"/>
              </w:rPr>
              <w:t>所获奖项</w:t>
            </w:r>
          </w:p>
        </w:tc>
      </w:tr>
      <w:tr w14:paraId="521B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B0CC243">
            <w:pPr>
              <w:jc w:val="center"/>
              <w:rPr>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13161248">
            <w:pPr>
              <w:jc w:val="center"/>
              <w:rPr>
                <w:color w:val="auto"/>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AE84E33">
            <w:pPr>
              <w:jc w:val="center"/>
              <w:rPr>
                <w:color w:val="auto"/>
                <w:sz w:val="24"/>
                <w:szCs w:val="24"/>
                <w:highlight w:val="none"/>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5E06162">
            <w:pPr>
              <w:jc w:val="center"/>
              <w:rPr>
                <w:color w:val="auto"/>
                <w:sz w:val="24"/>
                <w:szCs w:val="24"/>
                <w:highlight w:val="none"/>
              </w:rPr>
            </w:pPr>
          </w:p>
        </w:tc>
      </w:tr>
      <w:tr w14:paraId="78B4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2A5D3E33">
            <w:pPr>
              <w:jc w:val="center"/>
              <w:rPr>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03A9ACFE">
            <w:pPr>
              <w:jc w:val="center"/>
              <w:rPr>
                <w:color w:val="auto"/>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7899E0D8">
            <w:pPr>
              <w:jc w:val="center"/>
              <w:rPr>
                <w:color w:val="auto"/>
                <w:sz w:val="24"/>
                <w:szCs w:val="24"/>
                <w:highlight w:val="none"/>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14:paraId="70A30439">
            <w:pPr>
              <w:jc w:val="center"/>
              <w:rPr>
                <w:color w:val="auto"/>
                <w:sz w:val="24"/>
                <w:szCs w:val="24"/>
                <w:highlight w:val="none"/>
              </w:rPr>
            </w:pPr>
          </w:p>
        </w:tc>
      </w:tr>
      <w:tr w14:paraId="0F5C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5E56A58">
            <w:pPr>
              <w:jc w:val="center"/>
              <w:rPr>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18E1A64B">
            <w:pPr>
              <w:jc w:val="center"/>
              <w:rPr>
                <w:color w:val="auto"/>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CE57723">
            <w:pPr>
              <w:jc w:val="center"/>
              <w:rPr>
                <w:color w:val="auto"/>
                <w:sz w:val="24"/>
                <w:szCs w:val="24"/>
                <w:highlight w:val="none"/>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14:paraId="02D08237">
            <w:pPr>
              <w:jc w:val="center"/>
              <w:rPr>
                <w:color w:val="auto"/>
                <w:sz w:val="24"/>
                <w:szCs w:val="24"/>
                <w:highlight w:val="none"/>
              </w:rPr>
            </w:pPr>
          </w:p>
        </w:tc>
      </w:tr>
    </w:tbl>
    <w:p w14:paraId="1E99CE49">
      <w:pPr>
        <w:spacing w:line="273" w:lineRule="auto"/>
        <w:ind w:firstLine="424" w:firstLineChars="202"/>
        <w:jc w:val="left"/>
        <w:rPr>
          <w:rFonts w:cs="宋体"/>
          <w:color w:val="auto"/>
          <w:szCs w:val="21"/>
          <w:highlight w:val="none"/>
        </w:rPr>
      </w:pPr>
      <w:r>
        <w:rPr>
          <w:rFonts w:hint="eastAsia" w:cs="宋体"/>
          <w:color w:val="auto"/>
          <w:szCs w:val="21"/>
          <w:highlight w:val="none"/>
          <w:lang w:bidi="ar"/>
        </w:rPr>
        <w:t xml:space="preserve"> </w:t>
      </w:r>
    </w:p>
    <w:p w14:paraId="77993B25">
      <w:pPr>
        <w:spacing w:line="360" w:lineRule="auto"/>
        <w:ind w:firstLine="484" w:firstLineChars="202"/>
        <w:jc w:val="left"/>
        <w:rPr>
          <w:color w:val="auto"/>
          <w:sz w:val="24"/>
          <w:szCs w:val="24"/>
          <w:highlight w:val="none"/>
        </w:rPr>
      </w:pPr>
      <w:r>
        <w:rPr>
          <w:rFonts w:hint="eastAsia" w:ascii="宋体" w:hAnsi="宋体" w:cs="宋体"/>
          <w:color w:val="auto"/>
          <w:sz w:val="24"/>
          <w:szCs w:val="24"/>
          <w:highlight w:val="none"/>
          <w:lang w:bidi="ar"/>
        </w:rPr>
        <w:t>注：按技术标详细审查的评审要求提供证明材料，如无符合要求的企业获奖业绩的，在项目栏中填写“无”。</w:t>
      </w:r>
    </w:p>
    <w:p w14:paraId="4958E10A">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lang w:bidi="ar"/>
        </w:rPr>
        <w:t xml:space="preserve"> </w:t>
      </w:r>
    </w:p>
    <w:p w14:paraId="1F9223B4">
      <w:pPr>
        <w:ind w:firstLine="3734"/>
        <w:rPr>
          <w:rFonts w:hint="eastAsia" w:ascii="宋体" w:hAnsi="宋体" w:cs="宋体"/>
          <w:color w:val="auto"/>
          <w:spacing w:val="4"/>
          <w:kern w:val="0"/>
          <w:sz w:val="24"/>
          <w:szCs w:val="24"/>
          <w:highlight w:val="none"/>
          <w:lang w:bidi="ar"/>
        </w:rPr>
      </w:pPr>
      <w:r>
        <w:rPr>
          <w:rFonts w:hint="eastAsia" w:ascii="宋体" w:hAnsi="宋体" w:cs="宋体"/>
          <w:color w:val="auto"/>
          <w:spacing w:val="18"/>
          <w:sz w:val="28"/>
          <w:szCs w:val="28"/>
          <w:highlight w:val="none"/>
        </w:rPr>
        <w:t xml:space="preserve"> </w:t>
      </w:r>
      <w:r>
        <w:rPr>
          <w:rFonts w:hint="eastAsia" w:ascii="宋体" w:hAnsi="宋体" w:eastAsia="宋体" w:cs="宋体"/>
          <w:color w:val="auto"/>
          <w:spacing w:val="0"/>
          <w:kern w:val="2"/>
          <w:sz w:val="24"/>
          <w:szCs w:val="24"/>
          <w:highlight w:val="none"/>
        </w:rPr>
        <w:t xml:space="preserve">投标人名称：            </w:t>
      </w:r>
    </w:p>
    <w:p w14:paraId="0EFD6A29">
      <w:pPr>
        <w:ind w:firstLine="3734"/>
        <w:rPr>
          <w:rFonts w:hint="eastAsia" w:ascii="宋体" w:hAnsi="宋体" w:cs="宋体"/>
          <w:color w:val="auto"/>
          <w:highlight w:val="none"/>
        </w:rPr>
      </w:pPr>
      <w:r>
        <w:rPr>
          <w:rFonts w:hint="eastAsia" w:ascii="宋体" w:hAnsi="宋体" w:cs="宋体"/>
          <w:color w:val="auto"/>
          <w:spacing w:val="4"/>
          <w:kern w:val="0"/>
          <w:sz w:val="24"/>
          <w:szCs w:val="24"/>
          <w:highlight w:val="none"/>
          <w:lang w:bidi="ar"/>
        </w:rPr>
        <w:t>日   期：     年    月    日</w:t>
      </w:r>
    </w:p>
    <w:p w14:paraId="4F3EBAA8">
      <w:pPr>
        <w:pStyle w:val="49"/>
        <w:ind w:firstLine="0"/>
        <w:rPr>
          <w:rFonts w:hint="eastAsia"/>
          <w:color w:val="auto"/>
          <w:highlight w:val="none"/>
        </w:rPr>
      </w:pPr>
    </w:p>
    <w:p w14:paraId="093B9268">
      <w:pPr>
        <w:pStyle w:val="5"/>
        <w:rPr>
          <w:rFonts w:hint="eastAsia" w:cs="宋体"/>
          <w:b/>
          <w:bCs/>
          <w:color w:val="auto"/>
          <w:sz w:val="24"/>
          <w:szCs w:val="24"/>
          <w:highlight w:val="none"/>
        </w:rPr>
      </w:pPr>
      <w:r>
        <w:rPr>
          <w:rFonts w:hint="eastAsia" w:cs="宋体"/>
          <w:color w:val="auto"/>
          <w:highlight w:val="none"/>
        </w:rPr>
        <w:br w:type="page"/>
      </w:r>
      <w:bookmarkEnd w:id="70"/>
      <w:bookmarkStart w:id="95" w:name="_Toc100130494"/>
      <w:bookmarkStart w:id="96" w:name="_Toc60070630"/>
      <w:bookmarkStart w:id="97" w:name="_Toc58838602"/>
      <w:bookmarkStart w:id="98" w:name="_Toc60070625"/>
      <w:r>
        <w:rPr>
          <w:rFonts w:hint="eastAsia"/>
          <w:color w:val="auto"/>
          <w:highlight w:val="none"/>
          <w:lang w:eastAsia="zh-CN"/>
        </w:rPr>
        <w:t>格式十四</w:t>
      </w:r>
      <w:r>
        <w:rPr>
          <w:rFonts w:hint="eastAsia"/>
          <w:color w:val="auto"/>
          <w:highlight w:val="none"/>
        </w:rPr>
        <w:t>：</w:t>
      </w:r>
      <w:bookmarkEnd w:id="95"/>
      <w:bookmarkEnd w:id="96"/>
    </w:p>
    <w:p w14:paraId="721F5748">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危险性较大的分部分项工程安全管理措施</w:t>
      </w:r>
      <w:bookmarkEnd w:id="97"/>
    </w:p>
    <w:p w14:paraId="177BA626">
      <w:pPr>
        <w:numPr>
          <w:ilvl w:val="0"/>
          <w:numId w:val="3"/>
        </w:numPr>
        <w:autoSpaceDE w:val="0"/>
        <w:autoSpaceDN w:val="0"/>
        <w:adjustRightInd w:val="0"/>
        <w:spacing w:line="360" w:lineRule="auto"/>
        <w:jc w:val="left"/>
        <w:rPr>
          <w:rFonts w:hint="eastAsia" w:ascii="宋体" w:hAnsi="宋体" w:cs="宋体"/>
          <w:snapToGrid w:val="0"/>
          <w:color w:val="auto"/>
          <w:spacing w:val="4"/>
          <w:kern w:val="0"/>
          <w:sz w:val="24"/>
          <w:szCs w:val="24"/>
          <w:highlight w:val="none"/>
        </w:rPr>
      </w:pPr>
      <w:r>
        <w:rPr>
          <w:rFonts w:hint="eastAsia" w:ascii="宋体" w:hAnsi="宋体" w:cs="宋体"/>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55092C7A">
      <w:pPr>
        <w:numPr>
          <w:ilvl w:val="0"/>
          <w:numId w:val="3"/>
        </w:numPr>
        <w:autoSpaceDE w:val="0"/>
        <w:autoSpaceDN w:val="0"/>
        <w:adjustRightInd w:val="0"/>
        <w:spacing w:line="360" w:lineRule="auto"/>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s="宋体"/>
          <w:color w:val="auto"/>
          <w:sz w:val="24"/>
          <w:szCs w:val="36"/>
          <w:highlight w:val="none"/>
        </w:rPr>
        <w:t>√”标识。</w:t>
      </w:r>
    </w:p>
    <w:p w14:paraId="549C91D9">
      <w:pPr>
        <w:numPr>
          <w:ilvl w:val="0"/>
          <w:numId w:val="4"/>
        </w:numPr>
        <w:autoSpaceDE w:val="0"/>
        <w:autoSpaceDN w:val="0"/>
        <w:adjustRightInd w:val="0"/>
        <w:spacing w:line="360" w:lineRule="auto"/>
        <w:jc w:val="left"/>
        <w:rPr>
          <w:rFonts w:hint="eastAsia" w:ascii="宋体" w:hAnsi="宋体" w:cs="宋体"/>
          <w:color w:val="auto"/>
          <w:sz w:val="24"/>
          <w:szCs w:val="36"/>
          <w:highlight w:val="none"/>
        </w:rPr>
      </w:pPr>
      <w:r>
        <w:rPr>
          <w:rFonts w:hint="eastAsia" w:ascii="宋体" w:hAnsi="宋体" w:cs="宋体"/>
          <w:color w:val="auto"/>
          <w:sz w:val="24"/>
          <w:szCs w:val="28"/>
          <w:highlight w:val="none"/>
        </w:rPr>
        <w:t>投标单位同意招标人在清单中标识的该项请在对应项打“</w:t>
      </w:r>
      <w:r>
        <w:rPr>
          <w:rFonts w:hint="eastAsia" w:ascii="宋体" w:hAnsi="宋体" w:cs="宋体"/>
          <w:color w:val="auto"/>
          <w:sz w:val="24"/>
          <w:szCs w:val="36"/>
          <w:highlight w:val="none"/>
        </w:rPr>
        <w:t>√”标识，并在投标文件中提供相应的安全管理措施。</w:t>
      </w:r>
    </w:p>
    <w:p w14:paraId="7B791DF4">
      <w:pPr>
        <w:numPr>
          <w:ilvl w:val="0"/>
          <w:numId w:val="4"/>
        </w:numPr>
        <w:autoSpaceDE w:val="0"/>
        <w:autoSpaceDN w:val="0"/>
        <w:adjustRightInd w:val="0"/>
        <w:spacing w:line="360" w:lineRule="auto"/>
        <w:jc w:val="left"/>
        <w:rPr>
          <w:rFonts w:hint="eastAsia" w:ascii="宋体" w:hAnsi="宋体" w:cs="宋体"/>
          <w:color w:val="auto"/>
          <w:sz w:val="24"/>
          <w:szCs w:val="36"/>
          <w:highlight w:val="none"/>
        </w:rPr>
      </w:pPr>
      <w:r>
        <w:rPr>
          <w:rFonts w:hint="eastAsia" w:ascii="宋体" w:hAnsi="宋体" w:cs="宋体"/>
          <w:color w:val="auto"/>
          <w:sz w:val="24"/>
          <w:szCs w:val="28"/>
          <w:highlight w:val="none"/>
        </w:rPr>
        <w:t>投标单位对清单中认为需要补充的该项请在对应项打“</w:t>
      </w:r>
      <w:r>
        <w:rPr>
          <w:rFonts w:hint="eastAsia" w:ascii="宋体" w:hAnsi="宋体" w:cs="宋体"/>
          <w:color w:val="auto"/>
          <w:sz w:val="24"/>
          <w:szCs w:val="36"/>
          <w:highlight w:val="none"/>
        </w:rPr>
        <w:t>√”标识，并在投标文件中提供相应的安全管理措施。</w:t>
      </w:r>
    </w:p>
    <w:p w14:paraId="12DECFD7">
      <w:pPr>
        <w:numPr>
          <w:ilvl w:val="0"/>
          <w:numId w:val="4"/>
        </w:numPr>
        <w:autoSpaceDE w:val="0"/>
        <w:autoSpaceDN w:val="0"/>
        <w:adjustRightInd w:val="0"/>
        <w:spacing w:line="360" w:lineRule="auto"/>
        <w:jc w:val="left"/>
        <w:rPr>
          <w:rFonts w:hint="eastAsia" w:ascii="宋体" w:hAnsi="宋体" w:cs="宋体"/>
          <w:color w:val="auto"/>
          <w:sz w:val="24"/>
          <w:szCs w:val="28"/>
          <w:highlight w:val="none"/>
        </w:rPr>
      </w:pPr>
      <w:r>
        <w:rPr>
          <w:rFonts w:hint="eastAsia" w:ascii="宋体" w:hAnsi="宋体" w:cs="宋体"/>
          <w:color w:val="auto"/>
          <w:sz w:val="24"/>
          <w:szCs w:val="36"/>
          <w:highlight w:val="none"/>
        </w:rPr>
        <w:t>投标单位不同意招标人</w:t>
      </w:r>
      <w:r>
        <w:rPr>
          <w:rFonts w:hint="eastAsia" w:ascii="宋体" w:hAnsi="宋体" w:cs="宋体"/>
          <w:color w:val="auto"/>
          <w:sz w:val="24"/>
          <w:szCs w:val="28"/>
          <w:highlight w:val="none"/>
        </w:rPr>
        <w:t>在清单中标识的该项</w:t>
      </w:r>
      <w:r>
        <w:rPr>
          <w:rFonts w:hint="eastAsia" w:ascii="宋体" w:hAnsi="宋体" w:cs="宋体"/>
          <w:color w:val="auto"/>
          <w:sz w:val="24"/>
          <w:szCs w:val="36"/>
          <w:highlight w:val="none"/>
        </w:rPr>
        <w:t>请在对应项打“×”标识，并在备注栏填上相关说明。</w:t>
      </w:r>
    </w:p>
    <w:p w14:paraId="613985E1">
      <w:pPr>
        <w:numPr>
          <w:ilvl w:val="0"/>
          <w:numId w:val="3"/>
        </w:numPr>
        <w:autoSpaceDE w:val="0"/>
        <w:autoSpaceDN w:val="0"/>
        <w:adjustRightInd w:val="0"/>
        <w:spacing w:line="360" w:lineRule="auto"/>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投标单位应当在投标时根据招标人提供的下述第5点清单，在投标文件中编制专项施工方案。</w:t>
      </w:r>
    </w:p>
    <w:p w14:paraId="7BD1A151">
      <w:pPr>
        <w:numPr>
          <w:ilvl w:val="0"/>
          <w:numId w:val="3"/>
        </w:numPr>
        <w:autoSpaceDE w:val="0"/>
        <w:autoSpaceDN w:val="0"/>
        <w:adjustRightInd w:val="0"/>
        <w:spacing w:line="360" w:lineRule="auto"/>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261F54EE">
      <w:pPr>
        <w:numPr>
          <w:ilvl w:val="0"/>
          <w:numId w:val="3"/>
        </w:numPr>
        <w:autoSpaceDE w:val="0"/>
        <w:autoSpaceDN w:val="0"/>
        <w:adjustRightInd w:val="0"/>
        <w:spacing w:line="360" w:lineRule="auto"/>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危险性较大的分部分项工程清单及超过一定规模的危险性较大的分部分项工程清单：</w:t>
      </w:r>
    </w:p>
    <w:p w14:paraId="3A8D495D">
      <w:pPr>
        <w:widowControl/>
        <w:jc w:val="left"/>
        <w:rPr>
          <w:rFonts w:ascii="宋体" w:hAnsi="宋体" w:cs="宋体"/>
          <w:color w:val="auto"/>
          <w:sz w:val="24"/>
          <w:szCs w:val="28"/>
          <w:highlight w:val="none"/>
        </w:rPr>
      </w:pPr>
      <w:r>
        <w:rPr>
          <w:rFonts w:hint="eastAsia" w:ascii="宋体" w:hAnsi="宋体" w:cs="宋体"/>
          <w:color w:val="auto"/>
          <w:sz w:val="24"/>
          <w:szCs w:val="28"/>
          <w:highlight w:val="none"/>
        </w:rPr>
        <w:br w:type="page"/>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5"/>
        <w:gridCol w:w="1465"/>
        <w:gridCol w:w="1465"/>
        <w:gridCol w:w="1151"/>
      </w:tblGrid>
      <w:tr w14:paraId="6F8B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791"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05F21FB2">
            <w:pPr>
              <w:spacing w:line="276" w:lineRule="auto"/>
              <w:jc w:val="center"/>
              <w:rPr>
                <w:rFonts w:ascii="宋体" w:hAnsi="宋体" w:cs="宋体"/>
                <w:b/>
                <w:color w:val="auto"/>
                <w:highlight w:val="none"/>
              </w:rPr>
            </w:pPr>
            <w:r>
              <w:rPr>
                <w:rFonts w:hint="eastAsia" w:ascii="宋体" w:hAnsi="宋体" w:cs="宋体"/>
                <w:b/>
                <w:color w:val="auto"/>
                <w:highlight w:val="none"/>
              </w:rPr>
              <w:t>危险性较大的分部分项工程清单</w:t>
            </w:r>
          </w:p>
        </w:tc>
        <w:tc>
          <w:tcPr>
            <w:tcW w:w="793" w:type="pct"/>
            <w:tcBorders>
              <w:top w:val="single" w:color="auto" w:sz="4" w:space="0"/>
              <w:left w:val="nil"/>
              <w:bottom w:val="single" w:color="auto" w:sz="4" w:space="0"/>
              <w:right w:val="single" w:color="auto" w:sz="4" w:space="0"/>
            </w:tcBorders>
            <w:shd w:val="clear" w:color="auto" w:fill="D8D8D8"/>
            <w:noWrap w:val="0"/>
            <w:vAlign w:val="center"/>
          </w:tcPr>
          <w:p w14:paraId="6BD3B64E">
            <w:pPr>
              <w:spacing w:line="276" w:lineRule="auto"/>
              <w:jc w:val="center"/>
              <w:rPr>
                <w:rFonts w:ascii="宋体" w:hAnsi="宋体" w:cs="宋体"/>
                <w:b/>
                <w:color w:val="auto"/>
                <w:highlight w:val="none"/>
              </w:rPr>
            </w:pPr>
            <w:r>
              <w:rPr>
                <w:rFonts w:hint="eastAsia" w:ascii="宋体" w:hAnsi="宋体" w:cs="宋体"/>
                <w:b/>
                <w:color w:val="auto"/>
                <w:highlight w:val="none"/>
              </w:rPr>
              <w:t>招标人</w:t>
            </w:r>
          </w:p>
        </w:tc>
        <w:tc>
          <w:tcPr>
            <w:tcW w:w="793" w:type="pct"/>
            <w:tcBorders>
              <w:top w:val="single" w:color="auto" w:sz="4" w:space="0"/>
              <w:left w:val="nil"/>
              <w:bottom w:val="single" w:color="auto" w:sz="4" w:space="0"/>
              <w:right w:val="single" w:color="auto" w:sz="4" w:space="0"/>
            </w:tcBorders>
            <w:shd w:val="clear" w:color="auto" w:fill="D8D8D8"/>
            <w:noWrap w:val="0"/>
            <w:vAlign w:val="center"/>
          </w:tcPr>
          <w:p w14:paraId="7A085117">
            <w:pPr>
              <w:spacing w:line="276" w:lineRule="auto"/>
              <w:jc w:val="center"/>
              <w:rPr>
                <w:rFonts w:ascii="宋体" w:hAnsi="宋体" w:cs="宋体"/>
                <w:b/>
                <w:color w:val="auto"/>
                <w:highlight w:val="none"/>
              </w:rPr>
            </w:pPr>
            <w:r>
              <w:rPr>
                <w:rFonts w:hint="eastAsia" w:ascii="宋体" w:hAnsi="宋体" w:cs="宋体"/>
                <w:b/>
                <w:color w:val="auto"/>
                <w:highlight w:val="none"/>
              </w:rPr>
              <w:t>投标单位</w:t>
            </w:r>
          </w:p>
        </w:tc>
        <w:tc>
          <w:tcPr>
            <w:tcW w:w="622" w:type="pct"/>
            <w:tcBorders>
              <w:top w:val="single" w:color="auto" w:sz="4" w:space="0"/>
              <w:left w:val="nil"/>
              <w:bottom w:val="single" w:color="auto" w:sz="4" w:space="0"/>
              <w:right w:val="single" w:color="auto" w:sz="4" w:space="0"/>
            </w:tcBorders>
            <w:shd w:val="clear" w:color="auto" w:fill="D8D8D8"/>
            <w:noWrap w:val="0"/>
            <w:vAlign w:val="center"/>
          </w:tcPr>
          <w:p w14:paraId="433BE761">
            <w:pPr>
              <w:spacing w:line="276" w:lineRule="auto"/>
              <w:jc w:val="center"/>
              <w:rPr>
                <w:rFonts w:ascii="宋体" w:hAnsi="宋体" w:cs="宋体"/>
                <w:b/>
                <w:color w:val="auto"/>
                <w:highlight w:val="none"/>
              </w:rPr>
            </w:pPr>
            <w:r>
              <w:rPr>
                <w:rFonts w:hint="eastAsia" w:ascii="宋体" w:hAnsi="宋体" w:cs="宋体"/>
                <w:b/>
                <w:color w:val="auto"/>
                <w:highlight w:val="none"/>
              </w:rPr>
              <w:t>备注</w:t>
            </w:r>
          </w:p>
        </w:tc>
      </w:tr>
      <w:tr w14:paraId="1270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07E6DA65">
            <w:pPr>
              <w:spacing w:line="276" w:lineRule="auto"/>
              <w:rPr>
                <w:rFonts w:ascii="宋体" w:hAnsi="宋体" w:cs="宋体"/>
                <w:b/>
                <w:color w:val="auto"/>
                <w:highlight w:val="none"/>
              </w:rPr>
            </w:pPr>
            <w:r>
              <w:rPr>
                <w:rFonts w:hint="eastAsia" w:ascii="宋体" w:hAnsi="宋体" w:cs="宋体"/>
                <w:b/>
                <w:color w:val="auto"/>
                <w:highlight w:val="none"/>
              </w:rPr>
              <w:t>一、基坑支护</w:t>
            </w:r>
          </w:p>
        </w:tc>
      </w:tr>
      <w:tr w14:paraId="2EA9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340BB2EE">
            <w:pPr>
              <w:spacing w:line="276" w:lineRule="auto"/>
              <w:rPr>
                <w:rFonts w:ascii="宋体" w:hAnsi="宋体" w:cs="宋体"/>
                <w:color w:val="auto"/>
                <w:highlight w:val="none"/>
              </w:rPr>
            </w:pPr>
            <w:r>
              <w:rPr>
                <w:rFonts w:hint="eastAsia" w:ascii="宋体" w:hAnsi="宋体" w:cs="宋体"/>
                <w:color w:val="auto"/>
                <w:highlight w:val="none"/>
              </w:rPr>
              <w:t>（一）开挖深度超过3m（含3m）的基坑（槽）的土方开挖、支护、降水工程。</w:t>
            </w:r>
          </w:p>
        </w:tc>
        <w:tc>
          <w:tcPr>
            <w:tcW w:w="793" w:type="pct"/>
            <w:tcBorders>
              <w:top w:val="single" w:color="auto" w:sz="4" w:space="0"/>
              <w:left w:val="nil"/>
              <w:bottom w:val="single" w:color="auto" w:sz="4" w:space="0"/>
              <w:right w:val="single" w:color="auto" w:sz="4" w:space="0"/>
            </w:tcBorders>
            <w:noWrap w:val="0"/>
            <w:vAlign w:val="center"/>
          </w:tcPr>
          <w:p w14:paraId="0E0DEB50">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733AA6AB">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43D06B76">
            <w:pPr>
              <w:spacing w:line="276" w:lineRule="auto"/>
              <w:jc w:val="center"/>
              <w:rPr>
                <w:rFonts w:ascii="宋体" w:hAnsi="宋体" w:cs="宋体"/>
                <w:color w:val="auto"/>
                <w:highlight w:val="none"/>
              </w:rPr>
            </w:pPr>
          </w:p>
        </w:tc>
      </w:tr>
      <w:tr w14:paraId="5B98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3E59FAF8">
            <w:pPr>
              <w:spacing w:line="276" w:lineRule="auto"/>
              <w:rPr>
                <w:rFonts w:ascii="宋体" w:hAnsi="宋体" w:cs="宋体"/>
                <w:color w:val="auto"/>
                <w:highlight w:val="none"/>
              </w:rPr>
            </w:pPr>
            <w:r>
              <w:rPr>
                <w:rFonts w:hint="eastAsia" w:ascii="宋体" w:hAnsi="宋体" w:cs="宋体"/>
                <w:color w:val="auto"/>
                <w:highlight w:val="none"/>
              </w:rPr>
              <w:t>（二）开挖深度虽未超过3m，但地质条件、周围环境和地下管线复杂，或影响毗邻建、构筑物安全的基坑（槽）的土方开挖、支护、降水工程。</w:t>
            </w:r>
          </w:p>
        </w:tc>
        <w:tc>
          <w:tcPr>
            <w:tcW w:w="793" w:type="pct"/>
            <w:tcBorders>
              <w:top w:val="single" w:color="auto" w:sz="4" w:space="0"/>
              <w:left w:val="nil"/>
              <w:bottom w:val="single" w:color="auto" w:sz="4" w:space="0"/>
              <w:right w:val="single" w:color="auto" w:sz="4" w:space="0"/>
            </w:tcBorders>
            <w:noWrap w:val="0"/>
            <w:vAlign w:val="center"/>
          </w:tcPr>
          <w:p w14:paraId="6D8882EC">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397E27B6">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625830FA">
            <w:pPr>
              <w:spacing w:line="276" w:lineRule="auto"/>
              <w:jc w:val="center"/>
              <w:rPr>
                <w:rFonts w:ascii="宋体" w:hAnsi="宋体" w:cs="宋体"/>
                <w:color w:val="auto"/>
                <w:highlight w:val="none"/>
              </w:rPr>
            </w:pPr>
          </w:p>
        </w:tc>
      </w:tr>
      <w:tr w14:paraId="739C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0440CA29">
            <w:pPr>
              <w:spacing w:line="276" w:lineRule="auto"/>
              <w:rPr>
                <w:rFonts w:ascii="宋体" w:hAnsi="宋体" w:cs="宋体"/>
                <w:color w:val="auto"/>
                <w:highlight w:val="none"/>
              </w:rPr>
            </w:pPr>
            <w:r>
              <w:rPr>
                <w:rFonts w:hint="eastAsia" w:ascii="宋体" w:hAnsi="宋体" w:cs="宋体"/>
                <w:b/>
                <w:color w:val="auto"/>
                <w:highlight w:val="none"/>
              </w:rPr>
              <w:t>二、模板工程及支撑体系</w:t>
            </w:r>
          </w:p>
        </w:tc>
      </w:tr>
      <w:tr w14:paraId="576D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67841BE3">
            <w:pPr>
              <w:spacing w:line="276" w:lineRule="auto"/>
              <w:rPr>
                <w:rFonts w:ascii="宋体" w:hAnsi="宋体" w:cs="宋体"/>
                <w:color w:val="auto"/>
                <w:highlight w:val="none"/>
              </w:rPr>
            </w:pPr>
            <w:r>
              <w:rPr>
                <w:rFonts w:hint="eastAsia" w:ascii="宋体" w:hAnsi="宋体" w:cs="宋体"/>
                <w:color w:val="auto"/>
                <w:highlight w:val="none"/>
              </w:rPr>
              <w:t>（一）各类工具式模板工程：包括滑模、爬模、飞模、隧道模等工程。</w:t>
            </w:r>
          </w:p>
        </w:tc>
        <w:tc>
          <w:tcPr>
            <w:tcW w:w="793" w:type="pct"/>
            <w:tcBorders>
              <w:top w:val="single" w:color="auto" w:sz="4" w:space="0"/>
              <w:left w:val="nil"/>
              <w:bottom w:val="single" w:color="auto" w:sz="4" w:space="0"/>
              <w:right w:val="single" w:color="auto" w:sz="4" w:space="0"/>
            </w:tcBorders>
            <w:noWrap w:val="0"/>
            <w:vAlign w:val="center"/>
          </w:tcPr>
          <w:p w14:paraId="4A8DDD67">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746A8E6A">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1BEF5A46">
            <w:pPr>
              <w:spacing w:line="276" w:lineRule="auto"/>
              <w:jc w:val="center"/>
              <w:rPr>
                <w:rFonts w:ascii="宋体" w:hAnsi="宋体" w:cs="宋体"/>
                <w:color w:val="auto"/>
                <w:highlight w:val="none"/>
              </w:rPr>
            </w:pPr>
          </w:p>
        </w:tc>
      </w:tr>
      <w:tr w14:paraId="1FDD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20EFC4C7">
            <w:pPr>
              <w:spacing w:line="276" w:lineRule="auto"/>
              <w:rPr>
                <w:rFonts w:ascii="宋体" w:hAnsi="宋体" w:cs="宋体"/>
                <w:color w:val="auto"/>
                <w:highlight w:val="none"/>
              </w:rPr>
            </w:pPr>
            <w:r>
              <w:rPr>
                <w:rFonts w:hint="eastAsia" w:ascii="宋体" w:hAnsi="宋体" w:cs="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93" w:type="pct"/>
            <w:tcBorders>
              <w:top w:val="single" w:color="auto" w:sz="4" w:space="0"/>
              <w:left w:val="nil"/>
              <w:bottom w:val="single" w:color="auto" w:sz="4" w:space="0"/>
              <w:right w:val="single" w:color="auto" w:sz="4" w:space="0"/>
            </w:tcBorders>
            <w:noWrap w:val="0"/>
            <w:vAlign w:val="center"/>
          </w:tcPr>
          <w:p w14:paraId="48031666">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1BD646CF">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71D3FF57">
            <w:pPr>
              <w:spacing w:line="276" w:lineRule="auto"/>
              <w:jc w:val="center"/>
              <w:rPr>
                <w:rFonts w:ascii="宋体" w:hAnsi="宋体" w:cs="宋体"/>
                <w:color w:val="auto"/>
                <w:highlight w:val="none"/>
              </w:rPr>
            </w:pPr>
          </w:p>
        </w:tc>
      </w:tr>
      <w:tr w14:paraId="7231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533D851E">
            <w:pPr>
              <w:widowControl/>
              <w:spacing w:line="276" w:lineRule="auto"/>
              <w:rPr>
                <w:rFonts w:ascii="宋体" w:hAnsi="宋体" w:cs="宋体"/>
                <w:color w:val="auto"/>
                <w:highlight w:val="none"/>
              </w:rPr>
            </w:pPr>
            <w:r>
              <w:rPr>
                <w:rFonts w:hint="eastAsia" w:ascii="宋体" w:hAnsi="宋体" w:cs="宋体"/>
                <w:color w:val="auto"/>
                <w:highlight w:val="none"/>
              </w:rPr>
              <w:t>（三）承重支撑体系：用于钢结构安装等满堂支撑体系。</w:t>
            </w:r>
          </w:p>
        </w:tc>
        <w:tc>
          <w:tcPr>
            <w:tcW w:w="793" w:type="pct"/>
            <w:tcBorders>
              <w:top w:val="single" w:color="auto" w:sz="4" w:space="0"/>
              <w:left w:val="nil"/>
              <w:bottom w:val="single" w:color="auto" w:sz="4" w:space="0"/>
              <w:right w:val="single" w:color="auto" w:sz="4" w:space="0"/>
            </w:tcBorders>
            <w:noWrap w:val="0"/>
            <w:vAlign w:val="center"/>
          </w:tcPr>
          <w:p w14:paraId="5215CD64">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418EB3BE">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0E33EBF8">
            <w:pPr>
              <w:spacing w:line="276" w:lineRule="auto"/>
              <w:jc w:val="center"/>
              <w:rPr>
                <w:rFonts w:ascii="宋体" w:hAnsi="宋体" w:cs="宋体"/>
                <w:color w:val="auto"/>
                <w:highlight w:val="none"/>
              </w:rPr>
            </w:pPr>
          </w:p>
        </w:tc>
      </w:tr>
      <w:tr w14:paraId="008F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DCB25C9">
            <w:pPr>
              <w:spacing w:line="276" w:lineRule="auto"/>
              <w:rPr>
                <w:rFonts w:ascii="宋体" w:hAnsi="宋体" w:cs="宋体"/>
                <w:color w:val="auto"/>
                <w:highlight w:val="none"/>
              </w:rPr>
            </w:pPr>
            <w:r>
              <w:rPr>
                <w:rFonts w:hint="eastAsia" w:ascii="宋体" w:hAnsi="宋体" w:cs="宋体"/>
                <w:b/>
                <w:color w:val="auto"/>
                <w:highlight w:val="none"/>
              </w:rPr>
              <w:t>三、起重吊装及起重机械安装拆卸工程</w:t>
            </w:r>
          </w:p>
        </w:tc>
      </w:tr>
      <w:tr w14:paraId="1D02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58C3C014">
            <w:pPr>
              <w:widowControl/>
              <w:spacing w:line="276" w:lineRule="auto"/>
              <w:rPr>
                <w:rFonts w:ascii="宋体" w:hAnsi="宋体" w:cs="宋体"/>
                <w:color w:val="auto"/>
                <w:highlight w:val="none"/>
              </w:rPr>
            </w:pPr>
            <w:r>
              <w:rPr>
                <w:rFonts w:hint="eastAsia" w:ascii="宋体" w:hAnsi="宋体" w:cs="宋体"/>
                <w:color w:val="auto"/>
                <w:highlight w:val="none"/>
              </w:rPr>
              <w:t>（一）采用非常规起重设备、方法，且单件起吊重量在10kN及以上的起重吊装工程。</w:t>
            </w:r>
          </w:p>
        </w:tc>
        <w:tc>
          <w:tcPr>
            <w:tcW w:w="793" w:type="pct"/>
            <w:tcBorders>
              <w:top w:val="single" w:color="auto" w:sz="4" w:space="0"/>
              <w:left w:val="nil"/>
              <w:bottom w:val="single" w:color="auto" w:sz="4" w:space="0"/>
              <w:right w:val="single" w:color="auto" w:sz="4" w:space="0"/>
            </w:tcBorders>
            <w:noWrap w:val="0"/>
            <w:vAlign w:val="center"/>
          </w:tcPr>
          <w:p w14:paraId="48892B90">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5F82AF7D">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6688A4E4">
            <w:pPr>
              <w:spacing w:line="276" w:lineRule="auto"/>
              <w:jc w:val="center"/>
              <w:rPr>
                <w:rFonts w:ascii="宋体" w:hAnsi="宋体" w:cs="宋体"/>
                <w:color w:val="auto"/>
                <w:highlight w:val="none"/>
              </w:rPr>
            </w:pPr>
          </w:p>
        </w:tc>
      </w:tr>
      <w:tr w14:paraId="2B7B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1BD37B67">
            <w:pPr>
              <w:spacing w:line="276" w:lineRule="auto"/>
              <w:rPr>
                <w:rFonts w:ascii="宋体" w:hAnsi="宋体" w:cs="宋体"/>
                <w:color w:val="auto"/>
                <w:highlight w:val="none"/>
              </w:rPr>
            </w:pPr>
            <w:r>
              <w:rPr>
                <w:rFonts w:hint="eastAsia" w:ascii="宋体" w:hAnsi="宋体" w:cs="宋体"/>
                <w:color w:val="auto"/>
                <w:highlight w:val="none"/>
              </w:rPr>
              <w:t>（二）采用起重机械进行安装的工程。</w:t>
            </w:r>
          </w:p>
        </w:tc>
        <w:tc>
          <w:tcPr>
            <w:tcW w:w="793" w:type="pct"/>
            <w:tcBorders>
              <w:top w:val="single" w:color="auto" w:sz="4" w:space="0"/>
              <w:left w:val="nil"/>
              <w:bottom w:val="single" w:color="auto" w:sz="4" w:space="0"/>
              <w:right w:val="single" w:color="auto" w:sz="4" w:space="0"/>
            </w:tcBorders>
            <w:noWrap w:val="0"/>
            <w:vAlign w:val="center"/>
          </w:tcPr>
          <w:p w14:paraId="7522930F">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6F897147">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79E66EE9">
            <w:pPr>
              <w:spacing w:line="276" w:lineRule="auto"/>
              <w:jc w:val="center"/>
              <w:rPr>
                <w:rFonts w:ascii="宋体" w:hAnsi="宋体" w:cs="宋体"/>
                <w:color w:val="auto"/>
                <w:highlight w:val="none"/>
              </w:rPr>
            </w:pPr>
          </w:p>
        </w:tc>
      </w:tr>
      <w:tr w14:paraId="5B5A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56B03647">
            <w:pPr>
              <w:spacing w:line="276" w:lineRule="auto"/>
              <w:rPr>
                <w:rFonts w:ascii="宋体" w:hAnsi="宋体" w:cs="宋体"/>
                <w:color w:val="auto"/>
                <w:highlight w:val="none"/>
              </w:rPr>
            </w:pPr>
            <w:r>
              <w:rPr>
                <w:rFonts w:hint="eastAsia" w:ascii="宋体" w:hAnsi="宋体" w:cs="宋体"/>
                <w:color w:val="auto"/>
                <w:highlight w:val="none"/>
              </w:rPr>
              <w:t>（三）起重机械安装和拆卸工程。</w:t>
            </w:r>
          </w:p>
        </w:tc>
        <w:tc>
          <w:tcPr>
            <w:tcW w:w="793" w:type="pct"/>
            <w:tcBorders>
              <w:top w:val="single" w:color="auto" w:sz="4" w:space="0"/>
              <w:left w:val="nil"/>
              <w:bottom w:val="single" w:color="auto" w:sz="4" w:space="0"/>
              <w:right w:val="single" w:color="auto" w:sz="4" w:space="0"/>
            </w:tcBorders>
            <w:noWrap w:val="0"/>
            <w:vAlign w:val="center"/>
          </w:tcPr>
          <w:p w14:paraId="54B9F3B9">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648BFB8D">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53C32476">
            <w:pPr>
              <w:spacing w:line="276" w:lineRule="auto"/>
              <w:jc w:val="center"/>
              <w:rPr>
                <w:rFonts w:ascii="宋体" w:hAnsi="宋体" w:cs="宋体"/>
                <w:color w:val="auto"/>
                <w:highlight w:val="none"/>
              </w:rPr>
            </w:pPr>
          </w:p>
        </w:tc>
      </w:tr>
      <w:tr w14:paraId="6973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C5835EF">
            <w:pPr>
              <w:spacing w:line="276" w:lineRule="auto"/>
              <w:rPr>
                <w:rFonts w:ascii="宋体" w:hAnsi="宋体" w:cs="宋体"/>
                <w:color w:val="auto"/>
                <w:highlight w:val="none"/>
              </w:rPr>
            </w:pPr>
            <w:r>
              <w:rPr>
                <w:rFonts w:hint="eastAsia" w:ascii="宋体" w:hAnsi="宋体" w:cs="宋体"/>
                <w:b/>
                <w:color w:val="auto"/>
                <w:highlight w:val="none"/>
              </w:rPr>
              <w:t>四、脚手架工程</w:t>
            </w:r>
          </w:p>
        </w:tc>
      </w:tr>
      <w:tr w14:paraId="34A4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073AA314">
            <w:pPr>
              <w:spacing w:line="276" w:lineRule="auto"/>
              <w:rPr>
                <w:rFonts w:ascii="宋体" w:hAnsi="宋体" w:cs="宋体"/>
                <w:color w:val="auto"/>
                <w:highlight w:val="none"/>
              </w:rPr>
            </w:pPr>
            <w:r>
              <w:rPr>
                <w:rFonts w:hint="eastAsia" w:ascii="宋体" w:hAnsi="宋体" w:cs="宋体"/>
                <w:color w:val="auto"/>
                <w:highlight w:val="none"/>
              </w:rPr>
              <w:t>（一）搭设高度24m及以上的落地式钢管脚手架工程（包括采光井、电梯井脚手架）。</w:t>
            </w:r>
          </w:p>
        </w:tc>
        <w:tc>
          <w:tcPr>
            <w:tcW w:w="793" w:type="pct"/>
            <w:tcBorders>
              <w:top w:val="single" w:color="auto" w:sz="4" w:space="0"/>
              <w:left w:val="nil"/>
              <w:bottom w:val="single" w:color="auto" w:sz="4" w:space="0"/>
              <w:right w:val="single" w:color="auto" w:sz="4" w:space="0"/>
            </w:tcBorders>
            <w:noWrap w:val="0"/>
            <w:vAlign w:val="center"/>
          </w:tcPr>
          <w:p w14:paraId="20123B80">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113DD7CE">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6FCA7F1B">
            <w:pPr>
              <w:spacing w:line="276" w:lineRule="auto"/>
              <w:jc w:val="center"/>
              <w:rPr>
                <w:rFonts w:ascii="宋体" w:hAnsi="宋体" w:cs="宋体"/>
                <w:color w:val="auto"/>
                <w:highlight w:val="none"/>
              </w:rPr>
            </w:pPr>
          </w:p>
        </w:tc>
      </w:tr>
      <w:tr w14:paraId="6C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491F90B0">
            <w:pPr>
              <w:spacing w:line="276" w:lineRule="auto"/>
              <w:rPr>
                <w:rFonts w:ascii="宋体" w:hAnsi="宋体" w:cs="宋体"/>
                <w:color w:val="auto"/>
                <w:highlight w:val="none"/>
              </w:rPr>
            </w:pPr>
            <w:r>
              <w:rPr>
                <w:rFonts w:hint="eastAsia" w:ascii="宋体" w:hAnsi="宋体" w:cs="宋体"/>
                <w:color w:val="auto"/>
                <w:highlight w:val="none"/>
              </w:rPr>
              <w:t>（二）附着式升降脚手架工程。</w:t>
            </w:r>
          </w:p>
        </w:tc>
        <w:tc>
          <w:tcPr>
            <w:tcW w:w="793" w:type="pct"/>
            <w:tcBorders>
              <w:top w:val="single" w:color="auto" w:sz="4" w:space="0"/>
              <w:left w:val="nil"/>
              <w:bottom w:val="single" w:color="auto" w:sz="4" w:space="0"/>
              <w:right w:val="single" w:color="auto" w:sz="4" w:space="0"/>
            </w:tcBorders>
            <w:noWrap w:val="0"/>
            <w:vAlign w:val="center"/>
          </w:tcPr>
          <w:p w14:paraId="7CEA2CE5">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7EA61566">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39BB547A">
            <w:pPr>
              <w:spacing w:line="276" w:lineRule="auto"/>
              <w:jc w:val="center"/>
              <w:rPr>
                <w:rFonts w:ascii="宋体" w:hAnsi="宋体" w:cs="宋体"/>
                <w:color w:val="auto"/>
                <w:highlight w:val="none"/>
              </w:rPr>
            </w:pPr>
          </w:p>
        </w:tc>
      </w:tr>
      <w:tr w14:paraId="7AF3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0B433F20">
            <w:pPr>
              <w:spacing w:line="276" w:lineRule="auto"/>
              <w:rPr>
                <w:rFonts w:ascii="宋体" w:hAnsi="宋体" w:cs="宋体"/>
                <w:color w:val="auto"/>
                <w:highlight w:val="none"/>
              </w:rPr>
            </w:pPr>
            <w:r>
              <w:rPr>
                <w:rFonts w:hint="eastAsia" w:ascii="宋体" w:hAnsi="宋体" w:cs="宋体"/>
                <w:color w:val="auto"/>
                <w:highlight w:val="none"/>
              </w:rPr>
              <w:t>（三）悬挑式脚手架工程。</w:t>
            </w:r>
          </w:p>
        </w:tc>
        <w:tc>
          <w:tcPr>
            <w:tcW w:w="793" w:type="pct"/>
            <w:tcBorders>
              <w:top w:val="single" w:color="auto" w:sz="4" w:space="0"/>
              <w:left w:val="nil"/>
              <w:bottom w:val="single" w:color="auto" w:sz="4" w:space="0"/>
              <w:right w:val="single" w:color="auto" w:sz="4" w:space="0"/>
            </w:tcBorders>
            <w:noWrap w:val="0"/>
            <w:vAlign w:val="center"/>
          </w:tcPr>
          <w:p w14:paraId="66164F0D">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727A2472">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4318BA46">
            <w:pPr>
              <w:spacing w:line="276" w:lineRule="auto"/>
              <w:jc w:val="center"/>
              <w:rPr>
                <w:rFonts w:ascii="宋体" w:hAnsi="宋体" w:cs="宋体"/>
                <w:color w:val="auto"/>
                <w:highlight w:val="none"/>
              </w:rPr>
            </w:pPr>
          </w:p>
        </w:tc>
      </w:tr>
      <w:tr w14:paraId="63D9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7ACA4A6A">
            <w:pPr>
              <w:spacing w:line="276" w:lineRule="auto"/>
              <w:rPr>
                <w:rFonts w:ascii="宋体" w:hAnsi="宋体" w:cs="宋体"/>
                <w:color w:val="auto"/>
                <w:highlight w:val="none"/>
              </w:rPr>
            </w:pPr>
            <w:r>
              <w:rPr>
                <w:rFonts w:hint="eastAsia" w:ascii="宋体" w:hAnsi="宋体" w:cs="宋体"/>
                <w:color w:val="auto"/>
                <w:highlight w:val="none"/>
              </w:rPr>
              <w:t>（四）高处作业吊篮。</w:t>
            </w:r>
          </w:p>
        </w:tc>
        <w:tc>
          <w:tcPr>
            <w:tcW w:w="793" w:type="pct"/>
            <w:tcBorders>
              <w:top w:val="single" w:color="auto" w:sz="4" w:space="0"/>
              <w:left w:val="nil"/>
              <w:bottom w:val="single" w:color="auto" w:sz="4" w:space="0"/>
              <w:right w:val="single" w:color="auto" w:sz="4" w:space="0"/>
            </w:tcBorders>
            <w:noWrap w:val="0"/>
            <w:vAlign w:val="center"/>
          </w:tcPr>
          <w:p w14:paraId="4F837830">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14D6F76F">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6D955616">
            <w:pPr>
              <w:spacing w:line="276" w:lineRule="auto"/>
              <w:jc w:val="center"/>
              <w:rPr>
                <w:rFonts w:ascii="宋体" w:hAnsi="宋体" w:cs="宋体"/>
                <w:color w:val="auto"/>
                <w:highlight w:val="none"/>
              </w:rPr>
            </w:pPr>
          </w:p>
        </w:tc>
      </w:tr>
      <w:tr w14:paraId="6D8C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16DA0B3C">
            <w:pPr>
              <w:spacing w:line="276" w:lineRule="auto"/>
              <w:rPr>
                <w:rFonts w:ascii="宋体" w:hAnsi="宋体" w:cs="宋体"/>
                <w:color w:val="auto"/>
                <w:highlight w:val="none"/>
              </w:rPr>
            </w:pPr>
            <w:r>
              <w:rPr>
                <w:rFonts w:hint="eastAsia" w:ascii="宋体" w:hAnsi="宋体" w:cs="宋体"/>
                <w:color w:val="auto"/>
                <w:highlight w:val="none"/>
              </w:rPr>
              <w:t>（五）卸料平台、操作平台工程。</w:t>
            </w:r>
          </w:p>
        </w:tc>
        <w:tc>
          <w:tcPr>
            <w:tcW w:w="793" w:type="pct"/>
            <w:tcBorders>
              <w:top w:val="single" w:color="auto" w:sz="4" w:space="0"/>
              <w:left w:val="nil"/>
              <w:bottom w:val="single" w:color="auto" w:sz="4" w:space="0"/>
              <w:right w:val="single" w:color="auto" w:sz="4" w:space="0"/>
            </w:tcBorders>
            <w:noWrap w:val="0"/>
            <w:vAlign w:val="center"/>
          </w:tcPr>
          <w:p w14:paraId="70EA85B2">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1D51B2D5">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3D93983D">
            <w:pPr>
              <w:spacing w:line="276" w:lineRule="auto"/>
              <w:jc w:val="center"/>
              <w:rPr>
                <w:rFonts w:ascii="宋体" w:hAnsi="宋体" w:cs="宋体"/>
                <w:color w:val="auto"/>
                <w:highlight w:val="none"/>
              </w:rPr>
            </w:pPr>
          </w:p>
        </w:tc>
      </w:tr>
      <w:tr w14:paraId="2656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600EF3EF">
            <w:pPr>
              <w:spacing w:line="276" w:lineRule="auto"/>
              <w:rPr>
                <w:rFonts w:ascii="宋体" w:hAnsi="宋体" w:cs="宋体"/>
                <w:color w:val="auto"/>
                <w:highlight w:val="none"/>
              </w:rPr>
            </w:pPr>
            <w:r>
              <w:rPr>
                <w:rFonts w:hint="eastAsia" w:ascii="宋体" w:hAnsi="宋体" w:cs="宋体"/>
                <w:color w:val="auto"/>
                <w:highlight w:val="none"/>
              </w:rPr>
              <w:t>（六）异型脚手架工程。</w:t>
            </w:r>
          </w:p>
        </w:tc>
        <w:tc>
          <w:tcPr>
            <w:tcW w:w="793" w:type="pct"/>
            <w:tcBorders>
              <w:top w:val="single" w:color="auto" w:sz="4" w:space="0"/>
              <w:left w:val="nil"/>
              <w:bottom w:val="single" w:color="auto" w:sz="4" w:space="0"/>
              <w:right w:val="single" w:color="auto" w:sz="4" w:space="0"/>
            </w:tcBorders>
            <w:noWrap w:val="0"/>
            <w:vAlign w:val="center"/>
          </w:tcPr>
          <w:p w14:paraId="0DFCD99B">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0F652C3A">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32BD87A7">
            <w:pPr>
              <w:spacing w:line="276" w:lineRule="auto"/>
              <w:jc w:val="center"/>
              <w:rPr>
                <w:rFonts w:ascii="宋体" w:hAnsi="宋体" w:cs="宋体"/>
                <w:color w:val="auto"/>
                <w:highlight w:val="none"/>
              </w:rPr>
            </w:pPr>
          </w:p>
        </w:tc>
      </w:tr>
      <w:tr w14:paraId="65D9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A3BF5CA">
            <w:pPr>
              <w:spacing w:line="276" w:lineRule="auto"/>
              <w:rPr>
                <w:rFonts w:ascii="宋体" w:hAnsi="宋体" w:cs="宋体"/>
                <w:color w:val="auto"/>
                <w:highlight w:val="none"/>
              </w:rPr>
            </w:pPr>
            <w:r>
              <w:rPr>
                <w:rFonts w:hint="eastAsia" w:ascii="宋体" w:hAnsi="宋体" w:cs="宋体"/>
                <w:b/>
                <w:color w:val="auto"/>
                <w:highlight w:val="none"/>
              </w:rPr>
              <w:t>五、拆除工程</w:t>
            </w:r>
          </w:p>
        </w:tc>
      </w:tr>
      <w:tr w14:paraId="61BA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51ED1E10">
            <w:pPr>
              <w:spacing w:line="276" w:lineRule="auto"/>
              <w:rPr>
                <w:rFonts w:ascii="宋体" w:hAnsi="宋体" w:cs="宋体"/>
                <w:color w:val="auto"/>
                <w:highlight w:val="none"/>
              </w:rPr>
            </w:pPr>
            <w:r>
              <w:rPr>
                <w:rFonts w:hint="eastAsia" w:ascii="宋体" w:hAnsi="宋体" w:cs="宋体"/>
                <w:color w:val="auto"/>
                <w:highlight w:val="none"/>
              </w:rPr>
              <w:t>可能影响行人、交通、电力设施、通讯设施或其它建、构筑物安全的拆除工程。</w:t>
            </w:r>
          </w:p>
        </w:tc>
        <w:tc>
          <w:tcPr>
            <w:tcW w:w="793" w:type="pct"/>
            <w:tcBorders>
              <w:top w:val="single" w:color="auto" w:sz="4" w:space="0"/>
              <w:left w:val="nil"/>
              <w:bottom w:val="single" w:color="auto" w:sz="4" w:space="0"/>
              <w:right w:val="single" w:color="auto" w:sz="4" w:space="0"/>
            </w:tcBorders>
            <w:noWrap w:val="0"/>
            <w:vAlign w:val="center"/>
          </w:tcPr>
          <w:p w14:paraId="39467348">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1DF2E80D">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6437E38F">
            <w:pPr>
              <w:spacing w:line="276" w:lineRule="auto"/>
              <w:jc w:val="center"/>
              <w:rPr>
                <w:rFonts w:ascii="宋体" w:hAnsi="宋体" w:cs="宋体"/>
                <w:color w:val="auto"/>
                <w:highlight w:val="none"/>
              </w:rPr>
            </w:pPr>
          </w:p>
        </w:tc>
      </w:tr>
      <w:tr w14:paraId="6C05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B0CDEFF">
            <w:pPr>
              <w:spacing w:line="276" w:lineRule="auto"/>
              <w:rPr>
                <w:rFonts w:ascii="宋体" w:hAnsi="宋体" w:cs="宋体"/>
                <w:color w:val="auto"/>
                <w:highlight w:val="none"/>
              </w:rPr>
            </w:pPr>
            <w:r>
              <w:rPr>
                <w:rFonts w:hint="eastAsia" w:ascii="宋体" w:hAnsi="宋体" w:cs="宋体"/>
                <w:b/>
                <w:color w:val="auto"/>
                <w:highlight w:val="none"/>
              </w:rPr>
              <w:t>六、暗挖工程</w:t>
            </w:r>
          </w:p>
        </w:tc>
      </w:tr>
      <w:tr w14:paraId="602D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5778719B">
            <w:pPr>
              <w:spacing w:line="276" w:lineRule="auto"/>
              <w:rPr>
                <w:rFonts w:ascii="宋体" w:hAnsi="宋体" w:cs="宋体"/>
                <w:color w:val="auto"/>
                <w:highlight w:val="none"/>
              </w:rPr>
            </w:pPr>
            <w:r>
              <w:rPr>
                <w:rFonts w:hint="eastAsia" w:ascii="宋体" w:hAnsi="宋体" w:cs="宋体"/>
                <w:color w:val="auto"/>
                <w:highlight w:val="none"/>
              </w:rPr>
              <w:t>采用矿山法、盾构法、顶管法施工的隧道、洞室工程。</w:t>
            </w:r>
          </w:p>
        </w:tc>
        <w:tc>
          <w:tcPr>
            <w:tcW w:w="793" w:type="pct"/>
            <w:tcBorders>
              <w:top w:val="single" w:color="auto" w:sz="4" w:space="0"/>
              <w:left w:val="nil"/>
              <w:bottom w:val="single" w:color="auto" w:sz="4" w:space="0"/>
              <w:right w:val="single" w:color="auto" w:sz="4" w:space="0"/>
            </w:tcBorders>
            <w:noWrap w:val="0"/>
            <w:vAlign w:val="center"/>
          </w:tcPr>
          <w:p w14:paraId="0373120B">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37A60E01">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3FB87AFA">
            <w:pPr>
              <w:spacing w:line="276" w:lineRule="auto"/>
              <w:jc w:val="center"/>
              <w:rPr>
                <w:rFonts w:ascii="宋体" w:hAnsi="宋体" w:cs="宋体"/>
                <w:color w:val="auto"/>
                <w:highlight w:val="none"/>
              </w:rPr>
            </w:pPr>
          </w:p>
        </w:tc>
      </w:tr>
      <w:tr w14:paraId="08B0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1C4A29F8">
            <w:pPr>
              <w:spacing w:line="276" w:lineRule="auto"/>
              <w:rPr>
                <w:rFonts w:ascii="宋体" w:hAnsi="宋体" w:cs="宋体"/>
                <w:color w:val="auto"/>
                <w:highlight w:val="none"/>
              </w:rPr>
            </w:pPr>
            <w:r>
              <w:rPr>
                <w:rFonts w:hint="eastAsia" w:ascii="宋体" w:hAnsi="宋体" w:cs="宋体"/>
                <w:b/>
                <w:color w:val="auto"/>
                <w:highlight w:val="none"/>
              </w:rPr>
              <w:t>七、其它</w:t>
            </w:r>
          </w:p>
        </w:tc>
      </w:tr>
      <w:tr w14:paraId="51EA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455239E1">
            <w:pPr>
              <w:spacing w:line="276" w:lineRule="auto"/>
              <w:rPr>
                <w:rFonts w:ascii="宋体" w:hAnsi="宋体" w:cs="宋体"/>
                <w:color w:val="auto"/>
                <w:highlight w:val="none"/>
              </w:rPr>
            </w:pPr>
            <w:r>
              <w:rPr>
                <w:rFonts w:hint="eastAsia" w:ascii="宋体" w:hAnsi="宋体" w:cs="宋体"/>
                <w:color w:val="auto"/>
                <w:highlight w:val="none"/>
              </w:rPr>
              <w:t>（一）建筑幕墙安装工程。</w:t>
            </w:r>
          </w:p>
        </w:tc>
        <w:tc>
          <w:tcPr>
            <w:tcW w:w="793" w:type="pct"/>
            <w:tcBorders>
              <w:top w:val="single" w:color="auto" w:sz="4" w:space="0"/>
              <w:left w:val="nil"/>
              <w:bottom w:val="single" w:color="auto" w:sz="4" w:space="0"/>
              <w:right w:val="single" w:color="auto" w:sz="4" w:space="0"/>
            </w:tcBorders>
            <w:noWrap w:val="0"/>
            <w:vAlign w:val="center"/>
          </w:tcPr>
          <w:p w14:paraId="10E607E5">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1D3EC74E">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7ACC46BD">
            <w:pPr>
              <w:spacing w:line="276" w:lineRule="auto"/>
              <w:jc w:val="center"/>
              <w:rPr>
                <w:rFonts w:ascii="宋体" w:hAnsi="宋体" w:cs="宋体"/>
                <w:color w:val="auto"/>
                <w:highlight w:val="none"/>
              </w:rPr>
            </w:pPr>
          </w:p>
        </w:tc>
      </w:tr>
      <w:tr w14:paraId="141E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2F201D89">
            <w:pPr>
              <w:spacing w:line="276" w:lineRule="auto"/>
              <w:rPr>
                <w:rFonts w:ascii="宋体" w:hAnsi="宋体" w:cs="宋体"/>
                <w:color w:val="auto"/>
                <w:highlight w:val="none"/>
              </w:rPr>
            </w:pPr>
            <w:r>
              <w:rPr>
                <w:rFonts w:hint="eastAsia" w:ascii="宋体" w:hAnsi="宋体" w:cs="宋体"/>
                <w:color w:val="auto"/>
                <w:highlight w:val="none"/>
              </w:rPr>
              <w:t>（二）钢结构、网架和索膜结构安装工程。</w:t>
            </w:r>
          </w:p>
        </w:tc>
        <w:tc>
          <w:tcPr>
            <w:tcW w:w="793" w:type="pct"/>
            <w:tcBorders>
              <w:top w:val="single" w:color="auto" w:sz="4" w:space="0"/>
              <w:left w:val="nil"/>
              <w:bottom w:val="single" w:color="auto" w:sz="4" w:space="0"/>
              <w:right w:val="single" w:color="auto" w:sz="4" w:space="0"/>
            </w:tcBorders>
            <w:noWrap w:val="0"/>
            <w:vAlign w:val="center"/>
          </w:tcPr>
          <w:p w14:paraId="3E0AC862">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2287DACA">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70D046F7">
            <w:pPr>
              <w:spacing w:line="276" w:lineRule="auto"/>
              <w:jc w:val="center"/>
              <w:rPr>
                <w:rFonts w:ascii="宋体" w:hAnsi="宋体" w:cs="宋体"/>
                <w:color w:val="auto"/>
                <w:highlight w:val="none"/>
              </w:rPr>
            </w:pPr>
            <w:r>
              <w:rPr>
                <w:rFonts w:hint="eastAsia" w:ascii="宋体" w:hAnsi="宋体" w:cs="宋体"/>
                <w:color w:val="auto"/>
                <w:highlight w:val="none"/>
              </w:rPr>
              <w:t>型钢结构</w:t>
            </w:r>
          </w:p>
        </w:tc>
      </w:tr>
      <w:tr w14:paraId="6826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1D94B527">
            <w:pPr>
              <w:spacing w:line="276" w:lineRule="auto"/>
              <w:rPr>
                <w:rFonts w:ascii="宋体" w:hAnsi="宋体" w:cs="宋体"/>
                <w:color w:val="auto"/>
                <w:highlight w:val="none"/>
              </w:rPr>
            </w:pPr>
            <w:r>
              <w:rPr>
                <w:rFonts w:hint="eastAsia" w:ascii="宋体" w:hAnsi="宋体" w:cs="宋体"/>
                <w:color w:val="auto"/>
                <w:highlight w:val="none"/>
              </w:rPr>
              <w:t>（三）人工挖孔桩工程。</w:t>
            </w:r>
          </w:p>
        </w:tc>
        <w:tc>
          <w:tcPr>
            <w:tcW w:w="793" w:type="pct"/>
            <w:tcBorders>
              <w:top w:val="single" w:color="auto" w:sz="4" w:space="0"/>
              <w:left w:val="nil"/>
              <w:bottom w:val="single" w:color="auto" w:sz="4" w:space="0"/>
              <w:right w:val="single" w:color="auto" w:sz="4" w:space="0"/>
            </w:tcBorders>
            <w:noWrap w:val="0"/>
            <w:vAlign w:val="center"/>
          </w:tcPr>
          <w:p w14:paraId="5354A26C">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6D954024">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3050250A">
            <w:pPr>
              <w:spacing w:line="276" w:lineRule="auto"/>
              <w:jc w:val="center"/>
              <w:rPr>
                <w:rFonts w:ascii="宋体" w:hAnsi="宋体" w:cs="宋体"/>
                <w:color w:val="auto"/>
                <w:highlight w:val="none"/>
              </w:rPr>
            </w:pPr>
          </w:p>
        </w:tc>
      </w:tr>
      <w:tr w14:paraId="2BDC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6FA38A6F">
            <w:pPr>
              <w:spacing w:line="276" w:lineRule="auto"/>
              <w:rPr>
                <w:rFonts w:ascii="宋体" w:hAnsi="宋体" w:cs="宋体"/>
                <w:color w:val="auto"/>
                <w:highlight w:val="none"/>
              </w:rPr>
            </w:pPr>
            <w:r>
              <w:rPr>
                <w:rFonts w:hint="eastAsia" w:ascii="宋体" w:hAnsi="宋体" w:cs="宋体"/>
                <w:color w:val="auto"/>
                <w:highlight w:val="none"/>
              </w:rPr>
              <w:t>（四）水下作业工程。</w:t>
            </w:r>
          </w:p>
        </w:tc>
        <w:tc>
          <w:tcPr>
            <w:tcW w:w="793" w:type="pct"/>
            <w:tcBorders>
              <w:top w:val="single" w:color="auto" w:sz="4" w:space="0"/>
              <w:left w:val="nil"/>
              <w:bottom w:val="single" w:color="auto" w:sz="4" w:space="0"/>
              <w:right w:val="single" w:color="auto" w:sz="4" w:space="0"/>
            </w:tcBorders>
            <w:noWrap w:val="0"/>
            <w:vAlign w:val="center"/>
          </w:tcPr>
          <w:p w14:paraId="1F7898C3">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47AE3D3B">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127D0BA9">
            <w:pPr>
              <w:spacing w:line="276" w:lineRule="auto"/>
              <w:jc w:val="center"/>
              <w:rPr>
                <w:rFonts w:ascii="宋体" w:hAnsi="宋体" w:cs="宋体"/>
                <w:color w:val="auto"/>
                <w:highlight w:val="none"/>
              </w:rPr>
            </w:pPr>
          </w:p>
        </w:tc>
      </w:tr>
      <w:tr w14:paraId="49ED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4EB72CD1">
            <w:pPr>
              <w:spacing w:line="276" w:lineRule="auto"/>
              <w:rPr>
                <w:rFonts w:ascii="宋体" w:hAnsi="宋体" w:cs="宋体"/>
                <w:color w:val="auto"/>
                <w:highlight w:val="none"/>
              </w:rPr>
            </w:pPr>
            <w:r>
              <w:rPr>
                <w:rFonts w:hint="eastAsia" w:ascii="宋体" w:hAnsi="宋体" w:cs="宋体"/>
                <w:color w:val="auto"/>
                <w:highlight w:val="none"/>
              </w:rPr>
              <w:t>（五）装配式建筑混凝土预制构件安装工程。</w:t>
            </w:r>
          </w:p>
        </w:tc>
        <w:tc>
          <w:tcPr>
            <w:tcW w:w="793" w:type="pct"/>
            <w:tcBorders>
              <w:top w:val="single" w:color="auto" w:sz="4" w:space="0"/>
              <w:left w:val="nil"/>
              <w:bottom w:val="single" w:color="auto" w:sz="4" w:space="0"/>
              <w:right w:val="single" w:color="auto" w:sz="4" w:space="0"/>
            </w:tcBorders>
            <w:noWrap w:val="0"/>
            <w:vAlign w:val="center"/>
          </w:tcPr>
          <w:p w14:paraId="4C384EDB">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08344B66">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70760CE0">
            <w:pPr>
              <w:spacing w:line="276" w:lineRule="auto"/>
              <w:jc w:val="center"/>
              <w:rPr>
                <w:rFonts w:ascii="宋体" w:hAnsi="宋体" w:cs="宋体"/>
                <w:color w:val="auto"/>
                <w:highlight w:val="none"/>
              </w:rPr>
            </w:pPr>
          </w:p>
        </w:tc>
      </w:tr>
      <w:tr w14:paraId="2019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3E112F85">
            <w:pPr>
              <w:spacing w:line="276" w:lineRule="auto"/>
              <w:rPr>
                <w:rFonts w:ascii="宋体" w:hAnsi="宋体" w:cs="宋体"/>
                <w:color w:val="auto"/>
                <w:highlight w:val="none"/>
              </w:rPr>
            </w:pPr>
            <w:r>
              <w:rPr>
                <w:rFonts w:hint="eastAsia" w:ascii="宋体" w:hAnsi="宋体" w:cs="宋体"/>
                <w:color w:val="auto"/>
                <w:highlight w:val="none"/>
              </w:rPr>
              <w:t>（六）采用新技术、新工艺、新材料、新设备可能影响工程施工安全，尚无国家、行业及地方技术标准的分部分项工程。</w:t>
            </w:r>
          </w:p>
        </w:tc>
        <w:tc>
          <w:tcPr>
            <w:tcW w:w="793" w:type="pct"/>
            <w:tcBorders>
              <w:top w:val="single" w:color="auto" w:sz="4" w:space="0"/>
              <w:left w:val="nil"/>
              <w:bottom w:val="single" w:color="auto" w:sz="4" w:space="0"/>
              <w:right w:val="single" w:color="auto" w:sz="4" w:space="0"/>
            </w:tcBorders>
            <w:noWrap w:val="0"/>
            <w:vAlign w:val="center"/>
          </w:tcPr>
          <w:p w14:paraId="4A8E0724">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7877E506">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011AC3D5">
            <w:pPr>
              <w:spacing w:line="276" w:lineRule="auto"/>
              <w:jc w:val="center"/>
              <w:rPr>
                <w:rFonts w:ascii="宋体" w:hAnsi="宋体" w:cs="宋体"/>
                <w:color w:val="auto"/>
                <w:highlight w:val="none"/>
              </w:rPr>
            </w:pPr>
          </w:p>
        </w:tc>
      </w:tr>
      <w:tr w14:paraId="6928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791"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101AFEAC">
            <w:pPr>
              <w:spacing w:line="276" w:lineRule="auto"/>
              <w:jc w:val="center"/>
              <w:rPr>
                <w:rFonts w:ascii="宋体" w:hAnsi="宋体" w:cs="宋体"/>
                <w:b/>
                <w:color w:val="auto"/>
                <w:highlight w:val="none"/>
              </w:rPr>
            </w:pPr>
            <w:r>
              <w:rPr>
                <w:rFonts w:hint="eastAsia" w:ascii="宋体" w:hAnsi="宋体" w:cs="宋体"/>
                <w:b/>
                <w:color w:val="auto"/>
                <w:highlight w:val="none"/>
              </w:rPr>
              <w:t>超过一定规模的危险性较大的分部分项工程清单</w:t>
            </w:r>
          </w:p>
        </w:tc>
        <w:tc>
          <w:tcPr>
            <w:tcW w:w="793" w:type="pct"/>
            <w:tcBorders>
              <w:top w:val="single" w:color="auto" w:sz="4" w:space="0"/>
              <w:left w:val="nil"/>
              <w:bottom w:val="single" w:color="auto" w:sz="4" w:space="0"/>
              <w:right w:val="single" w:color="auto" w:sz="4" w:space="0"/>
            </w:tcBorders>
            <w:shd w:val="clear" w:color="auto" w:fill="D8D8D8"/>
            <w:noWrap w:val="0"/>
            <w:vAlign w:val="center"/>
          </w:tcPr>
          <w:p w14:paraId="0F8D74DC">
            <w:pPr>
              <w:spacing w:line="276" w:lineRule="auto"/>
              <w:jc w:val="center"/>
              <w:rPr>
                <w:rFonts w:ascii="宋体" w:hAnsi="宋体" w:cs="宋体"/>
                <w:b/>
                <w:color w:val="auto"/>
                <w:highlight w:val="none"/>
              </w:rPr>
            </w:pPr>
            <w:r>
              <w:rPr>
                <w:rFonts w:hint="eastAsia" w:ascii="宋体" w:hAnsi="宋体" w:cs="宋体"/>
                <w:b/>
                <w:color w:val="auto"/>
                <w:highlight w:val="none"/>
              </w:rPr>
              <w:t>招标人</w:t>
            </w:r>
          </w:p>
        </w:tc>
        <w:tc>
          <w:tcPr>
            <w:tcW w:w="793" w:type="pct"/>
            <w:tcBorders>
              <w:top w:val="single" w:color="auto" w:sz="4" w:space="0"/>
              <w:left w:val="nil"/>
              <w:bottom w:val="single" w:color="auto" w:sz="4" w:space="0"/>
              <w:right w:val="single" w:color="auto" w:sz="4" w:space="0"/>
            </w:tcBorders>
            <w:shd w:val="clear" w:color="auto" w:fill="D8D8D8"/>
            <w:noWrap w:val="0"/>
            <w:vAlign w:val="center"/>
          </w:tcPr>
          <w:p w14:paraId="49494346">
            <w:pPr>
              <w:spacing w:line="276" w:lineRule="auto"/>
              <w:jc w:val="center"/>
              <w:rPr>
                <w:rFonts w:ascii="宋体" w:hAnsi="宋体" w:cs="宋体"/>
                <w:b/>
                <w:color w:val="auto"/>
                <w:highlight w:val="none"/>
              </w:rPr>
            </w:pPr>
            <w:r>
              <w:rPr>
                <w:rFonts w:hint="eastAsia" w:ascii="宋体" w:hAnsi="宋体" w:cs="宋体"/>
                <w:b/>
                <w:color w:val="auto"/>
                <w:highlight w:val="none"/>
              </w:rPr>
              <w:t>投标单位</w:t>
            </w:r>
          </w:p>
        </w:tc>
        <w:tc>
          <w:tcPr>
            <w:tcW w:w="622" w:type="pct"/>
            <w:tcBorders>
              <w:top w:val="single" w:color="auto" w:sz="4" w:space="0"/>
              <w:left w:val="nil"/>
              <w:bottom w:val="single" w:color="auto" w:sz="4" w:space="0"/>
              <w:right w:val="single" w:color="auto" w:sz="4" w:space="0"/>
            </w:tcBorders>
            <w:shd w:val="clear" w:color="auto" w:fill="D8D8D8"/>
            <w:noWrap w:val="0"/>
            <w:vAlign w:val="center"/>
          </w:tcPr>
          <w:p w14:paraId="3AE8E9D5">
            <w:pPr>
              <w:spacing w:line="276" w:lineRule="auto"/>
              <w:jc w:val="center"/>
              <w:rPr>
                <w:rFonts w:ascii="宋体" w:hAnsi="宋体" w:cs="宋体"/>
                <w:b/>
                <w:color w:val="auto"/>
                <w:highlight w:val="none"/>
              </w:rPr>
            </w:pPr>
            <w:r>
              <w:rPr>
                <w:rFonts w:hint="eastAsia" w:ascii="宋体" w:hAnsi="宋体" w:cs="宋体"/>
                <w:b/>
                <w:color w:val="auto"/>
                <w:highlight w:val="none"/>
              </w:rPr>
              <w:t>备注</w:t>
            </w:r>
          </w:p>
        </w:tc>
      </w:tr>
      <w:tr w14:paraId="514C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0B8E8B3F">
            <w:pPr>
              <w:spacing w:line="276" w:lineRule="auto"/>
              <w:rPr>
                <w:rFonts w:ascii="宋体" w:hAnsi="宋体" w:cs="宋体"/>
                <w:b/>
                <w:color w:val="auto"/>
                <w:highlight w:val="none"/>
              </w:rPr>
            </w:pPr>
            <w:r>
              <w:rPr>
                <w:rFonts w:hint="eastAsia" w:ascii="宋体" w:hAnsi="宋体" w:cs="宋体"/>
                <w:b/>
                <w:color w:val="auto"/>
                <w:highlight w:val="none"/>
              </w:rPr>
              <w:t>一、深基坑工程</w:t>
            </w:r>
          </w:p>
        </w:tc>
      </w:tr>
      <w:tr w14:paraId="5528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0CB9D5F5">
            <w:pPr>
              <w:spacing w:line="276" w:lineRule="auto"/>
              <w:rPr>
                <w:rFonts w:ascii="宋体" w:hAnsi="宋体" w:cs="宋体"/>
                <w:color w:val="auto"/>
                <w:highlight w:val="none"/>
              </w:rPr>
            </w:pPr>
            <w:r>
              <w:rPr>
                <w:rFonts w:hint="eastAsia" w:ascii="宋体" w:hAnsi="宋体" w:cs="宋体"/>
                <w:color w:val="auto"/>
                <w:highlight w:val="none"/>
              </w:rPr>
              <w:t>开挖深度超过5m（含5m）的基坑（槽）的土方开挖、支护、降水工程。</w:t>
            </w:r>
          </w:p>
        </w:tc>
        <w:tc>
          <w:tcPr>
            <w:tcW w:w="793" w:type="pct"/>
            <w:tcBorders>
              <w:top w:val="single" w:color="auto" w:sz="4" w:space="0"/>
              <w:left w:val="nil"/>
              <w:bottom w:val="single" w:color="auto" w:sz="4" w:space="0"/>
              <w:right w:val="single" w:color="auto" w:sz="4" w:space="0"/>
            </w:tcBorders>
            <w:noWrap w:val="0"/>
            <w:vAlign w:val="center"/>
          </w:tcPr>
          <w:p w14:paraId="10CB2EC2">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25052956">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1928FE4B">
            <w:pPr>
              <w:spacing w:line="276" w:lineRule="auto"/>
              <w:jc w:val="center"/>
              <w:rPr>
                <w:rFonts w:ascii="宋体" w:hAnsi="宋体" w:cs="宋体"/>
                <w:color w:val="auto"/>
                <w:highlight w:val="none"/>
              </w:rPr>
            </w:pPr>
          </w:p>
        </w:tc>
      </w:tr>
      <w:tr w14:paraId="749F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73C3C026">
            <w:pPr>
              <w:spacing w:line="276" w:lineRule="auto"/>
              <w:rPr>
                <w:rFonts w:ascii="宋体" w:hAnsi="宋体" w:cs="宋体"/>
                <w:color w:val="auto"/>
                <w:highlight w:val="none"/>
              </w:rPr>
            </w:pPr>
            <w:r>
              <w:rPr>
                <w:rFonts w:hint="eastAsia" w:ascii="宋体" w:hAnsi="宋体" w:cs="宋体"/>
                <w:b/>
                <w:color w:val="auto"/>
                <w:highlight w:val="none"/>
              </w:rPr>
              <w:t>二、模板工程及支撑体系</w:t>
            </w:r>
          </w:p>
        </w:tc>
      </w:tr>
      <w:tr w14:paraId="4661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36B18436">
            <w:pPr>
              <w:spacing w:line="276" w:lineRule="auto"/>
              <w:rPr>
                <w:rFonts w:ascii="宋体" w:hAnsi="宋体" w:cs="宋体"/>
                <w:color w:val="auto"/>
                <w:highlight w:val="none"/>
              </w:rPr>
            </w:pPr>
            <w:r>
              <w:rPr>
                <w:rFonts w:hint="eastAsia" w:ascii="宋体" w:hAnsi="宋体" w:cs="宋体"/>
                <w:color w:val="auto"/>
                <w:highlight w:val="none"/>
              </w:rPr>
              <w:t>（一）各类工具式模板工程：包括滑模、爬模、飞模、隧道模等工程。</w:t>
            </w:r>
          </w:p>
        </w:tc>
        <w:tc>
          <w:tcPr>
            <w:tcW w:w="793" w:type="pct"/>
            <w:tcBorders>
              <w:top w:val="single" w:color="auto" w:sz="4" w:space="0"/>
              <w:left w:val="nil"/>
              <w:bottom w:val="single" w:color="auto" w:sz="4" w:space="0"/>
              <w:right w:val="single" w:color="auto" w:sz="4" w:space="0"/>
            </w:tcBorders>
            <w:noWrap w:val="0"/>
            <w:vAlign w:val="center"/>
          </w:tcPr>
          <w:p w14:paraId="48444F59">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3ACA6953">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24416206">
            <w:pPr>
              <w:spacing w:line="276" w:lineRule="auto"/>
              <w:jc w:val="center"/>
              <w:rPr>
                <w:rFonts w:ascii="宋体" w:hAnsi="宋体" w:cs="宋体"/>
                <w:color w:val="auto"/>
                <w:highlight w:val="none"/>
              </w:rPr>
            </w:pPr>
          </w:p>
        </w:tc>
      </w:tr>
      <w:tr w14:paraId="29EB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5DE1D423">
            <w:pPr>
              <w:spacing w:line="276" w:lineRule="auto"/>
              <w:rPr>
                <w:rFonts w:ascii="宋体" w:hAnsi="宋体" w:cs="宋体"/>
                <w:color w:val="auto"/>
                <w:highlight w:val="none"/>
              </w:rPr>
            </w:pPr>
            <w:r>
              <w:rPr>
                <w:rFonts w:hint="eastAsia" w:ascii="宋体" w:hAnsi="宋体" w:cs="宋体"/>
                <w:color w:val="auto"/>
                <w:highlight w:val="none"/>
              </w:rPr>
              <w:t>（二）混凝土模板支撑工程：搭设高度8m及以上，或搭设跨度18m及以上，或施工总荷载（设计值）15kN/m2及以上，或集中线荷载（设计值）20kN/m及以上。</w:t>
            </w:r>
          </w:p>
        </w:tc>
        <w:tc>
          <w:tcPr>
            <w:tcW w:w="793" w:type="pct"/>
            <w:tcBorders>
              <w:top w:val="single" w:color="auto" w:sz="4" w:space="0"/>
              <w:left w:val="nil"/>
              <w:bottom w:val="single" w:color="auto" w:sz="4" w:space="0"/>
              <w:right w:val="single" w:color="auto" w:sz="4" w:space="0"/>
            </w:tcBorders>
            <w:noWrap w:val="0"/>
            <w:vAlign w:val="center"/>
          </w:tcPr>
          <w:p w14:paraId="44D17E90">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33E8D8E4">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629639DE">
            <w:pPr>
              <w:spacing w:line="276" w:lineRule="auto"/>
              <w:jc w:val="center"/>
              <w:rPr>
                <w:rFonts w:ascii="宋体" w:hAnsi="宋体" w:cs="宋体"/>
                <w:color w:val="auto"/>
                <w:highlight w:val="none"/>
              </w:rPr>
            </w:pPr>
          </w:p>
        </w:tc>
      </w:tr>
      <w:tr w14:paraId="4B5F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55297322">
            <w:pPr>
              <w:spacing w:line="276" w:lineRule="auto"/>
              <w:rPr>
                <w:rFonts w:ascii="宋体" w:hAnsi="宋体" w:cs="宋体"/>
                <w:color w:val="auto"/>
                <w:highlight w:val="none"/>
              </w:rPr>
            </w:pPr>
            <w:r>
              <w:rPr>
                <w:rFonts w:hint="eastAsia" w:ascii="宋体" w:hAnsi="宋体" w:cs="宋体"/>
                <w:color w:val="auto"/>
                <w:highlight w:val="none"/>
              </w:rPr>
              <w:t>（三）承重支撑体系：用于钢结构安装等满堂支撑体系，承受单点集中荷载7kN及以上。</w:t>
            </w:r>
          </w:p>
        </w:tc>
        <w:tc>
          <w:tcPr>
            <w:tcW w:w="793" w:type="pct"/>
            <w:tcBorders>
              <w:top w:val="single" w:color="auto" w:sz="4" w:space="0"/>
              <w:left w:val="nil"/>
              <w:bottom w:val="single" w:color="auto" w:sz="4" w:space="0"/>
              <w:right w:val="single" w:color="auto" w:sz="4" w:space="0"/>
            </w:tcBorders>
            <w:noWrap w:val="0"/>
            <w:vAlign w:val="center"/>
          </w:tcPr>
          <w:p w14:paraId="3E85CAD1">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51ED9EB9">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26EC7350">
            <w:pPr>
              <w:spacing w:line="276" w:lineRule="auto"/>
              <w:jc w:val="center"/>
              <w:rPr>
                <w:rFonts w:ascii="宋体" w:hAnsi="宋体" w:cs="宋体"/>
                <w:color w:val="auto"/>
                <w:highlight w:val="none"/>
              </w:rPr>
            </w:pPr>
          </w:p>
        </w:tc>
      </w:tr>
      <w:tr w14:paraId="06B0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1B7E5E1D">
            <w:pPr>
              <w:spacing w:line="276" w:lineRule="auto"/>
              <w:rPr>
                <w:rFonts w:ascii="宋体" w:hAnsi="宋体" w:cs="宋体"/>
                <w:color w:val="auto"/>
                <w:highlight w:val="none"/>
              </w:rPr>
            </w:pPr>
            <w:r>
              <w:rPr>
                <w:rFonts w:hint="eastAsia" w:ascii="宋体" w:hAnsi="宋体" w:cs="宋体"/>
                <w:b/>
                <w:color w:val="auto"/>
                <w:highlight w:val="none"/>
              </w:rPr>
              <w:t>三、起重吊装及起重机械安装拆卸工程</w:t>
            </w:r>
          </w:p>
        </w:tc>
      </w:tr>
      <w:tr w14:paraId="567A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60EED555">
            <w:pPr>
              <w:spacing w:line="276" w:lineRule="auto"/>
              <w:rPr>
                <w:rFonts w:ascii="宋体" w:hAnsi="宋体" w:cs="宋体"/>
                <w:color w:val="auto"/>
                <w:highlight w:val="none"/>
              </w:rPr>
            </w:pPr>
            <w:r>
              <w:rPr>
                <w:rFonts w:hint="eastAsia" w:ascii="宋体" w:hAnsi="宋体" w:cs="宋体"/>
                <w:color w:val="auto"/>
                <w:highlight w:val="none"/>
              </w:rPr>
              <w:t>（一）采用非常规起重设备、方法，且单件起吊重量在100kN及以上的起重吊装工程。</w:t>
            </w:r>
          </w:p>
        </w:tc>
        <w:tc>
          <w:tcPr>
            <w:tcW w:w="793" w:type="pct"/>
            <w:tcBorders>
              <w:top w:val="single" w:color="auto" w:sz="4" w:space="0"/>
              <w:left w:val="nil"/>
              <w:bottom w:val="single" w:color="auto" w:sz="4" w:space="0"/>
              <w:right w:val="single" w:color="auto" w:sz="4" w:space="0"/>
            </w:tcBorders>
            <w:noWrap w:val="0"/>
            <w:vAlign w:val="center"/>
          </w:tcPr>
          <w:p w14:paraId="5838EEC8">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5ECA31E0">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77D7916C">
            <w:pPr>
              <w:spacing w:line="276" w:lineRule="auto"/>
              <w:jc w:val="center"/>
              <w:rPr>
                <w:rFonts w:ascii="宋体" w:hAnsi="宋体" w:cs="宋体"/>
                <w:color w:val="auto"/>
                <w:highlight w:val="none"/>
              </w:rPr>
            </w:pPr>
          </w:p>
        </w:tc>
      </w:tr>
      <w:tr w14:paraId="143B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60D0CB63">
            <w:pPr>
              <w:spacing w:line="276" w:lineRule="auto"/>
              <w:rPr>
                <w:rFonts w:ascii="宋体" w:hAnsi="宋体" w:cs="宋体"/>
                <w:color w:val="auto"/>
                <w:highlight w:val="none"/>
              </w:rPr>
            </w:pPr>
            <w:r>
              <w:rPr>
                <w:rFonts w:hint="eastAsia" w:ascii="宋体" w:hAnsi="宋体" w:cs="宋体"/>
                <w:color w:val="auto"/>
                <w:highlight w:val="none"/>
              </w:rPr>
              <w:t>（二）起重量300kN及以上，或搭设总高度200m及以上，或搭设基础标高在200m及以上的起重机械安装和拆卸工程。</w:t>
            </w:r>
          </w:p>
        </w:tc>
        <w:tc>
          <w:tcPr>
            <w:tcW w:w="793" w:type="pct"/>
            <w:tcBorders>
              <w:top w:val="single" w:color="auto" w:sz="4" w:space="0"/>
              <w:left w:val="nil"/>
              <w:bottom w:val="single" w:color="auto" w:sz="4" w:space="0"/>
              <w:right w:val="single" w:color="auto" w:sz="4" w:space="0"/>
            </w:tcBorders>
            <w:noWrap w:val="0"/>
            <w:vAlign w:val="center"/>
          </w:tcPr>
          <w:p w14:paraId="5C8FFD00">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65D79967">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2B7B74D3">
            <w:pPr>
              <w:spacing w:line="276" w:lineRule="auto"/>
              <w:jc w:val="center"/>
              <w:rPr>
                <w:rFonts w:ascii="宋体" w:hAnsi="宋体" w:cs="宋体"/>
                <w:color w:val="auto"/>
                <w:highlight w:val="none"/>
              </w:rPr>
            </w:pPr>
          </w:p>
        </w:tc>
      </w:tr>
      <w:tr w14:paraId="19DF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D63B308">
            <w:pPr>
              <w:spacing w:line="276" w:lineRule="auto"/>
              <w:rPr>
                <w:rFonts w:ascii="宋体" w:hAnsi="宋体" w:cs="宋体"/>
                <w:b/>
                <w:color w:val="auto"/>
                <w:highlight w:val="none"/>
              </w:rPr>
            </w:pPr>
            <w:r>
              <w:rPr>
                <w:rFonts w:hint="eastAsia" w:ascii="宋体" w:hAnsi="宋体" w:cs="宋体"/>
                <w:b/>
                <w:color w:val="auto"/>
                <w:highlight w:val="none"/>
              </w:rPr>
              <w:t>四、脚手架工程</w:t>
            </w:r>
          </w:p>
        </w:tc>
      </w:tr>
      <w:tr w14:paraId="53B7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450ABBEF">
            <w:pPr>
              <w:spacing w:line="276" w:lineRule="auto"/>
              <w:rPr>
                <w:rFonts w:ascii="宋体" w:hAnsi="宋体" w:cs="宋体"/>
                <w:color w:val="auto"/>
                <w:highlight w:val="none"/>
              </w:rPr>
            </w:pPr>
            <w:r>
              <w:rPr>
                <w:rFonts w:hint="eastAsia" w:ascii="宋体" w:hAnsi="宋体" w:cs="宋体"/>
                <w:color w:val="auto"/>
                <w:highlight w:val="none"/>
              </w:rPr>
              <w:t>（一）搭设高度50m及以上的落地式钢管脚手架工程。</w:t>
            </w:r>
          </w:p>
        </w:tc>
        <w:tc>
          <w:tcPr>
            <w:tcW w:w="793" w:type="pct"/>
            <w:tcBorders>
              <w:top w:val="single" w:color="auto" w:sz="4" w:space="0"/>
              <w:left w:val="nil"/>
              <w:bottom w:val="single" w:color="auto" w:sz="4" w:space="0"/>
              <w:right w:val="single" w:color="auto" w:sz="4" w:space="0"/>
            </w:tcBorders>
            <w:noWrap w:val="0"/>
            <w:vAlign w:val="center"/>
          </w:tcPr>
          <w:p w14:paraId="381CF657">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64B7E572">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38166AE7">
            <w:pPr>
              <w:spacing w:line="276" w:lineRule="auto"/>
              <w:jc w:val="center"/>
              <w:rPr>
                <w:rFonts w:ascii="宋体" w:hAnsi="宋体" w:cs="宋体"/>
                <w:color w:val="auto"/>
                <w:highlight w:val="none"/>
              </w:rPr>
            </w:pPr>
          </w:p>
        </w:tc>
      </w:tr>
      <w:tr w14:paraId="59E4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6EF465C6">
            <w:pPr>
              <w:spacing w:line="276" w:lineRule="auto"/>
              <w:rPr>
                <w:rFonts w:ascii="宋体" w:hAnsi="宋体" w:cs="宋体"/>
                <w:color w:val="auto"/>
                <w:highlight w:val="none"/>
              </w:rPr>
            </w:pPr>
            <w:r>
              <w:rPr>
                <w:rFonts w:hint="eastAsia" w:ascii="宋体" w:hAnsi="宋体" w:cs="宋体"/>
                <w:color w:val="auto"/>
                <w:highlight w:val="none"/>
              </w:rPr>
              <w:t>（二）提升高度在150m及以上的附着式升降脚手架工程或附着式升降操作平台工程。</w:t>
            </w:r>
          </w:p>
        </w:tc>
        <w:tc>
          <w:tcPr>
            <w:tcW w:w="793" w:type="pct"/>
            <w:tcBorders>
              <w:top w:val="single" w:color="auto" w:sz="4" w:space="0"/>
              <w:left w:val="nil"/>
              <w:bottom w:val="single" w:color="auto" w:sz="4" w:space="0"/>
              <w:right w:val="single" w:color="auto" w:sz="4" w:space="0"/>
            </w:tcBorders>
            <w:noWrap w:val="0"/>
            <w:vAlign w:val="center"/>
          </w:tcPr>
          <w:p w14:paraId="50858C26">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6EF2FB7A">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0D1188DB">
            <w:pPr>
              <w:spacing w:line="276" w:lineRule="auto"/>
              <w:jc w:val="center"/>
              <w:rPr>
                <w:rFonts w:ascii="宋体" w:hAnsi="宋体" w:cs="宋体"/>
                <w:color w:val="auto"/>
                <w:highlight w:val="none"/>
              </w:rPr>
            </w:pPr>
          </w:p>
        </w:tc>
      </w:tr>
      <w:tr w14:paraId="4A3C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6698124A">
            <w:pPr>
              <w:spacing w:line="276" w:lineRule="auto"/>
              <w:rPr>
                <w:rFonts w:ascii="宋体" w:hAnsi="宋体" w:cs="宋体"/>
                <w:color w:val="auto"/>
                <w:highlight w:val="none"/>
              </w:rPr>
            </w:pPr>
            <w:r>
              <w:rPr>
                <w:rFonts w:hint="eastAsia" w:ascii="宋体" w:hAnsi="宋体" w:cs="宋体"/>
                <w:color w:val="auto"/>
                <w:highlight w:val="none"/>
              </w:rPr>
              <w:t>（三）分段架体搭设高度20m及以上的悬挑式脚手架工程。</w:t>
            </w:r>
          </w:p>
        </w:tc>
        <w:tc>
          <w:tcPr>
            <w:tcW w:w="793" w:type="pct"/>
            <w:tcBorders>
              <w:top w:val="single" w:color="auto" w:sz="4" w:space="0"/>
              <w:left w:val="nil"/>
              <w:bottom w:val="single" w:color="auto" w:sz="4" w:space="0"/>
              <w:right w:val="single" w:color="auto" w:sz="4" w:space="0"/>
            </w:tcBorders>
            <w:noWrap w:val="0"/>
            <w:vAlign w:val="center"/>
          </w:tcPr>
          <w:p w14:paraId="268A867B">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0FBFB207">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0A97E9AC">
            <w:pPr>
              <w:spacing w:line="276" w:lineRule="auto"/>
              <w:jc w:val="center"/>
              <w:rPr>
                <w:rFonts w:ascii="宋体" w:hAnsi="宋体" w:cs="宋体"/>
                <w:color w:val="auto"/>
                <w:highlight w:val="none"/>
              </w:rPr>
            </w:pPr>
          </w:p>
        </w:tc>
      </w:tr>
      <w:tr w14:paraId="77DD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1151726">
            <w:pPr>
              <w:spacing w:line="276" w:lineRule="auto"/>
              <w:rPr>
                <w:rFonts w:ascii="宋体" w:hAnsi="宋体" w:cs="宋体"/>
                <w:b/>
                <w:color w:val="auto"/>
                <w:highlight w:val="none"/>
              </w:rPr>
            </w:pPr>
            <w:r>
              <w:rPr>
                <w:rFonts w:hint="eastAsia" w:ascii="宋体" w:hAnsi="宋体" w:cs="宋体"/>
                <w:b/>
                <w:color w:val="auto"/>
                <w:highlight w:val="none"/>
              </w:rPr>
              <w:t>五、拆除工程</w:t>
            </w:r>
          </w:p>
        </w:tc>
      </w:tr>
      <w:tr w14:paraId="16E8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576EF763">
            <w:pPr>
              <w:spacing w:line="276" w:lineRule="auto"/>
              <w:rPr>
                <w:rFonts w:ascii="宋体" w:hAnsi="宋体" w:cs="宋体"/>
                <w:color w:val="auto"/>
                <w:highlight w:val="none"/>
              </w:rPr>
            </w:pPr>
            <w:r>
              <w:rPr>
                <w:rFonts w:hint="eastAsia" w:ascii="宋体" w:hAnsi="宋体" w:cs="宋体"/>
                <w:color w:val="auto"/>
                <w:highlight w:val="none"/>
              </w:rPr>
              <w:t>（一）码头、桥梁、高架、烟囱、水塔或拆除中容易引起有毒有害气（液）体或粉尘扩散、易燃易爆事故发生的特殊建、构筑物的拆除工程。</w:t>
            </w:r>
          </w:p>
        </w:tc>
        <w:tc>
          <w:tcPr>
            <w:tcW w:w="793" w:type="pct"/>
            <w:tcBorders>
              <w:top w:val="single" w:color="auto" w:sz="4" w:space="0"/>
              <w:left w:val="nil"/>
              <w:bottom w:val="single" w:color="auto" w:sz="4" w:space="0"/>
              <w:right w:val="single" w:color="auto" w:sz="4" w:space="0"/>
            </w:tcBorders>
            <w:noWrap w:val="0"/>
            <w:vAlign w:val="center"/>
          </w:tcPr>
          <w:p w14:paraId="32998BD6">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7E1584A2">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7AA41AA2">
            <w:pPr>
              <w:spacing w:line="276" w:lineRule="auto"/>
              <w:jc w:val="center"/>
              <w:rPr>
                <w:rFonts w:ascii="宋体" w:hAnsi="宋体" w:cs="宋体"/>
                <w:color w:val="auto"/>
                <w:highlight w:val="none"/>
              </w:rPr>
            </w:pPr>
          </w:p>
        </w:tc>
      </w:tr>
      <w:tr w14:paraId="6577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33C929EB">
            <w:pPr>
              <w:spacing w:line="276" w:lineRule="auto"/>
              <w:rPr>
                <w:rFonts w:ascii="宋体" w:hAnsi="宋体" w:cs="宋体"/>
                <w:color w:val="auto"/>
                <w:highlight w:val="none"/>
              </w:rPr>
            </w:pPr>
            <w:r>
              <w:rPr>
                <w:rFonts w:hint="eastAsia" w:ascii="宋体" w:hAnsi="宋体" w:cs="宋体"/>
                <w:color w:val="auto"/>
                <w:highlight w:val="none"/>
              </w:rPr>
              <w:t>（二）文物保护建筑、优秀历史建筑或历史文化风貌区影响范围内的拆除工程。</w:t>
            </w:r>
          </w:p>
        </w:tc>
        <w:tc>
          <w:tcPr>
            <w:tcW w:w="793" w:type="pct"/>
            <w:tcBorders>
              <w:top w:val="single" w:color="auto" w:sz="4" w:space="0"/>
              <w:left w:val="nil"/>
              <w:bottom w:val="single" w:color="auto" w:sz="4" w:space="0"/>
              <w:right w:val="single" w:color="auto" w:sz="4" w:space="0"/>
            </w:tcBorders>
            <w:noWrap w:val="0"/>
            <w:vAlign w:val="center"/>
          </w:tcPr>
          <w:p w14:paraId="3B537720">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297D36DC">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0B477A17">
            <w:pPr>
              <w:spacing w:line="276" w:lineRule="auto"/>
              <w:jc w:val="center"/>
              <w:rPr>
                <w:rFonts w:ascii="宋体" w:hAnsi="宋体" w:cs="宋体"/>
                <w:color w:val="auto"/>
                <w:highlight w:val="none"/>
              </w:rPr>
            </w:pPr>
          </w:p>
        </w:tc>
      </w:tr>
      <w:tr w14:paraId="2293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E64E702">
            <w:pPr>
              <w:spacing w:line="276" w:lineRule="auto"/>
              <w:rPr>
                <w:rFonts w:ascii="宋体" w:hAnsi="宋体" w:cs="宋体"/>
                <w:b/>
                <w:color w:val="auto"/>
                <w:highlight w:val="none"/>
              </w:rPr>
            </w:pPr>
            <w:r>
              <w:rPr>
                <w:rFonts w:hint="eastAsia" w:ascii="宋体" w:hAnsi="宋体" w:cs="宋体"/>
                <w:b/>
                <w:color w:val="auto"/>
                <w:highlight w:val="none"/>
              </w:rPr>
              <w:t>六、暗挖工程</w:t>
            </w:r>
          </w:p>
        </w:tc>
      </w:tr>
      <w:tr w14:paraId="6485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7C09F9E9">
            <w:pPr>
              <w:spacing w:line="276" w:lineRule="auto"/>
              <w:rPr>
                <w:rFonts w:ascii="宋体" w:hAnsi="宋体" w:cs="宋体"/>
                <w:color w:val="auto"/>
                <w:highlight w:val="none"/>
              </w:rPr>
            </w:pPr>
            <w:r>
              <w:rPr>
                <w:rFonts w:hint="eastAsia" w:ascii="宋体" w:hAnsi="宋体" w:cs="宋体"/>
                <w:color w:val="auto"/>
                <w:highlight w:val="none"/>
              </w:rPr>
              <w:t>采用矿山法、盾构法、顶管法施工的隧道、洞室工程。</w:t>
            </w:r>
          </w:p>
        </w:tc>
        <w:tc>
          <w:tcPr>
            <w:tcW w:w="793" w:type="pct"/>
            <w:tcBorders>
              <w:top w:val="single" w:color="auto" w:sz="4" w:space="0"/>
              <w:left w:val="nil"/>
              <w:bottom w:val="single" w:color="auto" w:sz="4" w:space="0"/>
              <w:right w:val="single" w:color="auto" w:sz="4" w:space="0"/>
            </w:tcBorders>
            <w:noWrap w:val="0"/>
            <w:vAlign w:val="center"/>
          </w:tcPr>
          <w:p w14:paraId="73B5CCF1">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535817F3">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56145DD2">
            <w:pPr>
              <w:spacing w:line="276" w:lineRule="auto"/>
              <w:jc w:val="center"/>
              <w:rPr>
                <w:rFonts w:ascii="宋体" w:hAnsi="宋体" w:cs="宋体"/>
                <w:color w:val="auto"/>
                <w:highlight w:val="none"/>
              </w:rPr>
            </w:pPr>
          </w:p>
        </w:tc>
      </w:tr>
      <w:tr w14:paraId="6961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3CFAB53">
            <w:pPr>
              <w:spacing w:line="276" w:lineRule="auto"/>
              <w:rPr>
                <w:rFonts w:ascii="宋体" w:hAnsi="宋体" w:cs="宋体"/>
                <w:b/>
                <w:color w:val="auto"/>
                <w:highlight w:val="none"/>
              </w:rPr>
            </w:pPr>
            <w:r>
              <w:rPr>
                <w:rFonts w:hint="eastAsia" w:ascii="宋体" w:hAnsi="宋体" w:cs="宋体"/>
                <w:b/>
                <w:color w:val="auto"/>
                <w:highlight w:val="none"/>
              </w:rPr>
              <w:t>七、其它</w:t>
            </w:r>
          </w:p>
        </w:tc>
      </w:tr>
      <w:tr w14:paraId="69DE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167FF7CD">
            <w:pPr>
              <w:spacing w:line="276" w:lineRule="auto"/>
              <w:rPr>
                <w:rFonts w:ascii="宋体" w:hAnsi="宋体" w:cs="宋体"/>
                <w:color w:val="auto"/>
                <w:highlight w:val="none"/>
              </w:rPr>
            </w:pPr>
            <w:r>
              <w:rPr>
                <w:rFonts w:hint="eastAsia" w:ascii="宋体" w:hAnsi="宋体" w:cs="宋体"/>
                <w:color w:val="auto"/>
                <w:highlight w:val="none"/>
              </w:rPr>
              <w:t>（一）施工高度50m及以上的建筑幕墙安装工程。</w:t>
            </w:r>
          </w:p>
        </w:tc>
        <w:tc>
          <w:tcPr>
            <w:tcW w:w="793" w:type="pct"/>
            <w:tcBorders>
              <w:top w:val="single" w:color="auto" w:sz="4" w:space="0"/>
              <w:left w:val="nil"/>
              <w:bottom w:val="single" w:color="auto" w:sz="4" w:space="0"/>
              <w:right w:val="single" w:color="auto" w:sz="4" w:space="0"/>
            </w:tcBorders>
            <w:noWrap w:val="0"/>
            <w:vAlign w:val="center"/>
          </w:tcPr>
          <w:p w14:paraId="4A1501D3">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770809C4">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759FAA4F">
            <w:pPr>
              <w:spacing w:line="276" w:lineRule="auto"/>
              <w:jc w:val="center"/>
              <w:rPr>
                <w:rFonts w:ascii="宋体" w:hAnsi="宋体" w:cs="宋体"/>
                <w:color w:val="auto"/>
                <w:highlight w:val="none"/>
              </w:rPr>
            </w:pPr>
          </w:p>
        </w:tc>
      </w:tr>
      <w:tr w14:paraId="6A3E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71301E87">
            <w:pPr>
              <w:spacing w:line="276" w:lineRule="auto"/>
              <w:rPr>
                <w:rFonts w:ascii="宋体" w:hAnsi="宋体" w:cs="宋体"/>
                <w:color w:val="auto"/>
                <w:highlight w:val="none"/>
              </w:rPr>
            </w:pPr>
            <w:r>
              <w:rPr>
                <w:rFonts w:hint="eastAsia" w:ascii="宋体" w:hAnsi="宋体" w:cs="宋体"/>
                <w:color w:val="auto"/>
                <w:highlight w:val="none"/>
              </w:rPr>
              <w:t>（二）跨度36m及以上的钢结构安装工程，或跨度60m及以上的网架和索膜结构安装工程。</w:t>
            </w:r>
          </w:p>
        </w:tc>
        <w:tc>
          <w:tcPr>
            <w:tcW w:w="793" w:type="pct"/>
            <w:tcBorders>
              <w:top w:val="single" w:color="auto" w:sz="4" w:space="0"/>
              <w:left w:val="nil"/>
              <w:bottom w:val="single" w:color="auto" w:sz="4" w:space="0"/>
              <w:right w:val="single" w:color="auto" w:sz="4" w:space="0"/>
            </w:tcBorders>
            <w:noWrap w:val="0"/>
            <w:vAlign w:val="center"/>
          </w:tcPr>
          <w:p w14:paraId="31C270B9">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04F8FE86">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2AC17414">
            <w:pPr>
              <w:spacing w:line="276" w:lineRule="auto"/>
              <w:jc w:val="center"/>
              <w:rPr>
                <w:rFonts w:ascii="宋体" w:hAnsi="宋体" w:cs="宋体"/>
                <w:color w:val="auto"/>
                <w:highlight w:val="none"/>
              </w:rPr>
            </w:pPr>
          </w:p>
        </w:tc>
      </w:tr>
      <w:tr w14:paraId="31A3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69ECD106">
            <w:pPr>
              <w:spacing w:line="276" w:lineRule="auto"/>
              <w:rPr>
                <w:rFonts w:ascii="宋体" w:hAnsi="宋体" w:cs="宋体"/>
                <w:color w:val="auto"/>
                <w:highlight w:val="none"/>
              </w:rPr>
            </w:pPr>
            <w:r>
              <w:rPr>
                <w:rFonts w:hint="eastAsia" w:ascii="宋体" w:hAnsi="宋体" w:cs="宋体"/>
                <w:color w:val="auto"/>
                <w:highlight w:val="none"/>
              </w:rPr>
              <w:t>（三）开挖深度16m及以上的人工挖孔桩工程。</w:t>
            </w:r>
          </w:p>
        </w:tc>
        <w:tc>
          <w:tcPr>
            <w:tcW w:w="793" w:type="pct"/>
            <w:tcBorders>
              <w:top w:val="single" w:color="auto" w:sz="4" w:space="0"/>
              <w:left w:val="nil"/>
              <w:bottom w:val="single" w:color="auto" w:sz="4" w:space="0"/>
              <w:right w:val="single" w:color="auto" w:sz="4" w:space="0"/>
            </w:tcBorders>
            <w:noWrap w:val="0"/>
            <w:vAlign w:val="center"/>
          </w:tcPr>
          <w:p w14:paraId="1E9C12F8">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4EEF59DE">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4A6D7F9D">
            <w:pPr>
              <w:spacing w:line="276" w:lineRule="auto"/>
              <w:jc w:val="center"/>
              <w:rPr>
                <w:rFonts w:ascii="宋体" w:hAnsi="宋体" w:cs="宋体"/>
                <w:color w:val="auto"/>
                <w:highlight w:val="none"/>
              </w:rPr>
            </w:pPr>
          </w:p>
        </w:tc>
      </w:tr>
      <w:tr w14:paraId="7869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4AF367B3">
            <w:pPr>
              <w:spacing w:line="276" w:lineRule="auto"/>
              <w:rPr>
                <w:rFonts w:ascii="宋体" w:hAnsi="宋体" w:cs="宋体"/>
                <w:color w:val="auto"/>
                <w:highlight w:val="none"/>
              </w:rPr>
            </w:pPr>
            <w:r>
              <w:rPr>
                <w:rFonts w:hint="eastAsia" w:ascii="宋体" w:hAnsi="宋体" w:cs="宋体"/>
                <w:color w:val="auto"/>
                <w:highlight w:val="none"/>
              </w:rPr>
              <w:t>（四）水下作业工程。</w:t>
            </w:r>
          </w:p>
        </w:tc>
        <w:tc>
          <w:tcPr>
            <w:tcW w:w="793" w:type="pct"/>
            <w:tcBorders>
              <w:top w:val="single" w:color="auto" w:sz="4" w:space="0"/>
              <w:left w:val="nil"/>
              <w:bottom w:val="single" w:color="auto" w:sz="4" w:space="0"/>
              <w:right w:val="single" w:color="auto" w:sz="4" w:space="0"/>
            </w:tcBorders>
            <w:noWrap w:val="0"/>
            <w:vAlign w:val="center"/>
          </w:tcPr>
          <w:p w14:paraId="78BA8325">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1E8D89D0">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60BB51E3">
            <w:pPr>
              <w:spacing w:line="276" w:lineRule="auto"/>
              <w:jc w:val="center"/>
              <w:rPr>
                <w:rFonts w:ascii="宋体" w:hAnsi="宋体" w:cs="宋体"/>
                <w:color w:val="auto"/>
                <w:highlight w:val="none"/>
              </w:rPr>
            </w:pPr>
          </w:p>
        </w:tc>
      </w:tr>
      <w:tr w14:paraId="2639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13F1E2F9">
            <w:pPr>
              <w:spacing w:line="276" w:lineRule="auto"/>
              <w:rPr>
                <w:rFonts w:ascii="宋体" w:hAnsi="宋体" w:cs="宋体"/>
                <w:color w:val="auto"/>
                <w:highlight w:val="none"/>
              </w:rPr>
            </w:pPr>
            <w:r>
              <w:rPr>
                <w:rFonts w:hint="eastAsia" w:ascii="宋体" w:hAnsi="宋体" w:cs="宋体"/>
                <w:color w:val="auto"/>
                <w:highlight w:val="none"/>
              </w:rPr>
              <w:t>（五）重量1000kN及以上的大型结构整体顶升、平移、转体等施工工艺。</w:t>
            </w:r>
          </w:p>
        </w:tc>
        <w:tc>
          <w:tcPr>
            <w:tcW w:w="793" w:type="pct"/>
            <w:tcBorders>
              <w:top w:val="single" w:color="auto" w:sz="4" w:space="0"/>
              <w:left w:val="nil"/>
              <w:bottom w:val="single" w:color="auto" w:sz="4" w:space="0"/>
              <w:right w:val="single" w:color="auto" w:sz="4" w:space="0"/>
            </w:tcBorders>
            <w:noWrap w:val="0"/>
            <w:vAlign w:val="center"/>
          </w:tcPr>
          <w:p w14:paraId="62A1FDD6">
            <w:pPr>
              <w:spacing w:line="276" w:lineRule="auto"/>
              <w:jc w:val="center"/>
              <w:rPr>
                <w:rFonts w:ascii="宋体" w:hAnsi="宋体" w:cs="宋体"/>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1520922A">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374CD8B2">
            <w:pPr>
              <w:spacing w:line="276" w:lineRule="auto"/>
              <w:jc w:val="center"/>
              <w:rPr>
                <w:rFonts w:ascii="宋体" w:hAnsi="宋体" w:cs="宋体"/>
                <w:color w:val="auto"/>
                <w:highlight w:val="none"/>
              </w:rPr>
            </w:pPr>
          </w:p>
        </w:tc>
      </w:tr>
      <w:tr w14:paraId="0435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pct"/>
            <w:tcBorders>
              <w:top w:val="single" w:color="auto" w:sz="4" w:space="0"/>
              <w:left w:val="single" w:color="auto" w:sz="4" w:space="0"/>
              <w:bottom w:val="single" w:color="auto" w:sz="4" w:space="0"/>
              <w:right w:val="single" w:color="auto" w:sz="4" w:space="0"/>
            </w:tcBorders>
            <w:noWrap w:val="0"/>
            <w:vAlign w:val="center"/>
          </w:tcPr>
          <w:p w14:paraId="1A6ADD4C">
            <w:pPr>
              <w:spacing w:line="276" w:lineRule="auto"/>
              <w:rPr>
                <w:rFonts w:ascii="宋体" w:hAnsi="宋体" w:cs="宋体"/>
                <w:color w:val="auto"/>
                <w:highlight w:val="none"/>
              </w:rPr>
            </w:pPr>
            <w:r>
              <w:rPr>
                <w:rFonts w:hint="eastAsia" w:ascii="宋体" w:hAnsi="宋体" w:cs="宋体"/>
                <w:color w:val="auto"/>
                <w:highlight w:val="none"/>
              </w:rPr>
              <w:t>（六）采用新技术、新工艺、新材料、新设备可能影响工程施工安全，尚无国家、行业及地方技术标准的分部分项工程。</w:t>
            </w:r>
          </w:p>
        </w:tc>
        <w:tc>
          <w:tcPr>
            <w:tcW w:w="793" w:type="pct"/>
            <w:tcBorders>
              <w:top w:val="single" w:color="auto" w:sz="4" w:space="0"/>
              <w:left w:val="nil"/>
              <w:bottom w:val="single" w:color="auto" w:sz="4" w:space="0"/>
              <w:right w:val="single" w:color="auto" w:sz="4" w:space="0"/>
            </w:tcBorders>
            <w:noWrap w:val="0"/>
            <w:vAlign w:val="center"/>
          </w:tcPr>
          <w:p w14:paraId="688687CF">
            <w:pPr>
              <w:spacing w:line="276" w:lineRule="auto"/>
              <w:jc w:val="center"/>
              <w:rPr>
                <w:rFonts w:ascii="宋体" w:hAnsi="宋体" w:cs="宋体"/>
                <w:b/>
                <w:color w:val="auto"/>
                <w:highlight w:val="none"/>
              </w:rPr>
            </w:pPr>
            <w:r>
              <w:rPr>
                <w:rFonts w:hint="eastAsia" w:ascii="宋体" w:hAnsi="宋体" w:cs="宋体"/>
                <w:color w:val="auto"/>
                <w:sz w:val="24"/>
                <w:szCs w:val="36"/>
                <w:highlight w:val="none"/>
              </w:rPr>
              <w:t>×</w:t>
            </w:r>
          </w:p>
        </w:tc>
        <w:tc>
          <w:tcPr>
            <w:tcW w:w="793" w:type="pct"/>
            <w:tcBorders>
              <w:top w:val="single" w:color="auto" w:sz="4" w:space="0"/>
              <w:left w:val="nil"/>
              <w:bottom w:val="single" w:color="auto" w:sz="4" w:space="0"/>
              <w:right w:val="single" w:color="auto" w:sz="4" w:space="0"/>
            </w:tcBorders>
            <w:noWrap w:val="0"/>
            <w:vAlign w:val="center"/>
          </w:tcPr>
          <w:p w14:paraId="50E0918A">
            <w:pPr>
              <w:spacing w:line="276" w:lineRule="auto"/>
              <w:jc w:val="center"/>
              <w:rPr>
                <w:rFonts w:ascii="宋体" w:hAnsi="宋体" w:cs="宋体"/>
                <w:color w:val="auto"/>
                <w:highlight w:val="none"/>
              </w:rPr>
            </w:pPr>
          </w:p>
        </w:tc>
        <w:tc>
          <w:tcPr>
            <w:tcW w:w="622" w:type="pct"/>
            <w:tcBorders>
              <w:top w:val="single" w:color="auto" w:sz="4" w:space="0"/>
              <w:left w:val="nil"/>
              <w:bottom w:val="single" w:color="auto" w:sz="4" w:space="0"/>
              <w:right w:val="single" w:color="auto" w:sz="4" w:space="0"/>
            </w:tcBorders>
            <w:noWrap w:val="0"/>
            <w:vAlign w:val="center"/>
          </w:tcPr>
          <w:p w14:paraId="4348D86A">
            <w:pPr>
              <w:spacing w:line="276" w:lineRule="auto"/>
              <w:jc w:val="center"/>
              <w:rPr>
                <w:rFonts w:ascii="宋体" w:hAnsi="宋体" w:cs="宋体"/>
                <w:color w:val="auto"/>
                <w:highlight w:val="none"/>
              </w:rPr>
            </w:pPr>
          </w:p>
        </w:tc>
      </w:tr>
    </w:tbl>
    <w:p w14:paraId="451FC397">
      <w:pPr>
        <w:widowControl/>
        <w:jc w:val="left"/>
        <w:rPr>
          <w:rFonts w:hint="eastAsia" w:ascii="宋体" w:hAnsi="宋体" w:cs="宋体"/>
          <w:color w:val="auto"/>
          <w:sz w:val="24"/>
          <w:szCs w:val="28"/>
          <w:highlight w:val="none"/>
        </w:rPr>
      </w:pPr>
    </w:p>
    <w:p w14:paraId="12E76550">
      <w:pPr>
        <w:topLinePunct/>
        <w:adjustRightInd w:val="0"/>
        <w:snapToGrid w:val="0"/>
        <w:spacing w:line="360" w:lineRule="auto"/>
        <w:ind w:firstLine="691" w:firstLineChars="279"/>
        <w:jc w:val="right"/>
        <w:rPr>
          <w:rFonts w:hint="eastAsia" w:ascii="宋体" w:hAnsi="宋体" w:cs="宋体"/>
          <w:snapToGrid w:val="0"/>
          <w:color w:val="auto"/>
          <w:spacing w:val="4"/>
          <w:kern w:val="0"/>
          <w:sz w:val="24"/>
          <w:szCs w:val="24"/>
          <w:highlight w:val="none"/>
        </w:rPr>
      </w:pPr>
    </w:p>
    <w:p w14:paraId="54111ED9">
      <w:pPr>
        <w:topLinePunct/>
        <w:adjustRightInd w:val="0"/>
        <w:snapToGrid w:val="0"/>
        <w:spacing w:line="360" w:lineRule="auto"/>
        <w:ind w:firstLine="691" w:firstLineChars="279"/>
        <w:jc w:val="center"/>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cs="宋体"/>
          <w:snapToGrid w:val="0"/>
          <w:color w:val="auto"/>
          <w:spacing w:val="4"/>
          <w:kern w:val="0"/>
          <w:sz w:val="24"/>
          <w:szCs w:val="24"/>
          <w:highlight w:val="none"/>
        </w:rPr>
        <w:t xml:space="preserve">投标人名称：                                   </w:t>
      </w:r>
    </w:p>
    <w:p w14:paraId="0ED901CE">
      <w:pPr>
        <w:topLinePunct/>
        <w:autoSpaceDE/>
        <w:autoSpaceDN/>
        <w:adjustRightInd w:val="0"/>
        <w:snapToGrid w:val="0"/>
        <w:spacing w:line="360" w:lineRule="auto"/>
        <w:ind w:firstLine="691" w:firstLineChars="279"/>
        <w:jc w:val="right"/>
        <w:rPr>
          <w:rFonts w:hint="eastAsia" w:ascii="宋体" w:hAnsi="宋体" w:cs="宋体"/>
          <w:bCs/>
          <w:color w:val="auto"/>
          <w:sz w:val="24"/>
          <w:szCs w:val="24"/>
          <w:highlight w:val="none"/>
        </w:rPr>
      </w:pPr>
      <w:r>
        <w:rPr>
          <w:rFonts w:hint="eastAsia" w:ascii="宋体" w:hAnsi="宋体" w:cs="宋体"/>
          <w:snapToGrid w:val="0"/>
          <w:color w:val="auto"/>
          <w:spacing w:val="4"/>
          <w:kern w:val="0"/>
          <w:sz w:val="24"/>
          <w:szCs w:val="24"/>
          <w:highlight w:val="none"/>
        </w:rPr>
        <w:t>日    期：    年    月    日</w:t>
      </w:r>
    </w:p>
    <w:p w14:paraId="63DFDF4B">
      <w:pPr>
        <w:pStyle w:val="49"/>
        <w:rPr>
          <w:color w:val="auto"/>
          <w:highlight w:val="none"/>
        </w:rPr>
      </w:pPr>
    </w:p>
    <w:p w14:paraId="111B42D3">
      <w:pPr>
        <w:pStyle w:val="110"/>
        <w:rPr>
          <w:rFonts w:hint="eastAsia"/>
          <w:color w:val="auto"/>
          <w:highlight w:val="none"/>
        </w:rPr>
      </w:pPr>
    </w:p>
    <w:p w14:paraId="5F97282C">
      <w:pPr>
        <w:pStyle w:val="2"/>
        <w:rPr>
          <w:rFonts w:hint="eastAsia" w:hAnsi="宋体" w:cs="宋体"/>
          <w:bCs/>
          <w:color w:val="auto"/>
          <w:szCs w:val="24"/>
          <w:highlight w:val="none"/>
        </w:rPr>
      </w:pPr>
      <w:r>
        <w:rPr>
          <w:rFonts w:hint="eastAsia" w:hAnsi="宋体" w:cs="宋体"/>
          <w:color w:val="auto"/>
          <w:highlight w:val="none"/>
        </w:rPr>
        <w:br w:type="page"/>
      </w:r>
      <w:bookmarkEnd w:id="98"/>
    </w:p>
    <w:p w14:paraId="2734F8E9">
      <w:pPr>
        <w:rPr>
          <w:rFonts w:hint="eastAsia" w:ascii="宋体" w:hAnsi="宋体" w:cs="宋体"/>
          <w:bCs/>
          <w:color w:val="auto"/>
          <w:szCs w:val="24"/>
          <w:highlight w:val="none"/>
        </w:rPr>
      </w:pPr>
    </w:p>
    <w:p w14:paraId="418E9992">
      <w:pPr>
        <w:pStyle w:val="2"/>
        <w:rPr>
          <w:rFonts w:hint="eastAsia" w:hAnsi="宋体" w:cs="宋体"/>
          <w:bCs/>
          <w:color w:val="auto"/>
          <w:szCs w:val="24"/>
          <w:highlight w:val="none"/>
        </w:rPr>
      </w:pPr>
    </w:p>
    <w:p w14:paraId="631FD62B">
      <w:pPr>
        <w:rPr>
          <w:rFonts w:hint="eastAsia" w:ascii="宋体" w:hAnsi="宋体" w:cs="宋体"/>
          <w:bCs/>
          <w:color w:val="auto"/>
          <w:szCs w:val="24"/>
          <w:highlight w:val="none"/>
        </w:rPr>
      </w:pPr>
    </w:p>
    <w:p w14:paraId="7D27DB5F">
      <w:pPr>
        <w:pStyle w:val="2"/>
        <w:rPr>
          <w:rFonts w:hint="eastAsia" w:hAnsi="宋体" w:cs="宋体"/>
          <w:bCs/>
          <w:color w:val="auto"/>
          <w:szCs w:val="24"/>
          <w:highlight w:val="none"/>
        </w:rPr>
      </w:pPr>
    </w:p>
    <w:p w14:paraId="11B28371">
      <w:pPr>
        <w:rPr>
          <w:rFonts w:hint="eastAsia" w:ascii="宋体" w:hAnsi="宋体" w:cs="宋体"/>
          <w:bCs/>
          <w:color w:val="auto"/>
          <w:szCs w:val="24"/>
          <w:highlight w:val="none"/>
        </w:rPr>
      </w:pPr>
    </w:p>
    <w:p w14:paraId="65C3E09F">
      <w:pPr>
        <w:pStyle w:val="2"/>
        <w:rPr>
          <w:rFonts w:hint="eastAsia" w:hAnsi="宋体" w:cs="宋体"/>
          <w:bCs/>
          <w:color w:val="auto"/>
          <w:szCs w:val="24"/>
          <w:highlight w:val="none"/>
        </w:rPr>
      </w:pPr>
    </w:p>
    <w:p w14:paraId="770A380F">
      <w:pPr>
        <w:rPr>
          <w:rFonts w:hint="eastAsia" w:ascii="宋体" w:hAnsi="宋体" w:cs="宋体"/>
          <w:bCs/>
          <w:color w:val="auto"/>
          <w:szCs w:val="24"/>
          <w:highlight w:val="none"/>
        </w:rPr>
      </w:pPr>
    </w:p>
    <w:p w14:paraId="0004C204">
      <w:pPr>
        <w:pStyle w:val="2"/>
        <w:rPr>
          <w:rFonts w:hint="eastAsia" w:hAnsi="宋体" w:cs="宋体"/>
          <w:bCs/>
          <w:color w:val="auto"/>
          <w:szCs w:val="24"/>
          <w:highlight w:val="none"/>
        </w:rPr>
      </w:pPr>
    </w:p>
    <w:p w14:paraId="5A19EC75">
      <w:pPr>
        <w:rPr>
          <w:rFonts w:hint="eastAsia" w:ascii="宋体" w:hAnsi="宋体" w:cs="宋体"/>
          <w:bCs/>
          <w:color w:val="auto"/>
          <w:szCs w:val="24"/>
          <w:highlight w:val="none"/>
        </w:rPr>
      </w:pPr>
    </w:p>
    <w:p w14:paraId="725F27D2">
      <w:pPr>
        <w:pStyle w:val="2"/>
        <w:rPr>
          <w:rFonts w:hint="eastAsia" w:hAnsi="宋体" w:cs="宋体"/>
          <w:bCs/>
          <w:color w:val="auto"/>
          <w:szCs w:val="24"/>
          <w:highlight w:val="none"/>
        </w:rPr>
      </w:pPr>
    </w:p>
    <w:p w14:paraId="276B6A9D">
      <w:pPr>
        <w:rPr>
          <w:rFonts w:hint="eastAsia" w:ascii="宋体" w:hAnsi="宋体" w:cs="宋体"/>
          <w:color w:val="auto"/>
          <w:highlight w:val="none"/>
        </w:rPr>
      </w:pPr>
    </w:p>
    <w:p w14:paraId="17CD6C61">
      <w:pPr>
        <w:pStyle w:val="4"/>
        <w:rPr>
          <w:rFonts w:hint="eastAsia" w:cs="宋体"/>
          <w:bCs/>
          <w:color w:val="auto"/>
          <w:sz w:val="32"/>
          <w:szCs w:val="32"/>
          <w:highlight w:val="none"/>
        </w:rPr>
      </w:pPr>
      <w:bookmarkStart w:id="99" w:name="_Toc973"/>
      <w:bookmarkStart w:id="100" w:name="_Toc100130497"/>
      <w:bookmarkStart w:id="101" w:name="_Toc58838604"/>
      <w:r>
        <w:rPr>
          <w:rFonts w:hint="eastAsia" w:cs="宋体"/>
          <w:color w:val="auto"/>
          <w:sz w:val="32"/>
          <w:szCs w:val="32"/>
          <w:highlight w:val="none"/>
        </w:rPr>
        <w:t>二、经济标投标文件格式</w:t>
      </w:r>
      <w:bookmarkEnd w:id="99"/>
      <w:bookmarkEnd w:id="100"/>
      <w:bookmarkEnd w:id="101"/>
    </w:p>
    <w:p w14:paraId="06A9BBEA">
      <w:pPr>
        <w:topLinePunct/>
        <w:adjustRightInd w:val="0"/>
        <w:snapToGrid w:val="0"/>
        <w:spacing w:line="360" w:lineRule="auto"/>
        <w:jc w:val="left"/>
        <w:rPr>
          <w:rFonts w:hint="eastAsia" w:ascii="宋体" w:hAnsi="宋体" w:cs="宋体"/>
          <w:b/>
          <w:bCs/>
          <w:snapToGrid w:val="0"/>
          <w:color w:val="auto"/>
          <w:sz w:val="24"/>
          <w:szCs w:val="24"/>
          <w:highlight w:val="none"/>
        </w:rPr>
      </w:pPr>
      <w:bookmarkStart w:id="102" w:name="_Toc58838605"/>
      <w:bookmarkStart w:id="103" w:name="_Toc6493862"/>
      <w:bookmarkStart w:id="104" w:name="_Toc100130498"/>
      <w:bookmarkStart w:id="105" w:name="_Toc60070633"/>
      <w:r>
        <w:rPr>
          <w:rFonts w:hint="eastAsia" w:ascii="宋体" w:hAnsi="宋体" w:cs="宋体"/>
          <w:b/>
          <w:bCs/>
          <w:snapToGrid w:val="0"/>
          <w:color w:val="auto"/>
          <w:sz w:val="24"/>
          <w:szCs w:val="24"/>
          <w:highlight w:val="none"/>
        </w:rPr>
        <w:br w:type="page"/>
      </w:r>
      <w:r>
        <w:rPr>
          <w:rFonts w:hint="eastAsia" w:ascii="宋体" w:hAnsi="宋体" w:cs="宋体"/>
          <w:b/>
          <w:bCs/>
          <w:snapToGrid w:val="0"/>
          <w:color w:val="auto"/>
          <w:sz w:val="24"/>
          <w:szCs w:val="24"/>
          <w:highlight w:val="none"/>
        </w:rPr>
        <w:t>格式一：经济标封面</w:t>
      </w:r>
    </w:p>
    <w:p w14:paraId="1F8EE276">
      <w:pPr>
        <w:topLinePunct/>
        <w:adjustRightInd w:val="0"/>
        <w:snapToGrid w:val="0"/>
        <w:spacing w:line="360" w:lineRule="auto"/>
        <w:jc w:val="center"/>
        <w:rPr>
          <w:rFonts w:hint="eastAsia" w:ascii="宋体" w:hAnsi="宋体" w:cs="宋体"/>
          <w:color w:val="auto"/>
          <w:spacing w:val="4"/>
          <w:kern w:val="0"/>
          <w:sz w:val="36"/>
          <w:szCs w:val="36"/>
          <w:highlight w:val="none"/>
          <w:u w:val="single"/>
        </w:rPr>
      </w:pPr>
      <w:r>
        <w:rPr>
          <w:rFonts w:hint="eastAsia" w:ascii="宋体" w:hAnsi="宋体" w:cs="宋体"/>
          <w:color w:val="auto"/>
          <w:spacing w:val="4"/>
          <w:kern w:val="0"/>
          <w:sz w:val="36"/>
          <w:szCs w:val="36"/>
          <w:highlight w:val="none"/>
          <w:u w:val="single"/>
        </w:rPr>
        <w:t xml:space="preserve">[工程名称] </w:t>
      </w:r>
    </w:p>
    <w:p w14:paraId="091988C3">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5B5C6F70">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75278B16">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3C242872">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7DBEBC71">
      <w:pPr>
        <w:topLinePunct/>
        <w:adjustRightInd w:val="0"/>
        <w:snapToGrid w:val="0"/>
        <w:spacing w:line="360" w:lineRule="auto"/>
        <w:jc w:val="center"/>
        <w:rPr>
          <w:rFonts w:hint="eastAsia" w:ascii="宋体" w:hAnsi="宋体" w:cs="宋体"/>
          <w:color w:val="auto"/>
          <w:spacing w:val="4"/>
          <w:kern w:val="0"/>
          <w:sz w:val="84"/>
          <w:szCs w:val="84"/>
          <w:highlight w:val="none"/>
        </w:rPr>
      </w:pPr>
      <w:r>
        <w:rPr>
          <w:rFonts w:hint="eastAsia" w:ascii="宋体" w:hAnsi="宋体" w:cs="宋体"/>
          <w:color w:val="auto"/>
          <w:spacing w:val="4"/>
          <w:kern w:val="0"/>
          <w:sz w:val="84"/>
          <w:szCs w:val="84"/>
          <w:highlight w:val="none"/>
        </w:rPr>
        <w:t>投标文件</w:t>
      </w:r>
    </w:p>
    <w:p w14:paraId="24CEE983">
      <w:pPr>
        <w:topLinePunct/>
        <w:adjustRightInd w:val="0"/>
        <w:snapToGrid w:val="0"/>
        <w:spacing w:line="360" w:lineRule="auto"/>
        <w:jc w:val="center"/>
        <w:rPr>
          <w:rFonts w:hint="eastAsia" w:ascii="宋体" w:hAnsi="宋体" w:cs="宋体"/>
          <w:color w:val="auto"/>
          <w:spacing w:val="4"/>
          <w:kern w:val="0"/>
          <w:sz w:val="36"/>
          <w:szCs w:val="36"/>
          <w:highlight w:val="none"/>
        </w:rPr>
      </w:pPr>
      <w:r>
        <w:rPr>
          <w:rFonts w:hint="eastAsia" w:ascii="宋体" w:hAnsi="宋体" w:cs="宋体"/>
          <w:color w:val="auto"/>
          <w:spacing w:val="4"/>
          <w:kern w:val="0"/>
          <w:sz w:val="36"/>
          <w:szCs w:val="36"/>
          <w:highlight w:val="none"/>
        </w:rPr>
        <w:t>第二册 （经济标书）</w:t>
      </w:r>
    </w:p>
    <w:p w14:paraId="13EAB98A">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   </w:t>
      </w:r>
    </w:p>
    <w:p w14:paraId="4189B8EF">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4C2F715E">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4D5E4503">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62281CE2">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551211C4">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629AC8F7">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投标人：</w:t>
      </w:r>
      <w:r>
        <w:rPr>
          <w:rFonts w:hint="eastAsia" w:ascii="宋体" w:hAnsi="宋体" w:cs="宋体"/>
          <w:color w:val="auto"/>
          <w:spacing w:val="4"/>
          <w:kern w:val="0"/>
          <w:sz w:val="30"/>
          <w:szCs w:val="30"/>
          <w:highlight w:val="none"/>
          <w:u w:val="single"/>
        </w:rPr>
        <w:t xml:space="preserve">       （填写投标人单位名称）       （盖章）</w:t>
      </w:r>
    </w:p>
    <w:p w14:paraId="5AE4DF52">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p>
    <w:p w14:paraId="42E2CFD1">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法定代表人或</w:t>
      </w:r>
    </w:p>
    <w:p w14:paraId="7C481381">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其委托代理人：</w:t>
      </w:r>
      <w:r>
        <w:rPr>
          <w:rFonts w:hint="eastAsia" w:ascii="宋体" w:hAnsi="宋体" w:cs="宋体"/>
          <w:color w:val="auto"/>
          <w:spacing w:val="4"/>
          <w:kern w:val="0"/>
          <w:sz w:val="30"/>
          <w:szCs w:val="30"/>
          <w:highlight w:val="none"/>
          <w:u w:val="single"/>
        </w:rPr>
        <w:t xml:space="preserve">                        （签字或盖章）</w:t>
      </w:r>
    </w:p>
    <w:p w14:paraId="73269D58">
      <w:pPr>
        <w:topLinePunct/>
        <w:adjustRightInd w:val="0"/>
        <w:snapToGrid w:val="0"/>
        <w:spacing w:line="360" w:lineRule="auto"/>
        <w:ind w:firstLine="616" w:firstLineChars="200"/>
        <w:jc w:val="left"/>
        <w:rPr>
          <w:rFonts w:hint="eastAsia"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日  期：</w:t>
      </w:r>
      <w:r>
        <w:rPr>
          <w:rFonts w:hint="eastAsia" w:ascii="宋体" w:hAnsi="宋体" w:cs="宋体"/>
          <w:color w:val="auto"/>
          <w:spacing w:val="4"/>
          <w:kern w:val="0"/>
          <w:sz w:val="30"/>
          <w:szCs w:val="30"/>
          <w:highlight w:val="none"/>
          <w:u w:val="single"/>
        </w:rPr>
        <w:t xml:space="preserve">                                        </w:t>
      </w:r>
      <w:r>
        <w:rPr>
          <w:rFonts w:hint="eastAsia" w:ascii="宋体" w:hAnsi="宋体" w:cs="宋体"/>
          <w:color w:val="auto"/>
          <w:spacing w:val="4"/>
          <w:kern w:val="0"/>
          <w:sz w:val="30"/>
          <w:szCs w:val="30"/>
          <w:highlight w:val="none"/>
        </w:rPr>
        <w:t xml:space="preserve"> </w:t>
      </w:r>
    </w:p>
    <w:p w14:paraId="3FDD58ED">
      <w:pPr>
        <w:outlineLvl w:val="2"/>
        <w:rPr>
          <w:rFonts w:ascii="宋体" w:hAnsi="宋体" w:cs="宋体"/>
          <w:b/>
          <w:color w:val="auto"/>
          <w:sz w:val="24"/>
          <w:szCs w:val="24"/>
          <w:highlight w:val="none"/>
        </w:rPr>
      </w:pPr>
      <w:r>
        <w:rPr>
          <w:rFonts w:hint="eastAsia" w:ascii="宋体" w:hAnsi="宋体" w:cs="宋体"/>
          <w:color w:val="auto"/>
          <w:highlight w:val="none"/>
        </w:rPr>
        <w:br w:type="page"/>
      </w:r>
      <w:bookmarkEnd w:id="102"/>
      <w:bookmarkEnd w:id="103"/>
      <w:bookmarkEnd w:id="104"/>
      <w:bookmarkEnd w:id="105"/>
      <w:bookmarkStart w:id="106" w:name="_Toc118116373"/>
      <w:bookmarkStart w:id="107" w:name="_Toc60070634"/>
      <w:bookmarkStart w:id="108" w:name="_Toc58838607"/>
      <w:bookmarkStart w:id="109" w:name="_Toc6493863"/>
      <w:bookmarkStart w:id="110" w:name="_Toc100130499"/>
      <w:bookmarkStart w:id="111" w:name="_Toc60070635"/>
      <w:r>
        <w:rPr>
          <w:rFonts w:hint="eastAsia" w:ascii="宋体" w:hAnsi="宋体" w:cs="宋体"/>
          <w:b/>
          <w:color w:val="auto"/>
          <w:sz w:val="24"/>
          <w:szCs w:val="24"/>
          <w:highlight w:val="none"/>
        </w:rPr>
        <w:t>格式二：工程量清单计价表</w:t>
      </w:r>
      <w:bookmarkEnd w:id="106"/>
    </w:p>
    <w:p w14:paraId="09262339">
      <w:pPr>
        <w:topLinePunct/>
        <w:adjustRightInd w:val="0"/>
        <w:snapToGrid w:val="0"/>
        <w:spacing w:line="360" w:lineRule="auto"/>
        <w:ind w:firstLine="498" w:firstLineChars="200"/>
        <w:rPr>
          <w:rFonts w:ascii="宋体" w:hAnsi="宋体" w:cs="宋体"/>
          <w:b/>
          <w:color w:val="auto"/>
          <w:spacing w:val="4"/>
          <w:kern w:val="0"/>
          <w:sz w:val="24"/>
          <w:szCs w:val="24"/>
          <w:highlight w:val="none"/>
        </w:rPr>
      </w:pPr>
    </w:p>
    <w:p w14:paraId="47085038">
      <w:pPr>
        <w:topLinePunct/>
        <w:adjustRightInd w:val="0"/>
        <w:snapToGrid w:val="0"/>
        <w:spacing w:line="360" w:lineRule="auto"/>
        <w:ind w:firstLine="617"/>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工程量清单计价表</w:t>
      </w:r>
    </w:p>
    <w:p w14:paraId="0DB61158">
      <w:pPr>
        <w:topLinePunct/>
        <w:adjustRightInd w:val="0"/>
        <w:snapToGrid w:val="0"/>
        <w:spacing w:line="360" w:lineRule="auto"/>
        <w:ind w:firstLine="498" w:firstLineChars="200"/>
        <w:rPr>
          <w:rFonts w:ascii="宋体" w:hAnsi="宋体" w:cs="宋体"/>
          <w:b/>
          <w:color w:val="auto"/>
          <w:spacing w:val="4"/>
          <w:kern w:val="0"/>
          <w:sz w:val="24"/>
          <w:szCs w:val="24"/>
          <w:highlight w:val="none"/>
        </w:rPr>
      </w:pPr>
    </w:p>
    <w:p w14:paraId="74F989F7">
      <w:pPr>
        <w:topLinePunct/>
        <w:adjustRightInd w:val="0"/>
        <w:snapToGrid w:val="0"/>
        <w:spacing w:line="360" w:lineRule="auto"/>
        <w:ind w:firstLine="498" w:firstLineChars="200"/>
        <w:rPr>
          <w:rFonts w:ascii="宋体" w:hAnsi="宋体" w:cs="宋体"/>
          <w:b/>
          <w:color w:val="auto"/>
          <w:spacing w:val="4"/>
          <w:kern w:val="0"/>
          <w:sz w:val="24"/>
          <w:szCs w:val="24"/>
          <w:highlight w:val="none"/>
        </w:rPr>
      </w:pPr>
      <w:r>
        <w:rPr>
          <w:rFonts w:hint="eastAsia" w:ascii="宋体" w:hAnsi="宋体" w:cs="宋体"/>
          <w:b/>
          <w:color w:val="auto"/>
          <w:spacing w:val="4"/>
          <w:kern w:val="0"/>
          <w:sz w:val="24"/>
          <w:szCs w:val="24"/>
          <w:highlight w:val="none"/>
        </w:rPr>
        <w:t>本部分内容详见招标文件第七章工程量清单。</w:t>
      </w:r>
    </w:p>
    <w:p w14:paraId="388C6FE7">
      <w:pPr>
        <w:outlineLvl w:val="2"/>
        <w:rPr>
          <w:rFonts w:ascii="宋体" w:hAnsi="宋体" w:cs="宋体"/>
          <w:b/>
          <w:color w:val="auto"/>
          <w:sz w:val="24"/>
          <w:szCs w:val="24"/>
          <w:highlight w:val="none"/>
        </w:rPr>
      </w:pPr>
      <w:r>
        <w:rPr>
          <w:rFonts w:hint="eastAsia" w:ascii="宋体" w:hAnsi="宋体" w:cs="宋体"/>
          <w:b/>
          <w:bCs/>
          <w:color w:val="auto"/>
          <w:sz w:val="24"/>
          <w:szCs w:val="24"/>
          <w:highlight w:val="none"/>
        </w:rPr>
        <w:br w:type="page"/>
      </w:r>
      <w:bookmarkEnd w:id="107"/>
      <w:bookmarkEnd w:id="108"/>
      <w:bookmarkEnd w:id="109"/>
      <w:bookmarkEnd w:id="110"/>
      <w:bookmarkEnd w:id="111"/>
      <w:bookmarkStart w:id="112" w:name="_Toc118116374"/>
      <w:r>
        <w:rPr>
          <w:rFonts w:hint="eastAsia" w:ascii="宋体" w:hAnsi="宋体" w:cs="宋体"/>
          <w:b/>
          <w:color w:val="auto"/>
          <w:sz w:val="24"/>
          <w:szCs w:val="24"/>
          <w:highlight w:val="none"/>
        </w:rPr>
        <w:t>格式三：参与编制经济标投标文件人员名单</w:t>
      </w:r>
      <w:bookmarkEnd w:id="112"/>
    </w:p>
    <w:p w14:paraId="15FCAD3A">
      <w:pPr>
        <w:tabs>
          <w:tab w:val="left" w:pos="720"/>
        </w:tabs>
        <w:snapToGrid w:val="0"/>
        <w:spacing w:line="360" w:lineRule="auto"/>
        <w:jc w:val="center"/>
        <w:rPr>
          <w:rFonts w:ascii="宋体" w:hAnsi="宋体" w:cs="宋体"/>
          <w:color w:val="auto"/>
          <w:sz w:val="24"/>
          <w:highlight w:val="none"/>
        </w:rPr>
      </w:pPr>
    </w:p>
    <w:p w14:paraId="372AF185">
      <w:pPr>
        <w:topLinePunct/>
        <w:adjustRightInd w:val="0"/>
        <w:snapToGrid w:val="0"/>
        <w:spacing w:line="360" w:lineRule="auto"/>
        <w:jc w:val="center"/>
        <w:rPr>
          <w:rFonts w:ascii="宋体" w:hAnsi="宋体" w:cs="宋体"/>
          <w:b/>
          <w:bCs/>
          <w:color w:val="auto"/>
          <w:spacing w:val="4"/>
          <w:kern w:val="0"/>
          <w:sz w:val="36"/>
          <w:szCs w:val="36"/>
          <w:highlight w:val="none"/>
        </w:rPr>
      </w:pPr>
      <w:r>
        <w:rPr>
          <w:rFonts w:hint="eastAsia" w:ascii="宋体" w:hAnsi="宋体" w:cs="宋体"/>
          <w:b/>
          <w:bCs/>
          <w:color w:val="auto"/>
          <w:spacing w:val="4"/>
          <w:kern w:val="0"/>
          <w:sz w:val="36"/>
          <w:szCs w:val="36"/>
          <w:highlight w:val="none"/>
        </w:rPr>
        <w:t>参与编制经济标投标文件人员名单</w:t>
      </w:r>
    </w:p>
    <w:tbl>
      <w:tblPr>
        <w:tblStyle w:val="50"/>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382"/>
        <w:gridCol w:w="2341"/>
        <w:gridCol w:w="2245"/>
        <w:gridCol w:w="2304"/>
      </w:tblGrid>
      <w:tr w14:paraId="05A8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5"/>
            <w:tcBorders>
              <w:top w:val="single" w:color="auto" w:sz="4" w:space="0"/>
              <w:left w:val="single" w:color="auto" w:sz="4" w:space="0"/>
              <w:bottom w:val="single" w:color="auto" w:sz="4" w:space="0"/>
              <w:right w:val="single" w:color="auto" w:sz="4" w:space="0"/>
            </w:tcBorders>
            <w:noWrap w:val="0"/>
            <w:vAlign w:val="center"/>
          </w:tcPr>
          <w:p w14:paraId="35DF9F78">
            <w:pPr>
              <w:tabs>
                <w:tab w:val="left" w:pos="72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投标单位名称</w:t>
            </w:r>
          </w:p>
        </w:tc>
      </w:tr>
      <w:tr w14:paraId="584A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7124DB84">
            <w:pPr>
              <w:tabs>
                <w:tab w:val="left" w:pos="72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581E3327">
            <w:pPr>
              <w:tabs>
                <w:tab w:val="left" w:pos="72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职务</w:t>
            </w:r>
          </w:p>
        </w:tc>
        <w:tc>
          <w:tcPr>
            <w:tcW w:w="2341" w:type="dxa"/>
            <w:tcBorders>
              <w:top w:val="single" w:color="auto" w:sz="4" w:space="0"/>
              <w:left w:val="single" w:color="auto" w:sz="4" w:space="0"/>
              <w:bottom w:val="single" w:color="auto" w:sz="4" w:space="0"/>
              <w:right w:val="single" w:color="auto" w:sz="4" w:space="0"/>
            </w:tcBorders>
            <w:noWrap w:val="0"/>
            <w:vAlign w:val="center"/>
          </w:tcPr>
          <w:p w14:paraId="2D4F4D81">
            <w:pPr>
              <w:tabs>
                <w:tab w:val="left" w:pos="72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所承担工作</w:t>
            </w:r>
          </w:p>
        </w:tc>
        <w:tc>
          <w:tcPr>
            <w:tcW w:w="2245" w:type="dxa"/>
            <w:tcBorders>
              <w:top w:val="single" w:color="auto" w:sz="4" w:space="0"/>
              <w:left w:val="single" w:color="auto" w:sz="4" w:space="0"/>
              <w:bottom w:val="single" w:color="auto" w:sz="4" w:space="0"/>
              <w:right w:val="single" w:color="auto" w:sz="4" w:space="0"/>
            </w:tcBorders>
            <w:noWrap w:val="0"/>
            <w:vAlign w:val="center"/>
          </w:tcPr>
          <w:p w14:paraId="64A69C1A">
            <w:pPr>
              <w:tabs>
                <w:tab w:val="left" w:pos="72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身份证号码</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44DF36C6">
            <w:pPr>
              <w:tabs>
                <w:tab w:val="left" w:pos="72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本人签名栏</w:t>
            </w:r>
          </w:p>
        </w:tc>
      </w:tr>
      <w:tr w14:paraId="0964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043B6D5B">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26545129">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18138C4A">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16575BAB">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3BF44F33">
            <w:pPr>
              <w:tabs>
                <w:tab w:val="left" w:pos="720"/>
              </w:tabs>
              <w:snapToGrid w:val="0"/>
              <w:spacing w:line="360" w:lineRule="auto"/>
              <w:jc w:val="center"/>
              <w:rPr>
                <w:rFonts w:ascii="宋体" w:hAnsi="宋体" w:cs="宋体"/>
                <w:color w:val="auto"/>
                <w:sz w:val="24"/>
                <w:highlight w:val="none"/>
              </w:rPr>
            </w:pPr>
          </w:p>
        </w:tc>
      </w:tr>
      <w:tr w14:paraId="56BC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15870FD1">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027E8335">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266A0EA8">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5852DA04">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4D223CF2">
            <w:pPr>
              <w:tabs>
                <w:tab w:val="left" w:pos="720"/>
              </w:tabs>
              <w:snapToGrid w:val="0"/>
              <w:spacing w:line="360" w:lineRule="auto"/>
              <w:jc w:val="center"/>
              <w:rPr>
                <w:rFonts w:ascii="宋体" w:hAnsi="宋体" w:cs="宋体"/>
                <w:color w:val="auto"/>
                <w:sz w:val="24"/>
                <w:highlight w:val="none"/>
              </w:rPr>
            </w:pPr>
          </w:p>
        </w:tc>
      </w:tr>
      <w:tr w14:paraId="46CA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0C26F94A">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77D04BF5">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37F650E5">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2C6DA129">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06D31CC0">
            <w:pPr>
              <w:tabs>
                <w:tab w:val="left" w:pos="720"/>
              </w:tabs>
              <w:snapToGrid w:val="0"/>
              <w:spacing w:line="360" w:lineRule="auto"/>
              <w:jc w:val="center"/>
              <w:rPr>
                <w:rFonts w:ascii="宋体" w:hAnsi="宋体" w:cs="宋体"/>
                <w:color w:val="auto"/>
                <w:sz w:val="24"/>
                <w:highlight w:val="none"/>
              </w:rPr>
            </w:pPr>
          </w:p>
        </w:tc>
      </w:tr>
      <w:tr w14:paraId="79C1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45D4D2B0">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2EDAAA6A">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71DE428F">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4D749F04">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67356937">
            <w:pPr>
              <w:tabs>
                <w:tab w:val="left" w:pos="720"/>
              </w:tabs>
              <w:snapToGrid w:val="0"/>
              <w:spacing w:line="360" w:lineRule="auto"/>
              <w:jc w:val="center"/>
              <w:rPr>
                <w:rFonts w:ascii="宋体" w:hAnsi="宋体" w:cs="宋体"/>
                <w:color w:val="auto"/>
                <w:sz w:val="24"/>
                <w:highlight w:val="none"/>
              </w:rPr>
            </w:pPr>
          </w:p>
        </w:tc>
      </w:tr>
      <w:tr w14:paraId="3445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0BDC36B8">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1825D255">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75EA6292">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61FF2937">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60A90015">
            <w:pPr>
              <w:tabs>
                <w:tab w:val="left" w:pos="720"/>
              </w:tabs>
              <w:snapToGrid w:val="0"/>
              <w:spacing w:line="360" w:lineRule="auto"/>
              <w:jc w:val="center"/>
              <w:rPr>
                <w:rFonts w:ascii="宋体" w:hAnsi="宋体" w:cs="宋体"/>
                <w:color w:val="auto"/>
                <w:sz w:val="24"/>
                <w:highlight w:val="none"/>
              </w:rPr>
            </w:pPr>
          </w:p>
        </w:tc>
      </w:tr>
      <w:tr w14:paraId="6765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7CAD5E03">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1C6FF7C5">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232EC82C">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3F2F0896">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56D5159B">
            <w:pPr>
              <w:tabs>
                <w:tab w:val="left" w:pos="720"/>
              </w:tabs>
              <w:snapToGrid w:val="0"/>
              <w:spacing w:line="360" w:lineRule="auto"/>
              <w:jc w:val="center"/>
              <w:rPr>
                <w:rFonts w:ascii="宋体" w:hAnsi="宋体" w:cs="宋体"/>
                <w:color w:val="auto"/>
                <w:sz w:val="24"/>
                <w:highlight w:val="none"/>
              </w:rPr>
            </w:pPr>
          </w:p>
        </w:tc>
      </w:tr>
      <w:tr w14:paraId="6EE7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1DEBDF5E">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49EA2880">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48A5BECD">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11177C30">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0DAC4B98">
            <w:pPr>
              <w:tabs>
                <w:tab w:val="left" w:pos="720"/>
              </w:tabs>
              <w:snapToGrid w:val="0"/>
              <w:spacing w:line="360" w:lineRule="auto"/>
              <w:jc w:val="center"/>
              <w:rPr>
                <w:rFonts w:ascii="宋体" w:hAnsi="宋体" w:cs="宋体"/>
                <w:color w:val="auto"/>
                <w:sz w:val="24"/>
                <w:highlight w:val="none"/>
              </w:rPr>
            </w:pPr>
          </w:p>
        </w:tc>
      </w:tr>
      <w:tr w14:paraId="0ADB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14:paraId="54A927E9">
            <w:pPr>
              <w:tabs>
                <w:tab w:val="left" w:pos="720"/>
              </w:tabs>
              <w:snapToGrid w:val="0"/>
              <w:spacing w:line="360" w:lineRule="auto"/>
              <w:jc w:val="center"/>
              <w:rPr>
                <w:rFonts w:ascii="宋体" w:hAnsi="宋体" w:cs="宋体"/>
                <w:color w:val="auto"/>
                <w:sz w:val="24"/>
                <w:highlight w:val="none"/>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1F22B44E">
            <w:pPr>
              <w:tabs>
                <w:tab w:val="left" w:pos="720"/>
              </w:tabs>
              <w:snapToGrid w:val="0"/>
              <w:spacing w:line="360" w:lineRule="auto"/>
              <w:jc w:val="center"/>
              <w:rPr>
                <w:rFonts w:ascii="宋体" w:hAnsi="宋体" w:cs="宋体"/>
                <w:color w:val="auto"/>
                <w:sz w:val="24"/>
                <w:highlight w:val="none"/>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6EFA4702">
            <w:pPr>
              <w:tabs>
                <w:tab w:val="left" w:pos="720"/>
              </w:tabs>
              <w:snapToGrid w:val="0"/>
              <w:spacing w:line="360" w:lineRule="auto"/>
              <w:jc w:val="center"/>
              <w:rPr>
                <w:rFonts w:ascii="宋体" w:hAnsi="宋体" w:cs="宋体"/>
                <w:color w:val="auto"/>
                <w:sz w:val="24"/>
                <w:highlight w:val="none"/>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54372E86">
            <w:pPr>
              <w:tabs>
                <w:tab w:val="left" w:pos="720"/>
              </w:tabs>
              <w:snapToGrid w:val="0"/>
              <w:spacing w:line="360" w:lineRule="auto"/>
              <w:jc w:val="center"/>
              <w:rPr>
                <w:rFonts w:ascii="宋体" w:hAnsi="宋体" w:cs="宋体"/>
                <w:color w:val="auto"/>
                <w:sz w:val="24"/>
                <w:highlight w:val="none"/>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5B01F5DE">
            <w:pPr>
              <w:tabs>
                <w:tab w:val="left" w:pos="720"/>
              </w:tabs>
              <w:snapToGrid w:val="0"/>
              <w:spacing w:line="360" w:lineRule="auto"/>
              <w:jc w:val="center"/>
              <w:rPr>
                <w:rFonts w:ascii="宋体" w:hAnsi="宋体" w:cs="宋体"/>
                <w:color w:val="auto"/>
                <w:sz w:val="24"/>
                <w:highlight w:val="none"/>
              </w:rPr>
            </w:pPr>
          </w:p>
        </w:tc>
      </w:tr>
    </w:tbl>
    <w:p w14:paraId="28A53DF6">
      <w:pPr>
        <w:tabs>
          <w:tab w:val="left" w:pos="720"/>
        </w:tabs>
        <w:snapToGrid w:val="0"/>
        <w:spacing w:line="360" w:lineRule="auto"/>
        <w:rPr>
          <w:rFonts w:ascii="宋体" w:hAnsi="宋体" w:cs="宋体"/>
          <w:color w:val="auto"/>
          <w:sz w:val="24"/>
          <w:highlight w:val="none"/>
        </w:rPr>
      </w:pPr>
    </w:p>
    <w:p w14:paraId="1DFB74CE">
      <w:pPr>
        <w:autoSpaceDE w:val="0"/>
        <w:autoSpaceDN w:val="0"/>
        <w:adjustRightInd w:val="0"/>
        <w:spacing w:line="360" w:lineRule="auto"/>
        <w:ind w:firstLine="368"/>
        <w:rPr>
          <w:rFonts w:ascii="宋体" w:hAnsi="宋体" w:cs="宋体"/>
          <w:color w:val="auto"/>
          <w:szCs w:val="21"/>
          <w:highlight w:val="none"/>
        </w:rPr>
      </w:pPr>
      <w:r>
        <w:rPr>
          <w:rFonts w:hint="eastAsia" w:ascii="宋体" w:hAnsi="宋体" w:cs="宋体"/>
          <w:color w:val="auto"/>
          <w:highlight w:val="none"/>
        </w:rPr>
        <w:t>注：参与编制经济标书所有人员名单应包括如编制各种专业工程量清单投标报价、负责清样校对、负责打印及复印等所有人员在内的人员名单。</w:t>
      </w:r>
      <w:r>
        <w:rPr>
          <w:rFonts w:hint="eastAsia" w:ascii="宋体" w:hAnsi="宋体" w:cs="宋体"/>
          <w:bCs/>
          <w:color w:val="auto"/>
          <w:sz w:val="24"/>
          <w:highlight w:val="none"/>
        </w:rPr>
        <w:t xml:space="preserve"> </w:t>
      </w:r>
    </w:p>
    <w:p w14:paraId="65010A4F">
      <w:pPr>
        <w:outlineLvl w:val="2"/>
        <w:rPr>
          <w:rFonts w:ascii="宋体" w:hAnsi="宋体" w:cs="宋体"/>
          <w:b/>
          <w:color w:val="auto"/>
          <w:sz w:val="24"/>
          <w:szCs w:val="24"/>
          <w:highlight w:val="none"/>
        </w:rPr>
      </w:pPr>
      <w:r>
        <w:rPr>
          <w:rFonts w:hint="eastAsia" w:ascii="宋体" w:hAnsi="宋体" w:cs="宋体"/>
          <w:color w:val="auto"/>
          <w:sz w:val="24"/>
          <w:highlight w:val="none"/>
        </w:rPr>
        <w:br w:type="page"/>
      </w:r>
      <w:bookmarkStart w:id="113" w:name="_Toc118116375"/>
      <w:r>
        <w:rPr>
          <w:rFonts w:hint="eastAsia" w:ascii="宋体" w:hAnsi="宋体" w:cs="宋体"/>
          <w:b/>
          <w:color w:val="auto"/>
          <w:sz w:val="24"/>
          <w:szCs w:val="24"/>
          <w:highlight w:val="none"/>
        </w:rPr>
        <w:t>格式四：对投标文件编制的承诺</w:t>
      </w:r>
      <w:bookmarkEnd w:id="113"/>
    </w:p>
    <w:p w14:paraId="2D8DBF29">
      <w:pPr>
        <w:autoSpaceDE w:val="0"/>
        <w:autoSpaceDN w:val="0"/>
        <w:adjustRightInd w:val="0"/>
        <w:rPr>
          <w:rFonts w:ascii="宋体" w:hAnsi="宋体" w:cs="宋体"/>
          <w:color w:val="auto"/>
          <w:szCs w:val="21"/>
          <w:highlight w:val="none"/>
        </w:rPr>
      </w:pPr>
    </w:p>
    <w:p w14:paraId="7F3A76BD">
      <w:pPr>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对投标文件编制的承诺</w:t>
      </w:r>
    </w:p>
    <w:p w14:paraId="57EC0549">
      <w:pPr>
        <w:spacing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本公司授权</w:t>
      </w:r>
      <w:r>
        <w:rPr>
          <w:rFonts w:hint="eastAsia" w:ascii="宋体" w:hAnsi="宋体" w:cs="宋体"/>
          <w:color w:val="auto"/>
          <w:sz w:val="24"/>
          <w:highlight w:val="none"/>
          <w:u w:val="single"/>
        </w:rPr>
        <w:t xml:space="preserve">         （身份证号：               ）</w:t>
      </w:r>
      <w:r>
        <w:rPr>
          <w:rFonts w:hint="eastAsia" w:ascii="宋体" w:hAnsi="宋体" w:cs="宋体"/>
          <w:color w:val="auto"/>
          <w:sz w:val="24"/>
          <w:highlight w:val="none"/>
        </w:rPr>
        <w:t>负责对投标文件的编制及内容进行解释、说明，并承诺以下事项：</w:t>
      </w:r>
    </w:p>
    <w:p w14:paraId="52DE80A4">
      <w:pPr>
        <w:spacing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1.被授权人清楚投标文件编制的具体情况，包括技术方案文件、工程量清单、以及投标文件的加密打包的理解；</w:t>
      </w:r>
    </w:p>
    <w:p w14:paraId="5EE91D48">
      <w:pPr>
        <w:spacing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2.在本项目开标至评标结束前，努力确保被授权人在项目评标所在地附近；</w:t>
      </w:r>
    </w:p>
    <w:p w14:paraId="36AD6BFB">
      <w:pPr>
        <w:spacing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3.从评标委员会要求澄清起二小时内，被授权人应如实地书面澄清。</w:t>
      </w:r>
    </w:p>
    <w:p w14:paraId="7E16BA5D">
      <w:pPr>
        <w:spacing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 xml:space="preserve">如由于未遵守上述承诺内容之一导致无法进行澄清的，我公司认可和接受评标委员会作出的评审结论。                                 </w:t>
      </w:r>
    </w:p>
    <w:p w14:paraId="3E93EFFE">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 </w:t>
      </w:r>
    </w:p>
    <w:p w14:paraId="32A59C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附件：《投标文件编制情况》</w:t>
      </w:r>
    </w:p>
    <w:p w14:paraId="50A1754F">
      <w:pPr>
        <w:spacing w:line="360" w:lineRule="auto"/>
        <w:ind w:right="90" w:firstLine="3240" w:firstLineChars="13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投标人名称：                                   </w:t>
      </w:r>
    </w:p>
    <w:p w14:paraId="2E32EEE5">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日期：      年  月  日    </w:t>
      </w:r>
    </w:p>
    <w:p w14:paraId="79CC8E21">
      <w:pPr>
        <w:spacing w:line="360" w:lineRule="auto"/>
        <w:rPr>
          <w:rFonts w:ascii="宋体" w:hAnsi="宋体" w:cs="宋体"/>
          <w:b/>
          <w:color w:val="auto"/>
          <w:sz w:val="32"/>
          <w:szCs w:val="32"/>
          <w:highlight w:val="none"/>
        </w:rPr>
      </w:pPr>
    </w:p>
    <w:p w14:paraId="6C3C10D6">
      <w:pPr>
        <w:spacing w:line="360" w:lineRule="auto"/>
        <w:jc w:val="center"/>
        <w:rPr>
          <w:rFonts w:ascii="宋体" w:hAnsi="宋体" w:cs="宋体"/>
          <w:color w:val="auto"/>
          <w:sz w:val="18"/>
          <w:szCs w:val="18"/>
          <w:highlight w:val="none"/>
        </w:rPr>
      </w:pPr>
      <w:r>
        <w:rPr>
          <w:rFonts w:hint="eastAsia" w:ascii="宋体" w:hAnsi="宋体" w:cs="宋体"/>
          <w:b/>
          <w:color w:val="auto"/>
          <w:sz w:val="32"/>
          <w:szCs w:val="32"/>
          <w:highlight w:val="none"/>
        </w:rPr>
        <w:t>投标文件编制情况</w:t>
      </w:r>
    </w:p>
    <w:tbl>
      <w:tblPr>
        <w:tblStyle w:val="50"/>
        <w:tblW w:w="5000" w:type="pct"/>
        <w:tblInd w:w="0" w:type="dxa"/>
        <w:tblLayout w:type="autofit"/>
        <w:tblCellMar>
          <w:top w:w="0" w:type="dxa"/>
          <w:left w:w="108" w:type="dxa"/>
          <w:bottom w:w="0" w:type="dxa"/>
          <w:right w:w="108" w:type="dxa"/>
        </w:tblCellMar>
      </w:tblPr>
      <w:tblGrid>
        <w:gridCol w:w="9242"/>
      </w:tblGrid>
      <w:tr w14:paraId="6F1A7908">
        <w:tblPrEx>
          <w:tblCellMar>
            <w:top w:w="0" w:type="dxa"/>
            <w:left w:w="108" w:type="dxa"/>
            <w:bottom w:w="0" w:type="dxa"/>
            <w:right w:w="108" w:type="dxa"/>
          </w:tblCellMar>
        </w:tblPrEx>
        <w:trPr>
          <w:trHeight w:val="2819" w:hRule="atLeast"/>
        </w:trPr>
        <w:tc>
          <w:tcPr>
            <w:tcW w:w="5000" w:type="pct"/>
            <w:noWrap w:val="0"/>
            <w:vAlign w:val="top"/>
          </w:tcPr>
          <w:p w14:paraId="6D67ED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1.投标文件报价编制方式: □自行编制的，编制的负责人：</w:t>
            </w:r>
            <w:r>
              <w:rPr>
                <w:rFonts w:hint="eastAsia" w:ascii="宋体" w:hAnsi="宋体" w:cs="宋体"/>
                <w:color w:val="auto"/>
                <w:sz w:val="24"/>
                <w:highlight w:val="none"/>
                <w:u w:val="single"/>
              </w:rPr>
              <w:t xml:space="preserve"> （盖造价工程师执业专用章或全国建设工程造价员章，执业单位应与投标人一致） </w:t>
            </w:r>
            <w:r>
              <w:rPr>
                <w:rFonts w:hint="eastAsia" w:ascii="宋体" w:hAnsi="宋体" w:cs="宋体"/>
                <w:color w:val="auto"/>
                <w:sz w:val="24"/>
                <w:highlight w:val="none"/>
              </w:rPr>
              <w:t>。□委托编制的，受委托单位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，编制的负责人：</w:t>
            </w:r>
            <w:r>
              <w:rPr>
                <w:rFonts w:hint="eastAsia" w:ascii="宋体" w:hAnsi="宋体" w:cs="宋体"/>
                <w:color w:val="auto"/>
                <w:sz w:val="24"/>
                <w:highlight w:val="none"/>
                <w:u w:val="single"/>
              </w:rPr>
              <w:t xml:space="preserve"> （盖造价工程师执业专用章或全国建设工程造价员章，执业单位应与受委托单位一致） </w:t>
            </w:r>
            <w:r>
              <w:rPr>
                <w:rFonts w:hint="eastAsia" w:ascii="宋体" w:hAnsi="宋体" w:cs="宋体"/>
                <w:color w:val="auto"/>
                <w:sz w:val="24"/>
                <w:highlight w:val="none"/>
              </w:rPr>
              <w:t>。</w:t>
            </w:r>
          </w:p>
          <w:p w14:paraId="68EB65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2.投标文件加密打包的电脑情况投标文件加密打包的电脑     自有    □      外包    □     其他    □</w:t>
            </w:r>
          </w:p>
          <w:p w14:paraId="6D9CA4EB">
            <w:pPr>
              <w:spacing w:line="360" w:lineRule="auto"/>
              <w:rPr>
                <w:rFonts w:ascii="宋体" w:hAnsi="宋体" w:cs="宋体"/>
                <w:color w:val="auto"/>
                <w:sz w:val="24"/>
                <w:highlight w:val="none"/>
              </w:rPr>
            </w:pPr>
            <w:r>
              <w:rPr>
                <w:rFonts w:hint="eastAsia" w:ascii="宋体" w:hAnsi="宋体" w:cs="宋体"/>
                <w:color w:val="auto"/>
                <w:sz w:val="24"/>
                <w:highlight w:val="none"/>
              </w:rPr>
              <w:t>电脑类型</w:t>
            </w:r>
          </w:p>
          <w:p w14:paraId="3FAE1CDD">
            <w:pPr>
              <w:spacing w:line="360" w:lineRule="auto"/>
              <w:rPr>
                <w:rFonts w:ascii="宋体" w:hAnsi="宋体" w:cs="宋体"/>
                <w:color w:val="auto"/>
                <w:sz w:val="24"/>
                <w:highlight w:val="none"/>
              </w:rPr>
            </w:pPr>
            <w:r>
              <w:rPr>
                <w:rFonts w:hint="eastAsia" w:ascii="宋体" w:hAnsi="宋体" w:cs="宋体"/>
                <w:color w:val="auto"/>
                <w:sz w:val="24"/>
                <w:highlight w:val="none"/>
              </w:rPr>
              <w:t>电脑所属单位</w:t>
            </w:r>
          </w:p>
          <w:p w14:paraId="5B0AA927">
            <w:pPr>
              <w:spacing w:line="360" w:lineRule="auto"/>
              <w:rPr>
                <w:rFonts w:ascii="宋体" w:hAnsi="宋体" w:cs="宋体"/>
                <w:color w:val="auto"/>
                <w:sz w:val="24"/>
                <w:highlight w:val="none"/>
              </w:rPr>
            </w:pPr>
            <w:r>
              <w:rPr>
                <w:rFonts w:hint="eastAsia" w:ascii="宋体" w:hAnsi="宋体" w:cs="宋体"/>
                <w:color w:val="auto"/>
                <w:sz w:val="24"/>
                <w:highlight w:val="none"/>
              </w:rPr>
              <w:t>电脑所在地址        （如××市××区(县) ××街（路）××号××大厦××房）</w:t>
            </w:r>
          </w:p>
        </w:tc>
      </w:tr>
    </w:tbl>
    <w:p w14:paraId="486E8FFD">
      <w:pPr>
        <w:pStyle w:val="3"/>
        <w:jc w:val="center"/>
        <w:rPr>
          <w:rFonts w:hint="eastAsia" w:eastAsia="宋体" w:cs="宋体"/>
          <w:color w:val="auto"/>
          <w:sz w:val="36"/>
          <w:szCs w:val="36"/>
          <w:highlight w:val="none"/>
          <w:lang w:eastAsia="zh-CN"/>
        </w:rPr>
      </w:pPr>
      <w:r>
        <w:rPr>
          <w:rFonts w:hint="eastAsia" w:cs="宋体"/>
          <w:color w:val="auto"/>
          <w:sz w:val="24"/>
          <w:szCs w:val="24"/>
          <w:highlight w:val="none"/>
        </w:rPr>
        <w:br w:type="page"/>
      </w:r>
      <w:bookmarkStart w:id="114" w:name="_Toc16792"/>
      <w:bookmarkStart w:id="115" w:name="_Toc100130501"/>
      <w:bookmarkStart w:id="116" w:name="_Toc2272568"/>
      <w:r>
        <w:rPr>
          <w:rFonts w:hint="eastAsia" w:cs="宋体"/>
          <w:color w:val="auto"/>
          <w:sz w:val="36"/>
          <w:szCs w:val="36"/>
          <w:highlight w:val="none"/>
        </w:rPr>
        <w:t>第五章 技术条件（工程建设标准）</w:t>
      </w:r>
      <w:bookmarkEnd w:id="114"/>
      <w:bookmarkEnd w:id="115"/>
      <w:bookmarkEnd w:id="116"/>
    </w:p>
    <w:p w14:paraId="5BFA758F">
      <w:pPr>
        <w:pStyle w:val="143"/>
        <w:adjustRightInd/>
        <w:snapToGrid/>
        <w:ind w:firstLine="505"/>
        <w:rPr>
          <w:rFonts w:hint="eastAsia" w:cs="宋体"/>
          <w:b/>
          <w:color w:val="auto"/>
          <w:highlight w:val="none"/>
        </w:rPr>
      </w:pPr>
      <w:bookmarkStart w:id="117" w:name="_Toc3873"/>
      <w:bookmarkStart w:id="118" w:name="_Toc386995907"/>
      <w:r>
        <w:rPr>
          <w:rFonts w:hint="eastAsia" w:cs="宋体"/>
          <w:b/>
          <w:color w:val="auto"/>
          <w:highlight w:val="none"/>
        </w:rPr>
        <w:t>第一部分、工程建设标准和规范</w:t>
      </w:r>
    </w:p>
    <w:p w14:paraId="158EC59A">
      <w:pPr>
        <w:pStyle w:val="143"/>
        <w:adjustRightInd/>
        <w:snapToGrid/>
        <w:ind w:firstLine="496"/>
        <w:rPr>
          <w:rFonts w:hint="eastAsia" w:cs="宋体"/>
          <w:color w:val="auto"/>
          <w:highlight w:val="none"/>
        </w:rPr>
      </w:pPr>
      <w:r>
        <w:rPr>
          <w:rFonts w:hint="eastAsia" w:cs="宋体"/>
          <w:color w:val="auto"/>
          <w:highlight w:val="none"/>
        </w:rPr>
        <w:t>下列文件应被认为是组成本章内容的一部分，并互为补充和解释，如各文件存在冲突之处，以如下排列次序在前者优先适用：</w:t>
      </w:r>
    </w:p>
    <w:p w14:paraId="2EB416D9">
      <w:pPr>
        <w:pStyle w:val="143"/>
        <w:adjustRightInd/>
        <w:snapToGrid/>
        <w:ind w:firstLine="496"/>
        <w:rPr>
          <w:rFonts w:hint="eastAsia" w:cs="宋体"/>
          <w:color w:val="auto"/>
          <w:highlight w:val="none"/>
        </w:rPr>
      </w:pPr>
      <w:r>
        <w:rPr>
          <w:rFonts w:hint="eastAsia" w:cs="宋体"/>
          <w:color w:val="auto"/>
          <w:highlight w:val="none"/>
        </w:rPr>
        <w:t>1、遵照发包人相关规定要求；</w:t>
      </w:r>
    </w:p>
    <w:p w14:paraId="1235F744">
      <w:pPr>
        <w:pStyle w:val="143"/>
        <w:adjustRightInd/>
        <w:snapToGrid/>
        <w:ind w:firstLine="496"/>
        <w:rPr>
          <w:rFonts w:hint="eastAsia" w:cs="宋体"/>
          <w:color w:val="auto"/>
          <w:highlight w:val="none"/>
        </w:rPr>
      </w:pPr>
      <w:r>
        <w:rPr>
          <w:rFonts w:hint="eastAsia" w:cs="宋体"/>
          <w:color w:val="auto"/>
          <w:highlight w:val="none"/>
        </w:rPr>
        <w:t>2、采用图纸中规定的其它技术和验收标准；</w:t>
      </w:r>
    </w:p>
    <w:p w14:paraId="54C5368E">
      <w:pPr>
        <w:pStyle w:val="143"/>
        <w:adjustRightInd/>
        <w:snapToGrid/>
        <w:ind w:firstLine="496"/>
        <w:rPr>
          <w:rFonts w:hint="eastAsia" w:cs="宋体"/>
          <w:color w:val="auto"/>
          <w:highlight w:val="none"/>
        </w:rPr>
      </w:pPr>
      <w:r>
        <w:rPr>
          <w:rFonts w:hint="eastAsia" w:cs="宋体"/>
          <w:color w:val="auto"/>
          <w:highlight w:val="none"/>
        </w:rPr>
        <w:t>3、采用中华人民共和国现行技术和验收规范。</w:t>
      </w:r>
    </w:p>
    <w:p w14:paraId="3BA762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依据设计文件的要求，本招标工程项目的材料、设备、施工须达到下列（不限于）中华人民共和国以及省、市或行业的工程建设标准、规范的要求。</w:t>
      </w:r>
    </w:p>
    <w:p w14:paraId="16C7437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1.建筑</w:t>
      </w:r>
    </w:p>
    <w:p w14:paraId="4F3D248B">
      <w:pPr>
        <w:pStyle w:val="271"/>
        <w:widowControl/>
        <w:spacing w:line="360" w:lineRule="auto"/>
        <w:ind w:left="420" w:firstLine="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1）《建筑设计防火规范》GB50016-2014（2018年版）</w:t>
      </w:r>
    </w:p>
    <w:p w14:paraId="64243B4C">
      <w:pPr>
        <w:pStyle w:val="271"/>
        <w:widowControl/>
        <w:spacing w:line="360" w:lineRule="auto"/>
        <w:ind w:left="42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2）《民用建筑设计通则》GB50352-2019</w:t>
      </w:r>
    </w:p>
    <w:p w14:paraId="332A08F5">
      <w:pPr>
        <w:pStyle w:val="271"/>
        <w:widowControl/>
        <w:spacing w:line="360" w:lineRule="auto"/>
        <w:ind w:left="420" w:firstLine="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3）《无障碍设计规范》GB50763-2012</w:t>
      </w:r>
    </w:p>
    <w:p w14:paraId="3A7AE0DE">
      <w:pPr>
        <w:pStyle w:val="271"/>
        <w:widowControl/>
        <w:spacing w:line="360" w:lineRule="auto"/>
        <w:ind w:left="42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4）《锅炉房设计规范》GB50041-2020</w:t>
      </w:r>
    </w:p>
    <w:p w14:paraId="20B5E6A7">
      <w:pPr>
        <w:pStyle w:val="271"/>
        <w:widowControl/>
        <w:spacing w:line="360" w:lineRule="auto"/>
        <w:ind w:left="420" w:firstLine="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5）《办公建筑设计标准》JGJ/T67-2019</w:t>
      </w:r>
    </w:p>
    <w:p w14:paraId="4DB6F1CD">
      <w:pPr>
        <w:pStyle w:val="271"/>
        <w:widowControl/>
        <w:spacing w:line="360" w:lineRule="auto"/>
        <w:ind w:left="42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6）《宿舍建筑设计规范》JGJ36-2016</w:t>
      </w:r>
    </w:p>
    <w:p w14:paraId="2B761DB9">
      <w:pPr>
        <w:pStyle w:val="271"/>
        <w:widowControl/>
        <w:spacing w:line="360" w:lineRule="auto"/>
        <w:ind w:left="42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7）《建筑地面设计规范》GB50037-2013</w:t>
      </w:r>
    </w:p>
    <w:p w14:paraId="46630EED">
      <w:pPr>
        <w:pStyle w:val="271"/>
        <w:widowControl/>
        <w:spacing w:line="360" w:lineRule="auto"/>
        <w:ind w:left="420" w:firstLine="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8）《建筑采光设计标准》GB50033-2013</w:t>
      </w:r>
    </w:p>
    <w:p w14:paraId="28E1393E">
      <w:pPr>
        <w:pStyle w:val="271"/>
        <w:widowControl/>
        <w:spacing w:line="360" w:lineRule="auto"/>
        <w:ind w:left="420" w:firstLine="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9）《屋面工程技术规范》GB50345-2012</w:t>
      </w:r>
    </w:p>
    <w:p w14:paraId="21487A97">
      <w:pPr>
        <w:pStyle w:val="271"/>
        <w:widowControl/>
        <w:spacing w:line="360" w:lineRule="auto"/>
        <w:ind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10）《民用建筑隔声设计规范》GB50118-2010</w:t>
      </w:r>
    </w:p>
    <w:p w14:paraId="5299C266">
      <w:pPr>
        <w:pStyle w:val="271"/>
        <w:widowControl/>
        <w:spacing w:line="360" w:lineRule="auto"/>
        <w:ind w:left="420" w:firstLine="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11）《工业企业总平面设计规范》GB50187-2012</w:t>
      </w:r>
    </w:p>
    <w:p w14:paraId="53216DD4">
      <w:pPr>
        <w:pStyle w:val="271"/>
        <w:widowControl/>
        <w:spacing w:line="360" w:lineRule="auto"/>
        <w:ind w:left="420" w:firstLine="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12）《工业企业噪声控制设计规范》GB/T50087-2013</w:t>
      </w:r>
    </w:p>
    <w:p w14:paraId="128414DA">
      <w:pPr>
        <w:pStyle w:val="271"/>
        <w:widowControl/>
        <w:spacing w:line="360" w:lineRule="auto"/>
        <w:ind w:left="420" w:firstLine="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13）《工业企业厂界环境噪声排放标准》GB12348-2008</w:t>
      </w:r>
    </w:p>
    <w:p w14:paraId="03D349AA">
      <w:pPr>
        <w:pStyle w:val="271"/>
        <w:widowControl/>
        <w:spacing w:line="360" w:lineRule="auto"/>
        <w:ind w:left="420" w:firstLine="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14）《工程建设标准强制性条文》（房屋建筑部分）(2013年版)</w:t>
      </w:r>
    </w:p>
    <w:p w14:paraId="5C5A7D4C">
      <w:pPr>
        <w:pStyle w:val="271"/>
        <w:widowControl/>
        <w:spacing w:line="360" w:lineRule="auto"/>
        <w:ind w:left="420" w:firstLine="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15）《地下工程防水设计规范》GB50108-2008</w:t>
      </w:r>
    </w:p>
    <w:p w14:paraId="59BCCF60">
      <w:pPr>
        <w:pStyle w:val="271"/>
        <w:widowControl/>
        <w:spacing w:line="360" w:lineRule="auto"/>
        <w:ind w:left="420" w:firstLine="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16）《建筑内部装修设计防火规范》GB50222-2017</w:t>
      </w:r>
    </w:p>
    <w:p w14:paraId="4C7FB6FF">
      <w:pPr>
        <w:pStyle w:val="271"/>
        <w:widowControl/>
        <w:spacing w:line="360" w:lineRule="auto"/>
        <w:ind w:left="420" w:firstLine="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17）《全国民用建筑工程设计技术措施》</w:t>
      </w:r>
    </w:p>
    <w:p w14:paraId="3B8FB464">
      <w:pPr>
        <w:pStyle w:val="271"/>
        <w:widowControl/>
        <w:spacing w:line="360" w:lineRule="auto"/>
        <w:ind w:left="420" w:firstLine="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18）GBZ1-2010工业企业设计卫生标准</w:t>
      </w:r>
    </w:p>
    <w:p w14:paraId="2210C15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2.结构</w:t>
      </w:r>
    </w:p>
    <w:p w14:paraId="3E46B523">
      <w:pPr>
        <w:pStyle w:val="271"/>
        <w:widowControl/>
        <w:numPr>
          <w:ilvl w:val="0"/>
          <w:numId w:val="5"/>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《建筑结构荷载规范》GB50009-2012</w:t>
      </w:r>
    </w:p>
    <w:p w14:paraId="290AD9F8">
      <w:pPr>
        <w:pStyle w:val="271"/>
        <w:widowControl/>
        <w:numPr>
          <w:ilvl w:val="0"/>
          <w:numId w:val="5"/>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《建筑抗震设计规范》GB50011-2010</w:t>
      </w:r>
    </w:p>
    <w:p w14:paraId="63EC17DD">
      <w:pPr>
        <w:pStyle w:val="271"/>
        <w:widowControl/>
        <w:numPr>
          <w:ilvl w:val="0"/>
          <w:numId w:val="5"/>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《混凝土结构设计规范》GB50010-2010</w:t>
      </w:r>
    </w:p>
    <w:p w14:paraId="2C1886B6">
      <w:pPr>
        <w:pStyle w:val="271"/>
        <w:widowControl/>
        <w:numPr>
          <w:ilvl w:val="0"/>
          <w:numId w:val="5"/>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《建筑地基基础设计规范》GB50007-2011</w:t>
      </w:r>
    </w:p>
    <w:p w14:paraId="6C5F5F5C">
      <w:pPr>
        <w:pStyle w:val="271"/>
        <w:widowControl/>
        <w:numPr>
          <w:ilvl w:val="0"/>
          <w:numId w:val="5"/>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《建筑地基处理技术规范》JGJ79-2012</w:t>
      </w:r>
    </w:p>
    <w:p w14:paraId="64D9F55D">
      <w:pPr>
        <w:pStyle w:val="271"/>
        <w:widowControl/>
        <w:numPr>
          <w:ilvl w:val="0"/>
          <w:numId w:val="5"/>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《建筑结构可靠设计统一标准》GB50068-2018</w:t>
      </w:r>
    </w:p>
    <w:p w14:paraId="29D8C2FF">
      <w:pPr>
        <w:pStyle w:val="271"/>
        <w:widowControl/>
        <w:numPr>
          <w:ilvl w:val="0"/>
          <w:numId w:val="5"/>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《建筑工程抗震设防分类标准》GB50223-2008</w:t>
      </w:r>
    </w:p>
    <w:p w14:paraId="57B98403">
      <w:pPr>
        <w:pStyle w:val="271"/>
        <w:widowControl/>
        <w:numPr>
          <w:ilvl w:val="0"/>
          <w:numId w:val="5"/>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《钢结构设计规范》GB50017-2017</w:t>
      </w:r>
    </w:p>
    <w:p w14:paraId="443864D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3.给排水消防系统</w:t>
      </w:r>
    </w:p>
    <w:p w14:paraId="204EDC63">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《室外给水设计规范》GB50013-2018</w:t>
      </w:r>
    </w:p>
    <w:p w14:paraId="743CE937">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《室外排水设计规范》GB50014-2006</w:t>
      </w:r>
    </w:p>
    <w:p w14:paraId="65F8E22C">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《建筑给水排水设计规范》GB50015-2019</w:t>
      </w:r>
    </w:p>
    <w:p w14:paraId="1A18DF8C">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《建筑设计防火规范》GB50016-2014</w:t>
      </w:r>
    </w:p>
    <w:p w14:paraId="603CDE6F">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《建筑灭火器配置设计规范》GB50140-2005</w:t>
      </w:r>
    </w:p>
    <w:p w14:paraId="4646D2D5">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《二次供水设施卫生规范》GB17051-1997</w:t>
      </w:r>
    </w:p>
    <w:p w14:paraId="3383007B">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《消防给水及消火栓系统技术规范》GB50974-2014</w:t>
      </w:r>
    </w:p>
    <w:p w14:paraId="145813FA">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《自动喷水灭火系统设计规范》GB50084-2017</w:t>
      </w:r>
    </w:p>
    <w:p w14:paraId="2D4C207A">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《给水排水管道工程施工及验收规范》GB50268－2008</w:t>
      </w:r>
    </w:p>
    <w:p w14:paraId="50521558">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《建筑给水排水及采暖工程施工质量验收规范》 GB50242-2002</w:t>
      </w:r>
    </w:p>
    <w:p w14:paraId="4BAA865F">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《自动喷水灭火系统施工及验收规范》GB50261-2017</w:t>
      </w:r>
    </w:p>
    <w:p w14:paraId="0E6D8705">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《汽车库、修车库、停车场设计防火规范》GB50067-2014</w:t>
      </w:r>
    </w:p>
    <w:p w14:paraId="30FBC784">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《建筑排水塑料管道安装》10S406</w:t>
      </w:r>
    </w:p>
    <w:p w14:paraId="711C1DE7">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《埋地硬聚氯乙烯给水管道工程技术规程》 CECS 17：2000</w:t>
      </w:r>
    </w:p>
    <w:p w14:paraId="0579979A">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《地表水环境质量标准》GB3838-2002；</w:t>
      </w:r>
    </w:p>
    <w:p w14:paraId="0149EAA6">
      <w:pPr>
        <w:pStyle w:val="271"/>
        <w:widowControl/>
        <w:numPr>
          <w:ilvl w:val="0"/>
          <w:numId w:val="6"/>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广东省《水污染物排放限值》（DB44/26-2001）</w:t>
      </w:r>
    </w:p>
    <w:p w14:paraId="117782F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4.电气</w:t>
      </w:r>
    </w:p>
    <w:p w14:paraId="0FD1E440">
      <w:pPr>
        <w:pStyle w:val="271"/>
        <w:widowControl/>
        <w:numPr>
          <w:ilvl w:val="0"/>
          <w:numId w:val="7"/>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《20kV及以下变电所设计规范》GB50053-2013</w:t>
      </w:r>
    </w:p>
    <w:p w14:paraId="04FA7655">
      <w:pPr>
        <w:pStyle w:val="271"/>
        <w:widowControl/>
        <w:numPr>
          <w:ilvl w:val="0"/>
          <w:numId w:val="7"/>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《3~110kV高压配电装置设计规范》GB50060-2008</w:t>
      </w:r>
    </w:p>
    <w:p w14:paraId="33B1421D">
      <w:pPr>
        <w:pStyle w:val="271"/>
        <w:widowControl/>
        <w:numPr>
          <w:ilvl w:val="0"/>
          <w:numId w:val="7"/>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《建筑设计防火规范》GB50016-2014</w:t>
      </w:r>
    </w:p>
    <w:p w14:paraId="73A55C8C">
      <w:pPr>
        <w:pStyle w:val="271"/>
        <w:widowControl/>
        <w:numPr>
          <w:ilvl w:val="0"/>
          <w:numId w:val="7"/>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《建筑照明设计标准》GB50034-2013</w:t>
      </w:r>
    </w:p>
    <w:p w14:paraId="6D89701B">
      <w:pPr>
        <w:pStyle w:val="271"/>
        <w:widowControl/>
        <w:numPr>
          <w:ilvl w:val="0"/>
          <w:numId w:val="7"/>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《供配电系统设计规范》GB50052-2009</w:t>
      </w:r>
    </w:p>
    <w:p w14:paraId="6080EC36">
      <w:pPr>
        <w:pStyle w:val="271"/>
        <w:widowControl/>
        <w:numPr>
          <w:ilvl w:val="0"/>
          <w:numId w:val="7"/>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《低压配电设计规范》GB50054-2011</w:t>
      </w:r>
    </w:p>
    <w:p w14:paraId="202D9393">
      <w:pPr>
        <w:pStyle w:val="271"/>
        <w:widowControl/>
        <w:numPr>
          <w:ilvl w:val="0"/>
          <w:numId w:val="7"/>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《通用用电设备配电设计规范》GB50055-2011</w:t>
      </w:r>
    </w:p>
    <w:p w14:paraId="3C2392EA">
      <w:pPr>
        <w:pStyle w:val="271"/>
        <w:widowControl/>
        <w:numPr>
          <w:ilvl w:val="0"/>
          <w:numId w:val="7"/>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《建筑物防雷设计规范》GB50057-2010</w:t>
      </w:r>
    </w:p>
    <w:p w14:paraId="72DBD937">
      <w:pPr>
        <w:pStyle w:val="271"/>
        <w:widowControl/>
        <w:numPr>
          <w:ilvl w:val="0"/>
          <w:numId w:val="7"/>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《爆炸危险环境电力装置设计规范》GB50058-2014</w:t>
      </w:r>
    </w:p>
    <w:p w14:paraId="19171668">
      <w:pPr>
        <w:pStyle w:val="271"/>
        <w:widowControl/>
        <w:numPr>
          <w:ilvl w:val="0"/>
          <w:numId w:val="7"/>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《电力工程电缆设计规范》GB50217-2018</w:t>
      </w:r>
    </w:p>
    <w:p w14:paraId="5CFACB24">
      <w:pPr>
        <w:pStyle w:val="271"/>
        <w:widowControl/>
        <w:numPr>
          <w:ilvl w:val="0"/>
          <w:numId w:val="7"/>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《城市道路照明设计标准》CJJ45-2015</w:t>
      </w:r>
    </w:p>
    <w:p w14:paraId="420F1D7B">
      <w:pPr>
        <w:pStyle w:val="271"/>
        <w:widowControl/>
        <w:numPr>
          <w:ilvl w:val="0"/>
          <w:numId w:val="7"/>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《民用建筑电气设计规范》JGJ16-2008</w:t>
      </w:r>
    </w:p>
    <w:p w14:paraId="7D8781A3">
      <w:pPr>
        <w:pStyle w:val="271"/>
        <w:widowControl/>
        <w:numPr>
          <w:ilvl w:val="0"/>
          <w:numId w:val="7"/>
        </w:numPr>
        <w:spacing w:line="360" w:lineRule="auto"/>
        <w:ind w:left="840"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《洁净厂房设计规范》 GB50073-2013</w:t>
      </w:r>
    </w:p>
    <w:p w14:paraId="2190A2FA">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5.空调及通风专业</w:t>
      </w:r>
    </w:p>
    <w:p w14:paraId="18FA3FB3">
      <w:pPr>
        <w:pStyle w:val="271"/>
        <w:widowControl/>
        <w:numPr>
          <w:ilvl w:val="0"/>
          <w:numId w:val="8"/>
        </w:numPr>
        <w:spacing w:line="360" w:lineRule="auto"/>
        <w:ind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《采暖通风与空调设计规范》（GBJ19-2003）</w:t>
      </w:r>
    </w:p>
    <w:p w14:paraId="0B9E94EB">
      <w:pPr>
        <w:pStyle w:val="271"/>
        <w:widowControl/>
        <w:numPr>
          <w:ilvl w:val="0"/>
          <w:numId w:val="8"/>
        </w:numPr>
        <w:spacing w:line="360" w:lineRule="auto"/>
        <w:ind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《建筑设计防火规范》（GBJ16-2014）</w:t>
      </w:r>
    </w:p>
    <w:p w14:paraId="5EA70DEB">
      <w:pPr>
        <w:pStyle w:val="271"/>
        <w:widowControl/>
        <w:numPr>
          <w:ilvl w:val="0"/>
          <w:numId w:val="8"/>
        </w:numPr>
        <w:spacing w:line="360" w:lineRule="auto"/>
        <w:ind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《洁净厂房设计规范》（GB50457-2019）</w:t>
      </w:r>
    </w:p>
    <w:p w14:paraId="574D9BFC">
      <w:pPr>
        <w:pStyle w:val="271"/>
        <w:widowControl/>
        <w:numPr>
          <w:ilvl w:val="0"/>
          <w:numId w:val="8"/>
        </w:numPr>
        <w:spacing w:line="360" w:lineRule="auto"/>
        <w:ind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《建筑给排水及采暖工程施工质量验收规范》（GB50242-2002）</w:t>
      </w:r>
    </w:p>
    <w:p w14:paraId="5D50DD6D">
      <w:pPr>
        <w:pStyle w:val="271"/>
        <w:widowControl/>
        <w:numPr>
          <w:ilvl w:val="0"/>
          <w:numId w:val="8"/>
        </w:numPr>
        <w:spacing w:line="360" w:lineRule="auto"/>
        <w:ind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《通风与空调工程施工质量验收规范》（GB50243-2016）</w:t>
      </w:r>
    </w:p>
    <w:p w14:paraId="1FC80B83">
      <w:pPr>
        <w:pStyle w:val="271"/>
        <w:widowControl/>
        <w:numPr>
          <w:ilvl w:val="0"/>
          <w:numId w:val="8"/>
        </w:numPr>
        <w:spacing w:line="360" w:lineRule="auto"/>
        <w:ind w:firstLineChars="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《通风与空调工程施工规范》（GB50738-2011）</w:t>
      </w:r>
    </w:p>
    <w:p w14:paraId="10450B81">
      <w:pPr>
        <w:tabs>
          <w:tab w:val="left" w:pos="420"/>
          <w:tab w:val="left" w:pos="567"/>
          <w:tab w:val="left" w:pos="640"/>
        </w:tabs>
        <w:spacing w:before="156" w:beforeLines="50" w:after="156" w:afterLines="50" w:line="360" w:lineRule="auto"/>
        <w:ind w:left="482"/>
        <w:rPr>
          <w:rFonts w:ascii="宋体" w:hAnsi="宋体" w:cs="宋体"/>
          <w:b/>
          <w:bCs/>
          <w:color w:val="auto"/>
          <w:sz w:val="24"/>
          <w:szCs w:val="24"/>
          <w:highlight w:val="none"/>
        </w:rPr>
      </w:pPr>
      <w:r>
        <w:rPr>
          <w:rFonts w:hint="eastAsia" w:ascii="宋体" w:hAnsi="宋体" w:cs="宋体"/>
          <w:b/>
          <w:bCs/>
          <w:color w:val="auto"/>
          <w:sz w:val="24"/>
          <w:szCs w:val="24"/>
          <w:highlight w:val="none"/>
        </w:rPr>
        <w:t>第二部分、施工组织设计要点</w:t>
      </w:r>
    </w:p>
    <w:p w14:paraId="52F9E4A4">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施工组织设计包括但不限于以下方面内容：</w:t>
      </w:r>
    </w:p>
    <w:p w14:paraId="7CDE3275">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一、工程概况</w:t>
      </w:r>
    </w:p>
    <w:p w14:paraId="66BCBF98">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二、项目实施条件分析</w:t>
      </w:r>
    </w:p>
    <w:p w14:paraId="3C07C511">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三、项目管理目标</w:t>
      </w:r>
    </w:p>
    <w:p w14:paraId="6CA9E33C">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四、项目组织机构设置</w:t>
      </w:r>
    </w:p>
    <w:p w14:paraId="44FC7AC4">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cs="宋体"/>
          <w:snapToGrid w:val="0"/>
          <w:color w:val="auto"/>
          <w:spacing w:val="4"/>
          <w:sz w:val="24"/>
          <w:szCs w:val="24"/>
          <w:highlight w:val="none"/>
        </w:rPr>
        <w:t>五、</w:t>
      </w:r>
      <w:r>
        <w:rPr>
          <w:rFonts w:hint="eastAsia" w:ascii="宋体" w:hAnsi="宋体"/>
          <w:snapToGrid w:val="0"/>
          <w:color w:val="auto"/>
          <w:spacing w:val="4"/>
          <w:sz w:val="24"/>
          <w:szCs w:val="24"/>
          <w:highlight w:val="none"/>
        </w:rPr>
        <w:t>前期工作实施方案</w:t>
      </w:r>
    </w:p>
    <w:p w14:paraId="02CE9B2F">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根据招标图纸、项目管理要求、现场踏勘情况，市场情况，梳理影响开工的制约因素，提出解决方案。同时提供主要材料设备采购计划、机械设备进场计划、劳动力的组织方案。</w:t>
      </w:r>
    </w:p>
    <w:p w14:paraId="3EBB15E1">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六、施工总平面布置方案</w:t>
      </w:r>
    </w:p>
    <w:p w14:paraId="080F70A1">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结合现有条件、现场情况、后续专业工程进场时间要求、施工特点及工程管理要求等，拟定施工总平面布置图。</w:t>
      </w:r>
    </w:p>
    <w:p w14:paraId="543430DC">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七、施工技术方案及措施</w:t>
      </w:r>
    </w:p>
    <w:p w14:paraId="7489E58A">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1</w:t>
      </w:r>
      <w:r>
        <w:rPr>
          <w:rFonts w:hint="eastAsia" w:ascii="宋体" w:hAnsi="宋体"/>
          <w:snapToGrid w:val="0"/>
          <w:color w:val="auto"/>
          <w:spacing w:val="4"/>
          <w:sz w:val="24"/>
          <w:szCs w:val="24"/>
          <w:highlight w:val="none"/>
        </w:rPr>
        <w:t>、质量目标及保证措施</w:t>
      </w:r>
    </w:p>
    <w:p w14:paraId="2FDCF989">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根据本工程的质量目标，针对项目的重点、难点、与其他专业单位存在的交叉施工等实际情况，从质量保证体系、质量管理机构、“样板引路”、专业实施能力保证、专业检测手段和方法等方面提出详细的质量保证措施。</w:t>
      </w:r>
    </w:p>
    <w:p w14:paraId="6121E92D">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对于本项目具有技术难度的分部分项工程提出针对性的质量保证措施。</w:t>
      </w:r>
    </w:p>
    <w:p w14:paraId="50B5EB7F">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2</w:t>
      </w:r>
      <w:r>
        <w:rPr>
          <w:rFonts w:hint="eastAsia" w:ascii="宋体" w:hAnsi="宋体"/>
          <w:snapToGrid w:val="0"/>
          <w:color w:val="auto"/>
          <w:spacing w:val="4"/>
          <w:sz w:val="24"/>
          <w:szCs w:val="24"/>
          <w:highlight w:val="none"/>
        </w:rPr>
        <w:t>、进度计划目标及保证措施</w:t>
      </w:r>
    </w:p>
    <w:p w14:paraId="3E701559">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施工总进度计划和单项工程施工进度计划。</w:t>
      </w:r>
    </w:p>
    <w:p w14:paraId="6DD0CE99">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根据总工期要求及关键节点施工进度要求，结合自身的工程进度管理经验、与其他专业单位存在的交叉施工及实际情况等，在满足开工、竣工以及招标文件规定节点工期的基础上，提出合理的工期优化建议并进行合理性分析，相应提出合理可行的工期保证措施；对于影响进度较大的工程提出针对性的解决方案。</w:t>
      </w:r>
    </w:p>
    <w:p w14:paraId="387DB151">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3</w:t>
      </w:r>
      <w:r>
        <w:rPr>
          <w:rFonts w:hint="eastAsia" w:ascii="宋体" w:hAnsi="宋体"/>
          <w:snapToGrid w:val="0"/>
          <w:color w:val="auto"/>
          <w:spacing w:val="4"/>
          <w:sz w:val="24"/>
          <w:szCs w:val="24"/>
          <w:highlight w:val="none"/>
        </w:rPr>
        <w:t>、安全文明施工目标及保证措施</w:t>
      </w:r>
    </w:p>
    <w:p w14:paraId="72D0A65E">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针对项目特点，从安全文明施工管理制度建立、安全管理人员投入、作业人员安全培训、人员</w:t>
      </w:r>
      <w:r>
        <w:rPr>
          <w:rFonts w:ascii="宋体" w:hAnsi="宋体"/>
          <w:snapToGrid w:val="0"/>
          <w:color w:val="auto"/>
          <w:spacing w:val="4"/>
          <w:sz w:val="24"/>
          <w:szCs w:val="24"/>
          <w:highlight w:val="none"/>
        </w:rPr>
        <w:t>IC</w:t>
      </w:r>
      <w:r>
        <w:rPr>
          <w:rFonts w:hint="eastAsia" w:ascii="宋体" w:hAnsi="宋体"/>
          <w:snapToGrid w:val="0"/>
          <w:color w:val="auto"/>
          <w:spacing w:val="4"/>
          <w:sz w:val="24"/>
          <w:szCs w:val="24"/>
          <w:highlight w:val="none"/>
        </w:rPr>
        <w:t>卡管理、工地安保、工地保洁、施工现场安全围挡、安全运输、安全警示标志、安全知识宣传等方面提出安全文明施工保证措施，制定相应的方案。</w:t>
      </w:r>
    </w:p>
    <w:p w14:paraId="28F78189">
      <w:pPr>
        <w:topLinePunct/>
        <w:spacing w:line="360" w:lineRule="auto"/>
        <w:ind w:firstLine="496" w:firstLineChars="200"/>
        <w:rPr>
          <w:rFonts w:ascii="宋体" w:hAnsi="宋体"/>
          <w:b/>
          <w:bCs/>
          <w:snapToGrid w:val="0"/>
          <w:color w:val="auto"/>
          <w:spacing w:val="4"/>
          <w:sz w:val="24"/>
          <w:szCs w:val="24"/>
          <w:highlight w:val="none"/>
        </w:rPr>
      </w:pPr>
      <w:r>
        <w:rPr>
          <w:rFonts w:hint="eastAsia" w:ascii="宋体" w:hAnsi="宋体"/>
          <w:snapToGrid w:val="0"/>
          <w:color w:val="auto"/>
          <w:spacing w:val="4"/>
          <w:sz w:val="24"/>
          <w:szCs w:val="24"/>
          <w:highlight w:val="none"/>
        </w:rPr>
        <w:t>4、</w:t>
      </w:r>
      <w:r>
        <w:rPr>
          <w:rFonts w:hint="eastAsia" w:ascii="宋体" w:hAnsi="宋体"/>
          <w:b/>
          <w:bCs/>
          <w:snapToGrid w:val="0"/>
          <w:color w:val="auto"/>
          <w:spacing w:val="4"/>
          <w:sz w:val="24"/>
          <w:szCs w:val="24"/>
          <w:highlight w:val="none"/>
        </w:rPr>
        <w:t>施工现场建筑垃圾源头减量的具体要求和建筑垃圾综合利用产品的使用要求。</w:t>
      </w:r>
    </w:p>
    <w:p w14:paraId="74CC21FB">
      <w:pPr>
        <w:topLinePunct/>
        <w:spacing w:line="360" w:lineRule="auto"/>
        <w:ind w:firstLine="498" w:firstLineChars="200"/>
        <w:rPr>
          <w:rFonts w:ascii="宋体" w:hAnsi="宋体"/>
          <w:b/>
          <w:bCs/>
          <w:snapToGrid w:val="0"/>
          <w:color w:val="auto"/>
          <w:spacing w:val="4"/>
          <w:sz w:val="24"/>
          <w:szCs w:val="24"/>
          <w:highlight w:val="none"/>
        </w:rPr>
      </w:pPr>
      <w:r>
        <w:rPr>
          <w:rFonts w:hint="eastAsia" w:ascii="宋体" w:hAnsi="宋体"/>
          <w:b/>
          <w:bCs/>
          <w:snapToGrid w:val="0"/>
          <w:color w:val="auto"/>
          <w:spacing w:val="4"/>
          <w:sz w:val="24"/>
          <w:szCs w:val="24"/>
          <w:highlight w:val="none"/>
        </w:rPr>
        <w:t>4.1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27ECD3B2">
      <w:pPr>
        <w:topLinePunct/>
        <w:spacing w:line="360" w:lineRule="auto"/>
        <w:ind w:firstLine="498" w:firstLineChars="200"/>
        <w:rPr>
          <w:rFonts w:ascii="宋体" w:hAnsi="宋体"/>
          <w:b/>
          <w:bCs/>
          <w:snapToGrid w:val="0"/>
          <w:color w:val="auto"/>
          <w:spacing w:val="4"/>
          <w:sz w:val="24"/>
          <w:szCs w:val="24"/>
          <w:highlight w:val="none"/>
        </w:rPr>
      </w:pPr>
      <w:r>
        <w:rPr>
          <w:rFonts w:hint="eastAsia" w:ascii="宋体" w:hAnsi="宋体"/>
          <w:b/>
          <w:bCs/>
          <w:snapToGrid w:val="0"/>
          <w:color w:val="auto"/>
          <w:spacing w:val="4"/>
          <w:sz w:val="24"/>
          <w:szCs w:val="24"/>
          <w:highlight w:val="none"/>
        </w:rPr>
        <w:t>4.2建筑垃圾应当按照国家有关规定进行分类，实行分类收集、分类贮存、分类运输、分类处置。</w:t>
      </w:r>
    </w:p>
    <w:p w14:paraId="46427273">
      <w:pPr>
        <w:topLinePunct/>
        <w:spacing w:line="360" w:lineRule="auto"/>
        <w:ind w:firstLine="498" w:firstLineChars="200"/>
        <w:rPr>
          <w:rFonts w:ascii="宋体" w:hAnsi="宋体"/>
          <w:b/>
          <w:bCs/>
          <w:snapToGrid w:val="0"/>
          <w:color w:val="auto"/>
          <w:spacing w:val="4"/>
          <w:sz w:val="24"/>
          <w:szCs w:val="24"/>
          <w:highlight w:val="none"/>
        </w:rPr>
      </w:pPr>
      <w:r>
        <w:rPr>
          <w:rFonts w:hint="eastAsia" w:ascii="宋体" w:hAnsi="宋体"/>
          <w:b/>
          <w:bCs/>
          <w:snapToGrid w:val="0"/>
          <w:color w:val="auto"/>
          <w:spacing w:val="4"/>
          <w:sz w:val="24"/>
          <w:szCs w:val="24"/>
          <w:highlight w:val="none"/>
        </w:rPr>
        <w:t>4.3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65F52DFF">
      <w:pPr>
        <w:topLinePunct/>
        <w:spacing w:line="360" w:lineRule="auto"/>
        <w:ind w:firstLine="498" w:firstLineChars="200"/>
        <w:rPr>
          <w:rFonts w:ascii="宋体" w:hAnsi="宋体"/>
          <w:b/>
          <w:bCs/>
          <w:snapToGrid w:val="0"/>
          <w:color w:val="auto"/>
          <w:spacing w:val="4"/>
          <w:sz w:val="24"/>
          <w:szCs w:val="24"/>
          <w:highlight w:val="none"/>
        </w:rPr>
      </w:pPr>
      <w:r>
        <w:rPr>
          <w:rFonts w:hint="eastAsia" w:ascii="宋体" w:hAnsi="宋体"/>
          <w:b/>
          <w:bCs/>
          <w:snapToGrid w:val="0"/>
          <w:color w:val="auto"/>
          <w:spacing w:val="4"/>
          <w:sz w:val="24"/>
          <w:szCs w:val="24"/>
          <w:highlight w:val="none"/>
        </w:rPr>
        <w:t>4.4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391EC8C2">
      <w:pPr>
        <w:topLinePunct/>
        <w:spacing w:line="360" w:lineRule="auto"/>
        <w:ind w:firstLine="498" w:firstLineChars="200"/>
        <w:rPr>
          <w:rFonts w:ascii="宋体" w:hAnsi="宋体"/>
          <w:b/>
          <w:bCs/>
          <w:snapToGrid w:val="0"/>
          <w:color w:val="auto"/>
          <w:spacing w:val="4"/>
          <w:sz w:val="24"/>
          <w:szCs w:val="24"/>
          <w:highlight w:val="none"/>
        </w:rPr>
      </w:pPr>
      <w:r>
        <w:rPr>
          <w:rFonts w:hint="eastAsia" w:ascii="宋体" w:hAnsi="宋体"/>
          <w:b/>
          <w:bCs/>
          <w:snapToGrid w:val="0"/>
          <w:color w:val="auto"/>
          <w:spacing w:val="4"/>
          <w:sz w:val="24"/>
          <w:szCs w:val="24"/>
          <w:highlight w:val="none"/>
        </w:rPr>
        <w:t>4.5工程泥浆应当在施工现场进行脱水固化处理。施工现场不具备条件的，应当采用罐装器具密闭运输至依法设置的建筑垃圾处置场所进行处置。水上工程中依法无需经脱水处理的除外。</w:t>
      </w:r>
    </w:p>
    <w:p w14:paraId="3147A916">
      <w:pPr>
        <w:topLinePunct/>
        <w:spacing w:line="360" w:lineRule="auto"/>
        <w:ind w:firstLine="498" w:firstLineChars="200"/>
        <w:rPr>
          <w:rFonts w:ascii="宋体" w:hAnsi="宋体"/>
          <w:b/>
          <w:bCs/>
          <w:snapToGrid w:val="0"/>
          <w:color w:val="auto"/>
          <w:spacing w:val="4"/>
          <w:sz w:val="24"/>
          <w:szCs w:val="24"/>
          <w:highlight w:val="none"/>
        </w:rPr>
      </w:pPr>
      <w:r>
        <w:rPr>
          <w:rFonts w:hint="eastAsia" w:ascii="宋体" w:hAnsi="宋体"/>
          <w:b/>
          <w:bCs/>
          <w:snapToGrid w:val="0"/>
          <w:color w:val="auto"/>
          <w:spacing w:val="4"/>
          <w:sz w:val="24"/>
          <w:szCs w:val="24"/>
          <w:highlight w:val="none"/>
        </w:rPr>
        <w:t>4.6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6ACF9BCE">
      <w:pPr>
        <w:pStyle w:val="49"/>
        <w:rPr>
          <w:rFonts w:hint="eastAsia"/>
          <w:color w:val="auto"/>
          <w:highlight w:val="none"/>
        </w:rPr>
      </w:pPr>
      <w:r>
        <w:rPr>
          <w:rFonts w:hint="eastAsia"/>
          <w:b/>
          <w:bCs/>
          <w:snapToGrid w:val="0"/>
          <w:color w:val="auto"/>
          <w:spacing w:val="4"/>
          <w:szCs w:val="24"/>
          <w:highlight w:val="none"/>
        </w:rPr>
        <w:t>4.7建设单位和施工单位严格遵守并执行《广东省建筑垃圾管理条例》。</w:t>
      </w:r>
    </w:p>
    <w:p w14:paraId="1955150D">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5</w:t>
      </w:r>
      <w:r>
        <w:rPr>
          <w:rFonts w:hint="eastAsia" w:ascii="宋体" w:hAnsi="宋体"/>
          <w:snapToGrid w:val="0"/>
          <w:color w:val="auto"/>
          <w:spacing w:val="4"/>
          <w:sz w:val="24"/>
          <w:szCs w:val="24"/>
          <w:highlight w:val="none"/>
        </w:rPr>
        <w:t>、保证季节施工的措施</w:t>
      </w:r>
    </w:p>
    <w:p w14:paraId="7AF190BC">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6</w:t>
      </w:r>
      <w:r>
        <w:rPr>
          <w:rFonts w:hint="eastAsia" w:ascii="宋体" w:hAnsi="宋体"/>
          <w:snapToGrid w:val="0"/>
          <w:color w:val="auto"/>
          <w:spacing w:val="4"/>
          <w:sz w:val="24"/>
          <w:szCs w:val="24"/>
          <w:highlight w:val="none"/>
        </w:rPr>
        <w:t>、保证环境的措施</w:t>
      </w:r>
    </w:p>
    <w:p w14:paraId="24008262">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7</w:t>
      </w:r>
      <w:r>
        <w:rPr>
          <w:rFonts w:hint="eastAsia" w:ascii="宋体" w:hAnsi="宋体"/>
          <w:snapToGrid w:val="0"/>
          <w:color w:val="auto"/>
          <w:spacing w:val="4"/>
          <w:sz w:val="24"/>
          <w:szCs w:val="24"/>
          <w:highlight w:val="none"/>
        </w:rPr>
        <w:t>、竣工验收、竣工资料和竣工备案管理</w:t>
      </w:r>
    </w:p>
    <w:p w14:paraId="7C0D8337">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八、专项施工方案</w:t>
      </w:r>
    </w:p>
    <w:p w14:paraId="3572073B">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针对项目的特点及招标文件管理要求编制装饰装修工程施工方案（含施工方法、工艺流程、材料选用、专业检测手段、质量保证措施等）</w:t>
      </w:r>
    </w:p>
    <w:p w14:paraId="49FE3FC8">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九、工程结算工作方案</w:t>
      </w:r>
    </w:p>
    <w:p w14:paraId="053A17AF">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针对项目情况及结算工作的重点、难点，提出结算工作方案，包括中标后开工前的预算及清单复核等准备工作方案，过程中的变更、签证工作方案，过程资料的整理及中间结算资料编制方案，竣工结算工作方案。前述方案均应包括相应的人员投入安排、进度计划安排及各项保证措施。</w:t>
      </w:r>
    </w:p>
    <w:p w14:paraId="405611A9">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十、工程质保方案</w:t>
      </w:r>
    </w:p>
    <w:p w14:paraId="54BC6587">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针对项目情况，提出工程质保工作方案，包括人员安排、备品备件、响应时间、质保制度及各项保证措施。</w:t>
      </w:r>
    </w:p>
    <w:p w14:paraId="5073E7DF">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十一、</w:t>
      </w:r>
      <w:r>
        <w:rPr>
          <w:rFonts w:ascii="宋体" w:hAnsi="宋体"/>
          <w:snapToGrid w:val="0"/>
          <w:color w:val="auto"/>
          <w:spacing w:val="4"/>
          <w:sz w:val="24"/>
          <w:szCs w:val="24"/>
          <w:highlight w:val="none"/>
        </w:rPr>
        <w:tab/>
      </w:r>
      <w:r>
        <w:rPr>
          <w:rFonts w:hint="eastAsia" w:ascii="宋体" w:hAnsi="宋体"/>
          <w:snapToGrid w:val="0"/>
          <w:color w:val="auto"/>
          <w:spacing w:val="4"/>
          <w:sz w:val="24"/>
          <w:szCs w:val="24"/>
          <w:highlight w:val="none"/>
        </w:rPr>
        <w:t>资源供应保障计划</w:t>
      </w:r>
    </w:p>
    <w:p w14:paraId="4EB2241E">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1</w:t>
      </w:r>
      <w:r>
        <w:rPr>
          <w:rFonts w:hint="eastAsia" w:ascii="宋体" w:hAnsi="宋体"/>
          <w:snapToGrid w:val="0"/>
          <w:color w:val="auto"/>
          <w:spacing w:val="4"/>
          <w:sz w:val="24"/>
          <w:szCs w:val="24"/>
          <w:highlight w:val="none"/>
        </w:rPr>
        <w:t>、劳动力需求计划；</w:t>
      </w:r>
    </w:p>
    <w:p w14:paraId="33DAAD4B">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2</w:t>
      </w:r>
      <w:r>
        <w:rPr>
          <w:rFonts w:hint="eastAsia" w:ascii="宋体" w:hAnsi="宋体"/>
          <w:snapToGrid w:val="0"/>
          <w:color w:val="auto"/>
          <w:spacing w:val="4"/>
          <w:sz w:val="24"/>
          <w:szCs w:val="24"/>
          <w:highlight w:val="none"/>
        </w:rPr>
        <w:t>、主要材料设备采购计划；</w:t>
      </w:r>
    </w:p>
    <w:p w14:paraId="223B0DF0">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3</w:t>
      </w:r>
      <w:r>
        <w:rPr>
          <w:rFonts w:hint="eastAsia" w:ascii="宋体" w:hAnsi="宋体"/>
          <w:snapToGrid w:val="0"/>
          <w:color w:val="auto"/>
          <w:spacing w:val="4"/>
          <w:sz w:val="24"/>
          <w:szCs w:val="24"/>
          <w:highlight w:val="none"/>
        </w:rPr>
        <w:t>、机械设备投入、使用计划；</w:t>
      </w:r>
    </w:p>
    <w:p w14:paraId="1D36AD00">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4</w:t>
      </w:r>
      <w:r>
        <w:rPr>
          <w:rFonts w:hint="eastAsia" w:ascii="宋体" w:hAnsi="宋体"/>
          <w:snapToGrid w:val="0"/>
          <w:color w:val="auto"/>
          <w:spacing w:val="4"/>
          <w:sz w:val="24"/>
          <w:szCs w:val="24"/>
          <w:highlight w:val="none"/>
        </w:rPr>
        <w:t>、资金使用计划；</w:t>
      </w:r>
    </w:p>
    <w:p w14:paraId="1FE0C807">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5</w:t>
      </w:r>
      <w:r>
        <w:rPr>
          <w:rFonts w:hint="eastAsia" w:ascii="宋体" w:hAnsi="宋体"/>
          <w:snapToGrid w:val="0"/>
          <w:color w:val="auto"/>
          <w:spacing w:val="4"/>
          <w:sz w:val="24"/>
          <w:szCs w:val="24"/>
          <w:highlight w:val="none"/>
        </w:rPr>
        <w:t>、材料设备供应保障措施；</w:t>
      </w:r>
    </w:p>
    <w:p w14:paraId="09F329A7">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十二、项目风险预测和管理</w:t>
      </w:r>
    </w:p>
    <w:p w14:paraId="51D0E57F">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1</w:t>
      </w:r>
      <w:r>
        <w:rPr>
          <w:rFonts w:hint="eastAsia" w:ascii="宋体" w:hAnsi="宋体"/>
          <w:snapToGrid w:val="0"/>
          <w:color w:val="auto"/>
          <w:spacing w:val="4"/>
          <w:sz w:val="24"/>
          <w:szCs w:val="24"/>
          <w:highlight w:val="none"/>
        </w:rPr>
        <w:t>、风险管理重点；</w:t>
      </w:r>
    </w:p>
    <w:p w14:paraId="762EE93A">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2</w:t>
      </w:r>
      <w:r>
        <w:rPr>
          <w:rFonts w:hint="eastAsia" w:ascii="宋体" w:hAnsi="宋体"/>
          <w:snapToGrid w:val="0"/>
          <w:color w:val="auto"/>
          <w:spacing w:val="4"/>
          <w:sz w:val="24"/>
          <w:szCs w:val="24"/>
          <w:highlight w:val="none"/>
        </w:rPr>
        <w:t>、风险防范对策；</w:t>
      </w:r>
    </w:p>
    <w:p w14:paraId="7F371E6A">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3</w:t>
      </w:r>
      <w:r>
        <w:rPr>
          <w:rFonts w:hint="eastAsia" w:ascii="宋体" w:hAnsi="宋体"/>
          <w:snapToGrid w:val="0"/>
          <w:color w:val="auto"/>
          <w:spacing w:val="4"/>
          <w:sz w:val="24"/>
          <w:szCs w:val="24"/>
          <w:highlight w:val="none"/>
        </w:rPr>
        <w:t>、风险管理责任。</w:t>
      </w:r>
    </w:p>
    <w:p w14:paraId="1DDAD828">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十三、</w:t>
      </w:r>
      <w:r>
        <w:rPr>
          <w:rFonts w:ascii="宋体" w:hAnsi="宋体"/>
          <w:snapToGrid w:val="0"/>
          <w:color w:val="auto"/>
          <w:spacing w:val="4"/>
          <w:sz w:val="24"/>
          <w:szCs w:val="24"/>
          <w:highlight w:val="none"/>
        </w:rPr>
        <w:tab/>
      </w:r>
      <w:r>
        <w:rPr>
          <w:rFonts w:hint="eastAsia" w:ascii="宋体" w:hAnsi="宋体"/>
          <w:snapToGrid w:val="0"/>
          <w:color w:val="auto"/>
          <w:spacing w:val="4"/>
          <w:sz w:val="24"/>
          <w:szCs w:val="24"/>
          <w:highlight w:val="none"/>
        </w:rPr>
        <w:t>信息管理</w:t>
      </w:r>
    </w:p>
    <w:p w14:paraId="7252A019">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1</w:t>
      </w:r>
      <w:r>
        <w:rPr>
          <w:rFonts w:hint="eastAsia" w:ascii="宋体" w:hAnsi="宋体"/>
          <w:snapToGrid w:val="0"/>
          <w:color w:val="auto"/>
          <w:spacing w:val="4"/>
          <w:sz w:val="24"/>
          <w:szCs w:val="24"/>
          <w:highlight w:val="none"/>
        </w:rPr>
        <w:t>、与项目组织相适应的信息流通系统；</w:t>
      </w:r>
    </w:p>
    <w:p w14:paraId="5EB9C05B">
      <w:pPr>
        <w:topLinePunct/>
        <w:spacing w:line="360" w:lineRule="auto"/>
        <w:ind w:firstLine="496" w:firstLineChars="200"/>
        <w:rPr>
          <w:rFonts w:ascii="宋体" w:hAnsi="宋体"/>
          <w:snapToGrid w:val="0"/>
          <w:color w:val="auto"/>
          <w:spacing w:val="4"/>
          <w:sz w:val="24"/>
          <w:szCs w:val="24"/>
          <w:highlight w:val="none"/>
        </w:rPr>
      </w:pPr>
      <w:r>
        <w:rPr>
          <w:rFonts w:ascii="宋体" w:hAnsi="宋体"/>
          <w:snapToGrid w:val="0"/>
          <w:color w:val="auto"/>
          <w:spacing w:val="4"/>
          <w:sz w:val="24"/>
          <w:szCs w:val="24"/>
          <w:highlight w:val="none"/>
        </w:rPr>
        <w:t>2</w:t>
      </w:r>
      <w:r>
        <w:rPr>
          <w:rFonts w:hint="eastAsia" w:ascii="宋体" w:hAnsi="宋体"/>
          <w:snapToGrid w:val="0"/>
          <w:color w:val="auto"/>
          <w:spacing w:val="4"/>
          <w:sz w:val="24"/>
          <w:szCs w:val="24"/>
          <w:highlight w:val="none"/>
        </w:rPr>
        <w:t>、与招标人的项目信息管理处理系统软硬件相配套的资源配置；</w:t>
      </w:r>
    </w:p>
    <w:p w14:paraId="4C3333C4">
      <w:pPr>
        <w:topLinePunct/>
        <w:spacing w:line="360" w:lineRule="auto"/>
        <w:ind w:firstLine="496" w:firstLineChars="200"/>
        <w:rPr>
          <w:rFonts w:hint="eastAsia" w:ascii="宋体" w:hAnsi="宋体"/>
          <w:snapToGrid w:val="0"/>
          <w:color w:val="auto"/>
          <w:spacing w:val="4"/>
          <w:sz w:val="24"/>
          <w:szCs w:val="24"/>
          <w:highlight w:val="none"/>
        </w:rPr>
      </w:pPr>
      <w:r>
        <w:rPr>
          <w:rFonts w:ascii="宋体" w:hAnsi="宋体"/>
          <w:snapToGrid w:val="0"/>
          <w:color w:val="auto"/>
          <w:spacing w:val="4"/>
          <w:sz w:val="24"/>
          <w:szCs w:val="24"/>
          <w:highlight w:val="none"/>
        </w:rPr>
        <w:t>3</w:t>
      </w:r>
      <w:r>
        <w:rPr>
          <w:rFonts w:hint="eastAsia" w:ascii="宋体" w:hAnsi="宋体"/>
          <w:snapToGrid w:val="0"/>
          <w:color w:val="auto"/>
          <w:spacing w:val="4"/>
          <w:sz w:val="24"/>
          <w:szCs w:val="24"/>
          <w:highlight w:val="none"/>
        </w:rPr>
        <w:t>、信息管理实施规划。</w:t>
      </w:r>
    </w:p>
    <w:p w14:paraId="709C9221">
      <w:pPr>
        <w:topLinePunct/>
        <w:spacing w:line="360" w:lineRule="auto"/>
        <w:ind w:firstLine="496" w:firstLineChars="200"/>
        <w:jc w:val="left"/>
        <w:rPr>
          <w:rFonts w:hint="eastAsia" w:ascii="宋体" w:hAnsi="宋体" w:eastAsia="宋体"/>
          <w:snapToGrid w:val="0"/>
          <w:color w:val="auto"/>
          <w:spacing w:val="4"/>
          <w:sz w:val="24"/>
          <w:szCs w:val="24"/>
          <w:highlight w:val="none"/>
          <w:lang w:val="en-US"/>
        </w:rPr>
      </w:pPr>
      <w:r>
        <w:rPr>
          <w:rFonts w:hint="eastAsia" w:ascii="宋体" w:hAnsi="宋体"/>
          <w:snapToGrid w:val="0"/>
          <w:color w:val="auto"/>
          <w:spacing w:val="4"/>
          <w:sz w:val="24"/>
          <w:szCs w:val="24"/>
          <w:highlight w:val="none"/>
        </w:rPr>
        <w:t>十</w:t>
      </w:r>
      <w:r>
        <w:rPr>
          <w:rFonts w:hint="eastAsia" w:ascii="宋体" w:hAnsi="宋体"/>
          <w:snapToGrid w:val="0"/>
          <w:color w:val="auto"/>
          <w:spacing w:val="4"/>
          <w:sz w:val="24"/>
          <w:szCs w:val="24"/>
          <w:highlight w:val="none"/>
          <w:lang w:eastAsia="zh-CN"/>
        </w:rPr>
        <w:t>四</w:t>
      </w:r>
      <w:r>
        <w:rPr>
          <w:rFonts w:hint="eastAsia" w:ascii="宋体" w:hAnsi="宋体"/>
          <w:snapToGrid w:val="0"/>
          <w:color w:val="auto"/>
          <w:spacing w:val="4"/>
          <w:sz w:val="24"/>
          <w:szCs w:val="24"/>
          <w:highlight w:val="none"/>
        </w:rPr>
        <w:t>、</w:t>
      </w:r>
      <w:r>
        <w:rPr>
          <w:rFonts w:ascii="宋体" w:hAnsi="宋体"/>
          <w:snapToGrid w:val="0"/>
          <w:color w:val="auto"/>
          <w:spacing w:val="4"/>
          <w:sz w:val="24"/>
          <w:szCs w:val="24"/>
          <w:highlight w:val="none"/>
        </w:rPr>
        <w:tab/>
      </w:r>
      <w:r>
        <w:rPr>
          <w:rFonts w:hint="eastAsia" w:ascii="宋体" w:hAnsi="宋体" w:eastAsia="宋体"/>
          <w:snapToGrid w:val="0"/>
          <w:color w:val="auto"/>
          <w:spacing w:val="4"/>
          <w:sz w:val="24"/>
          <w:szCs w:val="24"/>
          <w:highlight w:val="none"/>
          <w:lang w:val="en-US" w:eastAsia="zh-CN"/>
        </w:rPr>
        <w:t>根据本项目特征提出重点难点分析供参考，具体内容如下：</w:t>
      </w:r>
    </w:p>
    <w:p w14:paraId="233FE708">
      <w:pPr>
        <w:topLinePunct/>
        <w:spacing w:line="360" w:lineRule="auto"/>
        <w:ind w:firstLine="496" w:firstLineChars="200"/>
        <w:jc w:val="left"/>
        <w:rPr>
          <w:rFonts w:hint="eastAsia" w:ascii="宋体" w:hAnsi="宋体" w:eastAsia="宋体" w:cs="Times New Roman"/>
          <w:snapToGrid w:val="0"/>
          <w:color w:val="auto"/>
          <w:spacing w:val="4"/>
          <w:sz w:val="24"/>
          <w:szCs w:val="24"/>
          <w:highlight w:val="none"/>
          <w:lang w:val="en-US" w:eastAsia="zh-CN"/>
        </w:rPr>
      </w:pPr>
      <w:r>
        <w:rPr>
          <w:rFonts w:hint="eastAsia" w:ascii="宋体" w:hAnsi="宋体" w:eastAsia="宋体" w:cs="Times New Roman"/>
          <w:snapToGrid w:val="0"/>
          <w:color w:val="auto"/>
          <w:spacing w:val="4"/>
          <w:sz w:val="24"/>
          <w:szCs w:val="24"/>
          <w:highlight w:val="none"/>
          <w:lang w:val="en-US" w:eastAsia="zh-CN"/>
        </w:rPr>
        <w:t>重难点一：关于土方平衡工程</w:t>
      </w:r>
    </w:p>
    <w:p w14:paraId="3B3EFB6B">
      <w:pPr>
        <w:topLinePunct/>
        <w:spacing w:line="360" w:lineRule="auto"/>
        <w:ind w:firstLine="496" w:firstLineChars="200"/>
        <w:jc w:val="left"/>
        <w:rPr>
          <w:rFonts w:hint="eastAsia" w:ascii="宋体" w:hAnsi="宋体" w:eastAsia="宋体" w:cs="Times New Roman"/>
          <w:snapToGrid w:val="0"/>
          <w:color w:val="auto"/>
          <w:spacing w:val="4"/>
          <w:sz w:val="24"/>
          <w:szCs w:val="24"/>
          <w:highlight w:val="none"/>
          <w:lang w:val="en-US" w:eastAsia="zh-CN"/>
        </w:rPr>
      </w:pPr>
      <w:r>
        <w:rPr>
          <w:rFonts w:hint="eastAsia" w:ascii="宋体" w:hAnsi="宋体" w:eastAsia="宋体" w:cs="Times New Roman"/>
          <w:snapToGrid w:val="0"/>
          <w:color w:val="auto"/>
          <w:spacing w:val="4"/>
          <w:sz w:val="24"/>
          <w:szCs w:val="24"/>
          <w:highlight w:val="none"/>
          <w:lang w:val="en-US" w:eastAsia="zh-CN"/>
        </w:rPr>
        <w:t>本项目的挖方填方量较大，且存在有部分水塘需要回填，为避免日后出现室外地面沉降导致管线断裂等情况，水塘需作清淤处理，并使用场地原有素土进行回填，此外挖填土应遵循就近回填、分层压实等原则，避免产生过多的土方运输量。根据勘察资料和全地形BIM模型数据，项目存在石方开挖，开挖的石方应优先用作建筑投影范围外的底层回填材料，并注意不能用于二期建筑投影范围内的回填。</w:t>
      </w:r>
    </w:p>
    <w:p w14:paraId="145EDF22">
      <w:pPr>
        <w:topLinePunct/>
        <w:spacing w:line="360" w:lineRule="auto"/>
        <w:ind w:firstLine="496" w:firstLineChars="200"/>
        <w:jc w:val="left"/>
        <w:rPr>
          <w:rFonts w:hint="eastAsia" w:ascii="宋体" w:hAnsi="宋体" w:eastAsia="宋体" w:cs="Times New Roman"/>
          <w:snapToGrid w:val="0"/>
          <w:color w:val="auto"/>
          <w:spacing w:val="4"/>
          <w:sz w:val="24"/>
          <w:szCs w:val="24"/>
          <w:highlight w:val="none"/>
          <w:lang w:val="en-US" w:eastAsia="zh-CN"/>
        </w:rPr>
      </w:pPr>
      <w:r>
        <w:rPr>
          <w:rFonts w:hint="eastAsia" w:ascii="宋体" w:hAnsi="宋体" w:eastAsia="宋体" w:cs="Times New Roman"/>
          <w:snapToGrid w:val="0"/>
          <w:color w:val="auto"/>
          <w:spacing w:val="4"/>
          <w:sz w:val="24"/>
          <w:szCs w:val="24"/>
          <w:highlight w:val="none"/>
          <w:lang w:val="en-US" w:eastAsia="zh-CN"/>
        </w:rPr>
        <w:t>重难点二：关于截洪沟</w:t>
      </w:r>
    </w:p>
    <w:p w14:paraId="51565905">
      <w:pPr>
        <w:topLinePunct/>
        <w:spacing w:line="360" w:lineRule="auto"/>
        <w:ind w:firstLine="496" w:firstLineChars="200"/>
        <w:jc w:val="left"/>
        <w:rPr>
          <w:rFonts w:hint="eastAsia" w:ascii="宋体" w:hAnsi="宋体" w:eastAsia="宋体" w:cs="Times New Roman"/>
          <w:snapToGrid w:val="0"/>
          <w:color w:val="auto"/>
          <w:spacing w:val="4"/>
          <w:sz w:val="24"/>
          <w:szCs w:val="24"/>
          <w:highlight w:val="none"/>
          <w:lang w:val="en-US" w:eastAsia="zh-CN"/>
        </w:rPr>
      </w:pPr>
      <w:r>
        <w:rPr>
          <w:rFonts w:hint="eastAsia" w:ascii="宋体" w:hAnsi="宋体" w:eastAsia="宋体" w:cs="Times New Roman"/>
          <w:snapToGrid w:val="0"/>
          <w:color w:val="auto"/>
          <w:spacing w:val="4"/>
          <w:sz w:val="24"/>
          <w:szCs w:val="24"/>
          <w:highlight w:val="none"/>
          <w:lang w:val="en-US" w:eastAsia="zh-CN"/>
        </w:rPr>
        <w:t>本项目现状周边为山林，为预防极端天气触发山洪入侵影响施工现场，本项目北侧的截洪沟应优先建设，并按图纸要求接入山塘。</w:t>
      </w:r>
    </w:p>
    <w:p w14:paraId="0B50184B">
      <w:pPr>
        <w:topLinePunct/>
        <w:spacing w:line="360" w:lineRule="auto"/>
        <w:ind w:firstLine="496" w:firstLineChars="200"/>
        <w:jc w:val="left"/>
        <w:rPr>
          <w:rFonts w:hint="eastAsia" w:ascii="宋体" w:hAnsi="宋体" w:eastAsia="宋体" w:cs="Times New Roman"/>
          <w:snapToGrid w:val="0"/>
          <w:color w:val="auto"/>
          <w:spacing w:val="4"/>
          <w:sz w:val="24"/>
          <w:szCs w:val="24"/>
          <w:highlight w:val="none"/>
          <w:lang w:val="en-US" w:eastAsia="zh-CN"/>
        </w:rPr>
      </w:pPr>
      <w:r>
        <w:rPr>
          <w:rFonts w:hint="eastAsia" w:ascii="宋体" w:hAnsi="宋体" w:eastAsia="宋体" w:cs="Times New Roman"/>
          <w:snapToGrid w:val="0"/>
          <w:color w:val="auto"/>
          <w:spacing w:val="4"/>
          <w:sz w:val="24"/>
          <w:szCs w:val="24"/>
          <w:highlight w:val="none"/>
          <w:lang w:val="en-US" w:eastAsia="zh-CN"/>
        </w:rPr>
        <w:t>重难点三：关于挡土墙与边坡</w:t>
      </w:r>
    </w:p>
    <w:p w14:paraId="0CF9D13F">
      <w:pPr>
        <w:topLinePunct/>
        <w:spacing w:line="360" w:lineRule="auto"/>
        <w:ind w:firstLine="496" w:firstLineChars="200"/>
        <w:jc w:val="left"/>
        <w:rPr>
          <w:rFonts w:hint="eastAsia" w:ascii="宋体" w:hAnsi="宋体" w:eastAsia="宋体" w:cs="Times New Roman"/>
          <w:strike w:val="0"/>
          <w:dstrike w:val="0"/>
          <w:snapToGrid w:val="0"/>
          <w:color w:val="auto"/>
          <w:spacing w:val="4"/>
          <w:sz w:val="24"/>
          <w:szCs w:val="24"/>
          <w:highlight w:val="none"/>
          <w:lang w:val="en-US" w:eastAsia="zh-CN"/>
        </w:rPr>
      </w:pPr>
      <w:r>
        <w:rPr>
          <w:rFonts w:hint="eastAsia" w:ascii="宋体" w:hAnsi="宋体" w:eastAsia="宋体" w:cs="Times New Roman"/>
          <w:strike w:val="0"/>
          <w:dstrike w:val="0"/>
          <w:snapToGrid w:val="0"/>
          <w:color w:val="auto"/>
          <w:spacing w:val="4"/>
          <w:sz w:val="24"/>
          <w:szCs w:val="24"/>
          <w:highlight w:val="none"/>
          <w:lang w:val="en-US" w:eastAsia="zh-CN"/>
        </w:rPr>
        <w:t>项目挡土墙临近周边居民建筑，施工开挖前需做好周边建筑的保护工作。</w:t>
      </w:r>
    </w:p>
    <w:p w14:paraId="62A1DFD7">
      <w:pPr>
        <w:topLinePunct/>
        <w:spacing w:line="360" w:lineRule="auto"/>
        <w:ind w:firstLine="496" w:firstLineChars="200"/>
        <w:jc w:val="left"/>
        <w:rPr>
          <w:rFonts w:hint="eastAsia" w:ascii="宋体" w:hAnsi="宋体" w:eastAsia="宋体" w:cs="Times New Roman"/>
          <w:snapToGrid w:val="0"/>
          <w:color w:val="auto"/>
          <w:spacing w:val="4"/>
          <w:sz w:val="24"/>
          <w:szCs w:val="24"/>
          <w:highlight w:val="none"/>
          <w:lang w:val="en-US" w:eastAsia="zh-CN"/>
        </w:rPr>
      </w:pPr>
      <w:r>
        <w:rPr>
          <w:rFonts w:hint="eastAsia" w:ascii="宋体" w:hAnsi="宋体" w:eastAsia="宋体" w:cs="Times New Roman"/>
          <w:snapToGrid w:val="0"/>
          <w:color w:val="auto"/>
          <w:spacing w:val="4"/>
          <w:sz w:val="24"/>
          <w:szCs w:val="24"/>
          <w:highlight w:val="none"/>
          <w:lang w:val="en-US" w:eastAsia="zh-CN"/>
        </w:rPr>
        <w:t>重难点四：关于围墙工程</w:t>
      </w:r>
    </w:p>
    <w:p w14:paraId="192ECE83">
      <w:pPr>
        <w:topLinePunct/>
        <w:spacing w:line="360" w:lineRule="auto"/>
        <w:ind w:firstLine="496" w:firstLineChars="200"/>
        <w:jc w:val="left"/>
        <w:rPr>
          <w:rFonts w:hint="eastAsia" w:ascii="宋体" w:hAnsi="宋体" w:eastAsia="宋体" w:cs="Times New Roman"/>
          <w:strike w:val="0"/>
          <w:dstrike w:val="0"/>
          <w:snapToGrid w:val="0"/>
          <w:color w:val="auto"/>
          <w:spacing w:val="4"/>
          <w:sz w:val="24"/>
          <w:szCs w:val="24"/>
          <w:highlight w:val="none"/>
          <w:lang w:val="en-US" w:eastAsia="zh-CN"/>
        </w:rPr>
      </w:pPr>
      <w:r>
        <w:rPr>
          <w:rFonts w:hint="eastAsia" w:ascii="宋体" w:hAnsi="宋体" w:eastAsia="宋体" w:cs="Times New Roman"/>
          <w:strike w:val="0"/>
          <w:dstrike w:val="0"/>
          <w:snapToGrid w:val="0"/>
          <w:color w:val="auto"/>
          <w:spacing w:val="4"/>
          <w:sz w:val="24"/>
          <w:szCs w:val="24"/>
          <w:highlight w:val="none"/>
          <w:lang w:val="en-US" w:eastAsia="zh-CN"/>
        </w:rPr>
        <w:t>项目设计有永久围墙及临时围墙，因地形复杂，如遇到部分地方的地质条件较差应作地基处理或调整临时围墙边界。</w:t>
      </w:r>
    </w:p>
    <w:p w14:paraId="7F74F8F0">
      <w:pPr>
        <w:topLinePunct/>
        <w:spacing w:line="360" w:lineRule="auto"/>
        <w:ind w:firstLine="496" w:firstLineChars="200"/>
        <w:jc w:val="left"/>
        <w:rPr>
          <w:rFonts w:hint="eastAsia" w:ascii="宋体" w:hAnsi="宋体" w:eastAsia="宋体" w:cs="Times New Roman"/>
          <w:snapToGrid w:val="0"/>
          <w:color w:val="auto"/>
          <w:spacing w:val="4"/>
          <w:sz w:val="24"/>
          <w:szCs w:val="24"/>
          <w:highlight w:val="none"/>
          <w:lang w:val="en-US" w:eastAsia="zh-CN"/>
        </w:rPr>
      </w:pPr>
      <w:r>
        <w:rPr>
          <w:rFonts w:hint="eastAsia" w:ascii="宋体" w:hAnsi="宋体" w:eastAsia="宋体" w:cs="Times New Roman"/>
          <w:snapToGrid w:val="0"/>
          <w:color w:val="auto"/>
          <w:spacing w:val="4"/>
          <w:sz w:val="24"/>
          <w:szCs w:val="24"/>
          <w:highlight w:val="none"/>
          <w:lang w:val="en-US" w:eastAsia="zh-CN"/>
        </w:rPr>
        <w:t>重难点五：关于装配式建筑</w:t>
      </w:r>
    </w:p>
    <w:p w14:paraId="7BD22C16">
      <w:pPr>
        <w:numPr>
          <w:ilvl w:val="-1"/>
          <w:numId w:val="0"/>
        </w:numPr>
        <w:topLinePunct/>
        <w:spacing w:line="360" w:lineRule="auto"/>
        <w:ind w:firstLine="496" w:firstLineChars="200"/>
        <w:jc w:val="left"/>
        <w:rPr>
          <w:rFonts w:hint="eastAsia" w:ascii="宋体" w:hAnsi="宋体" w:eastAsia="宋体" w:cs="Times New Roman"/>
          <w:strike w:val="0"/>
          <w:dstrike w:val="0"/>
          <w:snapToGrid w:val="0"/>
          <w:color w:val="auto"/>
          <w:spacing w:val="4"/>
          <w:sz w:val="24"/>
          <w:szCs w:val="24"/>
          <w:highlight w:val="none"/>
          <w:lang w:val="en-US" w:eastAsia="zh-CN"/>
        </w:rPr>
      </w:pPr>
      <w:r>
        <w:rPr>
          <w:rFonts w:hint="eastAsia" w:ascii="宋体" w:hAnsi="宋体" w:eastAsia="宋体" w:cs="Times New Roman"/>
          <w:strike w:val="0"/>
          <w:dstrike w:val="0"/>
          <w:snapToGrid w:val="0"/>
          <w:color w:val="auto"/>
          <w:spacing w:val="4"/>
          <w:sz w:val="24"/>
          <w:szCs w:val="24"/>
          <w:highlight w:val="none"/>
          <w:lang w:val="en-US" w:eastAsia="zh-CN"/>
        </w:rPr>
        <w:t>装配式建筑需高度依赖标准化构件，但实际项目中建筑功能、造型多样化需求与模数化冲突，需后期施工单位与配件生产厂平衡。</w:t>
      </w:r>
    </w:p>
    <w:p w14:paraId="62725CA5">
      <w:pPr>
        <w:numPr>
          <w:ilvl w:val="-1"/>
          <w:numId w:val="0"/>
        </w:numPr>
        <w:topLinePunct/>
        <w:spacing w:line="360" w:lineRule="auto"/>
        <w:ind w:firstLine="496" w:firstLineChars="200"/>
        <w:jc w:val="left"/>
        <w:rPr>
          <w:rFonts w:hint="eastAsia" w:ascii="宋体" w:hAnsi="宋体" w:eastAsia="宋体" w:cs="Times New Roman"/>
          <w:strike w:val="0"/>
          <w:dstrike w:val="0"/>
          <w:snapToGrid w:val="0"/>
          <w:color w:val="auto"/>
          <w:spacing w:val="4"/>
          <w:sz w:val="24"/>
          <w:szCs w:val="24"/>
          <w:highlight w:val="none"/>
          <w:lang w:val="en-US" w:eastAsia="zh-CN"/>
        </w:rPr>
      </w:pPr>
      <w:r>
        <w:rPr>
          <w:rFonts w:hint="eastAsia" w:ascii="宋体" w:hAnsi="宋体" w:eastAsia="宋体" w:cs="Times New Roman"/>
          <w:strike w:val="0"/>
          <w:dstrike w:val="0"/>
          <w:snapToGrid w:val="0"/>
          <w:color w:val="auto"/>
          <w:spacing w:val="4"/>
          <w:sz w:val="24"/>
          <w:szCs w:val="24"/>
          <w:highlight w:val="none"/>
          <w:lang w:val="en-US" w:eastAsia="zh-CN"/>
        </w:rPr>
        <w:t>施工单位结构、机电、装修等专业技术员需在装配式构件深化设计阶段整合，配合预制构件的深化工作，避免管线碰撞、预留孔洞错位等问题。</w:t>
      </w:r>
    </w:p>
    <w:p w14:paraId="1DC6D057">
      <w:pPr>
        <w:numPr>
          <w:ilvl w:val="-1"/>
          <w:numId w:val="0"/>
        </w:numPr>
        <w:topLinePunct/>
        <w:spacing w:line="360" w:lineRule="auto"/>
        <w:ind w:firstLine="496" w:firstLineChars="200"/>
        <w:jc w:val="left"/>
        <w:rPr>
          <w:rFonts w:hint="eastAsia" w:ascii="宋体" w:hAnsi="宋体" w:eastAsia="宋体" w:cs="Times New Roman"/>
          <w:strike w:val="0"/>
          <w:dstrike w:val="0"/>
          <w:snapToGrid w:val="0"/>
          <w:color w:val="auto"/>
          <w:spacing w:val="4"/>
          <w:sz w:val="24"/>
          <w:szCs w:val="24"/>
          <w:highlight w:val="none"/>
          <w:lang w:val="en-US" w:eastAsia="zh-CN"/>
        </w:rPr>
      </w:pPr>
      <w:r>
        <w:rPr>
          <w:rFonts w:hint="eastAsia" w:ascii="宋体" w:hAnsi="宋体" w:eastAsia="宋体" w:cs="Times New Roman"/>
          <w:strike w:val="0"/>
          <w:dstrike w:val="0"/>
          <w:snapToGrid w:val="0"/>
          <w:color w:val="auto"/>
          <w:spacing w:val="4"/>
          <w:sz w:val="24"/>
          <w:szCs w:val="24"/>
          <w:highlight w:val="none"/>
          <w:lang w:val="en-US" w:eastAsia="zh-CN"/>
        </w:rPr>
        <w:t>大型构件（如楼梯梯段）构件堆放应合理规划，避免变形或损坏。</w:t>
      </w:r>
    </w:p>
    <w:p w14:paraId="269D4207">
      <w:pPr>
        <w:numPr>
          <w:ilvl w:val="-1"/>
          <w:numId w:val="0"/>
        </w:numPr>
        <w:topLinePunct/>
        <w:spacing w:line="360" w:lineRule="auto"/>
        <w:ind w:firstLine="496" w:firstLineChars="200"/>
        <w:jc w:val="left"/>
        <w:rPr>
          <w:rFonts w:hint="eastAsia" w:ascii="宋体" w:hAnsi="宋体"/>
          <w:snapToGrid w:val="0"/>
          <w:color w:val="auto"/>
          <w:spacing w:val="4"/>
          <w:sz w:val="24"/>
          <w:szCs w:val="24"/>
          <w:highlight w:val="none"/>
          <w:lang w:val="en-US" w:eastAsia="zh-CN"/>
        </w:rPr>
      </w:pPr>
      <w:r>
        <w:rPr>
          <w:rFonts w:hint="eastAsia" w:ascii="宋体" w:hAnsi="宋体" w:eastAsia="宋体" w:cs="Times New Roman"/>
          <w:strike w:val="0"/>
          <w:dstrike w:val="0"/>
          <w:snapToGrid w:val="0"/>
          <w:color w:val="auto"/>
          <w:spacing w:val="4"/>
          <w:sz w:val="24"/>
          <w:szCs w:val="24"/>
          <w:highlight w:val="none"/>
          <w:lang w:val="en-US" w:eastAsia="zh-CN"/>
        </w:rPr>
        <w:t>（4）综合考虑预制构件的重量和吊装距离配置起吊设备，应严格的安全验算。吊装过程需精准控制，对施工人员经验要求高。</w:t>
      </w:r>
    </w:p>
    <w:p w14:paraId="2BDAF1A1">
      <w:pPr>
        <w:numPr>
          <w:ilvl w:val="-1"/>
          <w:numId w:val="0"/>
        </w:numPr>
        <w:topLinePunct/>
        <w:spacing w:line="360" w:lineRule="auto"/>
        <w:ind w:firstLine="496" w:firstLineChars="200"/>
        <w:jc w:val="left"/>
        <w:rPr>
          <w:rFonts w:hint="eastAsia" w:ascii="宋体" w:hAnsi="宋体"/>
          <w:snapToGrid w:val="0"/>
          <w:color w:val="auto"/>
          <w:spacing w:val="4"/>
          <w:sz w:val="24"/>
          <w:szCs w:val="24"/>
          <w:highlight w:val="none"/>
          <w:lang w:val="en-US" w:eastAsia="zh-CN"/>
        </w:rPr>
      </w:pPr>
      <w:r>
        <w:rPr>
          <w:rFonts w:hint="eastAsia" w:ascii="宋体" w:hAnsi="宋体" w:eastAsia="宋体" w:cs="Times New Roman"/>
          <w:strike w:val="0"/>
          <w:dstrike w:val="0"/>
          <w:snapToGrid w:val="0"/>
          <w:color w:val="auto"/>
          <w:spacing w:val="4"/>
          <w:sz w:val="24"/>
          <w:szCs w:val="24"/>
          <w:highlight w:val="none"/>
          <w:lang w:val="en-US" w:eastAsia="zh-CN"/>
        </w:rPr>
        <w:t>（5）施工单位应把预制构件的深化设计工作提前，预留构件生产时间，避免影响现场施工进度。</w:t>
      </w:r>
    </w:p>
    <w:p w14:paraId="34BA6C34">
      <w:pPr>
        <w:pStyle w:val="2"/>
        <w:rPr>
          <w:rFonts w:hint="eastAsia" w:eastAsia="宋体"/>
          <w:color w:val="auto"/>
          <w:highlight w:val="none"/>
          <w:lang w:val="en-US" w:eastAsia="zh-CN"/>
        </w:rPr>
      </w:pPr>
    </w:p>
    <w:bookmarkEnd w:id="117"/>
    <w:bookmarkEnd w:id="118"/>
    <w:p w14:paraId="02B34851">
      <w:pPr>
        <w:jc w:val="left"/>
        <w:rPr>
          <w:rFonts w:hint="eastAsia" w:ascii="宋体" w:hAnsi="宋体" w:cs="宋体"/>
          <w:color w:val="auto"/>
          <w:highlight w:val="none"/>
        </w:rPr>
      </w:pPr>
      <w:r>
        <w:rPr>
          <w:rFonts w:hint="eastAsia" w:ascii="宋体" w:hAnsi="宋体" w:cs="宋体"/>
          <w:color w:val="auto"/>
          <w:highlight w:val="none"/>
        </w:rPr>
        <w:br w:type="page"/>
      </w:r>
    </w:p>
    <w:p w14:paraId="16BA5404">
      <w:pPr>
        <w:pStyle w:val="3"/>
        <w:jc w:val="center"/>
        <w:rPr>
          <w:rFonts w:hint="eastAsia" w:cs="宋体"/>
          <w:color w:val="auto"/>
          <w:sz w:val="36"/>
          <w:szCs w:val="36"/>
          <w:highlight w:val="none"/>
        </w:rPr>
      </w:pPr>
      <w:bookmarkStart w:id="119" w:name="_Toc2272569"/>
      <w:bookmarkStart w:id="120" w:name="_Toc20349"/>
      <w:bookmarkStart w:id="121" w:name="_Toc100130502"/>
      <w:r>
        <w:rPr>
          <w:rFonts w:hint="eastAsia" w:cs="宋体"/>
          <w:color w:val="auto"/>
          <w:sz w:val="36"/>
          <w:szCs w:val="36"/>
          <w:highlight w:val="none"/>
        </w:rPr>
        <w:t>第六章 图纸及勘察资料</w:t>
      </w:r>
      <w:bookmarkEnd w:id="119"/>
      <w:bookmarkEnd w:id="120"/>
      <w:bookmarkEnd w:id="121"/>
    </w:p>
    <w:p w14:paraId="1060DA0F">
      <w:pPr>
        <w:topLinePunct/>
        <w:adjustRightInd w:val="0"/>
        <w:snapToGrid w:val="0"/>
        <w:spacing w:line="360" w:lineRule="auto"/>
        <w:jc w:val="center"/>
        <w:rPr>
          <w:rFonts w:ascii="宋体" w:hAnsi="宋体"/>
          <w:snapToGrid w:val="0"/>
          <w:color w:val="auto"/>
          <w:spacing w:val="4"/>
          <w:kern w:val="0"/>
          <w:sz w:val="24"/>
          <w:highlight w:val="none"/>
        </w:rPr>
      </w:pPr>
      <w:r>
        <w:rPr>
          <w:rFonts w:hint="eastAsia" w:ascii="宋体" w:hAnsi="宋体"/>
          <w:snapToGrid w:val="0"/>
          <w:color w:val="auto"/>
          <w:spacing w:val="4"/>
          <w:kern w:val="0"/>
          <w:sz w:val="24"/>
          <w:highlight w:val="none"/>
        </w:rPr>
        <w:t>另册</w:t>
      </w:r>
    </w:p>
    <w:p w14:paraId="47CBB928">
      <w:pPr>
        <w:pStyle w:val="3"/>
        <w:jc w:val="center"/>
        <w:rPr>
          <w:rFonts w:cs="宋体"/>
          <w:color w:val="auto"/>
          <w:sz w:val="36"/>
          <w:szCs w:val="36"/>
          <w:highlight w:val="none"/>
        </w:rPr>
      </w:pPr>
      <w:r>
        <w:rPr>
          <w:rFonts w:hint="eastAsia" w:cs="宋体"/>
          <w:color w:val="auto"/>
          <w:sz w:val="24"/>
          <w:szCs w:val="24"/>
          <w:highlight w:val="none"/>
        </w:rPr>
        <w:br w:type="page"/>
      </w:r>
      <w:bookmarkStart w:id="122" w:name="_Toc3583"/>
      <w:bookmarkStart w:id="123" w:name="_Toc2272570"/>
      <w:bookmarkStart w:id="124" w:name="_Toc100130503"/>
      <w:r>
        <w:rPr>
          <w:rFonts w:hint="eastAsia" w:cs="宋体"/>
          <w:color w:val="auto"/>
          <w:sz w:val="36"/>
          <w:szCs w:val="36"/>
          <w:highlight w:val="none"/>
        </w:rPr>
        <w:t>第七章 工程量清单</w:t>
      </w:r>
      <w:bookmarkEnd w:id="122"/>
      <w:bookmarkEnd w:id="123"/>
      <w:bookmarkEnd w:id="124"/>
    </w:p>
    <w:p w14:paraId="64A5AB25">
      <w:pPr>
        <w:rPr>
          <w:color w:val="auto"/>
          <w:highlight w:val="none"/>
        </w:rPr>
      </w:pPr>
      <w:r>
        <w:rPr>
          <w:rFonts w:hint="eastAsia"/>
          <w:color w:val="auto"/>
          <w:highlight w:val="none"/>
        </w:rPr>
        <w:t>一、</w:t>
      </w:r>
      <w:r>
        <w:rPr>
          <w:rFonts w:hint="eastAsia" w:ascii="宋体" w:hAnsi="宋体"/>
          <w:color w:val="auto"/>
          <w:kern w:val="0"/>
          <w:sz w:val="24"/>
          <w:szCs w:val="18"/>
          <w:highlight w:val="none"/>
        </w:rPr>
        <w:t>工程量清单（另册）</w:t>
      </w:r>
      <w:r>
        <w:rPr>
          <w:rFonts w:hint="eastAsia"/>
          <w:color w:val="auto"/>
          <w:highlight w:val="none"/>
        </w:rPr>
        <w:t>；</w:t>
      </w:r>
    </w:p>
    <w:p w14:paraId="1C8AA382">
      <w:pPr>
        <w:pStyle w:val="49"/>
        <w:ind w:firstLine="0"/>
        <w:rPr>
          <w:color w:val="auto"/>
          <w:highlight w:val="none"/>
        </w:rPr>
      </w:pPr>
      <w:r>
        <w:rPr>
          <w:rFonts w:hint="eastAsia"/>
          <w:color w:val="auto"/>
          <w:highlight w:val="none"/>
        </w:rPr>
        <w:t>二、主要材料品牌推荐表（另册）；</w:t>
      </w:r>
    </w:p>
    <w:p w14:paraId="28F42FCA">
      <w:pPr>
        <w:pStyle w:val="49"/>
        <w:ind w:firstLine="0"/>
        <w:rPr>
          <w:rFonts w:hint="eastAsia"/>
          <w:color w:val="auto"/>
          <w:highlight w:val="none"/>
          <w:lang w:eastAsia="zh-CN"/>
        </w:rPr>
      </w:pPr>
      <w:r>
        <w:rPr>
          <w:rFonts w:hint="eastAsia"/>
          <w:color w:val="auto"/>
          <w:highlight w:val="none"/>
        </w:rPr>
        <w:t>三、其他说明</w:t>
      </w:r>
      <w:r>
        <w:rPr>
          <w:rFonts w:hint="eastAsia"/>
          <w:color w:val="auto"/>
          <w:highlight w:val="none"/>
          <w:lang w:eastAsia="zh-CN"/>
        </w:rPr>
        <w:t>（风险提示）：</w:t>
      </w:r>
    </w:p>
    <w:p w14:paraId="01893C58">
      <w:pPr>
        <w:pStyle w:val="49"/>
        <w:ind w:firstLine="0"/>
        <w:rPr>
          <w:rFonts w:hint="eastAsia"/>
          <w:color w:val="auto"/>
          <w:highlight w:val="none"/>
          <w:lang w:eastAsia="zh-CN"/>
        </w:rPr>
      </w:pPr>
      <w:r>
        <w:rPr>
          <w:rFonts w:hint="eastAsia"/>
          <w:color w:val="auto"/>
          <w:highlight w:val="none"/>
          <w:lang w:eastAsia="zh-CN"/>
        </w:rPr>
        <w:t>1.本项目校内可场内堆土，堆土量约38.95万立方米，场内运距综合考虑，结算综合单价不因场内运距增减而调整。</w:t>
      </w:r>
    </w:p>
    <w:p w14:paraId="347A9DC4">
      <w:pPr>
        <w:pStyle w:val="49"/>
        <w:ind w:firstLine="0"/>
        <w:rPr>
          <w:rFonts w:hint="eastAsia"/>
          <w:color w:val="auto"/>
          <w:highlight w:val="none"/>
          <w:lang w:eastAsia="zh-CN"/>
        </w:rPr>
      </w:pPr>
      <w:r>
        <w:rPr>
          <w:rFonts w:hint="eastAsia"/>
          <w:color w:val="auto"/>
          <w:highlight w:val="none"/>
          <w:lang w:eastAsia="zh-CN"/>
        </w:rPr>
        <w:t>2.项目已充分考虑了土石比、干湿比例、卸车、垂直运输、场内外运输及场内外道路条件等因素，工作内容广泛包括土石方的场内外运输、排障、协调等所有必要环节。中标后，结算时的综合单价同样不予调整。</w:t>
      </w:r>
    </w:p>
    <w:p w14:paraId="0F48E258">
      <w:pPr>
        <w:pStyle w:val="49"/>
        <w:ind w:firstLine="0"/>
        <w:rPr>
          <w:rFonts w:hint="eastAsia" w:eastAsia="宋体"/>
          <w:color w:val="auto"/>
          <w:highlight w:val="none"/>
          <w:lang w:eastAsia="zh-CN"/>
        </w:rPr>
      </w:pPr>
      <w:r>
        <w:rPr>
          <w:rFonts w:hint="eastAsia"/>
          <w:color w:val="auto"/>
          <w:highlight w:val="none"/>
          <w:lang w:eastAsia="zh-CN"/>
        </w:rPr>
        <w:t>3.场地清表：清单已综合考虑场地内地被、草丛、灌木丛、苗木树兜树根砍挖，场地清理及场内外清运、排障、协调等各项任务。一旦中标，结算时的综合单价将不再进行调整。</w:t>
      </w:r>
    </w:p>
    <w:p w14:paraId="38A0F614">
      <w:pPr>
        <w:pStyle w:val="49"/>
        <w:rPr>
          <w:rFonts w:hint="eastAsia"/>
          <w:color w:val="auto"/>
          <w:highlight w:val="none"/>
        </w:rPr>
      </w:pPr>
    </w:p>
    <w:p w14:paraId="648BC7B7">
      <w:pPr>
        <w:pStyle w:val="3"/>
        <w:jc w:val="center"/>
        <w:rPr>
          <w:rFonts w:hint="eastAsia" w:cs="宋体"/>
          <w:color w:val="auto"/>
          <w:sz w:val="36"/>
          <w:szCs w:val="36"/>
          <w:highlight w:val="none"/>
        </w:rPr>
      </w:pPr>
      <w:r>
        <w:rPr>
          <w:rFonts w:hint="eastAsia" w:cs="宋体"/>
          <w:color w:val="auto"/>
          <w:sz w:val="24"/>
          <w:szCs w:val="24"/>
          <w:highlight w:val="none"/>
        </w:rPr>
        <w:br w:type="page"/>
      </w:r>
      <w:bookmarkStart w:id="125" w:name="_Toc2272571"/>
      <w:bookmarkStart w:id="126" w:name="_Toc6942"/>
      <w:bookmarkStart w:id="127" w:name="_Toc100130504"/>
      <w:r>
        <w:rPr>
          <w:rFonts w:hint="eastAsia" w:cs="宋体"/>
          <w:color w:val="auto"/>
          <w:sz w:val="36"/>
          <w:szCs w:val="36"/>
          <w:highlight w:val="none"/>
        </w:rPr>
        <w:t>第八章 最高投标限价</w:t>
      </w:r>
      <w:bookmarkEnd w:id="125"/>
      <w:bookmarkEnd w:id="126"/>
      <w:bookmarkEnd w:id="127"/>
    </w:p>
    <w:p w14:paraId="4C3D4D66">
      <w:pPr>
        <w:spacing w:line="360" w:lineRule="auto"/>
        <w:ind w:firstLine="48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47C49D19">
      <w:pPr>
        <w:spacing w:line="360" w:lineRule="auto"/>
        <w:ind w:firstLine="48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具体见本项目《最高投标限价公布函》。</w:t>
      </w:r>
    </w:p>
    <w:p w14:paraId="326323A8">
      <w:pPr>
        <w:rPr>
          <w:rFonts w:hint="eastAsia" w:ascii="宋体" w:hAnsi="宋体" w:cs="宋体"/>
          <w:color w:val="auto"/>
          <w:highlight w:val="none"/>
        </w:rPr>
      </w:pPr>
    </w:p>
    <w:sectPr>
      <w:headerReference r:id="rId21" w:type="default"/>
      <w:footerReference r:id="rId22" w:type="default"/>
      <w:pgSz w:w="11906" w:h="16838"/>
      <w:pgMar w:top="1440" w:right="1440" w:bottom="1440" w:left="1440"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YaHei UI">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DejaVu Sans">
    <w:altName w:val="Times New Roman"/>
    <w:panose1 w:val="02020603050405020304"/>
    <w:charset w:val="00"/>
    <w:family w:val="roman"/>
    <w:pitch w:val="default"/>
    <w:sig w:usb0="00000000" w:usb1="00000000" w:usb2="00000008" w:usb3="00000000" w:csb0="000001FF" w:csb1="00000000"/>
  </w:font>
  <w:font w:name="Helvetica Neue">
    <w:altName w:val="Times New Roman"/>
    <w:panose1 w:val="02000503000000020004"/>
    <w:charset w:val="00"/>
    <w:family w:val="auto"/>
    <w:pitch w:val="default"/>
    <w:sig w:usb0="00000000" w:usb1="00000000" w:usb2="00000010" w:usb3="00000000" w:csb0="00000001" w:csb1="00000000"/>
  </w:font>
  <w:font w:name="华文细黑">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2D170">
    <w:pPr>
      <w:pStyle w:val="31"/>
      <w:ind w:firstLine="392"/>
      <w:rPr>
        <w:rStyle w:val="55"/>
      </w:rPr>
    </w:pPr>
    <w:r>
      <w:fldChar w:fldCharType="begin"/>
    </w:r>
    <w:r>
      <w:rPr>
        <w:rStyle w:val="55"/>
      </w:rPr>
      <w:instrText xml:space="preserve">PAGE  </w:instrText>
    </w:r>
    <w:r>
      <w:fldChar w:fldCharType="separate"/>
    </w:r>
    <w:r>
      <w:rPr>
        <w:rStyle w:val="55"/>
        <w:rFonts w:hint="eastAsia"/>
      </w:rPr>
      <w:t>一</w:t>
    </w:r>
    <w:r>
      <w:rPr>
        <w:rStyle w:val="55"/>
      </w:rPr>
      <w:t>–2</w:t>
    </w:r>
    <w:r>
      <w:fldChar w:fldCharType="end"/>
    </w:r>
  </w:p>
  <w:p w14:paraId="24661B64">
    <w:pPr>
      <w:pStyle w:val="31"/>
      <w:ind w:firstLine="392"/>
    </w:pPr>
    <w: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7F490">
    <w:pPr>
      <w:pStyle w:val="31"/>
      <w:jc w:val="center"/>
    </w:pPr>
    <w:r>
      <w:fldChar w:fldCharType="begin"/>
    </w:r>
    <w:r>
      <w:instrText xml:space="preserve"> PAGE   \* MERGEFORMAT </w:instrText>
    </w:r>
    <w:r>
      <w:fldChar w:fldCharType="separate"/>
    </w:r>
    <w:r>
      <w:t>96</w:t>
    </w:r>
    <w:r>
      <w:fldChar w:fldCharType="end"/>
    </w:r>
  </w:p>
  <w:p w14:paraId="79C1C1DE">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9D039">
    <w:pPr>
      <w:pStyle w:val="31"/>
      <w:jc w:val="center"/>
    </w:pPr>
    <w:r>
      <w:fldChar w:fldCharType="begin"/>
    </w:r>
    <w:r>
      <w:instrText xml:space="preserve"> PAGE   \* MERGEFORMAT </w:instrText>
    </w:r>
    <w:r>
      <w:fldChar w:fldCharType="separate"/>
    </w:r>
    <w:r>
      <w:rPr>
        <w:lang w:val="zh-CN"/>
      </w:rPr>
      <w:t>50</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7CE65">
    <w:pPr>
      <w:pStyle w:val="31"/>
      <w:jc w:val="center"/>
    </w:pPr>
    <w:r>
      <w:fldChar w:fldCharType="begin"/>
    </w:r>
    <w:r>
      <w:instrText xml:space="preserve"> PAGE   \* MERGEFORMAT </w:instrText>
    </w:r>
    <w:r>
      <w:fldChar w:fldCharType="separate"/>
    </w:r>
    <w:r>
      <w:rPr>
        <w:lang w:val="zh-CN"/>
      </w:rPr>
      <w:t>51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D3789">
    <w:pPr>
      <w:pStyle w:val="31"/>
      <w:jc w:val="center"/>
    </w:pPr>
    <w:r>
      <w:fldChar w:fldCharType="begin"/>
    </w:r>
    <w:r>
      <w:instrText xml:space="preserve"> PAGE   \* MERGEFORMAT </w:instrText>
    </w:r>
    <w:r>
      <w:fldChar w:fldCharType="separate"/>
    </w:r>
    <w:r>
      <w:rPr>
        <w:lang w:val="zh-CN"/>
      </w:rPr>
      <w:t>62</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BDD1C">
    <w:pPr>
      <w:pStyle w:val="31"/>
      <w:framePr w:wrap="around" w:vAnchor="text" w:hAnchor="margin" w:xAlign="outside" w:y="1"/>
      <w:rPr>
        <w:rStyle w:val="55"/>
      </w:rPr>
    </w:pPr>
    <w:r>
      <w:fldChar w:fldCharType="begin"/>
    </w:r>
    <w:r>
      <w:rPr>
        <w:rStyle w:val="55"/>
      </w:rPr>
      <w:instrText xml:space="preserve">PAGE  </w:instrText>
    </w:r>
    <w:r>
      <w:fldChar w:fldCharType="separate"/>
    </w:r>
    <w:r>
      <w:rPr>
        <w:rStyle w:val="55"/>
        <w:rFonts w:hint="eastAsia"/>
      </w:rPr>
      <w:t>一</w:t>
    </w:r>
    <w:r>
      <w:rPr>
        <w:rStyle w:val="55"/>
      </w:rPr>
      <w:t>–2</w:t>
    </w:r>
    <w:r>
      <w:fldChar w:fldCharType="end"/>
    </w:r>
  </w:p>
  <w:p w14:paraId="3F4A3D2E">
    <w:pPr>
      <w:pStyle w:val="31"/>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D87D7">
    <w:pPr>
      <w:pStyle w:val="31"/>
      <w:jc w:val="center"/>
    </w:pPr>
    <w:r>
      <w:fldChar w:fldCharType="begin"/>
    </w:r>
    <w:r>
      <w:instrText xml:space="preserve"> PAGE   \* MERGEFORMAT </w:instrText>
    </w:r>
    <w:r>
      <w:fldChar w:fldCharType="separate"/>
    </w:r>
    <w:r>
      <w:rPr>
        <w:lang w:val="zh-CN"/>
      </w:rPr>
      <w:t>60</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305E">
    <w:pPr>
      <w:pStyle w:val="3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5" name="文本框 9"/>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6FB3C21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71</w:t>
                          </w:r>
                          <w:r>
                            <w:rPr>
                              <w:rFonts w:hint="eastAsia"/>
                              <w:sz w:val="18"/>
                            </w:rP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YulhTQAAAAAwEAAA8AAAAAAAAAAQAgAAAAIgAAAGRycy9kb3du&#10;cmV2LnhtbFBLAQIUABQAAAAIAIdO4kC5FFlNzgEAAJgDAAAOAAAAAAAAAAEAIAAAAB8BAABkcnMv&#10;ZTJvRG9jLnhtbFBLBQYAAAAABgAGAFkBAABfBQAAAAA=&#10;">
              <v:fill on="f" focussize="0,0"/>
              <v:stroke on="f"/>
              <v:imagedata o:title=""/>
              <o:lock v:ext="edit" aspectratio="f"/>
              <v:textbox inset="0mm,0mm,0mm,0mm" style="mso-fit-shape-to-text:t;">
                <w:txbxContent>
                  <w:p w14:paraId="6FB3C21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71</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4F7FE">
    <w:pPr>
      <w:pStyle w:val="31"/>
      <w:framePr w:wrap="around" w:vAnchor="text" w:hAnchor="margin" w:xAlign="outside" w:y="1"/>
      <w:rPr>
        <w:rStyle w:val="55"/>
      </w:rPr>
    </w:pPr>
    <w:r>
      <w:fldChar w:fldCharType="begin"/>
    </w:r>
    <w:r>
      <w:rPr>
        <w:rStyle w:val="55"/>
      </w:rPr>
      <w:instrText xml:space="preserve">PAGE  </w:instrText>
    </w:r>
    <w:r>
      <w:fldChar w:fldCharType="separate"/>
    </w:r>
    <w:r>
      <w:rPr>
        <w:rStyle w:val="55"/>
        <w:rFonts w:hint="eastAsia"/>
      </w:rPr>
      <w:t>一</w:t>
    </w:r>
    <w:r>
      <w:rPr>
        <w:rStyle w:val="55"/>
      </w:rPr>
      <w:t>–2</w:t>
    </w:r>
    <w:r>
      <w:fldChar w:fldCharType="end"/>
    </w:r>
  </w:p>
  <w:p w14:paraId="5F85F4FA">
    <w:pPr>
      <w:pStyle w:val="31"/>
      <w:ind w:right="360" w:firstLine="360"/>
      <w:jc w:val="center"/>
    </w:pPr>
    <w:r>
      <w:rPr>
        <w:sz w:val="20"/>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2415C">
    <w:pPr>
      <w:pStyle w:val="31"/>
      <w:jc w:val="center"/>
    </w:pPr>
    <w:r>
      <w:fldChar w:fldCharType="begin"/>
    </w:r>
    <w:r>
      <w:rPr>
        <w:rStyle w:val="55"/>
      </w:rPr>
      <w:instrText xml:space="preserve"> PAGE </w:instrText>
    </w:r>
    <w:r>
      <w:fldChar w:fldCharType="separate"/>
    </w:r>
    <w:r>
      <w:rPr>
        <w:rStyle w:val="55"/>
      </w:rPr>
      <w:t>65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00B13">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5C87">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86B0C">
    <w:pPr>
      <w:pStyle w:val="32"/>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81ACF">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116BD">
    <w:pPr>
      <w:pStyle w:val="32"/>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BD3C8">
    <w:pPr>
      <w:pStyle w:val="32"/>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E80DF">
    <w:pPr>
      <w:pStyle w:val="32"/>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C6E09">
    <w:pPr>
      <w:pStyle w:val="32"/>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558F9">
    <w:pPr>
      <w:pStyle w:val="32"/>
      <w:jc w:val="right"/>
      <w:rPr>
        <w:i/>
        <w:iCs/>
      </w:rPr>
    </w:pPr>
    <w:r>
      <w:rPr>
        <w:rFonts w:hint="eastAsia"/>
        <w:i/>
        <w:iCs/>
      </w:rPr>
      <w:t>横枝岗路道路排水改造工程招标文件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F4EE">
    <w:pPr>
      <w:pStyle w:val="3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E2F79"/>
    <w:multiLevelType w:val="singleLevel"/>
    <w:tmpl w:val="B5AE2F79"/>
    <w:lvl w:ilvl="0" w:tentative="0">
      <w:start w:val="1"/>
      <w:numFmt w:val="decimal"/>
      <w:suff w:val="nothing"/>
      <w:lvlText w:val="%1）"/>
      <w:lvlJc w:val="left"/>
    </w:lvl>
  </w:abstractNum>
  <w:abstractNum w:abstractNumId="1">
    <w:nsid w:val="C08BE481"/>
    <w:multiLevelType w:val="singleLevel"/>
    <w:tmpl w:val="C08BE481"/>
    <w:lvl w:ilvl="0" w:tentative="0">
      <w:start w:val="2"/>
      <w:numFmt w:val="decimal"/>
      <w:suff w:val="nothing"/>
      <w:lvlText w:val="（%1）"/>
      <w:lvlJc w:val="left"/>
      <w:pPr>
        <w:ind w:left="220" w:leftChars="0" w:firstLine="0" w:firstLineChars="0"/>
      </w:pPr>
    </w:lvl>
  </w:abstractNum>
  <w:abstractNum w:abstractNumId="2">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03AB778F"/>
    <w:multiLevelType w:val="multilevel"/>
    <w:tmpl w:val="03AB77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93D64DD"/>
    <w:multiLevelType w:val="multilevel"/>
    <w:tmpl w:val="493D64DD"/>
    <w:lvl w:ilvl="0" w:tentative="0">
      <w:start w:val="1"/>
      <w:numFmt w:val="decimal"/>
      <w:lvlText w:val="%1)"/>
      <w:lvlJc w:val="left"/>
      <w:pPr>
        <w:ind w:left="98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CFD1ED7"/>
    <w:multiLevelType w:val="multilevel"/>
    <w:tmpl w:val="5CFD1E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2A7501A"/>
    <w:multiLevelType w:val="multilevel"/>
    <w:tmpl w:val="72A7501A"/>
    <w:lvl w:ilvl="0" w:tentative="0">
      <w:start w:val="1"/>
      <w:numFmt w:val="decimal"/>
      <w:lvlText w:val="%1)"/>
      <w:lvlJc w:val="left"/>
      <w:pPr>
        <w:ind w:left="98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4OWY5NDFhMmExYmQ5OGM4OTU2MGRmMjc4Y2ZhZjAifQ=="/>
    <w:docVar w:name="KSO_WPS_MARK_KEY" w:val="6b3f7d0b-a80a-458b-ad5a-308caa5d8ab3"/>
  </w:docVars>
  <w:rsids>
    <w:rsidRoot w:val="008C08B2"/>
    <w:rsid w:val="000003AC"/>
    <w:rsid w:val="00000903"/>
    <w:rsid w:val="00004479"/>
    <w:rsid w:val="00005010"/>
    <w:rsid w:val="00007FF7"/>
    <w:rsid w:val="0001237B"/>
    <w:rsid w:val="000161EB"/>
    <w:rsid w:val="000179A4"/>
    <w:rsid w:val="00017B5E"/>
    <w:rsid w:val="00023D67"/>
    <w:rsid w:val="00026774"/>
    <w:rsid w:val="00030B1A"/>
    <w:rsid w:val="000324DB"/>
    <w:rsid w:val="00036F6A"/>
    <w:rsid w:val="0004081F"/>
    <w:rsid w:val="00045000"/>
    <w:rsid w:val="00047622"/>
    <w:rsid w:val="00052EC2"/>
    <w:rsid w:val="000534B1"/>
    <w:rsid w:val="000559A5"/>
    <w:rsid w:val="0006157D"/>
    <w:rsid w:val="00063679"/>
    <w:rsid w:val="00063F91"/>
    <w:rsid w:val="00064D16"/>
    <w:rsid w:val="0006764E"/>
    <w:rsid w:val="00067BEC"/>
    <w:rsid w:val="000734BB"/>
    <w:rsid w:val="000735C1"/>
    <w:rsid w:val="00073DDE"/>
    <w:rsid w:val="00077DB1"/>
    <w:rsid w:val="00086E1C"/>
    <w:rsid w:val="000939AA"/>
    <w:rsid w:val="00094B53"/>
    <w:rsid w:val="00095287"/>
    <w:rsid w:val="000A13A2"/>
    <w:rsid w:val="000A17B9"/>
    <w:rsid w:val="000A1866"/>
    <w:rsid w:val="000A1C68"/>
    <w:rsid w:val="000A208F"/>
    <w:rsid w:val="000A2D95"/>
    <w:rsid w:val="000A528C"/>
    <w:rsid w:val="000A5BCA"/>
    <w:rsid w:val="000A69A4"/>
    <w:rsid w:val="000B0417"/>
    <w:rsid w:val="000B25B4"/>
    <w:rsid w:val="000B3806"/>
    <w:rsid w:val="000B4969"/>
    <w:rsid w:val="000B65D0"/>
    <w:rsid w:val="000C01DB"/>
    <w:rsid w:val="000C0559"/>
    <w:rsid w:val="000C3615"/>
    <w:rsid w:val="000C5C44"/>
    <w:rsid w:val="000C6CFE"/>
    <w:rsid w:val="000C6E29"/>
    <w:rsid w:val="000E2B40"/>
    <w:rsid w:val="000E42A3"/>
    <w:rsid w:val="000E61B5"/>
    <w:rsid w:val="000F15DE"/>
    <w:rsid w:val="000F15F3"/>
    <w:rsid w:val="000F3684"/>
    <w:rsid w:val="000F76F5"/>
    <w:rsid w:val="00100D89"/>
    <w:rsid w:val="00102F5E"/>
    <w:rsid w:val="00115579"/>
    <w:rsid w:val="00115826"/>
    <w:rsid w:val="00116225"/>
    <w:rsid w:val="001279A1"/>
    <w:rsid w:val="001312E5"/>
    <w:rsid w:val="00131CD7"/>
    <w:rsid w:val="00131E76"/>
    <w:rsid w:val="0013206C"/>
    <w:rsid w:val="001334F8"/>
    <w:rsid w:val="00134BC8"/>
    <w:rsid w:val="001355B6"/>
    <w:rsid w:val="001377A4"/>
    <w:rsid w:val="00137BA9"/>
    <w:rsid w:val="00141CE3"/>
    <w:rsid w:val="001447E2"/>
    <w:rsid w:val="00153AF0"/>
    <w:rsid w:val="0015552D"/>
    <w:rsid w:val="00160F1E"/>
    <w:rsid w:val="0016586D"/>
    <w:rsid w:val="0016700B"/>
    <w:rsid w:val="00167D0F"/>
    <w:rsid w:val="001751CA"/>
    <w:rsid w:val="00175688"/>
    <w:rsid w:val="001767DA"/>
    <w:rsid w:val="0018218E"/>
    <w:rsid w:val="001824A0"/>
    <w:rsid w:val="00186E00"/>
    <w:rsid w:val="00190320"/>
    <w:rsid w:val="001907C3"/>
    <w:rsid w:val="00190C54"/>
    <w:rsid w:val="00197E6F"/>
    <w:rsid w:val="001A2780"/>
    <w:rsid w:val="001A4B1A"/>
    <w:rsid w:val="001A6E98"/>
    <w:rsid w:val="001B2091"/>
    <w:rsid w:val="001B387D"/>
    <w:rsid w:val="001B5AE8"/>
    <w:rsid w:val="001C1B33"/>
    <w:rsid w:val="001C415F"/>
    <w:rsid w:val="001C6BE8"/>
    <w:rsid w:val="001C7247"/>
    <w:rsid w:val="001D06E6"/>
    <w:rsid w:val="001D3F3B"/>
    <w:rsid w:val="001D41C0"/>
    <w:rsid w:val="001D53D9"/>
    <w:rsid w:val="001D67A7"/>
    <w:rsid w:val="001E09E9"/>
    <w:rsid w:val="001E0DE2"/>
    <w:rsid w:val="001E1BC1"/>
    <w:rsid w:val="001E6626"/>
    <w:rsid w:val="001E7B6F"/>
    <w:rsid w:val="001F300D"/>
    <w:rsid w:val="001F415C"/>
    <w:rsid w:val="001F5D9F"/>
    <w:rsid w:val="00206353"/>
    <w:rsid w:val="00207E20"/>
    <w:rsid w:val="00212693"/>
    <w:rsid w:val="00227719"/>
    <w:rsid w:val="0022779D"/>
    <w:rsid w:val="0022793E"/>
    <w:rsid w:val="002432E5"/>
    <w:rsid w:val="00245048"/>
    <w:rsid w:val="00252C1C"/>
    <w:rsid w:val="00255EC8"/>
    <w:rsid w:val="002567C1"/>
    <w:rsid w:val="002569BA"/>
    <w:rsid w:val="00256D95"/>
    <w:rsid w:val="00260C09"/>
    <w:rsid w:val="002625C5"/>
    <w:rsid w:val="002640BB"/>
    <w:rsid w:val="00265B2B"/>
    <w:rsid w:val="00266BF0"/>
    <w:rsid w:val="00273E6D"/>
    <w:rsid w:val="0027635F"/>
    <w:rsid w:val="0027637D"/>
    <w:rsid w:val="00276C95"/>
    <w:rsid w:val="00277E00"/>
    <w:rsid w:val="00280BAB"/>
    <w:rsid w:val="00281C2D"/>
    <w:rsid w:val="00284283"/>
    <w:rsid w:val="002863F7"/>
    <w:rsid w:val="00295972"/>
    <w:rsid w:val="002A1068"/>
    <w:rsid w:val="002A26E2"/>
    <w:rsid w:val="002A323F"/>
    <w:rsid w:val="002A4336"/>
    <w:rsid w:val="002A700C"/>
    <w:rsid w:val="002B10D9"/>
    <w:rsid w:val="002B1499"/>
    <w:rsid w:val="002B2ECB"/>
    <w:rsid w:val="002B2EE0"/>
    <w:rsid w:val="002C1077"/>
    <w:rsid w:val="002C2041"/>
    <w:rsid w:val="002C2B44"/>
    <w:rsid w:val="002C6022"/>
    <w:rsid w:val="002C6E85"/>
    <w:rsid w:val="002D06E9"/>
    <w:rsid w:val="002D0C86"/>
    <w:rsid w:val="002D593D"/>
    <w:rsid w:val="002D69DF"/>
    <w:rsid w:val="002D69F1"/>
    <w:rsid w:val="002D7A37"/>
    <w:rsid w:val="002E01C1"/>
    <w:rsid w:val="002E0C7E"/>
    <w:rsid w:val="002E16DF"/>
    <w:rsid w:val="002E1A21"/>
    <w:rsid w:val="002E3004"/>
    <w:rsid w:val="002E3CF6"/>
    <w:rsid w:val="002E46AA"/>
    <w:rsid w:val="002F06F6"/>
    <w:rsid w:val="002F101A"/>
    <w:rsid w:val="002F2670"/>
    <w:rsid w:val="00300249"/>
    <w:rsid w:val="00305049"/>
    <w:rsid w:val="00306EDA"/>
    <w:rsid w:val="00307A95"/>
    <w:rsid w:val="003114EB"/>
    <w:rsid w:val="00315B55"/>
    <w:rsid w:val="003162F5"/>
    <w:rsid w:val="003177CC"/>
    <w:rsid w:val="0032155E"/>
    <w:rsid w:val="00322A2C"/>
    <w:rsid w:val="00324D90"/>
    <w:rsid w:val="003261D6"/>
    <w:rsid w:val="00330AB4"/>
    <w:rsid w:val="0033544C"/>
    <w:rsid w:val="003408D8"/>
    <w:rsid w:val="003415D4"/>
    <w:rsid w:val="00342115"/>
    <w:rsid w:val="00342688"/>
    <w:rsid w:val="00347086"/>
    <w:rsid w:val="00351D10"/>
    <w:rsid w:val="00354EE3"/>
    <w:rsid w:val="00355496"/>
    <w:rsid w:val="00355E94"/>
    <w:rsid w:val="003576F0"/>
    <w:rsid w:val="0036092D"/>
    <w:rsid w:val="00363226"/>
    <w:rsid w:val="00364722"/>
    <w:rsid w:val="00367E18"/>
    <w:rsid w:val="0037236F"/>
    <w:rsid w:val="003756A7"/>
    <w:rsid w:val="0037798C"/>
    <w:rsid w:val="00380D2C"/>
    <w:rsid w:val="00381596"/>
    <w:rsid w:val="00382634"/>
    <w:rsid w:val="00382852"/>
    <w:rsid w:val="003914E4"/>
    <w:rsid w:val="00393B23"/>
    <w:rsid w:val="003A003B"/>
    <w:rsid w:val="003A01C1"/>
    <w:rsid w:val="003A0BD9"/>
    <w:rsid w:val="003A79DD"/>
    <w:rsid w:val="003B3A2C"/>
    <w:rsid w:val="003B655F"/>
    <w:rsid w:val="003C0FB2"/>
    <w:rsid w:val="003C3B23"/>
    <w:rsid w:val="003D04D0"/>
    <w:rsid w:val="003D20FE"/>
    <w:rsid w:val="003D2CBD"/>
    <w:rsid w:val="003D3D6A"/>
    <w:rsid w:val="003D511D"/>
    <w:rsid w:val="003E4C12"/>
    <w:rsid w:val="003E600C"/>
    <w:rsid w:val="003F0263"/>
    <w:rsid w:val="003F06AA"/>
    <w:rsid w:val="003F1FE9"/>
    <w:rsid w:val="003F74D0"/>
    <w:rsid w:val="003F7CA5"/>
    <w:rsid w:val="00401A6F"/>
    <w:rsid w:val="004020F0"/>
    <w:rsid w:val="004153D4"/>
    <w:rsid w:val="00415B3D"/>
    <w:rsid w:val="0041666F"/>
    <w:rsid w:val="00420B00"/>
    <w:rsid w:val="00432642"/>
    <w:rsid w:val="004332CF"/>
    <w:rsid w:val="00433364"/>
    <w:rsid w:val="00434A2D"/>
    <w:rsid w:val="00434B04"/>
    <w:rsid w:val="00435C08"/>
    <w:rsid w:val="004374F1"/>
    <w:rsid w:val="00442806"/>
    <w:rsid w:val="004530C5"/>
    <w:rsid w:val="00454100"/>
    <w:rsid w:val="00454170"/>
    <w:rsid w:val="00454DA0"/>
    <w:rsid w:val="004553FB"/>
    <w:rsid w:val="00455FD0"/>
    <w:rsid w:val="004603DF"/>
    <w:rsid w:val="00460A83"/>
    <w:rsid w:val="0046428E"/>
    <w:rsid w:val="004645F1"/>
    <w:rsid w:val="00464C40"/>
    <w:rsid w:val="0046571B"/>
    <w:rsid w:val="00470989"/>
    <w:rsid w:val="0047307E"/>
    <w:rsid w:val="00473987"/>
    <w:rsid w:val="004752C6"/>
    <w:rsid w:val="00483F0F"/>
    <w:rsid w:val="004874EF"/>
    <w:rsid w:val="00490EAD"/>
    <w:rsid w:val="0049212B"/>
    <w:rsid w:val="00492C7C"/>
    <w:rsid w:val="004932E0"/>
    <w:rsid w:val="00493852"/>
    <w:rsid w:val="004A0E14"/>
    <w:rsid w:val="004A2F9A"/>
    <w:rsid w:val="004B00D1"/>
    <w:rsid w:val="004B1704"/>
    <w:rsid w:val="004B220F"/>
    <w:rsid w:val="004B24FF"/>
    <w:rsid w:val="004B4C8C"/>
    <w:rsid w:val="004B760A"/>
    <w:rsid w:val="004D1FEA"/>
    <w:rsid w:val="004D2C11"/>
    <w:rsid w:val="004D47A3"/>
    <w:rsid w:val="004D5572"/>
    <w:rsid w:val="004D55D1"/>
    <w:rsid w:val="004E359F"/>
    <w:rsid w:val="004E421C"/>
    <w:rsid w:val="004E5E65"/>
    <w:rsid w:val="004E7655"/>
    <w:rsid w:val="004F0289"/>
    <w:rsid w:val="004F1A2A"/>
    <w:rsid w:val="004F2D15"/>
    <w:rsid w:val="004F520C"/>
    <w:rsid w:val="004F5AAA"/>
    <w:rsid w:val="004F5C2F"/>
    <w:rsid w:val="0050063B"/>
    <w:rsid w:val="00505B10"/>
    <w:rsid w:val="00507586"/>
    <w:rsid w:val="005076EA"/>
    <w:rsid w:val="005100B3"/>
    <w:rsid w:val="00510649"/>
    <w:rsid w:val="005133C2"/>
    <w:rsid w:val="00513F83"/>
    <w:rsid w:val="0051708B"/>
    <w:rsid w:val="00520E0A"/>
    <w:rsid w:val="00524C5C"/>
    <w:rsid w:val="005251CA"/>
    <w:rsid w:val="0052616F"/>
    <w:rsid w:val="005304D2"/>
    <w:rsid w:val="00534834"/>
    <w:rsid w:val="00537ABF"/>
    <w:rsid w:val="0054160A"/>
    <w:rsid w:val="005419C7"/>
    <w:rsid w:val="00544521"/>
    <w:rsid w:val="00544A94"/>
    <w:rsid w:val="00547DBE"/>
    <w:rsid w:val="005510F6"/>
    <w:rsid w:val="00553312"/>
    <w:rsid w:val="00553EE2"/>
    <w:rsid w:val="005552BC"/>
    <w:rsid w:val="00563F7B"/>
    <w:rsid w:val="005646C7"/>
    <w:rsid w:val="00567A1B"/>
    <w:rsid w:val="00572C89"/>
    <w:rsid w:val="005735F2"/>
    <w:rsid w:val="00573851"/>
    <w:rsid w:val="005906C8"/>
    <w:rsid w:val="005930E8"/>
    <w:rsid w:val="005934B9"/>
    <w:rsid w:val="005A3E12"/>
    <w:rsid w:val="005A7CBB"/>
    <w:rsid w:val="005B4B1D"/>
    <w:rsid w:val="005B6322"/>
    <w:rsid w:val="005C1D42"/>
    <w:rsid w:val="005C58B3"/>
    <w:rsid w:val="005C6010"/>
    <w:rsid w:val="005D17C1"/>
    <w:rsid w:val="005D4F25"/>
    <w:rsid w:val="005D6526"/>
    <w:rsid w:val="005E3325"/>
    <w:rsid w:val="005E7FBB"/>
    <w:rsid w:val="005F5FCD"/>
    <w:rsid w:val="00603A60"/>
    <w:rsid w:val="00603B28"/>
    <w:rsid w:val="0060425E"/>
    <w:rsid w:val="00605564"/>
    <w:rsid w:val="00606C90"/>
    <w:rsid w:val="006071E7"/>
    <w:rsid w:val="00607224"/>
    <w:rsid w:val="006105F3"/>
    <w:rsid w:val="0061201A"/>
    <w:rsid w:val="00614A6B"/>
    <w:rsid w:val="00616851"/>
    <w:rsid w:val="00617824"/>
    <w:rsid w:val="00617C49"/>
    <w:rsid w:val="0062051F"/>
    <w:rsid w:val="006266C8"/>
    <w:rsid w:val="00626D36"/>
    <w:rsid w:val="00634FD4"/>
    <w:rsid w:val="006363F3"/>
    <w:rsid w:val="00641BD5"/>
    <w:rsid w:val="00641CC1"/>
    <w:rsid w:val="00643A16"/>
    <w:rsid w:val="00643E95"/>
    <w:rsid w:val="00647EC9"/>
    <w:rsid w:val="006531C7"/>
    <w:rsid w:val="00673EBF"/>
    <w:rsid w:val="00681707"/>
    <w:rsid w:val="00681818"/>
    <w:rsid w:val="00683015"/>
    <w:rsid w:val="00693295"/>
    <w:rsid w:val="00694DDE"/>
    <w:rsid w:val="00695CCC"/>
    <w:rsid w:val="006A0447"/>
    <w:rsid w:val="006A1582"/>
    <w:rsid w:val="006A5451"/>
    <w:rsid w:val="006B02EA"/>
    <w:rsid w:val="006B0C75"/>
    <w:rsid w:val="006B4F71"/>
    <w:rsid w:val="006B572B"/>
    <w:rsid w:val="006C7647"/>
    <w:rsid w:val="006D0BF1"/>
    <w:rsid w:val="006D35CA"/>
    <w:rsid w:val="006D679E"/>
    <w:rsid w:val="006E0DCD"/>
    <w:rsid w:val="006E36CD"/>
    <w:rsid w:val="006E3E24"/>
    <w:rsid w:val="006E4493"/>
    <w:rsid w:val="006E4C0A"/>
    <w:rsid w:val="006E646E"/>
    <w:rsid w:val="006F2BDE"/>
    <w:rsid w:val="006F6E83"/>
    <w:rsid w:val="006F7200"/>
    <w:rsid w:val="006F788C"/>
    <w:rsid w:val="007021F2"/>
    <w:rsid w:val="0070363F"/>
    <w:rsid w:val="007102E9"/>
    <w:rsid w:val="0071223C"/>
    <w:rsid w:val="00713C89"/>
    <w:rsid w:val="0071777A"/>
    <w:rsid w:val="0071785D"/>
    <w:rsid w:val="007230D3"/>
    <w:rsid w:val="0072529E"/>
    <w:rsid w:val="0072569F"/>
    <w:rsid w:val="00730F56"/>
    <w:rsid w:val="00732355"/>
    <w:rsid w:val="00736D74"/>
    <w:rsid w:val="00745814"/>
    <w:rsid w:val="00747E19"/>
    <w:rsid w:val="00753037"/>
    <w:rsid w:val="00755C66"/>
    <w:rsid w:val="00760A03"/>
    <w:rsid w:val="00760BF1"/>
    <w:rsid w:val="00763459"/>
    <w:rsid w:val="0076381A"/>
    <w:rsid w:val="00763C72"/>
    <w:rsid w:val="00764981"/>
    <w:rsid w:val="00765F7B"/>
    <w:rsid w:val="00770469"/>
    <w:rsid w:val="00774356"/>
    <w:rsid w:val="00780AF3"/>
    <w:rsid w:val="007855F7"/>
    <w:rsid w:val="00786BF6"/>
    <w:rsid w:val="0079167F"/>
    <w:rsid w:val="00792723"/>
    <w:rsid w:val="00793443"/>
    <w:rsid w:val="00795AAF"/>
    <w:rsid w:val="007A492E"/>
    <w:rsid w:val="007A4D22"/>
    <w:rsid w:val="007A55C9"/>
    <w:rsid w:val="007A6A19"/>
    <w:rsid w:val="007A7531"/>
    <w:rsid w:val="007B06FB"/>
    <w:rsid w:val="007C2AFF"/>
    <w:rsid w:val="007C4A7D"/>
    <w:rsid w:val="007D027C"/>
    <w:rsid w:val="007D6D0E"/>
    <w:rsid w:val="007E0ED1"/>
    <w:rsid w:val="007E1ED5"/>
    <w:rsid w:val="007E4F24"/>
    <w:rsid w:val="007F11F4"/>
    <w:rsid w:val="007F3B7C"/>
    <w:rsid w:val="007F7256"/>
    <w:rsid w:val="0080332D"/>
    <w:rsid w:val="0080543E"/>
    <w:rsid w:val="008055EA"/>
    <w:rsid w:val="00805CFB"/>
    <w:rsid w:val="008062A2"/>
    <w:rsid w:val="00807FAC"/>
    <w:rsid w:val="008105DC"/>
    <w:rsid w:val="008116C0"/>
    <w:rsid w:val="008116CD"/>
    <w:rsid w:val="00811A35"/>
    <w:rsid w:val="00813599"/>
    <w:rsid w:val="00813FA6"/>
    <w:rsid w:val="00814E5A"/>
    <w:rsid w:val="00824F25"/>
    <w:rsid w:val="008279C3"/>
    <w:rsid w:val="0083206B"/>
    <w:rsid w:val="00833B00"/>
    <w:rsid w:val="008349E3"/>
    <w:rsid w:val="0083505D"/>
    <w:rsid w:val="00835FE9"/>
    <w:rsid w:val="0083684C"/>
    <w:rsid w:val="0083707A"/>
    <w:rsid w:val="00840C8C"/>
    <w:rsid w:val="008509E0"/>
    <w:rsid w:val="008569A5"/>
    <w:rsid w:val="00857276"/>
    <w:rsid w:val="0086342F"/>
    <w:rsid w:val="00867F90"/>
    <w:rsid w:val="00870413"/>
    <w:rsid w:val="00871DD9"/>
    <w:rsid w:val="00875C1B"/>
    <w:rsid w:val="008760DC"/>
    <w:rsid w:val="00877552"/>
    <w:rsid w:val="00877B40"/>
    <w:rsid w:val="00880DD2"/>
    <w:rsid w:val="008817AC"/>
    <w:rsid w:val="00882754"/>
    <w:rsid w:val="00882A78"/>
    <w:rsid w:val="00885A80"/>
    <w:rsid w:val="0088768C"/>
    <w:rsid w:val="008915CB"/>
    <w:rsid w:val="00894312"/>
    <w:rsid w:val="008963A1"/>
    <w:rsid w:val="00897B17"/>
    <w:rsid w:val="008A1552"/>
    <w:rsid w:val="008A7A7A"/>
    <w:rsid w:val="008B1340"/>
    <w:rsid w:val="008B1ACE"/>
    <w:rsid w:val="008B1FE8"/>
    <w:rsid w:val="008C08B2"/>
    <w:rsid w:val="008C0D7A"/>
    <w:rsid w:val="008C1B1E"/>
    <w:rsid w:val="008C2355"/>
    <w:rsid w:val="008C514D"/>
    <w:rsid w:val="008C7558"/>
    <w:rsid w:val="008D05F7"/>
    <w:rsid w:val="008D79A8"/>
    <w:rsid w:val="008E3FB6"/>
    <w:rsid w:val="008F4892"/>
    <w:rsid w:val="008F660F"/>
    <w:rsid w:val="00901928"/>
    <w:rsid w:val="00910DC2"/>
    <w:rsid w:val="00920535"/>
    <w:rsid w:val="00921795"/>
    <w:rsid w:val="009225CF"/>
    <w:rsid w:val="00923374"/>
    <w:rsid w:val="00927165"/>
    <w:rsid w:val="00927F59"/>
    <w:rsid w:val="009300D3"/>
    <w:rsid w:val="009307B3"/>
    <w:rsid w:val="00931DC6"/>
    <w:rsid w:val="00931EC9"/>
    <w:rsid w:val="00931FDB"/>
    <w:rsid w:val="00932756"/>
    <w:rsid w:val="00933662"/>
    <w:rsid w:val="00937D75"/>
    <w:rsid w:val="00941EE9"/>
    <w:rsid w:val="0094265B"/>
    <w:rsid w:val="00946E55"/>
    <w:rsid w:val="00947D4C"/>
    <w:rsid w:val="00950AEB"/>
    <w:rsid w:val="009559F9"/>
    <w:rsid w:val="009618FB"/>
    <w:rsid w:val="00963BE6"/>
    <w:rsid w:val="00966319"/>
    <w:rsid w:val="00971A2E"/>
    <w:rsid w:val="00971DDA"/>
    <w:rsid w:val="00974C62"/>
    <w:rsid w:val="00975231"/>
    <w:rsid w:val="0097569A"/>
    <w:rsid w:val="00976CD0"/>
    <w:rsid w:val="00983AC1"/>
    <w:rsid w:val="00983F0A"/>
    <w:rsid w:val="009862C9"/>
    <w:rsid w:val="009866F5"/>
    <w:rsid w:val="0098763A"/>
    <w:rsid w:val="00987EB5"/>
    <w:rsid w:val="0099428A"/>
    <w:rsid w:val="0099558B"/>
    <w:rsid w:val="009A3A51"/>
    <w:rsid w:val="009A42E9"/>
    <w:rsid w:val="009A55F6"/>
    <w:rsid w:val="009A7724"/>
    <w:rsid w:val="009B39EF"/>
    <w:rsid w:val="009B3C65"/>
    <w:rsid w:val="009C19EC"/>
    <w:rsid w:val="009C5758"/>
    <w:rsid w:val="009C5EFC"/>
    <w:rsid w:val="009C5FAB"/>
    <w:rsid w:val="009D0EA3"/>
    <w:rsid w:val="009D1522"/>
    <w:rsid w:val="009D2E93"/>
    <w:rsid w:val="009D41D2"/>
    <w:rsid w:val="009E31B7"/>
    <w:rsid w:val="009E7B25"/>
    <w:rsid w:val="009F0BFE"/>
    <w:rsid w:val="009F3BCA"/>
    <w:rsid w:val="009F3BD3"/>
    <w:rsid w:val="009F4F8D"/>
    <w:rsid w:val="009F600D"/>
    <w:rsid w:val="00A00CB0"/>
    <w:rsid w:val="00A06077"/>
    <w:rsid w:val="00A10230"/>
    <w:rsid w:val="00A1162F"/>
    <w:rsid w:val="00A14528"/>
    <w:rsid w:val="00A16922"/>
    <w:rsid w:val="00A17E5C"/>
    <w:rsid w:val="00A17FD5"/>
    <w:rsid w:val="00A22071"/>
    <w:rsid w:val="00A2341A"/>
    <w:rsid w:val="00A23609"/>
    <w:rsid w:val="00A244DC"/>
    <w:rsid w:val="00A25D26"/>
    <w:rsid w:val="00A26294"/>
    <w:rsid w:val="00A353A7"/>
    <w:rsid w:val="00A35729"/>
    <w:rsid w:val="00A35980"/>
    <w:rsid w:val="00A4452F"/>
    <w:rsid w:val="00A44F77"/>
    <w:rsid w:val="00A45A73"/>
    <w:rsid w:val="00A52E29"/>
    <w:rsid w:val="00A6196D"/>
    <w:rsid w:val="00A649DA"/>
    <w:rsid w:val="00A6575E"/>
    <w:rsid w:val="00A6601D"/>
    <w:rsid w:val="00A703A6"/>
    <w:rsid w:val="00A732EF"/>
    <w:rsid w:val="00A7352A"/>
    <w:rsid w:val="00A73723"/>
    <w:rsid w:val="00A75DE1"/>
    <w:rsid w:val="00A84D66"/>
    <w:rsid w:val="00A9137B"/>
    <w:rsid w:val="00A9369E"/>
    <w:rsid w:val="00A956D9"/>
    <w:rsid w:val="00A9630B"/>
    <w:rsid w:val="00A96C4E"/>
    <w:rsid w:val="00A97B58"/>
    <w:rsid w:val="00AA0F33"/>
    <w:rsid w:val="00AA1285"/>
    <w:rsid w:val="00AA354F"/>
    <w:rsid w:val="00AA3B2D"/>
    <w:rsid w:val="00AA560E"/>
    <w:rsid w:val="00AA757B"/>
    <w:rsid w:val="00AB3C68"/>
    <w:rsid w:val="00AB3DEA"/>
    <w:rsid w:val="00AB44DD"/>
    <w:rsid w:val="00AB6657"/>
    <w:rsid w:val="00AB741B"/>
    <w:rsid w:val="00AB7D7D"/>
    <w:rsid w:val="00AC1C23"/>
    <w:rsid w:val="00AC5976"/>
    <w:rsid w:val="00AD0631"/>
    <w:rsid w:val="00AD18A4"/>
    <w:rsid w:val="00AD51F0"/>
    <w:rsid w:val="00AE199D"/>
    <w:rsid w:val="00AE46DC"/>
    <w:rsid w:val="00AE63BA"/>
    <w:rsid w:val="00AF291F"/>
    <w:rsid w:val="00AF2EB7"/>
    <w:rsid w:val="00AF52FF"/>
    <w:rsid w:val="00B014E3"/>
    <w:rsid w:val="00B027AA"/>
    <w:rsid w:val="00B0677D"/>
    <w:rsid w:val="00B06B50"/>
    <w:rsid w:val="00B07C7C"/>
    <w:rsid w:val="00B115D2"/>
    <w:rsid w:val="00B117A3"/>
    <w:rsid w:val="00B124F2"/>
    <w:rsid w:val="00B12FA8"/>
    <w:rsid w:val="00B1474C"/>
    <w:rsid w:val="00B21E1C"/>
    <w:rsid w:val="00B2712F"/>
    <w:rsid w:val="00B27EC0"/>
    <w:rsid w:val="00B31752"/>
    <w:rsid w:val="00B3176F"/>
    <w:rsid w:val="00B31ACB"/>
    <w:rsid w:val="00B3497C"/>
    <w:rsid w:val="00B35849"/>
    <w:rsid w:val="00B35982"/>
    <w:rsid w:val="00B40096"/>
    <w:rsid w:val="00B401BF"/>
    <w:rsid w:val="00B420C9"/>
    <w:rsid w:val="00B51E9D"/>
    <w:rsid w:val="00B528E5"/>
    <w:rsid w:val="00B53CEF"/>
    <w:rsid w:val="00B56AEB"/>
    <w:rsid w:val="00B56ED4"/>
    <w:rsid w:val="00B5784C"/>
    <w:rsid w:val="00B61033"/>
    <w:rsid w:val="00B63D96"/>
    <w:rsid w:val="00B6659A"/>
    <w:rsid w:val="00B66C04"/>
    <w:rsid w:val="00B740E4"/>
    <w:rsid w:val="00B74ED8"/>
    <w:rsid w:val="00B75720"/>
    <w:rsid w:val="00B77A13"/>
    <w:rsid w:val="00B83815"/>
    <w:rsid w:val="00B908AF"/>
    <w:rsid w:val="00B92068"/>
    <w:rsid w:val="00B922F3"/>
    <w:rsid w:val="00B923D1"/>
    <w:rsid w:val="00B92480"/>
    <w:rsid w:val="00B924F5"/>
    <w:rsid w:val="00B96E62"/>
    <w:rsid w:val="00BA508B"/>
    <w:rsid w:val="00BA5908"/>
    <w:rsid w:val="00BA5A7D"/>
    <w:rsid w:val="00BA7A3A"/>
    <w:rsid w:val="00BA7CFC"/>
    <w:rsid w:val="00BB00F2"/>
    <w:rsid w:val="00BB11AE"/>
    <w:rsid w:val="00BB1787"/>
    <w:rsid w:val="00BB5CE5"/>
    <w:rsid w:val="00BB6E15"/>
    <w:rsid w:val="00BC23D6"/>
    <w:rsid w:val="00BC40B6"/>
    <w:rsid w:val="00BD1B14"/>
    <w:rsid w:val="00BD2397"/>
    <w:rsid w:val="00BD61CE"/>
    <w:rsid w:val="00BE4AFD"/>
    <w:rsid w:val="00BE4F64"/>
    <w:rsid w:val="00BE55A8"/>
    <w:rsid w:val="00BE564C"/>
    <w:rsid w:val="00BF30C9"/>
    <w:rsid w:val="00BF62E4"/>
    <w:rsid w:val="00BF706B"/>
    <w:rsid w:val="00C0129A"/>
    <w:rsid w:val="00C02A45"/>
    <w:rsid w:val="00C05304"/>
    <w:rsid w:val="00C174E8"/>
    <w:rsid w:val="00C22321"/>
    <w:rsid w:val="00C253BF"/>
    <w:rsid w:val="00C32BBC"/>
    <w:rsid w:val="00C40DF4"/>
    <w:rsid w:val="00C41FCB"/>
    <w:rsid w:val="00C576E0"/>
    <w:rsid w:val="00C60805"/>
    <w:rsid w:val="00C625F0"/>
    <w:rsid w:val="00C6269A"/>
    <w:rsid w:val="00C65284"/>
    <w:rsid w:val="00C65CE3"/>
    <w:rsid w:val="00C70E86"/>
    <w:rsid w:val="00C73011"/>
    <w:rsid w:val="00C754B2"/>
    <w:rsid w:val="00C7618A"/>
    <w:rsid w:val="00C81978"/>
    <w:rsid w:val="00C87DFF"/>
    <w:rsid w:val="00C95561"/>
    <w:rsid w:val="00CA0242"/>
    <w:rsid w:val="00CA0633"/>
    <w:rsid w:val="00CA080C"/>
    <w:rsid w:val="00CA086E"/>
    <w:rsid w:val="00CA134A"/>
    <w:rsid w:val="00CA28E0"/>
    <w:rsid w:val="00CA2A39"/>
    <w:rsid w:val="00CA44FC"/>
    <w:rsid w:val="00CA4792"/>
    <w:rsid w:val="00CA481C"/>
    <w:rsid w:val="00CA630A"/>
    <w:rsid w:val="00CA6E98"/>
    <w:rsid w:val="00CB169D"/>
    <w:rsid w:val="00CB2484"/>
    <w:rsid w:val="00CB361F"/>
    <w:rsid w:val="00CB508E"/>
    <w:rsid w:val="00CB59CF"/>
    <w:rsid w:val="00CB63A7"/>
    <w:rsid w:val="00CC1FC3"/>
    <w:rsid w:val="00CD0843"/>
    <w:rsid w:val="00CD0E84"/>
    <w:rsid w:val="00CD113F"/>
    <w:rsid w:val="00CD35EA"/>
    <w:rsid w:val="00CD6E6C"/>
    <w:rsid w:val="00CE5972"/>
    <w:rsid w:val="00CF721B"/>
    <w:rsid w:val="00D04F5A"/>
    <w:rsid w:val="00D06EA2"/>
    <w:rsid w:val="00D07C58"/>
    <w:rsid w:val="00D1272C"/>
    <w:rsid w:val="00D23311"/>
    <w:rsid w:val="00D24D62"/>
    <w:rsid w:val="00D26041"/>
    <w:rsid w:val="00D30D20"/>
    <w:rsid w:val="00D3286E"/>
    <w:rsid w:val="00D356C4"/>
    <w:rsid w:val="00D42B85"/>
    <w:rsid w:val="00D43120"/>
    <w:rsid w:val="00D449A0"/>
    <w:rsid w:val="00D46356"/>
    <w:rsid w:val="00D47068"/>
    <w:rsid w:val="00D50FB3"/>
    <w:rsid w:val="00D535BD"/>
    <w:rsid w:val="00D552BB"/>
    <w:rsid w:val="00D560AD"/>
    <w:rsid w:val="00D56836"/>
    <w:rsid w:val="00D573D5"/>
    <w:rsid w:val="00D610A8"/>
    <w:rsid w:val="00D61C3C"/>
    <w:rsid w:val="00D661A3"/>
    <w:rsid w:val="00D668AC"/>
    <w:rsid w:val="00D70A40"/>
    <w:rsid w:val="00D716BE"/>
    <w:rsid w:val="00D724BC"/>
    <w:rsid w:val="00D738E5"/>
    <w:rsid w:val="00D74C85"/>
    <w:rsid w:val="00D769C6"/>
    <w:rsid w:val="00D770CF"/>
    <w:rsid w:val="00D77D30"/>
    <w:rsid w:val="00D8019A"/>
    <w:rsid w:val="00D828B6"/>
    <w:rsid w:val="00D85D04"/>
    <w:rsid w:val="00D877DB"/>
    <w:rsid w:val="00D9363C"/>
    <w:rsid w:val="00D959F3"/>
    <w:rsid w:val="00D9733C"/>
    <w:rsid w:val="00DA0FBA"/>
    <w:rsid w:val="00DA2960"/>
    <w:rsid w:val="00DB137D"/>
    <w:rsid w:val="00DB4767"/>
    <w:rsid w:val="00DC084A"/>
    <w:rsid w:val="00DC0A4B"/>
    <w:rsid w:val="00DC0B4C"/>
    <w:rsid w:val="00DC4D16"/>
    <w:rsid w:val="00DC6DE7"/>
    <w:rsid w:val="00DD4971"/>
    <w:rsid w:val="00DD59EE"/>
    <w:rsid w:val="00DE2F64"/>
    <w:rsid w:val="00DE455E"/>
    <w:rsid w:val="00DE4CDF"/>
    <w:rsid w:val="00DE52C4"/>
    <w:rsid w:val="00DE5519"/>
    <w:rsid w:val="00DF0119"/>
    <w:rsid w:val="00DF211D"/>
    <w:rsid w:val="00DF7914"/>
    <w:rsid w:val="00E01639"/>
    <w:rsid w:val="00E0263D"/>
    <w:rsid w:val="00E02F10"/>
    <w:rsid w:val="00E03460"/>
    <w:rsid w:val="00E067EC"/>
    <w:rsid w:val="00E06AF5"/>
    <w:rsid w:val="00E100F2"/>
    <w:rsid w:val="00E120AE"/>
    <w:rsid w:val="00E12A6B"/>
    <w:rsid w:val="00E139F1"/>
    <w:rsid w:val="00E14056"/>
    <w:rsid w:val="00E15CC4"/>
    <w:rsid w:val="00E17AF7"/>
    <w:rsid w:val="00E20304"/>
    <w:rsid w:val="00E205A9"/>
    <w:rsid w:val="00E20B29"/>
    <w:rsid w:val="00E21731"/>
    <w:rsid w:val="00E23FC6"/>
    <w:rsid w:val="00E243A6"/>
    <w:rsid w:val="00E27D88"/>
    <w:rsid w:val="00E33A6F"/>
    <w:rsid w:val="00E3518F"/>
    <w:rsid w:val="00E3655A"/>
    <w:rsid w:val="00E365F6"/>
    <w:rsid w:val="00E37584"/>
    <w:rsid w:val="00E41276"/>
    <w:rsid w:val="00E42461"/>
    <w:rsid w:val="00E429C1"/>
    <w:rsid w:val="00E42F6C"/>
    <w:rsid w:val="00E46B54"/>
    <w:rsid w:val="00E50981"/>
    <w:rsid w:val="00E5254A"/>
    <w:rsid w:val="00E529BA"/>
    <w:rsid w:val="00E536D4"/>
    <w:rsid w:val="00E65063"/>
    <w:rsid w:val="00E67547"/>
    <w:rsid w:val="00E740F4"/>
    <w:rsid w:val="00E857D7"/>
    <w:rsid w:val="00E950C4"/>
    <w:rsid w:val="00E962E4"/>
    <w:rsid w:val="00E96F9E"/>
    <w:rsid w:val="00EA0B1E"/>
    <w:rsid w:val="00EB15E4"/>
    <w:rsid w:val="00EB1B7B"/>
    <w:rsid w:val="00EB31B3"/>
    <w:rsid w:val="00EB38C8"/>
    <w:rsid w:val="00EB5706"/>
    <w:rsid w:val="00EB7BEA"/>
    <w:rsid w:val="00EC05FB"/>
    <w:rsid w:val="00EC3087"/>
    <w:rsid w:val="00ED0D74"/>
    <w:rsid w:val="00ED1316"/>
    <w:rsid w:val="00ED240F"/>
    <w:rsid w:val="00ED2E5E"/>
    <w:rsid w:val="00EE5026"/>
    <w:rsid w:val="00EE57CD"/>
    <w:rsid w:val="00EE7091"/>
    <w:rsid w:val="00EE752E"/>
    <w:rsid w:val="00EE7B10"/>
    <w:rsid w:val="00EF0F84"/>
    <w:rsid w:val="00EF22C0"/>
    <w:rsid w:val="00EF2FA9"/>
    <w:rsid w:val="00F038FB"/>
    <w:rsid w:val="00F04056"/>
    <w:rsid w:val="00F04066"/>
    <w:rsid w:val="00F048C0"/>
    <w:rsid w:val="00F04EB3"/>
    <w:rsid w:val="00F06E0C"/>
    <w:rsid w:val="00F1294A"/>
    <w:rsid w:val="00F17DE6"/>
    <w:rsid w:val="00F21024"/>
    <w:rsid w:val="00F223EF"/>
    <w:rsid w:val="00F2451D"/>
    <w:rsid w:val="00F27416"/>
    <w:rsid w:val="00F375C5"/>
    <w:rsid w:val="00F41518"/>
    <w:rsid w:val="00F41871"/>
    <w:rsid w:val="00F44AE9"/>
    <w:rsid w:val="00F465E8"/>
    <w:rsid w:val="00F46C13"/>
    <w:rsid w:val="00F52A0D"/>
    <w:rsid w:val="00F551D2"/>
    <w:rsid w:val="00F579B0"/>
    <w:rsid w:val="00F70158"/>
    <w:rsid w:val="00F711CB"/>
    <w:rsid w:val="00F745C5"/>
    <w:rsid w:val="00F76CB1"/>
    <w:rsid w:val="00F777A8"/>
    <w:rsid w:val="00F81890"/>
    <w:rsid w:val="00F95DF6"/>
    <w:rsid w:val="00F97E56"/>
    <w:rsid w:val="00FA4043"/>
    <w:rsid w:val="00FA4656"/>
    <w:rsid w:val="00FA6905"/>
    <w:rsid w:val="00FB0796"/>
    <w:rsid w:val="00FB6D88"/>
    <w:rsid w:val="00FC2E9B"/>
    <w:rsid w:val="00FC4C9D"/>
    <w:rsid w:val="00FC6ED5"/>
    <w:rsid w:val="00FD3ED9"/>
    <w:rsid w:val="00FD6368"/>
    <w:rsid w:val="00FE070A"/>
    <w:rsid w:val="00FF0E8A"/>
    <w:rsid w:val="00FF1F6A"/>
    <w:rsid w:val="00FF2C0B"/>
    <w:rsid w:val="01213882"/>
    <w:rsid w:val="01442396"/>
    <w:rsid w:val="01974C59"/>
    <w:rsid w:val="01B42948"/>
    <w:rsid w:val="01B8783E"/>
    <w:rsid w:val="01B915D1"/>
    <w:rsid w:val="01C207A1"/>
    <w:rsid w:val="01C225F2"/>
    <w:rsid w:val="02055494"/>
    <w:rsid w:val="020D712E"/>
    <w:rsid w:val="02104022"/>
    <w:rsid w:val="022278B2"/>
    <w:rsid w:val="022434EB"/>
    <w:rsid w:val="02405F8A"/>
    <w:rsid w:val="02532161"/>
    <w:rsid w:val="02582726"/>
    <w:rsid w:val="027B56B6"/>
    <w:rsid w:val="029E633D"/>
    <w:rsid w:val="02E9212D"/>
    <w:rsid w:val="031169F8"/>
    <w:rsid w:val="031418F0"/>
    <w:rsid w:val="03145FF5"/>
    <w:rsid w:val="03233960"/>
    <w:rsid w:val="032C73E1"/>
    <w:rsid w:val="033C49A3"/>
    <w:rsid w:val="033D1ADE"/>
    <w:rsid w:val="035F4BE4"/>
    <w:rsid w:val="0370464D"/>
    <w:rsid w:val="037B1F95"/>
    <w:rsid w:val="03A52548"/>
    <w:rsid w:val="03A57661"/>
    <w:rsid w:val="03AB787D"/>
    <w:rsid w:val="03C70711"/>
    <w:rsid w:val="03D7705A"/>
    <w:rsid w:val="03E01D7D"/>
    <w:rsid w:val="04055BC2"/>
    <w:rsid w:val="040A4AA1"/>
    <w:rsid w:val="04105722"/>
    <w:rsid w:val="042A0CA0"/>
    <w:rsid w:val="044730A1"/>
    <w:rsid w:val="04484531"/>
    <w:rsid w:val="045301F6"/>
    <w:rsid w:val="045E6966"/>
    <w:rsid w:val="045F303F"/>
    <w:rsid w:val="04983E5B"/>
    <w:rsid w:val="04A722F0"/>
    <w:rsid w:val="04A9250C"/>
    <w:rsid w:val="04D22F18"/>
    <w:rsid w:val="052878D5"/>
    <w:rsid w:val="05491637"/>
    <w:rsid w:val="0559183C"/>
    <w:rsid w:val="05594AD8"/>
    <w:rsid w:val="05747FDB"/>
    <w:rsid w:val="059262DF"/>
    <w:rsid w:val="05B57110"/>
    <w:rsid w:val="05C85A4B"/>
    <w:rsid w:val="05D064B8"/>
    <w:rsid w:val="05DB66F5"/>
    <w:rsid w:val="061B7539"/>
    <w:rsid w:val="062271D6"/>
    <w:rsid w:val="062F6A41"/>
    <w:rsid w:val="067D1018"/>
    <w:rsid w:val="067F1BC4"/>
    <w:rsid w:val="0693077C"/>
    <w:rsid w:val="069A65B0"/>
    <w:rsid w:val="06E25862"/>
    <w:rsid w:val="071426B7"/>
    <w:rsid w:val="071874D5"/>
    <w:rsid w:val="072645C7"/>
    <w:rsid w:val="07481B68"/>
    <w:rsid w:val="07492288"/>
    <w:rsid w:val="07795B93"/>
    <w:rsid w:val="079C2AF3"/>
    <w:rsid w:val="07C338E5"/>
    <w:rsid w:val="07DB1688"/>
    <w:rsid w:val="07DD4982"/>
    <w:rsid w:val="08097FCF"/>
    <w:rsid w:val="08386081"/>
    <w:rsid w:val="085E6F8E"/>
    <w:rsid w:val="0895702F"/>
    <w:rsid w:val="08A12C19"/>
    <w:rsid w:val="08E932EB"/>
    <w:rsid w:val="091F2D9D"/>
    <w:rsid w:val="09446C33"/>
    <w:rsid w:val="0949237B"/>
    <w:rsid w:val="09492A2F"/>
    <w:rsid w:val="0954285B"/>
    <w:rsid w:val="09722ECD"/>
    <w:rsid w:val="09815C56"/>
    <w:rsid w:val="09892C9A"/>
    <w:rsid w:val="09A6526C"/>
    <w:rsid w:val="09BE03CB"/>
    <w:rsid w:val="09C9008F"/>
    <w:rsid w:val="09F61D50"/>
    <w:rsid w:val="0A0B66A8"/>
    <w:rsid w:val="0A244AC9"/>
    <w:rsid w:val="0A33430A"/>
    <w:rsid w:val="0A6E2028"/>
    <w:rsid w:val="0A7315F2"/>
    <w:rsid w:val="0A7F4FE9"/>
    <w:rsid w:val="0A801619"/>
    <w:rsid w:val="0A8D3D36"/>
    <w:rsid w:val="0ACE0BE6"/>
    <w:rsid w:val="0AE61C7C"/>
    <w:rsid w:val="0B357684"/>
    <w:rsid w:val="0B50521E"/>
    <w:rsid w:val="0B5C5BE2"/>
    <w:rsid w:val="0B6D6042"/>
    <w:rsid w:val="0B9335CE"/>
    <w:rsid w:val="0B974D78"/>
    <w:rsid w:val="0B9F5744"/>
    <w:rsid w:val="0BB8447D"/>
    <w:rsid w:val="0BBF78C2"/>
    <w:rsid w:val="0BCD419B"/>
    <w:rsid w:val="0BD90529"/>
    <w:rsid w:val="0BE718B9"/>
    <w:rsid w:val="0BEE6A9E"/>
    <w:rsid w:val="0BF6596F"/>
    <w:rsid w:val="0C06063B"/>
    <w:rsid w:val="0C2D27A2"/>
    <w:rsid w:val="0C5872EA"/>
    <w:rsid w:val="0C85560D"/>
    <w:rsid w:val="0C94597C"/>
    <w:rsid w:val="0CCB0A0B"/>
    <w:rsid w:val="0D2A1D10"/>
    <w:rsid w:val="0D2B7585"/>
    <w:rsid w:val="0D380072"/>
    <w:rsid w:val="0D577449"/>
    <w:rsid w:val="0D5B1CD1"/>
    <w:rsid w:val="0D73139C"/>
    <w:rsid w:val="0D8023F6"/>
    <w:rsid w:val="0DA46D7B"/>
    <w:rsid w:val="0DD203DE"/>
    <w:rsid w:val="0DF06AB6"/>
    <w:rsid w:val="0E025BAD"/>
    <w:rsid w:val="0E32268B"/>
    <w:rsid w:val="0E3B5CCC"/>
    <w:rsid w:val="0E3D6CC8"/>
    <w:rsid w:val="0E9E26AF"/>
    <w:rsid w:val="0EC20452"/>
    <w:rsid w:val="0EC51CF1"/>
    <w:rsid w:val="0EC609D2"/>
    <w:rsid w:val="0ECF2B6F"/>
    <w:rsid w:val="0EEC2CE2"/>
    <w:rsid w:val="0EEC3721"/>
    <w:rsid w:val="0F2E6976"/>
    <w:rsid w:val="0F501F02"/>
    <w:rsid w:val="0F601A19"/>
    <w:rsid w:val="0F692FC4"/>
    <w:rsid w:val="0F714794"/>
    <w:rsid w:val="0F8A6A96"/>
    <w:rsid w:val="0F924E7E"/>
    <w:rsid w:val="0F951557"/>
    <w:rsid w:val="0FA61B22"/>
    <w:rsid w:val="0FBC30F4"/>
    <w:rsid w:val="0FC66980"/>
    <w:rsid w:val="0FC80C06"/>
    <w:rsid w:val="0FD06B9F"/>
    <w:rsid w:val="0FD7617F"/>
    <w:rsid w:val="0FF36D74"/>
    <w:rsid w:val="0FFA60B1"/>
    <w:rsid w:val="10103F45"/>
    <w:rsid w:val="106D0892"/>
    <w:rsid w:val="1081433D"/>
    <w:rsid w:val="10887E87"/>
    <w:rsid w:val="10AB211A"/>
    <w:rsid w:val="10B05D63"/>
    <w:rsid w:val="10D846EB"/>
    <w:rsid w:val="10E50428"/>
    <w:rsid w:val="10E62BBF"/>
    <w:rsid w:val="10F22B45"/>
    <w:rsid w:val="10F27AD6"/>
    <w:rsid w:val="110A4333"/>
    <w:rsid w:val="111725AC"/>
    <w:rsid w:val="111F7DDE"/>
    <w:rsid w:val="112535B0"/>
    <w:rsid w:val="112B0381"/>
    <w:rsid w:val="11621A79"/>
    <w:rsid w:val="116879D1"/>
    <w:rsid w:val="11812847"/>
    <w:rsid w:val="11847C41"/>
    <w:rsid w:val="11871E08"/>
    <w:rsid w:val="11A6405B"/>
    <w:rsid w:val="11A71B81"/>
    <w:rsid w:val="11A976A8"/>
    <w:rsid w:val="11B40A0F"/>
    <w:rsid w:val="11BD7843"/>
    <w:rsid w:val="11DD55A3"/>
    <w:rsid w:val="11DF131B"/>
    <w:rsid w:val="11E54EB8"/>
    <w:rsid w:val="11F052D6"/>
    <w:rsid w:val="123F1DBA"/>
    <w:rsid w:val="12677994"/>
    <w:rsid w:val="126C7921"/>
    <w:rsid w:val="127203E1"/>
    <w:rsid w:val="12732D36"/>
    <w:rsid w:val="12753A2E"/>
    <w:rsid w:val="12891EAE"/>
    <w:rsid w:val="12A63DE0"/>
    <w:rsid w:val="12C02172"/>
    <w:rsid w:val="12C96795"/>
    <w:rsid w:val="12EA6C1E"/>
    <w:rsid w:val="130628D8"/>
    <w:rsid w:val="1331798A"/>
    <w:rsid w:val="13427E01"/>
    <w:rsid w:val="13B4417D"/>
    <w:rsid w:val="13BD47FC"/>
    <w:rsid w:val="13E175CD"/>
    <w:rsid w:val="13FF657B"/>
    <w:rsid w:val="145F04F1"/>
    <w:rsid w:val="146F0DF9"/>
    <w:rsid w:val="14847F58"/>
    <w:rsid w:val="14877185"/>
    <w:rsid w:val="148C660A"/>
    <w:rsid w:val="14AB1989"/>
    <w:rsid w:val="14CD18FF"/>
    <w:rsid w:val="14CF38C9"/>
    <w:rsid w:val="151A266A"/>
    <w:rsid w:val="151E65FF"/>
    <w:rsid w:val="15204125"/>
    <w:rsid w:val="15706F48"/>
    <w:rsid w:val="15791A87"/>
    <w:rsid w:val="157F59DF"/>
    <w:rsid w:val="15B0294F"/>
    <w:rsid w:val="15C35974"/>
    <w:rsid w:val="16012892"/>
    <w:rsid w:val="160E0421"/>
    <w:rsid w:val="161A58D7"/>
    <w:rsid w:val="16281BE4"/>
    <w:rsid w:val="16877182"/>
    <w:rsid w:val="168D417B"/>
    <w:rsid w:val="16A46254"/>
    <w:rsid w:val="16B33B90"/>
    <w:rsid w:val="16BF171B"/>
    <w:rsid w:val="16E732D9"/>
    <w:rsid w:val="16E83039"/>
    <w:rsid w:val="170B2BB3"/>
    <w:rsid w:val="171657DF"/>
    <w:rsid w:val="1723614E"/>
    <w:rsid w:val="172975BC"/>
    <w:rsid w:val="173125BB"/>
    <w:rsid w:val="173B6FF4"/>
    <w:rsid w:val="175A7508"/>
    <w:rsid w:val="179B3E23"/>
    <w:rsid w:val="17AC4C2D"/>
    <w:rsid w:val="183C2979"/>
    <w:rsid w:val="18745415"/>
    <w:rsid w:val="18AD2322"/>
    <w:rsid w:val="18AE1A47"/>
    <w:rsid w:val="18B84674"/>
    <w:rsid w:val="18EC27F2"/>
    <w:rsid w:val="190D49C0"/>
    <w:rsid w:val="194F6D87"/>
    <w:rsid w:val="1951586F"/>
    <w:rsid w:val="197A4834"/>
    <w:rsid w:val="19864975"/>
    <w:rsid w:val="19AC5F87"/>
    <w:rsid w:val="19BD63E6"/>
    <w:rsid w:val="19BE4A16"/>
    <w:rsid w:val="19E82C4C"/>
    <w:rsid w:val="1A3A17E5"/>
    <w:rsid w:val="1A487FA6"/>
    <w:rsid w:val="1A516B2E"/>
    <w:rsid w:val="1A5900E0"/>
    <w:rsid w:val="1A5F51C3"/>
    <w:rsid w:val="1A66082C"/>
    <w:rsid w:val="1A756CC1"/>
    <w:rsid w:val="1A7F5449"/>
    <w:rsid w:val="1AA15D02"/>
    <w:rsid w:val="1ADC6D40"/>
    <w:rsid w:val="1B132036"/>
    <w:rsid w:val="1B892F36"/>
    <w:rsid w:val="1BBD091F"/>
    <w:rsid w:val="1BC13A5A"/>
    <w:rsid w:val="1BC51582"/>
    <w:rsid w:val="1BCA6B98"/>
    <w:rsid w:val="1C5053CF"/>
    <w:rsid w:val="1C684F36"/>
    <w:rsid w:val="1C9B22E3"/>
    <w:rsid w:val="1CB63778"/>
    <w:rsid w:val="1CC671D5"/>
    <w:rsid w:val="1CE1063D"/>
    <w:rsid w:val="1CF0262F"/>
    <w:rsid w:val="1D695493"/>
    <w:rsid w:val="1D6F36DC"/>
    <w:rsid w:val="1D866400"/>
    <w:rsid w:val="1D8818FC"/>
    <w:rsid w:val="1D9367C9"/>
    <w:rsid w:val="1DA414A5"/>
    <w:rsid w:val="1DAD6772"/>
    <w:rsid w:val="1DD31518"/>
    <w:rsid w:val="1E291767"/>
    <w:rsid w:val="1E2A76E2"/>
    <w:rsid w:val="1E40181C"/>
    <w:rsid w:val="1E4D3185"/>
    <w:rsid w:val="1ECD3C1C"/>
    <w:rsid w:val="1ED737B2"/>
    <w:rsid w:val="1EF56EA4"/>
    <w:rsid w:val="1F013BC2"/>
    <w:rsid w:val="1FE346CD"/>
    <w:rsid w:val="1FE67D19"/>
    <w:rsid w:val="1FFB1A16"/>
    <w:rsid w:val="207D067D"/>
    <w:rsid w:val="20864B72"/>
    <w:rsid w:val="20A16974"/>
    <w:rsid w:val="20A5380C"/>
    <w:rsid w:val="20FC3C98"/>
    <w:rsid w:val="20FC6704"/>
    <w:rsid w:val="20FC71B5"/>
    <w:rsid w:val="212A1C0B"/>
    <w:rsid w:val="213C4CEC"/>
    <w:rsid w:val="21843C8D"/>
    <w:rsid w:val="218477E9"/>
    <w:rsid w:val="21894E00"/>
    <w:rsid w:val="218B6DCA"/>
    <w:rsid w:val="218D2378"/>
    <w:rsid w:val="21A11D6B"/>
    <w:rsid w:val="21AD0AEE"/>
    <w:rsid w:val="21EE75E8"/>
    <w:rsid w:val="22211DCF"/>
    <w:rsid w:val="22412CD8"/>
    <w:rsid w:val="22543660"/>
    <w:rsid w:val="22547A7F"/>
    <w:rsid w:val="22635522"/>
    <w:rsid w:val="22E76282"/>
    <w:rsid w:val="23052BAC"/>
    <w:rsid w:val="230711A0"/>
    <w:rsid w:val="23282CD8"/>
    <w:rsid w:val="23335239"/>
    <w:rsid w:val="234174F0"/>
    <w:rsid w:val="23460081"/>
    <w:rsid w:val="234F162C"/>
    <w:rsid w:val="23641680"/>
    <w:rsid w:val="237435B0"/>
    <w:rsid w:val="23BA4A5C"/>
    <w:rsid w:val="23CD7606"/>
    <w:rsid w:val="23E56080"/>
    <w:rsid w:val="23F60138"/>
    <w:rsid w:val="24543F08"/>
    <w:rsid w:val="24582085"/>
    <w:rsid w:val="24596D0B"/>
    <w:rsid w:val="24941619"/>
    <w:rsid w:val="24AB48B0"/>
    <w:rsid w:val="24AE3222"/>
    <w:rsid w:val="24B931EA"/>
    <w:rsid w:val="24BB1774"/>
    <w:rsid w:val="24CC56AE"/>
    <w:rsid w:val="24E639F7"/>
    <w:rsid w:val="24ED38F7"/>
    <w:rsid w:val="24ED4284"/>
    <w:rsid w:val="24F77E69"/>
    <w:rsid w:val="2537751A"/>
    <w:rsid w:val="25DD431B"/>
    <w:rsid w:val="261A4BC0"/>
    <w:rsid w:val="262F0C44"/>
    <w:rsid w:val="263317DE"/>
    <w:rsid w:val="263C7598"/>
    <w:rsid w:val="26541E80"/>
    <w:rsid w:val="267352C9"/>
    <w:rsid w:val="26841616"/>
    <w:rsid w:val="268A03F2"/>
    <w:rsid w:val="26AE6775"/>
    <w:rsid w:val="26DB5417"/>
    <w:rsid w:val="26E56F7C"/>
    <w:rsid w:val="26F4714B"/>
    <w:rsid w:val="270C275B"/>
    <w:rsid w:val="270C2D4B"/>
    <w:rsid w:val="2721382F"/>
    <w:rsid w:val="272922DA"/>
    <w:rsid w:val="27547C5E"/>
    <w:rsid w:val="277976C4"/>
    <w:rsid w:val="279F537D"/>
    <w:rsid w:val="27A67543"/>
    <w:rsid w:val="27AE7775"/>
    <w:rsid w:val="27F52125"/>
    <w:rsid w:val="28096C9A"/>
    <w:rsid w:val="2822629A"/>
    <w:rsid w:val="286B525F"/>
    <w:rsid w:val="286D7229"/>
    <w:rsid w:val="28737BF7"/>
    <w:rsid w:val="28870D98"/>
    <w:rsid w:val="28980E56"/>
    <w:rsid w:val="28A6098D"/>
    <w:rsid w:val="28AD4A90"/>
    <w:rsid w:val="28B27332"/>
    <w:rsid w:val="28B30912"/>
    <w:rsid w:val="28C20D3C"/>
    <w:rsid w:val="28EF7C3E"/>
    <w:rsid w:val="290106D1"/>
    <w:rsid w:val="29354D1A"/>
    <w:rsid w:val="29512576"/>
    <w:rsid w:val="2964062C"/>
    <w:rsid w:val="299B7893"/>
    <w:rsid w:val="29A76E8D"/>
    <w:rsid w:val="29B0281D"/>
    <w:rsid w:val="29B13239"/>
    <w:rsid w:val="29B65FB6"/>
    <w:rsid w:val="29C841B9"/>
    <w:rsid w:val="29FA4749"/>
    <w:rsid w:val="2A063491"/>
    <w:rsid w:val="2A0E58F2"/>
    <w:rsid w:val="2A1C27AA"/>
    <w:rsid w:val="2A320876"/>
    <w:rsid w:val="2A587292"/>
    <w:rsid w:val="2A5A558B"/>
    <w:rsid w:val="2A750533"/>
    <w:rsid w:val="2A7523C5"/>
    <w:rsid w:val="2A7C6C02"/>
    <w:rsid w:val="2ABD6E4B"/>
    <w:rsid w:val="2AD348B2"/>
    <w:rsid w:val="2AF7102C"/>
    <w:rsid w:val="2AF95B2A"/>
    <w:rsid w:val="2AFE6446"/>
    <w:rsid w:val="2B013C59"/>
    <w:rsid w:val="2B4C2A46"/>
    <w:rsid w:val="2B7A015E"/>
    <w:rsid w:val="2B8D373E"/>
    <w:rsid w:val="2BA02A63"/>
    <w:rsid w:val="2BD10CEF"/>
    <w:rsid w:val="2BEC2BCC"/>
    <w:rsid w:val="2C2C2F57"/>
    <w:rsid w:val="2C314339"/>
    <w:rsid w:val="2C337D8B"/>
    <w:rsid w:val="2C414012"/>
    <w:rsid w:val="2C5A1425"/>
    <w:rsid w:val="2C5C5166"/>
    <w:rsid w:val="2C5F6749"/>
    <w:rsid w:val="2C8B12CF"/>
    <w:rsid w:val="2C965168"/>
    <w:rsid w:val="2C98683F"/>
    <w:rsid w:val="2C9D5C03"/>
    <w:rsid w:val="2CAA77DA"/>
    <w:rsid w:val="2CB250AE"/>
    <w:rsid w:val="2CCE400E"/>
    <w:rsid w:val="2CDE06F5"/>
    <w:rsid w:val="2CE44ED6"/>
    <w:rsid w:val="2CFE66A2"/>
    <w:rsid w:val="2CFF241A"/>
    <w:rsid w:val="2D2C76B3"/>
    <w:rsid w:val="2D3A2737"/>
    <w:rsid w:val="2D502C75"/>
    <w:rsid w:val="2D856F57"/>
    <w:rsid w:val="2DAF42BB"/>
    <w:rsid w:val="2DB6187B"/>
    <w:rsid w:val="2DC3481C"/>
    <w:rsid w:val="2DCA0C7A"/>
    <w:rsid w:val="2DD759C7"/>
    <w:rsid w:val="2DE53D06"/>
    <w:rsid w:val="2DFA0C10"/>
    <w:rsid w:val="2E297249"/>
    <w:rsid w:val="2E446722"/>
    <w:rsid w:val="2E4E7323"/>
    <w:rsid w:val="2E7D7A9A"/>
    <w:rsid w:val="2E81758A"/>
    <w:rsid w:val="2E8E7EF9"/>
    <w:rsid w:val="2E9372BE"/>
    <w:rsid w:val="2EBF1B6D"/>
    <w:rsid w:val="2EE95130"/>
    <w:rsid w:val="2EFA10EB"/>
    <w:rsid w:val="2F130C88"/>
    <w:rsid w:val="2F2E6FE6"/>
    <w:rsid w:val="2F4221ED"/>
    <w:rsid w:val="2F524106"/>
    <w:rsid w:val="2F7C41F6"/>
    <w:rsid w:val="2F805A94"/>
    <w:rsid w:val="2FCD1159"/>
    <w:rsid w:val="302959D3"/>
    <w:rsid w:val="304240DA"/>
    <w:rsid w:val="304869EC"/>
    <w:rsid w:val="305674DD"/>
    <w:rsid w:val="30906C3D"/>
    <w:rsid w:val="30A532D8"/>
    <w:rsid w:val="30B023A9"/>
    <w:rsid w:val="30CC7B30"/>
    <w:rsid w:val="30D0701E"/>
    <w:rsid w:val="310642B5"/>
    <w:rsid w:val="31E779C0"/>
    <w:rsid w:val="31EF6F01"/>
    <w:rsid w:val="32317519"/>
    <w:rsid w:val="323F0BB0"/>
    <w:rsid w:val="3262785D"/>
    <w:rsid w:val="326D1DDD"/>
    <w:rsid w:val="328C29A2"/>
    <w:rsid w:val="328E3059"/>
    <w:rsid w:val="32CD6FE3"/>
    <w:rsid w:val="32CF7372"/>
    <w:rsid w:val="32E24DFE"/>
    <w:rsid w:val="32FB33B9"/>
    <w:rsid w:val="33751688"/>
    <w:rsid w:val="338F576D"/>
    <w:rsid w:val="33A475BF"/>
    <w:rsid w:val="33A8380B"/>
    <w:rsid w:val="33C94503"/>
    <w:rsid w:val="33D5625B"/>
    <w:rsid w:val="33DB60C7"/>
    <w:rsid w:val="33F161AE"/>
    <w:rsid w:val="33F95E15"/>
    <w:rsid w:val="340D5795"/>
    <w:rsid w:val="34360F5A"/>
    <w:rsid w:val="344A697B"/>
    <w:rsid w:val="347A1EC1"/>
    <w:rsid w:val="34813382"/>
    <w:rsid w:val="349800F1"/>
    <w:rsid w:val="34B87A7E"/>
    <w:rsid w:val="34BD007C"/>
    <w:rsid w:val="34C45F6E"/>
    <w:rsid w:val="34F34F5A"/>
    <w:rsid w:val="35087986"/>
    <w:rsid w:val="352944D8"/>
    <w:rsid w:val="354F788D"/>
    <w:rsid w:val="35B640CF"/>
    <w:rsid w:val="35BC17F0"/>
    <w:rsid w:val="36070CBD"/>
    <w:rsid w:val="363F3301"/>
    <w:rsid w:val="36883480"/>
    <w:rsid w:val="369A111C"/>
    <w:rsid w:val="369F3059"/>
    <w:rsid w:val="36C175C6"/>
    <w:rsid w:val="36CC7811"/>
    <w:rsid w:val="36F40B16"/>
    <w:rsid w:val="370C0338"/>
    <w:rsid w:val="372932AB"/>
    <w:rsid w:val="37515FCF"/>
    <w:rsid w:val="37795D48"/>
    <w:rsid w:val="37C44407"/>
    <w:rsid w:val="37D921E5"/>
    <w:rsid w:val="37E65B8A"/>
    <w:rsid w:val="38561A88"/>
    <w:rsid w:val="38563E07"/>
    <w:rsid w:val="38743CBC"/>
    <w:rsid w:val="38A53CBE"/>
    <w:rsid w:val="38D26C34"/>
    <w:rsid w:val="38F55C32"/>
    <w:rsid w:val="39262D30"/>
    <w:rsid w:val="3933311F"/>
    <w:rsid w:val="393F04FF"/>
    <w:rsid w:val="39700675"/>
    <w:rsid w:val="397321C6"/>
    <w:rsid w:val="39E62997"/>
    <w:rsid w:val="39F022D7"/>
    <w:rsid w:val="39F41D06"/>
    <w:rsid w:val="39FD5F33"/>
    <w:rsid w:val="3A1E0383"/>
    <w:rsid w:val="3A1F40FB"/>
    <w:rsid w:val="3A426975"/>
    <w:rsid w:val="3A4A1AA0"/>
    <w:rsid w:val="3A664403"/>
    <w:rsid w:val="3A711D15"/>
    <w:rsid w:val="3A737855"/>
    <w:rsid w:val="3A940645"/>
    <w:rsid w:val="3AAA7E69"/>
    <w:rsid w:val="3ABA38B6"/>
    <w:rsid w:val="3AC151B3"/>
    <w:rsid w:val="3ACC7DDF"/>
    <w:rsid w:val="3ACD1DA9"/>
    <w:rsid w:val="3AE50EA1"/>
    <w:rsid w:val="3B133C60"/>
    <w:rsid w:val="3B245E6D"/>
    <w:rsid w:val="3B4B3FFF"/>
    <w:rsid w:val="3B4C2CCE"/>
    <w:rsid w:val="3B5732CF"/>
    <w:rsid w:val="3B7D557D"/>
    <w:rsid w:val="3B9F6974"/>
    <w:rsid w:val="3BB37260"/>
    <w:rsid w:val="3BE333D3"/>
    <w:rsid w:val="3C702022"/>
    <w:rsid w:val="3C722C08"/>
    <w:rsid w:val="3C9550E5"/>
    <w:rsid w:val="3CB44FCF"/>
    <w:rsid w:val="3CC11038"/>
    <w:rsid w:val="3CD07993"/>
    <w:rsid w:val="3CE0114D"/>
    <w:rsid w:val="3CF64A9E"/>
    <w:rsid w:val="3D09356D"/>
    <w:rsid w:val="3D163AF2"/>
    <w:rsid w:val="3D1828A6"/>
    <w:rsid w:val="3DB83544"/>
    <w:rsid w:val="3DC2371B"/>
    <w:rsid w:val="3DC56D68"/>
    <w:rsid w:val="3DD00B61"/>
    <w:rsid w:val="3DD65C86"/>
    <w:rsid w:val="3DE22EEA"/>
    <w:rsid w:val="3DEB200C"/>
    <w:rsid w:val="3E0576DA"/>
    <w:rsid w:val="3E145C5A"/>
    <w:rsid w:val="3E3D2DA2"/>
    <w:rsid w:val="3E4A38F0"/>
    <w:rsid w:val="3E5F0F6A"/>
    <w:rsid w:val="3EB56DDC"/>
    <w:rsid w:val="3EB72B54"/>
    <w:rsid w:val="3F183D31"/>
    <w:rsid w:val="3F2B3B2D"/>
    <w:rsid w:val="3F373C95"/>
    <w:rsid w:val="3F3D74FE"/>
    <w:rsid w:val="3F43088C"/>
    <w:rsid w:val="3F5521A0"/>
    <w:rsid w:val="3F7B1DD4"/>
    <w:rsid w:val="3F7D6F25"/>
    <w:rsid w:val="3F9D3214"/>
    <w:rsid w:val="3FD5747B"/>
    <w:rsid w:val="3FFB4CC3"/>
    <w:rsid w:val="4000052B"/>
    <w:rsid w:val="40133308"/>
    <w:rsid w:val="4027667A"/>
    <w:rsid w:val="404254CD"/>
    <w:rsid w:val="40477F08"/>
    <w:rsid w:val="40703903"/>
    <w:rsid w:val="409C5FE8"/>
    <w:rsid w:val="40CD2B03"/>
    <w:rsid w:val="40D20119"/>
    <w:rsid w:val="40E1369F"/>
    <w:rsid w:val="40ED32DF"/>
    <w:rsid w:val="410F2828"/>
    <w:rsid w:val="41171FD0"/>
    <w:rsid w:val="41233D36"/>
    <w:rsid w:val="41C9091F"/>
    <w:rsid w:val="41DE664A"/>
    <w:rsid w:val="41E95522"/>
    <w:rsid w:val="41EF0334"/>
    <w:rsid w:val="41FA7928"/>
    <w:rsid w:val="420F01A3"/>
    <w:rsid w:val="42726461"/>
    <w:rsid w:val="4328538F"/>
    <w:rsid w:val="43413334"/>
    <w:rsid w:val="434A0702"/>
    <w:rsid w:val="436D5B0C"/>
    <w:rsid w:val="4374723E"/>
    <w:rsid w:val="4387343D"/>
    <w:rsid w:val="43972F54"/>
    <w:rsid w:val="439D5F62"/>
    <w:rsid w:val="43CF6B92"/>
    <w:rsid w:val="43D76F13"/>
    <w:rsid w:val="440B5E1C"/>
    <w:rsid w:val="44116024"/>
    <w:rsid w:val="441B5933"/>
    <w:rsid w:val="442517E5"/>
    <w:rsid w:val="445C6C99"/>
    <w:rsid w:val="4476426D"/>
    <w:rsid w:val="44786166"/>
    <w:rsid w:val="447C2876"/>
    <w:rsid w:val="44C244D0"/>
    <w:rsid w:val="44F500D7"/>
    <w:rsid w:val="44F71EFD"/>
    <w:rsid w:val="45385449"/>
    <w:rsid w:val="4545710C"/>
    <w:rsid w:val="45675CAA"/>
    <w:rsid w:val="457048A4"/>
    <w:rsid w:val="458539AC"/>
    <w:rsid w:val="4592633D"/>
    <w:rsid w:val="459534C4"/>
    <w:rsid w:val="46127A72"/>
    <w:rsid w:val="46222FA9"/>
    <w:rsid w:val="4642798A"/>
    <w:rsid w:val="46580D84"/>
    <w:rsid w:val="46607F75"/>
    <w:rsid w:val="46796933"/>
    <w:rsid w:val="468259E4"/>
    <w:rsid w:val="46B62D14"/>
    <w:rsid w:val="46DB13AA"/>
    <w:rsid w:val="46E57750"/>
    <w:rsid w:val="46F85F27"/>
    <w:rsid w:val="472703A0"/>
    <w:rsid w:val="47421ED9"/>
    <w:rsid w:val="474B42F6"/>
    <w:rsid w:val="474E0CD4"/>
    <w:rsid w:val="477041E8"/>
    <w:rsid w:val="47A619B8"/>
    <w:rsid w:val="47C000C6"/>
    <w:rsid w:val="47C85DD2"/>
    <w:rsid w:val="47D227AD"/>
    <w:rsid w:val="47DE1152"/>
    <w:rsid w:val="47E14CCD"/>
    <w:rsid w:val="480265EF"/>
    <w:rsid w:val="48111527"/>
    <w:rsid w:val="481E16CD"/>
    <w:rsid w:val="48362D3C"/>
    <w:rsid w:val="486378A9"/>
    <w:rsid w:val="486C6D69"/>
    <w:rsid w:val="48B300D9"/>
    <w:rsid w:val="48B63E7D"/>
    <w:rsid w:val="48D92E72"/>
    <w:rsid w:val="4900475A"/>
    <w:rsid w:val="4924528A"/>
    <w:rsid w:val="49303C2F"/>
    <w:rsid w:val="49521DF7"/>
    <w:rsid w:val="49842ECA"/>
    <w:rsid w:val="49E730A6"/>
    <w:rsid w:val="49EA64D4"/>
    <w:rsid w:val="49EE2B9C"/>
    <w:rsid w:val="4A203CA4"/>
    <w:rsid w:val="4A2620C9"/>
    <w:rsid w:val="4A2824CA"/>
    <w:rsid w:val="4A2D5B68"/>
    <w:rsid w:val="4A3A65F8"/>
    <w:rsid w:val="4A673681"/>
    <w:rsid w:val="4AA246B9"/>
    <w:rsid w:val="4AC51E62"/>
    <w:rsid w:val="4AFC64BF"/>
    <w:rsid w:val="4B1355B6"/>
    <w:rsid w:val="4B183689"/>
    <w:rsid w:val="4B1B26BD"/>
    <w:rsid w:val="4B320132"/>
    <w:rsid w:val="4B427C4A"/>
    <w:rsid w:val="4B761187"/>
    <w:rsid w:val="4BD73978"/>
    <w:rsid w:val="4BE96317"/>
    <w:rsid w:val="4BEB4544"/>
    <w:rsid w:val="4C043151"/>
    <w:rsid w:val="4C485734"/>
    <w:rsid w:val="4C486917"/>
    <w:rsid w:val="4C5639AD"/>
    <w:rsid w:val="4C5F1712"/>
    <w:rsid w:val="4C7A27C0"/>
    <w:rsid w:val="4C7C015C"/>
    <w:rsid w:val="4C8B6B78"/>
    <w:rsid w:val="4C944AA2"/>
    <w:rsid w:val="4CA3615B"/>
    <w:rsid w:val="4CB62181"/>
    <w:rsid w:val="4CBA59EA"/>
    <w:rsid w:val="4CC335E8"/>
    <w:rsid w:val="4CD97C61"/>
    <w:rsid w:val="4CFB6302"/>
    <w:rsid w:val="4CFE3C15"/>
    <w:rsid w:val="4D341814"/>
    <w:rsid w:val="4D685375"/>
    <w:rsid w:val="4D6C244D"/>
    <w:rsid w:val="4DAB4BAF"/>
    <w:rsid w:val="4DC112FA"/>
    <w:rsid w:val="4DC55756"/>
    <w:rsid w:val="4E0B4C6B"/>
    <w:rsid w:val="4E1A176E"/>
    <w:rsid w:val="4E5178A4"/>
    <w:rsid w:val="4E616639"/>
    <w:rsid w:val="4E7C134A"/>
    <w:rsid w:val="4E810DB4"/>
    <w:rsid w:val="4E8F13F8"/>
    <w:rsid w:val="4E9B1B4B"/>
    <w:rsid w:val="4EA00746"/>
    <w:rsid w:val="4EC72940"/>
    <w:rsid w:val="4ED212E5"/>
    <w:rsid w:val="4EE51018"/>
    <w:rsid w:val="4EF04C19"/>
    <w:rsid w:val="4F193323"/>
    <w:rsid w:val="4F1F277C"/>
    <w:rsid w:val="4F415327"/>
    <w:rsid w:val="4F4E1D81"/>
    <w:rsid w:val="4F6208BA"/>
    <w:rsid w:val="4F9A62A6"/>
    <w:rsid w:val="4F9D11BF"/>
    <w:rsid w:val="4FC155E1"/>
    <w:rsid w:val="4FDD6EE9"/>
    <w:rsid w:val="4FE61A40"/>
    <w:rsid w:val="50096F88"/>
    <w:rsid w:val="50184E14"/>
    <w:rsid w:val="50203BB5"/>
    <w:rsid w:val="502A6F96"/>
    <w:rsid w:val="502F26C2"/>
    <w:rsid w:val="503B5FB8"/>
    <w:rsid w:val="503C55AF"/>
    <w:rsid w:val="50430DD4"/>
    <w:rsid w:val="50470829"/>
    <w:rsid w:val="50537E1D"/>
    <w:rsid w:val="50664C97"/>
    <w:rsid w:val="507E34D2"/>
    <w:rsid w:val="50816CB4"/>
    <w:rsid w:val="508C4A9D"/>
    <w:rsid w:val="50940F47"/>
    <w:rsid w:val="510907EE"/>
    <w:rsid w:val="510C31D4"/>
    <w:rsid w:val="512C58C3"/>
    <w:rsid w:val="51392FC0"/>
    <w:rsid w:val="51826FF2"/>
    <w:rsid w:val="51A732B4"/>
    <w:rsid w:val="51AB479B"/>
    <w:rsid w:val="51DC1395"/>
    <w:rsid w:val="51E30C4D"/>
    <w:rsid w:val="51F618F3"/>
    <w:rsid w:val="51FD0AE5"/>
    <w:rsid w:val="52063BC2"/>
    <w:rsid w:val="521A36CE"/>
    <w:rsid w:val="522E2703"/>
    <w:rsid w:val="52356B16"/>
    <w:rsid w:val="52383F2A"/>
    <w:rsid w:val="52466271"/>
    <w:rsid w:val="524946E4"/>
    <w:rsid w:val="526861E8"/>
    <w:rsid w:val="526D4E81"/>
    <w:rsid w:val="527340EA"/>
    <w:rsid w:val="52A86F2C"/>
    <w:rsid w:val="52AD19EC"/>
    <w:rsid w:val="52B33B45"/>
    <w:rsid w:val="52D03B98"/>
    <w:rsid w:val="53325E04"/>
    <w:rsid w:val="53432D2C"/>
    <w:rsid w:val="53591FD4"/>
    <w:rsid w:val="5393578B"/>
    <w:rsid w:val="53937294"/>
    <w:rsid w:val="53BF0089"/>
    <w:rsid w:val="53CB4114"/>
    <w:rsid w:val="53D55AFF"/>
    <w:rsid w:val="5408687A"/>
    <w:rsid w:val="540F2439"/>
    <w:rsid w:val="54224EBB"/>
    <w:rsid w:val="54302D35"/>
    <w:rsid w:val="54305279"/>
    <w:rsid w:val="543F151A"/>
    <w:rsid w:val="54717CED"/>
    <w:rsid w:val="54AF6350"/>
    <w:rsid w:val="54BC6CBF"/>
    <w:rsid w:val="54BE6593"/>
    <w:rsid w:val="54C11289"/>
    <w:rsid w:val="54D42460"/>
    <w:rsid w:val="54EB1352"/>
    <w:rsid w:val="550731AC"/>
    <w:rsid w:val="55167848"/>
    <w:rsid w:val="551D7809"/>
    <w:rsid w:val="551F405B"/>
    <w:rsid w:val="552A3C28"/>
    <w:rsid w:val="55666AA8"/>
    <w:rsid w:val="557D3118"/>
    <w:rsid w:val="55A80497"/>
    <w:rsid w:val="55CC2F32"/>
    <w:rsid w:val="55E704ED"/>
    <w:rsid w:val="55F02EBB"/>
    <w:rsid w:val="56064695"/>
    <w:rsid w:val="560E6B55"/>
    <w:rsid w:val="56217A97"/>
    <w:rsid w:val="56424FA2"/>
    <w:rsid w:val="56495FFD"/>
    <w:rsid w:val="56551179"/>
    <w:rsid w:val="565B1FA5"/>
    <w:rsid w:val="567C3DD1"/>
    <w:rsid w:val="56C26D5E"/>
    <w:rsid w:val="56DB15B0"/>
    <w:rsid w:val="56DB54C5"/>
    <w:rsid w:val="56F72230"/>
    <w:rsid w:val="57124113"/>
    <w:rsid w:val="571E2E4F"/>
    <w:rsid w:val="57680A38"/>
    <w:rsid w:val="576C6232"/>
    <w:rsid w:val="57815B2C"/>
    <w:rsid w:val="57903AA7"/>
    <w:rsid w:val="57923322"/>
    <w:rsid w:val="57A20112"/>
    <w:rsid w:val="57C74619"/>
    <w:rsid w:val="57D936E4"/>
    <w:rsid w:val="58106555"/>
    <w:rsid w:val="583D683A"/>
    <w:rsid w:val="58586CFE"/>
    <w:rsid w:val="58E37331"/>
    <w:rsid w:val="59142C25"/>
    <w:rsid w:val="596E1788"/>
    <w:rsid w:val="598B6C60"/>
    <w:rsid w:val="59E00D5A"/>
    <w:rsid w:val="59E206B9"/>
    <w:rsid w:val="59F6057D"/>
    <w:rsid w:val="5A0F7822"/>
    <w:rsid w:val="5A207F8C"/>
    <w:rsid w:val="5A2F1CE1"/>
    <w:rsid w:val="5A47527A"/>
    <w:rsid w:val="5A4C51E7"/>
    <w:rsid w:val="5A60169D"/>
    <w:rsid w:val="5A736072"/>
    <w:rsid w:val="5AB3021C"/>
    <w:rsid w:val="5ACE6CC9"/>
    <w:rsid w:val="5AE25520"/>
    <w:rsid w:val="5AEA5B73"/>
    <w:rsid w:val="5AF452A8"/>
    <w:rsid w:val="5AF712F3"/>
    <w:rsid w:val="5B381D65"/>
    <w:rsid w:val="5B45351A"/>
    <w:rsid w:val="5B49157E"/>
    <w:rsid w:val="5B604FF1"/>
    <w:rsid w:val="5B6339F0"/>
    <w:rsid w:val="5B6D5070"/>
    <w:rsid w:val="5B85727E"/>
    <w:rsid w:val="5BAC35E9"/>
    <w:rsid w:val="5BBA1118"/>
    <w:rsid w:val="5BBD1569"/>
    <w:rsid w:val="5BEF34D6"/>
    <w:rsid w:val="5BF303C8"/>
    <w:rsid w:val="5C2F421A"/>
    <w:rsid w:val="5C327C60"/>
    <w:rsid w:val="5C356925"/>
    <w:rsid w:val="5C597EB9"/>
    <w:rsid w:val="5C6519EA"/>
    <w:rsid w:val="5C9F3DBE"/>
    <w:rsid w:val="5CA31420"/>
    <w:rsid w:val="5D35760E"/>
    <w:rsid w:val="5D443112"/>
    <w:rsid w:val="5D5A7075"/>
    <w:rsid w:val="5D7A7717"/>
    <w:rsid w:val="5D8B5480"/>
    <w:rsid w:val="5D930F11"/>
    <w:rsid w:val="5D9F765F"/>
    <w:rsid w:val="5DBC269B"/>
    <w:rsid w:val="5DC51D68"/>
    <w:rsid w:val="5DC53960"/>
    <w:rsid w:val="5DC76A50"/>
    <w:rsid w:val="5DD406AE"/>
    <w:rsid w:val="5DFC1EDA"/>
    <w:rsid w:val="5E060777"/>
    <w:rsid w:val="5E090DD9"/>
    <w:rsid w:val="5E5227C8"/>
    <w:rsid w:val="5E671A49"/>
    <w:rsid w:val="5EB8047A"/>
    <w:rsid w:val="5ED93145"/>
    <w:rsid w:val="5EF64F3E"/>
    <w:rsid w:val="5F011E9E"/>
    <w:rsid w:val="5F4E1706"/>
    <w:rsid w:val="5F7B795C"/>
    <w:rsid w:val="5FA33501"/>
    <w:rsid w:val="5FC63860"/>
    <w:rsid w:val="5FD637EC"/>
    <w:rsid w:val="602353EF"/>
    <w:rsid w:val="602E07B0"/>
    <w:rsid w:val="608E7761"/>
    <w:rsid w:val="60AE3960"/>
    <w:rsid w:val="60C12264"/>
    <w:rsid w:val="60C211B9"/>
    <w:rsid w:val="610D3C92"/>
    <w:rsid w:val="6142679E"/>
    <w:rsid w:val="61447E20"/>
    <w:rsid w:val="616740A1"/>
    <w:rsid w:val="619A28C0"/>
    <w:rsid w:val="61C80A51"/>
    <w:rsid w:val="61DC62AA"/>
    <w:rsid w:val="61E3588B"/>
    <w:rsid w:val="61E55B13"/>
    <w:rsid w:val="61FC06FB"/>
    <w:rsid w:val="621719D8"/>
    <w:rsid w:val="621E68C3"/>
    <w:rsid w:val="622825CE"/>
    <w:rsid w:val="623951B5"/>
    <w:rsid w:val="623E5B59"/>
    <w:rsid w:val="62562501"/>
    <w:rsid w:val="626B762E"/>
    <w:rsid w:val="62C90F25"/>
    <w:rsid w:val="62CA20B6"/>
    <w:rsid w:val="62DF4369"/>
    <w:rsid w:val="62F53AC8"/>
    <w:rsid w:val="62FB6C04"/>
    <w:rsid w:val="63402EE0"/>
    <w:rsid w:val="635E7685"/>
    <w:rsid w:val="63990C8C"/>
    <w:rsid w:val="63C60FC0"/>
    <w:rsid w:val="63DC6A36"/>
    <w:rsid w:val="63E74A93"/>
    <w:rsid w:val="63F0603D"/>
    <w:rsid w:val="6411291E"/>
    <w:rsid w:val="64236413"/>
    <w:rsid w:val="64244A51"/>
    <w:rsid w:val="64405216"/>
    <w:rsid w:val="64670840"/>
    <w:rsid w:val="646C600B"/>
    <w:rsid w:val="647765BB"/>
    <w:rsid w:val="6486074F"/>
    <w:rsid w:val="64A737C1"/>
    <w:rsid w:val="64D21BE7"/>
    <w:rsid w:val="64D966C0"/>
    <w:rsid w:val="651421FF"/>
    <w:rsid w:val="652B3DF0"/>
    <w:rsid w:val="653353A3"/>
    <w:rsid w:val="654D21ED"/>
    <w:rsid w:val="6550312C"/>
    <w:rsid w:val="65815AE7"/>
    <w:rsid w:val="65C3334A"/>
    <w:rsid w:val="65DE79F4"/>
    <w:rsid w:val="65DF3C56"/>
    <w:rsid w:val="65E75018"/>
    <w:rsid w:val="65E8333B"/>
    <w:rsid w:val="661B763E"/>
    <w:rsid w:val="66203CA6"/>
    <w:rsid w:val="662C2E8B"/>
    <w:rsid w:val="66467840"/>
    <w:rsid w:val="66544FA9"/>
    <w:rsid w:val="665C3E5E"/>
    <w:rsid w:val="66601DF3"/>
    <w:rsid w:val="666D1BC7"/>
    <w:rsid w:val="66A12816"/>
    <w:rsid w:val="66CF4630"/>
    <w:rsid w:val="670B51F4"/>
    <w:rsid w:val="67220C03"/>
    <w:rsid w:val="673D50A9"/>
    <w:rsid w:val="675779D2"/>
    <w:rsid w:val="676841BB"/>
    <w:rsid w:val="676F16B9"/>
    <w:rsid w:val="67717495"/>
    <w:rsid w:val="67766731"/>
    <w:rsid w:val="679B1933"/>
    <w:rsid w:val="67CA2A23"/>
    <w:rsid w:val="67D5211A"/>
    <w:rsid w:val="67DF38DD"/>
    <w:rsid w:val="67F64F3B"/>
    <w:rsid w:val="68213F33"/>
    <w:rsid w:val="68242759"/>
    <w:rsid w:val="68422A84"/>
    <w:rsid w:val="684D14E2"/>
    <w:rsid w:val="68644EE4"/>
    <w:rsid w:val="68752FB5"/>
    <w:rsid w:val="68921DB9"/>
    <w:rsid w:val="68D054F7"/>
    <w:rsid w:val="68E02D78"/>
    <w:rsid w:val="691368BE"/>
    <w:rsid w:val="69644128"/>
    <w:rsid w:val="699102C2"/>
    <w:rsid w:val="69CC30A8"/>
    <w:rsid w:val="69D343C0"/>
    <w:rsid w:val="69F96568"/>
    <w:rsid w:val="6A386015"/>
    <w:rsid w:val="6A687275"/>
    <w:rsid w:val="6A8C213E"/>
    <w:rsid w:val="6A9811DC"/>
    <w:rsid w:val="6AA214F8"/>
    <w:rsid w:val="6AB25D96"/>
    <w:rsid w:val="6AB96F4F"/>
    <w:rsid w:val="6AD772E1"/>
    <w:rsid w:val="6ADD472C"/>
    <w:rsid w:val="6B144D07"/>
    <w:rsid w:val="6B167812"/>
    <w:rsid w:val="6B563571"/>
    <w:rsid w:val="6B5809DA"/>
    <w:rsid w:val="6B7C465A"/>
    <w:rsid w:val="6BB81B36"/>
    <w:rsid w:val="6BC1349B"/>
    <w:rsid w:val="6C184383"/>
    <w:rsid w:val="6C2E1BBB"/>
    <w:rsid w:val="6C8A3643"/>
    <w:rsid w:val="6CA85897"/>
    <w:rsid w:val="6CB24436"/>
    <w:rsid w:val="6CB70CC2"/>
    <w:rsid w:val="6CC47315"/>
    <w:rsid w:val="6CE3103A"/>
    <w:rsid w:val="6CF92CAD"/>
    <w:rsid w:val="6D434B2D"/>
    <w:rsid w:val="6D512F58"/>
    <w:rsid w:val="6D602D27"/>
    <w:rsid w:val="6D651729"/>
    <w:rsid w:val="6D6A1EB5"/>
    <w:rsid w:val="6DA6713A"/>
    <w:rsid w:val="6DBE71AC"/>
    <w:rsid w:val="6DCE6125"/>
    <w:rsid w:val="6DDF78C2"/>
    <w:rsid w:val="6E0077C5"/>
    <w:rsid w:val="6E1509C0"/>
    <w:rsid w:val="6E3D7EF6"/>
    <w:rsid w:val="6E4115A2"/>
    <w:rsid w:val="6E425B9B"/>
    <w:rsid w:val="6E7004A6"/>
    <w:rsid w:val="6EB15E8C"/>
    <w:rsid w:val="6EC07C56"/>
    <w:rsid w:val="6ECD4657"/>
    <w:rsid w:val="6F09453C"/>
    <w:rsid w:val="6F3D10E9"/>
    <w:rsid w:val="6F3E67F6"/>
    <w:rsid w:val="6F477302"/>
    <w:rsid w:val="6F5C7E74"/>
    <w:rsid w:val="6F64665F"/>
    <w:rsid w:val="6F894168"/>
    <w:rsid w:val="6F8B1310"/>
    <w:rsid w:val="6FB16FC8"/>
    <w:rsid w:val="6FBC34F1"/>
    <w:rsid w:val="6FD1766A"/>
    <w:rsid w:val="6FDB2297"/>
    <w:rsid w:val="6FEE6E12"/>
    <w:rsid w:val="700B5EA1"/>
    <w:rsid w:val="701C4BBD"/>
    <w:rsid w:val="70480FAF"/>
    <w:rsid w:val="70637F6B"/>
    <w:rsid w:val="70826EFF"/>
    <w:rsid w:val="70B759E2"/>
    <w:rsid w:val="70C02A0A"/>
    <w:rsid w:val="70C26FB3"/>
    <w:rsid w:val="70C943AC"/>
    <w:rsid w:val="70D50A94"/>
    <w:rsid w:val="70D74488"/>
    <w:rsid w:val="71181AD4"/>
    <w:rsid w:val="71415FAD"/>
    <w:rsid w:val="71461992"/>
    <w:rsid w:val="71593474"/>
    <w:rsid w:val="71BB2380"/>
    <w:rsid w:val="71BE7A17"/>
    <w:rsid w:val="71CC3468"/>
    <w:rsid w:val="71ED5F85"/>
    <w:rsid w:val="71F31B1A"/>
    <w:rsid w:val="720A732E"/>
    <w:rsid w:val="7220545B"/>
    <w:rsid w:val="72260CCE"/>
    <w:rsid w:val="722C7C94"/>
    <w:rsid w:val="7258197D"/>
    <w:rsid w:val="728F47BB"/>
    <w:rsid w:val="729F14D8"/>
    <w:rsid w:val="72C67D99"/>
    <w:rsid w:val="72CB65F3"/>
    <w:rsid w:val="72CC5EC7"/>
    <w:rsid w:val="72CE60E3"/>
    <w:rsid w:val="72E06D92"/>
    <w:rsid w:val="72EE306A"/>
    <w:rsid w:val="72FF61F1"/>
    <w:rsid w:val="73194910"/>
    <w:rsid w:val="734C4BE3"/>
    <w:rsid w:val="73797DFD"/>
    <w:rsid w:val="73967079"/>
    <w:rsid w:val="73B54BAD"/>
    <w:rsid w:val="73CB617F"/>
    <w:rsid w:val="73DD75DB"/>
    <w:rsid w:val="73E73FB5"/>
    <w:rsid w:val="740565A0"/>
    <w:rsid w:val="741E09A4"/>
    <w:rsid w:val="74381E67"/>
    <w:rsid w:val="74C23A26"/>
    <w:rsid w:val="74C53CA1"/>
    <w:rsid w:val="74C91020"/>
    <w:rsid w:val="74EE0377"/>
    <w:rsid w:val="751A2382"/>
    <w:rsid w:val="75553787"/>
    <w:rsid w:val="755564CD"/>
    <w:rsid w:val="75556648"/>
    <w:rsid w:val="755723C0"/>
    <w:rsid w:val="75A66EA3"/>
    <w:rsid w:val="75A7157E"/>
    <w:rsid w:val="75B64132"/>
    <w:rsid w:val="75B724E3"/>
    <w:rsid w:val="75FC1279"/>
    <w:rsid w:val="76127465"/>
    <w:rsid w:val="76572284"/>
    <w:rsid w:val="768A4A49"/>
    <w:rsid w:val="76DD4B47"/>
    <w:rsid w:val="76E422A6"/>
    <w:rsid w:val="77031A57"/>
    <w:rsid w:val="77953ACD"/>
    <w:rsid w:val="779C1BB9"/>
    <w:rsid w:val="77A86F03"/>
    <w:rsid w:val="77CB499F"/>
    <w:rsid w:val="780D044D"/>
    <w:rsid w:val="781D7F14"/>
    <w:rsid w:val="7826242F"/>
    <w:rsid w:val="785D5F3F"/>
    <w:rsid w:val="78A15E9B"/>
    <w:rsid w:val="78A3591C"/>
    <w:rsid w:val="78AA2807"/>
    <w:rsid w:val="78B74F24"/>
    <w:rsid w:val="78C47568"/>
    <w:rsid w:val="78D07EC5"/>
    <w:rsid w:val="78DE7ACA"/>
    <w:rsid w:val="78FB7506"/>
    <w:rsid w:val="79226DE6"/>
    <w:rsid w:val="79337ABE"/>
    <w:rsid w:val="79337E8D"/>
    <w:rsid w:val="795F1843"/>
    <w:rsid w:val="79A75717"/>
    <w:rsid w:val="79AB08B5"/>
    <w:rsid w:val="79B30B16"/>
    <w:rsid w:val="79B92F32"/>
    <w:rsid w:val="79DC01FD"/>
    <w:rsid w:val="7A0423EA"/>
    <w:rsid w:val="7A22512D"/>
    <w:rsid w:val="7A34666B"/>
    <w:rsid w:val="7A493884"/>
    <w:rsid w:val="7A4D3D91"/>
    <w:rsid w:val="7A6C06BC"/>
    <w:rsid w:val="7A6F1F5A"/>
    <w:rsid w:val="7A777060"/>
    <w:rsid w:val="7ABB519F"/>
    <w:rsid w:val="7B272834"/>
    <w:rsid w:val="7B311AAC"/>
    <w:rsid w:val="7B346CFF"/>
    <w:rsid w:val="7B3B3A81"/>
    <w:rsid w:val="7B643141"/>
    <w:rsid w:val="7BC73B54"/>
    <w:rsid w:val="7C174657"/>
    <w:rsid w:val="7C286864"/>
    <w:rsid w:val="7C5A4544"/>
    <w:rsid w:val="7CE457C1"/>
    <w:rsid w:val="7CE60502"/>
    <w:rsid w:val="7D071C2F"/>
    <w:rsid w:val="7D1C7A4B"/>
    <w:rsid w:val="7D1E3A35"/>
    <w:rsid w:val="7D252DA4"/>
    <w:rsid w:val="7D341239"/>
    <w:rsid w:val="7D44147C"/>
    <w:rsid w:val="7D475475"/>
    <w:rsid w:val="7D847101"/>
    <w:rsid w:val="7D8F646F"/>
    <w:rsid w:val="7D913F95"/>
    <w:rsid w:val="7DA0067C"/>
    <w:rsid w:val="7DD925E9"/>
    <w:rsid w:val="7E0A6FC9"/>
    <w:rsid w:val="7E0D5D12"/>
    <w:rsid w:val="7E217CC9"/>
    <w:rsid w:val="7E72472C"/>
    <w:rsid w:val="7E74018B"/>
    <w:rsid w:val="7E761E7E"/>
    <w:rsid w:val="7E7859E8"/>
    <w:rsid w:val="7ECA5624"/>
    <w:rsid w:val="7ECE1EA8"/>
    <w:rsid w:val="7EEF0D02"/>
    <w:rsid w:val="7F0331D8"/>
    <w:rsid w:val="7F042081"/>
    <w:rsid w:val="7F1C1F84"/>
    <w:rsid w:val="7F45772D"/>
    <w:rsid w:val="7F4A08A0"/>
    <w:rsid w:val="7F5434CC"/>
    <w:rsid w:val="7F594F87"/>
    <w:rsid w:val="7F6B51D8"/>
    <w:rsid w:val="7F82628B"/>
    <w:rsid w:val="7F853FCE"/>
    <w:rsid w:val="7F9B10FB"/>
    <w:rsid w:val="7FA549E1"/>
    <w:rsid w:val="7FF81F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2"/>
    <w:qFormat/>
    <w:uiPriority w:val="0"/>
    <w:pPr>
      <w:keepNext/>
      <w:keepLines/>
      <w:spacing w:after="120" w:line="360" w:lineRule="auto"/>
      <w:outlineLvl w:val="0"/>
    </w:pPr>
    <w:rPr>
      <w:rFonts w:ascii="宋体" w:hAnsi="宋体"/>
      <w:kern w:val="44"/>
      <w:sz w:val="28"/>
      <w:szCs w:val="28"/>
    </w:rPr>
  </w:style>
  <w:style w:type="paragraph" w:styleId="4">
    <w:name w:val="heading 2"/>
    <w:basedOn w:val="1"/>
    <w:next w:val="1"/>
    <w:link w:val="61"/>
    <w:qFormat/>
    <w:uiPriority w:val="0"/>
    <w:pPr>
      <w:keepNext/>
      <w:keepLines/>
      <w:spacing w:before="120" w:after="120" w:line="415" w:lineRule="auto"/>
      <w:jc w:val="center"/>
      <w:outlineLvl w:val="1"/>
    </w:pPr>
    <w:rPr>
      <w:rFonts w:ascii="宋体" w:hAnsi="宋体"/>
      <w:b/>
      <w:kern w:val="0"/>
      <w:sz w:val="24"/>
      <w:szCs w:val="24"/>
    </w:rPr>
  </w:style>
  <w:style w:type="paragraph" w:styleId="5">
    <w:name w:val="heading 3"/>
    <w:basedOn w:val="1"/>
    <w:next w:val="1"/>
    <w:link w:val="63"/>
    <w:qFormat/>
    <w:uiPriority w:val="0"/>
    <w:pPr>
      <w:widowControl/>
      <w:jc w:val="left"/>
      <w:outlineLvl w:val="2"/>
    </w:pPr>
    <w:rPr>
      <w:rFonts w:ascii="宋体" w:hAnsi="宋体"/>
      <w:kern w:val="0"/>
      <w:sz w:val="27"/>
      <w:szCs w:val="27"/>
    </w:rPr>
  </w:style>
  <w:style w:type="paragraph" w:styleId="6">
    <w:name w:val="heading 4"/>
    <w:basedOn w:val="5"/>
    <w:next w:val="7"/>
    <w:link w:val="64"/>
    <w:qFormat/>
    <w:uiPriority w:val="0"/>
    <w:pPr>
      <w:keepNext/>
      <w:keepLines/>
      <w:widowControl w:val="0"/>
      <w:spacing w:beforeLines="50" w:afterLines="50" w:line="360" w:lineRule="auto"/>
      <w:ind w:left="284" w:hanging="284"/>
      <w:outlineLvl w:val="3"/>
    </w:pPr>
    <w:rPr>
      <w:rFonts w:ascii="Arial" w:hAnsi="Arial"/>
      <w:color w:val="000000"/>
      <w:sz w:val="20"/>
      <w:szCs w:val="21"/>
    </w:rPr>
  </w:style>
  <w:style w:type="paragraph" w:styleId="8">
    <w:name w:val="heading 5"/>
    <w:basedOn w:val="6"/>
    <w:next w:val="7"/>
    <w:link w:val="66"/>
    <w:qFormat/>
    <w:uiPriority w:val="0"/>
    <w:pPr>
      <w:spacing w:line="240" w:lineRule="exact"/>
      <w:outlineLvl w:val="4"/>
    </w:pPr>
  </w:style>
  <w:style w:type="paragraph" w:styleId="9">
    <w:name w:val="heading 6"/>
    <w:basedOn w:val="1"/>
    <w:next w:val="1"/>
    <w:link w:val="67"/>
    <w:qFormat/>
    <w:uiPriority w:val="0"/>
    <w:pPr>
      <w:keepNext/>
      <w:keepLines/>
      <w:spacing w:before="240" w:after="64" w:line="320" w:lineRule="auto"/>
      <w:outlineLvl w:val="5"/>
    </w:pPr>
    <w:rPr>
      <w:rFonts w:ascii="Arial" w:hAnsi="Arial" w:eastAsia="黑体"/>
      <w:b/>
      <w:bCs/>
      <w:kern w:val="0"/>
      <w:sz w:val="24"/>
      <w:szCs w:val="24"/>
    </w:rPr>
  </w:style>
  <w:style w:type="paragraph" w:styleId="10">
    <w:name w:val="heading 7"/>
    <w:basedOn w:val="1"/>
    <w:next w:val="7"/>
    <w:link w:val="68"/>
    <w:qFormat/>
    <w:uiPriority w:val="0"/>
    <w:pPr>
      <w:keepNext/>
      <w:keepLines/>
      <w:spacing w:before="240" w:after="64" w:line="320" w:lineRule="auto"/>
      <w:outlineLvl w:val="6"/>
    </w:pPr>
    <w:rPr>
      <w:rFonts w:ascii="Times New Roman" w:hAnsi="Times New Roman"/>
      <w:b/>
      <w:kern w:val="0"/>
      <w:sz w:val="24"/>
      <w:szCs w:val="20"/>
    </w:rPr>
  </w:style>
  <w:style w:type="paragraph" w:styleId="11">
    <w:name w:val="heading 8"/>
    <w:basedOn w:val="1"/>
    <w:next w:val="7"/>
    <w:link w:val="69"/>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7"/>
    <w:link w:val="70"/>
    <w:qFormat/>
    <w:uiPriority w:val="0"/>
    <w:pPr>
      <w:keepNext/>
      <w:keepLines/>
      <w:spacing w:before="240" w:after="64" w:line="320" w:lineRule="auto"/>
      <w:outlineLvl w:val="8"/>
    </w:pPr>
    <w:rPr>
      <w:rFonts w:ascii="Arial" w:hAnsi="Arial" w:eastAsia="黑体"/>
      <w:kern w:val="0"/>
      <w:sz w:val="20"/>
      <w:szCs w:val="20"/>
    </w:rPr>
  </w:style>
  <w:style w:type="character" w:default="1" w:styleId="52">
    <w:name w:val="Default Paragraph Font"/>
    <w:unhideWhenUsed/>
    <w:qFormat/>
    <w:uiPriority w:val="1"/>
  </w:style>
  <w:style w:type="table" w:default="1" w:styleId="50">
    <w:name w:val="Normal Table"/>
    <w:unhideWhenUsed/>
    <w:qFormat/>
    <w:uiPriority w:val="99"/>
    <w:tblPr>
      <w:tblCellMar>
        <w:top w:w="0" w:type="dxa"/>
        <w:left w:w="108" w:type="dxa"/>
        <w:bottom w:w="0" w:type="dxa"/>
        <w:right w:w="108" w:type="dxa"/>
      </w:tblCellMar>
    </w:tblPr>
  </w:style>
  <w:style w:type="paragraph" w:styleId="2">
    <w:name w:val="Plain Text"/>
    <w:basedOn w:val="1"/>
    <w:next w:val="1"/>
    <w:link w:val="76"/>
    <w:qFormat/>
    <w:uiPriority w:val="0"/>
    <w:rPr>
      <w:rFonts w:ascii="宋体" w:hAnsi="Courier New"/>
      <w:kern w:val="0"/>
      <w:sz w:val="20"/>
      <w:szCs w:val="20"/>
    </w:rPr>
  </w:style>
  <w:style w:type="paragraph" w:styleId="7">
    <w:name w:val="Normal Indent"/>
    <w:basedOn w:val="1"/>
    <w:next w:val="1"/>
    <w:link w:val="65"/>
    <w:qFormat/>
    <w:uiPriority w:val="99"/>
    <w:pPr>
      <w:ind w:firstLine="420"/>
    </w:pPr>
    <w:rPr>
      <w:rFonts w:ascii="Times New Roman" w:hAnsi="Times New Roman"/>
      <w:kern w:val="0"/>
      <w:sz w:val="20"/>
      <w:szCs w:val="20"/>
    </w:rPr>
  </w:style>
  <w:style w:type="paragraph" w:styleId="13">
    <w:name w:val="toc 7"/>
    <w:basedOn w:val="1"/>
    <w:next w:val="1"/>
    <w:qFormat/>
    <w:uiPriority w:val="0"/>
    <w:pPr>
      <w:ind w:left="1200" w:leftChars="1200"/>
    </w:pPr>
    <w:rPr>
      <w:rFonts w:ascii="Times New Roman" w:hAnsi="Times New Roma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tabs>
        <w:tab w:val="left" w:pos="360"/>
      </w:tabs>
      <w:ind w:left="360" w:hanging="360"/>
    </w:pPr>
    <w:rPr>
      <w:rFonts w:ascii="Times New Roman" w:hAnsi="Times New Roman"/>
      <w:szCs w:val="24"/>
    </w:rPr>
  </w:style>
  <w:style w:type="paragraph" w:styleId="16">
    <w:name w:val="Document Map"/>
    <w:basedOn w:val="1"/>
    <w:link w:val="71"/>
    <w:qFormat/>
    <w:uiPriority w:val="0"/>
    <w:pPr>
      <w:shd w:val="clear" w:color="auto" w:fill="000080"/>
    </w:pPr>
    <w:rPr>
      <w:rFonts w:ascii="Times New Roman" w:hAnsi="Times New Roman"/>
      <w:kern w:val="0"/>
      <w:sz w:val="20"/>
      <w:szCs w:val="20"/>
      <w:shd w:val="clear" w:color="auto" w:fill="000080"/>
    </w:rPr>
  </w:style>
  <w:style w:type="paragraph" w:styleId="17">
    <w:name w:val="annotation text"/>
    <w:basedOn w:val="1"/>
    <w:next w:val="18"/>
    <w:link w:val="72"/>
    <w:qFormat/>
    <w:uiPriority w:val="0"/>
    <w:pPr>
      <w:spacing w:line="360" w:lineRule="auto"/>
      <w:ind w:firstLine="523" w:firstLineChars="218"/>
      <w:jc w:val="left"/>
    </w:pPr>
    <w:rPr>
      <w:rFonts w:ascii="宋体" w:hAnsi="宋体"/>
      <w:kern w:val="0"/>
      <w:sz w:val="24"/>
      <w:szCs w:val="24"/>
    </w:rPr>
  </w:style>
  <w:style w:type="paragraph" w:styleId="18">
    <w:name w:val="toc 5"/>
    <w:basedOn w:val="1"/>
    <w:next w:val="1"/>
    <w:qFormat/>
    <w:uiPriority w:val="0"/>
    <w:pPr>
      <w:ind w:left="800" w:leftChars="800"/>
    </w:pPr>
    <w:rPr>
      <w:rFonts w:ascii="Times New Roman" w:hAnsi="Times New Roman"/>
    </w:rPr>
  </w:style>
  <w:style w:type="paragraph" w:styleId="19">
    <w:name w:val="Body Text 3"/>
    <w:basedOn w:val="1"/>
    <w:link w:val="73"/>
    <w:qFormat/>
    <w:uiPriority w:val="0"/>
    <w:rPr>
      <w:rFonts w:ascii="宋体" w:hAnsi="宋体"/>
      <w:kern w:val="0"/>
      <w:sz w:val="24"/>
      <w:szCs w:val="20"/>
    </w:rPr>
  </w:style>
  <w:style w:type="paragraph" w:styleId="20">
    <w:name w:val="Body Text"/>
    <w:basedOn w:val="1"/>
    <w:link w:val="74"/>
    <w:qFormat/>
    <w:uiPriority w:val="0"/>
    <w:pPr>
      <w:spacing w:after="120"/>
    </w:pPr>
    <w:rPr>
      <w:rFonts w:ascii="Times New Roman" w:hAnsi="Times New Roman"/>
      <w:kern w:val="0"/>
      <w:sz w:val="20"/>
      <w:szCs w:val="20"/>
    </w:rPr>
  </w:style>
  <w:style w:type="paragraph" w:styleId="21">
    <w:name w:val="Body Text Indent"/>
    <w:basedOn w:val="1"/>
    <w:next w:val="22"/>
    <w:link w:val="75"/>
    <w:qFormat/>
    <w:uiPriority w:val="0"/>
    <w:pPr>
      <w:ind w:firstLine="570"/>
    </w:pPr>
    <w:rPr>
      <w:rFonts w:ascii="Times New Roman" w:hAnsi="Times New Roman"/>
      <w:kern w:val="0"/>
      <w:sz w:val="28"/>
      <w:szCs w:val="20"/>
    </w:rPr>
  </w:style>
  <w:style w:type="paragraph" w:styleId="22">
    <w:name w:val="envelope return"/>
    <w:basedOn w:val="1"/>
    <w:qFormat/>
    <w:uiPriority w:val="0"/>
    <w:pPr>
      <w:snapToGrid w:val="0"/>
    </w:pPr>
    <w:rPr>
      <w:rFonts w:ascii="Arial" w:hAnsi="Arial" w:eastAsia="宋体" w:cs="Times New Roman"/>
      <w:szCs w:val="24"/>
      <w:lang w:bidi="ar-SA"/>
    </w:rPr>
  </w:style>
  <w:style w:type="paragraph" w:styleId="23">
    <w:name w:val="List 2"/>
    <w:basedOn w:val="1"/>
    <w:qFormat/>
    <w:uiPriority w:val="0"/>
    <w:pPr>
      <w:ind w:left="200" w:leftChars="200" w:hanging="200" w:hangingChars="200"/>
    </w:pPr>
    <w:rPr>
      <w:rFonts w:ascii="Times New Roman" w:hAnsi="Times New Roman" w:eastAsia="楷体_GB2312"/>
      <w:szCs w:val="20"/>
    </w:rPr>
  </w:style>
  <w:style w:type="paragraph" w:styleId="24">
    <w:name w:val="List Bullet 2"/>
    <w:basedOn w:val="15"/>
    <w:qFormat/>
    <w:uiPriority w:val="0"/>
    <w:pPr>
      <w:widowControl/>
      <w:tabs>
        <w:tab w:val="left" w:pos="432"/>
        <w:tab w:val="clear" w:pos="360"/>
      </w:tabs>
      <w:spacing w:after="220" w:line="220" w:lineRule="atLeast"/>
      <w:ind w:left="2160" w:right="720" w:hanging="432"/>
      <w:jc w:val="left"/>
    </w:pPr>
    <w:rPr>
      <w:kern w:val="0"/>
      <w:szCs w:val="20"/>
    </w:rPr>
  </w:style>
  <w:style w:type="paragraph" w:styleId="25">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6">
    <w:name w:val="toc 8"/>
    <w:basedOn w:val="1"/>
    <w:next w:val="1"/>
    <w:qFormat/>
    <w:uiPriority w:val="0"/>
    <w:pPr>
      <w:ind w:left="1400" w:leftChars="1400"/>
    </w:pPr>
    <w:rPr>
      <w:rFonts w:ascii="Times New Roman" w:hAnsi="Times New Roman"/>
    </w:rPr>
  </w:style>
  <w:style w:type="paragraph" w:styleId="27">
    <w:name w:val="Date"/>
    <w:basedOn w:val="1"/>
    <w:next w:val="1"/>
    <w:link w:val="77"/>
    <w:qFormat/>
    <w:uiPriority w:val="0"/>
    <w:rPr>
      <w:rFonts w:ascii="Times New Roman" w:hAnsi="Times New Roman"/>
      <w:kern w:val="0"/>
      <w:sz w:val="20"/>
      <w:szCs w:val="20"/>
    </w:rPr>
  </w:style>
  <w:style w:type="paragraph" w:styleId="28">
    <w:name w:val="Body Text Indent 2"/>
    <w:basedOn w:val="1"/>
    <w:link w:val="78"/>
    <w:qFormat/>
    <w:uiPriority w:val="0"/>
    <w:pPr>
      <w:spacing w:line="400" w:lineRule="exact"/>
      <w:ind w:left="425"/>
    </w:pPr>
    <w:rPr>
      <w:rFonts w:ascii="Times New Roman" w:hAnsi="Times New Roman"/>
      <w:color w:val="000000"/>
      <w:kern w:val="0"/>
      <w:sz w:val="24"/>
      <w:szCs w:val="20"/>
    </w:rPr>
  </w:style>
  <w:style w:type="paragraph" w:styleId="29">
    <w:name w:val="endnote text"/>
    <w:basedOn w:val="1"/>
    <w:link w:val="79"/>
    <w:qFormat/>
    <w:uiPriority w:val="0"/>
    <w:pPr>
      <w:snapToGrid w:val="0"/>
      <w:jc w:val="left"/>
    </w:pPr>
    <w:rPr>
      <w:rFonts w:ascii="Times New Roman" w:hAnsi="Times New Roman"/>
      <w:kern w:val="0"/>
      <w:sz w:val="20"/>
      <w:szCs w:val="20"/>
    </w:rPr>
  </w:style>
  <w:style w:type="paragraph" w:styleId="30">
    <w:name w:val="Balloon Text"/>
    <w:basedOn w:val="1"/>
    <w:link w:val="80"/>
    <w:qFormat/>
    <w:uiPriority w:val="0"/>
    <w:rPr>
      <w:rFonts w:ascii="Times New Roman" w:hAnsi="Times New Roman"/>
      <w:kern w:val="0"/>
      <w:sz w:val="18"/>
      <w:szCs w:val="18"/>
    </w:rPr>
  </w:style>
  <w:style w:type="paragraph" w:styleId="31">
    <w:name w:val="footer"/>
    <w:basedOn w:val="1"/>
    <w:link w:val="8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32">
    <w:name w:val="header"/>
    <w:basedOn w:val="1"/>
    <w:link w:val="82"/>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3">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4">
    <w:name w:val="toc 4"/>
    <w:basedOn w:val="1"/>
    <w:next w:val="1"/>
    <w:qFormat/>
    <w:uiPriority w:val="0"/>
    <w:pPr>
      <w:ind w:left="600" w:leftChars="600"/>
    </w:pPr>
    <w:rPr>
      <w:rFonts w:ascii="Times New Roman" w:hAnsi="Times New Roman"/>
    </w:rPr>
  </w:style>
  <w:style w:type="paragraph" w:styleId="35">
    <w:name w:val="Subtitle"/>
    <w:basedOn w:val="1"/>
    <w:next w:val="1"/>
    <w:link w:val="83"/>
    <w:qFormat/>
    <w:uiPriority w:val="0"/>
    <w:pPr>
      <w:widowControl/>
      <w:spacing w:after="60"/>
      <w:jc w:val="center"/>
      <w:outlineLvl w:val="1"/>
    </w:pPr>
    <w:rPr>
      <w:rFonts w:ascii="Arial" w:hAnsi="Arial" w:eastAsia="黑体"/>
      <w:b/>
      <w:bCs/>
      <w:kern w:val="0"/>
      <w:sz w:val="32"/>
      <w:szCs w:val="32"/>
    </w:rPr>
  </w:style>
  <w:style w:type="paragraph" w:styleId="36">
    <w:name w:val="List"/>
    <w:basedOn w:val="20"/>
    <w:qFormat/>
    <w:uiPriority w:val="0"/>
    <w:pPr>
      <w:suppressAutoHyphens/>
      <w:spacing w:after="0"/>
    </w:pPr>
    <w:rPr>
      <w:rFonts w:hAnsi="Calibri" w:eastAsia="黑体"/>
      <w:sz w:val="24"/>
      <w:lang w:eastAsia="ar-SA"/>
    </w:rPr>
  </w:style>
  <w:style w:type="paragraph" w:styleId="37">
    <w:name w:val="footnote text"/>
    <w:basedOn w:val="1"/>
    <w:link w:val="84"/>
    <w:qFormat/>
    <w:uiPriority w:val="0"/>
    <w:pPr>
      <w:snapToGrid w:val="0"/>
      <w:spacing w:line="360" w:lineRule="auto"/>
      <w:ind w:firstLine="523" w:firstLineChars="218"/>
      <w:jc w:val="left"/>
    </w:pPr>
    <w:rPr>
      <w:rFonts w:ascii="宋体" w:hAnsi="宋体"/>
      <w:kern w:val="0"/>
      <w:sz w:val="18"/>
      <w:szCs w:val="18"/>
    </w:rPr>
  </w:style>
  <w:style w:type="paragraph" w:styleId="38">
    <w:name w:val="toc 6"/>
    <w:basedOn w:val="1"/>
    <w:next w:val="1"/>
    <w:qFormat/>
    <w:uiPriority w:val="0"/>
    <w:pPr>
      <w:ind w:left="1000" w:leftChars="1000"/>
    </w:pPr>
    <w:rPr>
      <w:rFonts w:ascii="Times New Roman" w:hAnsi="Times New Roman"/>
    </w:rPr>
  </w:style>
  <w:style w:type="paragraph" w:styleId="3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40">
    <w:name w:val="table of figures"/>
    <w:basedOn w:val="1"/>
    <w:next w:val="1"/>
    <w:qFormat/>
    <w:uiPriority w:val="0"/>
    <w:pPr>
      <w:ind w:left="200" w:leftChars="200" w:hanging="200" w:hangingChars="200"/>
    </w:pPr>
    <w:rPr>
      <w:rFonts w:ascii="Times New Roman" w:hAnsi="Times New Roman"/>
    </w:rPr>
  </w:style>
  <w:style w:type="paragraph" w:styleId="4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2">
    <w:name w:val="toc 9"/>
    <w:basedOn w:val="1"/>
    <w:next w:val="1"/>
    <w:qFormat/>
    <w:uiPriority w:val="0"/>
    <w:pPr>
      <w:ind w:left="1600" w:leftChars="1600"/>
    </w:pPr>
    <w:rPr>
      <w:rFonts w:ascii="Times New Roman" w:hAnsi="Times New Roman"/>
    </w:rPr>
  </w:style>
  <w:style w:type="paragraph" w:styleId="43">
    <w:name w:val="Body Text 2"/>
    <w:basedOn w:val="1"/>
    <w:link w:val="86"/>
    <w:qFormat/>
    <w:uiPriority w:val="0"/>
    <w:rPr>
      <w:rFonts w:ascii="宋体" w:hAnsi="宋体"/>
      <w:kern w:val="0"/>
      <w:sz w:val="20"/>
      <w:szCs w:val="24"/>
      <w:u w:val="single"/>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5">
    <w:name w:val="index 1"/>
    <w:basedOn w:val="1"/>
    <w:next w:val="1"/>
    <w:qFormat/>
    <w:uiPriority w:val="0"/>
    <w:rPr>
      <w:rFonts w:ascii="Times New Roman" w:hAnsi="Times New Roman" w:eastAsia="仿宋_GB2312"/>
      <w:sz w:val="28"/>
      <w:szCs w:val="20"/>
    </w:rPr>
  </w:style>
  <w:style w:type="paragraph" w:styleId="46">
    <w:name w:val="Title"/>
    <w:basedOn w:val="1"/>
    <w:next w:val="1"/>
    <w:link w:val="87"/>
    <w:qFormat/>
    <w:uiPriority w:val="0"/>
    <w:pPr>
      <w:spacing w:before="120" w:after="60"/>
      <w:jc w:val="center"/>
    </w:pPr>
    <w:rPr>
      <w:rFonts w:ascii="Arial" w:hAnsi="Arial"/>
      <w:b/>
      <w:kern w:val="0"/>
      <w:sz w:val="44"/>
      <w:szCs w:val="20"/>
    </w:rPr>
  </w:style>
  <w:style w:type="paragraph" w:styleId="47">
    <w:name w:val="annotation subject"/>
    <w:basedOn w:val="17"/>
    <w:next w:val="17"/>
    <w:link w:val="88"/>
    <w:qFormat/>
    <w:uiPriority w:val="0"/>
    <w:rPr>
      <w:b/>
      <w:bCs/>
      <w:kern w:val="0"/>
    </w:rPr>
  </w:style>
  <w:style w:type="paragraph" w:styleId="48">
    <w:name w:val="Body Text First Indent"/>
    <w:basedOn w:val="20"/>
    <w:link w:val="89"/>
    <w:qFormat/>
    <w:uiPriority w:val="0"/>
    <w:pPr>
      <w:ind w:firstLine="420"/>
    </w:pPr>
    <w:rPr>
      <w:rFonts w:ascii="等线" w:hAnsi="等线" w:eastAsia="等线" w:cs="Times New Roman"/>
      <w:szCs w:val="22"/>
    </w:rPr>
  </w:style>
  <w:style w:type="paragraph" w:styleId="49">
    <w:name w:val="Body Text First Indent 2"/>
    <w:basedOn w:val="21"/>
    <w:qFormat/>
    <w:uiPriority w:val="0"/>
    <w:pPr>
      <w:spacing w:line="420" w:lineRule="exact"/>
      <w:ind w:firstLine="420"/>
      <w:jc w:val="left"/>
    </w:pPr>
    <w:rPr>
      <w:rFonts w:ascii="宋体" w:hAnsi="宋体"/>
      <w:color w:val="000000"/>
      <w:sz w:val="24"/>
      <w:szCs w:val="18"/>
    </w:rPr>
  </w:style>
  <w:style w:type="table" w:styleId="51">
    <w:name w:val="Table Grid"/>
    <w:basedOn w:val="5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rPr>
  </w:style>
  <w:style w:type="character" w:styleId="54">
    <w:name w:val="endnote reference"/>
    <w:qFormat/>
    <w:uiPriority w:val="0"/>
    <w:rPr>
      <w:vertAlign w:val="superscript"/>
    </w:rPr>
  </w:style>
  <w:style w:type="character" w:styleId="55">
    <w:name w:val="page number"/>
    <w:qFormat/>
    <w:uiPriority w:val="0"/>
    <w:rPr>
      <w:rFonts w:cs="Times New Roman"/>
    </w:rPr>
  </w:style>
  <w:style w:type="character" w:styleId="56">
    <w:name w:val="FollowedHyperlink"/>
    <w:unhideWhenUsed/>
    <w:qFormat/>
    <w:uiPriority w:val="99"/>
    <w:rPr>
      <w:color w:val="954F72"/>
      <w:u w:val="single"/>
    </w:rPr>
  </w:style>
  <w:style w:type="character" w:styleId="57">
    <w:name w:val="Emphasis"/>
    <w:qFormat/>
    <w:uiPriority w:val="20"/>
    <w:rPr>
      <w:i/>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styleId="60">
    <w:name w:val="footnote reference"/>
    <w:qFormat/>
    <w:uiPriority w:val="0"/>
    <w:rPr>
      <w:vertAlign w:val="superscript"/>
    </w:rPr>
  </w:style>
  <w:style w:type="character" w:customStyle="1" w:styleId="61">
    <w:name w:val="标题 2 字符1"/>
    <w:link w:val="4"/>
    <w:qFormat/>
    <w:uiPriority w:val="0"/>
    <w:rPr>
      <w:rFonts w:ascii="宋体" w:hAnsi="宋体" w:eastAsia="宋体" w:cs="宋体"/>
      <w:b/>
      <w:kern w:val="0"/>
      <w:sz w:val="24"/>
      <w:szCs w:val="24"/>
    </w:rPr>
  </w:style>
  <w:style w:type="character" w:customStyle="1" w:styleId="62">
    <w:name w:val="标题 1 字符1"/>
    <w:link w:val="3"/>
    <w:qFormat/>
    <w:uiPriority w:val="0"/>
    <w:rPr>
      <w:rFonts w:ascii="宋体" w:hAnsi="宋体" w:eastAsia="宋体" w:cs="宋体"/>
      <w:b/>
      <w:kern w:val="44"/>
      <w:sz w:val="28"/>
      <w:szCs w:val="28"/>
    </w:rPr>
  </w:style>
  <w:style w:type="character" w:customStyle="1" w:styleId="63">
    <w:name w:val="标题 3 字符1"/>
    <w:link w:val="5"/>
    <w:qFormat/>
    <w:uiPriority w:val="0"/>
    <w:rPr>
      <w:rFonts w:ascii="宋体" w:hAnsi="宋体" w:eastAsia="宋体" w:cs="Times New Roman"/>
      <w:kern w:val="0"/>
      <w:sz w:val="27"/>
      <w:szCs w:val="27"/>
    </w:rPr>
  </w:style>
  <w:style w:type="character" w:customStyle="1" w:styleId="64">
    <w:name w:val="标题 4 字符1"/>
    <w:link w:val="6"/>
    <w:qFormat/>
    <w:uiPriority w:val="0"/>
    <w:rPr>
      <w:rFonts w:ascii="Arial" w:hAnsi="Arial" w:eastAsia="宋体" w:cs="Times New Roman"/>
      <w:color w:val="000000"/>
      <w:kern w:val="0"/>
      <w:sz w:val="20"/>
      <w:szCs w:val="21"/>
    </w:rPr>
  </w:style>
  <w:style w:type="character" w:customStyle="1" w:styleId="65">
    <w:name w:val="正文缩进 字符"/>
    <w:link w:val="7"/>
    <w:qFormat/>
    <w:uiPriority w:val="0"/>
    <w:rPr>
      <w:rFonts w:ascii="Times New Roman" w:hAnsi="Times New Roman" w:eastAsia="宋体"/>
    </w:rPr>
  </w:style>
  <w:style w:type="character" w:customStyle="1" w:styleId="66">
    <w:name w:val="标题 5 字符1"/>
    <w:link w:val="8"/>
    <w:qFormat/>
    <w:uiPriority w:val="0"/>
    <w:rPr>
      <w:rFonts w:ascii="Arial" w:hAnsi="Arial" w:eastAsia="宋体" w:cs="Times New Roman"/>
      <w:color w:val="000000"/>
      <w:kern w:val="0"/>
      <w:sz w:val="20"/>
      <w:szCs w:val="21"/>
    </w:rPr>
  </w:style>
  <w:style w:type="character" w:customStyle="1" w:styleId="67">
    <w:name w:val="标题 6 字符1"/>
    <w:link w:val="9"/>
    <w:qFormat/>
    <w:uiPriority w:val="0"/>
    <w:rPr>
      <w:rFonts w:ascii="Arial" w:hAnsi="Arial" w:eastAsia="黑体" w:cs="Times New Roman"/>
      <w:b/>
      <w:bCs/>
      <w:kern w:val="0"/>
      <w:sz w:val="24"/>
      <w:szCs w:val="24"/>
    </w:rPr>
  </w:style>
  <w:style w:type="character" w:customStyle="1" w:styleId="68">
    <w:name w:val="标题 7 字符1"/>
    <w:link w:val="10"/>
    <w:qFormat/>
    <w:uiPriority w:val="0"/>
    <w:rPr>
      <w:rFonts w:ascii="Times New Roman" w:hAnsi="Times New Roman" w:eastAsia="宋体" w:cs="Times New Roman"/>
      <w:b/>
      <w:kern w:val="0"/>
      <w:sz w:val="24"/>
      <w:szCs w:val="20"/>
    </w:rPr>
  </w:style>
  <w:style w:type="character" w:customStyle="1" w:styleId="69">
    <w:name w:val="标题 8 字符1"/>
    <w:link w:val="11"/>
    <w:qFormat/>
    <w:uiPriority w:val="0"/>
    <w:rPr>
      <w:rFonts w:ascii="Arial" w:hAnsi="Arial" w:eastAsia="黑体" w:cs="Times New Roman"/>
      <w:kern w:val="0"/>
      <w:sz w:val="24"/>
      <w:szCs w:val="20"/>
    </w:rPr>
  </w:style>
  <w:style w:type="character" w:customStyle="1" w:styleId="70">
    <w:name w:val="标题 9 字符1"/>
    <w:link w:val="12"/>
    <w:qFormat/>
    <w:uiPriority w:val="0"/>
    <w:rPr>
      <w:rFonts w:ascii="Arial" w:hAnsi="Arial" w:eastAsia="黑体" w:cs="Times New Roman"/>
      <w:kern w:val="0"/>
      <w:sz w:val="20"/>
      <w:szCs w:val="20"/>
    </w:rPr>
  </w:style>
  <w:style w:type="character" w:customStyle="1" w:styleId="71">
    <w:name w:val="文档结构图 字符1"/>
    <w:link w:val="16"/>
    <w:qFormat/>
    <w:uiPriority w:val="0"/>
    <w:rPr>
      <w:rFonts w:ascii="Times New Roman" w:hAnsi="Times New Roman" w:eastAsia="宋体" w:cs="Times New Roman"/>
      <w:szCs w:val="20"/>
      <w:shd w:val="clear" w:color="auto" w:fill="000080"/>
    </w:rPr>
  </w:style>
  <w:style w:type="character" w:customStyle="1" w:styleId="72">
    <w:name w:val="批注文字 字符1"/>
    <w:link w:val="17"/>
    <w:qFormat/>
    <w:uiPriority w:val="0"/>
    <w:rPr>
      <w:rFonts w:ascii="宋体" w:hAnsi="宋体" w:eastAsia="宋体" w:cs="Times New Roman"/>
      <w:sz w:val="24"/>
      <w:szCs w:val="24"/>
    </w:rPr>
  </w:style>
  <w:style w:type="character" w:customStyle="1" w:styleId="73">
    <w:name w:val="正文文本 3 字符"/>
    <w:link w:val="19"/>
    <w:qFormat/>
    <w:uiPriority w:val="0"/>
    <w:rPr>
      <w:rFonts w:ascii="宋体" w:hAnsi="宋体" w:eastAsia="宋体" w:cs="Times New Roman"/>
      <w:sz w:val="24"/>
      <w:szCs w:val="20"/>
    </w:rPr>
  </w:style>
  <w:style w:type="character" w:customStyle="1" w:styleId="74">
    <w:name w:val="正文文本 字符1"/>
    <w:link w:val="20"/>
    <w:qFormat/>
    <w:uiPriority w:val="0"/>
    <w:rPr>
      <w:rFonts w:ascii="Times New Roman" w:hAnsi="Times New Roman" w:eastAsia="宋体" w:cs="Times New Roman"/>
      <w:szCs w:val="20"/>
    </w:rPr>
  </w:style>
  <w:style w:type="character" w:customStyle="1" w:styleId="75">
    <w:name w:val="正文文本缩进 字符1"/>
    <w:link w:val="21"/>
    <w:qFormat/>
    <w:uiPriority w:val="0"/>
    <w:rPr>
      <w:rFonts w:ascii="Times New Roman" w:hAnsi="Times New Roman" w:eastAsia="宋体" w:cs="Times New Roman"/>
      <w:sz w:val="28"/>
      <w:szCs w:val="20"/>
    </w:rPr>
  </w:style>
  <w:style w:type="character" w:customStyle="1" w:styleId="76">
    <w:name w:val="纯文本 字符3"/>
    <w:link w:val="2"/>
    <w:qFormat/>
    <w:uiPriority w:val="0"/>
    <w:rPr>
      <w:rFonts w:ascii="宋体" w:hAnsi="Courier New" w:eastAsia="宋体" w:cs="Times New Roman"/>
      <w:szCs w:val="20"/>
    </w:rPr>
  </w:style>
  <w:style w:type="character" w:customStyle="1" w:styleId="77">
    <w:name w:val="日期 字符1"/>
    <w:link w:val="27"/>
    <w:qFormat/>
    <w:uiPriority w:val="0"/>
    <w:rPr>
      <w:rFonts w:ascii="Times New Roman" w:hAnsi="Times New Roman" w:eastAsia="宋体" w:cs="Times New Roman"/>
      <w:szCs w:val="20"/>
    </w:rPr>
  </w:style>
  <w:style w:type="character" w:customStyle="1" w:styleId="78">
    <w:name w:val="正文文本缩进 2 字符1"/>
    <w:link w:val="28"/>
    <w:qFormat/>
    <w:uiPriority w:val="0"/>
    <w:rPr>
      <w:rFonts w:ascii="Times New Roman" w:hAnsi="Times New Roman" w:eastAsia="宋体" w:cs="Times New Roman"/>
      <w:color w:val="000000"/>
      <w:sz w:val="24"/>
      <w:szCs w:val="20"/>
    </w:rPr>
  </w:style>
  <w:style w:type="character" w:customStyle="1" w:styleId="79">
    <w:name w:val="尾注文本 字符1"/>
    <w:link w:val="29"/>
    <w:qFormat/>
    <w:uiPriority w:val="0"/>
    <w:rPr>
      <w:rFonts w:ascii="Times New Roman" w:hAnsi="Times New Roman" w:eastAsia="宋体" w:cs="Times New Roman"/>
      <w:szCs w:val="20"/>
    </w:rPr>
  </w:style>
  <w:style w:type="character" w:customStyle="1" w:styleId="80">
    <w:name w:val="批注框文本 字符1"/>
    <w:link w:val="30"/>
    <w:qFormat/>
    <w:uiPriority w:val="0"/>
    <w:rPr>
      <w:rFonts w:ascii="Times New Roman" w:hAnsi="Times New Roman" w:eastAsia="宋体" w:cs="Times New Roman"/>
      <w:sz w:val="18"/>
      <w:szCs w:val="18"/>
    </w:rPr>
  </w:style>
  <w:style w:type="character" w:customStyle="1" w:styleId="81">
    <w:name w:val="页脚 字符"/>
    <w:link w:val="31"/>
    <w:qFormat/>
    <w:uiPriority w:val="99"/>
    <w:rPr>
      <w:sz w:val="18"/>
      <w:szCs w:val="18"/>
    </w:rPr>
  </w:style>
  <w:style w:type="character" w:customStyle="1" w:styleId="82">
    <w:name w:val="页眉 字符"/>
    <w:link w:val="32"/>
    <w:qFormat/>
    <w:uiPriority w:val="99"/>
    <w:rPr>
      <w:sz w:val="18"/>
      <w:szCs w:val="18"/>
    </w:rPr>
  </w:style>
  <w:style w:type="character" w:customStyle="1" w:styleId="83">
    <w:name w:val="副标题 字符"/>
    <w:link w:val="35"/>
    <w:qFormat/>
    <w:uiPriority w:val="0"/>
    <w:rPr>
      <w:rFonts w:ascii="Arial" w:hAnsi="Arial" w:eastAsia="黑体" w:cs="Times New Roman"/>
      <w:b/>
      <w:bCs/>
      <w:sz w:val="32"/>
      <w:szCs w:val="32"/>
    </w:rPr>
  </w:style>
  <w:style w:type="character" w:customStyle="1" w:styleId="84">
    <w:name w:val="脚注文本 字符1"/>
    <w:link w:val="37"/>
    <w:qFormat/>
    <w:uiPriority w:val="0"/>
    <w:rPr>
      <w:rFonts w:ascii="宋体" w:hAnsi="宋体" w:eastAsia="宋体" w:cs="Times New Roman"/>
      <w:sz w:val="18"/>
      <w:szCs w:val="18"/>
    </w:rPr>
  </w:style>
  <w:style w:type="character" w:customStyle="1" w:styleId="85">
    <w:name w:val="正文文本缩进 3 字符1"/>
    <w:link w:val="39"/>
    <w:qFormat/>
    <w:uiPriority w:val="0"/>
    <w:rPr>
      <w:rFonts w:ascii="Times New Roman" w:hAnsi="Times New Roman" w:eastAsia="宋体" w:cs="Times New Roman"/>
      <w:color w:val="000000"/>
      <w:sz w:val="24"/>
      <w:szCs w:val="20"/>
    </w:rPr>
  </w:style>
  <w:style w:type="character" w:customStyle="1" w:styleId="86">
    <w:name w:val="正文文本 2 字符1"/>
    <w:link w:val="43"/>
    <w:qFormat/>
    <w:uiPriority w:val="0"/>
    <w:rPr>
      <w:rFonts w:ascii="宋体" w:hAnsi="宋体" w:eastAsia="宋体" w:cs="Times New Roman"/>
      <w:szCs w:val="24"/>
      <w:u w:val="single"/>
    </w:rPr>
  </w:style>
  <w:style w:type="character" w:customStyle="1" w:styleId="87">
    <w:name w:val="标题 字符1"/>
    <w:link w:val="46"/>
    <w:qFormat/>
    <w:uiPriority w:val="0"/>
    <w:rPr>
      <w:rFonts w:ascii="Arial" w:hAnsi="Arial" w:eastAsia="宋体" w:cs="Times New Roman"/>
      <w:b/>
      <w:sz w:val="44"/>
      <w:szCs w:val="20"/>
    </w:rPr>
  </w:style>
  <w:style w:type="character" w:customStyle="1" w:styleId="88">
    <w:name w:val="批注主题 字符1"/>
    <w:link w:val="47"/>
    <w:qFormat/>
    <w:uiPriority w:val="0"/>
    <w:rPr>
      <w:rFonts w:ascii="宋体" w:hAnsi="宋体" w:eastAsia="宋体" w:cs="Times New Roman"/>
      <w:b/>
      <w:bCs/>
      <w:sz w:val="24"/>
      <w:szCs w:val="24"/>
    </w:rPr>
  </w:style>
  <w:style w:type="character" w:customStyle="1" w:styleId="89">
    <w:name w:val="正文文本首行缩进 字符1"/>
    <w:link w:val="48"/>
    <w:qFormat/>
    <w:uiPriority w:val="0"/>
  </w:style>
  <w:style w:type="character" w:customStyle="1" w:styleId="90">
    <w:name w:val="标题 1 字符"/>
    <w:qFormat/>
    <w:uiPriority w:val="9"/>
    <w:rPr>
      <w:rFonts w:ascii="Calibri" w:hAnsi="Calibri" w:eastAsia="宋体" w:cs="Times New Roman"/>
      <w:b/>
      <w:bCs/>
      <w:kern w:val="44"/>
      <w:sz w:val="44"/>
      <w:szCs w:val="44"/>
    </w:rPr>
  </w:style>
  <w:style w:type="character" w:customStyle="1" w:styleId="91">
    <w:name w:val="标题 2 字符"/>
    <w:qFormat/>
    <w:uiPriority w:val="9"/>
    <w:rPr>
      <w:rFonts w:ascii="等线 Light" w:hAnsi="等线 Light" w:eastAsia="等线 Light" w:cs="Times New Roman"/>
      <w:b/>
      <w:bCs/>
      <w:sz w:val="32"/>
      <w:szCs w:val="32"/>
    </w:rPr>
  </w:style>
  <w:style w:type="character" w:customStyle="1" w:styleId="92">
    <w:name w:val="标题 3 字符"/>
    <w:qFormat/>
    <w:uiPriority w:val="9"/>
    <w:rPr>
      <w:rFonts w:ascii="Calibri" w:hAnsi="Calibri" w:eastAsia="宋体" w:cs="Times New Roman"/>
      <w:b/>
      <w:bCs/>
      <w:sz w:val="32"/>
      <w:szCs w:val="32"/>
    </w:rPr>
  </w:style>
  <w:style w:type="character" w:customStyle="1" w:styleId="93">
    <w:name w:val="标题 4 字符"/>
    <w:qFormat/>
    <w:uiPriority w:val="9"/>
    <w:rPr>
      <w:rFonts w:ascii="等线 Light" w:hAnsi="等线 Light" w:eastAsia="等线 Light" w:cs="Times New Roman"/>
      <w:b/>
      <w:bCs/>
      <w:sz w:val="28"/>
      <w:szCs w:val="28"/>
    </w:rPr>
  </w:style>
  <w:style w:type="character" w:customStyle="1" w:styleId="94">
    <w:name w:val="标题 5 字符"/>
    <w:qFormat/>
    <w:uiPriority w:val="9"/>
    <w:rPr>
      <w:rFonts w:ascii="Calibri" w:hAnsi="Calibri" w:eastAsia="宋体" w:cs="Times New Roman"/>
      <w:b/>
      <w:bCs/>
      <w:sz w:val="28"/>
      <w:szCs w:val="28"/>
    </w:rPr>
  </w:style>
  <w:style w:type="character" w:customStyle="1" w:styleId="95">
    <w:name w:val="标题 6 字符"/>
    <w:qFormat/>
    <w:uiPriority w:val="9"/>
    <w:rPr>
      <w:rFonts w:ascii="等线 Light" w:hAnsi="等线 Light" w:eastAsia="等线 Light" w:cs="Times New Roman"/>
      <w:b/>
      <w:bCs/>
      <w:sz w:val="24"/>
      <w:szCs w:val="24"/>
    </w:rPr>
  </w:style>
  <w:style w:type="character" w:customStyle="1" w:styleId="96">
    <w:name w:val="标题 7 字符"/>
    <w:qFormat/>
    <w:uiPriority w:val="9"/>
    <w:rPr>
      <w:rFonts w:ascii="Calibri" w:hAnsi="Calibri" w:eastAsia="宋体" w:cs="Times New Roman"/>
      <w:b/>
      <w:bCs/>
      <w:sz w:val="24"/>
      <w:szCs w:val="24"/>
    </w:rPr>
  </w:style>
  <w:style w:type="character" w:customStyle="1" w:styleId="97">
    <w:name w:val="标题 8 字符"/>
    <w:qFormat/>
    <w:uiPriority w:val="9"/>
    <w:rPr>
      <w:rFonts w:ascii="等线 Light" w:hAnsi="等线 Light" w:eastAsia="等线 Light" w:cs="Times New Roman"/>
      <w:sz w:val="24"/>
      <w:szCs w:val="24"/>
    </w:rPr>
  </w:style>
  <w:style w:type="character" w:customStyle="1" w:styleId="98">
    <w:name w:val="标题 9 字符"/>
    <w:qFormat/>
    <w:uiPriority w:val="9"/>
    <w:rPr>
      <w:rFonts w:ascii="等线 Light" w:hAnsi="等线 Light" w:eastAsia="等线 Light" w:cs="Times New Roman"/>
      <w:szCs w:val="21"/>
    </w:rPr>
  </w:style>
  <w:style w:type="character" w:customStyle="1" w:styleId="99">
    <w:name w:val="页眉 字符1"/>
    <w:qFormat/>
    <w:uiPriority w:val="0"/>
    <w:rPr>
      <w:sz w:val="18"/>
      <w:szCs w:val="18"/>
    </w:rPr>
  </w:style>
  <w:style w:type="character" w:customStyle="1" w:styleId="100">
    <w:name w:val="页脚 字符1"/>
    <w:qFormat/>
    <w:uiPriority w:val="0"/>
    <w:rPr>
      <w:sz w:val="18"/>
      <w:szCs w:val="18"/>
    </w:rPr>
  </w:style>
  <w:style w:type="character" w:customStyle="1" w:styleId="101">
    <w:name w:val="正文文本 2 字符"/>
    <w:qFormat/>
    <w:uiPriority w:val="99"/>
    <w:rPr>
      <w:rFonts w:ascii="Calibri" w:hAnsi="Calibri" w:eastAsia="宋体" w:cs="Times New Roman"/>
    </w:rPr>
  </w:style>
  <w:style w:type="character" w:customStyle="1" w:styleId="102">
    <w:name w:val="正文文本缩进 3 字符"/>
    <w:qFormat/>
    <w:uiPriority w:val="99"/>
    <w:rPr>
      <w:rFonts w:ascii="Calibri" w:hAnsi="Calibri" w:eastAsia="宋体" w:cs="Times New Roman"/>
      <w:sz w:val="16"/>
      <w:szCs w:val="16"/>
    </w:rPr>
  </w:style>
  <w:style w:type="character" w:customStyle="1" w:styleId="103">
    <w:name w:val="引用 字符"/>
    <w:link w:val="104"/>
    <w:qFormat/>
    <w:uiPriority w:val="0"/>
    <w:rPr>
      <w:i/>
      <w:sz w:val="24"/>
    </w:rPr>
  </w:style>
  <w:style w:type="paragraph" w:styleId="104">
    <w:name w:val="Quote"/>
    <w:basedOn w:val="1"/>
    <w:link w:val="103"/>
    <w:qFormat/>
    <w:uiPriority w:val="0"/>
    <w:rPr>
      <w:rFonts w:ascii="Times New Roman" w:hAnsi="Times New Roman"/>
      <w:i/>
      <w:kern w:val="0"/>
      <w:sz w:val="24"/>
      <w:szCs w:val="20"/>
    </w:rPr>
  </w:style>
  <w:style w:type="character" w:customStyle="1" w:styleId="105">
    <w:name w:val="正文缩进2格 Char Char"/>
    <w:link w:val="106"/>
    <w:qFormat/>
    <w:uiPriority w:val="0"/>
    <w:rPr>
      <w:rFonts w:ascii="仿宋_GB2312" w:hAnsi="宋体" w:eastAsia="仿宋_GB2312"/>
      <w:sz w:val="31"/>
      <w:szCs w:val="31"/>
    </w:rPr>
  </w:style>
  <w:style w:type="paragraph" w:customStyle="1" w:styleId="106">
    <w:name w:val="正文缩进2格"/>
    <w:basedOn w:val="1"/>
    <w:link w:val="105"/>
    <w:qFormat/>
    <w:uiPriority w:val="0"/>
    <w:pPr>
      <w:widowControl/>
      <w:spacing w:line="600" w:lineRule="exact"/>
      <w:ind w:firstLine="639" w:firstLineChars="206"/>
      <w:jc w:val="left"/>
    </w:pPr>
    <w:rPr>
      <w:rFonts w:ascii="仿宋_GB2312" w:hAnsi="宋体" w:eastAsia="仿宋_GB2312"/>
      <w:kern w:val="0"/>
      <w:sz w:val="31"/>
      <w:szCs w:val="31"/>
    </w:rPr>
  </w:style>
  <w:style w:type="character" w:customStyle="1" w:styleId="107">
    <w:name w:val="无间隔 字符"/>
    <w:link w:val="108"/>
    <w:qFormat/>
    <w:uiPriority w:val="0"/>
    <w:rPr>
      <w:sz w:val="22"/>
    </w:rPr>
  </w:style>
  <w:style w:type="paragraph" w:styleId="108">
    <w:name w:val="No Spacing"/>
    <w:basedOn w:val="1"/>
    <w:link w:val="107"/>
    <w:qFormat/>
    <w:uiPriority w:val="0"/>
    <w:rPr>
      <w:rFonts w:ascii="Times New Roman" w:hAnsi="Times New Roman"/>
      <w:kern w:val="0"/>
      <w:sz w:val="22"/>
      <w:szCs w:val="20"/>
    </w:rPr>
  </w:style>
  <w:style w:type="character" w:customStyle="1" w:styleId="109">
    <w:name w:val="!我的正文 Ctr+Q Char Char"/>
    <w:link w:val="110"/>
    <w:qFormat/>
    <w:uiPriority w:val="0"/>
    <w:rPr>
      <w:rFonts w:ascii="Arial" w:hAnsi="Arial"/>
      <w:sz w:val="24"/>
      <w:szCs w:val="21"/>
    </w:rPr>
  </w:style>
  <w:style w:type="paragraph" w:customStyle="1" w:styleId="110">
    <w:name w:val="!我的正文 Ctr+Q"/>
    <w:basedOn w:val="1"/>
    <w:link w:val="109"/>
    <w:qFormat/>
    <w:uiPriority w:val="0"/>
    <w:pPr>
      <w:adjustRightInd w:val="0"/>
      <w:snapToGrid w:val="0"/>
      <w:spacing w:line="360" w:lineRule="auto"/>
      <w:ind w:firstLine="480" w:firstLineChars="200"/>
    </w:pPr>
    <w:rPr>
      <w:rFonts w:ascii="Arial" w:hAnsi="Arial"/>
      <w:kern w:val="0"/>
      <w:sz w:val="24"/>
      <w:szCs w:val="21"/>
    </w:rPr>
  </w:style>
  <w:style w:type="character" w:customStyle="1" w:styleId="111">
    <w:name w:val="样式 Char Char"/>
    <w:link w:val="112"/>
    <w:qFormat/>
    <w:uiPriority w:val="0"/>
    <w:rPr>
      <w:rFonts w:ascii="Arial" w:hAnsi="Arial" w:eastAsia="黑体"/>
      <w:bCs/>
      <w:sz w:val="24"/>
      <w:szCs w:val="32"/>
    </w:rPr>
  </w:style>
  <w:style w:type="paragraph" w:customStyle="1" w:styleId="112">
    <w:name w:val="样式"/>
    <w:basedOn w:val="113"/>
    <w:link w:val="111"/>
    <w:qFormat/>
    <w:uiPriority w:val="0"/>
    <w:pPr>
      <w:tabs>
        <w:tab w:val="left" w:pos="2310"/>
        <w:tab w:val="left" w:pos="2730"/>
      </w:tabs>
      <w:outlineLvl w:val="9"/>
    </w:pPr>
  </w:style>
  <w:style w:type="paragraph" w:customStyle="1" w:styleId="113">
    <w:name w:val="标题5"/>
    <w:basedOn w:val="8"/>
    <w:link w:val="114"/>
    <w:qFormat/>
    <w:uiPriority w:val="0"/>
    <w:pPr>
      <w:keepNext w:val="0"/>
      <w:keepLines w:val="0"/>
      <w:widowControl/>
      <w:tabs>
        <w:tab w:val="left" w:pos="2310"/>
      </w:tabs>
      <w:spacing w:beforeLines="0" w:afterLines="0" w:line="240" w:lineRule="auto"/>
      <w:ind w:left="0" w:firstLine="0"/>
      <w:jc w:val="center"/>
    </w:pPr>
    <w:rPr>
      <w:rFonts w:eastAsia="黑体"/>
      <w:bCs/>
      <w:color w:val="auto"/>
      <w:sz w:val="24"/>
      <w:szCs w:val="32"/>
    </w:rPr>
  </w:style>
  <w:style w:type="character" w:customStyle="1" w:styleId="114">
    <w:name w:val="标题5 Char Char"/>
    <w:link w:val="113"/>
    <w:qFormat/>
    <w:uiPriority w:val="0"/>
    <w:rPr>
      <w:rFonts w:ascii="Arial" w:hAnsi="Arial" w:eastAsia="黑体"/>
      <w:bCs/>
      <w:sz w:val="24"/>
      <w:szCs w:val="32"/>
    </w:rPr>
  </w:style>
  <w:style w:type="character" w:customStyle="1" w:styleId="115">
    <w:name w:val="标题 字符"/>
    <w:qFormat/>
    <w:uiPriority w:val="10"/>
    <w:rPr>
      <w:rFonts w:ascii="等线 Light" w:hAnsi="等线 Light" w:eastAsia="等线 Light" w:cs="Times New Roman"/>
      <w:b/>
      <w:bCs/>
      <w:sz w:val="32"/>
      <w:szCs w:val="32"/>
    </w:rPr>
  </w:style>
  <w:style w:type="character" w:customStyle="1" w:styleId="116">
    <w:name w:val="标提1 Char Char"/>
    <w:link w:val="117"/>
    <w:qFormat/>
    <w:uiPriority w:val="0"/>
    <w:rPr>
      <w:rFonts w:ascii="黑体" w:hAnsi="黑体" w:eastAsia="黑体"/>
      <w:b/>
      <w:kern w:val="44"/>
      <w:sz w:val="24"/>
      <w:szCs w:val="24"/>
    </w:rPr>
  </w:style>
  <w:style w:type="paragraph" w:customStyle="1" w:styleId="117">
    <w:name w:val="标提1"/>
    <w:basedOn w:val="3"/>
    <w:next w:val="1"/>
    <w:link w:val="116"/>
    <w:qFormat/>
    <w:uiPriority w:val="0"/>
    <w:pPr>
      <w:spacing w:before="0" w:after="0" w:line="240" w:lineRule="auto"/>
      <w:jc w:val="both"/>
    </w:pPr>
    <w:rPr>
      <w:rFonts w:ascii="黑体" w:hAnsi="黑体" w:eastAsia="黑体" w:cs="Times New Roman"/>
      <w:sz w:val="24"/>
      <w:szCs w:val="24"/>
    </w:rPr>
  </w:style>
  <w:style w:type="character" w:customStyle="1" w:styleId="118">
    <w:name w:val="日期 字符"/>
    <w:qFormat/>
    <w:uiPriority w:val="99"/>
    <w:rPr>
      <w:rFonts w:ascii="Calibri" w:hAnsi="Calibri" w:eastAsia="宋体" w:cs="Times New Roman"/>
    </w:rPr>
  </w:style>
  <w:style w:type="character" w:customStyle="1" w:styleId="119">
    <w:name w:val="正文首行缩进 字符"/>
    <w:qFormat/>
    <w:uiPriority w:val="99"/>
    <w:rPr>
      <w:rFonts w:ascii="Calibri" w:hAnsi="Calibri" w:eastAsia="宋体" w:cs="Times New Roman"/>
    </w:rPr>
  </w:style>
  <w:style w:type="character" w:customStyle="1" w:styleId="120">
    <w:name w:val="正文文本_"/>
    <w:link w:val="121"/>
    <w:qFormat/>
    <w:uiPriority w:val="0"/>
    <w:rPr>
      <w:rFonts w:ascii="MingLiU" w:hAnsi="MingLiU" w:eastAsia="MingLiU"/>
      <w:spacing w:val="20"/>
      <w:shd w:val="clear" w:color="auto" w:fill="FFFFFF"/>
    </w:rPr>
  </w:style>
  <w:style w:type="paragraph" w:customStyle="1" w:styleId="121">
    <w:name w:val="正文文本1"/>
    <w:basedOn w:val="1"/>
    <w:link w:val="120"/>
    <w:qFormat/>
    <w:uiPriority w:val="0"/>
    <w:pPr>
      <w:shd w:val="clear" w:color="auto" w:fill="FFFFFF"/>
      <w:spacing w:before="300" w:line="0" w:lineRule="atLeast"/>
      <w:ind w:hanging="580"/>
      <w:jc w:val="left"/>
    </w:pPr>
    <w:rPr>
      <w:rFonts w:ascii="MingLiU" w:hAnsi="MingLiU" w:eastAsia="MingLiU"/>
      <w:spacing w:val="20"/>
      <w:kern w:val="0"/>
      <w:sz w:val="20"/>
      <w:szCs w:val="20"/>
      <w:shd w:val="clear" w:color="auto" w:fill="FFFFFF"/>
    </w:rPr>
  </w:style>
  <w:style w:type="character" w:customStyle="1" w:styleId="122">
    <w:name w:val="文档结构图 字符"/>
    <w:qFormat/>
    <w:uiPriority w:val="99"/>
    <w:rPr>
      <w:rFonts w:ascii="Microsoft YaHei UI" w:hAnsi="Calibri" w:eastAsia="Microsoft YaHei UI" w:cs="Times New Roman"/>
      <w:sz w:val="18"/>
      <w:szCs w:val="18"/>
    </w:rPr>
  </w:style>
  <w:style w:type="character" w:customStyle="1" w:styleId="123">
    <w:name w:val="标题6 Char Char"/>
    <w:link w:val="124"/>
    <w:qFormat/>
    <w:uiPriority w:val="0"/>
    <w:rPr>
      <w:rFonts w:ascii="宋体" w:hAnsi="宋体" w:eastAsia="黑体"/>
      <w:sz w:val="32"/>
      <w:szCs w:val="32"/>
    </w:rPr>
  </w:style>
  <w:style w:type="paragraph" w:customStyle="1" w:styleId="124">
    <w:name w:val="标题6"/>
    <w:basedOn w:val="1"/>
    <w:link w:val="123"/>
    <w:qFormat/>
    <w:uiPriority w:val="0"/>
    <w:pPr>
      <w:keepNext/>
      <w:keepLines/>
      <w:spacing w:line="400" w:lineRule="exact"/>
      <w:jc w:val="center"/>
      <w:outlineLvl w:val="2"/>
    </w:pPr>
    <w:rPr>
      <w:rFonts w:ascii="宋体" w:hAnsi="宋体" w:eastAsia="黑体"/>
      <w:kern w:val="0"/>
      <w:sz w:val="32"/>
      <w:szCs w:val="32"/>
    </w:rPr>
  </w:style>
  <w:style w:type="character" w:customStyle="1" w:styleId="125">
    <w:name w:val="列出段落 Char Char"/>
    <w:link w:val="126"/>
    <w:qFormat/>
    <w:uiPriority w:val="0"/>
  </w:style>
  <w:style w:type="paragraph" w:customStyle="1" w:styleId="126">
    <w:name w:val="列出段落1"/>
    <w:basedOn w:val="1"/>
    <w:link w:val="125"/>
    <w:qFormat/>
    <w:uiPriority w:val="0"/>
    <w:pPr>
      <w:ind w:firstLine="420" w:firstLineChars="200"/>
    </w:pPr>
    <w:rPr>
      <w:rFonts w:ascii="等线" w:hAnsi="等线" w:eastAsia="等线" w:cs="Times New Roman"/>
    </w:rPr>
  </w:style>
  <w:style w:type="character" w:customStyle="1" w:styleId="127">
    <w:name w:val="脚注文本 字符"/>
    <w:qFormat/>
    <w:uiPriority w:val="99"/>
    <w:rPr>
      <w:rFonts w:ascii="Calibri" w:hAnsi="Calibri" w:eastAsia="宋体" w:cs="Times New Roman"/>
      <w:sz w:val="18"/>
      <w:szCs w:val="18"/>
    </w:rPr>
  </w:style>
  <w:style w:type="character" w:customStyle="1" w:styleId="128">
    <w:name w:val="font51"/>
    <w:qFormat/>
    <w:uiPriority w:val="0"/>
    <w:rPr>
      <w:rFonts w:hint="eastAsia" w:ascii="宋体" w:hAnsi="宋体" w:eastAsia="宋体"/>
      <w:color w:val="000000"/>
      <w:sz w:val="24"/>
      <w:szCs w:val="24"/>
      <w:u w:val="none"/>
    </w:rPr>
  </w:style>
  <w:style w:type="character" w:customStyle="1" w:styleId="129">
    <w:name w:val="明显引用 字符"/>
    <w:link w:val="130"/>
    <w:qFormat/>
    <w:uiPriority w:val="0"/>
    <w:rPr>
      <w:b/>
      <w:i/>
      <w:sz w:val="24"/>
    </w:rPr>
  </w:style>
  <w:style w:type="paragraph" w:styleId="130">
    <w:name w:val="Intense Quote"/>
    <w:basedOn w:val="1"/>
    <w:link w:val="129"/>
    <w:qFormat/>
    <w:uiPriority w:val="0"/>
    <w:rPr>
      <w:rFonts w:ascii="Times New Roman" w:hAnsi="Times New Roman"/>
      <w:b/>
      <w:i/>
      <w:kern w:val="0"/>
      <w:sz w:val="24"/>
      <w:szCs w:val="20"/>
    </w:rPr>
  </w:style>
  <w:style w:type="character" w:customStyle="1" w:styleId="131">
    <w:name w:val="纯文本 字符"/>
    <w:qFormat/>
    <w:uiPriority w:val="0"/>
    <w:rPr>
      <w:rFonts w:ascii="等线" w:hAnsi="Courier New" w:cs="Courier New"/>
    </w:rPr>
  </w:style>
  <w:style w:type="character" w:customStyle="1" w:styleId="132">
    <w:name w:val="批注框文本 字符"/>
    <w:qFormat/>
    <w:uiPriority w:val="99"/>
    <w:rPr>
      <w:rFonts w:ascii="Calibri" w:hAnsi="Calibri" w:eastAsia="宋体" w:cs="Times New Roman"/>
      <w:sz w:val="18"/>
      <w:szCs w:val="18"/>
    </w:rPr>
  </w:style>
  <w:style w:type="character" w:customStyle="1" w:styleId="133">
    <w:name w:val="正文文本缩进 字符"/>
    <w:qFormat/>
    <w:uiPriority w:val="99"/>
    <w:rPr>
      <w:rFonts w:ascii="Calibri" w:hAnsi="Calibri" w:eastAsia="宋体" w:cs="Times New Roman"/>
    </w:rPr>
  </w:style>
  <w:style w:type="character" w:customStyle="1" w:styleId="134">
    <w:name w:val="正文文本缩进 2 字符"/>
    <w:qFormat/>
    <w:uiPriority w:val="99"/>
    <w:rPr>
      <w:rFonts w:ascii="Calibri" w:hAnsi="Calibri" w:eastAsia="宋体" w:cs="Times New Roman"/>
    </w:rPr>
  </w:style>
  <w:style w:type="character" w:customStyle="1" w:styleId="135">
    <w:name w:val="font11"/>
    <w:qFormat/>
    <w:uiPriority w:val="0"/>
    <w:rPr>
      <w:rFonts w:hint="eastAsia" w:ascii="宋体" w:hAnsi="宋体" w:eastAsia="宋体"/>
      <w:color w:val="000000"/>
      <w:sz w:val="24"/>
      <w:szCs w:val="24"/>
      <w:u w:val="single"/>
    </w:rPr>
  </w:style>
  <w:style w:type="character" w:customStyle="1" w:styleId="136">
    <w:name w:val="批注文字 字符"/>
    <w:qFormat/>
    <w:uiPriority w:val="99"/>
    <w:rPr>
      <w:rFonts w:ascii="Calibri" w:hAnsi="Calibri" w:eastAsia="宋体" w:cs="Times New Roman"/>
    </w:rPr>
  </w:style>
  <w:style w:type="character" w:customStyle="1" w:styleId="137">
    <w:name w:val="正文文本 (3)_"/>
    <w:link w:val="138"/>
    <w:qFormat/>
    <w:uiPriority w:val="0"/>
    <w:rPr>
      <w:rFonts w:ascii="Arial Unicode MS" w:hAnsi="Arial Unicode MS" w:eastAsia="Arial Unicode MS"/>
      <w:spacing w:val="10"/>
      <w:sz w:val="17"/>
      <w:szCs w:val="17"/>
      <w:shd w:val="clear" w:color="auto" w:fill="FFFFFF"/>
    </w:rPr>
  </w:style>
  <w:style w:type="paragraph" w:customStyle="1" w:styleId="138">
    <w:name w:val="正文文本 (3)"/>
    <w:basedOn w:val="1"/>
    <w:link w:val="137"/>
    <w:qFormat/>
    <w:uiPriority w:val="0"/>
    <w:pPr>
      <w:shd w:val="clear" w:color="auto" w:fill="FFFFFF"/>
      <w:spacing w:after="60" w:line="0" w:lineRule="atLeast"/>
      <w:ind w:hanging="940"/>
      <w:jc w:val="left"/>
    </w:pPr>
    <w:rPr>
      <w:rFonts w:ascii="Arial Unicode MS" w:hAnsi="Arial Unicode MS" w:eastAsia="Arial Unicode MS"/>
      <w:spacing w:val="10"/>
      <w:kern w:val="0"/>
      <w:sz w:val="17"/>
      <w:szCs w:val="17"/>
      <w:shd w:val="clear" w:color="auto" w:fill="FFFFFF"/>
    </w:rPr>
  </w:style>
  <w:style w:type="character" w:customStyle="1" w:styleId="139">
    <w:name w:val="尾注文本 字符"/>
    <w:qFormat/>
    <w:uiPriority w:val="99"/>
    <w:rPr>
      <w:rFonts w:ascii="Calibri" w:hAnsi="Calibri" w:eastAsia="宋体" w:cs="Times New Roman"/>
    </w:rPr>
  </w:style>
  <w:style w:type="character" w:customStyle="1" w:styleId="140">
    <w:name w:val="Char Char4"/>
    <w:link w:val="141"/>
    <w:qFormat/>
    <w:uiPriority w:val="0"/>
    <w:rPr>
      <w:rFonts w:ascii="Tahoma" w:hAnsi="Tahoma" w:eastAsia="宋体"/>
      <w:sz w:val="24"/>
    </w:rPr>
  </w:style>
  <w:style w:type="paragraph" w:customStyle="1" w:styleId="141">
    <w:name w:val="Char"/>
    <w:basedOn w:val="1"/>
    <w:link w:val="140"/>
    <w:qFormat/>
    <w:uiPriority w:val="0"/>
    <w:rPr>
      <w:rFonts w:ascii="Tahoma" w:hAnsi="Tahoma"/>
      <w:kern w:val="0"/>
      <w:sz w:val="24"/>
      <w:szCs w:val="20"/>
    </w:rPr>
  </w:style>
  <w:style w:type="character" w:customStyle="1" w:styleId="142">
    <w:name w:val="文一 Char Char"/>
    <w:link w:val="143"/>
    <w:qFormat/>
    <w:uiPriority w:val="0"/>
    <w:rPr>
      <w:rFonts w:ascii="宋体" w:hAnsi="宋体"/>
      <w:spacing w:val="4"/>
      <w:sz w:val="24"/>
      <w:szCs w:val="24"/>
    </w:rPr>
  </w:style>
  <w:style w:type="paragraph" w:customStyle="1" w:styleId="143">
    <w:name w:val="文一"/>
    <w:basedOn w:val="1"/>
    <w:next w:val="1"/>
    <w:link w:val="142"/>
    <w:qFormat/>
    <w:uiPriority w:val="0"/>
    <w:pPr>
      <w:topLinePunct/>
      <w:adjustRightInd w:val="0"/>
      <w:snapToGrid w:val="0"/>
      <w:spacing w:line="360" w:lineRule="auto"/>
      <w:ind w:firstLine="200" w:firstLineChars="200"/>
    </w:pPr>
    <w:rPr>
      <w:rFonts w:ascii="宋体" w:hAnsi="宋体"/>
      <w:spacing w:val="4"/>
      <w:kern w:val="0"/>
      <w:sz w:val="24"/>
      <w:szCs w:val="24"/>
    </w:rPr>
  </w:style>
  <w:style w:type="character" w:customStyle="1" w:styleId="144">
    <w:name w:val="正文文本 字符"/>
    <w:qFormat/>
    <w:uiPriority w:val="99"/>
    <w:rPr>
      <w:rFonts w:ascii="Calibri" w:hAnsi="Calibri" w:eastAsia="宋体" w:cs="Times New Roman"/>
    </w:rPr>
  </w:style>
  <w:style w:type="character" w:customStyle="1" w:styleId="145">
    <w:name w:val="样式 标题 3h3section:3Level 3 HeadH3level_3PIM 33rd level3H... Char Char"/>
    <w:link w:val="146"/>
    <w:qFormat/>
    <w:uiPriority w:val="0"/>
    <w:rPr>
      <w:rFonts w:ascii="Arial" w:hAnsi="Arial"/>
      <w:b/>
      <w:sz w:val="24"/>
      <w:szCs w:val="28"/>
    </w:rPr>
  </w:style>
  <w:style w:type="paragraph" w:customStyle="1" w:styleId="146">
    <w:name w:val="样式 标题 3h3section:3Level 3 HeadH3level_3PIM 33rd level3H..."/>
    <w:basedOn w:val="5"/>
    <w:link w:val="145"/>
    <w:qFormat/>
    <w:uiPriority w:val="0"/>
    <w:pPr>
      <w:keepNext/>
      <w:tabs>
        <w:tab w:val="left" w:pos="1680"/>
        <w:tab w:val="left" w:pos="2310"/>
      </w:tabs>
      <w:adjustRightInd w:val="0"/>
      <w:spacing w:before="240" w:after="60" w:line="416" w:lineRule="atLeast"/>
      <w:ind w:left="2310" w:hanging="420"/>
    </w:pPr>
    <w:rPr>
      <w:rFonts w:ascii="Arial" w:hAnsi="Arial"/>
      <w:b/>
      <w:sz w:val="24"/>
      <w:szCs w:val="28"/>
    </w:rPr>
  </w:style>
  <w:style w:type="character" w:customStyle="1" w:styleId="147">
    <w:name w:val="批注主题 字符"/>
    <w:qFormat/>
    <w:uiPriority w:val="99"/>
    <w:rPr>
      <w:rFonts w:ascii="Calibri" w:hAnsi="Calibri" w:eastAsia="宋体" w:cs="Times New Roman"/>
      <w:b/>
      <w:bCs/>
    </w:rPr>
  </w:style>
  <w:style w:type="character" w:customStyle="1" w:styleId="148">
    <w:name w:val="正文文本缩进 字符2"/>
    <w:semiHidden/>
    <w:qFormat/>
    <w:uiPriority w:val="99"/>
    <w:rPr>
      <w:rFonts w:ascii="Calibri" w:hAnsi="Calibri" w:eastAsia="宋体" w:cs="Times New Roman"/>
    </w:rPr>
  </w:style>
  <w:style w:type="character" w:customStyle="1" w:styleId="149">
    <w:name w:val="正文文本缩进 Char1"/>
    <w:semiHidden/>
    <w:qFormat/>
    <w:uiPriority w:val="99"/>
    <w:rPr>
      <w:rFonts w:ascii="Calibri" w:hAnsi="Calibri" w:eastAsia="宋体" w:cs="Times New Roman"/>
    </w:rPr>
  </w:style>
  <w:style w:type="character" w:customStyle="1" w:styleId="150">
    <w:name w:val="标题 字符2"/>
    <w:qFormat/>
    <w:uiPriority w:val="10"/>
    <w:rPr>
      <w:rFonts w:ascii="等线 Light" w:hAnsi="等线 Light" w:eastAsia="等线 Light" w:cs="Times New Roman"/>
      <w:b/>
      <w:bCs/>
      <w:sz w:val="32"/>
      <w:szCs w:val="32"/>
    </w:rPr>
  </w:style>
  <w:style w:type="character" w:customStyle="1" w:styleId="151">
    <w:name w:val="标题 Char1"/>
    <w:qFormat/>
    <w:uiPriority w:val="10"/>
    <w:rPr>
      <w:rFonts w:ascii="等线 Light" w:hAnsi="等线 Light" w:eastAsia="宋体" w:cs="Times New Roman"/>
      <w:b/>
      <w:bCs/>
      <w:sz w:val="32"/>
      <w:szCs w:val="32"/>
    </w:rPr>
  </w:style>
  <w:style w:type="character" w:customStyle="1" w:styleId="152">
    <w:name w:val="正文文本缩进 3 字符2"/>
    <w:semiHidden/>
    <w:qFormat/>
    <w:uiPriority w:val="99"/>
    <w:rPr>
      <w:rFonts w:ascii="Calibri" w:hAnsi="Calibri" w:eastAsia="宋体" w:cs="Times New Roman"/>
      <w:sz w:val="16"/>
      <w:szCs w:val="16"/>
    </w:rPr>
  </w:style>
  <w:style w:type="character" w:customStyle="1" w:styleId="153">
    <w:name w:val="正文文本缩进 3 Char1"/>
    <w:semiHidden/>
    <w:qFormat/>
    <w:uiPriority w:val="99"/>
    <w:rPr>
      <w:rFonts w:ascii="Calibri" w:hAnsi="Calibri" w:eastAsia="宋体" w:cs="Times New Roman"/>
      <w:sz w:val="16"/>
      <w:szCs w:val="16"/>
    </w:rPr>
  </w:style>
  <w:style w:type="character" w:customStyle="1" w:styleId="154">
    <w:name w:val="日期 字符2"/>
    <w:semiHidden/>
    <w:qFormat/>
    <w:uiPriority w:val="99"/>
    <w:rPr>
      <w:rFonts w:ascii="Calibri" w:hAnsi="Calibri" w:eastAsia="宋体" w:cs="Times New Roman"/>
    </w:rPr>
  </w:style>
  <w:style w:type="character" w:customStyle="1" w:styleId="155">
    <w:name w:val="日期 Char1"/>
    <w:semiHidden/>
    <w:qFormat/>
    <w:uiPriority w:val="99"/>
    <w:rPr>
      <w:rFonts w:ascii="Calibri" w:hAnsi="Calibri" w:eastAsia="宋体" w:cs="Times New Roman"/>
    </w:rPr>
  </w:style>
  <w:style w:type="character" w:customStyle="1" w:styleId="156">
    <w:name w:val="批注文字 字符2"/>
    <w:semiHidden/>
    <w:qFormat/>
    <w:uiPriority w:val="99"/>
    <w:rPr>
      <w:rFonts w:ascii="Calibri" w:hAnsi="Calibri" w:eastAsia="宋体" w:cs="Times New Roman"/>
    </w:rPr>
  </w:style>
  <w:style w:type="character" w:customStyle="1" w:styleId="157">
    <w:name w:val="批注文字 Char1"/>
    <w:semiHidden/>
    <w:qFormat/>
    <w:uiPriority w:val="99"/>
    <w:rPr>
      <w:rFonts w:ascii="Calibri" w:hAnsi="Calibri" w:eastAsia="宋体" w:cs="Times New Roman"/>
    </w:rPr>
  </w:style>
  <w:style w:type="character" w:customStyle="1" w:styleId="158">
    <w:name w:val="正文文本 字符2"/>
    <w:semiHidden/>
    <w:qFormat/>
    <w:uiPriority w:val="99"/>
    <w:rPr>
      <w:rFonts w:ascii="Calibri" w:hAnsi="Calibri" w:eastAsia="宋体" w:cs="Times New Roman"/>
    </w:rPr>
  </w:style>
  <w:style w:type="character" w:customStyle="1" w:styleId="159">
    <w:name w:val="正文文本 Char1"/>
    <w:semiHidden/>
    <w:qFormat/>
    <w:uiPriority w:val="99"/>
    <w:rPr>
      <w:rFonts w:ascii="Calibri" w:hAnsi="Calibri" w:eastAsia="宋体" w:cs="Times New Roman"/>
    </w:rPr>
  </w:style>
  <w:style w:type="character" w:customStyle="1" w:styleId="160">
    <w:name w:val="文档结构图 字符2"/>
    <w:semiHidden/>
    <w:qFormat/>
    <w:uiPriority w:val="99"/>
    <w:rPr>
      <w:rFonts w:ascii="Microsoft YaHei UI" w:hAnsi="Calibri" w:eastAsia="Microsoft YaHei UI" w:cs="Times New Roman"/>
      <w:sz w:val="18"/>
      <w:szCs w:val="18"/>
    </w:rPr>
  </w:style>
  <w:style w:type="character" w:customStyle="1" w:styleId="161">
    <w:name w:val="文档结构图 Char1"/>
    <w:semiHidden/>
    <w:qFormat/>
    <w:uiPriority w:val="99"/>
    <w:rPr>
      <w:rFonts w:ascii="宋体" w:hAnsi="Calibri" w:eastAsia="宋体" w:cs="Times New Roman"/>
      <w:sz w:val="18"/>
      <w:szCs w:val="18"/>
    </w:rPr>
  </w:style>
  <w:style w:type="character" w:customStyle="1" w:styleId="162">
    <w:name w:val="尾注文本 字符2"/>
    <w:semiHidden/>
    <w:qFormat/>
    <w:uiPriority w:val="99"/>
    <w:rPr>
      <w:rFonts w:ascii="Calibri" w:hAnsi="Calibri" w:eastAsia="宋体" w:cs="Times New Roman"/>
    </w:rPr>
  </w:style>
  <w:style w:type="character" w:customStyle="1" w:styleId="163">
    <w:name w:val="尾注文本 Char1"/>
    <w:semiHidden/>
    <w:qFormat/>
    <w:uiPriority w:val="99"/>
    <w:rPr>
      <w:rFonts w:ascii="Calibri" w:hAnsi="Calibri" w:eastAsia="宋体" w:cs="Times New Roman"/>
    </w:rPr>
  </w:style>
  <w:style w:type="character" w:customStyle="1" w:styleId="164">
    <w:name w:val="正文首行缩进 字符2"/>
    <w:semiHidden/>
    <w:qFormat/>
    <w:uiPriority w:val="99"/>
    <w:rPr>
      <w:rFonts w:ascii="Calibri" w:hAnsi="Calibri" w:eastAsia="宋体" w:cs="Times New Roman"/>
    </w:rPr>
  </w:style>
  <w:style w:type="character" w:customStyle="1" w:styleId="165">
    <w:name w:val="正文首行缩进 Char1"/>
    <w:semiHidden/>
    <w:qFormat/>
    <w:uiPriority w:val="99"/>
    <w:rPr>
      <w:rFonts w:ascii="Calibri" w:hAnsi="Calibri" w:eastAsia="宋体" w:cs="Times New Roman"/>
    </w:rPr>
  </w:style>
  <w:style w:type="character" w:customStyle="1" w:styleId="166">
    <w:name w:val="脚注文本 字符2"/>
    <w:semiHidden/>
    <w:qFormat/>
    <w:uiPriority w:val="99"/>
    <w:rPr>
      <w:rFonts w:ascii="Calibri" w:hAnsi="Calibri" w:eastAsia="宋体" w:cs="Times New Roman"/>
      <w:sz w:val="18"/>
      <w:szCs w:val="18"/>
    </w:rPr>
  </w:style>
  <w:style w:type="character" w:customStyle="1" w:styleId="167">
    <w:name w:val="脚注文本 Char1"/>
    <w:semiHidden/>
    <w:qFormat/>
    <w:uiPriority w:val="99"/>
    <w:rPr>
      <w:rFonts w:ascii="Calibri" w:hAnsi="Calibri" w:eastAsia="宋体" w:cs="Times New Roman"/>
      <w:sz w:val="18"/>
      <w:szCs w:val="18"/>
    </w:rPr>
  </w:style>
  <w:style w:type="character" w:customStyle="1" w:styleId="168">
    <w:name w:val="批注框文本 字符2"/>
    <w:semiHidden/>
    <w:qFormat/>
    <w:uiPriority w:val="99"/>
    <w:rPr>
      <w:rFonts w:ascii="Calibri" w:hAnsi="Calibri" w:eastAsia="宋体" w:cs="Times New Roman"/>
      <w:sz w:val="18"/>
      <w:szCs w:val="18"/>
    </w:rPr>
  </w:style>
  <w:style w:type="character" w:customStyle="1" w:styleId="169">
    <w:name w:val="批注框文本 Char1"/>
    <w:semiHidden/>
    <w:qFormat/>
    <w:uiPriority w:val="99"/>
    <w:rPr>
      <w:rFonts w:ascii="Calibri" w:hAnsi="Calibri" w:eastAsia="宋体" w:cs="Times New Roman"/>
      <w:sz w:val="18"/>
      <w:szCs w:val="18"/>
    </w:rPr>
  </w:style>
  <w:style w:type="character" w:customStyle="1" w:styleId="170">
    <w:name w:val="批注主题 字符2"/>
    <w:semiHidden/>
    <w:qFormat/>
    <w:uiPriority w:val="99"/>
    <w:rPr>
      <w:rFonts w:ascii="Calibri" w:hAnsi="Calibri" w:eastAsia="宋体" w:cs="Times New Roman"/>
      <w:b/>
      <w:bCs/>
    </w:rPr>
  </w:style>
  <w:style w:type="character" w:customStyle="1" w:styleId="171">
    <w:name w:val="批注主题 Char1"/>
    <w:semiHidden/>
    <w:qFormat/>
    <w:uiPriority w:val="99"/>
    <w:rPr>
      <w:rFonts w:ascii="Calibri" w:hAnsi="Calibri" w:eastAsia="宋体" w:cs="Times New Roman"/>
      <w:b/>
      <w:bCs/>
    </w:rPr>
  </w:style>
  <w:style w:type="paragraph" w:customStyle="1" w:styleId="172">
    <w:name w:val="文档结构图1"/>
    <w:basedOn w:val="1"/>
    <w:qFormat/>
    <w:uiPriority w:val="0"/>
    <w:pPr>
      <w:shd w:val="clear" w:color="auto" w:fill="000080"/>
      <w:suppressAutoHyphens/>
    </w:pPr>
    <w:rPr>
      <w:rFonts w:ascii="Times New Roman" w:hAnsi="Times New Roman"/>
      <w:szCs w:val="20"/>
      <w:lang w:eastAsia="ar-SA"/>
    </w:rPr>
  </w:style>
  <w:style w:type="character" w:customStyle="1" w:styleId="173">
    <w:name w:val="纯文本 字符2"/>
    <w:semiHidden/>
    <w:qFormat/>
    <w:uiPriority w:val="99"/>
    <w:rPr>
      <w:rFonts w:ascii="等线" w:hAnsi="Courier New" w:cs="Courier New"/>
    </w:rPr>
  </w:style>
  <w:style w:type="character" w:customStyle="1" w:styleId="174">
    <w:name w:val="纯文本 Char1"/>
    <w:semiHidden/>
    <w:qFormat/>
    <w:uiPriority w:val="99"/>
    <w:rPr>
      <w:rFonts w:ascii="宋体" w:hAnsi="Courier New" w:eastAsia="宋体" w:cs="Courier New"/>
      <w:szCs w:val="21"/>
    </w:rPr>
  </w:style>
  <w:style w:type="character" w:customStyle="1" w:styleId="175">
    <w:name w:val="正文文本 2 字符2"/>
    <w:semiHidden/>
    <w:qFormat/>
    <w:uiPriority w:val="99"/>
    <w:rPr>
      <w:rFonts w:ascii="Calibri" w:hAnsi="Calibri" w:eastAsia="宋体" w:cs="Times New Roman"/>
    </w:rPr>
  </w:style>
  <w:style w:type="character" w:customStyle="1" w:styleId="176">
    <w:name w:val="正文文本 2 Char1"/>
    <w:semiHidden/>
    <w:qFormat/>
    <w:uiPriority w:val="99"/>
    <w:rPr>
      <w:rFonts w:ascii="Calibri" w:hAnsi="Calibri" w:eastAsia="宋体" w:cs="Times New Roman"/>
    </w:rPr>
  </w:style>
  <w:style w:type="character" w:customStyle="1" w:styleId="177">
    <w:name w:val="正文文本缩进 2 字符2"/>
    <w:semiHidden/>
    <w:qFormat/>
    <w:uiPriority w:val="99"/>
    <w:rPr>
      <w:rFonts w:ascii="Calibri" w:hAnsi="Calibri" w:eastAsia="宋体" w:cs="Times New Roman"/>
    </w:rPr>
  </w:style>
  <w:style w:type="character" w:customStyle="1" w:styleId="178">
    <w:name w:val="正文文本缩进 2 Char1"/>
    <w:semiHidden/>
    <w:qFormat/>
    <w:uiPriority w:val="99"/>
    <w:rPr>
      <w:rFonts w:ascii="Calibri" w:hAnsi="Calibri" w:eastAsia="宋体" w:cs="Times New Roman"/>
    </w:rPr>
  </w:style>
  <w:style w:type="paragraph" w:customStyle="1" w:styleId="179">
    <w:name w:val="样式 正文缩进正文（首行缩进两字）特点ALT+Z表正文正文非缩进四号段1Normal Indent Char2...1"/>
    <w:basedOn w:val="4"/>
    <w:qFormat/>
    <w:uiPriority w:val="0"/>
    <w:pPr>
      <w:tabs>
        <w:tab w:val="left" w:pos="1260"/>
      </w:tabs>
      <w:spacing w:before="1320" w:after="240" w:line="300" w:lineRule="auto"/>
      <w:ind w:left="1260" w:hanging="420"/>
    </w:pPr>
    <w:rPr>
      <w:rFonts w:hint="eastAsia" w:ascii="黑体" w:hAnsi="黑体" w:eastAsia="黑体"/>
      <w:b w:val="0"/>
      <w:szCs w:val="20"/>
    </w:rPr>
  </w:style>
  <w:style w:type="paragraph" w:customStyle="1" w:styleId="180">
    <w:name w:val="样式 标题 1 + 黑体 三号 非加粗 居中 段前: 6 磅 段后: 6 磅 行距: 固定值 20 磅"/>
    <w:basedOn w:val="3"/>
    <w:qFormat/>
    <w:uiPriority w:val="0"/>
    <w:pPr>
      <w:spacing w:before="0" w:line="400" w:lineRule="exact"/>
    </w:pPr>
    <w:rPr>
      <w:rFonts w:hint="eastAsia" w:ascii="黑体" w:hAnsi="黑体" w:eastAsia="黑体"/>
      <w:sz w:val="32"/>
      <w:szCs w:val="20"/>
    </w:rPr>
  </w:style>
  <w:style w:type="paragraph" w:customStyle="1" w:styleId="181">
    <w:name w:val="样式3"/>
    <w:basedOn w:val="5"/>
    <w:qFormat/>
    <w:uiPriority w:val="0"/>
    <w:pPr>
      <w:keepNext/>
      <w:keepLines/>
      <w:widowControl w:val="0"/>
      <w:spacing w:before="260" w:after="260" w:line="412" w:lineRule="auto"/>
      <w:jc w:val="both"/>
    </w:pPr>
    <w:rPr>
      <w:rFonts w:ascii="Calibri" w:hAnsi="Calibri" w:eastAsia="Arial"/>
      <w:bCs/>
      <w:color w:val="FF0000"/>
      <w:kern w:val="2"/>
      <w:sz w:val="32"/>
      <w:szCs w:val="22"/>
      <w:lang w:val="zh-CN"/>
    </w:rPr>
  </w:style>
  <w:style w:type="paragraph" w:customStyle="1" w:styleId="182">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83">
    <w:name w:val="页脚 New New New"/>
    <w:basedOn w:val="184"/>
    <w:qFormat/>
    <w:uiPriority w:val="0"/>
    <w:pPr>
      <w:tabs>
        <w:tab w:val="center" w:pos="4153"/>
        <w:tab w:val="right" w:pos="8306"/>
      </w:tabs>
      <w:snapToGrid w:val="0"/>
      <w:jc w:val="left"/>
    </w:pPr>
    <w:rPr>
      <w:sz w:val="18"/>
      <w:szCs w:val="18"/>
    </w:rPr>
  </w:style>
  <w:style w:type="paragraph" w:customStyle="1" w:styleId="184">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6">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8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8">
    <w:name w:val="页脚 New New"/>
    <w:basedOn w:val="189"/>
    <w:qFormat/>
    <w:uiPriority w:val="0"/>
    <w:pPr>
      <w:tabs>
        <w:tab w:val="center" w:pos="4153"/>
        <w:tab w:val="right" w:pos="8306"/>
      </w:tabs>
      <w:snapToGrid w:val="0"/>
      <w:jc w:val="left"/>
    </w:pPr>
    <w:rPr>
      <w:sz w:val="18"/>
    </w:rPr>
  </w:style>
  <w:style w:type="paragraph" w:customStyle="1" w:styleId="189">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修订1"/>
    <w:qFormat/>
    <w:uiPriority w:val="0"/>
    <w:rPr>
      <w:rFonts w:ascii="Times New Roman" w:hAnsi="Times New Roman" w:eastAsia="宋体" w:cs="Times New Roman"/>
      <w:kern w:val="2"/>
      <w:sz w:val="21"/>
      <w:lang w:val="en-US" w:eastAsia="zh-CN" w:bidi="ar-SA"/>
    </w:rPr>
  </w:style>
  <w:style w:type="paragraph" w:customStyle="1" w:styleId="191">
    <w:name w:val="_Style 251"/>
    <w:basedOn w:val="1"/>
    <w:next w:val="1"/>
    <w:qFormat/>
    <w:uiPriority w:val="0"/>
    <w:rPr>
      <w:rFonts w:ascii="Times New Roman" w:hAnsi="Times New Roman"/>
    </w:rPr>
  </w:style>
  <w:style w:type="paragraph" w:customStyle="1" w:styleId="192">
    <w:name w:val="章节三"/>
    <w:basedOn w:val="143"/>
    <w:next w:val="143"/>
    <w:qFormat/>
    <w:uiPriority w:val="0"/>
    <w:pPr>
      <w:spacing w:beforeLines="50" w:line="240" w:lineRule="auto"/>
      <w:ind w:firstLine="0" w:firstLineChars="0"/>
      <w:jc w:val="left"/>
      <w:outlineLvl w:val="2"/>
    </w:pPr>
    <w:rPr>
      <w:rFonts w:ascii="黑体" w:eastAsia="黑体"/>
      <w:b/>
    </w:rPr>
  </w:style>
  <w:style w:type="paragraph" w:customStyle="1" w:styleId="193">
    <w:name w:val="msotocheading"/>
    <w:basedOn w:val="3"/>
    <w:next w:val="1"/>
    <w:qFormat/>
    <w:uiPriority w:val="0"/>
    <w:pPr>
      <w:widowControl/>
      <w:spacing w:before="480" w:after="0" w:line="276" w:lineRule="auto"/>
      <w:jc w:val="left"/>
      <w:outlineLvl w:val="9"/>
    </w:pPr>
    <w:rPr>
      <w:rFonts w:hint="eastAsia" w:ascii="Cambria" w:hAnsi="Cambria" w:eastAsia="仿宋_GB2312"/>
      <w:color w:val="365F91"/>
      <w:kern w:val="0"/>
      <w:sz w:val="44"/>
      <w:szCs w:val="44"/>
    </w:rPr>
  </w:style>
  <w:style w:type="paragraph" w:customStyle="1" w:styleId="194">
    <w:name w:val="正文缩进1"/>
    <w:basedOn w:val="1"/>
    <w:qFormat/>
    <w:uiPriority w:val="0"/>
    <w:pPr>
      <w:ind w:firstLine="420" w:firstLineChars="200"/>
    </w:pPr>
    <w:rPr>
      <w:rFonts w:ascii="Times New Roman" w:hAnsi="Times New Roman"/>
      <w:sz w:val="30"/>
      <w:szCs w:val="24"/>
    </w:rPr>
  </w:style>
  <w:style w:type="paragraph" w:customStyle="1" w:styleId="195">
    <w:name w:val="访问过的超链接1"/>
    <w:basedOn w:val="1"/>
    <w:qFormat/>
    <w:uiPriority w:val="0"/>
    <w:rPr>
      <w:rFonts w:ascii="仿宋_GB2312" w:hAnsi="Times New Roman"/>
      <w:szCs w:val="32"/>
    </w:rPr>
  </w:style>
  <w:style w:type="paragraph" w:customStyle="1" w:styleId="196">
    <w:name w:val="标题 2 New"/>
    <w:basedOn w:val="197"/>
    <w:next w:val="197"/>
    <w:qFormat/>
    <w:uiPriority w:val="0"/>
    <w:pPr>
      <w:keepNext/>
      <w:keepLines/>
      <w:spacing w:before="260" w:after="260" w:line="416" w:lineRule="auto"/>
      <w:outlineLvl w:val="1"/>
    </w:pPr>
    <w:rPr>
      <w:rFonts w:ascii="Arial" w:hAnsi="Arial" w:eastAsia="仿宋_GB2312"/>
      <w:b/>
      <w:bCs/>
      <w:sz w:val="32"/>
    </w:rPr>
  </w:style>
  <w:style w:type="paragraph" w:customStyle="1" w:styleId="197">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98">
    <w:name w:val="6'"/>
    <w:basedOn w:val="1"/>
    <w:qFormat/>
    <w:uiPriority w:val="0"/>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199">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0">
    <w:name w:val="正文 New New New New New New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201">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2">
    <w:name w:val="Char Char Char Char Char Char Char Char Char Char Char Char Char"/>
    <w:basedOn w:val="16"/>
    <w:qFormat/>
    <w:uiPriority w:val="0"/>
    <w:rPr>
      <w:rFonts w:ascii="Tahoma" w:hAnsi="Tahoma"/>
      <w:sz w:val="24"/>
      <w:szCs w:val="24"/>
    </w:rPr>
  </w:style>
  <w:style w:type="paragraph" w:customStyle="1" w:styleId="203">
    <w:name w:val="msoquote"/>
    <w:basedOn w:val="1"/>
    <w:next w:val="1"/>
    <w:qFormat/>
    <w:uiPriority w:val="0"/>
    <w:pPr>
      <w:widowControl/>
      <w:jc w:val="left"/>
    </w:pPr>
    <w:rPr>
      <w:rFonts w:ascii="Times New Roman" w:hAnsi="Times New Roman"/>
      <w:i/>
      <w:kern w:val="0"/>
      <w:sz w:val="24"/>
    </w:rPr>
  </w:style>
  <w:style w:type="paragraph" w:customStyle="1" w:styleId="204">
    <w:name w:val="标题1"/>
    <w:basedOn w:val="1"/>
    <w:next w:val="20"/>
    <w:qFormat/>
    <w:uiPriority w:val="0"/>
    <w:pPr>
      <w:keepNext/>
      <w:suppressAutoHyphens/>
      <w:spacing w:before="240" w:after="120"/>
    </w:pPr>
    <w:rPr>
      <w:rFonts w:ascii="DejaVu Sans" w:hAnsi="DejaVu Sans" w:eastAsia="DejaVu Sans" w:cs="DejaVu Sans"/>
      <w:sz w:val="28"/>
      <w:szCs w:val="28"/>
      <w:lang w:eastAsia="ar-SA"/>
    </w:rPr>
  </w:style>
  <w:style w:type="paragraph" w:customStyle="1" w:styleId="205">
    <w:name w:val="封一"/>
    <w:basedOn w:val="143"/>
    <w:next w:val="143"/>
    <w:qFormat/>
    <w:uiPriority w:val="0"/>
    <w:pPr>
      <w:ind w:firstLine="0" w:firstLineChars="0"/>
      <w:jc w:val="center"/>
    </w:pPr>
    <w:rPr>
      <w:rFonts w:eastAsia="黑体"/>
      <w:b/>
      <w:sz w:val="84"/>
      <w:szCs w:val="84"/>
    </w:rPr>
  </w:style>
  <w:style w:type="paragraph" w:customStyle="1" w:styleId="206">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207">
    <w:name w:val="cjk"/>
    <w:basedOn w:val="1"/>
    <w:qFormat/>
    <w:uiPriority w:val="0"/>
    <w:pPr>
      <w:widowControl/>
      <w:spacing w:before="284" w:after="100" w:afterAutospacing="1" w:line="360" w:lineRule="auto"/>
      <w:jc w:val="left"/>
    </w:pPr>
    <w:rPr>
      <w:rFonts w:ascii="宋体" w:hAnsi="宋体"/>
      <w:kern w:val="0"/>
      <w:sz w:val="22"/>
    </w:rPr>
  </w:style>
  <w:style w:type="paragraph" w:customStyle="1" w:styleId="208">
    <w:name w:val="正文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0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1">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212">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213">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4">
    <w:name w:val="正文文本缩进 31"/>
    <w:basedOn w:val="1"/>
    <w:qFormat/>
    <w:uiPriority w:val="0"/>
    <w:pPr>
      <w:suppressAutoHyphens/>
      <w:spacing w:after="120"/>
      <w:ind w:left="420"/>
    </w:pPr>
    <w:rPr>
      <w:rFonts w:ascii="Times New Roman" w:hAnsi="Times New Roman"/>
      <w:sz w:val="16"/>
      <w:szCs w:val="20"/>
      <w:lang w:eastAsia="ar-SA"/>
    </w:rPr>
  </w:style>
  <w:style w:type="paragraph" w:customStyle="1" w:styleId="215">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6">
    <w:name w:val="Char1 Char Char Char Char Char Char1"/>
    <w:basedOn w:val="217"/>
    <w:qFormat/>
    <w:uiPriority w:val="0"/>
  </w:style>
  <w:style w:type="paragraph" w:customStyle="1" w:styleId="217">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18">
    <w:name w:val="Char1"/>
    <w:basedOn w:val="1"/>
    <w:qFormat/>
    <w:uiPriority w:val="0"/>
    <w:pPr>
      <w:ind w:left="567" w:hanging="279"/>
    </w:pPr>
    <w:rPr>
      <w:rFonts w:ascii="Times New Roman" w:hAnsi="Times New Roman"/>
      <w:sz w:val="24"/>
      <w:szCs w:val="24"/>
    </w:rPr>
  </w:style>
  <w:style w:type="paragraph" w:customStyle="1" w:styleId="219">
    <w:name w:val="方框图"/>
    <w:basedOn w:val="1"/>
    <w:qFormat/>
    <w:uiPriority w:val="0"/>
    <w:pPr>
      <w:jc w:val="center"/>
    </w:pPr>
    <w:rPr>
      <w:rFonts w:ascii="Times New Roman" w:hAnsi="Times New Roman"/>
      <w:bCs/>
      <w:szCs w:val="24"/>
    </w:rPr>
  </w:style>
  <w:style w:type="paragraph" w:customStyle="1" w:styleId="220">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21">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3">
    <w:name w:val="Char1 Char Char Char Char Char Char1 Char Char Char"/>
    <w:basedOn w:val="1"/>
    <w:qFormat/>
    <w:uiPriority w:val="0"/>
    <w:rPr>
      <w:rFonts w:ascii="Times New Roman" w:hAnsi="Times New Roman"/>
      <w:sz w:val="30"/>
      <w:szCs w:val="24"/>
    </w:rPr>
  </w:style>
  <w:style w:type="paragraph" w:customStyle="1" w:styleId="224">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5">
    <w:name w:val="样式 正文缩进正文（首行缩进两字）特点ALT+Z表正文正文非缩进四号段1Normal Indent Char2...2"/>
    <w:basedOn w:val="5"/>
    <w:qFormat/>
    <w:uiPriority w:val="0"/>
    <w:pPr>
      <w:keepNext/>
      <w:keepLines/>
      <w:widowControl w:val="0"/>
      <w:tabs>
        <w:tab w:val="left" w:pos="1680"/>
      </w:tabs>
      <w:spacing w:before="360" w:after="120" w:line="360" w:lineRule="auto"/>
      <w:ind w:left="1680" w:hanging="420"/>
      <w:jc w:val="center"/>
    </w:pPr>
    <w:rPr>
      <w:color w:val="FF0000"/>
      <w:kern w:val="2"/>
      <w:sz w:val="28"/>
      <w:szCs w:val="20"/>
      <w:lang w:val="zh-CN"/>
    </w:rPr>
  </w:style>
  <w:style w:type="paragraph" w:customStyle="1" w:styleId="226">
    <w:name w:val="Address"/>
    <w:basedOn w:val="1"/>
    <w:next w:val="1"/>
    <w:qFormat/>
    <w:uiPriority w:val="0"/>
    <w:pPr>
      <w:widowControl/>
      <w:autoSpaceDE w:val="0"/>
      <w:autoSpaceDN w:val="0"/>
      <w:adjustRightInd w:val="0"/>
      <w:jc w:val="left"/>
    </w:pPr>
    <w:rPr>
      <w:rFonts w:ascii="Times New Roman" w:hAnsi="Times New Roman"/>
      <w:i/>
      <w:kern w:val="0"/>
      <w:sz w:val="24"/>
      <w:szCs w:val="20"/>
    </w:rPr>
  </w:style>
  <w:style w:type="paragraph" w:customStyle="1" w:styleId="227">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28">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229">
    <w:name w:val="样式8"/>
    <w:basedOn w:val="1"/>
    <w:qFormat/>
    <w:uiPriority w:val="0"/>
    <w:pPr>
      <w:keepNext/>
      <w:keepLines/>
      <w:widowControl/>
      <w:spacing w:before="260" w:after="260"/>
      <w:jc w:val="center"/>
      <w:outlineLvl w:val="1"/>
    </w:pPr>
    <w:rPr>
      <w:rFonts w:ascii="Arial" w:hAnsi="Arial" w:eastAsia="黑体"/>
      <w:b/>
      <w:bCs/>
      <w:kern w:val="0"/>
      <w:sz w:val="72"/>
      <w:szCs w:val="32"/>
    </w:rPr>
  </w:style>
  <w:style w:type="paragraph" w:customStyle="1" w:styleId="230">
    <w:name w:val="msolistparagraph"/>
    <w:basedOn w:val="1"/>
    <w:qFormat/>
    <w:uiPriority w:val="0"/>
    <w:pPr>
      <w:ind w:firstLine="420" w:firstLineChars="200"/>
    </w:pPr>
    <w:rPr>
      <w:rFonts w:ascii="Times New Roman" w:hAnsi="Times New Roman"/>
    </w:rPr>
  </w:style>
  <w:style w:type="paragraph" w:customStyle="1" w:styleId="231">
    <w:name w:val="文二"/>
    <w:basedOn w:val="1"/>
    <w:next w:val="1"/>
    <w:qFormat/>
    <w:uiPriority w:val="0"/>
    <w:pPr>
      <w:jc w:val="left"/>
    </w:pPr>
    <w:rPr>
      <w:rFonts w:ascii="宋体" w:hAnsi="宋体"/>
      <w:szCs w:val="21"/>
    </w:rPr>
  </w:style>
  <w:style w:type="paragraph" w:customStyle="1" w:styleId="232">
    <w:name w:val="列表项目符号 21"/>
    <w:basedOn w:val="233"/>
    <w:qFormat/>
    <w:uiPriority w:val="0"/>
    <w:pPr>
      <w:widowControl/>
      <w:tabs>
        <w:tab w:val="left" w:pos="360"/>
      </w:tabs>
      <w:spacing w:after="220" w:line="220" w:lineRule="atLeast"/>
      <w:ind w:left="360" w:right="720"/>
      <w:jc w:val="left"/>
    </w:pPr>
  </w:style>
  <w:style w:type="paragraph" w:customStyle="1" w:styleId="233">
    <w:name w:val="列表项目符号1"/>
    <w:basedOn w:val="1"/>
    <w:qFormat/>
    <w:uiPriority w:val="0"/>
    <w:pPr>
      <w:tabs>
        <w:tab w:val="left" w:pos="360"/>
      </w:tabs>
      <w:suppressAutoHyphens/>
    </w:pPr>
    <w:rPr>
      <w:rFonts w:ascii="Times New Roman" w:hAnsi="Times New Roman"/>
      <w:szCs w:val="20"/>
      <w:lang w:eastAsia="ar-SA"/>
    </w:rPr>
  </w:style>
  <w:style w:type="paragraph" w:customStyle="1" w:styleId="234">
    <w:name w:val="Char14"/>
    <w:basedOn w:val="16"/>
    <w:qFormat/>
    <w:uiPriority w:val="0"/>
    <w:rPr>
      <w:rFonts w:ascii="Tahoma" w:hAnsi="Tahoma"/>
      <w:sz w:val="24"/>
      <w:szCs w:val="24"/>
    </w:rPr>
  </w:style>
  <w:style w:type="paragraph" w:customStyle="1" w:styleId="235">
    <w:name w:val="正文文本 New"/>
    <w:basedOn w:val="236"/>
    <w:qFormat/>
    <w:uiPriority w:val="0"/>
    <w:pPr>
      <w:spacing w:after="120"/>
    </w:pPr>
    <w:rPr>
      <w:rFonts w:eastAsia="宋体"/>
      <w:kern w:val="2"/>
      <w:sz w:val="30"/>
      <w:szCs w:val="24"/>
    </w:rPr>
  </w:style>
  <w:style w:type="paragraph" w:customStyle="1" w:styleId="236">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37">
    <w:name w:val="Char Char Char1 Char"/>
    <w:basedOn w:val="16"/>
    <w:qFormat/>
    <w:uiPriority w:val="0"/>
    <w:rPr>
      <w:rFonts w:ascii="Tahoma" w:hAnsi="Tahoma"/>
      <w:sz w:val="24"/>
      <w:szCs w:val="24"/>
    </w:rPr>
  </w:style>
  <w:style w:type="paragraph" w:customStyle="1" w:styleId="238">
    <w:name w:val="表格"/>
    <w:basedOn w:val="1"/>
    <w:qFormat/>
    <w:uiPriority w:val="0"/>
    <w:pPr>
      <w:jc w:val="center"/>
    </w:pPr>
    <w:rPr>
      <w:rFonts w:ascii="华文细黑" w:hAnsi="华文细黑"/>
      <w:kern w:val="0"/>
      <w:szCs w:val="20"/>
    </w:rPr>
  </w:style>
  <w:style w:type="paragraph" w:customStyle="1" w:styleId="239">
    <w:name w:val="正文缩进_0"/>
    <w:basedOn w:val="240"/>
    <w:qFormat/>
    <w:uiPriority w:val="0"/>
    <w:pPr>
      <w:ind w:firstLine="420"/>
    </w:pPr>
  </w:style>
  <w:style w:type="paragraph" w:customStyle="1" w:styleId="240">
    <w:name w:val="正文_0"/>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1">
    <w:name w:val="公文标题"/>
    <w:basedOn w:val="5"/>
    <w:qFormat/>
    <w:uiPriority w:val="0"/>
    <w:pPr>
      <w:keepNext/>
      <w:keepLines/>
      <w:widowControl w:val="0"/>
      <w:ind w:left="1469" w:right="1542"/>
    </w:pPr>
    <w:rPr>
      <w:rFonts w:hAnsi="Times New Roman"/>
      <w:b/>
      <w:kern w:val="2"/>
      <w:sz w:val="44"/>
      <w:szCs w:val="21"/>
    </w:rPr>
  </w:style>
  <w:style w:type="paragraph" w:customStyle="1" w:styleId="242">
    <w:name w:val="2"/>
    <w:next w:val="195"/>
    <w:qFormat/>
    <w:uiPriority w:val="0"/>
    <w:pPr>
      <w:widowControl w:val="0"/>
      <w:jc w:val="both"/>
    </w:pPr>
    <w:rPr>
      <w:rFonts w:ascii="仿宋_GB2312" w:hAnsi="Times New Roman" w:eastAsia="宋体" w:cs="Times New Roman"/>
      <w:kern w:val="2"/>
      <w:sz w:val="21"/>
      <w:szCs w:val="32"/>
      <w:lang w:val="en-US" w:eastAsia="zh-CN" w:bidi="ar-SA"/>
    </w:rPr>
  </w:style>
  <w:style w:type="paragraph" w:customStyle="1" w:styleId="243">
    <w:name w:val="正文1"/>
    <w:qFormat/>
    <w:uiPriority w:val="99"/>
    <w:rPr>
      <w:rFonts w:ascii="Times New Roman" w:hAnsi="Times New Roman" w:eastAsia="Times New Roman" w:cs="Times New Roman"/>
      <w:sz w:val="24"/>
      <w:szCs w:val="24"/>
      <w:lang w:val="en-US" w:eastAsia="zh-CN" w:bidi="ar-SA"/>
    </w:rPr>
  </w:style>
  <w:style w:type="paragraph" w:customStyle="1" w:styleId="24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245">
    <w:name w:val="发文落款"/>
    <w:basedOn w:val="246"/>
    <w:qFormat/>
    <w:uiPriority w:val="0"/>
    <w:pPr>
      <w:ind w:left="4094" w:right="607" w:firstLine="0"/>
      <w:jc w:val="center"/>
    </w:pPr>
  </w:style>
  <w:style w:type="paragraph" w:customStyle="1" w:styleId="24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7">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8">
    <w:name w:val="表格内容"/>
    <w:basedOn w:val="1"/>
    <w:qFormat/>
    <w:uiPriority w:val="0"/>
    <w:pPr>
      <w:suppressLineNumbers/>
      <w:suppressAutoHyphens/>
    </w:pPr>
    <w:rPr>
      <w:rFonts w:ascii="Times New Roman" w:hAnsi="Times New Roman"/>
      <w:szCs w:val="20"/>
      <w:lang w:eastAsia="ar-SA"/>
    </w:rPr>
  </w:style>
  <w:style w:type="paragraph" w:customStyle="1" w:styleId="249">
    <w:name w:val="样式1"/>
    <w:basedOn w:val="5"/>
    <w:qFormat/>
    <w:uiPriority w:val="0"/>
    <w:pPr>
      <w:keepNext/>
      <w:keepLines/>
      <w:widowControl w:val="0"/>
      <w:spacing w:before="260" w:after="260" w:line="412" w:lineRule="auto"/>
      <w:jc w:val="both"/>
    </w:pPr>
    <w:rPr>
      <w:rFonts w:ascii="Calibri" w:hAnsi="Calibri" w:eastAsia="Arial"/>
      <w:bCs/>
      <w:color w:val="FF0000"/>
      <w:kern w:val="2"/>
      <w:sz w:val="32"/>
      <w:szCs w:val="22"/>
      <w:lang w:val="zh-CN"/>
    </w:rPr>
  </w:style>
  <w:style w:type="paragraph" w:customStyle="1" w:styleId="250">
    <w:name w:val="纯文本1"/>
    <w:basedOn w:val="1"/>
    <w:qFormat/>
    <w:uiPriority w:val="0"/>
    <w:pPr>
      <w:suppressAutoHyphens/>
    </w:pPr>
    <w:rPr>
      <w:rFonts w:ascii="宋体" w:hAnsi="宋体"/>
      <w:szCs w:val="20"/>
      <w:lang w:eastAsia="ar-SA"/>
    </w:rPr>
  </w:style>
  <w:style w:type="paragraph" w:customStyle="1" w:styleId="251">
    <w:name w:val="msonospacing"/>
    <w:qFormat/>
    <w:uiPriority w:val="0"/>
    <w:rPr>
      <w:rFonts w:ascii="Times New Roman" w:hAnsi="Times New Roman" w:eastAsia="Times New Roman" w:cs="Times New Roman"/>
      <w:kern w:val="2"/>
      <w:sz w:val="22"/>
      <w:lang w:val="en-US" w:eastAsia="zh-CN" w:bidi="ar-SA"/>
    </w:rPr>
  </w:style>
  <w:style w:type="paragraph" w:customStyle="1" w:styleId="252">
    <w:name w:val="_Style 25"/>
    <w:qFormat/>
    <w:uiPriority w:val="0"/>
    <w:rPr>
      <w:rFonts w:ascii="Times New Roman" w:hAnsi="Times New Roman" w:eastAsia="宋体" w:cs="Times New Roman"/>
      <w:lang w:val="en-US" w:eastAsia="zh-CN" w:bidi="ar-SA"/>
    </w:rPr>
  </w:style>
  <w:style w:type="paragraph" w:customStyle="1" w:styleId="253">
    <w:name w:val="Normal_0"/>
    <w:qFormat/>
    <w:uiPriority w:val="0"/>
    <w:rPr>
      <w:rFonts w:ascii="Times New Roman" w:hAnsi="Times New Roman" w:eastAsia="Times New Roman" w:cs="Times New Roman"/>
      <w:sz w:val="24"/>
      <w:szCs w:val="24"/>
      <w:lang w:val="en-US" w:eastAsia="zh-CN" w:bidi="ar-SA"/>
    </w:rPr>
  </w:style>
  <w:style w:type="paragraph" w:customStyle="1" w:styleId="254">
    <w:name w:val="正文首行缩进1"/>
    <w:basedOn w:val="20"/>
    <w:qFormat/>
    <w:uiPriority w:val="0"/>
    <w:pPr>
      <w:ind w:firstLine="420" w:firstLineChars="100"/>
    </w:pPr>
    <w:rPr>
      <w:rFonts w:hAnsi="Calibri"/>
      <w:sz w:val="30"/>
      <w:szCs w:val="24"/>
    </w:rPr>
  </w:style>
  <w:style w:type="paragraph" w:customStyle="1" w:styleId="255">
    <w:name w:val="样式 标题 1 + 宋体 居中 段前: 48 磅 段后: 12 磅 行距: 1.5 倍行距"/>
    <w:basedOn w:val="3"/>
    <w:qFormat/>
    <w:uiPriority w:val="0"/>
    <w:pPr>
      <w:snapToGrid w:val="0"/>
      <w:spacing w:before="1560" w:after="240"/>
    </w:pPr>
    <w:rPr>
      <w:rFonts w:hint="eastAsia" w:eastAsia="仿宋_GB2312"/>
      <w:kern w:val="2"/>
      <w:sz w:val="36"/>
      <w:szCs w:val="20"/>
    </w:rPr>
  </w:style>
  <w:style w:type="paragraph" w:customStyle="1" w:styleId="256">
    <w:name w:val="尾注文本 New"/>
    <w:basedOn w:val="257"/>
    <w:qFormat/>
    <w:uiPriority w:val="0"/>
    <w:pPr>
      <w:snapToGrid w:val="0"/>
      <w:jc w:val="left"/>
    </w:pPr>
    <w:rPr>
      <w:rFonts w:ascii="宋体" w:hAnsi="宋体" w:eastAsia="宋体"/>
      <w:szCs w:val="24"/>
    </w:rPr>
  </w:style>
  <w:style w:type="paragraph" w:customStyle="1" w:styleId="257">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258">
    <w:name w:val="明显引用 字符1"/>
    <w:qFormat/>
    <w:uiPriority w:val="30"/>
    <w:rPr>
      <w:rFonts w:ascii="Calibri" w:hAnsi="Calibri" w:eastAsia="宋体" w:cs="Times New Roman"/>
      <w:i/>
      <w:iCs/>
      <w:color w:val="5B9BD5"/>
    </w:rPr>
  </w:style>
  <w:style w:type="character" w:customStyle="1" w:styleId="259">
    <w:name w:val="明显引用 Char1"/>
    <w:qFormat/>
    <w:uiPriority w:val="30"/>
    <w:rPr>
      <w:rFonts w:ascii="Calibri" w:hAnsi="Calibri" w:eastAsia="宋体" w:cs="Times New Roman"/>
      <w:b/>
      <w:bCs/>
      <w:i/>
      <w:iCs/>
      <w:color w:val="5B9BD5"/>
    </w:rPr>
  </w:style>
  <w:style w:type="paragraph" w:customStyle="1" w:styleId="260">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61">
    <w:name w:val="样式4"/>
    <w:basedOn w:val="5"/>
    <w:qFormat/>
    <w:uiPriority w:val="0"/>
    <w:pPr>
      <w:keepNext/>
      <w:keepLines/>
      <w:widowControl w:val="0"/>
      <w:spacing w:before="260" w:after="260" w:line="412" w:lineRule="auto"/>
      <w:jc w:val="both"/>
    </w:pPr>
    <w:rPr>
      <w:rFonts w:ascii="Calibri" w:hAnsi="Calibri" w:eastAsia="Arial"/>
      <w:bCs/>
      <w:color w:val="FF0000"/>
      <w:kern w:val="2"/>
      <w:sz w:val="32"/>
      <w:szCs w:val="22"/>
      <w:lang w:val="zh-CN"/>
    </w:rPr>
  </w:style>
  <w:style w:type="paragraph" w:customStyle="1" w:styleId="262">
    <w:name w:val="正文文本缩进 New New"/>
    <w:basedOn w:val="1"/>
    <w:qFormat/>
    <w:uiPriority w:val="0"/>
    <w:pPr>
      <w:spacing w:after="120"/>
      <w:ind w:left="420" w:leftChars="200"/>
    </w:pPr>
    <w:rPr>
      <w:rFonts w:ascii="Times New Roman" w:eastAsia="楷体_GB2312"/>
      <w:szCs w:val="20"/>
    </w:rPr>
  </w:style>
  <w:style w:type="paragraph" w:customStyle="1" w:styleId="263">
    <w:name w:val="_Style 7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4">
    <w:name w:val="Char13 Char Char Char Char Char"/>
    <w:basedOn w:val="1"/>
    <w:qFormat/>
    <w:uiPriority w:val="0"/>
    <w:pPr>
      <w:ind w:left="567" w:hanging="279"/>
    </w:pPr>
    <w:rPr>
      <w:rFonts w:ascii="Times New Roman" w:hAnsi="Times New Roman"/>
      <w:kern w:val="0"/>
      <w:sz w:val="20"/>
      <w:szCs w:val="20"/>
    </w:rPr>
  </w:style>
  <w:style w:type="paragraph" w:customStyle="1" w:styleId="2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6">
    <w:name w:val="Char5 Char Char"/>
    <w:basedOn w:val="1"/>
    <w:qFormat/>
    <w:uiPriority w:val="0"/>
    <w:pPr>
      <w:ind w:left="567" w:hanging="279"/>
    </w:pPr>
    <w:rPr>
      <w:rFonts w:ascii="Times New Roman" w:hAnsi="Times New Roman"/>
      <w:sz w:val="24"/>
      <w:szCs w:val="24"/>
    </w:rPr>
  </w:style>
  <w:style w:type="paragraph" w:customStyle="1" w:styleId="267">
    <w:name w:val="Normal_1"/>
    <w:qFormat/>
    <w:uiPriority w:val="0"/>
    <w:rPr>
      <w:rFonts w:ascii="Times New Roman" w:hAnsi="Times New Roman" w:eastAsia="Times New Roman" w:cs="Times New Roman"/>
      <w:sz w:val="24"/>
      <w:szCs w:val="24"/>
      <w:lang w:val="en-US" w:eastAsia="zh-CN" w:bidi="ar-SA"/>
    </w:rPr>
  </w:style>
  <w:style w:type="paragraph" w:customStyle="1" w:styleId="268">
    <w:name w:val="表头"/>
    <w:basedOn w:val="1"/>
    <w:qFormat/>
    <w:uiPriority w:val="0"/>
    <w:pPr>
      <w:spacing w:line="360" w:lineRule="auto"/>
      <w:jc w:val="center"/>
    </w:pPr>
    <w:rPr>
      <w:rFonts w:ascii="黑体" w:hAnsi="Times New Roman" w:eastAsia="黑体"/>
      <w:kern w:val="0"/>
      <w:sz w:val="24"/>
      <w:szCs w:val="20"/>
    </w:rPr>
  </w:style>
  <w:style w:type="character" w:customStyle="1" w:styleId="269">
    <w:name w:val="引用 字符1"/>
    <w:qFormat/>
    <w:uiPriority w:val="29"/>
    <w:rPr>
      <w:rFonts w:ascii="Calibri" w:hAnsi="Calibri" w:eastAsia="宋体" w:cs="Times New Roman"/>
      <w:i/>
      <w:iCs/>
      <w:color w:val="3F3F3F"/>
    </w:rPr>
  </w:style>
  <w:style w:type="character" w:customStyle="1" w:styleId="270">
    <w:name w:val="引用 Char1"/>
    <w:qFormat/>
    <w:uiPriority w:val="29"/>
    <w:rPr>
      <w:rFonts w:ascii="Calibri" w:hAnsi="Calibri" w:eastAsia="宋体" w:cs="Times New Roman"/>
      <w:i/>
      <w:iCs/>
      <w:color w:val="000000"/>
    </w:rPr>
  </w:style>
  <w:style w:type="paragraph" w:styleId="271">
    <w:name w:val="List Paragraph"/>
    <w:basedOn w:val="1"/>
    <w:qFormat/>
    <w:uiPriority w:val="34"/>
    <w:pPr>
      <w:ind w:firstLine="420" w:firstLineChars="200"/>
    </w:pPr>
    <w:rPr>
      <w:rFonts w:ascii="Times New Roman" w:hAnsi="Times New Roman"/>
      <w:szCs w:val="20"/>
    </w:rPr>
  </w:style>
  <w:style w:type="paragraph" w:customStyle="1" w:styleId="272">
    <w:name w:val="样式 正文缩进正文（首行缩进两字）特点ALT+Z表正文正文非缩进四号段1Normal Indent Char2...4"/>
    <w:basedOn w:val="21"/>
    <w:qFormat/>
    <w:uiPriority w:val="0"/>
    <w:pPr>
      <w:tabs>
        <w:tab w:val="left" w:pos="510"/>
        <w:tab w:val="left" w:pos="2520"/>
      </w:tabs>
      <w:spacing w:line="300" w:lineRule="auto"/>
      <w:ind w:left="2520" w:hanging="420"/>
    </w:pPr>
    <w:rPr>
      <w:rFonts w:ascii="Calibri" w:hAnsi="宋体"/>
      <w:sz w:val="24"/>
      <w:szCs w:val="22"/>
    </w:rPr>
  </w:style>
  <w:style w:type="paragraph" w:customStyle="1" w:styleId="273">
    <w:name w:val="目录 1_0"/>
    <w:basedOn w:val="240"/>
    <w:next w:val="240"/>
    <w:qFormat/>
    <w:uiPriority w:val="0"/>
    <w:pPr>
      <w:tabs>
        <w:tab w:val="right" w:leader="dot" w:pos="8493"/>
      </w:tabs>
      <w:adjustRightInd w:val="0"/>
      <w:spacing w:line="360" w:lineRule="auto"/>
      <w:jc w:val="left"/>
    </w:pPr>
    <w:rPr>
      <w:rFonts w:ascii="宋体" w:hAnsi="宋体"/>
      <w:b/>
      <w:caps/>
      <w:kern w:val="0"/>
      <w:sz w:val="24"/>
      <w:szCs w:val="32"/>
    </w:rPr>
  </w:style>
  <w:style w:type="paragraph" w:customStyle="1" w:styleId="274">
    <w:name w:val="表格标题"/>
    <w:basedOn w:val="248"/>
    <w:qFormat/>
    <w:uiPriority w:val="0"/>
    <w:pPr>
      <w:jc w:val="center"/>
    </w:pPr>
    <w:rPr>
      <w:b/>
      <w:bCs/>
    </w:rPr>
  </w:style>
  <w:style w:type="paragraph" w:customStyle="1" w:styleId="27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文提"/>
    <w:basedOn w:val="143"/>
    <w:qFormat/>
    <w:uiPriority w:val="0"/>
    <w:pPr>
      <w:ind w:firstLine="0" w:firstLineChars="0"/>
    </w:pPr>
    <w:rPr>
      <w:rFonts w:eastAsia="黑体" w:cs="宋体"/>
      <w:b/>
    </w:rPr>
  </w:style>
  <w:style w:type="paragraph" w:customStyle="1" w:styleId="277">
    <w:name w:val="正题"/>
    <w:basedOn w:val="143"/>
    <w:next w:val="143"/>
    <w:qFormat/>
    <w:uiPriority w:val="0"/>
    <w:pPr>
      <w:ind w:firstLine="0" w:firstLineChars="0"/>
      <w:jc w:val="center"/>
    </w:pPr>
    <w:rPr>
      <w:rFonts w:eastAsia="黑体"/>
      <w:b/>
      <w:sz w:val="36"/>
      <w:szCs w:val="36"/>
    </w:rPr>
  </w:style>
  <w:style w:type="paragraph" w:customStyle="1" w:styleId="278">
    <w:name w:val="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279">
    <w:name w:val="样式 标题 2 + Times New Roman 四号 非加粗 段前: 5 磅 段后: 0 磅 行距: 固定值 20..."/>
    <w:basedOn w:val="4"/>
    <w:qFormat/>
    <w:uiPriority w:val="0"/>
    <w:pPr>
      <w:spacing w:before="100" w:after="0" w:line="400" w:lineRule="exact"/>
      <w:jc w:val="both"/>
    </w:pPr>
    <w:rPr>
      <w:rFonts w:hint="eastAsia" w:ascii="Times New Roman" w:hAnsi="Times New Roman" w:eastAsia="黑体"/>
      <w:sz w:val="28"/>
      <w:szCs w:val="20"/>
    </w:rPr>
  </w:style>
  <w:style w:type="paragraph" w:customStyle="1" w:styleId="280">
    <w:name w:val="样式2"/>
    <w:basedOn w:val="5"/>
    <w:qFormat/>
    <w:uiPriority w:val="0"/>
    <w:pPr>
      <w:keepNext/>
      <w:keepLines/>
      <w:widowControl w:val="0"/>
      <w:spacing w:before="260" w:after="260" w:line="412" w:lineRule="auto"/>
      <w:jc w:val="both"/>
    </w:pPr>
    <w:rPr>
      <w:rFonts w:ascii="Calibri" w:hAnsi="Calibri"/>
      <w:bCs/>
      <w:color w:val="FF0000"/>
      <w:kern w:val="2"/>
      <w:sz w:val="32"/>
      <w:szCs w:val="22"/>
      <w:lang w:val="zh-CN"/>
    </w:rPr>
  </w:style>
  <w:style w:type="paragraph" w:customStyle="1" w:styleId="281">
    <w:name w:val="正文文本缩进 21"/>
    <w:basedOn w:val="1"/>
    <w:qFormat/>
    <w:uiPriority w:val="0"/>
    <w:pPr>
      <w:suppressAutoHyphens/>
      <w:spacing w:after="120" w:line="480" w:lineRule="auto"/>
      <w:ind w:left="420"/>
    </w:pPr>
    <w:rPr>
      <w:rFonts w:ascii="Times New Roman" w:hAnsi="Times New Roman"/>
      <w:szCs w:val="20"/>
      <w:lang w:eastAsia="ar-SA"/>
    </w:rPr>
  </w:style>
  <w:style w:type="paragraph" w:customStyle="1" w:styleId="28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83">
    <w:name w:val="Char2 Char Char Char"/>
    <w:basedOn w:val="1"/>
    <w:qFormat/>
    <w:uiPriority w:val="0"/>
    <w:pPr>
      <w:tabs>
        <w:tab w:val="left" w:pos="1350"/>
      </w:tabs>
      <w:ind w:left="1350" w:hanging="720"/>
    </w:pPr>
    <w:rPr>
      <w:rFonts w:ascii="Times New Roman" w:hAnsi="Times New Roman"/>
      <w:sz w:val="24"/>
      <w:szCs w:val="24"/>
    </w:rPr>
  </w:style>
  <w:style w:type="paragraph" w:customStyle="1" w:styleId="284">
    <w:name w:val="Char Char Char Char"/>
    <w:basedOn w:val="1"/>
    <w:next w:val="1"/>
    <w:qFormat/>
    <w:uiPriority w:val="0"/>
    <w:pPr>
      <w:widowControl/>
      <w:spacing w:after="160" w:line="240" w:lineRule="exact"/>
      <w:jc w:val="left"/>
    </w:pPr>
    <w:rPr>
      <w:rFonts w:ascii="Times New Roman" w:hAnsi="Times New Roman"/>
      <w:szCs w:val="20"/>
    </w:rPr>
  </w:style>
  <w:style w:type="paragraph" w:customStyle="1" w:styleId="285">
    <w:name w:val="封二"/>
    <w:basedOn w:val="143"/>
    <w:next w:val="143"/>
    <w:qFormat/>
    <w:uiPriority w:val="0"/>
    <w:pPr>
      <w:ind w:firstLine="0" w:firstLineChars="0"/>
      <w:jc w:val="center"/>
    </w:pPr>
    <w:rPr>
      <w:rFonts w:eastAsia="黑体"/>
      <w:b/>
      <w:sz w:val="36"/>
      <w:szCs w:val="36"/>
    </w:rPr>
  </w:style>
  <w:style w:type="paragraph" w:customStyle="1" w:styleId="286">
    <w:name w:val="Normal_2"/>
    <w:qFormat/>
    <w:uiPriority w:val="0"/>
    <w:rPr>
      <w:rFonts w:ascii="Times New Roman" w:hAnsi="Times New Roman" w:eastAsia="Times New Roman" w:cs="Times New Roman"/>
      <w:sz w:val="24"/>
      <w:szCs w:val="24"/>
      <w:lang w:val="en-US" w:eastAsia="zh-CN" w:bidi="ar-SA"/>
    </w:rPr>
  </w:style>
  <w:style w:type="paragraph" w:customStyle="1" w:styleId="287">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页脚 New"/>
    <w:basedOn w:val="289"/>
    <w:qFormat/>
    <w:uiPriority w:val="0"/>
    <w:pPr>
      <w:tabs>
        <w:tab w:val="center" w:pos="4153"/>
        <w:tab w:val="right" w:pos="8306"/>
      </w:tabs>
      <w:snapToGrid w:val="0"/>
      <w:jc w:val="left"/>
    </w:pPr>
    <w:rPr>
      <w:sz w:val="18"/>
    </w:rPr>
  </w:style>
  <w:style w:type="paragraph" w:customStyle="1" w:styleId="289">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0">
    <w:name w:val="Normal_3"/>
    <w:qFormat/>
    <w:uiPriority w:val="0"/>
    <w:rPr>
      <w:rFonts w:ascii="Times New Roman" w:hAnsi="Times New Roman" w:eastAsia="Times New Roman" w:cs="Times New Roman"/>
      <w:sz w:val="24"/>
      <w:szCs w:val="24"/>
      <w:lang w:val="en-US" w:eastAsia="zh-CN" w:bidi="ar-SA"/>
    </w:rPr>
  </w:style>
  <w:style w:type="paragraph" w:customStyle="1" w:styleId="291">
    <w:name w:val="表格文字"/>
    <w:basedOn w:val="1"/>
    <w:qFormat/>
    <w:uiPriority w:val="0"/>
    <w:pPr>
      <w:adjustRightInd w:val="0"/>
      <w:spacing w:line="420" w:lineRule="atLeast"/>
      <w:jc w:val="left"/>
    </w:pPr>
    <w:rPr>
      <w:rFonts w:ascii="Times New Roman" w:hAnsi="Times New Roman"/>
      <w:kern w:val="0"/>
      <w:szCs w:val="20"/>
    </w:rPr>
  </w:style>
  <w:style w:type="paragraph" w:customStyle="1" w:styleId="292">
    <w:name w:val="页眉 New"/>
    <w:basedOn w:val="289"/>
    <w:qFormat/>
    <w:uiPriority w:val="0"/>
    <w:pPr>
      <w:pBdr>
        <w:bottom w:val="single" w:color="auto" w:sz="6" w:space="1"/>
      </w:pBdr>
      <w:tabs>
        <w:tab w:val="center" w:pos="4153"/>
        <w:tab w:val="right" w:pos="8306"/>
      </w:tabs>
      <w:snapToGrid w:val="0"/>
      <w:jc w:val="center"/>
    </w:pPr>
    <w:rPr>
      <w:sz w:val="18"/>
    </w:rPr>
  </w:style>
  <w:style w:type="paragraph" w:customStyle="1" w:styleId="293">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4">
    <w:name w:val="标题 3_0"/>
    <w:basedOn w:val="240"/>
    <w:next w:val="239"/>
    <w:qFormat/>
    <w:uiPriority w:val="0"/>
    <w:pPr>
      <w:keepNext/>
      <w:keepLines/>
      <w:spacing w:line="360" w:lineRule="auto"/>
      <w:jc w:val="center"/>
      <w:outlineLvl w:val="2"/>
    </w:pPr>
    <w:rPr>
      <w:rFonts w:ascii="仿宋_GB2312" w:hAnsi="宋体" w:eastAsia="仿宋_GB2312" w:cs="宋体"/>
      <w:b/>
      <w:sz w:val="30"/>
      <w:szCs w:val="30"/>
    </w:rPr>
  </w:style>
  <w:style w:type="paragraph" w:customStyle="1" w:styleId="295">
    <w:name w:val="Char4 Char Char Char"/>
    <w:basedOn w:val="1"/>
    <w:qFormat/>
    <w:uiPriority w:val="0"/>
    <w:pPr>
      <w:ind w:left="567" w:hanging="279"/>
    </w:pPr>
    <w:rPr>
      <w:rFonts w:ascii="Times New Roman" w:hAnsi="Times New Roman"/>
      <w:sz w:val="24"/>
      <w:szCs w:val="24"/>
    </w:rPr>
  </w:style>
  <w:style w:type="paragraph" w:customStyle="1" w:styleId="296">
    <w:name w:val="纯文本2"/>
    <w:basedOn w:val="1"/>
    <w:qFormat/>
    <w:uiPriority w:val="0"/>
    <w:rPr>
      <w:rFonts w:ascii="宋体" w:hAnsi="Courier New"/>
      <w:sz w:val="24"/>
      <w:szCs w:val="20"/>
    </w:rPr>
  </w:style>
  <w:style w:type="paragraph" w:customStyle="1" w:styleId="297">
    <w:name w:val="文档结构图2"/>
    <w:basedOn w:val="1"/>
    <w:qFormat/>
    <w:uiPriority w:val="0"/>
    <w:pPr>
      <w:shd w:val="clear" w:color="auto" w:fill="000080"/>
    </w:pPr>
    <w:rPr>
      <w:rFonts w:ascii="Times New Roman" w:hAnsi="Times New Roman"/>
      <w:sz w:val="30"/>
      <w:szCs w:val="24"/>
    </w:rPr>
  </w:style>
  <w:style w:type="paragraph" w:customStyle="1" w:styleId="298">
    <w:name w:val="msointensequote"/>
    <w:basedOn w:val="1"/>
    <w:next w:val="1"/>
    <w:qFormat/>
    <w:uiPriority w:val="0"/>
    <w:pPr>
      <w:widowControl/>
      <w:ind w:left="720" w:right="720"/>
      <w:jc w:val="left"/>
    </w:pPr>
    <w:rPr>
      <w:rFonts w:ascii="Times New Roman" w:hAnsi="Times New Roman"/>
      <w:b/>
      <w:i/>
      <w:kern w:val="0"/>
      <w:sz w:val="24"/>
    </w:rPr>
  </w:style>
  <w:style w:type="paragraph" w:customStyle="1" w:styleId="299">
    <w:name w:val="公文抬头"/>
    <w:basedOn w:val="7"/>
    <w:qFormat/>
    <w:uiPriority w:val="0"/>
    <w:pPr>
      <w:ind w:firstLine="0"/>
    </w:pPr>
    <w:rPr>
      <w:rFonts w:ascii="仿宋_GB2312" w:eastAsia="仿宋_GB2312"/>
      <w:sz w:val="30"/>
      <w:szCs w:val="24"/>
    </w:rPr>
  </w:style>
  <w:style w:type="paragraph" w:customStyle="1" w:styleId="300">
    <w:name w:val="正文_1"/>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1">
    <w:name w:val="封四"/>
    <w:basedOn w:val="143"/>
    <w:next w:val="143"/>
    <w:qFormat/>
    <w:uiPriority w:val="0"/>
    <w:pPr>
      <w:jc w:val="left"/>
    </w:pPr>
    <w:rPr>
      <w:sz w:val="30"/>
      <w:szCs w:val="30"/>
    </w:rPr>
  </w:style>
  <w:style w:type="paragraph" w:customStyle="1" w:styleId="302">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3">
    <w:name w:val="正文缩进 New"/>
    <w:basedOn w:val="197"/>
    <w:qFormat/>
    <w:uiPriority w:val="0"/>
    <w:pPr>
      <w:ind w:firstLine="420"/>
    </w:pPr>
    <w:rPr>
      <w:rFonts w:ascii="Times New Roman" w:hAnsi="Times New Roman" w:cs="Times New Roman"/>
      <w:snapToGrid/>
      <w:kern w:val="2"/>
      <w:szCs w:val="20"/>
    </w:rPr>
  </w:style>
  <w:style w:type="paragraph" w:customStyle="1" w:styleId="304">
    <w:name w:val="1"/>
    <w:basedOn w:val="1"/>
    <w:next w:val="1"/>
    <w:qFormat/>
    <w:uiPriority w:val="0"/>
    <w:rPr>
      <w:rFonts w:ascii="Times New Roman" w:hAnsi="Times New Roman"/>
    </w:rPr>
  </w:style>
  <w:style w:type="paragraph" w:customStyle="1" w:styleId="305">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06">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7">
    <w:name w:val="目录"/>
    <w:basedOn w:val="1"/>
    <w:qFormat/>
    <w:uiPriority w:val="0"/>
    <w:pPr>
      <w:suppressLineNumbers/>
      <w:suppressAutoHyphens/>
    </w:pPr>
    <w:rPr>
      <w:rFonts w:ascii="Times New Roman" w:hAnsi="Times New Roman"/>
      <w:szCs w:val="20"/>
      <w:lang w:eastAsia="ar-SA"/>
    </w:rPr>
  </w:style>
  <w:style w:type="paragraph" w:customStyle="1" w:styleId="308">
    <w:name w:val="正文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9">
    <w:name w:val="Char5 Char Char Char Char Char Char Char Char Char Char Char Char Char Char Char Char Char Char Char Char1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0">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1">
    <w:name w:val="页眉 New New"/>
    <w:basedOn w:val="189"/>
    <w:qFormat/>
    <w:uiPriority w:val="0"/>
    <w:pPr>
      <w:pBdr>
        <w:bottom w:val="single" w:color="auto" w:sz="6" w:space="1"/>
      </w:pBdr>
      <w:tabs>
        <w:tab w:val="center" w:pos="4153"/>
        <w:tab w:val="right" w:pos="8306"/>
      </w:tabs>
      <w:snapToGrid w:val="0"/>
      <w:jc w:val="center"/>
    </w:pPr>
    <w:rPr>
      <w:sz w:val="18"/>
    </w:rPr>
  </w:style>
  <w:style w:type="paragraph" w:customStyle="1" w:styleId="312">
    <w:name w:val="正文文本缩进 22"/>
    <w:basedOn w:val="1"/>
    <w:qFormat/>
    <w:uiPriority w:val="0"/>
    <w:pPr>
      <w:spacing w:line="420" w:lineRule="exact"/>
      <w:ind w:firstLine="480"/>
    </w:pPr>
    <w:rPr>
      <w:rFonts w:ascii="Times New Roman" w:hAnsi="Times New Roman"/>
      <w:b/>
      <w:sz w:val="24"/>
      <w:szCs w:val="20"/>
    </w:rPr>
  </w:style>
  <w:style w:type="paragraph" w:customStyle="1" w:styleId="313">
    <w:name w:val="内容目录 10"/>
    <w:basedOn w:val="307"/>
    <w:qFormat/>
    <w:uiPriority w:val="0"/>
    <w:pPr>
      <w:tabs>
        <w:tab w:val="right" w:leader="dot" w:pos="9637"/>
      </w:tabs>
      <w:ind w:left="2547"/>
    </w:pPr>
  </w:style>
  <w:style w:type="paragraph" w:customStyle="1" w:styleId="314">
    <w:name w:val="批注文字1"/>
    <w:basedOn w:val="1"/>
    <w:qFormat/>
    <w:uiPriority w:val="0"/>
    <w:pPr>
      <w:suppressAutoHyphens/>
      <w:jc w:val="left"/>
    </w:pPr>
    <w:rPr>
      <w:rFonts w:ascii="Times New Roman" w:hAnsi="Times New Roman"/>
      <w:szCs w:val="20"/>
      <w:lang w:eastAsia="ar-SA"/>
    </w:rPr>
  </w:style>
  <w:style w:type="paragraph" w:customStyle="1" w:styleId="315">
    <w:name w:val="正文文本缩进 32"/>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31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7">
    <w:name w:val="默认段落字体 Para Char"/>
    <w:basedOn w:val="1"/>
    <w:qFormat/>
    <w:uiPriority w:val="0"/>
    <w:pPr>
      <w:spacing w:line="360" w:lineRule="auto"/>
      <w:jc w:val="left"/>
    </w:pPr>
    <w:rPr>
      <w:rFonts w:ascii="Times New Roman" w:hAnsi="Times New Roman" w:eastAsia="仿宋_GB2312"/>
      <w:b/>
      <w:sz w:val="32"/>
      <w:szCs w:val="24"/>
    </w:rPr>
  </w:style>
  <w:style w:type="paragraph" w:customStyle="1" w:styleId="318">
    <w:name w:val="标签"/>
    <w:basedOn w:val="1"/>
    <w:qFormat/>
    <w:uiPriority w:val="0"/>
    <w:pPr>
      <w:suppressLineNumbers/>
      <w:suppressAutoHyphens/>
      <w:spacing w:before="120" w:after="120"/>
    </w:pPr>
    <w:rPr>
      <w:rFonts w:ascii="Times New Roman" w:hAnsi="Times New Roman"/>
      <w:i/>
      <w:iCs/>
      <w:sz w:val="24"/>
      <w:szCs w:val="24"/>
      <w:lang w:eastAsia="ar-SA"/>
    </w:rPr>
  </w:style>
  <w:style w:type="paragraph" w:customStyle="1" w:styleId="319">
    <w:name w:val="日期1"/>
    <w:basedOn w:val="1"/>
    <w:next w:val="1"/>
    <w:qFormat/>
    <w:uiPriority w:val="0"/>
    <w:pPr>
      <w:suppressAutoHyphens/>
      <w:ind w:left="100"/>
    </w:pPr>
    <w:rPr>
      <w:rFonts w:ascii="Times New Roman" w:hAnsi="Times New Roman"/>
      <w:szCs w:val="20"/>
      <w:lang w:eastAsia="ar-SA"/>
    </w:rPr>
  </w:style>
  <w:style w:type="paragraph" w:customStyle="1" w:styleId="320">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纯文本 New"/>
    <w:basedOn w:val="236"/>
    <w:qFormat/>
    <w:uiPriority w:val="0"/>
    <w:rPr>
      <w:rFonts w:ascii="宋体" w:hAnsi="Courier New" w:eastAsia="宋体"/>
      <w:kern w:val="2"/>
      <w:sz w:val="24"/>
    </w:rPr>
  </w:style>
  <w:style w:type="paragraph" w:customStyle="1" w:styleId="322">
    <w:name w:val="样式 标题 3 + (中文) 黑体 小四 非加粗 段前: 7.8 磅 段后: 0 磅 行距: 固定值 20 磅"/>
    <w:basedOn w:val="5"/>
    <w:qFormat/>
    <w:uiPriority w:val="0"/>
    <w:pPr>
      <w:keepNext/>
      <w:keepLines/>
      <w:widowControl w:val="0"/>
      <w:spacing w:beforeLines="50" w:line="400" w:lineRule="exact"/>
      <w:jc w:val="both"/>
    </w:pPr>
    <w:rPr>
      <w:rFonts w:ascii="Calibri" w:hAnsi="Calibri" w:eastAsia="黑体"/>
      <w:b/>
      <w:color w:val="FF0000"/>
      <w:kern w:val="2"/>
      <w:sz w:val="24"/>
      <w:szCs w:val="20"/>
      <w:lang w:val="zh-CN"/>
    </w:rPr>
  </w:style>
  <w:style w:type="paragraph" w:customStyle="1" w:styleId="323">
    <w:name w:val="目录文字"/>
    <w:basedOn w:val="1"/>
    <w:qFormat/>
    <w:uiPriority w:val="0"/>
    <w:pPr>
      <w:widowControl/>
      <w:spacing w:line="480" w:lineRule="auto"/>
      <w:jc w:val="left"/>
    </w:pPr>
    <w:rPr>
      <w:rFonts w:ascii="宋体" w:hAnsi="宋体"/>
      <w:kern w:val="0"/>
      <w:sz w:val="24"/>
      <w:szCs w:val="20"/>
    </w:rPr>
  </w:style>
  <w:style w:type="paragraph" w:customStyle="1" w:styleId="324">
    <w:name w:val="正文首行缩进 New"/>
    <w:basedOn w:val="235"/>
    <w:qFormat/>
    <w:uiPriority w:val="0"/>
    <w:pPr>
      <w:ind w:firstLine="420" w:firstLineChars="100"/>
    </w:pPr>
  </w:style>
  <w:style w:type="paragraph" w:customStyle="1" w:styleId="325">
    <w:name w:val="章节二"/>
    <w:basedOn w:val="143"/>
    <w:next w:val="143"/>
    <w:qFormat/>
    <w:uiPriority w:val="0"/>
    <w:pPr>
      <w:spacing w:beforeLines="50" w:line="240" w:lineRule="auto"/>
      <w:ind w:firstLine="0" w:firstLineChars="0"/>
      <w:jc w:val="center"/>
      <w:outlineLvl w:val="1"/>
    </w:pPr>
    <w:rPr>
      <w:rFonts w:eastAsia="黑体"/>
      <w:b/>
      <w:sz w:val="30"/>
      <w:szCs w:val="30"/>
    </w:rPr>
  </w:style>
  <w:style w:type="paragraph" w:customStyle="1" w:styleId="326">
    <w:name w:val="正文文本缩进1"/>
    <w:basedOn w:val="1"/>
    <w:qFormat/>
    <w:uiPriority w:val="0"/>
    <w:pPr>
      <w:ind w:firstLine="480"/>
    </w:pPr>
    <w:rPr>
      <w:rFonts w:ascii="Times New Roman" w:hAnsi="Times New Roman"/>
      <w:sz w:val="24"/>
      <w:szCs w:val="20"/>
    </w:rPr>
  </w:style>
  <w:style w:type="paragraph" w:customStyle="1" w:styleId="327">
    <w:name w:val="样式 正文缩进正文（首行缩进两字）特点ALT+Z表正文正文非缩进四号段1Normal Indent Char2..."/>
    <w:basedOn w:val="4"/>
    <w:next w:val="5"/>
    <w:qFormat/>
    <w:uiPriority w:val="0"/>
    <w:pPr>
      <w:tabs>
        <w:tab w:val="left" w:pos="840"/>
      </w:tabs>
      <w:spacing w:before="240" w:line="400" w:lineRule="exact"/>
      <w:ind w:left="840" w:hanging="420"/>
    </w:pPr>
    <w:rPr>
      <w:rFonts w:hint="eastAsia" w:eastAsia="黑体"/>
      <w:b w:val="0"/>
      <w:szCs w:val="20"/>
    </w:rPr>
  </w:style>
  <w:style w:type="paragraph" w:customStyle="1" w:styleId="328">
    <w:name w:val="正文文本 21"/>
    <w:basedOn w:val="1"/>
    <w:qFormat/>
    <w:uiPriority w:val="0"/>
    <w:pPr>
      <w:suppressAutoHyphens/>
    </w:pPr>
    <w:rPr>
      <w:rFonts w:ascii="Times New Roman" w:hAnsi="Times New Roman" w:eastAsia="楷体_GB2312"/>
      <w:b/>
      <w:szCs w:val="20"/>
      <w:lang w:eastAsia="ar-SA"/>
    </w:rPr>
  </w:style>
  <w:style w:type="character" w:customStyle="1" w:styleId="329">
    <w:name w:val="正文文本首行缩进 字符"/>
    <w:qFormat/>
    <w:locked/>
    <w:uiPriority w:val="0"/>
    <w:rPr>
      <w:rFonts w:ascii="Times New Roman" w:hAnsi="Times New Roman" w:eastAsia="宋体" w:cs="Times New Roman"/>
      <w:sz w:val="20"/>
    </w:rPr>
  </w:style>
  <w:style w:type="character" w:customStyle="1" w:styleId="330">
    <w:name w:val="页码1"/>
    <w:qFormat/>
    <w:uiPriority w:val="0"/>
  </w:style>
  <w:style w:type="character" w:customStyle="1" w:styleId="331">
    <w:name w:val="标题 3 Char Char"/>
    <w:qFormat/>
    <w:uiPriority w:val="0"/>
    <w:rPr>
      <w:rFonts w:ascii="宋体" w:hAnsi="宋体" w:eastAsia="宋体"/>
      <w:b/>
      <w:bCs/>
      <w:color w:val="FF0000"/>
      <w:kern w:val="2"/>
      <w:sz w:val="24"/>
      <w:szCs w:val="24"/>
      <w:lang w:val="zh-CN" w:eastAsia="zh-CN" w:bidi="ar-SA"/>
    </w:rPr>
  </w:style>
  <w:style w:type="paragraph" w:customStyle="1" w:styleId="332">
    <w:name w:val="页脚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3">
    <w:name w:val="页脚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4">
    <w:name w:val="页脚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5">
    <w:name w:val="页脚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6">
    <w:name w:val="页脚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7">
    <w:name w:val="页脚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8">
    <w:name w:val="页脚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9">
    <w:name w:val="页脚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0">
    <w:name w:val="页脚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1">
    <w:name w:val="页脚 New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2">
    <w:name w:val="页脚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3">
    <w:name w:val="页脚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4">
    <w:name w:val="页脚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5">
    <w:name w:val="页脚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6">
    <w:name w:val="页脚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7">
    <w:name w:val="页脚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8">
    <w:name w:val="页脚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9">
    <w:name w:val="页脚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50">
    <w:name w:val="页脚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51">
    <w:name w:val="文档结构图3"/>
    <w:basedOn w:val="1"/>
    <w:qFormat/>
    <w:uiPriority w:val="0"/>
    <w:pPr>
      <w:shd w:val="clear" w:color="auto" w:fill="000080"/>
    </w:pPr>
    <w:rPr>
      <w:rFonts w:ascii="Times New Roman" w:hAnsi="Times New Roman"/>
      <w:sz w:val="30"/>
      <w:szCs w:val="24"/>
    </w:rPr>
  </w:style>
  <w:style w:type="paragraph" w:customStyle="1" w:styleId="352">
    <w:name w:val="正文文本缩进 33"/>
    <w:basedOn w:val="1"/>
    <w:qFormat/>
    <w:uiPriority w:val="0"/>
    <w:pPr>
      <w:snapToGrid w:val="0"/>
      <w:spacing w:line="360" w:lineRule="auto"/>
      <w:ind w:left="20" w:firstLine="529" w:firstLineChars="189"/>
    </w:pPr>
    <w:rPr>
      <w:rFonts w:ascii="仿宋_GB2312" w:hAnsi="Times New Roman" w:eastAsia="仿宋_GB2312"/>
      <w:sz w:val="28"/>
      <w:szCs w:val="24"/>
    </w:rPr>
  </w:style>
  <w:style w:type="character" w:customStyle="1" w:styleId="353">
    <w:name w:val="页脚 Char1"/>
    <w:semiHidden/>
    <w:qFormat/>
    <w:uiPriority w:val="99"/>
    <w:rPr>
      <w:rFonts w:ascii="Calibri" w:hAnsi="Calibri"/>
      <w:kern w:val="2"/>
      <w:sz w:val="18"/>
      <w:szCs w:val="18"/>
    </w:rPr>
  </w:style>
  <w:style w:type="character" w:customStyle="1" w:styleId="354">
    <w:name w:val="页眉 Char1"/>
    <w:semiHidden/>
    <w:qFormat/>
    <w:uiPriority w:val="99"/>
    <w:rPr>
      <w:rFonts w:ascii="Calibri" w:hAnsi="Calibri"/>
      <w:kern w:val="2"/>
      <w:sz w:val="18"/>
      <w:szCs w:val="18"/>
    </w:rPr>
  </w:style>
  <w:style w:type="paragraph" w:customStyle="1" w:styleId="355">
    <w:name w:val="正文2"/>
    <w:qFormat/>
    <w:uiPriority w:val="0"/>
    <w:rPr>
      <w:rFonts w:ascii="Times New Roman" w:hAnsi="Times New Roman" w:eastAsia="Times New Roman" w:cs="Times New Roman"/>
      <w:sz w:val="24"/>
      <w:szCs w:val="24"/>
      <w:lang w:val="en-US" w:eastAsia="zh-CN" w:bidi="ar-SA"/>
    </w:rPr>
  </w:style>
  <w:style w:type="paragraph" w:customStyle="1" w:styleId="356">
    <w:name w:val="正文文本缩进 23"/>
    <w:basedOn w:val="1"/>
    <w:qFormat/>
    <w:uiPriority w:val="0"/>
    <w:pPr>
      <w:spacing w:line="420" w:lineRule="exact"/>
      <w:ind w:firstLine="480"/>
    </w:pPr>
    <w:rPr>
      <w:rFonts w:ascii="Times New Roman" w:hAnsi="Times New Roman"/>
      <w:b/>
      <w:sz w:val="24"/>
      <w:szCs w:val="20"/>
    </w:rPr>
  </w:style>
  <w:style w:type="paragraph" w:customStyle="1" w:styleId="357">
    <w:name w:val="纯文本3"/>
    <w:basedOn w:val="1"/>
    <w:qFormat/>
    <w:uiPriority w:val="0"/>
    <w:rPr>
      <w:rFonts w:ascii="宋体" w:hAnsi="Courier New"/>
      <w:sz w:val="24"/>
      <w:szCs w:val="20"/>
    </w:rPr>
  </w:style>
  <w:style w:type="paragraph" w:customStyle="1" w:styleId="358">
    <w:name w:val="正文首行缩进2"/>
    <w:basedOn w:val="20"/>
    <w:qFormat/>
    <w:uiPriority w:val="0"/>
    <w:pPr>
      <w:ind w:firstLine="420" w:firstLineChars="100"/>
    </w:pPr>
    <w:rPr>
      <w:rFonts w:hAnsi="Calibri"/>
      <w:kern w:val="0"/>
      <w:sz w:val="30"/>
      <w:szCs w:val="24"/>
    </w:rPr>
  </w:style>
  <w:style w:type="paragraph" w:customStyle="1" w:styleId="359">
    <w:name w:val="正文文本缩进2"/>
    <w:basedOn w:val="1"/>
    <w:qFormat/>
    <w:uiPriority w:val="0"/>
    <w:pPr>
      <w:ind w:firstLine="480"/>
    </w:pPr>
    <w:rPr>
      <w:rFonts w:ascii="Times New Roman" w:hAnsi="Times New Roman"/>
      <w:sz w:val="24"/>
      <w:szCs w:val="20"/>
    </w:rPr>
  </w:style>
  <w:style w:type="paragraph" w:customStyle="1" w:styleId="360">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361">
    <w:name w:val="正文缩进2"/>
    <w:basedOn w:val="1"/>
    <w:qFormat/>
    <w:uiPriority w:val="0"/>
    <w:pPr>
      <w:ind w:firstLine="420" w:firstLineChars="200"/>
    </w:pPr>
    <w:rPr>
      <w:rFonts w:ascii="Times New Roman" w:hAnsi="Times New Roman"/>
      <w:sz w:val="30"/>
      <w:szCs w:val="24"/>
    </w:rPr>
  </w:style>
  <w:style w:type="paragraph" w:customStyle="1" w:styleId="362">
    <w:name w:val="表格文字缩进"/>
    <w:basedOn w:val="227"/>
    <w:qFormat/>
    <w:uiPriority w:val="0"/>
    <w:pPr>
      <w:widowControl/>
      <w:tabs>
        <w:tab w:val="clear" w:pos="720"/>
        <w:tab w:val="clear" w:pos="900"/>
      </w:tabs>
      <w:adjustRightInd/>
      <w:snapToGrid/>
      <w:spacing w:beforeLines="0" w:afterLines="0" w:line="240" w:lineRule="atLeast"/>
      <w:ind w:firstLine="360" w:firstLineChars="200"/>
      <w:jc w:val="left"/>
    </w:pPr>
    <w:rPr>
      <w:rFonts w:ascii="Times New Roman" w:hAnsi="Times New Roman" w:cs="宋体"/>
      <w:color w:val="000000"/>
      <w:sz w:val="21"/>
      <w:szCs w:val="18"/>
    </w:rPr>
  </w:style>
  <w:style w:type="character" w:customStyle="1" w:styleId="363">
    <w:name w:val="文一 Char"/>
    <w:qFormat/>
    <w:locked/>
    <w:uiPriority w:val="0"/>
    <w:rPr>
      <w:spacing w:val="4"/>
      <w:sz w:val="24"/>
      <w:szCs w:val="24"/>
    </w:rPr>
  </w:style>
  <w:style w:type="paragraph" w:customStyle="1" w:styleId="364">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365">
    <w:name w:val="正文缩进3"/>
    <w:basedOn w:val="1"/>
    <w:qFormat/>
    <w:uiPriority w:val="0"/>
    <w:pPr>
      <w:ind w:firstLine="420" w:firstLineChars="200"/>
    </w:pPr>
    <w:rPr>
      <w:rFonts w:ascii="Times New Roman" w:hAnsi="Times New Roman"/>
      <w:sz w:val="30"/>
      <w:szCs w:val="24"/>
    </w:rPr>
  </w:style>
  <w:style w:type="character" w:customStyle="1" w:styleId="366">
    <w:name w:val="页码2"/>
    <w:qFormat/>
    <w:uiPriority w:val="0"/>
  </w:style>
  <w:style w:type="paragraph" w:customStyle="1" w:styleId="367">
    <w:name w:val="正文文本缩进3"/>
    <w:basedOn w:val="1"/>
    <w:qFormat/>
    <w:uiPriority w:val="0"/>
    <w:pPr>
      <w:ind w:firstLine="480"/>
    </w:pPr>
    <w:rPr>
      <w:rFonts w:ascii="Times New Roman" w:hAnsi="Times New Roman"/>
      <w:sz w:val="24"/>
      <w:szCs w:val="20"/>
    </w:rPr>
  </w:style>
  <w:style w:type="paragraph" w:customStyle="1" w:styleId="368">
    <w:name w:val="普通(网站)3"/>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369">
    <w:name w:val="正文文本缩进 34"/>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370">
    <w:name w:val="正文文本缩进 24"/>
    <w:basedOn w:val="1"/>
    <w:qFormat/>
    <w:uiPriority w:val="0"/>
    <w:pPr>
      <w:spacing w:line="420" w:lineRule="exact"/>
      <w:ind w:firstLine="480"/>
    </w:pPr>
    <w:rPr>
      <w:rFonts w:ascii="Times New Roman" w:hAnsi="Times New Roman"/>
      <w:b/>
      <w:sz w:val="24"/>
      <w:szCs w:val="20"/>
    </w:rPr>
  </w:style>
  <w:style w:type="paragraph" w:customStyle="1" w:styleId="371">
    <w:name w:val="纯文本4"/>
    <w:basedOn w:val="1"/>
    <w:qFormat/>
    <w:uiPriority w:val="0"/>
    <w:rPr>
      <w:rFonts w:ascii="宋体" w:hAnsi="Courier New"/>
      <w:sz w:val="24"/>
      <w:szCs w:val="20"/>
    </w:rPr>
  </w:style>
  <w:style w:type="paragraph" w:customStyle="1" w:styleId="372">
    <w:name w:val="正文首行缩进3"/>
    <w:basedOn w:val="20"/>
    <w:qFormat/>
    <w:uiPriority w:val="0"/>
    <w:pPr>
      <w:ind w:firstLine="420" w:firstLineChars="100"/>
    </w:pPr>
    <w:rPr>
      <w:sz w:val="30"/>
      <w:szCs w:val="24"/>
    </w:rPr>
  </w:style>
  <w:style w:type="paragraph" w:customStyle="1" w:styleId="373">
    <w:name w:val="文档结构图4"/>
    <w:basedOn w:val="1"/>
    <w:qFormat/>
    <w:uiPriority w:val="0"/>
    <w:pPr>
      <w:shd w:val="clear" w:color="auto" w:fill="000080"/>
    </w:pPr>
    <w:rPr>
      <w:rFonts w:ascii="Times New Roman" w:hAnsi="Times New Roman"/>
      <w:sz w:val="30"/>
      <w:szCs w:val="24"/>
    </w:rPr>
  </w:style>
  <w:style w:type="character" w:styleId="374">
    <w:name w:val="Placeholder Text"/>
    <w:semiHidden/>
    <w:qFormat/>
    <w:uiPriority w:val="99"/>
    <w:rPr>
      <w:color w:val="808080"/>
    </w:rPr>
  </w:style>
  <w:style w:type="paragraph" w:customStyle="1" w:styleId="375">
    <w:name w:val="PlainText"/>
    <w:basedOn w:val="1"/>
    <w:qFormat/>
    <w:uiPriority w:val="0"/>
    <w:rPr>
      <w:rFonts w:ascii="宋体" w:hAnsi="Courier New"/>
      <w:kern w:val="0"/>
      <w:sz w:val="20"/>
      <w:szCs w:val="20"/>
    </w:rPr>
  </w:style>
  <w:style w:type="paragraph" w:customStyle="1" w:styleId="37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77">
    <w:name w:val="NormalCharacter"/>
    <w:qFormat/>
    <w:uiPriority w:val="0"/>
  </w:style>
  <w:style w:type="paragraph" w:customStyle="1" w:styleId="378">
    <w:name w:val="WPSOffice手动目录 1"/>
    <w:qFormat/>
    <w:uiPriority w:val="0"/>
    <w:rPr>
      <w:rFonts w:ascii="Times New Roman" w:hAnsi="Times New Roman" w:eastAsia="宋体" w:cs="Times New Roman"/>
      <w:lang w:val="en-US" w:eastAsia="zh-CN" w:bidi="ar-SA"/>
    </w:rPr>
  </w:style>
  <w:style w:type="paragraph" w:customStyle="1" w:styleId="379">
    <w:name w:val="WPSOffice手动目录 2"/>
    <w:qFormat/>
    <w:uiPriority w:val="0"/>
    <w:pPr>
      <w:ind w:leftChars="200"/>
    </w:pPr>
    <w:rPr>
      <w:rFonts w:ascii="Times New Roman" w:hAnsi="Times New Roman" w:eastAsia="宋体" w:cs="Times New Roman"/>
      <w:lang w:val="en-US" w:eastAsia="zh-CN" w:bidi="ar-SA"/>
    </w:rPr>
  </w:style>
  <w:style w:type="character" w:customStyle="1" w:styleId="380">
    <w:name w:val="font21"/>
    <w:qFormat/>
    <w:uiPriority w:val="0"/>
    <w:rPr>
      <w:rFonts w:hint="default" w:ascii="Times New Roman" w:hAnsi="Times New Roman" w:cs="Times New Roman"/>
      <w:b/>
      <w:bCs/>
      <w:color w:val="000000"/>
      <w:sz w:val="28"/>
      <w:szCs w:val="28"/>
      <w:u w:val="none"/>
    </w:rPr>
  </w:style>
  <w:style w:type="character" w:customStyle="1" w:styleId="381">
    <w:name w:val="font01"/>
    <w:qFormat/>
    <w:uiPriority w:val="0"/>
    <w:rPr>
      <w:rFonts w:hint="eastAsia" w:ascii="宋体" w:hAnsi="宋体" w:eastAsia="宋体" w:cs="宋体"/>
      <w:b/>
      <w:bCs/>
      <w:color w:val="000000"/>
      <w:sz w:val="28"/>
      <w:szCs w:val="28"/>
      <w:u w:val="none"/>
    </w:rPr>
  </w:style>
  <w:style w:type="paragraph" w:customStyle="1" w:styleId="382">
    <w:name w:val="_Style 381"/>
    <w:unhideWhenUsed/>
    <w:qFormat/>
    <w:uiPriority w:val="99"/>
    <w:rPr>
      <w:rFonts w:ascii="Calibri" w:hAnsi="Calibri" w:eastAsia="宋体" w:cs="Times New Roman"/>
      <w:kern w:val="2"/>
      <w:sz w:val="21"/>
      <w:szCs w:val="22"/>
      <w:lang w:val="en-US" w:eastAsia="zh-CN" w:bidi="ar-SA"/>
    </w:rPr>
  </w:style>
  <w:style w:type="character" w:customStyle="1" w:styleId="383">
    <w:name w:val="纯文本 字符1"/>
    <w:qFormat/>
    <w:uiPriority w:val="0"/>
    <w:rPr>
      <w:rFonts w:ascii="宋体" w:hAnsi="Courier New"/>
    </w:rPr>
  </w:style>
  <w:style w:type="paragraph" w:customStyle="1" w:styleId="384">
    <w:name w:val="Other|1"/>
    <w:basedOn w:val="1"/>
    <w:qFormat/>
    <w:uiPriority w:val="0"/>
    <w:pPr>
      <w:spacing w:line="228" w:lineRule="exact"/>
    </w:pPr>
    <w:rPr>
      <w:rFonts w:ascii="宋体" w:hAnsi="宋体" w:cs="宋体"/>
      <w:sz w:val="17"/>
      <w:szCs w:val="17"/>
      <w:lang w:val="zh-TW" w:eastAsia="zh-TW" w:bidi="zh-TW"/>
    </w:rPr>
  </w:style>
  <w:style w:type="paragraph" w:customStyle="1" w:styleId="385">
    <w:name w:val="Body text|3"/>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386">
    <w:name w:val="BodyText"/>
    <w:basedOn w:val="1"/>
    <w:qFormat/>
    <w:uiPriority w:val="0"/>
    <w:pPr>
      <w:spacing w:after="120"/>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13904</Words>
  <Characters>14548</Characters>
  <Lines>542</Lines>
  <Paragraphs>152</Paragraphs>
  <TotalTime>3</TotalTime>
  <ScaleCrop>false</ScaleCrop>
  <LinksUpToDate>false</LinksUpToDate>
  <CharactersWithSpaces>15736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2024-06-19T04:52:00Z</dcterms:created>
  <dc:creator>wenming</dc:creator>
  <cp:lastModifiedBy>elton</cp:lastModifiedBy>
  <cp:lastPrinted>2025-06-23T08:59:00Z</cp:lastPrinted>
  <dcterms:modified xsi:type="dcterms:W3CDTF">2025-06-26T07:25:12Z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7156DE0907B04E98BBCF667C5DCBEB08_13</vt:lpwstr>
  </property>
  <property fmtid="{D5CDD505-2E9C-101B-9397-08002B2CF9AE}" pid="4" name="commondata">
    <vt:lpwstr>eyJoZGlkIjoiZjc3MTA1NmZhZmZhY2NlMDY0YmVmMTcxODRlOWI0YzgifQ==</vt:lpwstr>
  </property>
  <property fmtid="{D5CDD505-2E9C-101B-9397-08002B2CF9AE}" pid="5" name="KSOTemplateDocerSaveRecord">
    <vt:lpwstr>eyJoZGlkIjoiN2YxMWM4YzcxODNjNDVmZmMyYjVhZDYxZDQ0MjIwYWUiLCJ1c2VySWQiOiI1NDA2ODQwNzcifQ==</vt:lpwstr>
  </property>
</Properties>
</file>