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01E73B">
      <w:pPr>
        <w:spacing w:line="300" w:lineRule="auto"/>
        <w:jc w:val="center"/>
        <w:rPr>
          <w:rFonts w:hint="eastAsia" w:ascii="宋体" w:hAnsi="宋体" w:cs="宋体"/>
          <w:b/>
          <w:color w:val="auto"/>
          <w:sz w:val="52"/>
          <w:highlight w:val="none"/>
        </w:rPr>
      </w:pPr>
      <w:bookmarkStart w:id="0" w:name="_Toc154922225"/>
      <w:bookmarkStart w:id="1" w:name="_Toc154921241"/>
    </w:p>
    <w:p w14:paraId="30A6056A">
      <w:pPr>
        <w:spacing w:line="300" w:lineRule="auto"/>
        <w:jc w:val="center"/>
        <w:rPr>
          <w:rFonts w:hint="eastAsia" w:ascii="宋体" w:hAnsi="宋体" w:cs="宋体"/>
          <w:b/>
          <w:color w:val="auto"/>
          <w:sz w:val="52"/>
          <w:highlight w:val="none"/>
        </w:rPr>
      </w:pPr>
      <w:r>
        <w:rPr>
          <w:rFonts w:hint="eastAsia" w:ascii="宋体" w:hAnsi="宋体" w:cs="宋体"/>
          <w:b/>
          <w:color w:val="auto"/>
          <w:sz w:val="52"/>
          <w:highlight w:val="none"/>
          <w:lang w:eastAsia="zh-CN"/>
        </w:rPr>
        <w:t>中交冷链（广州天河）智慧产业园项目监理</w:t>
      </w:r>
    </w:p>
    <w:p w14:paraId="278ADA53">
      <w:pPr>
        <w:spacing w:line="360" w:lineRule="auto"/>
        <w:rPr>
          <w:rFonts w:hint="eastAsia" w:ascii="宋体" w:hAnsi="宋体"/>
          <w:color w:val="auto"/>
          <w:highlight w:val="none"/>
        </w:rPr>
      </w:pPr>
    </w:p>
    <w:p w14:paraId="218283DC">
      <w:pPr>
        <w:spacing w:line="360" w:lineRule="auto"/>
        <w:jc w:val="right"/>
        <w:rPr>
          <w:rFonts w:hint="eastAsia" w:ascii="宋体" w:hAnsi="宋体"/>
          <w:color w:val="auto"/>
          <w:highlight w:val="none"/>
        </w:rPr>
      </w:pPr>
    </w:p>
    <w:p w14:paraId="72A024C2">
      <w:pPr>
        <w:spacing w:line="360" w:lineRule="auto"/>
        <w:rPr>
          <w:rFonts w:hint="eastAsia" w:ascii="宋体" w:hAnsi="宋体"/>
          <w:color w:val="auto"/>
          <w:sz w:val="28"/>
          <w:szCs w:val="28"/>
          <w:highlight w:val="none"/>
        </w:rPr>
      </w:pPr>
    </w:p>
    <w:p w14:paraId="14E962ED">
      <w:pPr>
        <w:spacing w:line="360" w:lineRule="auto"/>
        <w:rPr>
          <w:rFonts w:hint="eastAsia" w:ascii="宋体" w:hAnsi="宋体"/>
          <w:color w:val="auto"/>
          <w:sz w:val="28"/>
          <w:highlight w:val="none"/>
        </w:rPr>
      </w:pPr>
    </w:p>
    <w:p w14:paraId="1234A201">
      <w:pPr>
        <w:spacing w:line="300" w:lineRule="auto"/>
        <w:jc w:val="center"/>
        <w:rPr>
          <w:rFonts w:ascii="宋体" w:hAnsi="宋体" w:cs="宋体"/>
          <w:b/>
          <w:color w:val="auto"/>
          <w:spacing w:val="26"/>
          <w:sz w:val="110"/>
          <w:highlight w:val="none"/>
        </w:rPr>
      </w:pPr>
      <w:r>
        <w:rPr>
          <w:rFonts w:hint="eastAsia" w:ascii="宋体" w:hAnsi="宋体" w:cs="宋体"/>
          <w:b/>
          <w:color w:val="auto"/>
          <w:spacing w:val="26"/>
          <w:sz w:val="110"/>
          <w:highlight w:val="none"/>
        </w:rPr>
        <w:t>招标文件</w:t>
      </w:r>
    </w:p>
    <w:p w14:paraId="0B03CC8D">
      <w:pPr>
        <w:spacing w:line="360" w:lineRule="auto"/>
        <w:rPr>
          <w:rFonts w:hint="eastAsia" w:ascii="宋体" w:hAnsi="宋体"/>
          <w:color w:val="auto"/>
          <w:highlight w:val="none"/>
        </w:rPr>
      </w:pPr>
    </w:p>
    <w:p w14:paraId="6897EF18">
      <w:pPr>
        <w:spacing w:line="360" w:lineRule="auto"/>
        <w:rPr>
          <w:rFonts w:hint="eastAsia" w:ascii="宋体" w:hAnsi="宋体"/>
          <w:color w:val="auto"/>
          <w:highlight w:val="none"/>
        </w:rPr>
      </w:pPr>
    </w:p>
    <w:p w14:paraId="40627B5C">
      <w:pPr>
        <w:spacing w:line="360" w:lineRule="auto"/>
        <w:rPr>
          <w:rFonts w:hint="eastAsia" w:ascii="宋体" w:hAnsi="宋体"/>
          <w:color w:val="auto"/>
          <w:highlight w:val="none"/>
        </w:rPr>
      </w:pPr>
    </w:p>
    <w:p w14:paraId="0929DD09">
      <w:pPr>
        <w:spacing w:line="360" w:lineRule="auto"/>
        <w:rPr>
          <w:rFonts w:hint="eastAsia" w:ascii="宋体" w:hAnsi="宋体"/>
          <w:color w:val="auto"/>
          <w:highlight w:val="none"/>
        </w:rPr>
      </w:pPr>
    </w:p>
    <w:p w14:paraId="5E2F479E">
      <w:pPr>
        <w:spacing w:line="360" w:lineRule="auto"/>
        <w:rPr>
          <w:rFonts w:hint="eastAsia" w:ascii="宋体" w:hAnsi="宋体"/>
          <w:color w:val="auto"/>
          <w:highlight w:val="none"/>
        </w:rPr>
      </w:pPr>
    </w:p>
    <w:p w14:paraId="4BA76142">
      <w:pPr>
        <w:spacing w:line="360" w:lineRule="auto"/>
        <w:rPr>
          <w:rFonts w:hint="eastAsia" w:ascii="宋体" w:hAnsi="宋体"/>
          <w:color w:val="auto"/>
          <w:highlight w:val="none"/>
        </w:rPr>
      </w:pPr>
    </w:p>
    <w:p w14:paraId="667F3E9D">
      <w:pPr>
        <w:spacing w:line="360" w:lineRule="auto"/>
        <w:rPr>
          <w:rFonts w:hint="eastAsia" w:ascii="宋体" w:hAnsi="宋体"/>
          <w:color w:val="auto"/>
          <w:highlight w:val="none"/>
        </w:rPr>
      </w:pPr>
    </w:p>
    <w:p w14:paraId="362A9BBD">
      <w:pPr>
        <w:spacing w:line="360" w:lineRule="auto"/>
        <w:ind w:firstLine="945"/>
        <w:rPr>
          <w:rFonts w:hint="eastAsia" w:ascii="宋体" w:hAnsi="宋体" w:cs="宋体"/>
          <w:color w:val="auto"/>
          <w:sz w:val="30"/>
          <w:highlight w:val="none"/>
        </w:rPr>
      </w:pPr>
    </w:p>
    <w:p w14:paraId="705B6B20">
      <w:pPr>
        <w:spacing w:line="360" w:lineRule="auto"/>
        <w:ind w:firstLine="945"/>
        <w:rPr>
          <w:rFonts w:hint="eastAsia" w:ascii="宋体" w:hAnsi="宋体" w:cs="宋体"/>
          <w:color w:val="auto"/>
          <w:sz w:val="30"/>
          <w:highlight w:val="none"/>
        </w:rPr>
      </w:pPr>
    </w:p>
    <w:p w14:paraId="70955AE5">
      <w:pPr>
        <w:spacing w:line="360" w:lineRule="auto"/>
        <w:ind w:firstLine="945"/>
        <w:rPr>
          <w:rFonts w:hint="eastAsia" w:ascii="宋体" w:hAnsi="宋体" w:eastAsia="宋体" w:cs="宋体"/>
          <w:color w:val="auto"/>
          <w:sz w:val="30"/>
          <w:highlight w:val="none"/>
          <w:u w:val="single"/>
          <w:lang w:eastAsia="zh-CN"/>
        </w:rPr>
      </w:pPr>
      <w:r>
        <w:rPr>
          <w:rFonts w:hint="eastAsia" w:ascii="宋体" w:hAnsi="宋体" w:cs="宋体"/>
          <w:color w:val="auto"/>
          <w:sz w:val="30"/>
          <w:highlight w:val="none"/>
        </w:rPr>
        <w:t>招   标   人：</w:t>
      </w:r>
      <w:r>
        <w:rPr>
          <w:rFonts w:hint="eastAsia" w:ascii="宋体" w:hAnsi="宋体" w:cs="宋体"/>
          <w:color w:val="auto"/>
          <w:sz w:val="30"/>
          <w:highlight w:val="none"/>
          <w:u w:val="single"/>
          <w:lang w:eastAsia="zh-CN"/>
        </w:rPr>
        <w:t>中交四航（广州）供应链管理有限公司</w:t>
      </w:r>
    </w:p>
    <w:p w14:paraId="72F91EA1">
      <w:pPr>
        <w:spacing w:line="360" w:lineRule="auto"/>
        <w:ind w:firstLine="945"/>
        <w:rPr>
          <w:rFonts w:hint="eastAsia" w:ascii="宋体" w:hAnsi="宋体" w:eastAsia="宋体" w:cs="宋体"/>
          <w:color w:val="auto"/>
          <w:sz w:val="30"/>
          <w:highlight w:val="none"/>
          <w:u w:val="single"/>
          <w:lang w:eastAsia="zh-CN"/>
        </w:rPr>
      </w:pPr>
      <w:r>
        <w:rPr>
          <w:rFonts w:hint="eastAsia" w:ascii="宋体" w:hAnsi="宋体" w:cs="宋体"/>
          <w:color w:val="auto"/>
          <w:sz w:val="30"/>
          <w:highlight w:val="none"/>
        </w:rPr>
        <w:t>招标代理机构：</w:t>
      </w:r>
      <w:r>
        <w:rPr>
          <w:rFonts w:hint="eastAsia" w:ascii="宋体" w:hAnsi="宋体" w:cs="宋体"/>
          <w:color w:val="auto"/>
          <w:sz w:val="30"/>
          <w:highlight w:val="none"/>
          <w:u w:val="single"/>
          <w:lang w:eastAsia="zh-CN"/>
        </w:rPr>
        <w:t>广东粤能工程管理有限公司</w:t>
      </w:r>
    </w:p>
    <w:p w14:paraId="41250A9F">
      <w:pPr>
        <w:spacing w:line="360" w:lineRule="auto"/>
        <w:ind w:firstLine="945"/>
        <w:jc w:val="left"/>
        <w:rPr>
          <w:rFonts w:hint="eastAsia" w:ascii="宋体" w:hAnsi="宋体"/>
          <w:b/>
          <w:color w:val="auto"/>
          <w:sz w:val="28"/>
          <w:szCs w:val="28"/>
          <w:highlight w:val="none"/>
        </w:rPr>
      </w:pPr>
      <w:r>
        <w:rPr>
          <w:rFonts w:hint="eastAsia" w:ascii="宋体" w:hAnsi="宋体" w:cs="宋体"/>
          <w:color w:val="auto"/>
          <w:sz w:val="32"/>
          <w:highlight w:val="none"/>
        </w:rPr>
        <w:t>日       期：</w:t>
      </w:r>
      <w:r>
        <w:rPr>
          <w:rFonts w:hint="eastAsia" w:ascii="宋体" w:hAnsi="宋体" w:cs="宋体"/>
          <w:color w:val="auto"/>
          <w:sz w:val="32"/>
          <w:highlight w:val="none"/>
          <w:u w:val="single"/>
        </w:rPr>
        <w:t>2025年</w:t>
      </w:r>
      <w:r>
        <w:rPr>
          <w:rFonts w:hint="eastAsia" w:ascii="宋体" w:hAnsi="宋体" w:cs="宋体"/>
          <w:color w:val="auto"/>
          <w:sz w:val="32"/>
          <w:highlight w:val="none"/>
          <w:u w:val="single"/>
          <w:lang w:val="en-US" w:eastAsia="zh-CN"/>
        </w:rPr>
        <w:t>6</w:t>
      </w:r>
      <w:r>
        <w:rPr>
          <w:rFonts w:hint="eastAsia" w:ascii="宋体" w:hAnsi="宋体" w:cs="宋体"/>
          <w:color w:val="auto"/>
          <w:sz w:val="32"/>
          <w:highlight w:val="none"/>
          <w:u w:val="single"/>
        </w:rPr>
        <w:t>月</w:t>
      </w:r>
    </w:p>
    <w:p w14:paraId="71975136">
      <w:pPr>
        <w:pStyle w:val="13"/>
        <w:rPr>
          <w:rFonts w:hint="eastAsia"/>
          <w:color w:val="auto"/>
          <w:highlight w:val="none"/>
        </w:rPr>
        <w:sectPr>
          <w:pgSz w:w="12240" w:h="15840"/>
          <w:pgMar w:top="1417" w:right="1701" w:bottom="1134" w:left="1701" w:header="850" w:footer="850" w:gutter="0"/>
          <w:pgNumType w:start="1"/>
          <w:cols w:space="720" w:num="1"/>
          <w:docGrid w:linePitch="285" w:charSpace="0"/>
        </w:sectPr>
      </w:pPr>
    </w:p>
    <w:p w14:paraId="75775BA9">
      <w:pPr>
        <w:pStyle w:val="13"/>
        <w:rPr>
          <w:color w:val="auto"/>
          <w:highlight w:val="none"/>
        </w:rPr>
      </w:pPr>
    </w:p>
    <w:p w14:paraId="2E74B8BA">
      <w:pPr>
        <w:spacing w:line="360" w:lineRule="auto"/>
        <w:jc w:val="center"/>
        <w:rPr>
          <w:rFonts w:ascii="宋体" w:hAnsi="宋体"/>
          <w:color w:val="auto"/>
          <w:sz w:val="52"/>
          <w:highlight w:val="none"/>
        </w:rPr>
      </w:pPr>
      <w:r>
        <w:rPr>
          <w:rFonts w:hint="eastAsia" w:ascii="宋体" w:hAnsi="宋体"/>
          <w:color w:val="auto"/>
          <w:sz w:val="52"/>
          <w:highlight w:val="none"/>
        </w:rPr>
        <w:t>重要提示</w:t>
      </w:r>
    </w:p>
    <w:p w14:paraId="182FB7C9">
      <w:pPr>
        <w:spacing w:line="360" w:lineRule="auto"/>
        <w:ind w:firstLine="537" w:firstLineChars="224"/>
        <w:jc w:val="center"/>
        <w:rPr>
          <w:rFonts w:ascii="宋体" w:hAnsi="宋体"/>
          <w:color w:val="auto"/>
          <w:sz w:val="24"/>
          <w:highlight w:val="none"/>
        </w:rPr>
      </w:pPr>
    </w:p>
    <w:p w14:paraId="1D6A2A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本项目实施电子招投标，投标人应先认真阅读《建设工程全流程电子化项目操作指南》。</w:t>
      </w:r>
    </w:p>
    <w:p w14:paraId="111AB494">
      <w:pPr>
        <w:spacing w:line="360" w:lineRule="auto"/>
        <w:ind w:firstLine="480" w:firstLineChars="200"/>
        <w:rPr>
          <w:rFonts w:ascii="宋体" w:hAnsi="宋体"/>
          <w:color w:val="auto"/>
          <w:sz w:val="24"/>
          <w:highlight w:val="none"/>
        </w:rPr>
      </w:pPr>
    </w:p>
    <w:bookmarkEnd w:id="0"/>
    <w:bookmarkEnd w:id="1"/>
    <w:p w14:paraId="0C2CB077">
      <w:pPr>
        <w:pStyle w:val="114"/>
        <w:keepNext w:val="0"/>
        <w:keepLines w:val="0"/>
        <w:widowControl w:val="0"/>
        <w:jc w:val="center"/>
        <w:rPr>
          <w:rFonts w:ascii="宋体" w:hAnsi="宋体"/>
          <w:b w:val="0"/>
          <w:color w:val="auto"/>
          <w:highlight w:val="none"/>
          <w:lang w:val="zh-CN"/>
        </w:rPr>
      </w:pPr>
    </w:p>
    <w:p w14:paraId="03D8614E">
      <w:pPr>
        <w:pStyle w:val="31"/>
        <w:tabs>
          <w:tab w:val="right" w:leader="dot" w:pos="9112"/>
        </w:tabs>
        <w:rPr>
          <w:rFonts w:ascii="宋体" w:hAnsi="宋体"/>
          <w:color w:val="auto"/>
          <w:highlight w:val="none"/>
        </w:rPr>
      </w:pPr>
      <w:r>
        <w:rPr>
          <w:rFonts w:ascii="宋体" w:hAnsi="宋体"/>
          <w:b/>
          <w:color w:val="auto"/>
          <w:highlight w:val="none"/>
          <w:lang w:val="zh-CN"/>
        </w:rPr>
        <w:br w:type="page"/>
      </w: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p>
    <w:p w14:paraId="4968BEC0">
      <w:pPr>
        <w:spacing w:line="360" w:lineRule="auto"/>
        <w:jc w:val="center"/>
        <w:rPr>
          <w:rFonts w:hint="eastAsia" w:ascii="宋体" w:hAnsi="宋体"/>
          <w:color w:val="auto"/>
          <w:sz w:val="52"/>
          <w:highlight w:val="none"/>
        </w:rPr>
      </w:pPr>
      <w:r>
        <w:rPr>
          <w:rFonts w:hint="eastAsia" w:ascii="宋体" w:hAnsi="宋体"/>
          <w:color w:val="auto"/>
          <w:sz w:val="52"/>
          <w:highlight w:val="none"/>
        </w:rPr>
        <w:t>目 录</w:t>
      </w:r>
    </w:p>
    <w:p w14:paraId="6A29BE50">
      <w:pPr>
        <w:pStyle w:val="134"/>
        <w:tabs>
          <w:tab w:val="right" w:leader="dot" w:pos="9122"/>
        </w:tabs>
        <w:spacing w:line="540" w:lineRule="exact"/>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"1-1"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"_Toc18929" </w:instrText>
      </w:r>
      <w:r>
        <w:rPr>
          <w:color w:val="auto"/>
          <w:highlight w:val="none"/>
        </w:rPr>
        <w:fldChar w:fldCharType="separate"/>
      </w:r>
      <w:r>
        <w:rPr>
          <w:rFonts w:ascii="宋体" w:hAnsi="宋体"/>
          <w:color w:val="auto"/>
          <w:sz w:val="28"/>
          <w:szCs w:val="28"/>
          <w:highlight w:val="none"/>
        </w:rPr>
        <w:t>第一卷</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_Toc18929 \h </w:instrText>
      </w:r>
      <w:r>
        <w:rPr>
          <w:rFonts w:ascii="宋体" w:hAnsi="宋体"/>
          <w:color w:val="auto"/>
          <w:sz w:val="28"/>
          <w:szCs w:val="28"/>
          <w:highlight w:val="none"/>
        </w:rPr>
        <w:fldChar w:fldCharType="separate"/>
      </w:r>
      <w:r>
        <w:rPr>
          <w:rFonts w:ascii="宋体" w:hAnsi="宋体"/>
          <w:color w:val="auto"/>
          <w:sz w:val="28"/>
          <w:szCs w:val="28"/>
          <w:highlight w:val="none"/>
        </w:rPr>
        <w:t>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C5ECB65">
      <w:pPr>
        <w:pStyle w:val="134"/>
        <w:tabs>
          <w:tab w:val="right" w:leader="dot" w:pos="9122"/>
        </w:tabs>
        <w:spacing w:line="540" w:lineRule="exact"/>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"_Toc5927" </w:instrText>
      </w:r>
      <w:r>
        <w:rPr>
          <w:color w:val="auto"/>
          <w:highlight w:val="none"/>
        </w:rPr>
        <w:fldChar w:fldCharType="separate"/>
      </w:r>
      <w:r>
        <w:rPr>
          <w:rFonts w:ascii="宋体" w:hAnsi="宋体"/>
          <w:color w:val="auto"/>
          <w:sz w:val="28"/>
          <w:szCs w:val="28"/>
          <w:highlight w:val="none"/>
        </w:rPr>
        <w:t>第一章</w:t>
      </w:r>
      <w:r>
        <w:rPr>
          <w:rFonts w:hint="eastAsia" w:ascii="宋体" w:hAnsi="宋体"/>
          <w:color w:val="auto"/>
          <w:sz w:val="28"/>
          <w:szCs w:val="28"/>
          <w:highlight w:val="none"/>
        </w:rPr>
        <w:t xml:space="preserve"> </w:t>
      </w:r>
      <w:r>
        <w:rPr>
          <w:rFonts w:ascii="宋体" w:hAnsi="宋体"/>
          <w:color w:val="auto"/>
          <w:sz w:val="28"/>
          <w:szCs w:val="28"/>
          <w:highlight w:val="none"/>
        </w:rPr>
        <w:t>招标公告</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w:t>
      </w:r>
    </w:p>
    <w:p w14:paraId="0BA8A932">
      <w:pPr>
        <w:pStyle w:val="134"/>
        <w:tabs>
          <w:tab w:val="right" w:leader="dot" w:pos="9122"/>
        </w:tabs>
        <w:spacing w:line="540" w:lineRule="exact"/>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"_Toc2644" </w:instrText>
      </w:r>
      <w:r>
        <w:rPr>
          <w:color w:val="auto"/>
          <w:highlight w:val="none"/>
        </w:rPr>
        <w:fldChar w:fldCharType="separate"/>
      </w:r>
      <w:r>
        <w:rPr>
          <w:rFonts w:hint="eastAsia" w:ascii="宋体" w:hAnsi="宋体"/>
          <w:color w:val="auto"/>
          <w:sz w:val="28"/>
          <w:szCs w:val="28"/>
          <w:highlight w:val="none"/>
        </w:rPr>
        <w:t>第二章 投标人须知</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5</w:t>
      </w:r>
    </w:p>
    <w:p w14:paraId="4ED496FF">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"_Toc6395" </w:instrText>
      </w:r>
      <w:r>
        <w:rPr>
          <w:color w:val="auto"/>
          <w:highlight w:val="none"/>
        </w:rPr>
        <w:fldChar w:fldCharType="separate"/>
      </w:r>
      <w:r>
        <w:rPr>
          <w:rFonts w:hint="eastAsia" w:ascii="宋体" w:hAnsi="宋体"/>
          <w:color w:val="auto"/>
          <w:sz w:val="28"/>
          <w:szCs w:val="28"/>
          <w:highlight w:val="none"/>
        </w:rPr>
        <w:t>第三章 评标办法（“评定分离”定标办法）</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27</w:t>
      </w:r>
    </w:p>
    <w:p w14:paraId="085951C2">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"_Toc15726" </w:instrText>
      </w:r>
      <w:r>
        <w:rPr>
          <w:color w:val="auto"/>
          <w:highlight w:val="none"/>
        </w:rPr>
        <w:fldChar w:fldCharType="separate"/>
      </w:r>
      <w:r>
        <w:rPr>
          <w:rFonts w:hint="eastAsia" w:ascii="宋体" w:hAnsi="宋体"/>
          <w:color w:val="auto"/>
          <w:sz w:val="28"/>
          <w:szCs w:val="28"/>
          <w:highlight w:val="none"/>
        </w:rPr>
        <w:t>第四章 合同条款及格式</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40</w:t>
      </w:r>
    </w:p>
    <w:p w14:paraId="07F8EBED">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"_Toc1039" </w:instrText>
      </w:r>
      <w:r>
        <w:rPr>
          <w:color w:val="auto"/>
          <w:highlight w:val="none"/>
        </w:rPr>
        <w:fldChar w:fldCharType="separate"/>
      </w:r>
      <w:r>
        <w:rPr>
          <w:rFonts w:hint="eastAsia" w:ascii="宋体" w:hAnsi="宋体"/>
          <w:color w:val="auto"/>
          <w:sz w:val="28"/>
          <w:szCs w:val="28"/>
          <w:highlight w:val="none"/>
        </w:rPr>
        <w:t>第二卷</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41</w:t>
      </w:r>
    </w:p>
    <w:p w14:paraId="4367DFA4">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"_Toc25775" </w:instrText>
      </w:r>
      <w:r>
        <w:rPr>
          <w:color w:val="auto"/>
          <w:highlight w:val="none"/>
        </w:rPr>
        <w:fldChar w:fldCharType="separate"/>
      </w:r>
      <w:r>
        <w:rPr>
          <w:rFonts w:hint="eastAsia" w:ascii="宋体" w:hAnsi="宋体"/>
          <w:color w:val="auto"/>
          <w:sz w:val="28"/>
          <w:szCs w:val="28"/>
          <w:highlight w:val="none"/>
        </w:rPr>
        <w:t>第五章 委托人要求</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41</w:t>
      </w:r>
    </w:p>
    <w:p w14:paraId="368A5FD0">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"_Toc29685" </w:instrText>
      </w:r>
      <w:r>
        <w:rPr>
          <w:color w:val="auto"/>
          <w:highlight w:val="none"/>
        </w:rPr>
        <w:fldChar w:fldCharType="separate"/>
      </w:r>
      <w:r>
        <w:rPr>
          <w:rFonts w:hint="eastAsia" w:ascii="宋体" w:hAnsi="宋体"/>
          <w:color w:val="auto"/>
          <w:sz w:val="28"/>
          <w:szCs w:val="28"/>
          <w:highlight w:val="none"/>
        </w:rPr>
        <w:t>第三卷</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42</w:t>
      </w:r>
    </w:p>
    <w:p w14:paraId="29EBFF7A">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"_Toc1700" </w:instrText>
      </w:r>
      <w:r>
        <w:rPr>
          <w:color w:val="auto"/>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rPr>
        <w:t xml:space="preserve"> </w:t>
      </w:r>
      <w:r>
        <w:rPr>
          <w:rFonts w:ascii="宋体" w:hAnsi="宋体"/>
          <w:color w:val="auto"/>
          <w:sz w:val="28"/>
          <w:szCs w:val="28"/>
          <w:highlight w:val="none"/>
        </w:rPr>
        <w:t>投标文件格式</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42</w:t>
      </w:r>
    </w:p>
    <w:p w14:paraId="0E7A7779">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"_Toc19391" </w:instrText>
      </w:r>
      <w:r>
        <w:rPr>
          <w:color w:val="auto"/>
          <w:highlight w:val="none"/>
        </w:rPr>
        <w:fldChar w:fldCharType="separate"/>
      </w:r>
      <w:r>
        <w:rPr>
          <w:rFonts w:hint="eastAsia" w:ascii="宋体" w:hAnsi="宋体"/>
          <w:color w:val="auto"/>
          <w:sz w:val="28"/>
          <w:szCs w:val="28"/>
          <w:highlight w:val="none"/>
        </w:rPr>
        <w:t>第七章 否决性条款汇总</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57</w:t>
      </w:r>
    </w:p>
    <w:p w14:paraId="449C74EA">
      <w:pPr>
        <w:pStyle w:val="134"/>
        <w:tabs>
          <w:tab w:val="right" w:leader="dot" w:pos="9122"/>
        </w:tabs>
        <w:spacing w:line="540" w:lineRule="exact"/>
        <w:rPr>
          <w:rFonts w:ascii="宋体" w:hAnsi="宋体"/>
          <w:color w:val="auto"/>
          <w:highlight w:val="none"/>
        </w:rPr>
      </w:pPr>
      <w:r>
        <w:rPr>
          <w:rFonts w:ascii="宋体" w:hAnsi="宋体"/>
          <w:color w:val="auto"/>
          <w:sz w:val="28"/>
          <w:szCs w:val="28"/>
          <w:highlight w:val="none"/>
        </w:rPr>
        <w:fldChar w:fldCharType="end"/>
      </w:r>
      <w:r>
        <w:rPr>
          <w:rFonts w:ascii="宋体" w:hAnsi="宋体"/>
          <w:color w:val="auto"/>
          <w:highlight w:val="none"/>
        </w:rPr>
        <w:fldChar w:fldCharType="end"/>
      </w:r>
      <w:bookmarkStart w:id="2" w:name="_Toc49509952"/>
    </w:p>
    <w:p w14:paraId="4EC29341">
      <w:pPr>
        <w:pStyle w:val="3"/>
        <w:spacing w:line="240" w:lineRule="auto"/>
        <w:jc w:val="center"/>
        <w:rPr>
          <w:rFonts w:ascii="宋体" w:hAnsi="宋体"/>
          <w:color w:val="auto"/>
          <w:highlight w:val="none"/>
        </w:rPr>
      </w:pPr>
      <w:bookmarkStart w:id="3" w:name="_Toc18929"/>
      <w:r>
        <w:rPr>
          <w:rFonts w:ascii="宋体" w:hAnsi="宋体"/>
          <w:color w:val="auto"/>
          <w:highlight w:val="none"/>
        </w:rPr>
        <w:br w:type="page"/>
      </w:r>
      <w:r>
        <w:rPr>
          <w:rFonts w:ascii="宋体" w:hAnsi="宋体"/>
          <w:color w:val="auto"/>
          <w:highlight w:val="none"/>
        </w:rPr>
        <w:t>第一卷</w:t>
      </w:r>
      <w:bookmarkEnd w:id="2"/>
      <w:bookmarkEnd w:id="3"/>
      <w:bookmarkStart w:id="4" w:name="_Toc49509954"/>
      <w:bookmarkStart w:id="5" w:name="_Toc5927"/>
    </w:p>
    <w:p w14:paraId="6CE27CED">
      <w:pPr>
        <w:pStyle w:val="3"/>
        <w:spacing w:line="240" w:lineRule="auto"/>
        <w:jc w:val="center"/>
        <w:rPr>
          <w:rFonts w:ascii="宋体" w:hAnsi="宋体"/>
          <w:color w:val="auto"/>
          <w:highlight w:val="none"/>
        </w:rPr>
      </w:pPr>
      <w:r>
        <w:rPr>
          <w:rFonts w:ascii="宋体" w:hAnsi="宋体"/>
          <w:color w:val="auto"/>
          <w:highlight w:val="none"/>
        </w:rPr>
        <w:t>第一章</w:t>
      </w:r>
      <w:r>
        <w:rPr>
          <w:rFonts w:hint="eastAsia" w:ascii="宋体" w:hAnsi="宋体"/>
          <w:color w:val="auto"/>
          <w:highlight w:val="none"/>
        </w:rPr>
        <w:t xml:space="preserve"> </w:t>
      </w:r>
      <w:r>
        <w:rPr>
          <w:rFonts w:ascii="宋体" w:hAnsi="宋体"/>
          <w:color w:val="auto"/>
          <w:highlight w:val="none"/>
        </w:rPr>
        <w:t>招标公告</w:t>
      </w:r>
      <w:bookmarkEnd w:id="4"/>
      <w:bookmarkEnd w:id="5"/>
    </w:p>
    <w:p w14:paraId="0C36DC16">
      <w:pPr>
        <w:spacing w:line="400" w:lineRule="exact"/>
        <w:jc w:val="center"/>
        <w:rPr>
          <w:rFonts w:ascii="宋体" w:hAnsi="宋体"/>
          <w:color w:val="auto"/>
          <w:sz w:val="28"/>
          <w:szCs w:val="28"/>
          <w:highlight w:val="none"/>
        </w:rPr>
      </w:pPr>
      <w:bookmarkStart w:id="6" w:name="_Toc361508575"/>
      <w:bookmarkStart w:id="7" w:name="_Toc384308200"/>
      <w:r>
        <w:rPr>
          <w:rFonts w:hint="eastAsia" w:ascii="宋体" w:hAnsi="宋体"/>
          <w:color w:val="auto"/>
          <w:sz w:val="28"/>
          <w:szCs w:val="28"/>
          <w:highlight w:val="none"/>
        </w:rPr>
        <w:t>（另册）</w:t>
      </w:r>
    </w:p>
    <w:p w14:paraId="26753128">
      <w:pPr>
        <w:spacing w:line="360" w:lineRule="auto"/>
        <w:jc w:val="center"/>
        <w:rPr>
          <w:rFonts w:ascii="宋体" w:hAnsi="宋体"/>
          <w:color w:val="auto"/>
          <w:highlight w:val="none"/>
        </w:rPr>
      </w:pPr>
      <w:r>
        <w:rPr>
          <w:rFonts w:ascii="宋体" w:hAnsi="宋体"/>
          <w:color w:val="auto"/>
          <w:highlight w:val="none"/>
        </w:rPr>
        <w:br w:type="page"/>
      </w:r>
      <w:bookmarkEnd w:id="6"/>
      <w:bookmarkEnd w:id="7"/>
      <w:bookmarkStart w:id="8" w:name="_Toc2644"/>
      <w:bookmarkStart w:id="9" w:name="_Toc49509963"/>
      <w:r>
        <w:rPr>
          <w:rFonts w:hint="eastAsia" w:ascii="宋体" w:hAnsi="宋体"/>
          <w:b/>
          <w:bCs/>
          <w:color w:val="auto"/>
          <w:sz w:val="44"/>
          <w:szCs w:val="44"/>
          <w:highlight w:val="none"/>
        </w:rPr>
        <w:t>第二章 投标人须知</w:t>
      </w:r>
      <w:bookmarkEnd w:id="8"/>
      <w:bookmarkEnd w:id="9"/>
    </w:p>
    <w:p w14:paraId="457868B8">
      <w:pPr>
        <w:pStyle w:val="2"/>
        <w:spacing w:line="240" w:lineRule="auto"/>
        <w:jc w:val="center"/>
        <w:rPr>
          <w:rFonts w:ascii="宋体" w:hAnsi="宋体" w:eastAsia="宋体"/>
          <w:color w:val="auto"/>
          <w:highlight w:val="none"/>
        </w:rPr>
      </w:pPr>
      <w:bookmarkStart w:id="10" w:name="_Toc49509964"/>
      <w:r>
        <w:rPr>
          <w:rFonts w:hint="eastAsia" w:ascii="宋体" w:hAnsi="宋体" w:eastAsia="宋体"/>
          <w:color w:val="auto"/>
          <w:highlight w:val="none"/>
        </w:rPr>
        <w:t>投标人须知前附表</w:t>
      </w:r>
      <w:bookmarkEnd w:id="10"/>
    </w:p>
    <w:tbl>
      <w:tblPr>
        <w:tblStyle w:val="46"/>
        <w:tblW w:w="9322" w:type="dxa"/>
        <w:tblInd w:w="0" w:type="dxa"/>
        <w:tblLayout w:type="fixed"/>
        <w:tblCellMar>
          <w:top w:w="0" w:type="dxa"/>
          <w:left w:w="108" w:type="dxa"/>
          <w:bottom w:w="0" w:type="dxa"/>
          <w:right w:w="108" w:type="dxa"/>
        </w:tblCellMar>
      </w:tblPr>
      <w:tblGrid>
        <w:gridCol w:w="1165"/>
        <w:gridCol w:w="2292"/>
        <w:gridCol w:w="5865"/>
      </w:tblGrid>
      <w:tr w14:paraId="2535E758">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14:paraId="418B9638">
            <w:pPr>
              <w:jc w:val="center"/>
              <w:rPr>
                <w:rFonts w:ascii="宋体" w:hAnsi="宋体"/>
                <w:b/>
                <w:color w:val="auto"/>
                <w:szCs w:val="21"/>
                <w:highlight w:val="none"/>
              </w:rPr>
            </w:pPr>
            <w:r>
              <w:rPr>
                <w:rFonts w:hint="eastAsia" w:ascii="宋体" w:hAnsi="宋体"/>
                <w:b/>
                <w:color w:val="auto"/>
                <w:szCs w:val="21"/>
                <w:highlight w:val="none"/>
              </w:rPr>
              <w:t>条款号</w:t>
            </w:r>
          </w:p>
        </w:tc>
        <w:tc>
          <w:tcPr>
            <w:tcW w:w="2292" w:type="dxa"/>
            <w:tcBorders>
              <w:top w:val="single" w:color="auto" w:sz="4" w:space="0"/>
              <w:left w:val="single" w:color="auto" w:sz="4" w:space="0"/>
              <w:bottom w:val="single" w:color="auto" w:sz="4" w:space="0"/>
              <w:right w:val="single" w:color="auto" w:sz="4" w:space="0"/>
            </w:tcBorders>
            <w:vAlign w:val="center"/>
          </w:tcPr>
          <w:p w14:paraId="0EBF3B84">
            <w:pPr>
              <w:jc w:val="center"/>
              <w:rPr>
                <w:rFonts w:ascii="宋体" w:hAnsi="宋体"/>
                <w:b/>
                <w:color w:val="auto"/>
                <w:szCs w:val="21"/>
                <w:highlight w:val="none"/>
              </w:rPr>
            </w:pPr>
            <w:r>
              <w:rPr>
                <w:rFonts w:hint="eastAsia" w:ascii="宋体" w:hAnsi="宋体"/>
                <w:b/>
                <w:color w:val="auto"/>
                <w:szCs w:val="21"/>
                <w:highlight w:val="none"/>
              </w:rPr>
              <w:t>条款名称</w:t>
            </w:r>
          </w:p>
        </w:tc>
        <w:tc>
          <w:tcPr>
            <w:tcW w:w="5865" w:type="dxa"/>
            <w:tcBorders>
              <w:top w:val="single" w:color="auto" w:sz="4" w:space="0"/>
              <w:left w:val="single" w:color="auto" w:sz="4" w:space="0"/>
              <w:bottom w:val="single" w:color="auto" w:sz="4" w:space="0"/>
              <w:right w:val="single" w:color="auto" w:sz="4" w:space="0"/>
            </w:tcBorders>
            <w:vAlign w:val="center"/>
          </w:tcPr>
          <w:p w14:paraId="4DFFE40E">
            <w:pPr>
              <w:jc w:val="center"/>
              <w:rPr>
                <w:rFonts w:ascii="宋体" w:hAnsi="宋体"/>
                <w:b/>
                <w:color w:val="auto"/>
                <w:szCs w:val="21"/>
                <w:highlight w:val="none"/>
              </w:rPr>
            </w:pPr>
            <w:r>
              <w:rPr>
                <w:rFonts w:hint="eastAsia" w:ascii="宋体" w:hAnsi="宋体"/>
                <w:b/>
                <w:color w:val="auto"/>
                <w:szCs w:val="21"/>
                <w:highlight w:val="none"/>
              </w:rPr>
              <w:t>编列内容</w:t>
            </w:r>
          </w:p>
        </w:tc>
      </w:tr>
      <w:tr w14:paraId="35C82C4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1F72F52">
            <w:pPr>
              <w:jc w:val="center"/>
              <w:rPr>
                <w:rFonts w:ascii="宋体" w:hAnsi="宋体"/>
                <w:color w:val="auto"/>
                <w:szCs w:val="21"/>
                <w:highlight w:val="none"/>
              </w:rPr>
            </w:pPr>
            <w:r>
              <w:rPr>
                <w:rFonts w:ascii="宋体" w:hAnsi="宋体"/>
                <w:color w:val="auto"/>
                <w:szCs w:val="21"/>
                <w:highlight w:val="none"/>
              </w:rPr>
              <w:t>1.1.2</w:t>
            </w:r>
          </w:p>
        </w:tc>
        <w:tc>
          <w:tcPr>
            <w:tcW w:w="2292" w:type="dxa"/>
            <w:tcBorders>
              <w:top w:val="single" w:color="auto" w:sz="4" w:space="0"/>
              <w:left w:val="single" w:color="auto" w:sz="4" w:space="0"/>
              <w:bottom w:val="single" w:color="auto" w:sz="4" w:space="0"/>
              <w:right w:val="single" w:color="auto" w:sz="4" w:space="0"/>
            </w:tcBorders>
            <w:vAlign w:val="center"/>
          </w:tcPr>
          <w:p w14:paraId="4A56F42B">
            <w:pPr>
              <w:jc w:val="center"/>
              <w:rPr>
                <w:rFonts w:ascii="宋体" w:hAnsi="宋体"/>
                <w:color w:val="auto"/>
                <w:szCs w:val="21"/>
                <w:highlight w:val="none"/>
              </w:rPr>
            </w:pPr>
            <w:r>
              <w:rPr>
                <w:rFonts w:hint="eastAsia" w:ascii="宋体" w:hAnsi="宋体"/>
                <w:color w:val="auto"/>
                <w:szCs w:val="21"/>
                <w:highlight w:val="none"/>
              </w:rPr>
              <w:t>招标人</w:t>
            </w:r>
          </w:p>
        </w:tc>
        <w:tc>
          <w:tcPr>
            <w:tcW w:w="5865" w:type="dxa"/>
            <w:tcBorders>
              <w:top w:val="single" w:color="auto" w:sz="4" w:space="0"/>
              <w:left w:val="single" w:color="auto" w:sz="4" w:space="0"/>
              <w:bottom w:val="single" w:color="auto" w:sz="4" w:space="0"/>
              <w:right w:val="single" w:color="auto" w:sz="4" w:space="0"/>
            </w:tcBorders>
            <w:vAlign w:val="center"/>
          </w:tcPr>
          <w:p w14:paraId="30C9C51D">
            <w:pPr>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中交四航（广州）供应链管理有限公司</w:t>
            </w:r>
          </w:p>
          <w:p w14:paraId="3F7BD68D">
            <w:pPr>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广州市海珠区沥滘路368号</w:t>
            </w:r>
          </w:p>
          <w:p w14:paraId="2401A1EF">
            <w:pPr>
              <w:rPr>
                <w:rFonts w:hint="eastAsia" w:ascii="宋体" w:hAnsi="宋体" w:cs="宋体"/>
                <w:color w:val="auto"/>
                <w:szCs w:val="21"/>
                <w:highlight w:val="none"/>
                <w:u w:val="single"/>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rPr>
              <w:t>冀经理</w:t>
            </w:r>
          </w:p>
          <w:p w14:paraId="55FDC1B8">
            <w:pPr>
              <w:rPr>
                <w:rFonts w:hint="eastAsia" w:ascii="宋体" w:hAnsi="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020-28126455</w:t>
            </w:r>
          </w:p>
        </w:tc>
      </w:tr>
      <w:tr w14:paraId="26E7B174">
        <w:tblPrEx>
          <w:tblCellMar>
            <w:top w:w="0" w:type="dxa"/>
            <w:left w:w="108" w:type="dxa"/>
            <w:bottom w:w="0" w:type="dxa"/>
            <w:right w:w="108" w:type="dxa"/>
          </w:tblCellMar>
        </w:tblPrEx>
        <w:trPr>
          <w:trHeight w:val="1787" w:hRule="atLeast"/>
        </w:trPr>
        <w:tc>
          <w:tcPr>
            <w:tcW w:w="1165" w:type="dxa"/>
            <w:tcBorders>
              <w:top w:val="single" w:color="auto" w:sz="4" w:space="0"/>
              <w:left w:val="single" w:color="auto" w:sz="4" w:space="0"/>
              <w:bottom w:val="single" w:color="auto" w:sz="4" w:space="0"/>
              <w:right w:val="single" w:color="auto" w:sz="4" w:space="0"/>
            </w:tcBorders>
            <w:vAlign w:val="center"/>
          </w:tcPr>
          <w:p w14:paraId="5EC347BE">
            <w:pPr>
              <w:jc w:val="center"/>
              <w:rPr>
                <w:rFonts w:ascii="宋体" w:hAnsi="宋体"/>
                <w:color w:val="auto"/>
                <w:szCs w:val="21"/>
                <w:highlight w:val="none"/>
              </w:rPr>
            </w:pPr>
            <w:r>
              <w:rPr>
                <w:rFonts w:ascii="宋体" w:hAnsi="宋体"/>
                <w:color w:val="auto"/>
                <w:szCs w:val="21"/>
                <w:highlight w:val="none"/>
              </w:rPr>
              <w:t>1.1.3</w:t>
            </w:r>
          </w:p>
        </w:tc>
        <w:tc>
          <w:tcPr>
            <w:tcW w:w="2292" w:type="dxa"/>
            <w:tcBorders>
              <w:top w:val="single" w:color="auto" w:sz="4" w:space="0"/>
              <w:left w:val="single" w:color="auto" w:sz="4" w:space="0"/>
              <w:bottom w:val="single" w:color="auto" w:sz="4" w:space="0"/>
              <w:right w:val="single" w:color="auto" w:sz="4" w:space="0"/>
            </w:tcBorders>
            <w:vAlign w:val="center"/>
          </w:tcPr>
          <w:p w14:paraId="6F9C2BB4">
            <w:pPr>
              <w:jc w:val="center"/>
              <w:rPr>
                <w:rFonts w:ascii="宋体" w:hAnsi="宋体"/>
                <w:color w:val="auto"/>
                <w:szCs w:val="21"/>
                <w:highlight w:val="none"/>
              </w:rPr>
            </w:pPr>
            <w:r>
              <w:rPr>
                <w:rFonts w:hint="eastAsia" w:ascii="宋体" w:hAnsi="宋体"/>
                <w:color w:val="auto"/>
                <w:szCs w:val="21"/>
                <w:highlight w:val="none"/>
              </w:rPr>
              <w:t>招标代理机构</w:t>
            </w:r>
          </w:p>
        </w:tc>
        <w:tc>
          <w:tcPr>
            <w:tcW w:w="5865" w:type="dxa"/>
            <w:tcBorders>
              <w:top w:val="single" w:color="auto" w:sz="4" w:space="0"/>
              <w:left w:val="single" w:color="auto" w:sz="4" w:space="0"/>
              <w:bottom w:val="single" w:color="auto" w:sz="4" w:space="0"/>
              <w:right w:val="single" w:color="auto" w:sz="4" w:space="0"/>
            </w:tcBorders>
            <w:vAlign w:val="center"/>
          </w:tcPr>
          <w:p w14:paraId="43BFDA1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广东粤能工程管理有限公司</w:t>
            </w:r>
          </w:p>
          <w:p w14:paraId="6D85A80E">
            <w:pPr>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eastAsia="宋体" w:cs="宋体"/>
                <w:color w:val="auto"/>
                <w:szCs w:val="21"/>
                <w:highlight w:val="none"/>
                <w:u w:val="single"/>
              </w:rPr>
              <w:t>广州市天河区华观路明旭街1号万科智慧商业广场B1-2栋4楼402室</w:t>
            </w:r>
          </w:p>
          <w:p w14:paraId="03B6F80E">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eastAsia="宋体" w:cs="宋体"/>
                <w:color w:val="auto"/>
                <w:szCs w:val="21"/>
                <w:highlight w:val="none"/>
                <w:u w:val="single"/>
              </w:rPr>
              <w:t>任工</w:t>
            </w:r>
          </w:p>
          <w:p w14:paraId="1024BCFF">
            <w:pPr>
              <w:rPr>
                <w:rFonts w:hint="eastAsia" w:ascii="宋体" w:hAnsi="宋体" w:eastAsia="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eastAsia="宋体" w:cs="宋体"/>
                <w:color w:val="auto"/>
                <w:szCs w:val="21"/>
                <w:highlight w:val="none"/>
                <w:u w:val="single"/>
              </w:rPr>
              <w:t>020-38730932-8008</w:t>
            </w:r>
          </w:p>
          <w:p w14:paraId="7A730EB9">
            <w:pPr>
              <w:rPr>
                <w:color w:val="auto"/>
                <w:highlight w:val="none"/>
              </w:rPr>
            </w:pPr>
            <w:r>
              <w:rPr>
                <w:rFonts w:hint="eastAsia" w:ascii="宋体" w:hAnsi="宋体" w:eastAsia="宋体" w:cs="宋体"/>
                <w:color w:val="auto"/>
                <w:szCs w:val="21"/>
                <w:highlight w:val="none"/>
                <w:u w:val="none"/>
              </w:rPr>
              <w:t>电子邮件：</w:t>
            </w:r>
            <w:r>
              <w:rPr>
                <w:rFonts w:hint="eastAsia" w:ascii="宋体" w:hAnsi="宋体" w:eastAsia="宋体" w:cs="宋体"/>
                <w:color w:val="auto"/>
                <w:szCs w:val="21"/>
                <w:highlight w:val="none"/>
                <w:u w:val="single"/>
              </w:rPr>
              <w:t>gdynjlzb@126.com</w:t>
            </w:r>
          </w:p>
        </w:tc>
      </w:tr>
      <w:tr w14:paraId="09A5F90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4BB3637">
            <w:pPr>
              <w:jc w:val="center"/>
              <w:rPr>
                <w:rFonts w:ascii="宋体" w:hAnsi="宋体"/>
                <w:color w:val="auto"/>
                <w:szCs w:val="21"/>
                <w:highlight w:val="none"/>
              </w:rPr>
            </w:pPr>
            <w:r>
              <w:rPr>
                <w:rFonts w:ascii="宋体" w:hAnsi="宋体"/>
                <w:color w:val="auto"/>
                <w:szCs w:val="21"/>
                <w:highlight w:val="none"/>
              </w:rPr>
              <w:t>1.1.4</w:t>
            </w:r>
          </w:p>
        </w:tc>
        <w:tc>
          <w:tcPr>
            <w:tcW w:w="2292" w:type="dxa"/>
            <w:tcBorders>
              <w:top w:val="single" w:color="auto" w:sz="4" w:space="0"/>
              <w:left w:val="single" w:color="auto" w:sz="4" w:space="0"/>
              <w:bottom w:val="single" w:color="auto" w:sz="4" w:space="0"/>
              <w:right w:val="single" w:color="auto" w:sz="4" w:space="0"/>
            </w:tcBorders>
            <w:vAlign w:val="center"/>
          </w:tcPr>
          <w:p w14:paraId="03A49344">
            <w:pPr>
              <w:jc w:val="center"/>
              <w:rPr>
                <w:rFonts w:ascii="宋体" w:hAnsi="宋体"/>
                <w:color w:val="auto"/>
                <w:szCs w:val="21"/>
                <w:highlight w:val="none"/>
                <w:u w:val="single"/>
              </w:rPr>
            </w:pPr>
            <w:r>
              <w:rPr>
                <w:rFonts w:hint="eastAsia" w:ascii="宋体" w:hAnsi="宋体"/>
                <w:color w:val="auto"/>
                <w:szCs w:val="21"/>
                <w:highlight w:val="none"/>
                <w:u w:val="single"/>
              </w:rPr>
              <w:t>招标项目名称</w:t>
            </w:r>
          </w:p>
        </w:tc>
        <w:tc>
          <w:tcPr>
            <w:tcW w:w="5865" w:type="dxa"/>
            <w:tcBorders>
              <w:top w:val="single" w:color="auto" w:sz="4" w:space="0"/>
              <w:left w:val="single" w:color="auto" w:sz="4" w:space="0"/>
              <w:bottom w:val="single" w:color="auto" w:sz="4" w:space="0"/>
              <w:right w:val="single" w:color="auto" w:sz="4" w:space="0"/>
            </w:tcBorders>
            <w:vAlign w:val="center"/>
          </w:tcPr>
          <w:p w14:paraId="7BC9A190">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u w:val="single"/>
                <w:lang w:eastAsia="zh-CN"/>
              </w:rPr>
              <w:t>中交冷链（广州天河）智慧产业园项目监理</w:t>
            </w:r>
          </w:p>
        </w:tc>
      </w:tr>
      <w:tr w14:paraId="56D050D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B7C1605">
            <w:pPr>
              <w:jc w:val="center"/>
              <w:rPr>
                <w:rFonts w:ascii="宋体" w:hAnsi="宋体"/>
                <w:color w:val="auto"/>
                <w:szCs w:val="21"/>
                <w:highlight w:val="none"/>
              </w:rPr>
            </w:pPr>
            <w:r>
              <w:rPr>
                <w:rFonts w:ascii="宋体" w:hAnsi="宋体"/>
                <w:color w:val="auto"/>
                <w:szCs w:val="21"/>
                <w:highlight w:val="none"/>
              </w:rPr>
              <w:t>1.1.5</w:t>
            </w:r>
          </w:p>
        </w:tc>
        <w:tc>
          <w:tcPr>
            <w:tcW w:w="2292" w:type="dxa"/>
            <w:tcBorders>
              <w:top w:val="single" w:color="auto" w:sz="4" w:space="0"/>
              <w:left w:val="single" w:color="auto" w:sz="4" w:space="0"/>
              <w:bottom w:val="single" w:color="auto" w:sz="4" w:space="0"/>
              <w:right w:val="single" w:color="auto" w:sz="4" w:space="0"/>
            </w:tcBorders>
            <w:vAlign w:val="center"/>
          </w:tcPr>
          <w:p w14:paraId="38CC019F">
            <w:pPr>
              <w:jc w:val="center"/>
              <w:rPr>
                <w:rFonts w:ascii="宋体" w:hAnsi="宋体"/>
                <w:color w:val="auto"/>
                <w:szCs w:val="21"/>
                <w:highlight w:val="none"/>
              </w:rPr>
            </w:pPr>
            <w:r>
              <w:rPr>
                <w:rFonts w:hint="eastAsia" w:ascii="宋体" w:hAnsi="宋体"/>
                <w:color w:val="auto"/>
                <w:szCs w:val="21"/>
                <w:highlight w:val="none"/>
              </w:rPr>
              <w:t>项目建设地点</w:t>
            </w:r>
          </w:p>
        </w:tc>
        <w:tc>
          <w:tcPr>
            <w:tcW w:w="5865" w:type="dxa"/>
            <w:tcBorders>
              <w:top w:val="single" w:color="auto" w:sz="4" w:space="0"/>
              <w:left w:val="single" w:color="auto" w:sz="4" w:space="0"/>
              <w:bottom w:val="single" w:color="auto" w:sz="4" w:space="0"/>
              <w:right w:val="single" w:color="auto" w:sz="4" w:space="0"/>
            </w:tcBorders>
            <w:vAlign w:val="center"/>
          </w:tcPr>
          <w:p w14:paraId="68D4A3B0">
            <w:pPr>
              <w:jc w:val="left"/>
              <w:rPr>
                <w:rFonts w:ascii="宋体" w:hAnsi="宋体"/>
                <w:color w:val="auto"/>
                <w:szCs w:val="21"/>
                <w:highlight w:val="none"/>
                <w:u w:val="single"/>
              </w:rPr>
            </w:pPr>
            <w:r>
              <w:rPr>
                <w:rFonts w:hint="eastAsia" w:ascii="宋体" w:hAnsi="宋体"/>
                <w:color w:val="auto"/>
                <w:szCs w:val="21"/>
                <w:highlight w:val="none"/>
                <w:u w:val="single"/>
              </w:rPr>
              <w:t>详见招标公</w:t>
            </w:r>
            <w:r>
              <w:rPr>
                <w:rFonts w:hint="eastAsia" w:ascii="宋体" w:hAnsi="宋体" w:cs="宋体"/>
                <w:color w:val="auto"/>
                <w:szCs w:val="21"/>
                <w:highlight w:val="none"/>
                <w:u w:val="single"/>
              </w:rPr>
              <w:t>告</w:t>
            </w:r>
          </w:p>
        </w:tc>
      </w:tr>
      <w:tr w14:paraId="218A2D6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5A006A1">
            <w:pPr>
              <w:jc w:val="center"/>
              <w:rPr>
                <w:rFonts w:ascii="宋体" w:hAnsi="宋体"/>
                <w:color w:val="auto"/>
                <w:szCs w:val="21"/>
                <w:highlight w:val="none"/>
              </w:rPr>
            </w:pPr>
            <w:r>
              <w:rPr>
                <w:rFonts w:ascii="宋体" w:hAnsi="宋体"/>
                <w:color w:val="auto"/>
                <w:szCs w:val="21"/>
                <w:highlight w:val="none"/>
              </w:rPr>
              <w:t>1.1.6</w:t>
            </w:r>
          </w:p>
        </w:tc>
        <w:tc>
          <w:tcPr>
            <w:tcW w:w="2292" w:type="dxa"/>
            <w:tcBorders>
              <w:top w:val="single" w:color="auto" w:sz="4" w:space="0"/>
              <w:left w:val="single" w:color="auto" w:sz="4" w:space="0"/>
              <w:bottom w:val="single" w:color="auto" w:sz="4" w:space="0"/>
              <w:right w:val="single" w:color="auto" w:sz="4" w:space="0"/>
            </w:tcBorders>
            <w:vAlign w:val="center"/>
          </w:tcPr>
          <w:p w14:paraId="3C20A358">
            <w:pPr>
              <w:jc w:val="center"/>
              <w:rPr>
                <w:rFonts w:ascii="宋体" w:hAnsi="宋体"/>
                <w:color w:val="auto"/>
                <w:szCs w:val="21"/>
                <w:highlight w:val="none"/>
              </w:rPr>
            </w:pPr>
            <w:r>
              <w:rPr>
                <w:rFonts w:hint="eastAsia" w:ascii="宋体" w:hAnsi="宋体"/>
                <w:color w:val="auto"/>
                <w:szCs w:val="21"/>
                <w:highlight w:val="none"/>
              </w:rPr>
              <w:t>项目建设规模</w:t>
            </w:r>
          </w:p>
        </w:tc>
        <w:tc>
          <w:tcPr>
            <w:tcW w:w="5865" w:type="dxa"/>
            <w:tcBorders>
              <w:top w:val="single" w:color="auto" w:sz="4" w:space="0"/>
              <w:left w:val="single" w:color="auto" w:sz="4" w:space="0"/>
              <w:bottom w:val="single" w:color="auto" w:sz="4" w:space="0"/>
              <w:right w:val="single" w:color="auto" w:sz="4" w:space="0"/>
            </w:tcBorders>
            <w:vAlign w:val="center"/>
          </w:tcPr>
          <w:p w14:paraId="026874FC">
            <w:pPr>
              <w:rPr>
                <w:rFonts w:ascii="宋体" w:hAnsi="宋体"/>
                <w:color w:val="auto"/>
                <w:szCs w:val="21"/>
                <w:highlight w:val="none"/>
                <w:u w:val="single"/>
              </w:rPr>
            </w:pPr>
            <w:r>
              <w:rPr>
                <w:rFonts w:hint="eastAsia" w:ascii="宋体" w:hAnsi="宋体"/>
                <w:color w:val="auto"/>
                <w:szCs w:val="21"/>
                <w:highlight w:val="none"/>
                <w:u w:val="single"/>
              </w:rPr>
              <w:t>详见招标公告</w:t>
            </w:r>
          </w:p>
        </w:tc>
      </w:tr>
      <w:tr w14:paraId="3FDA4CC2">
        <w:tblPrEx>
          <w:tblCellMar>
            <w:top w:w="0" w:type="dxa"/>
            <w:left w:w="108" w:type="dxa"/>
            <w:bottom w:w="0" w:type="dxa"/>
            <w:right w:w="108" w:type="dxa"/>
          </w:tblCellMar>
        </w:tblPrEx>
        <w:trPr>
          <w:trHeight w:val="840" w:hRule="atLeast"/>
        </w:trPr>
        <w:tc>
          <w:tcPr>
            <w:tcW w:w="1165" w:type="dxa"/>
            <w:tcBorders>
              <w:top w:val="single" w:color="auto" w:sz="4" w:space="0"/>
              <w:left w:val="single" w:color="auto" w:sz="4" w:space="0"/>
              <w:bottom w:val="single" w:color="auto" w:sz="4" w:space="0"/>
              <w:right w:val="single" w:color="auto" w:sz="4" w:space="0"/>
            </w:tcBorders>
            <w:vAlign w:val="center"/>
          </w:tcPr>
          <w:p w14:paraId="7F354E6F">
            <w:pPr>
              <w:jc w:val="center"/>
              <w:rPr>
                <w:rFonts w:ascii="宋体" w:hAnsi="宋体"/>
                <w:color w:val="auto"/>
                <w:szCs w:val="21"/>
                <w:highlight w:val="none"/>
              </w:rPr>
            </w:pPr>
            <w:r>
              <w:rPr>
                <w:rFonts w:ascii="宋体" w:hAnsi="宋体"/>
                <w:color w:val="auto"/>
                <w:szCs w:val="21"/>
                <w:highlight w:val="none"/>
              </w:rPr>
              <w:t>1.1.7</w:t>
            </w:r>
          </w:p>
        </w:tc>
        <w:tc>
          <w:tcPr>
            <w:tcW w:w="2292" w:type="dxa"/>
            <w:tcBorders>
              <w:top w:val="single" w:color="auto" w:sz="4" w:space="0"/>
              <w:left w:val="single" w:color="auto" w:sz="4" w:space="0"/>
              <w:bottom w:val="single" w:color="auto" w:sz="4" w:space="0"/>
              <w:right w:val="single" w:color="auto" w:sz="4" w:space="0"/>
            </w:tcBorders>
            <w:vAlign w:val="center"/>
          </w:tcPr>
          <w:p w14:paraId="0931D5D4">
            <w:pPr>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5865" w:type="dxa"/>
            <w:tcBorders>
              <w:top w:val="single" w:color="auto" w:sz="4" w:space="0"/>
              <w:left w:val="single" w:color="auto" w:sz="4" w:space="0"/>
              <w:bottom w:val="single" w:color="auto" w:sz="4" w:space="0"/>
              <w:right w:val="single" w:color="auto" w:sz="4" w:space="0"/>
            </w:tcBorders>
            <w:vAlign w:val="center"/>
          </w:tcPr>
          <w:p w14:paraId="5EB41C27">
            <w:pPr>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w:t>
            </w:r>
            <w:r>
              <w:rPr>
                <w:rFonts w:hint="eastAsia" w:ascii="宋体" w:hAnsi="宋体" w:cs="宋体"/>
                <w:color w:val="auto"/>
                <w:szCs w:val="21"/>
                <w:highlight w:val="none"/>
                <w:u w:val="single"/>
                <w:lang w:val="en-US" w:eastAsia="zh-CN"/>
              </w:rPr>
              <w:t>招标人</w:t>
            </w:r>
            <w:r>
              <w:rPr>
                <w:rFonts w:hint="eastAsia" w:ascii="宋体" w:hAnsi="宋体" w:cs="宋体"/>
                <w:color w:val="auto"/>
                <w:szCs w:val="21"/>
                <w:highlight w:val="none"/>
                <w:u w:val="single"/>
              </w:rPr>
              <w:t>下达开工令或开工报告审批之日起。</w:t>
            </w:r>
          </w:p>
          <w:p w14:paraId="7A37C9CB">
            <w:pPr>
              <w:rPr>
                <w:rFonts w:ascii="宋体" w:hAnsi="宋体"/>
                <w:color w:val="auto"/>
                <w:szCs w:val="21"/>
                <w:highlight w:val="none"/>
                <w:u w:val="single"/>
              </w:rPr>
            </w:pPr>
            <w:r>
              <w:rPr>
                <w:rFonts w:hint="eastAsia" w:ascii="宋体" w:hAnsi="宋体" w:cs="宋体"/>
                <w:color w:val="auto"/>
                <w:szCs w:val="21"/>
                <w:highlight w:val="none"/>
              </w:rPr>
              <w:t>建设周期：</w:t>
            </w:r>
            <w:r>
              <w:rPr>
                <w:rFonts w:hint="eastAsia" w:ascii="宋体" w:hAnsi="宋体" w:cs="宋体"/>
                <w:color w:val="auto"/>
                <w:szCs w:val="21"/>
                <w:highlight w:val="none"/>
                <w:u w:val="single"/>
              </w:rPr>
              <w:t>本工程施工工期为正式下发开工令后</w:t>
            </w:r>
            <w:r>
              <w:rPr>
                <w:rFonts w:hint="eastAsia" w:ascii="宋体" w:hAnsi="宋体" w:cs="宋体"/>
                <w:color w:val="auto"/>
                <w:szCs w:val="21"/>
                <w:highlight w:val="none"/>
                <w:u w:val="single"/>
                <w:lang w:val="en-US" w:eastAsia="zh-CN"/>
              </w:rPr>
              <w:t>730</w:t>
            </w:r>
            <w:r>
              <w:rPr>
                <w:rFonts w:hint="eastAsia" w:ascii="宋体" w:hAnsi="宋体" w:cs="宋体"/>
                <w:color w:val="auto"/>
                <w:szCs w:val="21"/>
                <w:highlight w:val="none"/>
                <w:u w:val="single"/>
              </w:rPr>
              <w:t>日历天，具体项目建设周期按</w:t>
            </w:r>
            <w:r>
              <w:rPr>
                <w:rFonts w:hint="eastAsia" w:ascii="宋体" w:hAnsi="宋体" w:cs="宋体"/>
                <w:color w:val="auto"/>
                <w:szCs w:val="21"/>
                <w:highlight w:val="none"/>
                <w:u w:val="single"/>
                <w:lang w:eastAsia="zh-CN"/>
              </w:rPr>
              <w:t>实际情况确定</w:t>
            </w:r>
            <w:r>
              <w:rPr>
                <w:rFonts w:hint="eastAsia" w:ascii="宋体" w:hAnsi="宋体" w:cs="宋体"/>
                <w:color w:val="auto"/>
                <w:szCs w:val="21"/>
                <w:highlight w:val="none"/>
                <w:u w:val="single"/>
              </w:rPr>
              <w:t>。</w:t>
            </w:r>
          </w:p>
        </w:tc>
      </w:tr>
      <w:tr w14:paraId="2C0CD60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A227611">
            <w:pPr>
              <w:jc w:val="center"/>
              <w:rPr>
                <w:rFonts w:ascii="宋体" w:hAnsi="宋体"/>
                <w:color w:val="auto"/>
                <w:szCs w:val="21"/>
                <w:highlight w:val="none"/>
              </w:rPr>
            </w:pPr>
            <w:r>
              <w:rPr>
                <w:rFonts w:ascii="宋体" w:hAnsi="宋体"/>
                <w:color w:val="auto"/>
                <w:szCs w:val="21"/>
                <w:highlight w:val="none"/>
              </w:rPr>
              <w:t>1.1.8</w:t>
            </w:r>
          </w:p>
        </w:tc>
        <w:tc>
          <w:tcPr>
            <w:tcW w:w="2292" w:type="dxa"/>
            <w:tcBorders>
              <w:top w:val="single" w:color="auto" w:sz="4" w:space="0"/>
              <w:left w:val="single" w:color="auto" w:sz="4" w:space="0"/>
              <w:bottom w:val="single" w:color="auto" w:sz="4" w:space="0"/>
              <w:right w:val="single" w:color="auto" w:sz="4" w:space="0"/>
            </w:tcBorders>
            <w:vAlign w:val="center"/>
          </w:tcPr>
          <w:p w14:paraId="59665EFE">
            <w:pPr>
              <w:jc w:val="center"/>
              <w:rPr>
                <w:rFonts w:ascii="宋体" w:hAnsi="宋体"/>
                <w:color w:val="auto"/>
                <w:szCs w:val="21"/>
                <w:highlight w:val="none"/>
              </w:rPr>
            </w:pPr>
            <w:r>
              <w:rPr>
                <w:rFonts w:ascii="宋体" w:hAnsi="宋体"/>
                <w:color w:val="auto"/>
                <w:szCs w:val="21"/>
                <w:highlight w:val="none"/>
              </w:rPr>
              <w:t>建筑安装工程费</w:t>
            </w:r>
          </w:p>
        </w:tc>
        <w:tc>
          <w:tcPr>
            <w:tcW w:w="5865" w:type="dxa"/>
            <w:tcBorders>
              <w:top w:val="single" w:color="auto" w:sz="4" w:space="0"/>
              <w:left w:val="single" w:color="auto" w:sz="4" w:space="0"/>
              <w:bottom w:val="single" w:color="auto" w:sz="4" w:space="0"/>
              <w:right w:val="single" w:color="auto" w:sz="4" w:space="0"/>
            </w:tcBorders>
            <w:vAlign w:val="center"/>
          </w:tcPr>
          <w:p w14:paraId="6DED3581">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14:paraId="5009AF8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D3BBE15">
            <w:pPr>
              <w:jc w:val="center"/>
              <w:rPr>
                <w:rFonts w:ascii="宋体" w:hAnsi="宋体"/>
                <w:color w:val="auto"/>
                <w:szCs w:val="21"/>
                <w:highlight w:val="none"/>
              </w:rPr>
            </w:pPr>
            <w:r>
              <w:rPr>
                <w:rFonts w:ascii="宋体" w:hAnsi="宋体"/>
                <w:color w:val="auto"/>
                <w:szCs w:val="21"/>
                <w:highlight w:val="none"/>
              </w:rPr>
              <w:t>1.2.1</w:t>
            </w:r>
          </w:p>
        </w:tc>
        <w:tc>
          <w:tcPr>
            <w:tcW w:w="2292" w:type="dxa"/>
            <w:tcBorders>
              <w:top w:val="single" w:color="auto" w:sz="4" w:space="0"/>
              <w:left w:val="single" w:color="auto" w:sz="4" w:space="0"/>
              <w:bottom w:val="single" w:color="auto" w:sz="4" w:space="0"/>
              <w:right w:val="single" w:color="auto" w:sz="4" w:space="0"/>
            </w:tcBorders>
            <w:vAlign w:val="center"/>
          </w:tcPr>
          <w:p w14:paraId="4614801A">
            <w:pPr>
              <w:jc w:val="center"/>
              <w:rPr>
                <w:rFonts w:ascii="宋体" w:hAnsi="宋体"/>
                <w:color w:val="auto"/>
                <w:szCs w:val="21"/>
                <w:highlight w:val="none"/>
              </w:rPr>
            </w:pPr>
            <w:r>
              <w:rPr>
                <w:rFonts w:hint="eastAsia" w:ascii="宋体" w:hAnsi="宋体"/>
                <w:color w:val="auto"/>
                <w:szCs w:val="21"/>
                <w:highlight w:val="none"/>
              </w:rPr>
              <w:t>资金来源及比例</w:t>
            </w:r>
          </w:p>
        </w:tc>
        <w:tc>
          <w:tcPr>
            <w:tcW w:w="5865" w:type="dxa"/>
            <w:tcBorders>
              <w:top w:val="single" w:color="auto" w:sz="4" w:space="0"/>
              <w:left w:val="single" w:color="auto" w:sz="4" w:space="0"/>
              <w:bottom w:val="single" w:color="auto" w:sz="4" w:space="0"/>
              <w:right w:val="single" w:color="auto" w:sz="4" w:space="0"/>
            </w:tcBorders>
            <w:vAlign w:val="center"/>
          </w:tcPr>
          <w:p w14:paraId="041E6919">
            <w:pPr>
              <w:rPr>
                <w:rFonts w:ascii="宋体" w:hAnsi="宋体"/>
                <w:color w:val="auto"/>
                <w:szCs w:val="21"/>
                <w:highlight w:val="none"/>
                <w:u w:val="single"/>
              </w:rPr>
            </w:pPr>
            <w:r>
              <w:rPr>
                <w:rFonts w:hint="eastAsia" w:ascii="宋体" w:hAnsi="宋体"/>
                <w:color w:val="auto"/>
                <w:szCs w:val="21"/>
                <w:highlight w:val="none"/>
                <w:u w:val="single"/>
              </w:rPr>
              <w:t>企业自筹，比例100%</w:t>
            </w:r>
          </w:p>
        </w:tc>
      </w:tr>
      <w:tr w14:paraId="426C267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51DE964">
            <w:pPr>
              <w:jc w:val="center"/>
              <w:rPr>
                <w:rFonts w:ascii="宋体" w:hAnsi="宋体"/>
                <w:color w:val="auto"/>
                <w:szCs w:val="21"/>
                <w:highlight w:val="none"/>
              </w:rPr>
            </w:pPr>
            <w:r>
              <w:rPr>
                <w:rFonts w:ascii="宋体" w:hAnsi="宋体"/>
                <w:color w:val="auto"/>
                <w:szCs w:val="21"/>
                <w:highlight w:val="none"/>
              </w:rPr>
              <w:t>1.2.2</w:t>
            </w:r>
          </w:p>
        </w:tc>
        <w:tc>
          <w:tcPr>
            <w:tcW w:w="2292" w:type="dxa"/>
            <w:tcBorders>
              <w:top w:val="single" w:color="auto" w:sz="4" w:space="0"/>
              <w:left w:val="single" w:color="auto" w:sz="4" w:space="0"/>
              <w:bottom w:val="single" w:color="auto" w:sz="4" w:space="0"/>
              <w:right w:val="single" w:color="auto" w:sz="4" w:space="0"/>
            </w:tcBorders>
            <w:vAlign w:val="center"/>
          </w:tcPr>
          <w:p w14:paraId="1BD4E0AE">
            <w:pPr>
              <w:jc w:val="center"/>
              <w:rPr>
                <w:rFonts w:ascii="宋体" w:hAnsi="宋体"/>
                <w:color w:val="auto"/>
                <w:szCs w:val="21"/>
                <w:highlight w:val="none"/>
              </w:rPr>
            </w:pPr>
            <w:r>
              <w:rPr>
                <w:rFonts w:hint="eastAsia" w:ascii="宋体" w:hAnsi="宋体"/>
                <w:color w:val="auto"/>
                <w:szCs w:val="21"/>
                <w:highlight w:val="none"/>
              </w:rPr>
              <w:t>资金落实情况</w:t>
            </w:r>
          </w:p>
        </w:tc>
        <w:tc>
          <w:tcPr>
            <w:tcW w:w="5865" w:type="dxa"/>
            <w:tcBorders>
              <w:top w:val="single" w:color="auto" w:sz="4" w:space="0"/>
              <w:left w:val="single" w:color="auto" w:sz="4" w:space="0"/>
              <w:bottom w:val="single" w:color="auto" w:sz="4" w:space="0"/>
              <w:right w:val="single" w:color="auto" w:sz="4" w:space="0"/>
            </w:tcBorders>
            <w:vAlign w:val="center"/>
          </w:tcPr>
          <w:p w14:paraId="57950EFA">
            <w:pPr>
              <w:rPr>
                <w:rFonts w:ascii="宋体" w:hAnsi="宋体"/>
                <w:color w:val="auto"/>
                <w:szCs w:val="21"/>
                <w:highlight w:val="none"/>
                <w:u w:val="single"/>
              </w:rPr>
            </w:pPr>
            <w:r>
              <w:rPr>
                <w:rFonts w:hint="eastAsia" w:ascii="宋体" w:hAnsi="宋体"/>
                <w:color w:val="auto"/>
                <w:szCs w:val="21"/>
                <w:highlight w:val="none"/>
                <w:u w:val="single"/>
              </w:rPr>
              <w:t>资金已落实</w:t>
            </w:r>
          </w:p>
        </w:tc>
      </w:tr>
      <w:tr w14:paraId="0118E8F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AA661D0">
            <w:pPr>
              <w:jc w:val="center"/>
              <w:rPr>
                <w:rFonts w:ascii="宋体" w:hAnsi="宋体"/>
                <w:color w:val="auto"/>
                <w:szCs w:val="21"/>
                <w:highlight w:val="none"/>
              </w:rPr>
            </w:pPr>
            <w:r>
              <w:rPr>
                <w:rFonts w:ascii="宋体" w:hAnsi="宋体"/>
                <w:color w:val="auto"/>
                <w:szCs w:val="21"/>
                <w:highlight w:val="none"/>
              </w:rPr>
              <w:t>1.3.1</w:t>
            </w:r>
          </w:p>
        </w:tc>
        <w:tc>
          <w:tcPr>
            <w:tcW w:w="2292" w:type="dxa"/>
            <w:tcBorders>
              <w:top w:val="single" w:color="auto" w:sz="4" w:space="0"/>
              <w:left w:val="single" w:color="auto" w:sz="4" w:space="0"/>
              <w:bottom w:val="single" w:color="auto" w:sz="4" w:space="0"/>
              <w:right w:val="single" w:color="auto" w:sz="4" w:space="0"/>
            </w:tcBorders>
            <w:vAlign w:val="center"/>
          </w:tcPr>
          <w:p w14:paraId="15549CE0">
            <w:pPr>
              <w:jc w:val="center"/>
              <w:rPr>
                <w:rFonts w:ascii="宋体" w:hAnsi="宋体"/>
                <w:color w:val="auto"/>
                <w:szCs w:val="21"/>
                <w:highlight w:val="none"/>
              </w:rPr>
            </w:pPr>
            <w:r>
              <w:rPr>
                <w:rFonts w:hint="eastAsia" w:ascii="宋体" w:hAnsi="宋体"/>
                <w:color w:val="auto"/>
                <w:szCs w:val="21"/>
                <w:highlight w:val="none"/>
              </w:rPr>
              <w:t>招标范围</w:t>
            </w:r>
          </w:p>
        </w:tc>
        <w:tc>
          <w:tcPr>
            <w:tcW w:w="5865" w:type="dxa"/>
            <w:tcBorders>
              <w:top w:val="single" w:color="auto" w:sz="4" w:space="0"/>
              <w:left w:val="single" w:color="auto" w:sz="4" w:space="0"/>
              <w:bottom w:val="single" w:color="auto" w:sz="4" w:space="0"/>
              <w:right w:val="single" w:color="auto" w:sz="4" w:space="0"/>
            </w:tcBorders>
            <w:vAlign w:val="center"/>
          </w:tcPr>
          <w:p w14:paraId="62BA6405">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14:paraId="590C082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230D7A7">
            <w:pPr>
              <w:jc w:val="center"/>
              <w:rPr>
                <w:rFonts w:ascii="宋体" w:hAnsi="宋体"/>
                <w:color w:val="auto"/>
                <w:szCs w:val="21"/>
                <w:highlight w:val="none"/>
              </w:rPr>
            </w:pPr>
            <w:r>
              <w:rPr>
                <w:rFonts w:ascii="宋体" w:hAnsi="宋体"/>
                <w:color w:val="auto"/>
                <w:szCs w:val="21"/>
                <w:highlight w:val="none"/>
              </w:rPr>
              <w:t>1.3.2</w:t>
            </w:r>
          </w:p>
        </w:tc>
        <w:tc>
          <w:tcPr>
            <w:tcW w:w="2292" w:type="dxa"/>
            <w:tcBorders>
              <w:top w:val="single" w:color="auto" w:sz="4" w:space="0"/>
              <w:left w:val="single" w:color="auto" w:sz="4" w:space="0"/>
              <w:bottom w:val="single" w:color="auto" w:sz="4" w:space="0"/>
              <w:right w:val="single" w:color="auto" w:sz="4" w:space="0"/>
            </w:tcBorders>
            <w:vAlign w:val="center"/>
          </w:tcPr>
          <w:p w14:paraId="6ADA265F">
            <w:pPr>
              <w:jc w:val="center"/>
              <w:rPr>
                <w:rFonts w:ascii="宋体" w:hAnsi="宋体"/>
                <w:color w:val="auto"/>
                <w:szCs w:val="21"/>
                <w:highlight w:val="none"/>
              </w:rPr>
            </w:pPr>
            <w:r>
              <w:rPr>
                <w:rFonts w:hint="eastAsia" w:ascii="宋体" w:hAnsi="宋体"/>
                <w:color w:val="auto"/>
                <w:szCs w:val="21"/>
                <w:highlight w:val="none"/>
              </w:rPr>
              <w:t>监理服务期限</w:t>
            </w:r>
          </w:p>
        </w:tc>
        <w:tc>
          <w:tcPr>
            <w:tcW w:w="5865" w:type="dxa"/>
            <w:tcBorders>
              <w:top w:val="single" w:color="auto" w:sz="4" w:space="0"/>
              <w:left w:val="single" w:color="auto" w:sz="4" w:space="0"/>
              <w:bottom w:val="single" w:color="auto" w:sz="4" w:space="0"/>
              <w:right w:val="single" w:color="auto" w:sz="4" w:space="0"/>
            </w:tcBorders>
            <w:vAlign w:val="center"/>
          </w:tcPr>
          <w:p w14:paraId="49C2660D">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14:paraId="105EC42B">
        <w:tblPrEx>
          <w:tblCellMar>
            <w:top w:w="0" w:type="dxa"/>
            <w:left w:w="108" w:type="dxa"/>
            <w:bottom w:w="0" w:type="dxa"/>
            <w:right w:w="108" w:type="dxa"/>
          </w:tblCellMar>
        </w:tblPrEx>
        <w:trPr>
          <w:trHeight w:val="6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FD6CE55">
            <w:pPr>
              <w:jc w:val="center"/>
              <w:rPr>
                <w:rFonts w:ascii="宋体" w:hAnsi="宋体"/>
                <w:color w:val="auto"/>
                <w:szCs w:val="21"/>
                <w:highlight w:val="none"/>
              </w:rPr>
            </w:pPr>
            <w:r>
              <w:rPr>
                <w:rFonts w:ascii="宋体" w:hAnsi="宋体"/>
                <w:color w:val="auto"/>
                <w:szCs w:val="21"/>
                <w:highlight w:val="none"/>
              </w:rPr>
              <w:t>1.3.3</w:t>
            </w:r>
          </w:p>
        </w:tc>
        <w:tc>
          <w:tcPr>
            <w:tcW w:w="2292" w:type="dxa"/>
            <w:tcBorders>
              <w:top w:val="single" w:color="auto" w:sz="4" w:space="0"/>
              <w:left w:val="single" w:color="auto" w:sz="4" w:space="0"/>
              <w:bottom w:val="single" w:color="auto" w:sz="4" w:space="0"/>
              <w:right w:val="single" w:color="auto" w:sz="4" w:space="0"/>
            </w:tcBorders>
            <w:vAlign w:val="center"/>
          </w:tcPr>
          <w:p w14:paraId="18F53484">
            <w:pPr>
              <w:jc w:val="center"/>
              <w:rPr>
                <w:rFonts w:ascii="宋体" w:hAnsi="宋体"/>
                <w:color w:val="auto"/>
                <w:szCs w:val="21"/>
                <w:highlight w:val="none"/>
              </w:rPr>
            </w:pPr>
            <w:r>
              <w:rPr>
                <w:rFonts w:hint="eastAsia" w:ascii="宋体" w:hAnsi="宋体"/>
                <w:color w:val="auto"/>
                <w:szCs w:val="21"/>
                <w:highlight w:val="none"/>
              </w:rPr>
              <w:t>质量标准</w:t>
            </w:r>
          </w:p>
        </w:tc>
        <w:tc>
          <w:tcPr>
            <w:tcW w:w="5865" w:type="dxa"/>
            <w:tcBorders>
              <w:top w:val="single" w:color="auto" w:sz="4" w:space="0"/>
              <w:left w:val="single" w:color="auto" w:sz="4" w:space="0"/>
              <w:bottom w:val="single" w:color="auto" w:sz="4" w:space="0"/>
              <w:right w:val="single" w:color="auto" w:sz="4" w:space="0"/>
            </w:tcBorders>
            <w:vAlign w:val="center"/>
          </w:tcPr>
          <w:p w14:paraId="3B75A990">
            <w:pPr>
              <w:rPr>
                <w:rFonts w:ascii="宋体" w:hAnsi="宋体"/>
                <w:color w:val="auto"/>
                <w:szCs w:val="21"/>
                <w:highlight w:val="none"/>
                <w:u w:val="single"/>
              </w:rPr>
            </w:pPr>
            <w:r>
              <w:rPr>
                <w:rFonts w:hint="eastAsia" w:ascii="宋体" w:hAnsi="宋体"/>
                <w:color w:val="auto"/>
                <w:szCs w:val="21"/>
                <w:highlight w:val="none"/>
                <w:u w:val="single"/>
              </w:rPr>
              <w:t>执行国家最新建筑施工规范标准、《建筑工程施工质量验收统一标准》及相关配套的各专业验收规范等，一次验收合格，不发生一般及以上工程质量事故。</w:t>
            </w:r>
          </w:p>
        </w:tc>
      </w:tr>
      <w:tr w14:paraId="0995CD3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CE60520">
            <w:pPr>
              <w:jc w:val="center"/>
              <w:rPr>
                <w:rFonts w:ascii="宋体" w:hAnsi="宋体"/>
                <w:color w:val="auto"/>
                <w:szCs w:val="21"/>
                <w:highlight w:val="none"/>
              </w:rPr>
            </w:pPr>
            <w:r>
              <w:rPr>
                <w:rFonts w:ascii="宋体" w:hAnsi="宋体"/>
                <w:color w:val="auto"/>
                <w:szCs w:val="21"/>
                <w:highlight w:val="none"/>
              </w:rPr>
              <w:t>1.4.1</w:t>
            </w:r>
          </w:p>
        </w:tc>
        <w:tc>
          <w:tcPr>
            <w:tcW w:w="2292" w:type="dxa"/>
            <w:tcBorders>
              <w:top w:val="single" w:color="auto" w:sz="4" w:space="0"/>
              <w:left w:val="single" w:color="auto" w:sz="4" w:space="0"/>
              <w:bottom w:val="single" w:color="auto" w:sz="4" w:space="0"/>
              <w:right w:val="single" w:color="auto" w:sz="4" w:space="0"/>
            </w:tcBorders>
            <w:vAlign w:val="center"/>
          </w:tcPr>
          <w:p w14:paraId="3FF7D347">
            <w:pPr>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5865" w:type="dxa"/>
            <w:tcBorders>
              <w:top w:val="single" w:color="auto" w:sz="4" w:space="0"/>
              <w:left w:val="single" w:color="auto" w:sz="4" w:space="0"/>
              <w:bottom w:val="single" w:color="auto" w:sz="4" w:space="0"/>
              <w:right w:val="single" w:color="auto" w:sz="4" w:space="0"/>
            </w:tcBorders>
            <w:vAlign w:val="center"/>
          </w:tcPr>
          <w:p w14:paraId="6668C0A6">
            <w:pPr>
              <w:snapToGrid w:val="0"/>
              <w:spacing w:before="120"/>
              <w:rPr>
                <w:rFonts w:hint="eastAsia"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14:paraId="54A131C4">
            <w:pPr>
              <w:snapToGrid w:val="0"/>
              <w:rPr>
                <w:rFonts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14:paraId="2F061CAF">
            <w:pPr>
              <w:snapToGrid w:val="0"/>
              <w:rPr>
                <w:rFonts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w:t>
            </w:r>
          </w:p>
          <w:p w14:paraId="22885D80">
            <w:pPr>
              <w:snapToGrid w:val="0"/>
              <w:rPr>
                <w:rFonts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14:paraId="4646D253">
            <w:pPr>
              <w:snapToGrid w:val="0"/>
              <w:ind w:right="106"/>
              <w:jc w:val="left"/>
              <w:rPr>
                <w:rFonts w:hint="eastAsia"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14:paraId="4567995B">
            <w:pPr>
              <w:snapToGrid w:val="0"/>
              <w:ind w:right="106"/>
              <w:rPr>
                <w:rFonts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279B4FC0">
            <w:pPr>
              <w:tabs>
                <w:tab w:val="right" w:pos="6060"/>
              </w:tabs>
              <w:snapToGrid w:val="0"/>
              <w:rPr>
                <w:rFonts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14:paraId="4ED738FB">
            <w:pPr>
              <w:rPr>
                <w:rFonts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14:paraId="7778A5B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DF36B08">
            <w:pPr>
              <w:jc w:val="center"/>
              <w:rPr>
                <w:rFonts w:ascii="宋体" w:hAnsi="宋体"/>
                <w:color w:val="auto"/>
                <w:szCs w:val="21"/>
                <w:highlight w:val="none"/>
              </w:rPr>
            </w:pPr>
            <w:r>
              <w:rPr>
                <w:rFonts w:ascii="宋体" w:hAnsi="宋体"/>
                <w:color w:val="auto"/>
                <w:szCs w:val="21"/>
                <w:highlight w:val="none"/>
              </w:rPr>
              <w:t>1.4.2</w:t>
            </w:r>
          </w:p>
        </w:tc>
        <w:tc>
          <w:tcPr>
            <w:tcW w:w="2292" w:type="dxa"/>
            <w:tcBorders>
              <w:top w:val="single" w:color="auto" w:sz="4" w:space="0"/>
              <w:left w:val="single" w:color="auto" w:sz="4" w:space="0"/>
              <w:bottom w:val="single" w:color="auto" w:sz="4" w:space="0"/>
              <w:right w:val="single" w:color="auto" w:sz="4" w:space="0"/>
            </w:tcBorders>
            <w:vAlign w:val="center"/>
          </w:tcPr>
          <w:p w14:paraId="3ED2AE12">
            <w:pPr>
              <w:jc w:val="center"/>
              <w:rPr>
                <w:rFonts w:ascii="宋体" w:hAnsi="宋体"/>
                <w:color w:val="auto"/>
                <w:szCs w:val="21"/>
                <w:highlight w:val="none"/>
              </w:rPr>
            </w:pPr>
            <w:r>
              <w:rPr>
                <w:rFonts w:ascii="宋体" w:hAnsi="宋体"/>
                <w:color w:val="auto"/>
                <w:szCs w:val="21"/>
                <w:highlight w:val="none"/>
              </w:rPr>
              <w:t>是否接受联合体投标</w:t>
            </w:r>
          </w:p>
        </w:tc>
        <w:tc>
          <w:tcPr>
            <w:tcW w:w="5865" w:type="dxa"/>
            <w:tcBorders>
              <w:top w:val="single" w:color="auto" w:sz="4" w:space="0"/>
              <w:left w:val="single" w:color="auto" w:sz="4" w:space="0"/>
              <w:bottom w:val="single" w:color="auto" w:sz="4" w:space="0"/>
              <w:right w:val="single" w:color="auto" w:sz="4" w:space="0"/>
            </w:tcBorders>
            <w:vAlign w:val="center"/>
          </w:tcPr>
          <w:p w14:paraId="5E662DC6">
            <w:pPr>
              <w:topLinePunct/>
              <w:rPr>
                <w:rFonts w:ascii="宋体" w:hAnsi="宋体"/>
                <w:color w:val="auto"/>
                <w:szCs w:val="21"/>
                <w:highlight w:val="none"/>
              </w:rPr>
            </w:pPr>
            <w:r>
              <w:rPr>
                <w:rFonts w:hint="eastAsia" w:ascii="宋体" w:hAnsi="宋体"/>
                <w:color w:val="auto"/>
                <w:szCs w:val="21"/>
                <w:highlight w:val="none"/>
              </w:rPr>
              <w:t>■不</w:t>
            </w:r>
            <w:r>
              <w:rPr>
                <w:rFonts w:ascii="宋体" w:hAnsi="宋体"/>
                <w:color w:val="auto"/>
                <w:szCs w:val="21"/>
                <w:highlight w:val="none"/>
              </w:rPr>
              <w:t>接受</w:t>
            </w:r>
          </w:p>
          <w:p w14:paraId="4CA06D66">
            <w:pPr>
              <w:rPr>
                <w:rFonts w:ascii="宋体" w:hAnsi="宋体"/>
                <w:color w:val="auto"/>
                <w:szCs w:val="21"/>
                <w:highlight w:val="none"/>
              </w:rPr>
            </w:pPr>
            <w:r>
              <w:rPr>
                <w:rFonts w:hint="eastAsia" w:hAnsi="宋体"/>
                <w:color w:val="auto"/>
                <w:szCs w:val="21"/>
                <w:highlight w:val="none"/>
              </w:rPr>
              <w:t>□</w:t>
            </w:r>
            <w:r>
              <w:rPr>
                <w:rFonts w:ascii="宋体" w:hAnsi="宋体"/>
                <w:color w:val="auto"/>
                <w:szCs w:val="21"/>
                <w:highlight w:val="none"/>
              </w:rPr>
              <w:t>接受</w:t>
            </w:r>
            <w:r>
              <w:rPr>
                <w:rFonts w:hint="eastAsia" w:ascii="宋体" w:hAnsi="宋体"/>
                <w:color w:val="auto"/>
                <w:szCs w:val="21"/>
                <w:highlight w:val="none"/>
              </w:rPr>
              <w:t>，应满足下列要求：</w:t>
            </w:r>
            <w:r>
              <w:rPr>
                <w:rFonts w:hAnsi="宋体"/>
                <w:color w:val="auto"/>
                <w:szCs w:val="21"/>
                <w:highlight w:val="none"/>
                <w:u w:val="single"/>
              </w:rPr>
              <w:t>/</w:t>
            </w:r>
          </w:p>
        </w:tc>
      </w:tr>
      <w:tr w14:paraId="4B51D40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4551CAD">
            <w:pPr>
              <w:jc w:val="center"/>
              <w:rPr>
                <w:rFonts w:ascii="宋体" w:hAnsi="宋体"/>
                <w:color w:val="auto"/>
                <w:szCs w:val="21"/>
                <w:highlight w:val="none"/>
              </w:rPr>
            </w:pPr>
            <w:r>
              <w:rPr>
                <w:rFonts w:ascii="宋体" w:hAnsi="宋体"/>
                <w:color w:val="auto"/>
                <w:szCs w:val="21"/>
                <w:highlight w:val="none"/>
              </w:rPr>
              <w:t>1.4.3</w:t>
            </w:r>
          </w:p>
        </w:tc>
        <w:tc>
          <w:tcPr>
            <w:tcW w:w="2292" w:type="dxa"/>
            <w:tcBorders>
              <w:top w:val="single" w:color="auto" w:sz="4" w:space="0"/>
              <w:left w:val="single" w:color="auto" w:sz="4" w:space="0"/>
              <w:bottom w:val="single" w:color="auto" w:sz="4" w:space="0"/>
              <w:right w:val="single" w:color="auto" w:sz="4" w:space="0"/>
            </w:tcBorders>
            <w:vAlign w:val="center"/>
          </w:tcPr>
          <w:p w14:paraId="49C29376">
            <w:pPr>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5865" w:type="dxa"/>
            <w:tcBorders>
              <w:top w:val="single" w:color="auto" w:sz="4" w:space="0"/>
              <w:left w:val="single" w:color="auto" w:sz="4" w:space="0"/>
              <w:bottom w:val="single" w:color="auto" w:sz="4" w:space="0"/>
              <w:right w:val="single" w:color="auto" w:sz="4" w:space="0"/>
            </w:tcBorders>
            <w:vAlign w:val="center"/>
          </w:tcPr>
          <w:p w14:paraId="70DC584D">
            <w:pPr>
              <w:rPr>
                <w:rFonts w:hint="eastAsia" w:ascii="宋体" w:hAnsi="宋体"/>
                <w:color w:val="auto"/>
                <w:szCs w:val="21"/>
                <w:highlight w:val="none"/>
                <w:u w:val="single"/>
              </w:rPr>
            </w:pPr>
            <w:r>
              <w:rPr>
                <w:rFonts w:hint="eastAsia" w:ascii="宋体" w:hAnsi="宋体"/>
                <w:color w:val="auto"/>
                <w:szCs w:val="21"/>
                <w:highlight w:val="none"/>
              </w:rPr>
              <w:t>见招标文件第二章“投标人须知”第1.4.3条。</w:t>
            </w:r>
          </w:p>
        </w:tc>
      </w:tr>
      <w:tr w14:paraId="0FE7AE8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DA9E392">
            <w:pPr>
              <w:jc w:val="center"/>
              <w:rPr>
                <w:rFonts w:ascii="宋体" w:hAnsi="宋体"/>
                <w:color w:val="auto"/>
                <w:szCs w:val="21"/>
                <w:highlight w:val="none"/>
              </w:rPr>
            </w:pPr>
            <w:r>
              <w:rPr>
                <w:rFonts w:ascii="宋体" w:hAnsi="宋体"/>
                <w:color w:val="auto"/>
                <w:szCs w:val="21"/>
                <w:highlight w:val="none"/>
              </w:rPr>
              <w:t>1.9.1</w:t>
            </w:r>
          </w:p>
        </w:tc>
        <w:tc>
          <w:tcPr>
            <w:tcW w:w="2292" w:type="dxa"/>
            <w:tcBorders>
              <w:top w:val="single" w:color="auto" w:sz="4" w:space="0"/>
              <w:left w:val="single" w:color="auto" w:sz="4" w:space="0"/>
              <w:bottom w:val="single" w:color="auto" w:sz="4" w:space="0"/>
              <w:right w:val="single" w:color="auto" w:sz="4" w:space="0"/>
            </w:tcBorders>
            <w:vAlign w:val="center"/>
          </w:tcPr>
          <w:p w14:paraId="274E6F19">
            <w:pPr>
              <w:jc w:val="center"/>
              <w:rPr>
                <w:rFonts w:ascii="宋体" w:hAnsi="宋体"/>
                <w:color w:val="auto"/>
                <w:szCs w:val="21"/>
                <w:highlight w:val="none"/>
              </w:rPr>
            </w:pPr>
            <w:r>
              <w:rPr>
                <w:rFonts w:ascii="宋体" w:hAnsi="宋体"/>
                <w:color w:val="auto"/>
                <w:szCs w:val="21"/>
                <w:highlight w:val="none"/>
              </w:rPr>
              <w:t>踏勘现场</w:t>
            </w:r>
          </w:p>
        </w:tc>
        <w:tc>
          <w:tcPr>
            <w:tcW w:w="5865" w:type="dxa"/>
            <w:tcBorders>
              <w:top w:val="single" w:color="auto" w:sz="4" w:space="0"/>
              <w:left w:val="single" w:color="auto" w:sz="4" w:space="0"/>
              <w:bottom w:val="single" w:color="auto" w:sz="4" w:space="0"/>
              <w:right w:val="single" w:color="auto" w:sz="4" w:space="0"/>
            </w:tcBorders>
            <w:vAlign w:val="center"/>
          </w:tcPr>
          <w:p w14:paraId="0AF9D31F">
            <w:pPr>
              <w:pStyle w:val="18"/>
              <w:topLinePunct/>
              <w:rPr>
                <w:rFonts w:hAnsi="宋体"/>
                <w:color w:val="auto"/>
                <w:sz w:val="21"/>
                <w:szCs w:val="21"/>
                <w:highlight w:val="none"/>
              </w:rPr>
            </w:pPr>
            <w:r>
              <w:rPr>
                <w:rFonts w:hint="eastAsia" w:hAnsi="宋体"/>
                <w:color w:val="auto"/>
                <w:sz w:val="21"/>
                <w:szCs w:val="21"/>
                <w:highlight w:val="none"/>
              </w:rPr>
              <w:t>■不组织</w:t>
            </w:r>
          </w:p>
          <w:p w14:paraId="3151D91E">
            <w:pPr>
              <w:pStyle w:val="18"/>
              <w:topLinePunct/>
              <w:rPr>
                <w:rFonts w:hAnsi="宋体"/>
                <w:color w:val="auto"/>
                <w:sz w:val="21"/>
                <w:szCs w:val="21"/>
                <w:highlight w:val="none"/>
                <w:u w:val="single"/>
              </w:rPr>
            </w:pPr>
            <w:r>
              <w:rPr>
                <w:rFonts w:hint="eastAsia" w:hAnsi="宋体"/>
                <w:color w:val="auto"/>
                <w:sz w:val="21"/>
                <w:szCs w:val="21"/>
                <w:highlight w:val="none"/>
                <w:u w:val="single"/>
              </w:rPr>
              <w:t>补充说明如下：</w:t>
            </w:r>
          </w:p>
          <w:p w14:paraId="2662DAE2">
            <w:pPr>
              <w:pStyle w:val="18"/>
              <w:topLinePunct/>
              <w:rPr>
                <w:rFonts w:hAnsi="宋体"/>
                <w:color w:val="auto"/>
                <w:sz w:val="21"/>
                <w:szCs w:val="21"/>
                <w:highlight w:val="none"/>
                <w:u w:val="single"/>
              </w:rPr>
            </w:pPr>
            <w:r>
              <w:rPr>
                <w:rFonts w:hint="eastAsia" w:hAnsi="宋体"/>
                <w:color w:val="auto"/>
                <w:sz w:val="21"/>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5DFCCF4">
            <w:pPr>
              <w:pStyle w:val="18"/>
              <w:topLinePunct/>
              <w:rPr>
                <w:rFonts w:hAnsi="宋体"/>
                <w:color w:val="auto"/>
                <w:sz w:val="21"/>
                <w:szCs w:val="21"/>
                <w:highlight w:val="none"/>
                <w:u w:val="single"/>
              </w:rPr>
            </w:pPr>
            <w:r>
              <w:rPr>
                <w:rFonts w:hint="eastAsia" w:hAnsi="宋体"/>
                <w:color w:val="auto"/>
                <w:sz w:val="21"/>
                <w:szCs w:val="21"/>
                <w:highlight w:val="none"/>
                <w:u w:val="single"/>
              </w:rPr>
              <w:t>（</w:t>
            </w:r>
            <w:r>
              <w:rPr>
                <w:rFonts w:hAnsi="宋体"/>
                <w:color w:val="auto"/>
                <w:sz w:val="21"/>
                <w:szCs w:val="21"/>
                <w:highlight w:val="none"/>
                <w:u w:val="single"/>
              </w:rPr>
              <w:t>2</w:t>
            </w:r>
            <w:r>
              <w:rPr>
                <w:rFonts w:hint="eastAsia" w:hAnsi="宋体"/>
                <w:color w:val="auto"/>
                <w:sz w:val="21"/>
                <w:szCs w:val="21"/>
                <w:highlight w:val="none"/>
                <w:u w:val="single"/>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D7F92D6">
            <w:pPr>
              <w:pStyle w:val="18"/>
              <w:topLinePunct/>
              <w:rPr>
                <w:rFonts w:hAnsi="宋体"/>
                <w:color w:val="auto"/>
                <w:sz w:val="21"/>
                <w:szCs w:val="21"/>
                <w:highlight w:val="none"/>
                <w:u w:val="single"/>
              </w:rPr>
            </w:pPr>
            <w:r>
              <w:rPr>
                <w:rFonts w:hint="eastAsia" w:hAnsi="宋体"/>
                <w:color w:val="auto"/>
                <w:sz w:val="21"/>
                <w:szCs w:val="21"/>
                <w:highlight w:val="none"/>
                <w:u w:val="single"/>
              </w:rPr>
              <w:t>（</w:t>
            </w:r>
            <w:r>
              <w:rPr>
                <w:rFonts w:hAnsi="宋体"/>
                <w:color w:val="auto"/>
                <w:sz w:val="21"/>
                <w:szCs w:val="21"/>
                <w:highlight w:val="none"/>
                <w:u w:val="single"/>
              </w:rPr>
              <w:t>3</w:t>
            </w:r>
            <w:r>
              <w:rPr>
                <w:rFonts w:hint="eastAsia" w:hAnsi="宋体"/>
                <w:color w:val="auto"/>
                <w:sz w:val="21"/>
                <w:szCs w:val="21"/>
                <w:highlight w:val="none"/>
                <w:u w:val="single"/>
              </w:rPr>
              <w:t>）在现场考察中由招标人提供的资料和数据，只是为了使投标人能够利用招标人现有的资料。招标人对投标人由此而作出的推论、解释和结论概不负责。</w:t>
            </w:r>
          </w:p>
          <w:p w14:paraId="03D7630D">
            <w:pPr>
              <w:pStyle w:val="18"/>
              <w:topLinePunct/>
              <w:rPr>
                <w:rFonts w:hAnsi="宋体"/>
                <w:color w:val="auto"/>
                <w:sz w:val="21"/>
                <w:szCs w:val="21"/>
                <w:highlight w:val="none"/>
              </w:rPr>
            </w:pPr>
            <w:r>
              <w:rPr>
                <w:rFonts w:hint="eastAsia" w:hAnsi="宋体"/>
                <w:color w:val="auto"/>
                <w:sz w:val="21"/>
                <w:szCs w:val="21"/>
                <w:highlight w:val="none"/>
              </w:rPr>
              <w:t>□组织，踏勘时间：/</w:t>
            </w:r>
          </w:p>
          <w:p w14:paraId="1974E19F">
            <w:pPr>
              <w:pStyle w:val="18"/>
              <w:topLinePunct/>
              <w:ind w:firstLine="840" w:firstLineChars="400"/>
              <w:rPr>
                <w:rFonts w:hAnsi="宋体"/>
                <w:color w:val="auto"/>
                <w:sz w:val="21"/>
                <w:szCs w:val="21"/>
                <w:highlight w:val="none"/>
              </w:rPr>
            </w:pPr>
            <w:r>
              <w:rPr>
                <w:rFonts w:hint="eastAsia" w:hAnsi="宋体"/>
                <w:color w:val="auto"/>
                <w:sz w:val="21"/>
                <w:szCs w:val="21"/>
                <w:highlight w:val="none"/>
              </w:rPr>
              <w:t>踏勘集中地点：/</w:t>
            </w:r>
          </w:p>
        </w:tc>
      </w:tr>
      <w:tr w14:paraId="00ED99E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1A45F64">
            <w:pPr>
              <w:jc w:val="center"/>
              <w:rPr>
                <w:rFonts w:ascii="宋体" w:hAnsi="宋体"/>
                <w:color w:val="auto"/>
                <w:szCs w:val="21"/>
                <w:highlight w:val="none"/>
              </w:rPr>
            </w:pPr>
            <w:r>
              <w:rPr>
                <w:rFonts w:ascii="宋体" w:hAnsi="宋体"/>
                <w:color w:val="auto"/>
                <w:szCs w:val="21"/>
                <w:highlight w:val="none"/>
              </w:rPr>
              <w:t>1.10.1</w:t>
            </w:r>
          </w:p>
        </w:tc>
        <w:tc>
          <w:tcPr>
            <w:tcW w:w="2292" w:type="dxa"/>
            <w:tcBorders>
              <w:top w:val="single" w:color="auto" w:sz="4" w:space="0"/>
              <w:left w:val="single" w:color="auto" w:sz="4" w:space="0"/>
              <w:bottom w:val="single" w:color="auto" w:sz="4" w:space="0"/>
              <w:right w:val="single" w:color="auto" w:sz="4" w:space="0"/>
            </w:tcBorders>
            <w:vAlign w:val="center"/>
          </w:tcPr>
          <w:p w14:paraId="015E3999">
            <w:pPr>
              <w:jc w:val="center"/>
              <w:rPr>
                <w:rFonts w:ascii="宋体" w:hAnsi="宋体"/>
                <w:color w:val="auto"/>
                <w:szCs w:val="21"/>
                <w:highlight w:val="none"/>
              </w:rPr>
            </w:pPr>
            <w:r>
              <w:rPr>
                <w:rFonts w:hint="eastAsia" w:ascii="宋体" w:hAnsi="宋体"/>
                <w:color w:val="auto"/>
                <w:szCs w:val="21"/>
                <w:highlight w:val="none"/>
              </w:rPr>
              <w:t>投标预备会</w:t>
            </w:r>
          </w:p>
        </w:tc>
        <w:tc>
          <w:tcPr>
            <w:tcW w:w="5865" w:type="dxa"/>
            <w:tcBorders>
              <w:top w:val="single" w:color="auto" w:sz="4" w:space="0"/>
              <w:left w:val="single" w:color="auto" w:sz="4" w:space="0"/>
              <w:bottom w:val="single" w:color="auto" w:sz="4" w:space="0"/>
              <w:right w:val="single" w:color="auto" w:sz="4" w:space="0"/>
            </w:tcBorders>
            <w:vAlign w:val="center"/>
          </w:tcPr>
          <w:p w14:paraId="7863EA51">
            <w:pPr>
              <w:pStyle w:val="18"/>
              <w:topLinePunct/>
              <w:rPr>
                <w:rFonts w:hAnsi="宋体"/>
                <w:color w:val="auto"/>
                <w:sz w:val="21"/>
                <w:szCs w:val="21"/>
                <w:highlight w:val="none"/>
              </w:rPr>
            </w:pPr>
            <w:r>
              <w:rPr>
                <w:rFonts w:hint="eastAsia" w:hAnsi="宋体"/>
                <w:color w:val="auto"/>
                <w:sz w:val="21"/>
                <w:szCs w:val="21"/>
                <w:highlight w:val="none"/>
              </w:rPr>
              <w:t>■不召开</w:t>
            </w:r>
          </w:p>
          <w:p w14:paraId="68797285">
            <w:pPr>
              <w:rPr>
                <w:rFonts w:ascii="宋体" w:hAnsi="宋体"/>
                <w:color w:val="auto"/>
                <w:szCs w:val="21"/>
                <w:highlight w:val="none"/>
              </w:rPr>
            </w:pPr>
            <w:r>
              <w:rPr>
                <w:rFonts w:hint="eastAsia" w:ascii="宋体" w:hAnsi="宋体"/>
                <w:color w:val="auto"/>
                <w:szCs w:val="21"/>
                <w:highlight w:val="none"/>
              </w:rPr>
              <w:t>□召开，召开时间：/</w:t>
            </w:r>
          </w:p>
          <w:p w14:paraId="0884343E">
            <w:pPr>
              <w:ind w:firstLine="840" w:firstLineChars="400"/>
              <w:rPr>
                <w:rFonts w:ascii="宋体" w:hAnsi="宋体"/>
                <w:color w:val="auto"/>
                <w:szCs w:val="21"/>
                <w:highlight w:val="none"/>
              </w:rPr>
            </w:pPr>
            <w:r>
              <w:rPr>
                <w:rFonts w:hint="eastAsia" w:ascii="宋体" w:hAnsi="宋体"/>
                <w:color w:val="auto"/>
                <w:szCs w:val="21"/>
                <w:highlight w:val="none"/>
              </w:rPr>
              <w:t>召开地点：/</w:t>
            </w:r>
          </w:p>
        </w:tc>
      </w:tr>
      <w:tr w14:paraId="7284CB71">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14:paraId="6E1A9922">
            <w:pPr>
              <w:jc w:val="center"/>
              <w:rPr>
                <w:rFonts w:ascii="宋体" w:hAnsi="宋体"/>
                <w:color w:val="auto"/>
                <w:szCs w:val="21"/>
                <w:highlight w:val="none"/>
              </w:rPr>
            </w:pPr>
            <w:r>
              <w:rPr>
                <w:rFonts w:ascii="宋体" w:hAnsi="宋体"/>
                <w:color w:val="auto"/>
                <w:szCs w:val="21"/>
                <w:highlight w:val="none"/>
              </w:rPr>
              <w:t>1.10.2</w:t>
            </w:r>
          </w:p>
        </w:tc>
        <w:tc>
          <w:tcPr>
            <w:tcW w:w="2292" w:type="dxa"/>
            <w:vMerge w:val="restart"/>
            <w:tcBorders>
              <w:top w:val="single" w:color="auto" w:sz="4" w:space="0"/>
              <w:left w:val="single" w:color="auto" w:sz="4" w:space="0"/>
              <w:right w:val="single" w:color="auto" w:sz="4" w:space="0"/>
            </w:tcBorders>
            <w:vAlign w:val="center"/>
          </w:tcPr>
          <w:p w14:paraId="09128A5F">
            <w:pPr>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5865" w:type="dxa"/>
            <w:tcBorders>
              <w:top w:val="single" w:color="auto" w:sz="4" w:space="0"/>
              <w:left w:val="single" w:color="auto" w:sz="4" w:space="0"/>
              <w:bottom w:val="single" w:color="auto" w:sz="4" w:space="0"/>
              <w:right w:val="single" w:color="auto" w:sz="4" w:space="0"/>
            </w:tcBorders>
            <w:vAlign w:val="center"/>
          </w:tcPr>
          <w:p w14:paraId="01EC19E9">
            <w:pPr>
              <w:rPr>
                <w:rFonts w:ascii="宋体" w:hAnsi="宋体"/>
                <w:color w:val="auto"/>
                <w:szCs w:val="21"/>
                <w:highlight w:val="none"/>
              </w:rPr>
            </w:pPr>
            <w:r>
              <w:rPr>
                <w:rFonts w:hint="eastAsia" w:ascii="宋体" w:hAnsi="宋体"/>
                <w:color w:val="auto"/>
                <w:szCs w:val="21"/>
                <w:highlight w:val="none"/>
              </w:rPr>
              <w:t>时间：/</w:t>
            </w:r>
          </w:p>
        </w:tc>
      </w:tr>
      <w:tr w14:paraId="31FE7A16">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14:paraId="6A40CC3C">
            <w:pPr>
              <w:jc w:val="center"/>
              <w:rPr>
                <w:rFonts w:ascii="宋体" w:hAnsi="宋体"/>
                <w:color w:val="auto"/>
                <w:szCs w:val="21"/>
                <w:highlight w:val="none"/>
              </w:rPr>
            </w:pPr>
          </w:p>
        </w:tc>
        <w:tc>
          <w:tcPr>
            <w:tcW w:w="2292" w:type="dxa"/>
            <w:vMerge w:val="continue"/>
            <w:tcBorders>
              <w:left w:val="single" w:color="auto" w:sz="4" w:space="0"/>
              <w:bottom w:val="single" w:color="auto" w:sz="4" w:space="0"/>
              <w:right w:val="single" w:color="auto" w:sz="4" w:space="0"/>
            </w:tcBorders>
            <w:vAlign w:val="center"/>
          </w:tcPr>
          <w:p w14:paraId="5E75BF3B">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665BD02E">
            <w:pPr>
              <w:rPr>
                <w:rFonts w:ascii="宋体" w:hAnsi="宋体"/>
                <w:color w:val="auto"/>
                <w:szCs w:val="21"/>
                <w:highlight w:val="none"/>
              </w:rPr>
            </w:pPr>
            <w:r>
              <w:rPr>
                <w:rFonts w:hint="eastAsia" w:ascii="宋体" w:hAnsi="宋体"/>
                <w:color w:val="auto"/>
                <w:szCs w:val="21"/>
                <w:highlight w:val="none"/>
              </w:rPr>
              <w:t>形式：/</w:t>
            </w:r>
          </w:p>
        </w:tc>
      </w:tr>
      <w:tr w14:paraId="2EC0E751">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14:paraId="1D216239">
            <w:pPr>
              <w:jc w:val="center"/>
              <w:rPr>
                <w:rFonts w:ascii="宋体" w:hAnsi="宋体"/>
                <w:color w:val="auto"/>
                <w:szCs w:val="21"/>
                <w:highlight w:val="none"/>
              </w:rPr>
            </w:pPr>
            <w:r>
              <w:rPr>
                <w:rFonts w:ascii="宋体" w:hAnsi="宋体"/>
                <w:color w:val="auto"/>
                <w:szCs w:val="21"/>
                <w:highlight w:val="none"/>
              </w:rPr>
              <w:t>1.10.3</w:t>
            </w:r>
          </w:p>
        </w:tc>
        <w:tc>
          <w:tcPr>
            <w:tcW w:w="2292" w:type="dxa"/>
            <w:tcBorders>
              <w:left w:val="single" w:color="auto" w:sz="4" w:space="0"/>
              <w:bottom w:val="single" w:color="auto" w:sz="4" w:space="0"/>
              <w:right w:val="single" w:color="auto" w:sz="4" w:space="0"/>
            </w:tcBorders>
            <w:vAlign w:val="center"/>
          </w:tcPr>
          <w:p w14:paraId="5FC41A6E">
            <w:pPr>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865" w:type="dxa"/>
            <w:tcBorders>
              <w:top w:val="single" w:color="auto" w:sz="4" w:space="0"/>
              <w:left w:val="single" w:color="auto" w:sz="4" w:space="0"/>
              <w:bottom w:val="single" w:color="auto" w:sz="4" w:space="0"/>
              <w:right w:val="single" w:color="auto" w:sz="4" w:space="0"/>
            </w:tcBorders>
            <w:vAlign w:val="center"/>
          </w:tcPr>
          <w:p w14:paraId="1B350517">
            <w:pPr>
              <w:rPr>
                <w:rFonts w:ascii="宋体" w:hAnsi="宋体"/>
                <w:color w:val="auto"/>
                <w:szCs w:val="21"/>
                <w:highlight w:val="none"/>
              </w:rPr>
            </w:pPr>
            <w:r>
              <w:rPr>
                <w:rFonts w:hint="eastAsia" w:ascii="宋体" w:hAnsi="宋体"/>
                <w:color w:val="auto"/>
                <w:szCs w:val="21"/>
                <w:highlight w:val="none"/>
              </w:rPr>
              <w:t>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olor w:val="auto"/>
                <w:szCs w:val="21"/>
                <w:highlight w:val="none"/>
              </w:rPr>
              <w:t>网站“招标答疑”专区发布，一经在发布，视作已发放给所有投标人。</w:t>
            </w:r>
          </w:p>
        </w:tc>
      </w:tr>
      <w:tr w14:paraId="5656058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ED7242A">
            <w:pPr>
              <w:jc w:val="center"/>
              <w:rPr>
                <w:rFonts w:ascii="宋体" w:hAnsi="宋体"/>
                <w:color w:val="auto"/>
                <w:szCs w:val="21"/>
                <w:highlight w:val="none"/>
              </w:rPr>
            </w:pPr>
            <w:r>
              <w:rPr>
                <w:rFonts w:ascii="宋体" w:hAnsi="宋体"/>
                <w:color w:val="auto"/>
                <w:szCs w:val="21"/>
                <w:highlight w:val="none"/>
              </w:rPr>
              <w:t>1.12.1</w:t>
            </w:r>
          </w:p>
        </w:tc>
        <w:tc>
          <w:tcPr>
            <w:tcW w:w="2292" w:type="dxa"/>
            <w:tcBorders>
              <w:top w:val="single" w:color="auto" w:sz="4" w:space="0"/>
              <w:left w:val="single" w:color="auto" w:sz="4" w:space="0"/>
              <w:bottom w:val="single" w:color="auto" w:sz="4" w:space="0"/>
              <w:right w:val="single" w:color="auto" w:sz="4" w:space="0"/>
            </w:tcBorders>
            <w:vAlign w:val="center"/>
          </w:tcPr>
          <w:p w14:paraId="0076B23E">
            <w:pPr>
              <w:jc w:val="center"/>
              <w:rPr>
                <w:rFonts w:ascii="宋体" w:hAnsi="宋体"/>
                <w:color w:val="auto"/>
                <w:szCs w:val="21"/>
                <w:highlight w:val="none"/>
              </w:rPr>
            </w:pPr>
            <w:r>
              <w:rPr>
                <w:rFonts w:ascii="宋体" w:hAnsi="宋体"/>
                <w:color w:val="auto"/>
                <w:szCs w:val="21"/>
                <w:highlight w:val="none"/>
              </w:rPr>
              <w:t>实质性要求和条件</w:t>
            </w:r>
          </w:p>
        </w:tc>
        <w:tc>
          <w:tcPr>
            <w:tcW w:w="5865" w:type="dxa"/>
            <w:tcBorders>
              <w:top w:val="single" w:color="auto" w:sz="4" w:space="0"/>
              <w:left w:val="single" w:color="auto" w:sz="4" w:space="0"/>
              <w:bottom w:val="single" w:color="auto" w:sz="4" w:space="0"/>
              <w:right w:val="single" w:color="auto" w:sz="4" w:space="0"/>
            </w:tcBorders>
            <w:vAlign w:val="center"/>
          </w:tcPr>
          <w:p w14:paraId="0DF891CD">
            <w:pPr>
              <w:pStyle w:val="18"/>
              <w:topLinePunct/>
              <w:rPr>
                <w:rFonts w:hAnsi="宋体"/>
                <w:color w:val="auto"/>
                <w:sz w:val="21"/>
                <w:szCs w:val="21"/>
                <w:highlight w:val="none"/>
              </w:rPr>
            </w:pPr>
            <w:r>
              <w:rPr>
                <w:rFonts w:hint="eastAsia" w:hAnsi="宋体"/>
                <w:color w:val="auto"/>
                <w:sz w:val="21"/>
                <w:szCs w:val="21"/>
                <w:highlight w:val="none"/>
              </w:rPr>
              <w:t>/</w:t>
            </w:r>
          </w:p>
        </w:tc>
      </w:tr>
      <w:tr w14:paraId="342E299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6E2A940">
            <w:pPr>
              <w:jc w:val="center"/>
              <w:rPr>
                <w:rFonts w:ascii="宋体" w:hAnsi="宋体"/>
                <w:color w:val="auto"/>
                <w:szCs w:val="21"/>
                <w:highlight w:val="none"/>
              </w:rPr>
            </w:pPr>
            <w:r>
              <w:rPr>
                <w:rFonts w:ascii="宋体" w:hAnsi="宋体"/>
                <w:color w:val="auto"/>
                <w:szCs w:val="21"/>
                <w:highlight w:val="none"/>
              </w:rPr>
              <w:t>1.12.3</w:t>
            </w:r>
          </w:p>
        </w:tc>
        <w:tc>
          <w:tcPr>
            <w:tcW w:w="2292" w:type="dxa"/>
            <w:tcBorders>
              <w:top w:val="single" w:color="auto" w:sz="4" w:space="0"/>
              <w:left w:val="single" w:color="auto" w:sz="4" w:space="0"/>
              <w:bottom w:val="single" w:color="auto" w:sz="4" w:space="0"/>
              <w:right w:val="single" w:color="auto" w:sz="4" w:space="0"/>
            </w:tcBorders>
            <w:vAlign w:val="center"/>
          </w:tcPr>
          <w:p w14:paraId="0BE9E3AD">
            <w:pPr>
              <w:jc w:val="center"/>
              <w:rPr>
                <w:rFonts w:ascii="宋体" w:hAnsi="宋体"/>
                <w:color w:val="auto"/>
                <w:szCs w:val="21"/>
                <w:highlight w:val="none"/>
              </w:rPr>
            </w:pPr>
            <w:r>
              <w:rPr>
                <w:rFonts w:ascii="宋体" w:hAnsi="宋体"/>
                <w:color w:val="auto"/>
                <w:szCs w:val="21"/>
                <w:highlight w:val="none"/>
              </w:rPr>
              <w:t>偏差</w:t>
            </w:r>
          </w:p>
        </w:tc>
        <w:tc>
          <w:tcPr>
            <w:tcW w:w="5865" w:type="dxa"/>
            <w:tcBorders>
              <w:top w:val="single" w:color="auto" w:sz="4" w:space="0"/>
              <w:left w:val="single" w:color="auto" w:sz="4" w:space="0"/>
              <w:bottom w:val="single" w:color="auto" w:sz="4" w:space="0"/>
              <w:right w:val="single" w:color="auto" w:sz="4" w:space="0"/>
            </w:tcBorders>
          </w:tcPr>
          <w:p w14:paraId="2D8DD798">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不允许</w:t>
            </w:r>
          </w:p>
          <w:p w14:paraId="3DBA339E">
            <w:pPr>
              <w:pStyle w:val="18"/>
              <w:topLinePunct/>
              <w:rPr>
                <w:rFonts w:hAnsi="宋体"/>
                <w:color w:val="auto"/>
                <w:sz w:val="21"/>
                <w:szCs w:val="21"/>
                <w:highlight w:val="none"/>
              </w:rPr>
            </w:pPr>
            <w:r>
              <w:rPr>
                <w:rFonts w:hAnsi="宋体"/>
                <w:color w:val="auto"/>
                <w:sz w:val="21"/>
                <w:szCs w:val="21"/>
                <w:highlight w:val="none"/>
              </w:rPr>
              <w:t>□允许，偏差范围：</w:t>
            </w:r>
            <w:r>
              <w:rPr>
                <w:rFonts w:hint="eastAsia" w:hAnsi="宋体"/>
                <w:color w:val="auto"/>
                <w:sz w:val="21"/>
                <w:szCs w:val="21"/>
                <w:highlight w:val="none"/>
              </w:rPr>
              <w:t>/</w:t>
            </w:r>
          </w:p>
          <w:p w14:paraId="15099DF9">
            <w:pPr>
              <w:pStyle w:val="18"/>
              <w:topLinePunct/>
              <w:ind w:firstLine="840" w:firstLineChars="400"/>
              <w:rPr>
                <w:rFonts w:hAnsi="宋体"/>
                <w:color w:val="auto"/>
                <w:sz w:val="21"/>
                <w:szCs w:val="21"/>
                <w:highlight w:val="none"/>
              </w:rPr>
            </w:pPr>
            <w:r>
              <w:rPr>
                <w:rFonts w:hAnsi="宋体"/>
                <w:color w:val="auto"/>
                <w:sz w:val="21"/>
                <w:szCs w:val="21"/>
                <w:highlight w:val="none"/>
              </w:rPr>
              <w:t>偏差幅度：</w:t>
            </w:r>
            <w:r>
              <w:rPr>
                <w:rFonts w:hint="eastAsia" w:hAnsi="宋体"/>
                <w:color w:val="auto"/>
                <w:sz w:val="21"/>
                <w:szCs w:val="21"/>
                <w:highlight w:val="none"/>
              </w:rPr>
              <w:t>/</w:t>
            </w:r>
          </w:p>
        </w:tc>
      </w:tr>
      <w:tr w14:paraId="43382B4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B7A5403">
            <w:pPr>
              <w:jc w:val="center"/>
              <w:rPr>
                <w:rFonts w:ascii="宋体" w:hAnsi="宋体"/>
                <w:color w:val="auto"/>
                <w:szCs w:val="21"/>
                <w:highlight w:val="none"/>
              </w:rPr>
            </w:pPr>
            <w:r>
              <w:rPr>
                <w:rFonts w:ascii="宋体" w:hAnsi="宋体"/>
                <w:color w:val="auto"/>
                <w:szCs w:val="21"/>
                <w:highlight w:val="none"/>
              </w:rPr>
              <w:t>2.1</w:t>
            </w:r>
          </w:p>
        </w:tc>
        <w:tc>
          <w:tcPr>
            <w:tcW w:w="2292" w:type="dxa"/>
            <w:tcBorders>
              <w:top w:val="single" w:color="auto" w:sz="4" w:space="0"/>
              <w:left w:val="single" w:color="auto" w:sz="4" w:space="0"/>
              <w:bottom w:val="single" w:color="auto" w:sz="4" w:space="0"/>
              <w:right w:val="single" w:color="auto" w:sz="4" w:space="0"/>
            </w:tcBorders>
            <w:vAlign w:val="center"/>
          </w:tcPr>
          <w:p w14:paraId="7B572FFC">
            <w:pPr>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5865" w:type="dxa"/>
            <w:tcBorders>
              <w:top w:val="single" w:color="auto" w:sz="4" w:space="0"/>
              <w:left w:val="single" w:color="auto" w:sz="4" w:space="0"/>
              <w:bottom w:val="single" w:color="auto" w:sz="4" w:space="0"/>
              <w:right w:val="single" w:color="auto" w:sz="4" w:space="0"/>
            </w:tcBorders>
            <w:vAlign w:val="center"/>
          </w:tcPr>
          <w:p w14:paraId="165A5EDE">
            <w:pPr>
              <w:rPr>
                <w:rFonts w:ascii="宋体" w:hAnsi="宋体"/>
                <w:color w:val="auto"/>
                <w:szCs w:val="21"/>
                <w:highlight w:val="none"/>
              </w:rPr>
            </w:pPr>
            <w:r>
              <w:rPr>
                <w:rFonts w:hint="eastAsia" w:ascii="宋体" w:hAnsi="宋体" w:cs="宋体"/>
                <w:color w:val="auto"/>
                <w:szCs w:val="21"/>
                <w:highlight w:val="none"/>
                <w:u w:val="single"/>
              </w:rPr>
              <w:t>答疑纪要（如有）、澄清文件（如有）等。</w:t>
            </w:r>
          </w:p>
        </w:tc>
      </w:tr>
      <w:tr w14:paraId="3731F636">
        <w:tblPrEx>
          <w:tblCellMar>
            <w:top w:w="0" w:type="dxa"/>
            <w:left w:w="108" w:type="dxa"/>
            <w:bottom w:w="0" w:type="dxa"/>
            <w:right w:w="108" w:type="dxa"/>
          </w:tblCellMar>
        </w:tblPrEx>
        <w:trPr>
          <w:trHeight w:val="435" w:hRule="atLeast"/>
        </w:trPr>
        <w:tc>
          <w:tcPr>
            <w:tcW w:w="1165" w:type="dxa"/>
            <w:vMerge w:val="restart"/>
            <w:tcBorders>
              <w:top w:val="single" w:color="auto" w:sz="4" w:space="0"/>
              <w:left w:val="single" w:color="auto" w:sz="4" w:space="0"/>
              <w:right w:val="single" w:color="auto" w:sz="4" w:space="0"/>
            </w:tcBorders>
            <w:vAlign w:val="center"/>
          </w:tcPr>
          <w:p w14:paraId="263A12CE">
            <w:pPr>
              <w:jc w:val="center"/>
              <w:rPr>
                <w:rFonts w:ascii="宋体" w:hAnsi="宋体"/>
                <w:color w:val="auto"/>
                <w:szCs w:val="21"/>
                <w:highlight w:val="none"/>
              </w:rPr>
            </w:pPr>
            <w:r>
              <w:rPr>
                <w:rFonts w:ascii="宋体" w:hAnsi="宋体"/>
                <w:color w:val="auto"/>
                <w:szCs w:val="21"/>
                <w:highlight w:val="none"/>
              </w:rPr>
              <w:t>2.2.1</w:t>
            </w:r>
          </w:p>
        </w:tc>
        <w:tc>
          <w:tcPr>
            <w:tcW w:w="2292" w:type="dxa"/>
            <w:vMerge w:val="restart"/>
            <w:tcBorders>
              <w:top w:val="single" w:color="auto" w:sz="4" w:space="0"/>
              <w:left w:val="single" w:color="auto" w:sz="4" w:space="0"/>
              <w:right w:val="single" w:color="auto" w:sz="4" w:space="0"/>
            </w:tcBorders>
            <w:vAlign w:val="center"/>
          </w:tcPr>
          <w:p w14:paraId="3443C74D">
            <w:pPr>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5865" w:type="dxa"/>
            <w:tcBorders>
              <w:top w:val="single" w:color="auto" w:sz="4" w:space="0"/>
              <w:left w:val="single" w:color="auto" w:sz="4" w:space="0"/>
              <w:bottom w:val="single" w:color="auto" w:sz="4" w:space="0"/>
              <w:right w:val="single" w:color="auto" w:sz="4" w:space="0"/>
            </w:tcBorders>
            <w:vAlign w:val="center"/>
          </w:tcPr>
          <w:p w14:paraId="2DEC3C80">
            <w:pPr>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14:paraId="497DCBEE">
        <w:tblPrEx>
          <w:tblCellMar>
            <w:top w:w="0" w:type="dxa"/>
            <w:left w:w="108" w:type="dxa"/>
            <w:bottom w:w="0" w:type="dxa"/>
            <w:right w:w="108" w:type="dxa"/>
          </w:tblCellMar>
        </w:tblPrEx>
        <w:trPr>
          <w:trHeight w:val="435" w:hRule="atLeast"/>
        </w:trPr>
        <w:tc>
          <w:tcPr>
            <w:tcW w:w="1165" w:type="dxa"/>
            <w:vMerge w:val="continue"/>
            <w:tcBorders>
              <w:left w:val="single" w:color="auto" w:sz="4" w:space="0"/>
              <w:bottom w:val="single" w:color="auto" w:sz="4" w:space="0"/>
              <w:right w:val="single" w:color="auto" w:sz="4" w:space="0"/>
            </w:tcBorders>
            <w:vAlign w:val="center"/>
          </w:tcPr>
          <w:p w14:paraId="237AB9CC">
            <w:pPr>
              <w:rPr>
                <w:color w:val="auto"/>
                <w:highlight w:val="none"/>
              </w:rPr>
            </w:pPr>
          </w:p>
        </w:tc>
        <w:tc>
          <w:tcPr>
            <w:tcW w:w="2292" w:type="dxa"/>
            <w:vMerge w:val="continue"/>
            <w:tcBorders>
              <w:left w:val="single" w:color="auto" w:sz="4" w:space="0"/>
              <w:bottom w:val="single" w:color="auto" w:sz="4" w:space="0"/>
              <w:right w:val="single" w:color="auto" w:sz="4" w:space="0"/>
            </w:tcBorders>
            <w:vAlign w:val="center"/>
          </w:tcPr>
          <w:p w14:paraId="0F4A585A">
            <w:pPr>
              <w:rPr>
                <w:color w:val="auto"/>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38035F77">
            <w:pPr>
              <w:snapToGrid w:val="0"/>
              <w:ind w:right="174" w:rightChars="83"/>
              <w:rPr>
                <w:rFonts w:ascii="宋体" w:hAnsi="宋体" w:cs="宋体"/>
                <w:color w:val="auto"/>
                <w:kern w:val="0"/>
                <w:szCs w:val="21"/>
                <w:highlight w:val="none"/>
                <w:u w:val="single"/>
              </w:rPr>
            </w:pPr>
            <w:r>
              <w:rPr>
                <w:rFonts w:hint="eastAsia" w:ascii="宋体" w:hAnsi="宋体"/>
                <w:color w:val="auto"/>
                <w:szCs w:val="21"/>
                <w:highlight w:val="none"/>
                <w:u w:val="singl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14:paraId="230C00D8">
            <w:pPr>
              <w:snapToGrid w:val="0"/>
              <w:ind w:right="174" w:rightChars="83" w:firstLine="630" w:firstLineChars="3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14:paraId="1461D3E6">
            <w:pPr>
              <w:snapToGrid w:val="0"/>
              <w:ind w:right="174" w:rightChars="83" w:firstLine="630" w:firstLineChars="3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14:paraId="495B17DA">
            <w:pPr>
              <w:snapToGrid w:val="0"/>
              <w:ind w:right="174" w:rightChars="83" w:firstLine="630" w:firstLineChars="300"/>
              <w:rPr>
                <w:rFonts w:hint="eastAsia" w:ascii="宋体" w:hAnsi="宋体"/>
                <w:color w:val="auto"/>
                <w:szCs w:val="21"/>
                <w:highlight w:val="non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tc>
      </w:tr>
      <w:tr w14:paraId="47A049A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02B8197">
            <w:pPr>
              <w:jc w:val="center"/>
              <w:rPr>
                <w:rFonts w:ascii="宋体" w:hAnsi="宋体"/>
                <w:color w:val="auto"/>
                <w:szCs w:val="21"/>
                <w:highlight w:val="none"/>
              </w:rPr>
            </w:pPr>
            <w:r>
              <w:rPr>
                <w:rFonts w:ascii="宋体" w:hAnsi="宋体"/>
                <w:color w:val="auto"/>
                <w:szCs w:val="21"/>
                <w:highlight w:val="none"/>
              </w:rPr>
              <w:t>2.2.2</w:t>
            </w:r>
          </w:p>
        </w:tc>
        <w:tc>
          <w:tcPr>
            <w:tcW w:w="2292" w:type="dxa"/>
            <w:tcBorders>
              <w:top w:val="single" w:color="auto" w:sz="4" w:space="0"/>
              <w:left w:val="single" w:color="auto" w:sz="4" w:space="0"/>
              <w:bottom w:val="single" w:color="auto" w:sz="4" w:space="0"/>
              <w:right w:val="single" w:color="auto" w:sz="4" w:space="0"/>
            </w:tcBorders>
            <w:vAlign w:val="center"/>
          </w:tcPr>
          <w:p w14:paraId="2582CCF2">
            <w:pPr>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865" w:type="dxa"/>
            <w:tcBorders>
              <w:top w:val="single" w:color="auto" w:sz="4" w:space="0"/>
              <w:left w:val="single" w:color="auto" w:sz="4" w:space="0"/>
              <w:bottom w:val="single" w:color="auto" w:sz="4" w:space="0"/>
              <w:right w:val="single" w:color="auto" w:sz="4" w:space="0"/>
            </w:tcBorders>
            <w:vAlign w:val="center"/>
          </w:tcPr>
          <w:p w14:paraId="5B49AD51">
            <w:pPr>
              <w:rPr>
                <w:rFonts w:ascii="宋体" w:hAnsi="宋体"/>
                <w:color w:val="auto"/>
                <w:szCs w:val="21"/>
                <w:highlight w:val="none"/>
              </w:rPr>
            </w:pPr>
            <w:r>
              <w:rPr>
                <w:rFonts w:hint="eastAsia" w:ascii="宋体" w:hAnsi="宋体"/>
                <w:color w:val="auto"/>
                <w:szCs w:val="21"/>
                <w:highlight w:val="none"/>
              </w:rPr>
              <w:t>在递交投标文件截止时间15天前；在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网站通过项目答疑专区网上公开发布。</w:t>
            </w:r>
          </w:p>
        </w:tc>
      </w:tr>
      <w:tr w14:paraId="269C693B">
        <w:tblPrEx>
          <w:tblCellMar>
            <w:top w:w="0" w:type="dxa"/>
            <w:left w:w="108" w:type="dxa"/>
            <w:bottom w:w="0" w:type="dxa"/>
            <w:right w:w="108" w:type="dxa"/>
          </w:tblCellMar>
        </w:tblPrEx>
        <w:trPr>
          <w:trHeight w:val="8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041D06F0">
            <w:pPr>
              <w:jc w:val="center"/>
              <w:rPr>
                <w:rFonts w:ascii="宋体" w:hAnsi="宋体"/>
                <w:color w:val="auto"/>
                <w:szCs w:val="21"/>
                <w:highlight w:val="none"/>
              </w:rPr>
            </w:pPr>
            <w:r>
              <w:rPr>
                <w:rFonts w:ascii="宋体" w:hAnsi="宋体"/>
                <w:color w:val="auto"/>
                <w:szCs w:val="21"/>
                <w:highlight w:val="none"/>
              </w:rPr>
              <w:t>2.2.3</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14:paraId="3F73B8F7">
            <w:pPr>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5865" w:type="dxa"/>
            <w:tcBorders>
              <w:top w:val="single" w:color="auto" w:sz="4" w:space="0"/>
              <w:left w:val="single" w:color="auto" w:sz="4" w:space="0"/>
              <w:bottom w:val="single" w:color="auto" w:sz="4" w:space="0"/>
              <w:right w:val="single" w:color="auto" w:sz="4" w:space="0"/>
            </w:tcBorders>
            <w:vAlign w:val="center"/>
          </w:tcPr>
          <w:p w14:paraId="6264A92E">
            <w:pPr>
              <w:snapToGrid w:val="0"/>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286BA1B4">
        <w:tblPrEx>
          <w:tblCellMar>
            <w:top w:w="0" w:type="dxa"/>
            <w:left w:w="108" w:type="dxa"/>
            <w:bottom w:w="0" w:type="dxa"/>
            <w:right w:w="108" w:type="dxa"/>
          </w:tblCellMar>
        </w:tblPrEx>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19C8D10A">
            <w:pPr>
              <w:jc w:val="center"/>
              <w:rPr>
                <w:rFonts w:ascii="宋体" w:hAnsi="宋体"/>
                <w:color w:val="auto"/>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14:paraId="03773AA7">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5F16239D">
            <w:pPr>
              <w:snapToGrid w:val="0"/>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14:paraId="7D4B965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4E3B9AC">
            <w:pPr>
              <w:jc w:val="center"/>
              <w:rPr>
                <w:rFonts w:ascii="宋体" w:hAnsi="宋体"/>
                <w:color w:val="auto"/>
                <w:szCs w:val="21"/>
                <w:highlight w:val="none"/>
              </w:rPr>
            </w:pPr>
            <w:r>
              <w:rPr>
                <w:rFonts w:ascii="宋体" w:hAnsi="宋体"/>
                <w:color w:val="auto"/>
                <w:szCs w:val="21"/>
                <w:highlight w:val="none"/>
              </w:rPr>
              <w:t>2.3.1</w:t>
            </w:r>
          </w:p>
        </w:tc>
        <w:tc>
          <w:tcPr>
            <w:tcW w:w="2292" w:type="dxa"/>
            <w:tcBorders>
              <w:top w:val="single" w:color="auto" w:sz="4" w:space="0"/>
              <w:left w:val="single" w:color="auto" w:sz="4" w:space="0"/>
              <w:bottom w:val="single" w:color="auto" w:sz="4" w:space="0"/>
              <w:right w:val="single" w:color="auto" w:sz="4" w:space="0"/>
            </w:tcBorders>
            <w:vAlign w:val="center"/>
          </w:tcPr>
          <w:p w14:paraId="547FB608">
            <w:pPr>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5865" w:type="dxa"/>
            <w:tcBorders>
              <w:top w:val="single" w:color="auto" w:sz="4" w:space="0"/>
              <w:left w:val="single" w:color="auto" w:sz="4" w:space="0"/>
              <w:bottom w:val="single" w:color="auto" w:sz="4" w:space="0"/>
              <w:right w:val="single" w:color="auto" w:sz="4" w:space="0"/>
            </w:tcBorders>
            <w:vAlign w:val="center"/>
          </w:tcPr>
          <w:p w14:paraId="1DCC7A7D">
            <w:pPr>
              <w:rPr>
                <w:rFonts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14:paraId="2F1218FA">
        <w:tblPrEx>
          <w:tblCellMar>
            <w:top w:w="0" w:type="dxa"/>
            <w:left w:w="108" w:type="dxa"/>
            <w:bottom w:w="0" w:type="dxa"/>
            <w:right w:w="108" w:type="dxa"/>
          </w:tblCellMar>
        </w:tblPrEx>
        <w:trPr>
          <w:trHeight w:val="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06FE2F5D">
            <w:pPr>
              <w:jc w:val="center"/>
              <w:rPr>
                <w:rFonts w:ascii="宋体" w:hAnsi="宋体"/>
                <w:color w:val="auto"/>
                <w:szCs w:val="21"/>
                <w:highlight w:val="none"/>
              </w:rPr>
            </w:pPr>
            <w:r>
              <w:rPr>
                <w:rFonts w:ascii="宋体" w:hAnsi="宋体"/>
                <w:color w:val="auto"/>
                <w:szCs w:val="21"/>
                <w:highlight w:val="none"/>
              </w:rPr>
              <w:t>2.3.2</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14:paraId="34880780">
            <w:pPr>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5865" w:type="dxa"/>
            <w:tcBorders>
              <w:top w:val="single" w:color="auto" w:sz="4" w:space="0"/>
              <w:left w:val="single" w:color="auto" w:sz="4" w:space="0"/>
              <w:bottom w:val="single" w:color="auto" w:sz="4" w:space="0"/>
              <w:right w:val="single" w:color="auto" w:sz="4" w:space="0"/>
            </w:tcBorders>
            <w:vAlign w:val="center"/>
          </w:tcPr>
          <w:p w14:paraId="28A00E23">
            <w:pPr>
              <w:snapToGrid w:val="0"/>
              <w:rPr>
                <w:rFonts w:ascii="宋体" w:hAnsi="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14:paraId="500F8C47">
        <w:tblPrEx>
          <w:tblCellMar>
            <w:top w:w="0" w:type="dxa"/>
            <w:left w:w="108" w:type="dxa"/>
            <w:bottom w:w="0" w:type="dxa"/>
            <w:right w:w="108" w:type="dxa"/>
          </w:tblCellMar>
        </w:tblPrEx>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3ECB1921">
            <w:pPr>
              <w:jc w:val="center"/>
              <w:rPr>
                <w:rFonts w:ascii="宋体" w:hAnsi="宋体"/>
                <w:color w:val="auto"/>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14:paraId="7228D9BE">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7125C993">
            <w:pPr>
              <w:snapToGrid w:val="0"/>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7D27902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67BB6C6">
            <w:pPr>
              <w:jc w:val="center"/>
              <w:rPr>
                <w:rFonts w:ascii="宋体" w:hAnsi="宋体"/>
                <w:color w:val="auto"/>
                <w:szCs w:val="21"/>
                <w:highlight w:val="none"/>
              </w:rPr>
            </w:pPr>
            <w:r>
              <w:rPr>
                <w:rFonts w:ascii="宋体" w:hAnsi="宋体"/>
                <w:color w:val="auto"/>
                <w:szCs w:val="21"/>
                <w:highlight w:val="none"/>
              </w:rPr>
              <w:t>3.1.1</w:t>
            </w:r>
          </w:p>
        </w:tc>
        <w:tc>
          <w:tcPr>
            <w:tcW w:w="2292" w:type="dxa"/>
            <w:tcBorders>
              <w:top w:val="single" w:color="auto" w:sz="4" w:space="0"/>
              <w:left w:val="single" w:color="auto" w:sz="4" w:space="0"/>
              <w:bottom w:val="single" w:color="auto" w:sz="4" w:space="0"/>
              <w:right w:val="single" w:color="auto" w:sz="4" w:space="0"/>
            </w:tcBorders>
            <w:vAlign w:val="center"/>
          </w:tcPr>
          <w:p w14:paraId="1CE30FE4">
            <w:pPr>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5865" w:type="dxa"/>
            <w:tcBorders>
              <w:top w:val="single" w:color="auto" w:sz="4" w:space="0"/>
              <w:left w:val="single" w:color="auto" w:sz="4" w:space="0"/>
              <w:bottom w:val="single" w:color="auto" w:sz="4" w:space="0"/>
              <w:right w:val="single" w:color="auto" w:sz="4" w:space="0"/>
            </w:tcBorders>
            <w:vAlign w:val="center"/>
          </w:tcPr>
          <w:p w14:paraId="4BA215F7">
            <w:pPr>
              <w:rPr>
                <w:rFonts w:ascii="宋体" w:hAnsi="宋体"/>
                <w:color w:val="auto"/>
                <w:szCs w:val="21"/>
                <w:highlight w:val="none"/>
              </w:rPr>
            </w:pPr>
            <w:r>
              <w:rPr>
                <w:rFonts w:hint="eastAsia" w:ascii="宋体" w:hAnsi="宋体" w:cs="宋体"/>
                <w:color w:val="auto"/>
                <w:szCs w:val="21"/>
                <w:highlight w:val="none"/>
                <w:u w:val="single"/>
              </w:rPr>
              <w:t>满足本项目评审要求的其他资料。</w:t>
            </w:r>
          </w:p>
        </w:tc>
      </w:tr>
      <w:tr w14:paraId="33D3ED6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D643666">
            <w:pPr>
              <w:jc w:val="center"/>
              <w:rPr>
                <w:rFonts w:ascii="宋体" w:hAnsi="宋体"/>
                <w:color w:val="auto"/>
                <w:szCs w:val="21"/>
                <w:highlight w:val="none"/>
              </w:rPr>
            </w:pPr>
            <w:r>
              <w:rPr>
                <w:rFonts w:ascii="宋体" w:hAnsi="宋体"/>
                <w:color w:val="auto"/>
                <w:szCs w:val="21"/>
                <w:highlight w:val="none"/>
              </w:rPr>
              <w:t>3.2.1</w:t>
            </w:r>
          </w:p>
        </w:tc>
        <w:tc>
          <w:tcPr>
            <w:tcW w:w="2292" w:type="dxa"/>
            <w:tcBorders>
              <w:top w:val="single" w:color="auto" w:sz="4" w:space="0"/>
              <w:left w:val="single" w:color="auto" w:sz="4" w:space="0"/>
              <w:bottom w:val="single" w:color="auto" w:sz="4" w:space="0"/>
              <w:right w:val="single" w:color="auto" w:sz="4" w:space="0"/>
            </w:tcBorders>
            <w:vAlign w:val="center"/>
          </w:tcPr>
          <w:p w14:paraId="20ECB8DB">
            <w:pPr>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5865" w:type="dxa"/>
            <w:tcBorders>
              <w:top w:val="single" w:color="auto" w:sz="4" w:space="0"/>
              <w:left w:val="single" w:color="auto" w:sz="4" w:space="0"/>
              <w:bottom w:val="single" w:color="auto" w:sz="4" w:space="0"/>
              <w:right w:val="single" w:color="auto" w:sz="4" w:space="0"/>
            </w:tcBorders>
            <w:vAlign w:val="center"/>
          </w:tcPr>
          <w:p w14:paraId="326E7774">
            <w:pPr>
              <w:rPr>
                <w:rFonts w:ascii="宋体" w:hAnsi="宋体"/>
                <w:color w:val="auto"/>
                <w:szCs w:val="21"/>
                <w:highlight w:val="none"/>
              </w:rPr>
            </w:pPr>
            <w:r>
              <w:rPr>
                <w:rFonts w:hint="eastAsia" w:ascii="宋体" w:hAnsi="宋体"/>
                <w:color w:val="auto"/>
                <w:szCs w:val="21"/>
                <w:highlight w:val="none"/>
                <w:u w:val="single"/>
              </w:rPr>
              <w:t>按国家税务机关的规定执行。</w:t>
            </w:r>
          </w:p>
        </w:tc>
      </w:tr>
      <w:tr w14:paraId="1A5A0AA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8E6111A">
            <w:pPr>
              <w:jc w:val="center"/>
              <w:rPr>
                <w:rFonts w:ascii="宋体" w:hAnsi="宋体"/>
                <w:color w:val="auto"/>
                <w:szCs w:val="21"/>
                <w:highlight w:val="none"/>
              </w:rPr>
            </w:pPr>
            <w:r>
              <w:rPr>
                <w:rFonts w:ascii="宋体" w:hAnsi="宋体"/>
                <w:color w:val="auto"/>
                <w:szCs w:val="21"/>
                <w:highlight w:val="none"/>
              </w:rPr>
              <w:t>3.2.3</w:t>
            </w:r>
          </w:p>
        </w:tc>
        <w:tc>
          <w:tcPr>
            <w:tcW w:w="2292" w:type="dxa"/>
            <w:tcBorders>
              <w:top w:val="single" w:color="auto" w:sz="4" w:space="0"/>
              <w:left w:val="single" w:color="auto" w:sz="4" w:space="0"/>
              <w:bottom w:val="single" w:color="auto" w:sz="4" w:space="0"/>
              <w:right w:val="single" w:color="auto" w:sz="4" w:space="0"/>
            </w:tcBorders>
            <w:vAlign w:val="center"/>
          </w:tcPr>
          <w:p w14:paraId="282167B8">
            <w:pPr>
              <w:jc w:val="center"/>
              <w:rPr>
                <w:rFonts w:ascii="宋体" w:hAnsi="宋体"/>
                <w:color w:val="auto"/>
                <w:szCs w:val="21"/>
                <w:highlight w:val="none"/>
              </w:rPr>
            </w:pPr>
            <w:r>
              <w:rPr>
                <w:rFonts w:hint="eastAsia" w:ascii="宋体" w:hAnsi="宋体"/>
                <w:color w:val="auto"/>
                <w:szCs w:val="21"/>
                <w:highlight w:val="none"/>
              </w:rPr>
              <w:t>报价方式</w:t>
            </w:r>
          </w:p>
        </w:tc>
        <w:tc>
          <w:tcPr>
            <w:tcW w:w="5865" w:type="dxa"/>
            <w:tcBorders>
              <w:top w:val="single" w:color="auto" w:sz="4" w:space="0"/>
              <w:left w:val="single" w:color="auto" w:sz="4" w:space="0"/>
              <w:bottom w:val="single" w:color="auto" w:sz="4" w:space="0"/>
              <w:right w:val="single" w:color="auto" w:sz="4" w:space="0"/>
            </w:tcBorders>
            <w:vAlign w:val="center"/>
          </w:tcPr>
          <w:p w14:paraId="79A6C96E">
            <w:pPr>
              <w:rPr>
                <w:rFonts w:ascii="宋体" w:hAnsi="宋体"/>
                <w:color w:val="auto"/>
                <w:szCs w:val="21"/>
                <w:highlight w:val="none"/>
                <w:u w:val="single"/>
              </w:rPr>
            </w:pPr>
            <w:r>
              <w:rPr>
                <w:rFonts w:hint="eastAsia" w:ascii="宋体" w:hAnsi="宋体"/>
                <w:color w:val="auto"/>
                <w:szCs w:val="21"/>
                <w:highlight w:val="none"/>
                <w:u w:val="single"/>
              </w:rPr>
              <w:t>投标人自行报价，以元为单位，精确到小数位后2位，投标报价超过本项目最高投标限价的投标文件将被拒绝。</w:t>
            </w:r>
          </w:p>
        </w:tc>
      </w:tr>
      <w:tr w14:paraId="18FD64B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9DD1D9F">
            <w:pPr>
              <w:jc w:val="center"/>
              <w:rPr>
                <w:rFonts w:ascii="宋体" w:hAnsi="宋体"/>
                <w:color w:val="auto"/>
                <w:szCs w:val="21"/>
                <w:highlight w:val="none"/>
              </w:rPr>
            </w:pPr>
            <w:r>
              <w:rPr>
                <w:rFonts w:ascii="宋体" w:hAnsi="宋体"/>
                <w:color w:val="auto"/>
                <w:szCs w:val="21"/>
                <w:highlight w:val="none"/>
              </w:rPr>
              <w:t>3.2.4</w:t>
            </w:r>
          </w:p>
        </w:tc>
        <w:tc>
          <w:tcPr>
            <w:tcW w:w="2292" w:type="dxa"/>
            <w:tcBorders>
              <w:top w:val="single" w:color="auto" w:sz="4" w:space="0"/>
              <w:left w:val="single" w:color="auto" w:sz="4" w:space="0"/>
              <w:bottom w:val="single" w:color="auto" w:sz="4" w:space="0"/>
              <w:right w:val="single" w:color="auto" w:sz="4" w:space="0"/>
            </w:tcBorders>
            <w:vAlign w:val="center"/>
          </w:tcPr>
          <w:p w14:paraId="456140A4">
            <w:pPr>
              <w:jc w:val="center"/>
              <w:rPr>
                <w:rFonts w:ascii="宋体" w:hAnsi="宋体"/>
                <w:color w:val="auto"/>
                <w:szCs w:val="21"/>
                <w:highlight w:val="none"/>
              </w:rPr>
            </w:pPr>
            <w:r>
              <w:rPr>
                <w:rFonts w:hint="eastAsia" w:ascii="宋体" w:hAnsi="宋体"/>
                <w:color w:val="auto"/>
                <w:szCs w:val="21"/>
                <w:highlight w:val="none"/>
              </w:rPr>
              <w:t>最高投标限价</w:t>
            </w:r>
          </w:p>
        </w:tc>
        <w:tc>
          <w:tcPr>
            <w:tcW w:w="5865" w:type="dxa"/>
            <w:tcBorders>
              <w:top w:val="single" w:color="auto" w:sz="4" w:space="0"/>
              <w:left w:val="single" w:color="auto" w:sz="4" w:space="0"/>
              <w:bottom w:val="single" w:color="auto" w:sz="4" w:space="0"/>
              <w:right w:val="single" w:color="auto" w:sz="4" w:space="0"/>
            </w:tcBorders>
            <w:vAlign w:val="center"/>
          </w:tcPr>
          <w:p w14:paraId="3CFF7120">
            <w:pPr>
              <w:rPr>
                <w:rFonts w:ascii="宋体" w:hAnsi="宋体"/>
                <w:color w:val="auto"/>
                <w:szCs w:val="21"/>
                <w:highlight w:val="none"/>
              </w:rPr>
            </w:pPr>
            <w:r>
              <w:rPr>
                <w:rFonts w:ascii="宋体" w:hAnsi="宋体"/>
                <w:color w:val="auto"/>
                <w:szCs w:val="21"/>
                <w:highlight w:val="none"/>
              </w:rPr>
              <w:t>□无</w:t>
            </w:r>
          </w:p>
          <w:p w14:paraId="0BAD9E58">
            <w:pPr>
              <w:pStyle w:val="8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有，</w:t>
            </w:r>
            <w:r>
              <w:rPr>
                <w:rFonts w:hint="eastAsia" w:ascii="宋体" w:hAnsi="宋体" w:cs="宋体"/>
                <w:bCs/>
                <w:color w:val="auto"/>
                <w:sz w:val="21"/>
                <w:szCs w:val="21"/>
                <w:highlight w:val="none"/>
              </w:rPr>
              <w:t>人民币</w:t>
            </w:r>
            <w:r>
              <w:rPr>
                <w:rFonts w:hint="eastAsia" w:ascii="宋体" w:hAnsi="宋体" w:cs="宋体"/>
                <w:bCs/>
                <w:color w:val="auto"/>
                <w:sz w:val="21"/>
                <w:szCs w:val="21"/>
                <w:highlight w:val="none"/>
                <w:u w:val="single"/>
                <w:lang w:val="en-US" w:eastAsia="zh-CN"/>
              </w:rPr>
              <w:t xml:space="preserve"> 550 </w:t>
            </w:r>
            <w:r>
              <w:rPr>
                <w:rFonts w:hint="eastAsia" w:ascii="宋体" w:hAnsi="宋体" w:cs="宋体"/>
                <w:bCs/>
                <w:color w:val="auto"/>
                <w:sz w:val="21"/>
                <w:szCs w:val="21"/>
                <w:highlight w:val="none"/>
              </w:rPr>
              <w:t>万元。</w:t>
            </w:r>
          </w:p>
          <w:p w14:paraId="2BF72963">
            <w:pPr>
              <w:rPr>
                <w:rFonts w:ascii="宋体" w:hAnsi="宋体"/>
                <w:color w:val="auto"/>
                <w:szCs w:val="21"/>
                <w:highlight w:val="none"/>
              </w:rPr>
            </w:pPr>
            <w:r>
              <w:rPr>
                <w:rFonts w:hint="eastAsia" w:ascii="宋体" w:hAnsi="宋体"/>
                <w:color w:val="auto"/>
                <w:szCs w:val="21"/>
                <w:highlight w:val="none"/>
                <w:u w:val="single"/>
              </w:rPr>
              <w:t>投标人应结合自身因素进行投标报价，投标报价不得超</w:t>
            </w:r>
            <w:r>
              <w:rPr>
                <w:rFonts w:hint="eastAsia" w:ascii="宋体" w:hAnsi="宋体"/>
                <w:color w:val="auto"/>
                <w:szCs w:val="21"/>
                <w:highlight w:val="none"/>
                <w:u w:val="single"/>
                <w:lang w:val="en-US" w:eastAsia="zh-CN"/>
              </w:rPr>
              <w:t>过其</w:t>
            </w:r>
            <w:r>
              <w:rPr>
                <w:rFonts w:hint="eastAsia" w:ascii="宋体" w:hAnsi="宋体"/>
                <w:color w:val="auto"/>
                <w:szCs w:val="21"/>
                <w:highlight w:val="none"/>
                <w:u w:val="single"/>
              </w:rPr>
              <w:t>最高投标限价，否则投标无效。</w:t>
            </w:r>
          </w:p>
        </w:tc>
      </w:tr>
      <w:tr w14:paraId="2A41F86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759024D">
            <w:pPr>
              <w:jc w:val="center"/>
              <w:rPr>
                <w:rFonts w:ascii="宋体" w:hAnsi="宋体"/>
                <w:color w:val="auto"/>
                <w:szCs w:val="21"/>
                <w:highlight w:val="none"/>
              </w:rPr>
            </w:pPr>
            <w:r>
              <w:rPr>
                <w:rFonts w:ascii="宋体" w:hAnsi="宋体"/>
                <w:color w:val="auto"/>
                <w:szCs w:val="21"/>
                <w:highlight w:val="none"/>
              </w:rPr>
              <w:t>3.2.5</w:t>
            </w:r>
          </w:p>
        </w:tc>
        <w:tc>
          <w:tcPr>
            <w:tcW w:w="2292" w:type="dxa"/>
            <w:tcBorders>
              <w:top w:val="single" w:color="auto" w:sz="4" w:space="0"/>
              <w:left w:val="single" w:color="auto" w:sz="4" w:space="0"/>
              <w:bottom w:val="single" w:color="auto" w:sz="4" w:space="0"/>
              <w:right w:val="single" w:color="auto" w:sz="4" w:space="0"/>
            </w:tcBorders>
            <w:vAlign w:val="center"/>
          </w:tcPr>
          <w:p w14:paraId="1828CA3C">
            <w:pPr>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5865" w:type="dxa"/>
            <w:tcBorders>
              <w:top w:val="single" w:color="auto" w:sz="4" w:space="0"/>
              <w:left w:val="single" w:color="auto" w:sz="4" w:space="0"/>
              <w:bottom w:val="single" w:color="auto" w:sz="4" w:space="0"/>
              <w:right w:val="single" w:color="auto" w:sz="4" w:space="0"/>
            </w:tcBorders>
            <w:vAlign w:val="center"/>
          </w:tcPr>
          <w:p w14:paraId="6935DF1A">
            <w:pPr>
              <w:jc w:val="left"/>
              <w:rPr>
                <w:rFonts w:ascii="宋体" w:hAnsi="宋体" w:cs="宋体"/>
                <w:color w:val="auto"/>
                <w:szCs w:val="21"/>
                <w:highlight w:val="none"/>
                <w:u w:val="single"/>
              </w:rPr>
            </w:pPr>
            <w:r>
              <w:rPr>
                <w:rFonts w:hint="eastAsia" w:ascii="宋体" w:hAnsi="宋体" w:cs="宋体"/>
                <w:color w:val="auto"/>
                <w:szCs w:val="21"/>
                <w:highlight w:val="none"/>
                <w:u w:val="single"/>
              </w:rPr>
              <w:t>投标报价超过</w:t>
            </w:r>
            <w:r>
              <w:rPr>
                <w:rFonts w:hint="eastAsia" w:ascii="宋体" w:hAnsi="宋体" w:cs="宋体"/>
                <w:color w:val="auto"/>
                <w:szCs w:val="21"/>
                <w:highlight w:val="none"/>
                <w:u w:val="single"/>
                <w:lang w:val="en-US" w:eastAsia="zh-CN"/>
              </w:rPr>
              <w:t>其</w:t>
            </w:r>
            <w:r>
              <w:rPr>
                <w:rFonts w:hint="eastAsia" w:ascii="宋体" w:hAnsi="宋体" w:cs="宋体"/>
                <w:color w:val="auto"/>
                <w:szCs w:val="21"/>
                <w:highlight w:val="none"/>
                <w:u w:val="single"/>
              </w:rPr>
              <w:t>最高投标限价的投标文件将被否决其投标。</w:t>
            </w:r>
          </w:p>
          <w:p w14:paraId="4936AEAC">
            <w:pPr>
              <w:jc w:val="left"/>
              <w:rPr>
                <w:rFonts w:ascii="宋体" w:hAnsi="宋体" w:cs="宋体"/>
                <w:color w:val="auto"/>
                <w:szCs w:val="21"/>
                <w:highlight w:val="none"/>
                <w:u w:val="single"/>
              </w:rPr>
            </w:pPr>
            <w:r>
              <w:rPr>
                <w:rFonts w:hint="eastAsia" w:ascii="宋体" w:hAnsi="宋体" w:cs="宋体"/>
                <w:color w:val="auto"/>
                <w:szCs w:val="21"/>
                <w:highlight w:val="none"/>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0F9CF880">
            <w:pPr>
              <w:pStyle w:val="82"/>
              <w:rPr>
                <w:rFonts w:hint="default" w:ascii="宋体" w:hAnsi="宋体" w:eastAsia="宋体"/>
                <w:color w:val="auto"/>
                <w:szCs w:val="21"/>
                <w:highlight w:val="none"/>
                <w:lang w:val="en-US" w:eastAsia="zh-CN"/>
              </w:rPr>
            </w:pPr>
            <w:r>
              <w:rPr>
                <w:rFonts w:hint="eastAsia" w:ascii="宋体" w:hAnsi="宋体" w:cs="宋体"/>
                <w:color w:val="auto"/>
                <w:szCs w:val="21"/>
                <w:highlight w:val="none"/>
                <w:u w:val="single"/>
              </w:rPr>
              <w:t>投标人必须详细审阅全部招标文件，充分考虑职责和义务</w:t>
            </w:r>
            <w:r>
              <w:rPr>
                <w:rFonts w:ascii="宋体" w:hAnsi="宋体" w:cs="宋体"/>
                <w:color w:val="auto"/>
                <w:szCs w:val="21"/>
                <w:highlight w:val="none"/>
                <w:u w:val="single"/>
              </w:rPr>
              <w:t>,全面地理解招标文件对投标报价的要求,并按招标人提出的条件及内容进行报价。</w:t>
            </w:r>
            <w:r>
              <w:rPr>
                <w:rFonts w:hint="eastAsia" w:ascii="宋体" w:hAnsi="宋体" w:cs="宋体"/>
                <w:color w:val="auto"/>
                <w:szCs w:val="21"/>
                <w:highlight w:val="none"/>
                <w:u w:val="single"/>
                <w:lang w:val="en-US" w:eastAsia="zh-CN"/>
              </w:rPr>
              <w:t>结算方式以监理合同约定为准。</w:t>
            </w:r>
          </w:p>
        </w:tc>
      </w:tr>
      <w:tr w14:paraId="20B3616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6312531">
            <w:pPr>
              <w:jc w:val="center"/>
              <w:rPr>
                <w:rFonts w:ascii="宋体" w:hAnsi="宋体"/>
                <w:color w:val="auto"/>
                <w:szCs w:val="21"/>
                <w:highlight w:val="none"/>
              </w:rPr>
            </w:pPr>
            <w:r>
              <w:rPr>
                <w:rFonts w:ascii="宋体" w:hAnsi="宋体"/>
                <w:color w:val="auto"/>
                <w:szCs w:val="21"/>
                <w:highlight w:val="none"/>
              </w:rPr>
              <w:t>3.3.1</w:t>
            </w:r>
          </w:p>
        </w:tc>
        <w:tc>
          <w:tcPr>
            <w:tcW w:w="2292" w:type="dxa"/>
            <w:tcBorders>
              <w:top w:val="single" w:color="auto" w:sz="4" w:space="0"/>
              <w:left w:val="single" w:color="auto" w:sz="4" w:space="0"/>
              <w:bottom w:val="single" w:color="auto" w:sz="4" w:space="0"/>
              <w:right w:val="single" w:color="auto" w:sz="4" w:space="0"/>
            </w:tcBorders>
            <w:vAlign w:val="center"/>
          </w:tcPr>
          <w:p w14:paraId="373DF523">
            <w:pPr>
              <w:jc w:val="center"/>
              <w:rPr>
                <w:rFonts w:ascii="宋体" w:hAnsi="宋体"/>
                <w:color w:val="auto"/>
                <w:szCs w:val="21"/>
                <w:highlight w:val="none"/>
              </w:rPr>
            </w:pPr>
            <w:r>
              <w:rPr>
                <w:rFonts w:hint="eastAsia" w:ascii="宋体" w:hAnsi="宋体"/>
                <w:color w:val="auto"/>
                <w:szCs w:val="21"/>
                <w:highlight w:val="none"/>
              </w:rPr>
              <w:t>投标有效期</w:t>
            </w:r>
          </w:p>
        </w:tc>
        <w:tc>
          <w:tcPr>
            <w:tcW w:w="5865" w:type="dxa"/>
            <w:tcBorders>
              <w:top w:val="single" w:color="auto" w:sz="4" w:space="0"/>
              <w:left w:val="single" w:color="auto" w:sz="4" w:space="0"/>
              <w:bottom w:val="single" w:color="auto" w:sz="4" w:space="0"/>
              <w:right w:val="single" w:color="auto" w:sz="4" w:space="0"/>
            </w:tcBorders>
            <w:vAlign w:val="center"/>
          </w:tcPr>
          <w:p w14:paraId="5026C23D">
            <w:pPr>
              <w:rPr>
                <w:rFonts w:ascii="宋体" w:hAnsi="宋体"/>
                <w:color w:val="auto"/>
                <w:szCs w:val="21"/>
                <w:highlight w:val="none"/>
              </w:rPr>
            </w:pPr>
            <w:bookmarkStart w:id="11" w:name="_Toc369531512"/>
            <w:bookmarkStart w:id="12" w:name="_Toc1789"/>
            <w:bookmarkStart w:id="13" w:name="_Toc384308207"/>
            <w:bookmarkStart w:id="14" w:name="_Toc300834946"/>
            <w:bookmarkStart w:id="15" w:name="_Toc361508582"/>
            <w:bookmarkStart w:id="16" w:name="_Toc352691470"/>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日历天（从投标截止之日算起）。如出现异议或投诉，则投标有效期自动延长至异议或投诉处理结束，确定中标人并发放中标通知书为止。</w:t>
            </w:r>
          </w:p>
        </w:tc>
      </w:tr>
      <w:bookmarkEnd w:id="11"/>
      <w:bookmarkEnd w:id="12"/>
      <w:bookmarkEnd w:id="13"/>
      <w:bookmarkEnd w:id="14"/>
      <w:bookmarkEnd w:id="15"/>
      <w:bookmarkEnd w:id="16"/>
      <w:tr w14:paraId="0E2D492A">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3D0D22C8">
            <w:pPr>
              <w:jc w:val="center"/>
              <w:rPr>
                <w:rFonts w:ascii="宋体" w:hAnsi="宋体"/>
                <w:color w:val="auto"/>
                <w:szCs w:val="21"/>
                <w:highlight w:val="none"/>
              </w:rPr>
            </w:pPr>
            <w:r>
              <w:rPr>
                <w:rFonts w:ascii="宋体" w:hAnsi="宋体"/>
                <w:color w:val="auto"/>
                <w:szCs w:val="21"/>
                <w:highlight w:val="none"/>
              </w:rPr>
              <w:t>3.4.1</w:t>
            </w:r>
          </w:p>
        </w:tc>
        <w:tc>
          <w:tcPr>
            <w:tcW w:w="2292" w:type="dxa"/>
            <w:tcBorders>
              <w:top w:val="single" w:color="auto" w:sz="4" w:space="0"/>
              <w:left w:val="single" w:color="auto" w:sz="4" w:space="0"/>
              <w:bottom w:val="single" w:color="auto" w:sz="4" w:space="0"/>
              <w:right w:val="single" w:color="auto" w:sz="4" w:space="0"/>
            </w:tcBorders>
            <w:vAlign w:val="center"/>
          </w:tcPr>
          <w:p w14:paraId="230FCDF1">
            <w:pPr>
              <w:jc w:val="center"/>
              <w:rPr>
                <w:rFonts w:ascii="宋体" w:hAnsi="宋体"/>
                <w:color w:val="auto"/>
                <w:szCs w:val="21"/>
                <w:highlight w:val="none"/>
              </w:rPr>
            </w:pPr>
            <w:r>
              <w:rPr>
                <w:rFonts w:hint="eastAsia" w:ascii="宋体" w:hAnsi="宋体"/>
                <w:color w:val="auto"/>
                <w:szCs w:val="21"/>
                <w:highlight w:val="none"/>
              </w:rPr>
              <w:t>投标保证金</w:t>
            </w:r>
          </w:p>
        </w:tc>
        <w:tc>
          <w:tcPr>
            <w:tcW w:w="5865" w:type="dxa"/>
            <w:tcBorders>
              <w:top w:val="single" w:color="auto" w:sz="4" w:space="0"/>
              <w:left w:val="single" w:color="auto" w:sz="4" w:space="0"/>
              <w:bottom w:val="single" w:color="auto" w:sz="4" w:space="0"/>
              <w:right w:val="single" w:color="auto" w:sz="4" w:space="0"/>
            </w:tcBorders>
            <w:vAlign w:val="center"/>
          </w:tcPr>
          <w:p w14:paraId="0165FAD4">
            <w:pPr>
              <w:ind w:left="36" w:leftChars="17" w:right="36" w:rightChars="17"/>
              <w:rPr>
                <w:rFonts w:ascii="宋体" w:hAnsi="宋体"/>
                <w:color w:val="auto"/>
                <w:szCs w:val="21"/>
                <w:highlight w:val="none"/>
              </w:rPr>
            </w:pPr>
            <w:r>
              <w:rPr>
                <w:rFonts w:hint="eastAsia" w:ascii="宋体" w:hAnsi="宋体"/>
                <w:color w:val="auto"/>
                <w:szCs w:val="21"/>
                <w:highlight w:val="none"/>
              </w:rPr>
              <w:t>是否</w:t>
            </w:r>
            <w:r>
              <w:rPr>
                <w:rFonts w:hint="eastAsia" w:ascii="宋体" w:hAnsi="宋体"/>
                <w:color w:val="auto"/>
                <w:spacing w:val="-2"/>
                <w:szCs w:val="21"/>
                <w:highlight w:val="none"/>
              </w:rPr>
              <w:t>要</w:t>
            </w:r>
            <w:r>
              <w:rPr>
                <w:rFonts w:hint="eastAsia" w:ascii="宋体" w:hAnsi="宋体"/>
                <w:color w:val="auto"/>
                <w:szCs w:val="21"/>
                <w:highlight w:val="none"/>
              </w:rPr>
              <w:t>求</w:t>
            </w:r>
            <w:r>
              <w:rPr>
                <w:rFonts w:hint="eastAsia" w:ascii="宋体" w:hAnsi="宋体"/>
                <w:color w:val="auto"/>
                <w:spacing w:val="-2"/>
                <w:szCs w:val="21"/>
                <w:highlight w:val="none"/>
              </w:rPr>
              <w:t>投</w:t>
            </w:r>
            <w:r>
              <w:rPr>
                <w:rFonts w:hint="eastAsia" w:ascii="宋体" w:hAnsi="宋体"/>
                <w:color w:val="auto"/>
                <w:szCs w:val="21"/>
                <w:highlight w:val="none"/>
              </w:rPr>
              <w:t>标</w:t>
            </w:r>
            <w:r>
              <w:rPr>
                <w:rFonts w:hint="eastAsia" w:ascii="宋体" w:hAnsi="宋体"/>
                <w:color w:val="auto"/>
                <w:spacing w:val="-2"/>
                <w:szCs w:val="21"/>
                <w:highlight w:val="none"/>
              </w:rPr>
              <w:t>人</w:t>
            </w:r>
            <w:r>
              <w:rPr>
                <w:rFonts w:hint="eastAsia" w:ascii="宋体" w:hAnsi="宋体"/>
                <w:color w:val="auto"/>
                <w:szCs w:val="21"/>
                <w:highlight w:val="none"/>
              </w:rPr>
              <w:t>递</w:t>
            </w:r>
            <w:r>
              <w:rPr>
                <w:rFonts w:hint="eastAsia" w:ascii="宋体" w:hAnsi="宋体"/>
                <w:color w:val="auto"/>
                <w:spacing w:val="-2"/>
                <w:szCs w:val="21"/>
                <w:highlight w:val="none"/>
              </w:rPr>
              <w:t>交</w:t>
            </w:r>
            <w:r>
              <w:rPr>
                <w:rFonts w:hint="eastAsia" w:ascii="宋体" w:hAnsi="宋体"/>
                <w:color w:val="auto"/>
                <w:szCs w:val="21"/>
                <w:highlight w:val="none"/>
              </w:rPr>
              <w:t>投</w:t>
            </w:r>
            <w:r>
              <w:rPr>
                <w:rFonts w:hint="eastAsia" w:ascii="宋体" w:hAnsi="宋体"/>
                <w:color w:val="auto"/>
                <w:spacing w:val="-2"/>
                <w:szCs w:val="21"/>
                <w:highlight w:val="none"/>
              </w:rPr>
              <w:t>标</w:t>
            </w:r>
            <w:r>
              <w:rPr>
                <w:rFonts w:hint="eastAsia" w:ascii="宋体" w:hAnsi="宋体"/>
                <w:color w:val="auto"/>
                <w:szCs w:val="21"/>
                <w:highlight w:val="none"/>
              </w:rPr>
              <w:t>保证</w:t>
            </w:r>
            <w:r>
              <w:rPr>
                <w:rFonts w:hint="eastAsia" w:ascii="宋体" w:hAnsi="宋体"/>
                <w:color w:val="auto"/>
                <w:spacing w:val="-2"/>
                <w:szCs w:val="21"/>
                <w:highlight w:val="none"/>
              </w:rPr>
              <w:t>金</w:t>
            </w:r>
            <w:r>
              <w:rPr>
                <w:rFonts w:hint="eastAsia" w:ascii="宋体" w:hAnsi="宋体"/>
                <w:color w:val="auto"/>
                <w:szCs w:val="21"/>
                <w:highlight w:val="none"/>
              </w:rPr>
              <w:t>：</w:t>
            </w:r>
          </w:p>
          <w:p w14:paraId="5BE0DE34">
            <w:pPr>
              <w:ind w:left="36" w:leftChars="17" w:right="36" w:rightChars="17"/>
              <w:rPr>
                <w:rFonts w:ascii="宋体" w:hAnsi="宋体" w:cs="宋体"/>
                <w:bCs/>
                <w:color w:val="auto"/>
                <w:szCs w:val="21"/>
                <w:highlight w:val="none"/>
                <w:u w:val="single"/>
              </w:rPr>
            </w:pPr>
            <w:r>
              <w:rPr>
                <w:rFonts w:hint="eastAsia" w:ascii="宋体" w:hAnsi="宋体"/>
                <w:color w:val="auto"/>
                <w:spacing w:val="-1"/>
                <w:szCs w:val="21"/>
                <w:highlight w:val="none"/>
              </w:rPr>
              <w:t>□</w:t>
            </w:r>
            <w:r>
              <w:rPr>
                <w:rFonts w:hint="eastAsia" w:ascii="宋体" w:hAnsi="宋体"/>
                <w:color w:val="auto"/>
                <w:szCs w:val="21"/>
                <w:highlight w:val="none"/>
              </w:rPr>
              <w:t>要求，</w:t>
            </w:r>
            <w:r>
              <w:rPr>
                <w:rFonts w:hint="eastAsia" w:ascii="宋体" w:hAnsi="宋体"/>
                <w:color w:val="auto"/>
                <w:spacing w:val="-2"/>
                <w:szCs w:val="21"/>
                <w:highlight w:val="none"/>
              </w:rPr>
              <w:t>投</w:t>
            </w:r>
            <w:r>
              <w:rPr>
                <w:rFonts w:hint="eastAsia" w:ascii="宋体" w:hAnsi="宋体"/>
                <w:color w:val="auto"/>
                <w:szCs w:val="21"/>
                <w:highlight w:val="none"/>
              </w:rPr>
              <w:t>标</w:t>
            </w:r>
            <w:r>
              <w:rPr>
                <w:rFonts w:hint="eastAsia" w:ascii="宋体" w:hAnsi="宋体"/>
                <w:color w:val="auto"/>
                <w:spacing w:val="-2"/>
                <w:szCs w:val="21"/>
                <w:highlight w:val="none"/>
              </w:rPr>
              <w:t>保</w:t>
            </w:r>
            <w:r>
              <w:rPr>
                <w:rFonts w:hint="eastAsia" w:ascii="宋体" w:hAnsi="宋体"/>
                <w:color w:val="auto"/>
                <w:szCs w:val="21"/>
                <w:highlight w:val="none"/>
              </w:rPr>
              <w:t>证</w:t>
            </w:r>
            <w:r>
              <w:rPr>
                <w:rFonts w:hint="eastAsia" w:ascii="宋体" w:hAnsi="宋体"/>
                <w:color w:val="auto"/>
                <w:spacing w:val="-2"/>
                <w:szCs w:val="21"/>
                <w:highlight w:val="none"/>
              </w:rPr>
              <w:t>金</w:t>
            </w:r>
            <w:r>
              <w:rPr>
                <w:rFonts w:hint="eastAsia" w:ascii="宋体" w:hAnsi="宋体"/>
                <w:color w:val="auto"/>
                <w:szCs w:val="21"/>
                <w:highlight w:val="none"/>
              </w:rPr>
              <w:t>的</w:t>
            </w:r>
            <w:r>
              <w:rPr>
                <w:rFonts w:hint="eastAsia" w:ascii="宋体" w:hAnsi="宋体"/>
                <w:color w:val="auto"/>
                <w:spacing w:val="-2"/>
                <w:szCs w:val="21"/>
                <w:highlight w:val="none"/>
              </w:rPr>
              <w:t>形</w:t>
            </w:r>
            <w:r>
              <w:rPr>
                <w:rFonts w:hint="eastAsia" w:ascii="宋体" w:hAnsi="宋体"/>
                <w:color w:val="auto"/>
                <w:szCs w:val="21"/>
                <w:highlight w:val="none"/>
              </w:rPr>
              <w:t>式：</w:t>
            </w:r>
          </w:p>
          <w:p w14:paraId="24061D73">
            <w:pPr>
              <w:ind w:left="36" w:leftChars="17" w:right="36" w:rightChars="17"/>
              <w:rPr>
                <w:rFonts w:hint="eastAsia" w:ascii="宋体" w:hAnsi="宋体"/>
                <w:b/>
                <w:color w:val="auto"/>
                <w:szCs w:val="21"/>
                <w:highlight w:val="none"/>
                <w:u w:val="single"/>
              </w:rPr>
            </w:pPr>
            <w:r>
              <w:rPr>
                <w:rFonts w:hint="eastAsia" w:ascii="宋体" w:hAnsi="宋体"/>
                <w:color w:val="auto"/>
                <w:szCs w:val="21"/>
                <w:highlight w:val="none"/>
              </w:rPr>
              <w:t>投标</w:t>
            </w:r>
            <w:r>
              <w:rPr>
                <w:rFonts w:hint="eastAsia" w:ascii="宋体" w:hAnsi="宋体"/>
                <w:color w:val="auto"/>
                <w:spacing w:val="-2"/>
                <w:szCs w:val="21"/>
                <w:highlight w:val="none"/>
              </w:rPr>
              <w:t>保</w:t>
            </w:r>
            <w:r>
              <w:rPr>
                <w:rFonts w:hint="eastAsia" w:ascii="宋体" w:hAnsi="宋体"/>
                <w:color w:val="auto"/>
                <w:szCs w:val="21"/>
                <w:highlight w:val="none"/>
              </w:rPr>
              <w:t>证</w:t>
            </w:r>
            <w:r>
              <w:rPr>
                <w:rFonts w:hint="eastAsia" w:ascii="宋体" w:hAnsi="宋体"/>
                <w:color w:val="auto"/>
                <w:spacing w:val="-2"/>
                <w:szCs w:val="21"/>
                <w:highlight w:val="none"/>
              </w:rPr>
              <w:t>金</w:t>
            </w:r>
            <w:r>
              <w:rPr>
                <w:rFonts w:hint="eastAsia" w:ascii="宋体" w:hAnsi="宋体"/>
                <w:color w:val="auto"/>
                <w:szCs w:val="21"/>
                <w:highlight w:val="none"/>
              </w:rPr>
              <w:t>的</w:t>
            </w:r>
            <w:r>
              <w:rPr>
                <w:rFonts w:hint="eastAsia" w:ascii="宋体" w:hAnsi="宋体"/>
                <w:color w:val="auto"/>
                <w:spacing w:val="-2"/>
                <w:szCs w:val="21"/>
                <w:highlight w:val="none"/>
              </w:rPr>
              <w:t>金</w:t>
            </w:r>
            <w:r>
              <w:rPr>
                <w:rFonts w:hint="eastAsia" w:ascii="宋体" w:hAnsi="宋体"/>
                <w:color w:val="auto"/>
                <w:szCs w:val="21"/>
                <w:highlight w:val="none"/>
              </w:rPr>
              <w:t>额：/</w:t>
            </w:r>
          </w:p>
          <w:p w14:paraId="42C410FF">
            <w:pPr>
              <w:pStyle w:val="18"/>
              <w:topLinePunct/>
              <w:snapToGrid w:val="0"/>
              <w:rPr>
                <w:rFonts w:hint="eastAsia" w:hAnsi="宋体" w:cs="宋体"/>
                <w:color w:val="auto"/>
                <w:sz w:val="21"/>
                <w:szCs w:val="21"/>
                <w:highlight w:val="none"/>
              </w:rPr>
            </w:pPr>
            <w:r>
              <w:rPr>
                <w:rFonts w:hint="eastAsia" w:hAnsi="宋体"/>
                <w:color w:val="auto"/>
                <w:sz w:val="21"/>
                <w:szCs w:val="21"/>
                <w:highlight w:val="none"/>
              </w:rPr>
              <w:t>■不要求</w:t>
            </w:r>
          </w:p>
        </w:tc>
      </w:tr>
      <w:tr w14:paraId="6F41D322">
        <w:tblPrEx>
          <w:tblCellMar>
            <w:top w:w="0" w:type="dxa"/>
            <w:left w:w="108" w:type="dxa"/>
            <w:bottom w:w="0" w:type="dxa"/>
            <w:right w:w="108" w:type="dxa"/>
          </w:tblCellMar>
        </w:tblPrEx>
        <w:trPr>
          <w:trHeight w:val="579" w:hRule="atLeast"/>
        </w:trPr>
        <w:tc>
          <w:tcPr>
            <w:tcW w:w="1165" w:type="dxa"/>
            <w:tcBorders>
              <w:top w:val="single" w:color="auto" w:sz="4" w:space="0"/>
              <w:left w:val="single" w:color="auto" w:sz="4" w:space="0"/>
              <w:bottom w:val="single" w:color="auto" w:sz="4" w:space="0"/>
              <w:right w:val="single" w:color="auto" w:sz="4" w:space="0"/>
            </w:tcBorders>
            <w:vAlign w:val="center"/>
          </w:tcPr>
          <w:p w14:paraId="34069B86">
            <w:pPr>
              <w:jc w:val="center"/>
              <w:rPr>
                <w:rFonts w:ascii="宋体" w:hAnsi="宋体"/>
                <w:color w:val="auto"/>
                <w:szCs w:val="21"/>
                <w:highlight w:val="none"/>
              </w:rPr>
            </w:pPr>
            <w:r>
              <w:rPr>
                <w:rFonts w:ascii="宋体" w:hAnsi="宋体"/>
                <w:color w:val="auto"/>
                <w:szCs w:val="21"/>
                <w:highlight w:val="none"/>
              </w:rPr>
              <w:t>3.4.4</w:t>
            </w:r>
          </w:p>
        </w:tc>
        <w:tc>
          <w:tcPr>
            <w:tcW w:w="2292" w:type="dxa"/>
            <w:tcBorders>
              <w:top w:val="single" w:color="auto" w:sz="4" w:space="0"/>
              <w:left w:val="single" w:color="auto" w:sz="4" w:space="0"/>
              <w:bottom w:val="single" w:color="auto" w:sz="4" w:space="0"/>
              <w:right w:val="single" w:color="auto" w:sz="4" w:space="0"/>
            </w:tcBorders>
            <w:vAlign w:val="center"/>
          </w:tcPr>
          <w:p w14:paraId="4C5D542F">
            <w:pPr>
              <w:jc w:val="center"/>
              <w:rPr>
                <w:rFonts w:ascii="宋体" w:hAnsi="宋体"/>
                <w:color w:val="auto"/>
                <w:szCs w:val="21"/>
                <w:highlight w:val="none"/>
              </w:rPr>
            </w:pPr>
            <w:r>
              <w:rPr>
                <w:rFonts w:ascii="宋体" w:hAnsi="宋体"/>
                <w:color w:val="auto"/>
                <w:szCs w:val="21"/>
                <w:highlight w:val="none"/>
              </w:rPr>
              <w:t>其他可以不予退还投标保证金的情形</w:t>
            </w:r>
          </w:p>
        </w:tc>
        <w:tc>
          <w:tcPr>
            <w:tcW w:w="5865" w:type="dxa"/>
            <w:tcBorders>
              <w:top w:val="single" w:color="auto" w:sz="4" w:space="0"/>
              <w:left w:val="single" w:color="auto" w:sz="4" w:space="0"/>
              <w:bottom w:val="single" w:color="auto" w:sz="4" w:space="0"/>
              <w:right w:val="single" w:color="auto" w:sz="4" w:space="0"/>
            </w:tcBorders>
            <w:vAlign w:val="center"/>
          </w:tcPr>
          <w:p w14:paraId="7E89282A">
            <w:pPr>
              <w:jc w:val="left"/>
              <w:rPr>
                <w:rFonts w:hint="eastAsia" w:ascii="宋体" w:hAnsi="宋体"/>
                <w:color w:val="auto"/>
                <w:szCs w:val="21"/>
                <w:highlight w:val="none"/>
              </w:rPr>
            </w:pPr>
            <w:r>
              <w:rPr>
                <w:rFonts w:hint="eastAsia" w:ascii="宋体" w:hAnsi="宋体" w:cs="宋体"/>
                <w:color w:val="auto"/>
                <w:highlight w:val="none"/>
              </w:rPr>
              <w:t>/</w:t>
            </w:r>
          </w:p>
        </w:tc>
      </w:tr>
      <w:tr w14:paraId="17220873">
        <w:tblPrEx>
          <w:tblCellMar>
            <w:top w:w="0" w:type="dxa"/>
            <w:left w:w="108" w:type="dxa"/>
            <w:bottom w:w="0" w:type="dxa"/>
            <w:right w:w="108" w:type="dxa"/>
          </w:tblCellMar>
        </w:tblPrEx>
        <w:trPr>
          <w:trHeight w:val="6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DA34FF7">
            <w:pPr>
              <w:jc w:val="center"/>
              <w:rPr>
                <w:rFonts w:ascii="宋体" w:hAnsi="宋体"/>
                <w:color w:val="auto"/>
                <w:szCs w:val="21"/>
                <w:highlight w:val="none"/>
              </w:rPr>
            </w:pPr>
            <w:r>
              <w:rPr>
                <w:rFonts w:ascii="宋体" w:hAnsi="宋体"/>
                <w:color w:val="auto"/>
                <w:szCs w:val="21"/>
                <w:highlight w:val="none"/>
              </w:rPr>
              <w:t>3.5</w:t>
            </w:r>
          </w:p>
        </w:tc>
        <w:tc>
          <w:tcPr>
            <w:tcW w:w="2292" w:type="dxa"/>
            <w:tcBorders>
              <w:top w:val="single" w:color="auto" w:sz="4" w:space="0"/>
              <w:left w:val="single" w:color="auto" w:sz="4" w:space="0"/>
              <w:bottom w:val="single" w:color="auto" w:sz="4" w:space="0"/>
              <w:right w:val="single" w:color="auto" w:sz="4" w:space="0"/>
            </w:tcBorders>
            <w:vAlign w:val="center"/>
          </w:tcPr>
          <w:p w14:paraId="40A73468">
            <w:pPr>
              <w:jc w:val="center"/>
              <w:rPr>
                <w:rFonts w:ascii="宋体" w:hAnsi="宋体"/>
                <w:color w:val="auto"/>
                <w:szCs w:val="21"/>
                <w:highlight w:val="none"/>
              </w:rPr>
            </w:pPr>
            <w:r>
              <w:rPr>
                <w:rFonts w:ascii="宋体" w:hAnsi="宋体"/>
                <w:color w:val="auto"/>
                <w:szCs w:val="21"/>
                <w:highlight w:val="none"/>
              </w:rPr>
              <w:t>资格审查资料的特殊要求</w:t>
            </w:r>
          </w:p>
        </w:tc>
        <w:tc>
          <w:tcPr>
            <w:tcW w:w="5865" w:type="dxa"/>
            <w:tcBorders>
              <w:top w:val="single" w:color="auto" w:sz="4" w:space="0"/>
              <w:left w:val="single" w:color="auto" w:sz="4" w:space="0"/>
              <w:bottom w:val="single" w:color="auto" w:sz="4" w:space="0"/>
              <w:right w:val="single" w:color="auto" w:sz="4" w:space="0"/>
            </w:tcBorders>
            <w:vAlign w:val="center"/>
          </w:tcPr>
          <w:p w14:paraId="40614025">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无</w:t>
            </w:r>
          </w:p>
          <w:p w14:paraId="48B55B78">
            <w:pPr>
              <w:pStyle w:val="18"/>
              <w:topLinePunct/>
              <w:rPr>
                <w:rFonts w:hint="eastAsia" w:hAnsi="宋体" w:eastAsia="宋体"/>
                <w:color w:val="auto"/>
                <w:sz w:val="21"/>
                <w:szCs w:val="21"/>
                <w:highlight w:val="none"/>
                <w:lang w:val="en-US" w:eastAsia="zh-CN"/>
              </w:rPr>
            </w:pPr>
            <w:r>
              <w:rPr>
                <w:rFonts w:ascii="宋体" w:hAnsi="宋体"/>
                <w:color w:val="auto"/>
                <w:szCs w:val="21"/>
                <w:highlight w:val="none"/>
              </w:rPr>
              <w:t>□</w:t>
            </w:r>
            <w:r>
              <w:rPr>
                <w:rFonts w:hAnsi="宋体"/>
                <w:color w:val="auto"/>
                <w:sz w:val="21"/>
                <w:szCs w:val="21"/>
                <w:highlight w:val="none"/>
              </w:rPr>
              <w:t>有，具体要求：</w:t>
            </w:r>
            <w:r>
              <w:rPr>
                <w:rFonts w:hint="eastAsia" w:hAnsi="宋体"/>
                <w:color w:val="auto"/>
                <w:sz w:val="21"/>
                <w:szCs w:val="21"/>
                <w:highlight w:val="none"/>
                <w:lang w:val="en-US" w:eastAsia="zh-CN"/>
              </w:rPr>
              <w:t>/</w:t>
            </w:r>
          </w:p>
        </w:tc>
      </w:tr>
      <w:tr w14:paraId="70CB2ED0">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7E460CC4">
            <w:pPr>
              <w:jc w:val="center"/>
              <w:rPr>
                <w:rFonts w:ascii="宋体" w:hAnsi="宋体"/>
                <w:color w:val="auto"/>
                <w:szCs w:val="21"/>
                <w:highlight w:val="none"/>
              </w:rPr>
            </w:pPr>
            <w:r>
              <w:rPr>
                <w:rFonts w:ascii="宋体" w:hAnsi="宋体"/>
                <w:color w:val="auto"/>
                <w:szCs w:val="21"/>
                <w:highlight w:val="none"/>
              </w:rPr>
              <w:t>3.5.2</w:t>
            </w:r>
          </w:p>
        </w:tc>
        <w:tc>
          <w:tcPr>
            <w:tcW w:w="2292" w:type="dxa"/>
            <w:tcBorders>
              <w:top w:val="single" w:color="auto" w:sz="4" w:space="0"/>
              <w:left w:val="single" w:color="auto" w:sz="4" w:space="0"/>
              <w:bottom w:val="single" w:color="auto" w:sz="4" w:space="0"/>
              <w:right w:val="single" w:color="auto" w:sz="4" w:space="0"/>
            </w:tcBorders>
            <w:vAlign w:val="center"/>
          </w:tcPr>
          <w:p w14:paraId="3117CCDF">
            <w:pPr>
              <w:jc w:val="center"/>
              <w:rPr>
                <w:rFonts w:ascii="宋体" w:hAnsi="宋体"/>
                <w:color w:val="auto"/>
                <w:szCs w:val="21"/>
                <w:highlight w:val="none"/>
              </w:rPr>
            </w:pPr>
            <w:r>
              <w:rPr>
                <w:rFonts w:ascii="宋体" w:hAnsi="宋体"/>
                <w:color w:val="auto"/>
                <w:szCs w:val="21"/>
                <w:highlight w:val="none"/>
              </w:rPr>
              <w:t>近年财务状况的年份要求</w:t>
            </w:r>
          </w:p>
        </w:tc>
        <w:tc>
          <w:tcPr>
            <w:tcW w:w="5865" w:type="dxa"/>
            <w:tcBorders>
              <w:top w:val="single" w:color="auto" w:sz="4" w:space="0"/>
              <w:left w:val="single" w:color="auto" w:sz="4" w:space="0"/>
              <w:bottom w:val="single" w:color="auto" w:sz="4" w:space="0"/>
              <w:right w:val="single" w:color="auto" w:sz="4" w:space="0"/>
            </w:tcBorders>
            <w:vAlign w:val="center"/>
          </w:tcPr>
          <w:p w14:paraId="44984986">
            <w:pPr>
              <w:rPr>
                <w:rFonts w:ascii="宋体" w:hAnsi="宋体"/>
                <w:color w:val="auto"/>
                <w:szCs w:val="21"/>
                <w:highlight w:val="none"/>
                <w:u w:val="single"/>
              </w:rPr>
            </w:pPr>
            <w:r>
              <w:rPr>
                <w:rFonts w:hint="eastAsia" w:ascii="宋体" w:hAnsi="宋体"/>
                <w:color w:val="auto"/>
                <w:szCs w:val="21"/>
                <w:highlight w:val="none"/>
              </w:rPr>
              <w:t>/</w:t>
            </w:r>
          </w:p>
        </w:tc>
      </w:tr>
      <w:tr w14:paraId="6BD3B55C">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44CFEE6E">
            <w:pPr>
              <w:jc w:val="center"/>
              <w:rPr>
                <w:rFonts w:ascii="宋体" w:hAnsi="宋体"/>
                <w:color w:val="auto"/>
                <w:szCs w:val="21"/>
                <w:highlight w:val="none"/>
              </w:rPr>
            </w:pPr>
            <w:r>
              <w:rPr>
                <w:rFonts w:ascii="宋体" w:hAnsi="宋体"/>
                <w:color w:val="auto"/>
                <w:szCs w:val="21"/>
                <w:highlight w:val="none"/>
              </w:rPr>
              <w:t>3.5.3</w:t>
            </w:r>
          </w:p>
        </w:tc>
        <w:tc>
          <w:tcPr>
            <w:tcW w:w="2292" w:type="dxa"/>
            <w:tcBorders>
              <w:top w:val="single" w:color="auto" w:sz="4" w:space="0"/>
              <w:left w:val="single" w:color="auto" w:sz="4" w:space="0"/>
              <w:bottom w:val="single" w:color="auto" w:sz="4" w:space="0"/>
              <w:right w:val="single" w:color="auto" w:sz="4" w:space="0"/>
            </w:tcBorders>
            <w:vAlign w:val="center"/>
          </w:tcPr>
          <w:p w14:paraId="27B0D867">
            <w:pPr>
              <w:jc w:val="center"/>
              <w:rPr>
                <w:rFonts w:ascii="宋体" w:hAnsi="宋体"/>
                <w:color w:val="auto"/>
                <w:szCs w:val="21"/>
                <w:highlight w:val="none"/>
              </w:rPr>
            </w:pPr>
            <w:r>
              <w:rPr>
                <w:rFonts w:ascii="宋体" w:hAnsi="宋体"/>
                <w:color w:val="auto"/>
                <w:szCs w:val="21"/>
                <w:highlight w:val="none"/>
              </w:rPr>
              <w:t>近年完成的类似项目情况</w:t>
            </w:r>
            <w:r>
              <w:rPr>
                <w:rFonts w:hint="eastAsia" w:ascii="宋体" w:hAnsi="宋体"/>
                <w:color w:val="auto"/>
                <w:szCs w:val="21"/>
                <w:highlight w:val="none"/>
              </w:rPr>
              <w:t>的</w:t>
            </w:r>
            <w:r>
              <w:rPr>
                <w:rFonts w:ascii="宋体" w:hAnsi="宋体"/>
                <w:color w:val="auto"/>
                <w:szCs w:val="21"/>
                <w:highlight w:val="none"/>
              </w:rPr>
              <w:t>时间要求</w:t>
            </w:r>
          </w:p>
        </w:tc>
        <w:tc>
          <w:tcPr>
            <w:tcW w:w="5865" w:type="dxa"/>
            <w:tcBorders>
              <w:top w:val="single" w:color="auto" w:sz="4" w:space="0"/>
              <w:left w:val="single" w:color="auto" w:sz="4" w:space="0"/>
              <w:bottom w:val="single" w:color="auto" w:sz="4" w:space="0"/>
              <w:right w:val="single" w:color="auto" w:sz="4" w:space="0"/>
            </w:tcBorders>
            <w:vAlign w:val="center"/>
          </w:tcPr>
          <w:p w14:paraId="240B87C5">
            <w:pPr>
              <w:rPr>
                <w:rFonts w:hint="eastAsia" w:ascii="宋体" w:hAnsi="宋体"/>
                <w:color w:val="auto"/>
                <w:szCs w:val="21"/>
                <w:highlight w:val="none"/>
              </w:rPr>
            </w:pPr>
            <w:r>
              <w:rPr>
                <w:rFonts w:hint="eastAsia"/>
                <w:color w:val="auto"/>
                <w:highlight w:val="none"/>
              </w:rPr>
              <w:t>/</w:t>
            </w:r>
          </w:p>
        </w:tc>
      </w:tr>
      <w:tr w14:paraId="4408ABF3">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22290ED5">
            <w:pPr>
              <w:jc w:val="center"/>
              <w:rPr>
                <w:rFonts w:ascii="宋体" w:hAnsi="宋体"/>
                <w:color w:val="auto"/>
                <w:szCs w:val="21"/>
                <w:highlight w:val="none"/>
              </w:rPr>
            </w:pPr>
            <w:r>
              <w:rPr>
                <w:rFonts w:ascii="宋体" w:hAnsi="宋体"/>
                <w:color w:val="auto"/>
                <w:szCs w:val="21"/>
                <w:highlight w:val="none"/>
              </w:rPr>
              <w:t>3.5.5</w:t>
            </w:r>
          </w:p>
        </w:tc>
        <w:tc>
          <w:tcPr>
            <w:tcW w:w="2292" w:type="dxa"/>
            <w:tcBorders>
              <w:top w:val="single" w:color="auto" w:sz="4" w:space="0"/>
              <w:left w:val="single" w:color="auto" w:sz="4" w:space="0"/>
              <w:bottom w:val="single" w:color="auto" w:sz="4" w:space="0"/>
              <w:right w:val="single" w:color="auto" w:sz="4" w:space="0"/>
            </w:tcBorders>
            <w:vAlign w:val="center"/>
          </w:tcPr>
          <w:p w14:paraId="6311B416">
            <w:pPr>
              <w:jc w:val="center"/>
              <w:rPr>
                <w:rFonts w:ascii="宋体" w:hAnsi="宋体"/>
                <w:color w:val="auto"/>
                <w:szCs w:val="21"/>
                <w:highlight w:val="none"/>
              </w:rPr>
            </w:pPr>
            <w:r>
              <w:rPr>
                <w:rFonts w:ascii="宋体" w:hAnsi="宋体"/>
                <w:color w:val="auto"/>
                <w:szCs w:val="21"/>
                <w:highlight w:val="none"/>
              </w:rPr>
              <w:t>近年发生的诉讼及仲裁情况的时间要求</w:t>
            </w:r>
          </w:p>
        </w:tc>
        <w:tc>
          <w:tcPr>
            <w:tcW w:w="5865" w:type="dxa"/>
            <w:tcBorders>
              <w:top w:val="single" w:color="auto" w:sz="4" w:space="0"/>
              <w:left w:val="single" w:color="auto" w:sz="4" w:space="0"/>
              <w:bottom w:val="single" w:color="auto" w:sz="4" w:space="0"/>
              <w:right w:val="single" w:color="auto" w:sz="4" w:space="0"/>
            </w:tcBorders>
            <w:vAlign w:val="center"/>
          </w:tcPr>
          <w:p w14:paraId="54A96E60">
            <w:pPr>
              <w:rPr>
                <w:rFonts w:ascii="宋体" w:hAnsi="宋体"/>
                <w:color w:val="auto"/>
                <w:szCs w:val="21"/>
                <w:highlight w:val="none"/>
              </w:rPr>
            </w:pPr>
            <w:r>
              <w:rPr>
                <w:rFonts w:hint="eastAsia" w:ascii="宋体" w:hAnsi="宋体"/>
                <w:color w:val="auto"/>
                <w:szCs w:val="21"/>
                <w:highlight w:val="none"/>
              </w:rPr>
              <w:t>/</w:t>
            </w:r>
          </w:p>
        </w:tc>
      </w:tr>
      <w:tr w14:paraId="3CCBE38E">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2069C840">
            <w:pPr>
              <w:jc w:val="center"/>
              <w:rPr>
                <w:rFonts w:ascii="宋体" w:hAnsi="宋体"/>
                <w:color w:val="auto"/>
                <w:szCs w:val="21"/>
                <w:highlight w:val="none"/>
              </w:rPr>
            </w:pPr>
            <w:r>
              <w:rPr>
                <w:rFonts w:ascii="宋体" w:hAnsi="宋体"/>
                <w:color w:val="auto"/>
                <w:szCs w:val="21"/>
                <w:highlight w:val="none"/>
              </w:rPr>
              <w:t>3.6.1</w:t>
            </w:r>
          </w:p>
        </w:tc>
        <w:tc>
          <w:tcPr>
            <w:tcW w:w="2292" w:type="dxa"/>
            <w:tcBorders>
              <w:top w:val="single" w:color="auto" w:sz="4" w:space="0"/>
              <w:left w:val="single" w:color="auto" w:sz="4" w:space="0"/>
              <w:bottom w:val="single" w:color="auto" w:sz="4" w:space="0"/>
              <w:right w:val="single" w:color="auto" w:sz="4" w:space="0"/>
            </w:tcBorders>
            <w:vAlign w:val="center"/>
          </w:tcPr>
          <w:p w14:paraId="763D4A2F">
            <w:pPr>
              <w:jc w:val="center"/>
              <w:rPr>
                <w:rFonts w:ascii="宋体" w:hAnsi="宋体"/>
                <w:color w:val="auto"/>
                <w:szCs w:val="21"/>
                <w:highlight w:val="none"/>
              </w:rPr>
            </w:pPr>
            <w:r>
              <w:rPr>
                <w:rFonts w:ascii="宋体" w:hAnsi="宋体"/>
                <w:color w:val="auto"/>
                <w:szCs w:val="21"/>
                <w:highlight w:val="none"/>
              </w:rPr>
              <w:t>是否允许递交备选投标方案</w:t>
            </w:r>
          </w:p>
        </w:tc>
        <w:tc>
          <w:tcPr>
            <w:tcW w:w="5865" w:type="dxa"/>
            <w:tcBorders>
              <w:top w:val="single" w:color="auto" w:sz="4" w:space="0"/>
              <w:left w:val="single" w:color="auto" w:sz="4" w:space="0"/>
              <w:bottom w:val="single" w:color="auto" w:sz="4" w:space="0"/>
              <w:right w:val="single" w:color="auto" w:sz="4" w:space="0"/>
            </w:tcBorders>
            <w:vAlign w:val="center"/>
          </w:tcPr>
          <w:p w14:paraId="4B2F358B">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不允许</w:t>
            </w:r>
          </w:p>
          <w:p w14:paraId="04F891C8">
            <w:pPr>
              <w:rPr>
                <w:rFonts w:ascii="宋体" w:hAnsi="宋体"/>
                <w:color w:val="auto"/>
                <w:szCs w:val="21"/>
                <w:highlight w:val="none"/>
              </w:rPr>
            </w:pPr>
            <w:r>
              <w:rPr>
                <w:rFonts w:ascii="宋体" w:hAnsi="宋体"/>
                <w:color w:val="auto"/>
                <w:szCs w:val="21"/>
                <w:highlight w:val="none"/>
              </w:rPr>
              <w:t>□允许</w:t>
            </w:r>
          </w:p>
        </w:tc>
      </w:tr>
      <w:tr w14:paraId="76CB44B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196DCCF">
            <w:pPr>
              <w:jc w:val="center"/>
              <w:rPr>
                <w:rFonts w:ascii="宋体" w:hAnsi="宋体"/>
                <w:color w:val="auto"/>
                <w:szCs w:val="21"/>
                <w:highlight w:val="none"/>
              </w:rPr>
            </w:pPr>
            <w:r>
              <w:rPr>
                <w:rFonts w:ascii="宋体" w:hAnsi="宋体"/>
                <w:color w:val="auto"/>
                <w:szCs w:val="21"/>
                <w:highlight w:val="none"/>
              </w:rPr>
              <w:t>3.7.3</w:t>
            </w:r>
          </w:p>
        </w:tc>
        <w:tc>
          <w:tcPr>
            <w:tcW w:w="2292" w:type="dxa"/>
            <w:tcBorders>
              <w:top w:val="single" w:color="auto" w:sz="4" w:space="0"/>
              <w:left w:val="single" w:color="auto" w:sz="4" w:space="0"/>
              <w:bottom w:val="single" w:color="auto" w:sz="4" w:space="0"/>
              <w:right w:val="single" w:color="auto" w:sz="4" w:space="0"/>
            </w:tcBorders>
            <w:vAlign w:val="center"/>
          </w:tcPr>
          <w:p w14:paraId="24BD411B">
            <w:pPr>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5865" w:type="dxa"/>
            <w:tcBorders>
              <w:top w:val="single" w:color="auto" w:sz="4" w:space="0"/>
              <w:left w:val="single" w:color="auto" w:sz="4" w:space="0"/>
              <w:bottom w:val="single" w:color="auto" w:sz="4" w:space="0"/>
              <w:right w:val="single" w:color="auto" w:sz="4" w:space="0"/>
            </w:tcBorders>
          </w:tcPr>
          <w:p w14:paraId="3922952C">
            <w:pPr>
              <w:jc w:val="left"/>
              <w:rPr>
                <w:rFonts w:ascii="宋体" w:hAnsi="宋体"/>
                <w:color w:val="auto"/>
                <w:szCs w:val="21"/>
                <w:highlight w:val="none"/>
                <w:u w:val="single"/>
              </w:rPr>
            </w:pPr>
            <w:r>
              <w:rPr>
                <w:rFonts w:hint="eastAsia" w:ascii="宋体" w:hAnsi="宋体"/>
                <w:color w:val="auto"/>
                <w:szCs w:val="21"/>
                <w:highlight w:val="none"/>
                <w:u w:val="single"/>
              </w:rPr>
              <w:t>证书证件需为清晰扫描件，并采用单位数字证书，按照招标文件要求在相应位置用单位数字证书加盖电子印章。</w:t>
            </w:r>
          </w:p>
        </w:tc>
      </w:tr>
      <w:tr w14:paraId="6A97092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4576AA6">
            <w:pPr>
              <w:jc w:val="center"/>
              <w:rPr>
                <w:rFonts w:ascii="宋体" w:hAnsi="宋体"/>
                <w:color w:val="auto"/>
                <w:szCs w:val="21"/>
                <w:highlight w:val="none"/>
              </w:rPr>
            </w:pPr>
            <w:r>
              <w:rPr>
                <w:rFonts w:ascii="宋体" w:hAnsi="宋体"/>
                <w:color w:val="auto"/>
                <w:szCs w:val="21"/>
                <w:highlight w:val="none"/>
              </w:rPr>
              <w:t>3.7.3</w:t>
            </w:r>
          </w:p>
        </w:tc>
        <w:tc>
          <w:tcPr>
            <w:tcW w:w="2292" w:type="dxa"/>
            <w:tcBorders>
              <w:top w:val="single" w:color="auto" w:sz="4" w:space="0"/>
              <w:left w:val="single" w:color="auto" w:sz="4" w:space="0"/>
              <w:bottom w:val="single" w:color="auto" w:sz="4" w:space="0"/>
              <w:right w:val="single" w:color="auto" w:sz="4" w:space="0"/>
            </w:tcBorders>
            <w:vAlign w:val="center"/>
          </w:tcPr>
          <w:p w14:paraId="4BEFCC98">
            <w:pPr>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5865" w:type="dxa"/>
            <w:tcBorders>
              <w:top w:val="single" w:color="auto" w:sz="4" w:space="0"/>
              <w:left w:val="single" w:color="auto" w:sz="4" w:space="0"/>
              <w:bottom w:val="single" w:color="auto" w:sz="4" w:space="0"/>
              <w:right w:val="single" w:color="auto" w:sz="4" w:space="0"/>
            </w:tcBorders>
          </w:tcPr>
          <w:p w14:paraId="229BD5BF">
            <w:pPr>
              <w:jc w:val="left"/>
              <w:rPr>
                <w:rFonts w:hint="eastAsia" w:ascii="宋体" w:hAnsi="宋体"/>
                <w:b/>
                <w:color w:val="auto"/>
                <w:szCs w:val="21"/>
                <w:highlight w:val="none"/>
                <w:u w:val="single"/>
              </w:rPr>
            </w:pPr>
            <w:r>
              <w:rPr>
                <w:rFonts w:hint="eastAsia" w:ascii="宋体" w:hAnsi="宋体"/>
                <w:color w:val="auto"/>
                <w:szCs w:val="21"/>
                <w:highlight w:val="none"/>
              </w:rPr>
              <w:t>投标文件全部采用电子文档，投标文件所附证书证件均为原件彩色扫描件，并采用单位数字证书，按招标文件要求在相应位置加盖电子印章。投标文件中需个人签字或盖章的，</w:t>
            </w:r>
            <w:r>
              <w:rPr>
                <w:rFonts w:hint="eastAsia" w:ascii="宋体" w:hAnsi="宋体"/>
                <w:color w:val="auto"/>
                <w:szCs w:val="21"/>
                <w:highlight w:val="none"/>
                <w:u w:val="single"/>
              </w:rPr>
              <w:t>应加盖个人电子印章或在线下完成后扫描上传</w:t>
            </w:r>
            <w:r>
              <w:rPr>
                <w:rFonts w:hint="eastAsia" w:ascii="宋体" w:hAnsi="宋体"/>
                <w:color w:val="auto"/>
                <w:szCs w:val="21"/>
                <w:highlight w:val="none"/>
              </w:rPr>
              <w:t>。</w:t>
            </w:r>
          </w:p>
          <w:p w14:paraId="26202E51">
            <w:pPr>
              <w:jc w:val="left"/>
              <w:rPr>
                <w:rFonts w:ascii="宋体" w:hAnsi="宋体"/>
                <w:color w:val="auto"/>
                <w:szCs w:val="21"/>
                <w:highlight w:val="none"/>
                <w:u w:val="single"/>
              </w:rPr>
            </w:pPr>
            <w:r>
              <w:rPr>
                <w:rFonts w:hint="eastAsia" w:ascii="宋体" w:hAnsi="宋体"/>
                <w:color w:val="auto"/>
                <w:szCs w:val="21"/>
                <w:highlight w:val="none"/>
              </w:rPr>
              <w:t>具体操作详见</w:t>
            </w:r>
            <w:r>
              <w:rPr>
                <w:rFonts w:hint="eastAsia" w:ascii="Times New Roman" w:hAnsi="宋体"/>
                <w:color w:val="auto"/>
                <w:szCs w:val="21"/>
                <w:highlight w:val="none"/>
                <w:u w:val="single"/>
              </w:rPr>
              <w:t>广州交易集团有限公司（广州公共资源交易中心）网站最新发布的操作指引。</w:t>
            </w:r>
          </w:p>
        </w:tc>
      </w:tr>
      <w:tr w14:paraId="0773F89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2B99A3B">
            <w:pPr>
              <w:jc w:val="center"/>
              <w:rPr>
                <w:rFonts w:ascii="宋体" w:hAnsi="宋体"/>
                <w:color w:val="auto"/>
                <w:szCs w:val="21"/>
                <w:highlight w:val="none"/>
              </w:rPr>
            </w:pPr>
            <w:r>
              <w:rPr>
                <w:rFonts w:ascii="宋体" w:hAnsi="宋体"/>
                <w:color w:val="auto"/>
                <w:szCs w:val="21"/>
                <w:highlight w:val="none"/>
              </w:rPr>
              <w:t>4.1.1</w:t>
            </w:r>
          </w:p>
        </w:tc>
        <w:tc>
          <w:tcPr>
            <w:tcW w:w="2292" w:type="dxa"/>
            <w:tcBorders>
              <w:top w:val="single" w:color="auto" w:sz="4" w:space="0"/>
              <w:left w:val="single" w:color="auto" w:sz="4" w:space="0"/>
              <w:bottom w:val="single" w:color="auto" w:sz="4" w:space="0"/>
              <w:right w:val="single" w:color="auto" w:sz="4" w:space="0"/>
            </w:tcBorders>
            <w:vAlign w:val="center"/>
          </w:tcPr>
          <w:p w14:paraId="23B433DB">
            <w:pPr>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5865" w:type="dxa"/>
            <w:tcBorders>
              <w:top w:val="single" w:color="auto" w:sz="4" w:space="0"/>
              <w:left w:val="single" w:color="auto" w:sz="4" w:space="0"/>
              <w:bottom w:val="single" w:color="auto" w:sz="4" w:space="0"/>
              <w:right w:val="single" w:color="auto" w:sz="4" w:space="0"/>
            </w:tcBorders>
            <w:vAlign w:val="center"/>
          </w:tcPr>
          <w:p w14:paraId="6D3DFF7E">
            <w:pPr>
              <w:jc w:val="left"/>
              <w:rPr>
                <w:rFonts w:ascii="宋体" w:hAnsi="宋体"/>
                <w:color w:val="auto"/>
                <w:szCs w:val="21"/>
                <w:highlight w:val="none"/>
              </w:rPr>
            </w:pPr>
            <w:r>
              <w:rPr>
                <w:rFonts w:hint="eastAsia" w:ascii="宋体" w:hAnsi="宋体"/>
                <w:color w:val="auto"/>
                <w:szCs w:val="21"/>
                <w:highlight w:val="none"/>
              </w:rPr>
              <w:t>网上递交的电子投标文件须进行加密。具体操作详见</w:t>
            </w:r>
            <w:r>
              <w:rPr>
                <w:rFonts w:hint="eastAsia" w:ascii="Times New Roman" w:hAnsi="宋体"/>
                <w:color w:val="auto"/>
                <w:szCs w:val="21"/>
                <w:highlight w:val="none"/>
                <w:u w:val="single"/>
              </w:rPr>
              <w:t>广州交易集团有限公司（广州公共资源交易中心）网站最新发布的操作指引。</w:t>
            </w:r>
          </w:p>
        </w:tc>
      </w:tr>
      <w:tr w14:paraId="6A663F3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C4829D2">
            <w:pPr>
              <w:jc w:val="center"/>
              <w:rPr>
                <w:rFonts w:ascii="宋体" w:hAnsi="宋体"/>
                <w:color w:val="auto"/>
                <w:szCs w:val="21"/>
                <w:highlight w:val="none"/>
              </w:rPr>
            </w:pPr>
            <w:r>
              <w:rPr>
                <w:rFonts w:ascii="宋体" w:hAnsi="宋体"/>
                <w:color w:val="auto"/>
                <w:szCs w:val="21"/>
                <w:highlight w:val="none"/>
              </w:rPr>
              <w:t>4.1.2</w:t>
            </w:r>
          </w:p>
        </w:tc>
        <w:tc>
          <w:tcPr>
            <w:tcW w:w="2292" w:type="dxa"/>
            <w:tcBorders>
              <w:top w:val="single" w:color="auto" w:sz="4" w:space="0"/>
              <w:left w:val="single" w:color="auto" w:sz="4" w:space="0"/>
              <w:bottom w:val="single" w:color="auto" w:sz="4" w:space="0"/>
              <w:right w:val="single" w:color="auto" w:sz="4" w:space="0"/>
            </w:tcBorders>
            <w:vAlign w:val="center"/>
          </w:tcPr>
          <w:p w14:paraId="2879A6C2">
            <w:pPr>
              <w:jc w:val="center"/>
              <w:rPr>
                <w:rFonts w:ascii="宋体" w:hAnsi="宋体"/>
                <w:color w:val="auto"/>
                <w:szCs w:val="21"/>
                <w:highlight w:val="none"/>
              </w:rPr>
            </w:pPr>
            <w:r>
              <w:rPr>
                <w:rFonts w:hint="eastAsia" w:ascii="宋体" w:hAnsi="宋体"/>
                <w:color w:val="auto"/>
                <w:szCs w:val="21"/>
                <w:highlight w:val="none"/>
              </w:rPr>
              <w:t>封套上应载明的信息</w:t>
            </w:r>
          </w:p>
          <w:p w14:paraId="0F5EDFA3">
            <w:pPr>
              <w:jc w:val="center"/>
              <w:rPr>
                <w:rFonts w:ascii="宋体" w:hAnsi="宋体"/>
                <w:color w:val="auto"/>
                <w:szCs w:val="21"/>
                <w:highlight w:val="none"/>
                <w:shd w:val="clear" w:color="FFFFFF" w:fill="D9D9D9"/>
              </w:rPr>
            </w:pPr>
            <w:r>
              <w:rPr>
                <w:rFonts w:hint="eastAsia" w:ascii="宋体" w:hAnsi="宋体"/>
                <w:color w:val="auto"/>
                <w:szCs w:val="21"/>
                <w:highlight w:val="none"/>
              </w:rPr>
              <w:t>（适用于提交备用光盘的情况）</w:t>
            </w:r>
          </w:p>
        </w:tc>
        <w:tc>
          <w:tcPr>
            <w:tcW w:w="5865" w:type="dxa"/>
            <w:tcBorders>
              <w:top w:val="single" w:color="auto" w:sz="4" w:space="0"/>
              <w:left w:val="single" w:color="auto" w:sz="4" w:space="0"/>
              <w:bottom w:val="single" w:color="auto" w:sz="4" w:space="0"/>
              <w:right w:val="single" w:color="auto" w:sz="4" w:space="0"/>
            </w:tcBorders>
            <w:vAlign w:val="center"/>
          </w:tcPr>
          <w:p w14:paraId="224DA602">
            <w:pPr>
              <w:topLinePunct/>
              <w:snapToGrid w:val="0"/>
              <w:ind w:right="174" w:rightChars="83"/>
              <w:rPr>
                <w:rFonts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14:paraId="5F037E18">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招标人名称：</w:t>
            </w:r>
            <w:r>
              <w:rPr>
                <w:rFonts w:hint="eastAsia" w:ascii="宋体" w:hAnsi="宋体"/>
                <w:color w:val="auto"/>
                <w:szCs w:val="21"/>
                <w:highlight w:val="none"/>
                <w:u w:val="single"/>
                <w:lang w:eastAsia="zh-CN"/>
              </w:rPr>
              <w:t>中交四航（广州）供应链管理有限公司</w:t>
            </w:r>
          </w:p>
          <w:p w14:paraId="6DA623B8">
            <w:pPr>
              <w:rPr>
                <w:rFonts w:ascii="宋体" w:hAnsi="宋体"/>
                <w:color w:val="auto"/>
                <w:szCs w:val="21"/>
                <w:highlight w:val="none"/>
              </w:rPr>
            </w:pPr>
            <w:r>
              <w:rPr>
                <w:rFonts w:hint="eastAsia" w:ascii="宋体" w:hAnsi="宋体"/>
                <w:color w:val="auto"/>
                <w:szCs w:val="21"/>
                <w:highlight w:val="none"/>
                <w:u w:val="single"/>
                <w:lang w:eastAsia="zh-CN"/>
              </w:rPr>
              <w:t>中交冷链（广州天河）智慧产业园项目监理</w:t>
            </w:r>
            <w:r>
              <w:rPr>
                <w:rFonts w:hint="eastAsia" w:ascii="宋体" w:hAnsi="宋体"/>
                <w:color w:val="auto"/>
                <w:szCs w:val="21"/>
                <w:highlight w:val="none"/>
              </w:rPr>
              <w:t>投标文件备用光盘</w:t>
            </w:r>
          </w:p>
          <w:p w14:paraId="21956813">
            <w:pPr>
              <w:pStyle w:val="18"/>
              <w:topLinePunct/>
              <w:rPr>
                <w:rFonts w:hAnsi="宋体"/>
                <w:color w:val="auto"/>
                <w:sz w:val="21"/>
                <w:szCs w:val="21"/>
                <w:highlight w:val="none"/>
              </w:rPr>
            </w:pPr>
            <w:r>
              <w:rPr>
                <w:rFonts w:hint="eastAsia" w:hAnsi="宋体"/>
                <w:color w:val="auto"/>
                <w:sz w:val="21"/>
                <w:szCs w:val="21"/>
                <w:highlight w:val="none"/>
              </w:rPr>
              <w:t>招标项目编号：</w:t>
            </w:r>
            <w:r>
              <w:rPr>
                <w:rFonts w:hAnsi="宋体"/>
                <w:color w:val="auto"/>
                <w:sz w:val="21"/>
                <w:szCs w:val="21"/>
                <w:highlight w:val="none"/>
                <w:u w:val="single"/>
              </w:rPr>
              <w:t xml:space="preserve">             </w:t>
            </w:r>
          </w:p>
          <w:p w14:paraId="738D30E1">
            <w:pPr>
              <w:pStyle w:val="18"/>
              <w:topLinePunct/>
              <w:rPr>
                <w:rFonts w:hAnsi="宋体"/>
                <w:color w:val="auto"/>
                <w:sz w:val="21"/>
                <w:szCs w:val="21"/>
                <w:highlight w:val="none"/>
              </w:rPr>
            </w:pPr>
            <w:r>
              <w:rPr>
                <w:rFonts w:hint="eastAsia" w:hAnsi="宋体"/>
                <w:color w:val="auto"/>
                <w:sz w:val="21"/>
                <w:szCs w:val="21"/>
                <w:highlight w:val="none"/>
              </w:rPr>
              <w:t>在</w:t>
            </w:r>
            <w:r>
              <w:rPr>
                <w:rFonts w:hAnsi="宋体"/>
                <w:color w:val="auto"/>
                <w:sz w:val="21"/>
                <w:szCs w:val="21"/>
                <w:highlight w:val="none"/>
                <w:u w:val="single"/>
              </w:rPr>
              <w:t xml:space="preserve">    </w:t>
            </w:r>
            <w:r>
              <w:rPr>
                <w:rFonts w:hint="eastAsia" w:hAnsi="宋体"/>
                <w:color w:val="auto"/>
                <w:sz w:val="21"/>
                <w:szCs w:val="21"/>
                <w:highlight w:val="none"/>
              </w:rPr>
              <w:t>年</w:t>
            </w:r>
            <w:r>
              <w:rPr>
                <w:rFonts w:hAnsi="宋体"/>
                <w:color w:val="auto"/>
                <w:sz w:val="21"/>
                <w:szCs w:val="21"/>
                <w:highlight w:val="none"/>
                <w:u w:val="single"/>
              </w:rPr>
              <w:t xml:space="preserve">    </w:t>
            </w:r>
            <w:r>
              <w:rPr>
                <w:rFonts w:hint="eastAsia" w:hAnsi="宋体"/>
                <w:color w:val="auto"/>
                <w:sz w:val="21"/>
                <w:szCs w:val="21"/>
                <w:highlight w:val="none"/>
              </w:rPr>
              <w:t>月</w:t>
            </w:r>
            <w:r>
              <w:rPr>
                <w:rFonts w:hAnsi="宋体"/>
                <w:color w:val="auto"/>
                <w:sz w:val="21"/>
                <w:szCs w:val="21"/>
                <w:highlight w:val="none"/>
                <w:u w:val="single"/>
              </w:rPr>
              <w:t xml:space="preserve">    </w:t>
            </w:r>
            <w:r>
              <w:rPr>
                <w:rFonts w:hint="eastAsia" w:hAnsi="宋体"/>
                <w:color w:val="auto"/>
                <w:sz w:val="21"/>
                <w:szCs w:val="21"/>
                <w:highlight w:val="none"/>
              </w:rPr>
              <w:t>日</w:t>
            </w:r>
            <w:r>
              <w:rPr>
                <w:rFonts w:hAnsi="宋体"/>
                <w:color w:val="auto"/>
                <w:sz w:val="21"/>
                <w:szCs w:val="21"/>
                <w:highlight w:val="none"/>
                <w:u w:val="single"/>
              </w:rPr>
              <w:t xml:space="preserve">    </w:t>
            </w:r>
            <w:r>
              <w:rPr>
                <w:rFonts w:hint="eastAsia" w:hAnsi="宋体"/>
                <w:color w:val="auto"/>
                <w:sz w:val="21"/>
                <w:szCs w:val="21"/>
                <w:highlight w:val="none"/>
              </w:rPr>
              <w:t>时</w:t>
            </w:r>
            <w:r>
              <w:rPr>
                <w:rFonts w:hAnsi="宋体"/>
                <w:color w:val="auto"/>
                <w:sz w:val="21"/>
                <w:szCs w:val="21"/>
                <w:highlight w:val="none"/>
                <w:u w:val="single"/>
              </w:rPr>
              <w:t xml:space="preserve">    </w:t>
            </w:r>
            <w:r>
              <w:rPr>
                <w:rFonts w:hint="eastAsia" w:hAnsi="宋体"/>
                <w:color w:val="auto"/>
                <w:sz w:val="21"/>
                <w:szCs w:val="21"/>
                <w:highlight w:val="none"/>
              </w:rPr>
              <w:t>分前不得开启（填入开标时间）</w:t>
            </w:r>
          </w:p>
        </w:tc>
      </w:tr>
      <w:tr w14:paraId="0C29746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9EF0C10">
            <w:pPr>
              <w:jc w:val="center"/>
              <w:rPr>
                <w:rFonts w:ascii="宋体" w:hAnsi="宋体"/>
                <w:color w:val="auto"/>
                <w:szCs w:val="21"/>
                <w:highlight w:val="none"/>
              </w:rPr>
            </w:pPr>
            <w:r>
              <w:rPr>
                <w:rFonts w:ascii="宋体" w:hAnsi="宋体"/>
                <w:color w:val="auto"/>
                <w:szCs w:val="21"/>
                <w:highlight w:val="none"/>
              </w:rPr>
              <w:t>4.2.1</w:t>
            </w:r>
          </w:p>
        </w:tc>
        <w:tc>
          <w:tcPr>
            <w:tcW w:w="2292" w:type="dxa"/>
            <w:tcBorders>
              <w:top w:val="single" w:color="auto" w:sz="4" w:space="0"/>
              <w:left w:val="single" w:color="auto" w:sz="4" w:space="0"/>
              <w:bottom w:val="single" w:color="auto" w:sz="4" w:space="0"/>
              <w:right w:val="single" w:color="auto" w:sz="4" w:space="0"/>
            </w:tcBorders>
            <w:vAlign w:val="center"/>
          </w:tcPr>
          <w:p w14:paraId="512428C4">
            <w:pPr>
              <w:jc w:val="center"/>
              <w:rPr>
                <w:rFonts w:ascii="宋体" w:hAnsi="宋体"/>
                <w:color w:val="auto"/>
                <w:szCs w:val="21"/>
                <w:highlight w:val="none"/>
              </w:rPr>
            </w:pPr>
            <w:r>
              <w:rPr>
                <w:rFonts w:hint="eastAsia" w:ascii="宋体" w:hAnsi="宋体"/>
                <w:color w:val="auto"/>
                <w:szCs w:val="21"/>
                <w:highlight w:val="none"/>
              </w:rPr>
              <w:t>投标截止时间</w:t>
            </w:r>
          </w:p>
        </w:tc>
        <w:tc>
          <w:tcPr>
            <w:tcW w:w="5865" w:type="dxa"/>
            <w:tcBorders>
              <w:top w:val="single" w:color="auto" w:sz="4" w:space="0"/>
              <w:left w:val="single" w:color="auto" w:sz="4" w:space="0"/>
              <w:bottom w:val="single" w:color="auto" w:sz="4" w:space="0"/>
              <w:right w:val="single" w:color="auto" w:sz="4" w:space="0"/>
            </w:tcBorders>
            <w:vAlign w:val="center"/>
          </w:tcPr>
          <w:p w14:paraId="3401F939">
            <w:pPr>
              <w:rPr>
                <w:rFonts w:ascii="宋体" w:hAnsi="宋体"/>
                <w:color w:val="auto"/>
                <w:szCs w:val="21"/>
                <w:highlight w:val="none"/>
              </w:rPr>
            </w:pPr>
            <w:r>
              <w:rPr>
                <w:rFonts w:hint="eastAsia" w:ascii="宋体" w:hAnsi="宋体"/>
                <w:color w:val="auto"/>
                <w:szCs w:val="21"/>
                <w:highlight w:val="none"/>
                <w:u w:val="single"/>
              </w:rPr>
              <w:t>详见招标公告</w:t>
            </w:r>
            <w:r>
              <w:rPr>
                <w:rFonts w:hint="eastAsia" w:ascii="宋体" w:hAnsi="宋体" w:cs="宋体"/>
                <w:color w:val="auto"/>
                <w:szCs w:val="21"/>
                <w:highlight w:val="none"/>
                <w:u w:val="single"/>
              </w:rPr>
              <w:t>。</w:t>
            </w:r>
          </w:p>
        </w:tc>
      </w:tr>
      <w:tr w14:paraId="06799AD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CD6483F">
            <w:pPr>
              <w:snapToGrid w:val="0"/>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292" w:type="dxa"/>
            <w:tcBorders>
              <w:top w:val="single" w:color="auto" w:sz="4" w:space="0"/>
              <w:left w:val="single" w:color="auto" w:sz="4" w:space="0"/>
              <w:bottom w:val="single" w:color="auto" w:sz="4" w:space="0"/>
              <w:right w:val="single" w:color="auto" w:sz="4" w:space="0"/>
            </w:tcBorders>
            <w:vAlign w:val="center"/>
          </w:tcPr>
          <w:p w14:paraId="6963FE40">
            <w:pPr>
              <w:snapToGrid w:val="0"/>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865" w:type="dxa"/>
            <w:tcBorders>
              <w:top w:val="single" w:color="auto" w:sz="4" w:space="0"/>
              <w:left w:val="single" w:color="auto" w:sz="4" w:space="0"/>
              <w:bottom w:val="single" w:color="auto" w:sz="4" w:space="0"/>
              <w:right w:val="single" w:color="auto" w:sz="4" w:space="0"/>
            </w:tcBorders>
            <w:vAlign w:val="center"/>
          </w:tcPr>
          <w:p w14:paraId="0CD8AF8F">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1.递交方式：网上递交投标文件。</w:t>
            </w:r>
          </w:p>
          <w:p w14:paraId="60CBE2E8">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2.地点：</w:t>
            </w:r>
            <w:r>
              <w:rPr>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rPr>
              <w:t>网站。</w:t>
            </w:r>
          </w:p>
          <w:p w14:paraId="3FC08585">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3.上述时间及地点是否有改变，请密切留意招标答疑纪要的相关信息。</w:t>
            </w:r>
          </w:p>
        </w:tc>
      </w:tr>
      <w:tr w14:paraId="09605102">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372EDC9C">
            <w:pPr>
              <w:jc w:val="center"/>
              <w:rPr>
                <w:rFonts w:ascii="宋体" w:hAnsi="宋体"/>
                <w:color w:val="auto"/>
                <w:szCs w:val="21"/>
                <w:highlight w:val="none"/>
              </w:rPr>
            </w:pPr>
            <w:r>
              <w:rPr>
                <w:rFonts w:ascii="宋体" w:hAnsi="宋体"/>
                <w:color w:val="auto"/>
                <w:szCs w:val="21"/>
                <w:highlight w:val="none"/>
              </w:rPr>
              <w:t>4.2.3</w:t>
            </w:r>
          </w:p>
        </w:tc>
        <w:tc>
          <w:tcPr>
            <w:tcW w:w="2292" w:type="dxa"/>
            <w:tcBorders>
              <w:top w:val="single" w:color="auto" w:sz="4" w:space="0"/>
              <w:left w:val="single" w:color="auto" w:sz="4" w:space="0"/>
              <w:bottom w:val="single" w:color="auto" w:sz="4" w:space="0"/>
              <w:right w:val="single" w:color="auto" w:sz="4" w:space="0"/>
            </w:tcBorders>
            <w:vAlign w:val="center"/>
          </w:tcPr>
          <w:p w14:paraId="79757DF4">
            <w:pPr>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5865" w:type="dxa"/>
            <w:tcBorders>
              <w:top w:val="single" w:color="auto" w:sz="4" w:space="0"/>
              <w:left w:val="single" w:color="auto" w:sz="4" w:space="0"/>
              <w:bottom w:val="single" w:color="auto" w:sz="4" w:space="0"/>
              <w:right w:val="single" w:color="auto" w:sz="4" w:space="0"/>
            </w:tcBorders>
            <w:vAlign w:val="center"/>
          </w:tcPr>
          <w:p w14:paraId="3E8E19C9">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否</w:t>
            </w:r>
          </w:p>
          <w:p w14:paraId="58B225F6">
            <w:pPr>
              <w:pStyle w:val="18"/>
              <w:topLinePunct/>
              <w:rPr>
                <w:rFonts w:hint="eastAsia"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是，退还时间：</w:t>
            </w:r>
            <w:r>
              <w:rPr>
                <w:rFonts w:hint="eastAsia" w:hAnsi="宋体"/>
                <w:color w:val="auto"/>
                <w:sz w:val="21"/>
                <w:szCs w:val="21"/>
                <w:highlight w:val="none"/>
              </w:rPr>
              <w:t>/</w:t>
            </w:r>
          </w:p>
        </w:tc>
      </w:tr>
      <w:tr w14:paraId="7F89987E">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58039948">
            <w:pPr>
              <w:jc w:val="center"/>
              <w:rPr>
                <w:rFonts w:ascii="宋体" w:hAnsi="宋体"/>
                <w:color w:val="auto"/>
                <w:szCs w:val="21"/>
                <w:highlight w:val="none"/>
              </w:rPr>
            </w:pPr>
            <w:r>
              <w:rPr>
                <w:rFonts w:ascii="宋体" w:hAnsi="宋体"/>
                <w:color w:val="auto"/>
                <w:szCs w:val="21"/>
                <w:highlight w:val="none"/>
              </w:rPr>
              <w:t>5.1</w:t>
            </w:r>
          </w:p>
        </w:tc>
        <w:tc>
          <w:tcPr>
            <w:tcW w:w="2292" w:type="dxa"/>
            <w:tcBorders>
              <w:top w:val="single" w:color="auto" w:sz="4" w:space="0"/>
              <w:left w:val="single" w:color="auto" w:sz="4" w:space="0"/>
              <w:bottom w:val="single" w:color="auto" w:sz="4" w:space="0"/>
              <w:right w:val="single" w:color="auto" w:sz="4" w:space="0"/>
            </w:tcBorders>
            <w:vAlign w:val="center"/>
          </w:tcPr>
          <w:p w14:paraId="798A935E">
            <w:pPr>
              <w:jc w:val="center"/>
              <w:rPr>
                <w:rFonts w:ascii="宋体" w:hAnsi="宋体"/>
                <w:color w:val="auto"/>
                <w:szCs w:val="21"/>
                <w:highlight w:val="none"/>
              </w:rPr>
            </w:pPr>
            <w:r>
              <w:rPr>
                <w:rFonts w:hint="eastAsia" w:ascii="宋体" w:hAnsi="宋体"/>
                <w:color w:val="auto"/>
                <w:szCs w:val="21"/>
                <w:highlight w:val="none"/>
              </w:rPr>
              <w:t>开标时间和地点</w:t>
            </w:r>
          </w:p>
        </w:tc>
        <w:tc>
          <w:tcPr>
            <w:tcW w:w="5865" w:type="dxa"/>
            <w:tcBorders>
              <w:top w:val="single" w:color="auto" w:sz="4" w:space="0"/>
              <w:left w:val="single" w:color="auto" w:sz="4" w:space="0"/>
              <w:bottom w:val="single" w:color="auto" w:sz="4" w:space="0"/>
              <w:right w:val="single" w:color="auto" w:sz="4" w:space="0"/>
            </w:tcBorders>
            <w:vAlign w:val="center"/>
          </w:tcPr>
          <w:p w14:paraId="5378D0AC">
            <w:pPr>
              <w:jc w:val="left"/>
              <w:rPr>
                <w:rFonts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8C082F2">
            <w:pPr>
              <w:rPr>
                <w:rFonts w:ascii="宋体" w:hAnsi="宋体"/>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具体时间、地点可以到广州交易集团有限公司（广州公共资源交易中心）网站的项目查询(日程安排、答疑纪要)中输入本项目编号或项目名称进行查询。</w:t>
            </w:r>
          </w:p>
        </w:tc>
      </w:tr>
      <w:tr w14:paraId="257AC21D">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14:paraId="66C20B65">
            <w:pPr>
              <w:jc w:val="cente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2</w:t>
            </w:r>
          </w:p>
        </w:tc>
        <w:tc>
          <w:tcPr>
            <w:tcW w:w="2292" w:type="dxa"/>
            <w:tcBorders>
              <w:top w:val="single" w:color="auto" w:sz="4" w:space="0"/>
              <w:left w:val="single" w:color="auto" w:sz="4" w:space="0"/>
              <w:bottom w:val="single" w:color="auto" w:sz="4" w:space="0"/>
              <w:right w:val="single" w:color="auto" w:sz="4" w:space="0"/>
            </w:tcBorders>
            <w:vAlign w:val="center"/>
          </w:tcPr>
          <w:p w14:paraId="14C3A300">
            <w:pPr>
              <w:jc w:val="center"/>
              <w:rPr>
                <w:rFonts w:ascii="宋体" w:hAnsi="宋体"/>
                <w:color w:val="auto"/>
                <w:szCs w:val="21"/>
                <w:highlight w:val="none"/>
              </w:rPr>
            </w:pPr>
            <w:r>
              <w:rPr>
                <w:rFonts w:hint="eastAsia" w:ascii="宋体" w:hAnsi="宋体"/>
                <w:color w:val="auto"/>
                <w:szCs w:val="21"/>
                <w:highlight w:val="none"/>
              </w:rPr>
              <w:t>电子招投标开标程序</w:t>
            </w:r>
          </w:p>
        </w:tc>
        <w:tc>
          <w:tcPr>
            <w:tcW w:w="5865" w:type="dxa"/>
            <w:tcBorders>
              <w:top w:val="single" w:color="auto" w:sz="4" w:space="0"/>
              <w:left w:val="single" w:color="auto" w:sz="4" w:space="0"/>
              <w:bottom w:val="single" w:color="auto" w:sz="4" w:space="0"/>
              <w:right w:val="single" w:color="auto" w:sz="4" w:space="0"/>
            </w:tcBorders>
            <w:vAlign w:val="center"/>
          </w:tcPr>
          <w:p w14:paraId="328BC3BD">
            <w:pPr>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6A316EE1">
            <w:pPr>
              <w:snapToGrid w:val="0"/>
              <w:rPr>
                <w:rFonts w:ascii="宋体" w:hAnsi="宋体"/>
                <w:color w:val="auto"/>
                <w:szCs w:val="21"/>
                <w:highlight w:val="none"/>
                <w:u w:val="single"/>
              </w:rPr>
            </w:pPr>
            <w:r>
              <w:rPr>
                <w:rFonts w:hint="eastAsia" w:ascii="宋体" w:hAnsi="宋体"/>
                <w:color w:val="auto"/>
                <w:szCs w:val="21"/>
                <w:highlight w:val="none"/>
                <w:u w:val="single"/>
              </w:rPr>
              <w:t>（1）宣布开标纪律；</w:t>
            </w:r>
          </w:p>
          <w:p w14:paraId="6368923B">
            <w:pPr>
              <w:snapToGrid w:val="0"/>
              <w:rPr>
                <w:rFonts w:ascii="宋体" w:hAnsi="宋体"/>
                <w:color w:val="auto"/>
                <w:szCs w:val="21"/>
                <w:highlight w:val="none"/>
                <w:u w:val="single"/>
              </w:rPr>
            </w:pPr>
            <w:r>
              <w:rPr>
                <w:rFonts w:hint="eastAsia" w:ascii="宋体" w:hAnsi="宋体"/>
                <w:color w:val="auto"/>
                <w:szCs w:val="21"/>
                <w:highlight w:val="none"/>
                <w:u w:val="single"/>
              </w:rPr>
              <w:t>（2）投标人通过电子招标投标交易平台对已递交的电子投标文件进行解密；</w:t>
            </w:r>
          </w:p>
          <w:p w14:paraId="32572CC7">
            <w:pPr>
              <w:snapToGrid w:val="0"/>
              <w:rPr>
                <w:rFonts w:ascii="宋体" w:hAnsi="宋体"/>
                <w:color w:val="auto"/>
                <w:szCs w:val="21"/>
                <w:highlight w:val="none"/>
                <w:u w:val="single"/>
              </w:rPr>
            </w:pPr>
            <w:r>
              <w:rPr>
                <w:rFonts w:hint="eastAsia" w:ascii="宋体" w:hAnsi="宋体"/>
                <w:color w:val="auto"/>
                <w:szCs w:val="21"/>
                <w:highlight w:val="none"/>
                <w:u w:val="single"/>
              </w:rPr>
              <w:t>（3）投标人完成解密后，再由招标人或招标代理机构进行解密；</w:t>
            </w:r>
          </w:p>
          <w:p w14:paraId="732F263D">
            <w:pPr>
              <w:snapToGrid w:val="0"/>
              <w:rPr>
                <w:rFonts w:ascii="宋体" w:hAnsi="宋体"/>
                <w:color w:val="auto"/>
                <w:szCs w:val="21"/>
                <w:highlight w:val="none"/>
                <w:u w:val="single"/>
              </w:rPr>
            </w:pPr>
            <w:r>
              <w:rPr>
                <w:rFonts w:hint="eastAsia" w:ascii="宋体" w:hAnsi="宋体"/>
                <w:color w:val="auto"/>
                <w:szCs w:val="21"/>
                <w:highlight w:val="none"/>
                <w:u w:val="single"/>
              </w:rPr>
              <w:t>（4）解密完成后，公布招标项目名称、投标人名称、投标报价、监理服务期限及其他内容，并记录在案；</w:t>
            </w:r>
          </w:p>
          <w:p w14:paraId="7CE67F1A">
            <w:pPr>
              <w:snapToGrid w:val="0"/>
              <w:rPr>
                <w:rFonts w:ascii="宋体" w:hAnsi="宋体"/>
                <w:color w:val="auto"/>
                <w:szCs w:val="21"/>
                <w:highlight w:val="none"/>
                <w:u w:val="single"/>
              </w:rPr>
            </w:pPr>
            <w:r>
              <w:rPr>
                <w:rFonts w:hint="eastAsia" w:ascii="宋体" w:hAnsi="宋体"/>
                <w:color w:val="auto"/>
                <w:szCs w:val="21"/>
                <w:highlight w:val="none"/>
                <w:u w:val="single"/>
              </w:rPr>
              <w:t>（5）投标人代表、招标人代表、监标人、记录人等有关人员在开标记录上签字确认；若有关人员不签字的，不影响开标程序；</w:t>
            </w:r>
          </w:p>
          <w:p w14:paraId="2D5C044A">
            <w:pPr>
              <w:rPr>
                <w:rFonts w:hint="eastAsia" w:ascii="宋体" w:hAnsi="宋体"/>
                <w:color w:val="auto"/>
                <w:szCs w:val="21"/>
                <w:highlight w:val="none"/>
                <w:u w:val="single"/>
              </w:rPr>
            </w:pPr>
            <w:r>
              <w:rPr>
                <w:rFonts w:hint="eastAsia" w:ascii="宋体" w:hAnsi="宋体"/>
                <w:color w:val="auto"/>
                <w:szCs w:val="21"/>
                <w:highlight w:val="none"/>
                <w:u w:val="single"/>
              </w:rPr>
              <w:t>（6）开标结束。</w:t>
            </w:r>
          </w:p>
          <w:p w14:paraId="41945F84">
            <w:pPr>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rPr>
              <w:t>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w:t>
            </w:r>
            <w:r>
              <w:rPr>
                <w:rFonts w:hint="eastAsia" w:ascii="宋体" w:hAnsi="宋体"/>
                <w:b/>
                <w:color w:val="auto"/>
                <w:szCs w:val="21"/>
                <w:highlight w:val="none"/>
                <w:u w:val="single"/>
              </w:rPr>
              <w:t>一小时内</w:t>
            </w:r>
            <w:r>
              <w:rPr>
                <w:rFonts w:hint="eastAsia" w:ascii="宋体" w:hAnsi="宋体"/>
                <w:color w:val="auto"/>
                <w:szCs w:val="21"/>
                <w:highlight w:val="none"/>
              </w:rPr>
              <w:t>解密的且未提交备用光盘（或U盘）的，视为撤销其投标文件。</w:t>
            </w:r>
          </w:p>
          <w:p w14:paraId="1B5ABCA3">
            <w:pPr>
              <w:rPr>
                <w:rFonts w:hint="eastAsia" w:ascii="宋体" w:hAnsi="宋体"/>
                <w:bCs/>
                <w:color w:val="auto"/>
                <w:szCs w:val="21"/>
                <w:highlight w:val="none"/>
                <w:u w:val="single"/>
              </w:rPr>
            </w:pPr>
            <w:r>
              <w:rPr>
                <w:rFonts w:hint="eastAsia" w:ascii="宋体" w:hAnsi="宋体"/>
                <w:bCs/>
                <w:color w:val="auto"/>
                <w:szCs w:val="21"/>
                <w:highlight w:val="none"/>
                <w:u w:val="single"/>
              </w:rPr>
              <w:t>5.2.3开标时，出现下列情形之一的，不参与资格审查和评标：</w:t>
            </w:r>
          </w:p>
          <w:p w14:paraId="663E7D54">
            <w:pPr>
              <w:rPr>
                <w:rFonts w:hint="eastAsia" w:ascii="宋体" w:hAnsi="宋体"/>
                <w:bCs/>
                <w:color w:val="auto"/>
                <w:szCs w:val="21"/>
                <w:highlight w:val="none"/>
                <w:u w:val="single"/>
              </w:rPr>
            </w:pPr>
            <w:r>
              <w:rPr>
                <w:rFonts w:hint="eastAsia" w:ascii="宋体" w:hAnsi="宋体"/>
                <w:bCs/>
                <w:color w:val="auto"/>
                <w:szCs w:val="21"/>
                <w:highlight w:val="none"/>
                <w:u w:val="single"/>
              </w:rPr>
              <w:t>（1）未成功递交投标文件的。</w:t>
            </w:r>
          </w:p>
          <w:p w14:paraId="6E704E80">
            <w:pPr>
              <w:rPr>
                <w:rFonts w:hint="eastAsia" w:ascii="宋体" w:hAnsi="宋体"/>
                <w:bCs/>
                <w:color w:val="auto"/>
                <w:szCs w:val="21"/>
                <w:highlight w:val="none"/>
                <w:u w:val="single"/>
              </w:rPr>
            </w:pPr>
            <w:r>
              <w:rPr>
                <w:rFonts w:hint="eastAsia" w:ascii="宋体" w:hAnsi="宋体"/>
                <w:bCs/>
                <w:color w:val="auto"/>
                <w:szCs w:val="21"/>
                <w:highlight w:val="none"/>
                <w:u w:val="single"/>
              </w:rPr>
              <w:t>（2）因投标人原因造成投标文件未解密的。</w:t>
            </w:r>
          </w:p>
          <w:p w14:paraId="13DE7CEA">
            <w:pPr>
              <w:rPr>
                <w:rFonts w:ascii="宋体" w:hAnsi="宋体"/>
                <w:color w:val="auto"/>
                <w:szCs w:val="21"/>
                <w:highlight w:val="none"/>
              </w:rPr>
            </w:pPr>
            <w:r>
              <w:rPr>
                <w:rFonts w:hint="eastAsia" w:ascii="宋体" w:hAnsi="宋体"/>
                <w:bCs/>
                <w:color w:val="auto"/>
                <w:szCs w:val="21"/>
                <w:highlight w:val="none"/>
                <w:u w:val="single"/>
              </w:rPr>
              <w:t>5.2.4开标时，两个（含两个）以上的投标人加密打包投标文件电脑机器特征码一致的，不参与下一程序，并由评标委员会否决其投标。</w:t>
            </w:r>
          </w:p>
        </w:tc>
      </w:tr>
      <w:tr w14:paraId="48B0D906">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43E27862">
            <w:pPr>
              <w:jc w:val="center"/>
              <w:rPr>
                <w:rFonts w:ascii="宋体" w:hAnsi="宋体"/>
                <w:color w:val="auto"/>
                <w:szCs w:val="21"/>
                <w:highlight w:val="none"/>
              </w:rPr>
            </w:pPr>
            <w:r>
              <w:rPr>
                <w:rFonts w:ascii="宋体" w:hAnsi="宋体"/>
                <w:color w:val="auto"/>
                <w:szCs w:val="21"/>
                <w:highlight w:val="none"/>
              </w:rPr>
              <w:t>6.1.1</w:t>
            </w:r>
          </w:p>
        </w:tc>
        <w:tc>
          <w:tcPr>
            <w:tcW w:w="2292" w:type="dxa"/>
            <w:tcBorders>
              <w:top w:val="single" w:color="auto" w:sz="4" w:space="0"/>
              <w:left w:val="single" w:color="auto" w:sz="4" w:space="0"/>
              <w:bottom w:val="single" w:color="auto" w:sz="4" w:space="0"/>
              <w:right w:val="single" w:color="auto" w:sz="4" w:space="0"/>
            </w:tcBorders>
            <w:vAlign w:val="center"/>
          </w:tcPr>
          <w:p w14:paraId="538F5304">
            <w:pPr>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5865" w:type="dxa"/>
            <w:tcBorders>
              <w:top w:val="single" w:color="auto" w:sz="4" w:space="0"/>
              <w:left w:val="single" w:color="auto" w:sz="4" w:space="0"/>
              <w:bottom w:val="single" w:color="auto" w:sz="4" w:space="0"/>
              <w:right w:val="single" w:color="auto" w:sz="4" w:space="0"/>
            </w:tcBorders>
            <w:vAlign w:val="center"/>
          </w:tcPr>
          <w:p w14:paraId="43DBE500">
            <w:pPr>
              <w:rPr>
                <w:rFonts w:ascii="宋体" w:hAnsi="宋体"/>
                <w:color w:val="auto"/>
                <w:szCs w:val="21"/>
                <w:highlight w:val="none"/>
              </w:rPr>
            </w:pPr>
            <w:r>
              <w:rPr>
                <w:rFonts w:hint="eastAsia" w:ascii="宋体" w:hAnsi="宋体" w:cs="宋体"/>
                <w:color w:val="auto"/>
                <w:kern w:val="0"/>
                <w:szCs w:val="21"/>
                <w:highlight w:val="none"/>
                <w:u w:val="single"/>
              </w:rPr>
              <w:t>由招标人依法组建。</w:t>
            </w:r>
          </w:p>
        </w:tc>
      </w:tr>
      <w:tr w14:paraId="5C5D34F6">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519BB38C">
            <w:pPr>
              <w:jc w:val="center"/>
              <w:rPr>
                <w:rFonts w:ascii="宋体" w:hAnsi="宋体"/>
                <w:color w:val="auto"/>
                <w:szCs w:val="21"/>
                <w:highlight w:val="none"/>
              </w:rPr>
            </w:pPr>
            <w:r>
              <w:rPr>
                <w:rFonts w:ascii="宋体" w:hAnsi="宋体"/>
                <w:color w:val="auto"/>
                <w:szCs w:val="21"/>
                <w:highlight w:val="none"/>
              </w:rPr>
              <w:t>6.3.2</w:t>
            </w:r>
          </w:p>
        </w:tc>
        <w:tc>
          <w:tcPr>
            <w:tcW w:w="2292" w:type="dxa"/>
            <w:tcBorders>
              <w:top w:val="single" w:color="auto" w:sz="4" w:space="0"/>
              <w:left w:val="single" w:color="auto" w:sz="4" w:space="0"/>
              <w:bottom w:val="single" w:color="auto" w:sz="4" w:space="0"/>
              <w:right w:val="single" w:color="auto" w:sz="4" w:space="0"/>
            </w:tcBorders>
            <w:vAlign w:val="center"/>
          </w:tcPr>
          <w:p w14:paraId="63D6286D">
            <w:pPr>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5865" w:type="dxa"/>
            <w:tcBorders>
              <w:top w:val="single" w:color="auto" w:sz="4" w:space="0"/>
              <w:left w:val="single" w:color="auto" w:sz="4" w:space="0"/>
              <w:bottom w:val="single" w:color="auto" w:sz="4" w:space="0"/>
              <w:right w:val="single" w:color="auto" w:sz="4" w:space="0"/>
            </w:tcBorders>
            <w:vAlign w:val="center"/>
          </w:tcPr>
          <w:p w14:paraId="64E3D666">
            <w:pPr>
              <w:rPr>
                <w:rFonts w:ascii="宋体" w:hAnsi="宋体"/>
                <w:color w:val="auto"/>
                <w:szCs w:val="21"/>
                <w:highlight w:val="none"/>
              </w:rPr>
            </w:pP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【不排序，按其统一社会信用代码后4位（除校验码外）大小进行排位】</w:t>
            </w:r>
            <w:r>
              <w:rPr>
                <w:rFonts w:hint="eastAsia"/>
                <w:color w:val="auto"/>
                <w:szCs w:val="21"/>
                <w:highlight w:val="none"/>
                <w:u w:val="single"/>
              </w:rPr>
              <w:t>。</w:t>
            </w:r>
            <w:r>
              <w:rPr>
                <w:rFonts w:hint="eastAsia" w:ascii="宋体" w:hAnsi="宋体"/>
                <w:color w:val="auto"/>
                <w:highlight w:val="none"/>
                <w:u w:val="single"/>
              </w:rPr>
              <w:t>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p>
        </w:tc>
      </w:tr>
      <w:tr w14:paraId="3DDAE6D3">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065062BC">
            <w:pPr>
              <w:jc w:val="center"/>
              <w:rPr>
                <w:rFonts w:ascii="宋体" w:hAnsi="宋体"/>
                <w:color w:val="auto"/>
                <w:szCs w:val="21"/>
                <w:highlight w:val="none"/>
              </w:rPr>
            </w:pPr>
            <w:r>
              <w:rPr>
                <w:rFonts w:ascii="宋体" w:hAnsi="宋体"/>
                <w:color w:val="auto"/>
                <w:szCs w:val="21"/>
                <w:highlight w:val="none"/>
              </w:rPr>
              <w:t>7.1</w:t>
            </w:r>
          </w:p>
        </w:tc>
        <w:tc>
          <w:tcPr>
            <w:tcW w:w="2292" w:type="dxa"/>
            <w:tcBorders>
              <w:top w:val="single" w:color="auto" w:sz="4" w:space="0"/>
              <w:left w:val="single" w:color="auto" w:sz="4" w:space="0"/>
              <w:bottom w:val="single" w:color="auto" w:sz="4" w:space="0"/>
              <w:right w:val="single" w:color="auto" w:sz="4" w:space="0"/>
            </w:tcBorders>
            <w:vAlign w:val="center"/>
          </w:tcPr>
          <w:p w14:paraId="01B5B104">
            <w:pPr>
              <w:jc w:val="center"/>
              <w:rPr>
                <w:rFonts w:ascii="宋体" w:hAnsi="宋体"/>
                <w:color w:val="auto"/>
                <w:szCs w:val="21"/>
                <w:highlight w:val="none"/>
              </w:rPr>
            </w:pPr>
            <w:r>
              <w:rPr>
                <w:rFonts w:ascii="宋体" w:hAnsi="宋体"/>
                <w:color w:val="auto"/>
                <w:szCs w:val="21"/>
                <w:highlight w:val="none"/>
              </w:rPr>
              <w:t>中标候选人公示媒介及期限</w:t>
            </w:r>
          </w:p>
        </w:tc>
        <w:tc>
          <w:tcPr>
            <w:tcW w:w="5865" w:type="dxa"/>
            <w:tcBorders>
              <w:top w:val="single" w:color="auto" w:sz="4" w:space="0"/>
              <w:left w:val="single" w:color="auto" w:sz="4" w:space="0"/>
              <w:bottom w:val="single" w:color="auto" w:sz="4" w:space="0"/>
              <w:right w:val="single" w:color="auto" w:sz="4" w:space="0"/>
            </w:tcBorders>
            <w:vAlign w:val="center"/>
          </w:tcPr>
          <w:p w14:paraId="5DB8967B">
            <w:pPr>
              <w:rPr>
                <w:rFonts w:hint="eastAsia" w:ascii="宋体" w:hAnsi="宋体" w:eastAsia="宋体"/>
                <w:color w:val="auto"/>
                <w:szCs w:val="21"/>
                <w:highlight w:val="none"/>
                <w:lang w:eastAsia="zh-CN"/>
              </w:rPr>
            </w:pPr>
            <w:r>
              <w:rPr>
                <w:rFonts w:hint="eastAsia" w:ascii="宋体" w:hAnsi="宋体"/>
                <w:color w:val="auto"/>
                <w:szCs w:val="21"/>
                <w:highlight w:val="none"/>
              </w:rPr>
              <w:t>公示媒介：</w:t>
            </w:r>
            <w:r>
              <w:rPr>
                <w:rFonts w:hint="eastAsia" w:ascii="宋体" w:hAnsi="宋体" w:cs="宋体"/>
                <w:color w:val="auto"/>
                <w:kern w:val="0"/>
                <w:szCs w:val="21"/>
                <w:highlight w:val="none"/>
                <w:u w:val="single"/>
              </w:rPr>
              <w:t>广州交易集团有限公司（广州公共资源交易中心）网站、中国招标投标公共服务平台、广东省招标投标监管网</w:t>
            </w:r>
            <w:r>
              <w:rPr>
                <w:rFonts w:hint="eastAsia" w:ascii="宋体" w:hAnsi="宋体" w:cs="宋体"/>
                <w:color w:val="auto"/>
                <w:kern w:val="0"/>
                <w:szCs w:val="21"/>
                <w:highlight w:val="none"/>
                <w:u w:val="single"/>
                <w:lang w:eastAsia="zh-CN"/>
              </w:rPr>
              <w:t>。</w:t>
            </w:r>
          </w:p>
          <w:p w14:paraId="5E589870">
            <w:pPr>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 xml:space="preserve"> 3 </w:t>
            </w:r>
            <w:r>
              <w:rPr>
                <w:rFonts w:hint="eastAsia" w:ascii="宋体" w:hAnsi="宋体"/>
                <w:color w:val="auto"/>
                <w:szCs w:val="21"/>
                <w:highlight w:val="none"/>
              </w:rPr>
              <w:t>日，公示结束日为工作日。</w:t>
            </w:r>
          </w:p>
        </w:tc>
      </w:tr>
      <w:tr w14:paraId="4DE36ADA">
        <w:tblPrEx>
          <w:tblCellMar>
            <w:top w:w="0" w:type="dxa"/>
            <w:left w:w="108" w:type="dxa"/>
            <w:bottom w:w="0" w:type="dxa"/>
            <w:right w:w="108" w:type="dxa"/>
          </w:tblCellMar>
        </w:tblPrEx>
        <w:trPr>
          <w:trHeight w:val="404" w:hRule="atLeast"/>
        </w:trPr>
        <w:tc>
          <w:tcPr>
            <w:tcW w:w="1165" w:type="dxa"/>
            <w:tcBorders>
              <w:top w:val="single" w:color="auto" w:sz="4" w:space="0"/>
              <w:left w:val="single" w:color="auto" w:sz="4" w:space="0"/>
              <w:bottom w:val="single" w:color="auto" w:sz="4" w:space="0"/>
              <w:right w:val="single" w:color="auto" w:sz="4" w:space="0"/>
            </w:tcBorders>
            <w:vAlign w:val="center"/>
          </w:tcPr>
          <w:p w14:paraId="79173BBA">
            <w:pPr>
              <w:jc w:val="center"/>
              <w:rPr>
                <w:rFonts w:ascii="宋体" w:hAnsi="宋体"/>
                <w:color w:val="auto"/>
                <w:szCs w:val="21"/>
                <w:highlight w:val="none"/>
              </w:rPr>
            </w:pPr>
            <w:r>
              <w:rPr>
                <w:rFonts w:ascii="宋体" w:hAnsi="宋体"/>
                <w:color w:val="auto"/>
                <w:szCs w:val="21"/>
                <w:highlight w:val="none"/>
              </w:rPr>
              <w:t>7.4</w:t>
            </w:r>
          </w:p>
        </w:tc>
        <w:tc>
          <w:tcPr>
            <w:tcW w:w="2292" w:type="dxa"/>
            <w:tcBorders>
              <w:top w:val="single" w:color="auto" w:sz="4" w:space="0"/>
              <w:left w:val="single" w:color="auto" w:sz="4" w:space="0"/>
              <w:bottom w:val="single" w:color="auto" w:sz="4" w:space="0"/>
              <w:right w:val="single" w:color="auto" w:sz="4" w:space="0"/>
            </w:tcBorders>
            <w:vAlign w:val="center"/>
          </w:tcPr>
          <w:p w14:paraId="3439725B">
            <w:pPr>
              <w:jc w:val="center"/>
              <w:rPr>
                <w:rFonts w:ascii="宋体" w:hAnsi="宋体"/>
                <w:color w:val="auto"/>
                <w:szCs w:val="21"/>
                <w:highlight w:val="none"/>
              </w:rPr>
            </w:pPr>
            <w:r>
              <w:rPr>
                <w:rFonts w:hint="eastAsia" w:ascii="宋体" w:hAnsi="宋体"/>
                <w:color w:val="auto"/>
                <w:szCs w:val="21"/>
                <w:highlight w:val="none"/>
              </w:rPr>
              <w:t>定标</w:t>
            </w:r>
          </w:p>
        </w:tc>
        <w:tc>
          <w:tcPr>
            <w:tcW w:w="5865" w:type="dxa"/>
            <w:tcBorders>
              <w:top w:val="single" w:color="auto" w:sz="4" w:space="0"/>
              <w:left w:val="single" w:color="auto" w:sz="4" w:space="0"/>
              <w:bottom w:val="single" w:color="auto" w:sz="4" w:space="0"/>
              <w:right w:val="single" w:color="auto" w:sz="4" w:space="0"/>
            </w:tcBorders>
            <w:vAlign w:val="center"/>
          </w:tcPr>
          <w:p w14:paraId="47D0D7E8">
            <w:pPr>
              <w:snapToGrid w:val="0"/>
              <w:rPr>
                <w:rFonts w:ascii="宋体" w:hAnsi="宋体"/>
                <w:color w:val="auto"/>
                <w:szCs w:val="21"/>
                <w:highlight w:val="none"/>
                <w:u w:val="single"/>
              </w:rPr>
            </w:pPr>
            <w:r>
              <w:rPr>
                <w:rFonts w:hint="eastAsia" w:ascii="宋体" w:hAnsi="宋体" w:cs="宋体"/>
                <w:color w:val="auto"/>
                <w:szCs w:val="21"/>
                <w:highlight w:val="none"/>
                <w:u w:val="single"/>
              </w:rPr>
              <w:t>（1）定标工作由招标人依法组建的定标委员会负责。</w:t>
            </w:r>
          </w:p>
          <w:p w14:paraId="4EDF35B4">
            <w:pPr>
              <w:snapToGrid w:val="0"/>
              <w:rPr>
                <w:rFonts w:ascii="宋体" w:hAnsi="宋体"/>
                <w:color w:val="auto"/>
                <w:szCs w:val="21"/>
                <w:highlight w:val="none"/>
                <w:u w:val="single"/>
              </w:rPr>
            </w:pPr>
            <w:r>
              <w:rPr>
                <w:rFonts w:hint="eastAsia" w:ascii="宋体" w:hAnsi="宋体" w:cs="宋体"/>
                <w:color w:val="auto"/>
                <w:szCs w:val="21"/>
                <w:highlight w:val="none"/>
                <w:u w:val="single"/>
              </w:rPr>
              <w:t>（2）定标委员会按照第三章评标办法（“评定分离”定标办法）规定的定标方法、标准和程序，在评标委员会向招标人推荐的合格的中标候选人中，采用直接票决定标法“记名投票+撰写评语”方式确定中标人。</w:t>
            </w:r>
          </w:p>
          <w:p w14:paraId="5E821BD2">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（3）招标人应当在定标工作完成后的3日内公示中标结果。公示内容包括：定标时间、所有合格的中标候选人的评审结果或票数及理由、中标人等内容。</w:t>
            </w:r>
          </w:p>
          <w:p w14:paraId="69D1778A">
            <w:pPr>
              <w:rPr>
                <w:rFonts w:ascii="宋体" w:hAnsi="宋体"/>
                <w:color w:val="auto"/>
                <w:szCs w:val="21"/>
                <w:highlight w:val="none"/>
              </w:rPr>
            </w:pPr>
            <w:r>
              <w:rPr>
                <w:rFonts w:hint="eastAsia" w:ascii="宋体" w:hAnsi="宋体" w:cs="宋体"/>
                <w:color w:val="auto"/>
                <w:szCs w:val="21"/>
                <w:highlight w:val="none"/>
                <w:u w:val="single"/>
              </w:rPr>
              <w:t>（4）定标后出现中标人不符合法定情形的，招标人可从其他合格的中标候选人中采用原定标办法，由原定标委员会确定中标人，也可以重新招标。</w:t>
            </w:r>
          </w:p>
        </w:tc>
      </w:tr>
      <w:tr w14:paraId="1991E696">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38FD9BCB">
            <w:pPr>
              <w:jc w:val="center"/>
              <w:rPr>
                <w:rFonts w:ascii="宋体" w:hAnsi="宋体"/>
                <w:color w:val="auto"/>
                <w:szCs w:val="21"/>
                <w:highlight w:val="none"/>
              </w:rPr>
            </w:pPr>
            <w:r>
              <w:rPr>
                <w:rFonts w:ascii="宋体" w:hAnsi="宋体"/>
                <w:color w:val="auto"/>
                <w:szCs w:val="21"/>
                <w:highlight w:val="none"/>
              </w:rPr>
              <w:t>7.6.1</w:t>
            </w:r>
          </w:p>
        </w:tc>
        <w:tc>
          <w:tcPr>
            <w:tcW w:w="2292" w:type="dxa"/>
            <w:tcBorders>
              <w:top w:val="single" w:color="auto" w:sz="4" w:space="0"/>
              <w:left w:val="single" w:color="auto" w:sz="4" w:space="0"/>
              <w:bottom w:val="single" w:color="auto" w:sz="4" w:space="0"/>
              <w:right w:val="single" w:color="auto" w:sz="4" w:space="0"/>
            </w:tcBorders>
            <w:vAlign w:val="center"/>
          </w:tcPr>
          <w:p w14:paraId="596C5A9C">
            <w:pPr>
              <w:jc w:val="center"/>
              <w:rPr>
                <w:rFonts w:ascii="宋体" w:hAnsi="宋体"/>
                <w:color w:val="auto"/>
                <w:szCs w:val="21"/>
                <w:highlight w:val="none"/>
              </w:rPr>
            </w:pPr>
            <w:r>
              <w:rPr>
                <w:rFonts w:ascii="宋体" w:hAnsi="宋体"/>
                <w:color w:val="auto"/>
                <w:szCs w:val="21"/>
                <w:highlight w:val="none"/>
              </w:rPr>
              <w:t>履约保证金</w:t>
            </w:r>
          </w:p>
        </w:tc>
        <w:tc>
          <w:tcPr>
            <w:tcW w:w="5865" w:type="dxa"/>
            <w:tcBorders>
              <w:top w:val="single" w:color="auto" w:sz="4" w:space="0"/>
              <w:left w:val="single" w:color="auto" w:sz="4" w:space="0"/>
              <w:bottom w:val="single" w:color="auto" w:sz="4" w:space="0"/>
              <w:right w:val="single" w:color="auto" w:sz="4" w:space="0"/>
            </w:tcBorders>
            <w:vAlign w:val="center"/>
          </w:tcPr>
          <w:p w14:paraId="7A982160">
            <w:pPr>
              <w:pStyle w:val="18"/>
              <w:topLinePunct/>
              <w:rPr>
                <w:rFonts w:hAnsi="宋体"/>
                <w:color w:val="auto"/>
                <w:sz w:val="21"/>
                <w:szCs w:val="21"/>
                <w:highlight w:val="none"/>
              </w:rPr>
            </w:pPr>
            <w:r>
              <w:rPr>
                <w:rFonts w:hAnsi="宋体"/>
                <w:color w:val="auto"/>
                <w:sz w:val="21"/>
                <w:szCs w:val="21"/>
                <w:highlight w:val="none"/>
              </w:rPr>
              <w:t>是否要求中标人提交履约保证金：</w:t>
            </w:r>
          </w:p>
          <w:p w14:paraId="00B34F2F">
            <w:pPr>
              <w:pStyle w:val="18"/>
              <w:topLinePunct/>
              <w:rPr>
                <w:rFonts w:hint="eastAsia" w:hAnsi="宋体" w:eastAsia="宋体"/>
                <w:color w:val="auto"/>
                <w:sz w:val="21"/>
                <w:szCs w:val="21"/>
                <w:highlight w:val="none"/>
                <w:lang w:eastAsia="zh-CN"/>
              </w:rPr>
            </w:pPr>
            <w:r>
              <w:rPr>
                <w:rFonts w:hAnsi="宋体"/>
                <w:color w:val="auto"/>
                <w:szCs w:val="21"/>
                <w:highlight w:val="none"/>
              </w:rPr>
              <w:t>□</w:t>
            </w:r>
            <w:r>
              <w:rPr>
                <w:rFonts w:hAnsi="宋体"/>
                <w:color w:val="auto"/>
                <w:sz w:val="21"/>
                <w:szCs w:val="21"/>
                <w:highlight w:val="none"/>
              </w:rPr>
              <w:t>要求</w:t>
            </w:r>
            <w:r>
              <w:rPr>
                <w:rFonts w:hint="eastAsia" w:hAnsi="宋体"/>
                <w:color w:val="auto"/>
                <w:sz w:val="21"/>
                <w:szCs w:val="21"/>
                <w:highlight w:val="none"/>
              </w:rPr>
              <w:t>，</w:t>
            </w:r>
            <w:r>
              <w:rPr>
                <w:rFonts w:hAnsi="宋体"/>
                <w:color w:val="auto"/>
                <w:sz w:val="21"/>
                <w:szCs w:val="21"/>
                <w:highlight w:val="none"/>
              </w:rPr>
              <w:t>履约保证金的形式：</w:t>
            </w:r>
            <w:r>
              <w:rPr>
                <w:rFonts w:hint="eastAsia" w:hAnsi="宋体"/>
                <w:color w:val="auto"/>
                <w:sz w:val="21"/>
                <w:szCs w:val="21"/>
                <w:highlight w:val="none"/>
                <w:u w:val="single"/>
                <w:lang w:val="en-US" w:eastAsia="zh-CN"/>
              </w:rPr>
              <w:t>/</w:t>
            </w:r>
          </w:p>
          <w:p w14:paraId="0EABD096">
            <w:pPr>
              <w:ind w:firstLine="840" w:firstLineChars="400"/>
              <w:rPr>
                <w:rFonts w:hint="eastAsia" w:ascii="宋体" w:hAnsi="宋体" w:eastAsia="宋体"/>
                <w:color w:val="auto"/>
                <w:szCs w:val="21"/>
                <w:highlight w:val="none"/>
                <w:lang w:eastAsia="zh-CN"/>
              </w:rPr>
            </w:pPr>
            <w:r>
              <w:rPr>
                <w:rFonts w:ascii="宋体" w:hAnsi="宋体"/>
                <w:color w:val="auto"/>
                <w:szCs w:val="21"/>
                <w:highlight w:val="none"/>
              </w:rPr>
              <w:t>履约保证金的金额：</w:t>
            </w:r>
            <w:r>
              <w:rPr>
                <w:rFonts w:hint="eastAsia" w:ascii="宋体" w:hAnsi="宋体"/>
                <w:color w:val="auto"/>
                <w:szCs w:val="21"/>
                <w:highlight w:val="none"/>
                <w:u w:val="single"/>
                <w:lang w:val="en-US" w:eastAsia="zh-CN"/>
              </w:rPr>
              <w:t>/</w:t>
            </w:r>
          </w:p>
          <w:p w14:paraId="3F69A020">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不要求</w:t>
            </w:r>
          </w:p>
        </w:tc>
      </w:tr>
      <w:tr w14:paraId="248947EC">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00F9EC80">
            <w:pPr>
              <w:jc w:val="center"/>
              <w:rPr>
                <w:rFonts w:ascii="宋体" w:hAnsi="宋体"/>
                <w:color w:val="auto"/>
                <w:szCs w:val="21"/>
                <w:highlight w:val="none"/>
              </w:rPr>
            </w:pPr>
            <w:r>
              <w:rPr>
                <w:rFonts w:ascii="宋体" w:hAnsi="宋体"/>
                <w:color w:val="auto"/>
                <w:szCs w:val="21"/>
                <w:highlight w:val="none"/>
              </w:rPr>
              <w:t>9</w:t>
            </w:r>
          </w:p>
        </w:tc>
        <w:tc>
          <w:tcPr>
            <w:tcW w:w="2292" w:type="dxa"/>
            <w:tcBorders>
              <w:top w:val="single" w:color="auto" w:sz="4" w:space="0"/>
              <w:left w:val="single" w:color="auto" w:sz="4" w:space="0"/>
              <w:bottom w:val="single" w:color="auto" w:sz="4" w:space="0"/>
              <w:right w:val="single" w:color="auto" w:sz="4" w:space="0"/>
            </w:tcBorders>
            <w:vAlign w:val="center"/>
          </w:tcPr>
          <w:p w14:paraId="1EBBD03D">
            <w:pPr>
              <w:jc w:val="center"/>
              <w:rPr>
                <w:rFonts w:ascii="宋体" w:hAnsi="宋体"/>
                <w:color w:val="auto"/>
                <w:szCs w:val="21"/>
                <w:highlight w:val="none"/>
              </w:rPr>
            </w:pPr>
            <w:r>
              <w:rPr>
                <w:rFonts w:ascii="宋体" w:hAnsi="宋体"/>
                <w:color w:val="auto"/>
                <w:szCs w:val="21"/>
                <w:highlight w:val="none"/>
              </w:rPr>
              <w:t>是否采用电子招标投标</w:t>
            </w:r>
          </w:p>
        </w:tc>
        <w:tc>
          <w:tcPr>
            <w:tcW w:w="5865" w:type="dxa"/>
            <w:tcBorders>
              <w:top w:val="single" w:color="auto" w:sz="4" w:space="0"/>
              <w:left w:val="single" w:color="auto" w:sz="4" w:space="0"/>
              <w:bottom w:val="single" w:color="auto" w:sz="4" w:space="0"/>
              <w:right w:val="single" w:color="auto" w:sz="4" w:space="0"/>
            </w:tcBorders>
            <w:vAlign w:val="center"/>
          </w:tcPr>
          <w:p w14:paraId="17F4DA5E">
            <w:pPr>
              <w:rPr>
                <w:rFonts w:ascii="宋体" w:hAnsi="宋体"/>
                <w:color w:val="auto"/>
                <w:szCs w:val="21"/>
                <w:highlight w:val="none"/>
              </w:rPr>
            </w:pPr>
            <w:r>
              <w:rPr>
                <w:rFonts w:ascii="宋体" w:hAnsi="宋体"/>
                <w:color w:val="auto"/>
                <w:szCs w:val="21"/>
                <w:highlight w:val="none"/>
              </w:rPr>
              <w:t>□否</w:t>
            </w:r>
          </w:p>
          <w:p w14:paraId="21B1E2C2">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是，具体要求：</w:t>
            </w:r>
          </w:p>
          <w:p w14:paraId="7930BF6A">
            <w:pPr>
              <w:jc w:val="left"/>
              <w:rPr>
                <w:rFonts w:ascii="宋体" w:hAnsi="宋体"/>
                <w:color w:val="auto"/>
                <w:szCs w:val="21"/>
                <w:highlight w:val="none"/>
              </w:rPr>
            </w:pPr>
            <w:r>
              <w:rPr>
                <w:rFonts w:hint="eastAsia" w:ascii="宋体" w:hAnsi="宋体"/>
                <w:color w:val="auto"/>
                <w:szCs w:val="21"/>
                <w:highlight w:val="none"/>
              </w:rPr>
              <w:t>（1）具体操作详见广州交易集团有限公司（广州公共资源交易中心）网站发布的《建设工程全流程电子化项目操作指南》。</w:t>
            </w:r>
          </w:p>
          <w:p w14:paraId="233848B7">
            <w:pPr>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现场提交投标文件</w:t>
            </w:r>
            <w:r>
              <w:rPr>
                <w:rFonts w:hint="eastAsia" w:ascii="宋体" w:hAnsi="宋体"/>
                <w:color w:val="auto"/>
                <w:szCs w:val="21"/>
                <w:highlight w:val="none"/>
              </w:rPr>
              <w:t>光</w:t>
            </w:r>
            <w:r>
              <w:rPr>
                <w:rFonts w:ascii="宋体" w:hAnsi="宋体"/>
                <w:color w:val="auto"/>
                <w:szCs w:val="21"/>
                <w:highlight w:val="none"/>
              </w:rPr>
              <w:t>盘（或U盘）备用</w:t>
            </w:r>
          </w:p>
          <w:p w14:paraId="35C46D9D">
            <w:pPr>
              <w:jc w:val="left"/>
              <w:rPr>
                <w:rFonts w:ascii="宋体" w:hAnsi="宋体"/>
                <w:color w:val="auto"/>
                <w:szCs w:val="21"/>
                <w:highlight w:val="none"/>
              </w:rPr>
            </w:pPr>
            <w:r>
              <w:rPr>
                <w:rFonts w:hint="eastAsia" w:ascii="宋体" w:hAnsi="宋体"/>
                <w:color w:val="auto"/>
                <w:szCs w:val="21"/>
                <w:highlight w:val="none"/>
              </w:rPr>
              <w:t>投标人将按《建设工程全流程电子化项目操作指南》的操作方法制作的非加密的电子投标文件刻入光盘</w:t>
            </w:r>
            <w:r>
              <w:rPr>
                <w:rFonts w:ascii="宋体" w:hAnsi="宋体"/>
                <w:color w:val="auto"/>
                <w:szCs w:val="21"/>
                <w:highlight w:val="none"/>
              </w:rPr>
              <w:t>或U盘</w:t>
            </w:r>
            <w:r>
              <w:rPr>
                <w:rFonts w:hint="eastAsia" w:ascii="宋体" w:hAnsi="宋体"/>
                <w:color w:val="auto"/>
                <w:szCs w:val="21"/>
                <w:highlight w:val="none"/>
              </w:rPr>
              <w:t>（1份），在规定的时间、地点提交备用。刻录好的投标文件光盘</w:t>
            </w:r>
            <w:r>
              <w:rPr>
                <w:rFonts w:ascii="宋体" w:hAnsi="宋体"/>
                <w:color w:val="auto"/>
                <w:szCs w:val="21"/>
                <w:highlight w:val="none"/>
              </w:rPr>
              <w:t>或U盘</w:t>
            </w:r>
            <w:r>
              <w:rPr>
                <w:rFonts w:hint="eastAsia" w:ascii="宋体" w:hAnsi="宋体"/>
                <w:color w:val="auto"/>
                <w:szCs w:val="21"/>
                <w:highlight w:val="none"/>
              </w:rPr>
              <w:t>密封在密封袋中，并在封口处加盖投标人单位公章。密封袋上应写明的内容见投标人须知前附表要求4.1.2。递交的投标文件光盘</w:t>
            </w:r>
            <w:r>
              <w:rPr>
                <w:rFonts w:ascii="宋体" w:hAnsi="宋体"/>
                <w:color w:val="auto"/>
                <w:szCs w:val="21"/>
                <w:highlight w:val="none"/>
              </w:rPr>
              <w:t>或U盘</w:t>
            </w:r>
            <w:r>
              <w:rPr>
                <w:rFonts w:hint="eastAsia" w:ascii="宋体" w:hAnsi="宋体"/>
                <w:color w:val="auto"/>
                <w:szCs w:val="21"/>
                <w:highlight w:val="none"/>
              </w:rPr>
              <w:t>不得加密。投标文件光盘</w:t>
            </w:r>
            <w:r>
              <w:rPr>
                <w:rFonts w:ascii="宋体" w:hAnsi="宋体"/>
                <w:color w:val="auto"/>
                <w:szCs w:val="21"/>
                <w:highlight w:val="none"/>
              </w:rPr>
              <w:t>或U盘</w:t>
            </w:r>
            <w:r>
              <w:rPr>
                <w:rFonts w:hint="eastAsia" w:ascii="宋体" w:hAnsi="宋体"/>
                <w:color w:val="auto"/>
                <w:szCs w:val="21"/>
                <w:highlight w:val="none"/>
              </w:rPr>
              <w:t>无法读取或导入的，则视为未提交备用投标文件光盘。如果投标人没有按规定通过交易平台网上递交电子投标文件的，不再接受提交的光盘。</w:t>
            </w:r>
          </w:p>
          <w:p w14:paraId="40F490F7">
            <w:pPr>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补救方案</w:t>
            </w:r>
          </w:p>
          <w:p w14:paraId="6D8B7B3B">
            <w:pPr>
              <w:jc w:val="left"/>
              <w:rPr>
                <w:rFonts w:ascii="宋体" w:hAnsi="宋体"/>
                <w:color w:val="auto"/>
                <w:szCs w:val="21"/>
                <w:highlight w:val="none"/>
              </w:rPr>
            </w:pPr>
            <w:r>
              <w:rPr>
                <w:rFonts w:ascii="宋体" w:hAnsi="宋体"/>
                <w:color w:val="auto"/>
                <w:szCs w:val="21"/>
                <w:highlight w:val="none"/>
              </w:rPr>
              <w:t>①投标文件解密失败的补救方案：</w:t>
            </w:r>
          </w:p>
          <w:p w14:paraId="33B0B9CA">
            <w:pPr>
              <w:jc w:val="left"/>
              <w:rPr>
                <w:rFonts w:ascii="宋体" w:hAnsi="宋体"/>
                <w:color w:val="auto"/>
                <w:szCs w:val="21"/>
                <w:highlight w:val="none"/>
              </w:rPr>
            </w:pPr>
            <w:r>
              <w:rPr>
                <w:rFonts w:ascii="宋体" w:hAnsi="宋体"/>
                <w:color w:val="auto"/>
                <w:szCs w:val="21"/>
                <w:highlight w:val="none"/>
              </w:rPr>
              <w:t>在规定时间内，因投标人之外原因导致的电子投标文件解密失败，在开标现场读取</w:t>
            </w:r>
            <w:r>
              <w:rPr>
                <w:rFonts w:hint="eastAsia" w:ascii="宋体" w:hAnsi="宋体"/>
                <w:color w:val="auto"/>
                <w:szCs w:val="21"/>
                <w:highlight w:val="none"/>
              </w:rPr>
              <w:t>光盘</w:t>
            </w:r>
            <w:r>
              <w:rPr>
                <w:rFonts w:ascii="宋体" w:hAnsi="宋体"/>
                <w:color w:val="auto"/>
                <w:szCs w:val="21"/>
                <w:highlight w:val="none"/>
              </w:rPr>
              <w:t>或U盘内容，继续开标程序。评标委员会对其投标文件的评审以</w:t>
            </w:r>
            <w:r>
              <w:rPr>
                <w:rFonts w:hint="eastAsia" w:ascii="宋体" w:hAnsi="宋体"/>
                <w:color w:val="auto"/>
                <w:szCs w:val="21"/>
                <w:highlight w:val="none"/>
              </w:rPr>
              <w:t>光盘</w:t>
            </w:r>
            <w:r>
              <w:rPr>
                <w:rFonts w:ascii="宋体" w:hAnsi="宋体"/>
                <w:color w:val="auto"/>
                <w:szCs w:val="21"/>
                <w:highlight w:val="none"/>
              </w:rPr>
              <w:t>或U盘内容为准。</w:t>
            </w:r>
          </w:p>
          <w:p w14:paraId="5149C2B4">
            <w:pPr>
              <w:jc w:val="left"/>
              <w:rPr>
                <w:rFonts w:hint="eastAsia" w:ascii="宋体" w:hAnsi="宋体"/>
                <w:color w:val="auto"/>
                <w:szCs w:val="21"/>
                <w:highlight w:val="none"/>
              </w:rPr>
            </w:pPr>
            <w:r>
              <w:rPr>
                <w:rFonts w:ascii="宋体" w:hAnsi="宋体"/>
                <w:color w:val="auto"/>
                <w:szCs w:val="21"/>
                <w:highlight w:val="none"/>
              </w:rPr>
              <w:t>②评标时突发情况的补救方案</w:t>
            </w:r>
            <w:r>
              <w:rPr>
                <w:rFonts w:hint="eastAsia" w:ascii="宋体" w:hAnsi="宋体"/>
                <w:color w:val="auto"/>
                <w:szCs w:val="21"/>
                <w:highlight w:val="none"/>
              </w:rPr>
              <w:t>：</w:t>
            </w:r>
          </w:p>
          <w:p w14:paraId="7D48B36F">
            <w:pPr>
              <w:jc w:val="left"/>
              <w:rPr>
                <w:rFonts w:ascii="宋体" w:hAnsi="宋体"/>
                <w:color w:val="auto"/>
                <w:szCs w:val="21"/>
                <w:highlight w:val="none"/>
              </w:rPr>
            </w:pPr>
            <w:r>
              <w:rPr>
                <w:rFonts w:ascii="宋体" w:hAnsi="宋体"/>
                <w:color w:val="auto"/>
                <w:szCs w:val="21"/>
                <w:highlight w:val="none"/>
              </w:rPr>
              <w:t>若遇不可抗力发生（如：网络瘫痪、服务器损坏、交易系统故障短期无法恢复等因素），由评标委员会开启现场递交的全部投标文件</w:t>
            </w:r>
            <w:r>
              <w:rPr>
                <w:rFonts w:hint="eastAsia" w:ascii="宋体" w:hAnsi="宋体"/>
                <w:color w:val="auto"/>
                <w:szCs w:val="21"/>
                <w:highlight w:val="none"/>
              </w:rPr>
              <w:t>光盘</w:t>
            </w:r>
            <w:r>
              <w:rPr>
                <w:rFonts w:ascii="宋体" w:hAnsi="宋体"/>
                <w:color w:val="auto"/>
                <w:szCs w:val="21"/>
                <w:highlight w:val="none"/>
              </w:rPr>
              <w:t>或U盘，并按</w:t>
            </w:r>
            <w:r>
              <w:rPr>
                <w:rFonts w:hint="eastAsia" w:ascii="宋体" w:hAnsi="宋体"/>
                <w:color w:val="auto"/>
                <w:szCs w:val="21"/>
                <w:highlight w:val="none"/>
              </w:rPr>
              <w:t>光盘</w:t>
            </w:r>
            <w:r>
              <w:rPr>
                <w:rFonts w:ascii="宋体" w:hAnsi="宋体"/>
                <w:color w:val="auto"/>
                <w:szCs w:val="21"/>
                <w:highlight w:val="none"/>
              </w:rPr>
              <w:t>或U盘内容进行评审。</w:t>
            </w:r>
          </w:p>
          <w:p w14:paraId="35FB723B">
            <w:pPr>
              <w:rPr>
                <w:rFonts w:ascii="宋体" w:hAnsi="宋体"/>
                <w:color w:val="auto"/>
                <w:szCs w:val="21"/>
                <w:highlight w:val="none"/>
              </w:rPr>
            </w:pPr>
            <w:r>
              <w:rPr>
                <w:rFonts w:ascii="宋体" w:hAnsi="宋体"/>
                <w:color w:val="auto"/>
                <w:szCs w:val="21"/>
                <w:highlight w:val="none"/>
              </w:rPr>
              <w:t>③除发生上述情况外，开标</w:t>
            </w:r>
            <w:r>
              <w:rPr>
                <w:rFonts w:hint="eastAsia" w:ascii="宋体" w:hAnsi="宋体"/>
                <w:color w:val="auto"/>
                <w:szCs w:val="21"/>
                <w:highlight w:val="none"/>
              </w:rPr>
              <w:t>、</w:t>
            </w:r>
            <w:r>
              <w:rPr>
                <w:rFonts w:ascii="宋体" w:hAnsi="宋体"/>
                <w:color w:val="auto"/>
                <w:szCs w:val="21"/>
                <w:highlight w:val="none"/>
              </w:rPr>
              <w:t>评标</w:t>
            </w:r>
            <w:r>
              <w:rPr>
                <w:rFonts w:hint="eastAsia" w:ascii="宋体" w:hAnsi="宋体"/>
                <w:color w:val="auto"/>
                <w:szCs w:val="21"/>
                <w:highlight w:val="none"/>
              </w:rPr>
              <w:t>、</w:t>
            </w:r>
            <w:r>
              <w:rPr>
                <w:rFonts w:ascii="宋体" w:hAnsi="宋体"/>
                <w:color w:val="auto"/>
                <w:szCs w:val="21"/>
                <w:highlight w:val="none"/>
              </w:rPr>
              <w:t>定标均以投标人通过交易平台网上递交的电子投标文件为准。</w:t>
            </w:r>
          </w:p>
        </w:tc>
      </w:tr>
      <w:tr w14:paraId="769A07D7">
        <w:tblPrEx>
          <w:tblCellMar>
            <w:top w:w="0" w:type="dxa"/>
            <w:left w:w="108" w:type="dxa"/>
            <w:bottom w:w="0" w:type="dxa"/>
            <w:right w:w="108" w:type="dxa"/>
          </w:tblCellMar>
        </w:tblPrEx>
        <w:trPr>
          <w:trHeight w:val="3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75FFA08">
            <w:pPr>
              <w:jc w:val="center"/>
              <w:rPr>
                <w:rFonts w:ascii="宋体" w:hAnsi="宋体"/>
                <w:color w:val="auto"/>
                <w:szCs w:val="21"/>
                <w:highlight w:val="none"/>
              </w:rPr>
            </w:pPr>
            <w:r>
              <w:rPr>
                <w:rFonts w:ascii="宋体" w:hAnsi="宋体"/>
                <w:color w:val="auto"/>
                <w:szCs w:val="21"/>
                <w:highlight w:val="none"/>
              </w:rPr>
              <w:t>10</w:t>
            </w:r>
          </w:p>
        </w:tc>
        <w:tc>
          <w:tcPr>
            <w:tcW w:w="8157" w:type="dxa"/>
            <w:gridSpan w:val="2"/>
            <w:tcBorders>
              <w:top w:val="single" w:color="auto" w:sz="4" w:space="0"/>
              <w:left w:val="single" w:color="auto" w:sz="4" w:space="0"/>
              <w:bottom w:val="single" w:color="auto" w:sz="4" w:space="0"/>
              <w:right w:val="single" w:color="auto" w:sz="4" w:space="0"/>
            </w:tcBorders>
            <w:vAlign w:val="center"/>
          </w:tcPr>
          <w:p w14:paraId="11FE8F58">
            <w:pPr>
              <w:rPr>
                <w:rFonts w:ascii="宋体" w:hAnsi="宋体"/>
                <w:color w:val="auto"/>
                <w:szCs w:val="21"/>
                <w:highlight w:val="none"/>
              </w:rPr>
            </w:pPr>
            <w:r>
              <w:rPr>
                <w:rFonts w:ascii="宋体" w:hAnsi="宋体"/>
                <w:color w:val="auto"/>
                <w:szCs w:val="21"/>
                <w:highlight w:val="none"/>
              </w:rPr>
              <w:t>需要补充的其他内容</w:t>
            </w:r>
          </w:p>
        </w:tc>
      </w:tr>
      <w:tr w14:paraId="5FEB10B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E130A14">
            <w:pPr>
              <w:jc w:val="center"/>
              <w:rPr>
                <w:rFonts w:ascii="宋体" w:hAnsi="宋体"/>
                <w:color w:val="auto"/>
                <w:szCs w:val="21"/>
                <w:highlight w:val="none"/>
              </w:rPr>
            </w:pPr>
            <w:r>
              <w:rPr>
                <w:rFonts w:ascii="宋体" w:hAnsi="宋体"/>
                <w:color w:val="auto"/>
                <w:szCs w:val="21"/>
                <w:highlight w:val="none"/>
              </w:rPr>
              <w:t>10.1</w:t>
            </w:r>
          </w:p>
        </w:tc>
        <w:tc>
          <w:tcPr>
            <w:tcW w:w="2292" w:type="dxa"/>
            <w:tcBorders>
              <w:top w:val="single" w:color="auto" w:sz="4" w:space="0"/>
              <w:left w:val="single" w:color="auto" w:sz="4" w:space="0"/>
              <w:bottom w:val="single" w:color="auto" w:sz="4" w:space="0"/>
              <w:right w:val="single" w:color="auto" w:sz="4" w:space="0"/>
            </w:tcBorders>
            <w:vAlign w:val="center"/>
          </w:tcPr>
          <w:p w14:paraId="6645C503">
            <w:pPr>
              <w:jc w:val="center"/>
              <w:rPr>
                <w:rFonts w:ascii="宋体" w:hAnsi="宋体"/>
                <w:color w:val="auto"/>
                <w:szCs w:val="21"/>
                <w:highlight w:val="none"/>
              </w:rPr>
            </w:pPr>
            <w:r>
              <w:rPr>
                <w:rFonts w:hint="eastAsia" w:ascii="宋体" w:hAnsi="宋体"/>
                <w:color w:val="auto"/>
                <w:szCs w:val="21"/>
                <w:highlight w:val="none"/>
              </w:rPr>
              <w:t>特别提示</w:t>
            </w:r>
          </w:p>
        </w:tc>
        <w:tc>
          <w:tcPr>
            <w:tcW w:w="5865" w:type="dxa"/>
            <w:tcBorders>
              <w:top w:val="single" w:color="auto" w:sz="4" w:space="0"/>
              <w:left w:val="single" w:color="auto" w:sz="4" w:space="0"/>
              <w:bottom w:val="single" w:color="auto" w:sz="4" w:space="0"/>
              <w:right w:val="single" w:color="auto" w:sz="4" w:space="0"/>
            </w:tcBorders>
            <w:vAlign w:val="center"/>
          </w:tcPr>
          <w:p w14:paraId="6FE0FAAA">
            <w:pPr>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w:t>
            </w:r>
          </w:p>
          <w:p w14:paraId="7C7025BF">
            <w:pPr>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22F24F75">
            <w:pPr>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79CE785D">
            <w:pPr>
              <w:rPr>
                <w:rFonts w:hint="eastAsia" w:ascii="宋体" w:hAnsi="宋体"/>
                <w:color w:val="auto"/>
                <w:szCs w:val="21"/>
                <w:highlight w:val="none"/>
              </w:rPr>
            </w:pPr>
            <w:r>
              <w:rPr>
                <w:rFonts w:hint="eastAsia" w:ascii="宋体" w:hAnsi="宋体"/>
                <w:color w:val="auto"/>
                <w:szCs w:val="21"/>
                <w:highlight w:val="none"/>
              </w:rPr>
              <w:t>（3）出让投标资格的；</w:t>
            </w:r>
          </w:p>
          <w:p w14:paraId="021EAB08">
            <w:pPr>
              <w:rPr>
                <w:rFonts w:hint="eastAsia" w:ascii="宋体" w:hAnsi="宋体"/>
                <w:color w:val="auto"/>
                <w:szCs w:val="21"/>
                <w:highlight w:val="none"/>
              </w:rPr>
            </w:pPr>
            <w:r>
              <w:rPr>
                <w:rFonts w:hint="eastAsia" w:ascii="宋体" w:hAnsi="宋体"/>
                <w:color w:val="auto"/>
                <w:szCs w:val="21"/>
                <w:highlight w:val="none"/>
              </w:rPr>
              <w:t>（4）存在围标或串标情形的；</w:t>
            </w:r>
          </w:p>
          <w:p w14:paraId="4949E527">
            <w:p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）在投标文件中提供虚假材料的；</w:t>
            </w:r>
          </w:p>
          <w:p w14:paraId="604045AB">
            <w:pPr>
              <w:numPr>
                <w:ilvl w:val="0"/>
                <w:numId w:val="0"/>
              </w:num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）存在少放、不放业绩、奖项等客观评审资料，减少自身竞争力情形的；</w:t>
            </w:r>
          </w:p>
          <w:p w14:paraId="024E6651">
            <w:pPr>
              <w:numPr>
                <w:ilvl w:val="0"/>
                <w:numId w:val="0"/>
              </w:num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）存在行贿情形的；</w:t>
            </w:r>
          </w:p>
          <w:p w14:paraId="58928FF2">
            <w:p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）拖欠农民工工资的；</w:t>
            </w:r>
          </w:p>
          <w:p w14:paraId="5978C935">
            <w:p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）为招标人提供监理服务过程中存在因过错行为被生效法律文书认定承担违约或侵权责任的；</w:t>
            </w:r>
          </w:p>
          <w:p w14:paraId="7D74A344">
            <w:p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）违反监理合同约定自行调换或未按照招标人要求及时更换项目总监的；</w:t>
            </w:r>
          </w:p>
          <w:p w14:paraId="760E31E8">
            <w:pP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）委派的项目总监已在其他在建项目中任职且任职数量不符合相关规定并拒绝更换的。</w:t>
            </w:r>
          </w:p>
        </w:tc>
      </w:tr>
      <w:tr w14:paraId="0E1B523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3585806">
            <w:pPr>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292" w:type="dxa"/>
            <w:tcBorders>
              <w:top w:val="single" w:color="auto" w:sz="4" w:space="0"/>
              <w:left w:val="single" w:color="auto" w:sz="4" w:space="0"/>
              <w:bottom w:val="single" w:color="auto" w:sz="4" w:space="0"/>
              <w:right w:val="single" w:color="auto" w:sz="4" w:space="0"/>
            </w:tcBorders>
            <w:vAlign w:val="center"/>
          </w:tcPr>
          <w:p w14:paraId="593FF969">
            <w:pPr>
              <w:jc w:val="center"/>
              <w:rPr>
                <w:rFonts w:ascii="宋体" w:hAnsi="宋体"/>
                <w:color w:val="auto"/>
                <w:szCs w:val="21"/>
                <w:highlight w:val="none"/>
              </w:rPr>
            </w:pPr>
            <w:r>
              <w:rPr>
                <w:rFonts w:hint="eastAsia" w:ascii="宋体" w:hAnsi="宋体"/>
                <w:color w:val="auto"/>
                <w:szCs w:val="21"/>
                <w:highlight w:val="none"/>
              </w:rPr>
              <w:t>招标失败的情形</w:t>
            </w:r>
          </w:p>
        </w:tc>
        <w:tc>
          <w:tcPr>
            <w:tcW w:w="5865" w:type="dxa"/>
            <w:tcBorders>
              <w:top w:val="single" w:color="auto" w:sz="4" w:space="0"/>
              <w:left w:val="single" w:color="auto" w:sz="4" w:space="0"/>
              <w:bottom w:val="single" w:color="auto" w:sz="4" w:space="0"/>
              <w:right w:val="single" w:color="auto" w:sz="4" w:space="0"/>
            </w:tcBorders>
            <w:vAlign w:val="center"/>
          </w:tcPr>
          <w:p w14:paraId="686EFE96">
            <w:pPr>
              <w:ind w:left="1"/>
              <w:rPr>
                <w:rFonts w:ascii="宋体" w:hAnsi="宋体"/>
                <w:color w:val="auto"/>
                <w:szCs w:val="21"/>
                <w:highlight w:val="none"/>
              </w:rPr>
            </w:pPr>
            <w:r>
              <w:rPr>
                <w:rFonts w:hint="eastAsia" w:ascii="宋体" w:hAnsi="宋体"/>
                <w:color w:val="auto"/>
                <w:szCs w:val="21"/>
                <w:highlight w:val="none"/>
              </w:rPr>
              <w:t>本项目采用资格后审方式，资格审查与评标同时进行，通过形式评审、资格审查、响应性评审的投标人不足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时为招标失败。招标人分析招标失败原因，修正招标方案，报有关管理部门核准后，重新组织招标。</w:t>
            </w:r>
          </w:p>
        </w:tc>
      </w:tr>
      <w:tr w14:paraId="2E931A99">
        <w:tblPrEx>
          <w:tblCellMar>
            <w:top w:w="0" w:type="dxa"/>
            <w:left w:w="108" w:type="dxa"/>
            <w:bottom w:w="0" w:type="dxa"/>
            <w:right w:w="108" w:type="dxa"/>
          </w:tblCellMar>
        </w:tblPrEx>
        <w:trPr>
          <w:trHeight w:val="589" w:hRule="atLeast"/>
        </w:trPr>
        <w:tc>
          <w:tcPr>
            <w:tcW w:w="1165" w:type="dxa"/>
            <w:tcBorders>
              <w:top w:val="single" w:color="auto" w:sz="4" w:space="0"/>
              <w:left w:val="single" w:color="auto" w:sz="4" w:space="0"/>
              <w:bottom w:val="single" w:color="auto" w:sz="4" w:space="0"/>
              <w:right w:val="single" w:color="auto" w:sz="4" w:space="0"/>
            </w:tcBorders>
            <w:vAlign w:val="center"/>
          </w:tcPr>
          <w:p w14:paraId="61C7739A">
            <w:pPr>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292" w:type="dxa"/>
            <w:tcBorders>
              <w:top w:val="single" w:color="auto" w:sz="4" w:space="0"/>
              <w:left w:val="single" w:color="auto" w:sz="4" w:space="0"/>
              <w:bottom w:val="single" w:color="auto" w:sz="4" w:space="0"/>
              <w:right w:val="single" w:color="auto" w:sz="4" w:space="0"/>
            </w:tcBorders>
            <w:vAlign w:val="center"/>
          </w:tcPr>
          <w:p w14:paraId="32C72D70">
            <w:pPr>
              <w:jc w:val="center"/>
              <w:rPr>
                <w:rFonts w:ascii="宋体" w:hAnsi="宋体"/>
                <w:color w:val="auto"/>
                <w:szCs w:val="21"/>
                <w:highlight w:val="none"/>
              </w:rPr>
            </w:pPr>
            <w:r>
              <w:rPr>
                <w:rFonts w:hint="eastAsia" w:ascii="宋体" w:hAnsi="宋体"/>
                <w:color w:val="auto"/>
                <w:szCs w:val="21"/>
                <w:highlight w:val="none"/>
              </w:rPr>
              <w:t>其他</w:t>
            </w:r>
          </w:p>
        </w:tc>
        <w:tc>
          <w:tcPr>
            <w:tcW w:w="5865" w:type="dxa"/>
            <w:tcBorders>
              <w:top w:val="single" w:color="auto" w:sz="4" w:space="0"/>
              <w:left w:val="single" w:color="auto" w:sz="4" w:space="0"/>
              <w:bottom w:val="single" w:color="auto" w:sz="4" w:space="0"/>
              <w:right w:val="single" w:color="auto" w:sz="4" w:space="0"/>
            </w:tcBorders>
            <w:vAlign w:val="center"/>
          </w:tcPr>
          <w:p w14:paraId="18A4493B">
            <w:pPr>
              <w:ind w:left="1"/>
              <w:rPr>
                <w:rFonts w:hint="eastAsia"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u w:val="single"/>
              </w:rPr>
              <w:t>在产生中标候选人后，招标人将中标候选人的投标文件初步评审部分的电子版（涉及商业秘密的内容除外）在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olor w:val="auto"/>
                <w:szCs w:val="21"/>
                <w:highlight w:val="none"/>
                <w:u w:val="single"/>
              </w:rPr>
              <w:t>网站公开。</w:t>
            </w:r>
            <w:r>
              <w:rPr>
                <w:rFonts w:hint="eastAsia" w:ascii="宋体" w:hAnsi="宋体"/>
                <w:color w:val="auto"/>
                <w:highlight w:val="none"/>
              </w:rPr>
              <w:t>招标人或招标代理在公示前应对中标候选人提交的电子文件内容进行核对，确定电子文件内容是否与中标候选人提交的电子投标文件内容一致。若电子文件内容与中标候选人提交的电子投标文件内容不一致或不完整的，中标候选人应补充或修改电子文件后公开。</w:t>
            </w:r>
          </w:p>
          <w:p w14:paraId="6396D3EE">
            <w:pPr>
              <w:ind w:left="1"/>
              <w:rPr>
                <w:rFonts w:hint="eastAsia" w:ascii="宋体" w:hAnsi="宋体"/>
                <w:color w:val="auto"/>
                <w:highlight w:val="none"/>
              </w:rPr>
            </w:pPr>
            <w:r>
              <w:rPr>
                <w:rFonts w:hint="eastAsia" w:ascii="宋体" w:hAnsi="宋体"/>
                <w:color w:val="auto"/>
                <w:highlight w:val="none"/>
              </w:rPr>
              <w:t>2.招标人根据评标委员会递交的评标报告，最终依法审定中标人。但在签订合同前的任何时候，评委、招标人以及其他人员发现投标人在招标过程有弄虚作假、虚报资料情况的，一经查实，立即取消其中标人资格。</w:t>
            </w:r>
          </w:p>
          <w:p w14:paraId="32BEFAD1">
            <w:pPr>
              <w:ind w:left="1"/>
              <w:rPr>
                <w:rFonts w:hint="eastAsia" w:ascii="宋体" w:hAnsi="宋体"/>
                <w:color w:val="auto"/>
                <w:highlight w:val="none"/>
              </w:rPr>
            </w:pPr>
            <w:r>
              <w:rPr>
                <w:rFonts w:hint="eastAsia" w:ascii="宋体" w:hAnsi="宋体"/>
                <w:color w:val="auto"/>
                <w:highlight w:val="none"/>
              </w:rPr>
              <w:t>3.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14:paraId="3ED54080">
            <w:pPr>
              <w:ind w:left="1"/>
              <w:rPr>
                <w:rFonts w:hint="eastAsia" w:ascii="宋体" w:hAnsi="宋体"/>
                <w:color w:val="auto"/>
                <w:highlight w:val="none"/>
              </w:rPr>
            </w:pPr>
            <w:r>
              <w:rPr>
                <w:rFonts w:hint="eastAsia" w:ascii="宋体" w:hAnsi="宋体"/>
                <w:color w:val="auto"/>
                <w:highlight w:val="none"/>
              </w:rPr>
              <w:t>4.</w:t>
            </w:r>
            <w:r>
              <w:rPr>
                <w:rFonts w:hint="eastAsia" w:ascii="宋体" w:hAnsi="宋体"/>
                <w:color w:val="auto"/>
                <w:szCs w:val="21"/>
                <w:highlight w:val="none"/>
              </w:rPr>
              <w:t>中标结果公示结束后</w:t>
            </w:r>
            <w:r>
              <w:rPr>
                <w:rFonts w:ascii="宋体" w:hAnsi="宋体"/>
                <w:color w:val="auto"/>
                <w:szCs w:val="21"/>
                <w:highlight w:val="none"/>
              </w:rPr>
              <w:t>5个工作日内，</w:t>
            </w:r>
            <w:r>
              <w:rPr>
                <w:rFonts w:hint="eastAsia" w:ascii="宋体" w:hAnsi="宋体"/>
                <w:color w:val="auto"/>
                <w:highlight w:val="none"/>
              </w:rPr>
              <w:t>中标人须向招标人（招标代理机构）提供与递交的电子投标文件内容一致的纸质投标文件三套及电子文件二套（电子文件介质使用CD-R光盘，所有电子文件不能采用压缩加密处理）。</w:t>
            </w:r>
          </w:p>
          <w:p w14:paraId="73EBC58D">
            <w:pPr>
              <w:pStyle w:val="13"/>
              <w:ind w:firstLine="0"/>
              <w:rPr>
                <w:color w:val="auto"/>
                <w:highlight w:val="none"/>
              </w:rPr>
            </w:pPr>
            <w:r>
              <w:rPr>
                <w:rFonts w:hint="eastAsia" w:ascii="宋体" w:hAnsi="宋体"/>
                <w:color w:val="auto"/>
                <w:highlight w:val="none"/>
              </w:rPr>
              <w:t>5.</w:t>
            </w:r>
            <w:r>
              <w:rPr>
                <w:rFonts w:ascii="宋体" w:hAnsi="宋体"/>
                <w:color w:val="auto"/>
                <w:szCs w:val="21"/>
                <w:highlight w:val="none"/>
                <w:u w:val="single"/>
              </w:rPr>
              <w:t>中标人按《广州市发展改革委转发省发展改革委关于规范公共资源交易服务收费及有关问题的通知》（穗发改〔2017〕811号）文件的规定，向</w:t>
            </w:r>
            <w:r>
              <w:rPr>
                <w:rFonts w:hint="eastAsia" w:ascii="宋体" w:hAnsi="宋体"/>
                <w:color w:val="auto"/>
                <w:szCs w:val="21"/>
                <w:highlight w:val="none"/>
                <w:u w:val="single"/>
              </w:rPr>
              <w:t>广州交易集团有限公司（广州公共资源交易中心）缴纳</w:t>
            </w:r>
            <w:r>
              <w:rPr>
                <w:rFonts w:ascii="宋体" w:hAnsi="宋体"/>
                <w:color w:val="auto"/>
                <w:szCs w:val="21"/>
                <w:highlight w:val="none"/>
                <w:u w:val="single"/>
              </w:rPr>
              <w:t>交易服务费，其费用包含在中标人投标报价中，招标人不另行支付。</w:t>
            </w:r>
          </w:p>
        </w:tc>
      </w:tr>
    </w:tbl>
    <w:p w14:paraId="1CC9F651">
      <w:pPr>
        <w:widowControl/>
        <w:jc w:val="left"/>
        <w:rPr>
          <w:rFonts w:ascii="宋体" w:hAnsi="宋体"/>
          <w:color w:val="auto"/>
          <w:highlight w:val="none"/>
        </w:rPr>
      </w:pPr>
      <w:r>
        <w:rPr>
          <w:rFonts w:ascii="宋体" w:hAnsi="宋体"/>
          <w:color w:val="auto"/>
          <w:highlight w:val="none"/>
        </w:rPr>
        <w:br w:type="page"/>
      </w:r>
      <w:bookmarkStart w:id="17" w:name="_Toc49509965"/>
      <w:r>
        <w:rPr>
          <w:rFonts w:ascii="宋体" w:hAnsi="宋体"/>
          <w:b/>
          <w:bCs/>
          <w:color w:val="auto"/>
          <w:sz w:val="32"/>
          <w:szCs w:val="32"/>
          <w:highlight w:val="none"/>
        </w:rPr>
        <w:t xml:space="preserve">1. </w:t>
      </w:r>
      <w:r>
        <w:rPr>
          <w:rFonts w:hint="eastAsia" w:ascii="宋体" w:hAnsi="宋体"/>
          <w:b/>
          <w:bCs/>
          <w:color w:val="auto"/>
          <w:sz w:val="32"/>
          <w:szCs w:val="32"/>
          <w:highlight w:val="none"/>
        </w:rPr>
        <w:t>总则</w:t>
      </w:r>
      <w:bookmarkEnd w:id="17"/>
    </w:p>
    <w:p w14:paraId="203CBFBA">
      <w:pPr>
        <w:pStyle w:val="4"/>
        <w:spacing w:line="240" w:lineRule="auto"/>
        <w:ind w:firstLine="137"/>
        <w:rPr>
          <w:rFonts w:ascii="宋体" w:hAnsi="宋体" w:eastAsia="宋体"/>
          <w:color w:val="auto"/>
          <w:highlight w:val="none"/>
        </w:rPr>
      </w:pPr>
      <w:bookmarkStart w:id="18" w:name="_Toc49509966"/>
      <w:bookmarkStart w:id="19" w:name="_Toc49506132"/>
      <w:r>
        <w:rPr>
          <w:rFonts w:ascii="宋体" w:hAnsi="宋体" w:eastAsia="宋体"/>
          <w:color w:val="auto"/>
          <w:highlight w:val="none"/>
        </w:rPr>
        <w:t xml:space="preserve">1.1 </w:t>
      </w:r>
      <w:r>
        <w:rPr>
          <w:rFonts w:hint="eastAsia" w:ascii="宋体" w:hAnsi="宋体" w:eastAsia="宋体"/>
          <w:color w:val="auto"/>
          <w:highlight w:val="none"/>
        </w:rPr>
        <w:t>招标项目概况</w:t>
      </w:r>
      <w:bookmarkEnd w:id="18"/>
      <w:bookmarkEnd w:id="19"/>
    </w:p>
    <w:p w14:paraId="359D00C6">
      <w:pPr>
        <w:spacing w:line="400" w:lineRule="exact"/>
        <w:ind w:firstLine="420" w:firstLineChars="200"/>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根据《中华人民共和国招标投标法》、《中华人民共和国招标投标法实施条例》等有关法律、法规和规章的规定，本招标项目已具备招标条件，现对</w:t>
      </w:r>
      <w:r>
        <w:rPr>
          <w:rFonts w:hint="eastAsia" w:ascii="宋体" w:hAnsi="宋体"/>
          <w:color w:val="auto"/>
          <w:highlight w:val="none"/>
          <w:u w:val="single"/>
        </w:rPr>
        <w:t>监理</w:t>
      </w:r>
      <w:r>
        <w:rPr>
          <w:rFonts w:hint="eastAsia" w:ascii="宋体" w:hAnsi="宋体"/>
          <w:color w:val="auto"/>
          <w:highlight w:val="none"/>
        </w:rPr>
        <w:t>进行招标。</w:t>
      </w:r>
    </w:p>
    <w:p w14:paraId="0321DF33">
      <w:pPr>
        <w:spacing w:line="400" w:lineRule="exact"/>
        <w:ind w:firstLine="420" w:firstLineChars="200"/>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招标人：见投标人须知前附表。</w:t>
      </w:r>
    </w:p>
    <w:p w14:paraId="531D9EF6">
      <w:pPr>
        <w:spacing w:line="400" w:lineRule="exact"/>
        <w:ind w:firstLine="420" w:firstLineChars="200"/>
        <w:rPr>
          <w:rFonts w:ascii="宋体" w:hAnsi="宋体"/>
          <w:color w:val="auto"/>
          <w:highlight w:val="none"/>
        </w:rPr>
      </w:pPr>
      <w:r>
        <w:rPr>
          <w:rFonts w:ascii="宋体" w:hAnsi="宋体"/>
          <w:color w:val="auto"/>
          <w:highlight w:val="none"/>
        </w:rPr>
        <w:t>1.1.3</w:t>
      </w:r>
      <w:r>
        <w:rPr>
          <w:rFonts w:hint="eastAsia" w:ascii="宋体" w:hAnsi="宋体"/>
          <w:color w:val="auto"/>
          <w:highlight w:val="none"/>
        </w:rPr>
        <w:t>招标代理机构：见投标人须知前附表。</w:t>
      </w:r>
    </w:p>
    <w:p w14:paraId="5BBE76B6">
      <w:pPr>
        <w:spacing w:line="400" w:lineRule="exact"/>
        <w:ind w:firstLine="420" w:firstLineChars="200"/>
        <w:rPr>
          <w:rFonts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招标项目名称：见投标人须知前附表。</w:t>
      </w:r>
    </w:p>
    <w:p w14:paraId="34F8A4B2">
      <w:pPr>
        <w:spacing w:line="400" w:lineRule="exact"/>
        <w:ind w:firstLine="420" w:firstLineChars="200"/>
        <w:rPr>
          <w:rFonts w:ascii="宋体" w:hAnsi="宋体"/>
          <w:color w:val="auto"/>
          <w:highlight w:val="none"/>
        </w:rPr>
      </w:pPr>
      <w:r>
        <w:rPr>
          <w:rFonts w:ascii="宋体" w:hAnsi="宋体"/>
          <w:color w:val="auto"/>
          <w:highlight w:val="none"/>
        </w:rPr>
        <w:t>1.1.5项目建设地点：见投标人须知前附表。</w:t>
      </w:r>
    </w:p>
    <w:p w14:paraId="19930711">
      <w:pPr>
        <w:spacing w:line="400" w:lineRule="exact"/>
        <w:ind w:firstLine="420" w:firstLineChars="200"/>
        <w:rPr>
          <w:rFonts w:ascii="宋体" w:hAnsi="宋体"/>
          <w:color w:val="auto"/>
          <w:highlight w:val="none"/>
        </w:rPr>
      </w:pPr>
      <w:r>
        <w:rPr>
          <w:rFonts w:ascii="宋体" w:hAnsi="宋体"/>
          <w:color w:val="auto"/>
          <w:highlight w:val="none"/>
        </w:rPr>
        <w:t>1.1.6 项目建设规模：见投标人须知前附表。</w:t>
      </w:r>
    </w:p>
    <w:p w14:paraId="2BE40CC0">
      <w:pPr>
        <w:spacing w:line="400" w:lineRule="exact"/>
        <w:ind w:firstLine="420" w:firstLineChars="200"/>
        <w:rPr>
          <w:rFonts w:ascii="宋体" w:hAnsi="宋体"/>
          <w:color w:val="auto"/>
          <w:highlight w:val="none"/>
        </w:rPr>
      </w:pPr>
      <w:r>
        <w:rPr>
          <w:rFonts w:ascii="宋体" w:hAnsi="宋体"/>
          <w:color w:val="auto"/>
          <w:highlight w:val="none"/>
        </w:rPr>
        <w:t xml:space="preserve">1.1.7 </w:t>
      </w:r>
      <w:r>
        <w:rPr>
          <w:rFonts w:hint="eastAsia" w:ascii="宋体" w:hAnsi="宋体"/>
          <w:color w:val="auto"/>
          <w:highlight w:val="none"/>
        </w:rPr>
        <w:t>工程项目施工预计开工日期和建设周期：见投标人须知前附表。</w:t>
      </w:r>
    </w:p>
    <w:p w14:paraId="49F5093F">
      <w:pPr>
        <w:spacing w:line="400" w:lineRule="exact"/>
        <w:ind w:firstLine="420" w:firstLineChars="200"/>
        <w:rPr>
          <w:rFonts w:ascii="宋体" w:hAnsi="宋体"/>
          <w:color w:val="auto"/>
          <w:highlight w:val="none"/>
        </w:rPr>
      </w:pPr>
      <w:r>
        <w:rPr>
          <w:rFonts w:ascii="宋体" w:hAnsi="宋体"/>
          <w:color w:val="auto"/>
          <w:highlight w:val="none"/>
        </w:rPr>
        <w:t xml:space="preserve">1.1.8 </w:t>
      </w:r>
      <w:r>
        <w:rPr>
          <w:rFonts w:hint="eastAsia" w:ascii="宋体" w:hAnsi="宋体"/>
          <w:color w:val="auto"/>
          <w:highlight w:val="none"/>
        </w:rPr>
        <w:t>建筑安装工程费</w:t>
      </w:r>
      <w:r>
        <w:rPr>
          <w:rFonts w:ascii="宋体" w:hAnsi="宋体"/>
          <w:color w:val="auto"/>
          <w:highlight w:val="none"/>
        </w:rPr>
        <w:t>/</w:t>
      </w:r>
      <w:r>
        <w:rPr>
          <w:rFonts w:hint="eastAsia" w:ascii="宋体" w:hAnsi="宋体"/>
          <w:color w:val="auto"/>
          <w:highlight w:val="none"/>
        </w:rPr>
        <w:t>工程概算：见投标人须知前附表。</w:t>
      </w:r>
    </w:p>
    <w:p w14:paraId="422EE038">
      <w:pPr>
        <w:pStyle w:val="4"/>
        <w:spacing w:line="240" w:lineRule="auto"/>
        <w:ind w:firstLine="137"/>
        <w:rPr>
          <w:rFonts w:ascii="宋体" w:hAnsi="宋体" w:eastAsia="宋体"/>
          <w:color w:val="auto"/>
          <w:highlight w:val="none"/>
        </w:rPr>
      </w:pPr>
      <w:bookmarkStart w:id="20" w:name="_Toc49509967"/>
      <w:bookmarkStart w:id="21" w:name="_Toc49506133"/>
      <w:r>
        <w:rPr>
          <w:rFonts w:ascii="宋体" w:hAnsi="宋体" w:eastAsia="宋体"/>
          <w:color w:val="auto"/>
          <w:highlight w:val="none"/>
        </w:rPr>
        <w:t xml:space="preserve">1.2 </w:t>
      </w:r>
      <w:r>
        <w:rPr>
          <w:rFonts w:hint="eastAsia" w:ascii="宋体" w:hAnsi="宋体" w:eastAsia="宋体"/>
          <w:color w:val="auto"/>
          <w:highlight w:val="none"/>
        </w:rPr>
        <w:t>招标项目的资金来源和落实情况</w:t>
      </w:r>
      <w:bookmarkEnd w:id="20"/>
      <w:bookmarkEnd w:id="21"/>
    </w:p>
    <w:p w14:paraId="27DB8B74">
      <w:pPr>
        <w:spacing w:line="400" w:lineRule="exact"/>
        <w:ind w:firstLine="420" w:firstLineChars="200"/>
        <w:rPr>
          <w:rFonts w:ascii="宋体" w:hAnsi="宋体"/>
          <w:color w:val="auto"/>
          <w:highlight w:val="none"/>
        </w:rPr>
      </w:pPr>
      <w:r>
        <w:rPr>
          <w:rFonts w:ascii="宋体" w:hAnsi="宋体"/>
          <w:color w:val="auto"/>
          <w:highlight w:val="none"/>
        </w:rPr>
        <w:t>1.2.1</w:t>
      </w:r>
      <w:r>
        <w:rPr>
          <w:rFonts w:hint="eastAsia" w:ascii="宋体" w:hAnsi="宋体"/>
          <w:color w:val="auto"/>
          <w:highlight w:val="none"/>
        </w:rPr>
        <w:t>资金来源及比例：见投标人须知前附表。</w:t>
      </w:r>
    </w:p>
    <w:p w14:paraId="2057FBE4">
      <w:pPr>
        <w:spacing w:line="400" w:lineRule="exact"/>
        <w:ind w:firstLine="420" w:firstLineChars="200"/>
        <w:rPr>
          <w:rFonts w:ascii="宋体" w:hAnsi="宋体"/>
          <w:color w:val="auto"/>
          <w:highlight w:val="none"/>
        </w:rPr>
      </w:pPr>
      <w:r>
        <w:rPr>
          <w:rFonts w:ascii="宋体" w:hAnsi="宋体"/>
          <w:color w:val="auto"/>
          <w:highlight w:val="none"/>
        </w:rPr>
        <w:t>1.2.2</w:t>
      </w:r>
      <w:r>
        <w:rPr>
          <w:rFonts w:hint="eastAsia" w:ascii="宋体" w:hAnsi="宋体"/>
          <w:color w:val="auto"/>
          <w:highlight w:val="none"/>
        </w:rPr>
        <w:t>资金落实情况：见投标人须知前附表。</w:t>
      </w:r>
    </w:p>
    <w:p w14:paraId="034CF502">
      <w:pPr>
        <w:pStyle w:val="4"/>
        <w:spacing w:line="240" w:lineRule="auto"/>
        <w:ind w:firstLine="137"/>
        <w:rPr>
          <w:rFonts w:ascii="宋体" w:hAnsi="宋体" w:eastAsia="宋体"/>
          <w:color w:val="auto"/>
          <w:highlight w:val="none"/>
        </w:rPr>
      </w:pPr>
      <w:bookmarkStart w:id="22" w:name="_Toc49509968"/>
      <w:bookmarkStart w:id="23" w:name="_Toc49506134"/>
      <w:r>
        <w:rPr>
          <w:rFonts w:ascii="宋体" w:hAnsi="宋体" w:eastAsia="宋体"/>
          <w:color w:val="auto"/>
          <w:highlight w:val="none"/>
        </w:rPr>
        <w:t>1.3</w:t>
      </w:r>
      <w:r>
        <w:rPr>
          <w:rFonts w:hint="eastAsia" w:ascii="宋体" w:hAnsi="宋体" w:eastAsia="宋体"/>
          <w:color w:val="auto"/>
          <w:highlight w:val="none"/>
        </w:rPr>
        <w:t>招标范围、监理服务期限和质量标准</w:t>
      </w:r>
      <w:bookmarkEnd w:id="22"/>
      <w:bookmarkEnd w:id="23"/>
    </w:p>
    <w:p w14:paraId="03E09DDE">
      <w:pPr>
        <w:spacing w:line="400" w:lineRule="exact"/>
        <w:ind w:firstLine="420" w:firstLineChars="200"/>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招标范围：见投标人须知前附表。</w:t>
      </w:r>
    </w:p>
    <w:p w14:paraId="75AE23B1">
      <w:pPr>
        <w:spacing w:line="400" w:lineRule="exact"/>
        <w:ind w:firstLine="420" w:firstLineChars="200"/>
        <w:rPr>
          <w:rFonts w:ascii="宋体" w:hAnsi="宋体"/>
          <w:color w:val="auto"/>
          <w:highlight w:val="none"/>
        </w:rPr>
      </w:pPr>
      <w:r>
        <w:rPr>
          <w:rFonts w:ascii="宋体" w:hAnsi="宋体"/>
          <w:color w:val="auto"/>
          <w:highlight w:val="none"/>
        </w:rPr>
        <w:t>1.3.2</w:t>
      </w:r>
      <w:r>
        <w:rPr>
          <w:rFonts w:hint="eastAsia" w:ascii="宋体" w:hAnsi="宋体"/>
          <w:color w:val="auto"/>
          <w:highlight w:val="none"/>
        </w:rPr>
        <w:t>监理服务期限：见投标人须知前附表。</w:t>
      </w:r>
    </w:p>
    <w:p w14:paraId="7F796503">
      <w:pPr>
        <w:spacing w:line="400" w:lineRule="exact"/>
        <w:ind w:firstLine="420" w:firstLineChars="200"/>
        <w:rPr>
          <w:rFonts w:ascii="宋体" w:hAnsi="宋体"/>
          <w:color w:val="auto"/>
          <w:highlight w:val="none"/>
        </w:rPr>
      </w:pPr>
      <w:r>
        <w:rPr>
          <w:rFonts w:ascii="宋体" w:hAnsi="宋体"/>
          <w:color w:val="auto"/>
          <w:highlight w:val="none"/>
        </w:rPr>
        <w:t xml:space="preserve">1.3.3 </w:t>
      </w:r>
      <w:r>
        <w:rPr>
          <w:rFonts w:hint="eastAsia" w:ascii="宋体" w:hAnsi="宋体"/>
          <w:color w:val="auto"/>
          <w:highlight w:val="none"/>
        </w:rPr>
        <w:t>质量标准：见投标人须知前附表。</w:t>
      </w:r>
    </w:p>
    <w:p w14:paraId="4A9F6A77">
      <w:pPr>
        <w:pStyle w:val="4"/>
        <w:spacing w:line="240" w:lineRule="auto"/>
        <w:ind w:firstLine="137"/>
        <w:rPr>
          <w:rFonts w:ascii="宋体" w:hAnsi="宋体" w:eastAsia="宋体"/>
          <w:color w:val="auto"/>
          <w:highlight w:val="none"/>
        </w:rPr>
      </w:pPr>
      <w:bookmarkStart w:id="24" w:name="_Toc49506135"/>
      <w:bookmarkStart w:id="25" w:name="_Toc49509969"/>
      <w:r>
        <w:rPr>
          <w:rFonts w:ascii="宋体" w:hAnsi="宋体" w:eastAsia="宋体"/>
          <w:color w:val="auto"/>
          <w:highlight w:val="none"/>
        </w:rPr>
        <w:t>1.4</w:t>
      </w:r>
      <w:r>
        <w:rPr>
          <w:rFonts w:hint="eastAsia" w:ascii="宋体" w:hAnsi="宋体" w:eastAsia="宋体"/>
          <w:color w:val="auto"/>
          <w:highlight w:val="none"/>
        </w:rPr>
        <w:t>投标人资格要求</w:t>
      </w:r>
      <w:bookmarkEnd w:id="24"/>
      <w:bookmarkEnd w:id="25"/>
    </w:p>
    <w:p w14:paraId="3BCC5C8C">
      <w:pPr>
        <w:spacing w:line="400" w:lineRule="exact"/>
        <w:ind w:firstLine="420" w:firstLineChars="200"/>
        <w:rPr>
          <w:rFonts w:ascii="宋体" w:hAnsi="宋体"/>
          <w:color w:val="auto"/>
          <w:highlight w:val="none"/>
        </w:rPr>
      </w:pPr>
      <w:r>
        <w:rPr>
          <w:rFonts w:ascii="宋体" w:hAnsi="宋体"/>
          <w:color w:val="auto"/>
          <w:highlight w:val="none"/>
        </w:rPr>
        <w:t xml:space="preserve">1.4.1 </w:t>
      </w:r>
      <w:r>
        <w:rPr>
          <w:rFonts w:hint="eastAsia" w:ascii="宋体" w:hAnsi="宋体"/>
          <w:color w:val="auto"/>
          <w:highlight w:val="none"/>
        </w:rPr>
        <w:t>投标人应具备承担本招标项目资质条件、能力和信誉</w:t>
      </w:r>
      <w:r>
        <w:rPr>
          <w:rFonts w:ascii="宋体" w:hAnsi="宋体"/>
          <w:color w:val="auto"/>
          <w:highlight w:val="none"/>
        </w:rPr>
        <w:t>：</w:t>
      </w:r>
    </w:p>
    <w:p w14:paraId="2BE0CD13">
      <w:pPr>
        <w:spacing w:line="400" w:lineRule="exact"/>
        <w:ind w:firstLine="315" w:firstLineChars="15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）资质要求：见投标人须知前附表；</w:t>
      </w:r>
    </w:p>
    <w:p w14:paraId="64D0EB04">
      <w:pPr>
        <w:spacing w:line="400" w:lineRule="exact"/>
        <w:ind w:firstLine="315" w:firstLineChars="15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w:t>
      </w:r>
      <w:r>
        <w:rPr>
          <w:rFonts w:ascii="宋体" w:hAnsi="宋体"/>
          <w:color w:val="auto"/>
          <w:highlight w:val="none"/>
        </w:rPr>
        <w:t>财务</w:t>
      </w:r>
      <w:r>
        <w:rPr>
          <w:rFonts w:hint="eastAsia" w:ascii="宋体" w:hAnsi="宋体"/>
          <w:color w:val="auto"/>
          <w:highlight w:val="none"/>
        </w:rPr>
        <w:t>要求：见投标人须知前附表；</w:t>
      </w:r>
    </w:p>
    <w:p w14:paraId="0B6EB655">
      <w:pPr>
        <w:spacing w:line="400" w:lineRule="exact"/>
        <w:ind w:firstLine="315" w:firstLineChars="150"/>
        <w:rPr>
          <w:rFonts w:ascii="宋体" w:hAnsi="宋体"/>
          <w:color w:val="auto"/>
          <w:highlight w:val="none"/>
        </w:rPr>
      </w:pPr>
      <w:r>
        <w:rPr>
          <w:rFonts w:ascii="宋体" w:hAnsi="宋体"/>
          <w:color w:val="auto"/>
          <w:highlight w:val="none"/>
        </w:rPr>
        <w:t>（3）业绩要求：见投标人须知前附表；</w:t>
      </w:r>
    </w:p>
    <w:p w14:paraId="5C0A755D">
      <w:pPr>
        <w:spacing w:line="400" w:lineRule="exact"/>
        <w:ind w:firstLine="315" w:firstLineChars="150"/>
        <w:rPr>
          <w:rFonts w:ascii="宋体" w:hAnsi="宋体"/>
          <w:color w:val="auto"/>
          <w:highlight w:val="none"/>
        </w:rPr>
      </w:pPr>
      <w:r>
        <w:rPr>
          <w:rFonts w:ascii="宋体" w:hAnsi="宋体"/>
          <w:color w:val="auto"/>
          <w:highlight w:val="none"/>
        </w:rPr>
        <w:t>（4）信誉要求：见投标人须知前附表；</w:t>
      </w:r>
    </w:p>
    <w:p w14:paraId="4C6E232D">
      <w:pPr>
        <w:spacing w:line="400" w:lineRule="exact"/>
        <w:ind w:firstLine="315" w:firstLineChars="150"/>
        <w:rPr>
          <w:rFonts w:ascii="宋体" w:hAnsi="宋体"/>
          <w:color w:val="auto"/>
          <w:highlight w:val="none"/>
        </w:rPr>
      </w:pPr>
      <w:r>
        <w:rPr>
          <w:rFonts w:ascii="宋体" w:hAnsi="宋体"/>
          <w:color w:val="auto"/>
          <w:highlight w:val="none"/>
        </w:rPr>
        <w:t>（5）总监理工程师的资格要求：具体要求见投标人须知前附表；</w:t>
      </w:r>
    </w:p>
    <w:p w14:paraId="5F229976">
      <w:pPr>
        <w:spacing w:line="400" w:lineRule="exact"/>
        <w:ind w:firstLine="315" w:firstLineChars="150"/>
        <w:rPr>
          <w:rFonts w:ascii="宋体" w:hAnsi="宋体"/>
          <w:color w:val="auto"/>
          <w:highlight w:val="none"/>
        </w:rPr>
      </w:pPr>
      <w:r>
        <w:rPr>
          <w:rFonts w:ascii="宋体" w:hAnsi="宋体"/>
          <w:color w:val="auto"/>
          <w:highlight w:val="none"/>
        </w:rPr>
        <w:t>（6）其他主要人员要求：见投标人须知前附表；</w:t>
      </w:r>
    </w:p>
    <w:p w14:paraId="717A712C">
      <w:pPr>
        <w:spacing w:line="400" w:lineRule="exact"/>
        <w:ind w:firstLine="315" w:firstLineChars="150"/>
        <w:rPr>
          <w:rFonts w:ascii="宋体" w:hAnsi="宋体"/>
          <w:color w:val="auto"/>
          <w:highlight w:val="none"/>
        </w:rPr>
      </w:pPr>
      <w:r>
        <w:rPr>
          <w:rFonts w:ascii="宋体" w:hAnsi="宋体"/>
          <w:color w:val="auto"/>
          <w:highlight w:val="none"/>
        </w:rPr>
        <w:t>（7）试验检测仪器设备要求：见投标人须知前附表；</w:t>
      </w:r>
    </w:p>
    <w:p w14:paraId="33C7F1F3">
      <w:pPr>
        <w:spacing w:line="400" w:lineRule="exact"/>
        <w:ind w:firstLine="315" w:firstLineChars="150"/>
        <w:rPr>
          <w:rFonts w:ascii="宋体" w:hAnsi="宋体"/>
          <w:color w:val="auto"/>
          <w:highlight w:val="none"/>
        </w:rPr>
      </w:pPr>
      <w:r>
        <w:rPr>
          <w:rFonts w:ascii="宋体" w:hAnsi="宋体"/>
          <w:color w:val="auto"/>
          <w:highlight w:val="none"/>
        </w:rPr>
        <w:t>（8）其他要求：见投标人须知前附表。</w:t>
      </w:r>
    </w:p>
    <w:p w14:paraId="25AE0A7D">
      <w:pPr>
        <w:spacing w:line="400" w:lineRule="exact"/>
        <w:ind w:firstLine="420" w:firstLineChars="200"/>
        <w:rPr>
          <w:rFonts w:ascii="宋体" w:hAnsi="宋体"/>
          <w:color w:val="auto"/>
          <w:highlight w:val="none"/>
        </w:rPr>
      </w:pPr>
      <w:r>
        <w:rPr>
          <w:rFonts w:ascii="宋体" w:hAnsi="宋体"/>
          <w:color w:val="auto"/>
          <w:highlight w:val="none"/>
        </w:rPr>
        <w:t>需要提交的相关证明材料见本章第3.5款的规定。</w:t>
      </w:r>
    </w:p>
    <w:p w14:paraId="44846D74">
      <w:pPr>
        <w:spacing w:line="400" w:lineRule="exact"/>
        <w:ind w:firstLine="420" w:firstLineChars="200"/>
        <w:rPr>
          <w:rFonts w:ascii="宋体" w:hAnsi="宋体"/>
          <w:strike/>
          <w:color w:val="auto"/>
          <w:highlight w:val="none"/>
        </w:rPr>
      </w:pPr>
      <w:r>
        <w:rPr>
          <w:rFonts w:ascii="宋体" w:hAnsi="宋体"/>
          <w:strike/>
          <w:color w:val="auto"/>
          <w:highlight w:val="none"/>
        </w:rPr>
        <w:t>1.4.2投标人须知前附表规定接受联合体投标的，</w:t>
      </w:r>
      <w:r>
        <w:rPr>
          <w:rFonts w:hint="eastAsia" w:ascii="宋体" w:hAnsi="宋体"/>
          <w:strike/>
          <w:color w:val="auto"/>
          <w:highlight w:val="none"/>
        </w:rPr>
        <w:t>联合体除应符合本章第</w:t>
      </w:r>
      <w:r>
        <w:rPr>
          <w:rFonts w:ascii="宋体" w:hAnsi="宋体"/>
          <w:strike/>
          <w:color w:val="auto"/>
          <w:highlight w:val="none"/>
        </w:rPr>
        <w:t>1.4.1</w:t>
      </w:r>
      <w:r>
        <w:rPr>
          <w:rFonts w:hint="eastAsia" w:ascii="宋体" w:hAnsi="宋体"/>
          <w:strike/>
          <w:color w:val="auto"/>
          <w:highlight w:val="none"/>
        </w:rPr>
        <w:t>项和投标人须知前附表的要求外，还应遵守以下规定：</w:t>
      </w:r>
    </w:p>
    <w:p w14:paraId="585F0685">
      <w:pPr>
        <w:spacing w:line="400" w:lineRule="exact"/>
        <w:ind w:firstLine="315" w:firstLineChars="150"/>
        <w:rPr>
          <w:rFonts w:ascii="宋体" w:hAnsi="宋体"/>
          <w:strike/>
          <w:color w:val="auto"/>
          <w:highlight w:val="none"/>
        </w:rPr>
      </w:pPr>
      <w:r>
        <w:rPr>
          <w:rFonts w:ascii="宋体" w:hAnsi="宋体"/>
          <w:strike/>
          <w:color w:val="auto"/>
          <w:highlight w:val="none"/>
        </w:rPr>
        <w:t>（1）联合体各方应按招标文件提供的格式签订联合体协议书，明确联合体牵头人和各方权利义务，并承诺就中标项目向招标人承担连带责任；</w:t>
      </w:r>
    </w:p>
    <w:p w14:paraId="431C331E">
      <w:pPr>
        <w:spacing w:line="400" w:lineRule="exact"/>
        <w:ind w:firstLine="315" w:firstLineChars="150"/>
        <w:rPr>
          <w:rFonts w:ascii="宋体" w:hAnsi="宋体"/>
          <w:strike/>
          <w:color w:val="auto"/>
          <w:highlight w:val="none"/>
        </w:rPr>
      </w:pPr>
      <w:r>
        <w:rPr>
          <w:rFonts w:ascii="宋体" w:hAnsi="宋体"/>
          <w:strike/>
          <w:color w:val="auto"/>
          <w:highlight w:val="none"/>
        </w:rPr>
        <w:t>（2）由同一专业的单位组成的联合体，按照资质等级较低的单位确定资质等级；</w:t>
      </w:r>
    </w:p>
    <w:p w14:paraId="502B4436">
      <w:pPr>
        <w:spacing w:line="400" w:lineRule="exact"/>
        <w:ind w:firstLine="315" w:firstLineChars="150"/>
        <w:rPr>
          <w:rFonts w:ascii="宋体" w:hAnsi="宋体"/>
          <w:strike/>
          <w:color w:val="auto"/>
          <w:highlight w:val="none"/>
        </w:rPr>
      </w:pPr>
      <w:r>
        <w:rPr>
          <w:rFonts w:ascii="宋体" w:hAnsi="宋体"/>
          <w:strike/>
          <w:color w:val="auto"/>
          <w:highlight w:val="none"/>
        </w:rPr>
        <w:t>（3）联合体各方不得再以自己名义单独或参加其他联合体在本招标项目中投标，否则各相关投标均无效。</w:t>
      </w:r>
    </w:p>
    <w:p w14:paraId="64EF705C">
      <w:pPr>
        <w:spacing w:line="400" w:lineRule="exact"/>
        <w:ind w:firstLine="420" w:firstLineChars="200"/>
        <w:rPr>
          <w:rFonts w:ascii="宋体" w:hAnsi="宋体"/>
          <w:color w:val="auto"/>
          <w:highlight w:val="none"/>
        </w:rPr>
      </w:pPr>
      <w:r>
        <w:rPr>
          <w:rFonts w:ascii="宋体" w:hAnsi="宋体"/>
          <w:color w:val="auto"/>
          <w:highlight w:val="none"/>
        </w:rPr>
        <w:t>1.4.3</w:t>
      </w:r>
      <w:r>
        <w:rPr>
          <w:rFonts w:hint="eastAsia" w:ascii="宋体" w:hAnsi="宋体"/>
          <w:color w:val="auto"/>
          <w:highlight w:val="none"/>
        </w:rPr>
        <w:t>投标人不得存在下列情形之一：</w:t>
      </w:r>
    </w:p>
    <w:p w14:paraId="7FECF1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27624C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64BED2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0A158B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5CB18F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6D69B7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31996F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269720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1BF2D6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004E1E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r>
        <w:rPr>
          <w:rFonts w:hint="eastAsia" w:ascii="宋体" w:hAnsi="宋体"/>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szCs w:val="21"/>
          <w:highlight w:val="none"/>
        </w:rPr>
        <w:t>；</w:t>
      </w:r>
    </w:p>
    <w:p w14:paraId="5A054F8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（11）被责令停产停业、暂扣或者吊销许可证、暂扣或者吊销执照</w:t>
      </w:r>
      <w:r>
        <w:rPr>
          <w:rFonts w:hint="eastAsia" w:ascii="宋体" w:hAnsi="宋体"/>
          <w:color w:val="auto"/>
          <w:szCs w:val="21"/>
          <w:highlight w:val="none"/>
          <w:u w:val="single"/>
        </w:rPr>
        <w:t>（本项事实应当以根据《中华人民共和国行政处罚法》依法作出并已经生效的行政处罚决定为认定依据）</w:t>
      </w:r>
      <w:r>
        <w:rPr>
          <w:rFonts w:hint="eastAsia" w:ascii="宋体" w:hAnsi="宋体"/>
          <w:color w:val="auto"/>
          <w:szCs w:val="21"/>
          <w:highlight w:val="none"/>
        </w:rPr>
        <w:t>；</w:t>
      </w:r>
    </w:p>
    <w:p w14:paraId="0111B6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6AE8D3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（13）在最近三年内发生重大监理质量问题（以相关行业主管部门的行政处罚决定或司法机关出具的有关法律文书为准；</w:t>
      </w:r>
      <w:r>
        <w:rPr>
          <w:rFonts w:hint="eastAsia" w:ascii="宋体" w:hAnsi="宋体"/>
          <w:color w:val="auto"/>
          <w:szCs w:val="21"/>
          <w:highlight w:val="none"/>
          <w:u w:val="single"/>
        </w:rPr>
        <w:t>“最近三年”是指从202</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年1月1日</w:t>
      </w:r>
      <w:r>
        <w:rPr>
          <w:rFonts w:ascii="宋体" w:hAnsi="宋体"/>
          <w:color w:val="auto"/>
          <w:szCs w:val="21"/>
          <w:highlight w:val="none"/>
          <w:u w:val="single"/>
        </w:rPr>
        <w:t>至</w:t>
      </w:r>
      <w:r>
        <w:rPr>
          <w:rFonts w:hint="eastAsia" w:ascii="宋体" w:hAnsi="宋体"/>
          <w:color w:val="auto"/>
          <w:szCs w:val="21"/>
          <w:highlight w:val="none"/>
          <w:u w:val="single"/>
        </w:rPr>
        <w:t>投标截止时间止，以相关行业主管部门、司法机关出具的生效文件的落款时间起计算）；</w:t>
      </w:r>
    </w:p>
    <w:p w14:paraId="1BB13B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（14）法律法规或投标人须知前附表规定的其他情形。</w:t>
      </w:r>
    </w:p>
    <w:p w14:paraId="248F6432">
      <w:pPr>
        <w:pStyle w:val="4"/>
        <w:spacing w:line="240" w:lineRule="auto"/>
        <w:ind w:firstLine="137"/>
        <w:rPr>
          <w:rFonts w:ascii="宋体" w:hAnsi="宋体" w:eastAsia="宋体"/>
          <w:color w:val="auto"/>
          <w:highlight w:val="none"/>
        </w:rPr>
      </w:pPr>
      <w:bookmarkStart w:id="26" w:name="_Toc49509970"/>
      <w:bookmarkStart w:id="27" w:name="_Toc49506136"/>
      <w:r>
        <w:rPr>
          <w:rFonts w:ascii="宋体" w:hAnsi="宋体" w:eastAsia="宋体"/>
          <w:color w:val="auto"/>
          <w:highlight w:val="none"/>
        </w:rPr>
        <w:t xml:space="preserve">1.5 </w:t>
      </w:r>
      <w:r>
        <w:rPr>
          <w:rFonts w:hint="eastAsia" w:ascii="宋体" w:hAnsi="宋体" w:eastAsia="宋体"/>
          <w:color w:val="auto"/>
          <w:highlight w:val="none"/>
        </w:rPr>
        <w:t>费用承担</w:t>
      </w:r>
      <w:bookmarkEnd w:id="26"/>
      <w:bookmarkEnd w:id="27"/>
    </w:p>
    <w:p w14:paraId="5E2B3CFE">
      <w:pPr>
        <w:spacing w:line="400" w:lineRule="exact"/>
        <w:ind w:firstLine="420" w:firstLineChars="200"/>
        <w:rPr>
          <w:rFonts w:ascii="宋体" w:hAnsi="宋体"/>
          <w:color w:val="auto"/>
          <w:highlight w:val="none"/>
        </w:rPr>
      </w:pPr>
      <w:r>
        <w:rPr>
          <w:rFonts w:ascii="宋体" w:hAnsi="宋体"/>
          <w:color w:val="auto"/>
          <w:highlight w:val="none"/>
        </w:rPr>
        <w:t>投标人准备和参加投标活动发生的费用自理。</w:t>
      </w:r>
    </w:p>
    <w:p w14:paraId="59563E30">
      <w:pPr>
        <w:pStyle w:val="4"/>
        <w:spacing w:line="240" w:lineRule="auto"/>
        <w:ind w:firstLine="137"/>
        <w:rPr>
          <w:rFonts w:ascii="宋体" w:hAnsi="宋体" w:eastAsia="宋体"/>
          <w:color w:val="auto"/>
          <w:highlight w:val="none"/>
        </w:rPr>
      </w:pPr>
      <w:bookmarkStart w:id="28" w:name="_Toc49506137"/>
      <w:bookmarkStart w:id="29" w:name="_Toc49509971"/>
      <w:r>
        <w:rPr>
          <w:rFonts w:ascii="宋体" w:hAnsi="宋体" w:eastAsia="宋体"/>
          <w:color w:val="auto"/>
          <w:highlight w:val="none"/>
        </w:rPr>
        <w:t>1.6</w:t>
      </w:r>
      <w:r>
        <w:rPr>
          <w:rFonts w:hint="eastAsia" w:ascii="宋体" w:hAnsi="宋体" w:eastAsia="宋体"/>
          <w:color w:val="auto"/>
          <w:highlight w:val="none"/>
        </w:rPr>
        <w:t>保密</w:t>
      </w:r>
      <w:bookmarkEnd w:id="28"/>
      <w:bookmarkEnd w:id="29"/>
    </w:p>
    <w:p w14:paraId="5E8E32EF">
      <w:pPr>
        <w:spacing w:line="400" w:lineRule="exact"/>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w:t>
      </w:r>
      <w:bookmarkStart w:id="30" w:name="_Toc369531519"/>
      <w:bookmarkStart w:id="31" w:name="_Toc352691477"/>
      <w:bookmarkStart w:id="32" w:name="_Toc384308214"/>
      <w:bookmarkStart w:id="33" w:name="_Toc361508589"/>
      <w:bookmarkStart w:id="34" w:name="_Toc5326"/>
      <w:r>
        <w:rPr>
          <w:rFonts w:hint="eastAsia" w:ascii="宋体" w:hAnsi="宋体"/>
          <w:color w:val="auto"/>
          <w:highlight w:val="none"/>
        </w:rPr>
        <w:t>的商业和技术等秘密保密</w:t>
      </w:r>
      <w:bookmarkEnd w:id="30"/>
      <w:bookmarkEnd w:id="31"/>
      <w:bookmarkEnd w:id="32"/>
      <w:bookmarkEnd w:id="33"/>
      <w:bookmarkEnd w:id="34"/>
      <w:r>
        <w:rPr>
          <w:rFonts w:hint="eastAsia" w:ascii="宋体" w:hAnsi="宋体"/>
          <w:color w:val="auto"/>
          <w:highlight w:val="none"/>
        </w:rPr>
        <w:t>，否则应承担相应的法律责任。</w:t>
      </w:r>
    </w:p>
    <w:p w14:paraId="1C581218">
      <w:pPr>
        <w:pStyle w:val="4"/>
        <w:spacing w:line="240" w:lineRule="auto"/>
        <w:ind w:firstLine="137"/>
        <w:rPr>
          <w:rFonts w:ascii="宋体" w:hAnsi="宋体" w:eastAsia="宋体"/>
          <w:color w:val="auto"/>
          <w:highlight w:val="none"/>
        </w:rPr>
      </w:pPr>
      <w:bookmarkStart w:id="35" w:name="_Toc49506138"/>
      <w:bookmarkStart w:id="36" w:name="_Toc49509972"/>
      <w:r>
        <w:rPr>
          <w:rFonts w:ascii="宋体" w:hAnsi="宋体" w:eastAsia="宋体"/>
          <w:color w:val="auto"/>
          <w:highlight w:val="none"/>
        </w:rPr>
        <w:t>1.7</w:t>
      </w:r>
      <w:r>
        <w:rPr>
          <w:rFonts w:hint="eastAsia" w:ascii="宋体" w:hAnsi="宋体" w:eastAsia="宋体"/>
          <w:color w:val="auto"/>
          <w:highlight w:val="none"/>
        </w:rPr>
        <w:t>语言文字</w:t>
      </w:r>
      <w:bookmarkEnd w:id="35"/>
      <w:bookmarkEnd w:id="36"/>
    </w:p>
    <w:p w14:paraId="258BDD0C">
      <w:pPr>
        <w:spacing w:line="400" w:lineRule="exact"/>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14:paraId="23DC5C08">
      <w:pPr>
        <w:pStyle w:val="4"/>
        <w:spacing w:line="240" w:lineRule="auto"/>
        <w:ind w:firstLine="137"/>
        <w:rPr>
          <w:rFonts w:ascii="宋体" w:hAnsi="宋体" w:eastAsia="宋体"/>
          <w:color w:val="auto"/>
          <w:highlight w:val="none"/>
        </w:rPr>
      </w:pPr>
      <w:bookmarkStart w:id="37" w:name="_Toc49509973"/>
      <w:bookmarkStart w:id="38" w:name="_Toc49506139"/>
      <w:r>
        <w:rPr>
          <w:rFonts w:ascii="宋体" w:hAnsi="宋体" w:eastAsia="宋体"/>
          <w:color w:val="auto"/>
          <w:highlight w:val="none"/>
        </w:rPr>
        <w:t>1.8</w:t>
      </w:r>
      <w:r>
        <w:rPr>
          <w:rFonts w:hint="eastAsia" w:ascii="宋体" w:hAnsi="宋体" w:eastAsia="宋体"/>
          <w:color w:val="auto"/>
          <w:highlight w:val="none"/>
        </w:rPr>
        <w:t>计量单位</w:t>
      </w:r>
      <w:bookmarkEnd w:id="37"/>
      <w:bookmarkEnd w:id="38"/>
    </w:p>
    <w:p w14:paraId="3D40478D">
      <w:pPr>
        <w:spacing w:line="400" w:lineRule="exact"/>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p>
    <w:p w14:paraId="0C8AF203">
      <w:pPr>
        <w:pStyle w:val="4"/>
        <w:spacing w:line="240" w:lineRule="auto"/>
        <w:ind w:firstLine="137"/>
        <w:rPr>
          <w:rFonts w:ascii="宋体" w:hAnsi="宋体" w:eastAsia="宋体"/>
          <w:color w:val="auto"/>
          <w:highlight w:val="none"/>
        </w:rPr>
      </w:pPr>
      <w:bookmarkStart w:id="39" w:name="_Toc152045539"/>
      <w:bookmarkStart w:id="40" w:name="_Toc370676289"/>
      <w:bookmarkStart w:id="41" w:name="_Toc49506140"/>
      <w:bookmarkStart w:id="42" w:name="_Toc384308219"/>
      <w:bookmarkStart w:id="43" w:name="_Toc300834959"/>
      <w:bookmarkStart w:id="44" w:name="_Toc482188480"/>
      <w:bookmarkStart w:id="45" w:name="_Toc361508594"/>
      <w:bookmarkStart w:id="46" w:name="_Toc152042315"/>
      <w:bookmarkStart w:id="47" w:name="_Toc247527563"/>
      <w:bookmarkStart w:id="48" w:name="_Toc144974507"/>
      <w:bookmarkStart w:id="49" w:name="_Toc391393967"/>
      <w:bookmarkStart w:id="50" w:name="_Toc247513962"/>
      <w:bookmarkStart w:id="51" w:name="_Toc49509974"/>
      <w:r>
        <w:rPr>
          <w:rFonts w:ascii="宋体" w:hAnsi="宋体" w:eastAsia="宋体"/>
          <w:color w:val="auto"/>
          <w:highlight w:val="none"/>
        </w:rPr>
        <w:t xml:space="preserve">1.9 </w:t>
      </w:r>
      <w:r>
        <w:rPr>
          <w:rFonts w:hint="eastAsia" w:ascii="宋体" w:hAnsi="宋体" w:eastAsia="宋体"/>
          <w:color w:val="auto"/>
          <w:highlight w:val="none"/>
        </w:rPr>
        <w:t>踏勘现场</w:t>
      </w:r>
      <w:bookmarkEnd w:id="39"/>
      <w:bookmarkEnd w:id="40"/>
      <w:bookmarkEnd w:id="41"/>
      <w:bookmarkEnd w:id="42"/>
      <w:bookmarkEnd w:id="43"/>
      <w:bookmarkEnd w:id="44"/>
      <w:bookmarkEnd w:id="45"/>
      <w:bookmarkEnd w:id="46"/>
      <w:bookmarkEnd w:id="47"/>
      <w:bookmarkEnd w:id="48"/>
      <w:bookmarkEnd w:id="49"/>
      <w:bookmarkEnd w:id="50"/>
      <w:bookmarkEnd w:id="51"/>
    </w:p>
    <w:p w14:paraId="2BC054EC">
      <w:pPr>
        <w:spacing w:line="400" w:lineRule="exact"/>
        <w:ind w:firstLine="420" w:firstLineChars="200"/>
        <w:rPr>
          <w:rFonts w:ascii="宋体" w:hAnsi="宋体"/>
          <w:color w:val="auto"/>
          <w:highlight w:val="none"/>
        </w:rPr>
      </w:pPr>
      <w:r>
        <w:rPr>
          <w:rFonts w:ascii="宋体" w:hAnsi="宋体"/>
          <w:color w:val="auto"/>
          <w:highlight w:val="none"/>
        </w:rPr>
        <w:t xml:space="preserve">1.9.1 </w:t>
      </w:r>
      <w:r>
        <w:rPr>
          <w:rFonts w:hint="eastAsia" w:ascii="宋体" w:hAnsi="宋体"/>
          <w:color w:val="auto"/>
          <w:highlight w:val="none"/>
        </w:rPr>
        <w:t>投标人须知前附表规定组织踏勘现场的，招标人按投标人须知前附表规定的时间、地点组织投标人踏勘项目现场。部分投标人未按时参加踏勘现场的，不影响踏勘现场的正常进行。</w:t>
      </w:r>
    </w:p>
    <w:p w14:paraId="222A2951">
      <w:pPr>
        <w:spacing w:line="400" w:lineRule="exact"/>
        <w:ind w:firstLine="420" w:firstLineChars="200"/>
        <w:rPr>
          <w:rFonts w:ascii="宋体" w:hAnsi="宋体"/>
          <w:color w:val="auto"/>
          <w:highlight w:val="none"/>
        </w:rPr>
      </w:pPr>
      <w:r>
        <w:rPr>
          <w:rFonts w:ascii="宋体" w:hAnsi="宋体"/>
          <w:color w:val="auto"/>
          <w:highlight w:val="none"/>
        </w:rPr>
        <w:t xml:space="preserve">1.9.2 </w:t>
      </w:r>
      <w:r>
        <w:rPr>
          <w:rFonts w:hint="eastAsia" w:ascii="宋体" w:hAnsi="宋体"/>
          <w:color w:val="auto"/>
          <w:highlight w:val="none"/>
        </w:rPr>
        <w:t>投标人踏勘现场发生的费用自理。</w:t>
      </w:r>
    </w:p>
    <w:p w14:paraId="1613421A">
      <w:pPr>
        <w:spacing w:line="400" w:lineRule="exact"/>
        <w:ind w:firstLine="420" w:firstLineChars="200"/>
        <w:rPr>
          <w:rFonts w:ascii="宋体" w:hAnsi="宋体"/>
          <w:color w:val="auto"/>
          <w:highlight w:val="none"/>
        </w:rPr>
      </w:pPr>
      <w:r>
        <w:rPr>
          <w:rFonts w:ascii="宋体" w:hAnsi="宋体"/>
          <w:color w:val="auto"/>
          <w:highlight w:val="none"/>
        </w:rPr>
        <w:t xml:space="preserve">1.9.3 </w:t>
      </w:r>
      <w:r>
        <w:rPr>
          <w:rFonts w:hint="eastAsia" w:ascii="宋体" w:hAnsi="宋体"/>
          <w:color w:val="auto"/>
          <w:highlight w:val="none"/>
        </w:rPr>
        <w:t>除招标人的原因外，投标人自行负责在踏勘现场中所发生的人员伤亡和财产损失。</w:t>
      </w:r>
    </w:p>
    <w:p w14:paraId="0D6DF455">
      <w:pPr>
        <w:spacing w:line="400" w:lineRule="exact"/>
        <w:ind w:firstLine="420" w:firstLineChars="200"/>
        <w:rPr>
          <w:rFonts w:ascii="宋体" w:hAnsi="宋体"/>
          <w:color w:val="auto"/>
          <w:highlight w:val="none"/>
        </w:rPr>
      </w:pPr>
      <w:r>
        <w:rPr>
          <w:rFonts w:ascii="宋体" w:hAnsi="宋体"/>
          <w:color w:val="auto"/>
          <w:highlight w:val="none"/>
        </w:rPr>
        <w:t xml:space="preserve">1.9.4 </w:t>
      </w:r>
      <w:r>
        <w:rPr>
          <w:rFonts w:hint="eastAsia" w:ascii="宋体" w:hAnsi="宋体"/>
          <w:color w:val="auto"/>
          <w:highlight w:val="none"/>
        </w:rPr>
        <w:t>招标人在踏勘现场中介绍的工程场地和相关的周边环境情况，供投标人在编制投标文件时参考，招标人不对投标人据此作出的判断和决策负责。</w:t>
      </w:r>
    </w:p>
    <w:p w14:paraId="54EC8788">
      <w:pPr>
        <w:pStyle w:val="4"/>
        <w:spacing w:line="240" w:lineRule="auto"/>
        <w:ind w:firstLine="137"/>
        <w:rPr>
          <w:rFonts w:ascii="宋体" w:hAnsi="宋体" w:eastAsia="宋体"/>
          <w:color w:val="auto"/>
          <w:highlight w:val="none"/>
        </w:rPr>
      </w:pPr>
      <w:bookmarkStart w:id="52" w:name="_Toc49509975"/>
      <w:bookmarkStart w:id="53" w:name="_Toc49506141"/>
      <w:r>
        <w:rPr>
          <w:rFonts w:ascii="宋体" w:hAnsi="宋体" w:eastAsia="宋体"/>
          <w:color w:val="auto"/>
          <w:highlight w:val="none"/>
        </w:rPr>
        <w:t>1.10</w:t>
      </w:r>
      <w:r>
        <w:rPr>
          <w:rFonts w:hint="eastAsia" w:ascii="宋体" w:hAnsi="宋体" w:eastAsia="宋体"/>
          <w:color w:val="auto"/>
          <w:highlight w:val="none"/>
        </w:rPr>
        <w:t>投标预备会</w:t>
      </w:r>
      <w:bookmarkEnd w:id="52"/>
      <w:bookmarkEnd w:id="53"/>
    </w:p>
    <w:p w14:paraId="41B49F81">
      <w:pPr>
        <w:spacing w:line="400" w:lineRule="exact"/>
        <w:ind w:firstLine="420" w:firstLineChars="200"/>
        <w:rPr>
          <w:rFonts w:ascii="宋体" w:hAnsi="宋体"/>
          <w:color w:val="auto"/>
          <w:highlight w:val="none"/>
        </w:rPr>
      </w:pPr>
      <w:r>
        <w:rPr>
          <w:rFonts w:ascii="宋体" w:hAnsi="宋体"/>
          <w:color w:val="auto"/>
          <w:highlight w:val="none"/>
        </w:rPr>
        <w:t xml:space="preserve">1.10.1 </w:t>
      </w:r>
      <w:r>
        <w:rPr>
          <w:rFonts w:hint="eastAsia" w:ascii="宋体" w:hAnsi="宋体"/>
          <w:color w:val="auto"/>
          <w:highlight w:val="none"/>
        </w:rPr>
        <w:t>投标人须知前附表规定召开投标预备会的，招标人按投标人须知前附表规定的时间和地点召开投标预备会，澄清投标人提出的问题。</w:t>
      </w:r>
    </w:p>
    <w:p w14:paraId="4C3B31BB">
      <w:pPr>
        <w:spacing w:line="400" w:lineRule="exact"/>
        <w:ind w:firstLine="420" w:firstLineChars="200"/>
        <w:rPr>
          <w:rFonts w:ascii="宋体" w:hAnsi="宋体"/>
          <w:color w:val="auto"/>
          <w:highlight w:val="none"/>
        </w:rPr>
      </w:pPr>
      <w:r>
        <w:rPr>
          <w:rFonts w:ascii="宋体" w:hAnsi="宋体"/>
          <w:color w:val="auto"/>
          <w:highlight w:val="none"/>
        </w:rPr>
        <w:t xml:space="preserve">1.10.2 </w:t>
      </w:r>
      <w:r>
        <w:rPr>
          <w:rFonts w:hint="eastAsia" w:ascii="宋体" w:hAnsi="宋体"/>
          <w:color w:val="auto"/>
          <w:highlight w:val="none"/>
        </w:rPr>
        <w:t>投标人应按投标人须知前附表规定的时间和形式将提出的问题送达招标人，以便招标人在会议期间澄清。</w:t>
      </w:r>
    </w:p>
    <w:p w14:paraId="21C4BC2E">
      <w:pPr>
        <w:spacing w:line="400" w:lineRule="exact"/>
        <w:ind w:firstLine="420" w:firstLineChars="200"/>
        <w:rPr>
          <w:rFonts w:ascii="宋体" w:hAnsi="宋体"/>
          <w:color w:val="auto"/>
          <w:highlight w:val="none"/>
        </w:rPr>
      </w:pPr>
      <w:r>
        <w:rPr>
          <w:rFonts w:ascii="宋体" w:hAnsi="宋体"/>
          <w:color w:val="auto"/>
          <w:highlight w:val="none"/>
        </w:rPr>
        <w:t xml:space="preserve">1.10.3 </w:t>
      </w:r>
      <w:r>
        <w:rPr>
          <w:rFonts w:hint="eastAsia" w:ascii="宋体" w:hAnsi="宋体"/>
          <w:color w:val="auto"/>
          <w:highlight w:val="none"/>
        </w:rPr>
        <w:t>投标预备会后，招标人将对投标人所提问题的澄清，以投标人须知前附表规定的形式通知所有</w:t>
      </w:r>
      <w:r>
        <w:rPr>
          <w:rFonts w:hint="eastAsia" w:ascii="宋体" w:hAnsi="宋体"/>
          <w:color w:val="auto"/>
          <w:highlight w:val="none"/>
          <w:u w:val="single"/>
          <w:lang w:val="en-US" w:eastAsia="zh-CN"/>
        </w:rPr>
        <w:t>投标登记</w:t>
      </w:r>
      <w:r>
        <w:rPr>
          <w:rFonts w:hint="eastAsia" w:ascii="宋体" w:hAnsi="宋体"/>
          <w:color w:val="auto"/>
          <w:highlight w:val="none"/>
        </w:rPr>
        <w:t>的投标人。该澄清内容为招标文件的组成部分。</w:t>
      </w:r>
    </w:p>
    <w:p w14:paraId="0F798515">
      <w:pPr>
        <w:pStyle w:val="4"/>
        <w:spacing w:line="240" w:lineRule="auto"/>
        <w:ind w:firstLine="137"/>
        <w:rPr>
          <w:rFonts w:ascii="宋体" w:hAnsi="宋体" w:eastAsia="宋体"/>
          <w:color w:val="auto"/>
          <w:highlight w:val="none"/>
        </w:rPr>
      </w:pPr>
      <w:bookmarkStart w:id="54" w:name="_Toc49509976"/>
      <w:bookmarkStart w:id="55" w:name="_Toc49506142"/>
      <w:r>
        <w:rPr>
          <w:rFonts w:ascii="宋体" w:hAnsi="宋体" w:eastAsia="宋体"/>
          <w:color w:val="auto"/>
          <w:highlight w:val="none"/>
        </w:rPr>
        <w:t xml:space="preserve">1.11 </w:t>
      </w:r>
      <w:r>
        <w:rPr>
          <w:rFonts w:hint="eastAsia" w:ascii="宋体" w:hAnsi="宋体" w:eastAsia="宋体"/>
          <w:color w:val="auto"/>
          <w:highlight w:val="none"/>
        </w:rPr>
        <w:t>分包</w:t>
      </w:r>
      <w:bookmarkEnd w:id="54"/>
      <w:bookmarkEnd w:id="55"/>
    </w:p>
    <w:p w14:paraId="724E73E8">
      <w:pPr>
        <w:spacing w:line="400" w:lineRule="exact"/>
        <w:ind w:firstLine="420" w:firstLineChars="200"/>
        <w:rPr>
          <w:rFonts w:ascii="宋体" w:hAnsi="宋体"/>
          <w:color w:val="auto"/>
          <w:highlight w:val="none"/>
        </w:rPr>
      </w:pPr>
      <w:r>
        <w:rPr>
          <w:rFonts w:hint="eastAsia" w:ascii="宋体" w:hAnsi="宋体"/>
          <w:color w:val="auto"/>
          <w:highlight w:val="none"/>
        </w:rPr>
        <w:t>本项目严禁分包。</w:t>
      </w:r>
    </w:p>
    <w:p w14:paraId="1D169998">
      <w:pPr>
        <w:pStyle w:val="4"/>
        <w:spacing w:line="240" w:lineRule="auto"/>
        <w:ind w:firstLine="137"/>
        <w:rPr>
          <w:rFonts w:ascii="宋体" w:hAnsi="宋体" w:eastAsia="宋体"/>
          <w:color w:val="auto"/>
          <w:highlight w:val="none"/>
        </w:rPr>
      </w:pPr>
      <w:bookmarkStart w:id="56" w:name="_Toc49509977"/>
      <w:bookmarkStart w:id="57" w:name="_Toc49506143"/>
      <w:r>
        <w:rPr>
          <w:rFonts w:ascii="宋体" w:hAnsi="宋体" w:eastAsia="宋体"/>
          <w:color w:val="auto"/>
          <w:highlight w:val="none"/>
        </w:rPr>
        <w:t>1.12</w:t>
      </w:r>
      <w:r>
        <w:rPr>
          <w:rFonts w:hint="eastAsia" w:ascii="宋体" w:hAnsi="宋体" w:eastAsia="宋体"/>
          <w:color w:val="auto"/>
          <w:highlight w:val="none"/>
        </w:rPr>
        <w:t>响应和偏差</w:t>
      </w:r>
      <w:bookmarkEnd w:id="56"/>
      <w:bookmarkEnd w:id="57"/>
    </w:p>
    <w:p w14:paraId="5CF48B58">
      <w:pPr>
        <w:spacing w:line="400" w:lineRule="exact"/>
        <w:ind w:firstLine="420" w:firstLineChars="200"/>
        <w:rPr>
          <w:rFonts w:ascii="宋体" w:hAnsi="宋体"/>
          <w:color w:val="auto"/>
          <w:highlight w:val="none"/>
        </w:rPr>
      </w:pPr>
      <w:r>
        <w:rPr>
          <w:rFonts w:ascii="宋体" w:hAnsi="宋体"/>
          <w:color w:val="auto"/>
          <w:highlight w:val="none"/>
        </w:rPr>
        <w:t>1.12.1</w:t>
      </w:r>
      <w:r>
        <w:rPr>
          <w:rFonts w:hint="eastAsia" w:ascii="宋体" w:hAnsi="宋体"/>
          <w:color w:val="auto"/>
          <w:highlight w:val="none"/>
        </w:rPr>
        <w:t>投标文件应当对招标文件的实质性要求和条件作出满足性或更有利于招标人的响应，否则，投标人的投标将被否决。实质性要求和条件见投标人须知前附表。</w:t>
      </w:r>
    </w:p>
    <w:p w14:paraId="7D627A7F">
      <w:pPr>
        <w:spacing w:line="400" w:lineRule="exact"/>
        <w:ind w:firstLine="420" w:firstLineChars="200"/>
        <w:rPr>
          <w:rFonts w:ascii="宋体" w:hAnsi="宋体"/>
          <w:color w:val="auto"/>
          <w:highlight w:val="none"/>
        </w:rPr>
      </w:pPr>
      <w:r>
        <w:rPr>
          <w:rFonts w:ascii="宋体" w:hAnsi="宋体"/>
          <w:color w:val="auto"/>
          <w:highlight w:val="none"/>
        </w:rPr>
        <w:t xml:space="preserve">1.12.2 </w:t>
      </w:r>
      <w:r>
        <w:rPr>
          <w:rFonts w:ascii="宋体" w:hAnsi="宋体"/>
          <w:color w:val="auto"/>
          <w:szCs w:val="21"/>
          <w:highlight w:val="none"/>
        </w:rPr>
        <w:t>投标人应根据招标文件的要求提供</w:t>
      </w:r>
      <w:r>
        <w:rPr>
          <w:rFonts w:ascii="宋体" w:hAnsi="宋体"/>
          <w:color w:val="auto"/>
          <w:highlight w:val="none"/>
        </w:rPr>
        <w:t>投标</w:t>
      </w:r>
      <w:r>
        <w:rPr>
          <w:rFonts w:hint="eastAsia" w:ascii="宋体" w:hAnsi="宋体"/>
          <w:color w:val="auto"/>
          <w:highlight w:val="none"/>
        </w:rPr>
        <w:t>监理方案大纲</w:t>
      </w:r>
      <w:r>
        <w:rPr>
          <w:rFonts w:ascii="宋体" w:hAnsi="宋体"/>
          <w:color w:val="auto"/>
          <w:highlight w:val="none"/>
        </w:rPr>
        <w:t>等内容以对招标文件作出响应。</w:t>
      </w:r>
    </w:p>
    <w:p w14:paraId="0DF0E174">
      <w:pPr>
        <w:spacing w:line="400" w:lineRule="exact"/>
        <w:ind w:firstLine="435"/>
        <w:rPr>
          <w:rFonts w:ascii="宋体" w:hAnsi="宋体"/>
          <w:color w:val="auto"/>
          <w:highlight w:val="none"/>
        </w:rPr>
      </w:pPr>
      <w:r>
        <w:rPr>
          <w:rFonts w:ascii="宋体" w:hAnsi="宋体"/>
          <w:color w:val="auto"/>
          <w:highlight w:val="none"/>
        </w:rPr>
        <w:t>1.12.3投标人须知前附表允许投标文件偏离招标文件某些要求的，偏差应当符合招标文件规定的偏差范围和幅度。</w:t>
      </w:r>
    </w:p>
    <w:p w14:paraId="17DB931C">
      <w:pPr>
        <w:pStyle w:val="2"/>
        <w:rPr>
          <w:rFonts w:ascii="宋体" w:hAnsi="宋体" w:eastAsia="宋体"/>
          <w:color w:val="auto"/>
          <w:highlight w:val="none"/>
        </w:rPr>
      </w:pPr>
      <w:bookmarkStart w:id="58" w:name="_Toc49509978"/>
      <w:r>
        <w:rPr>
          <w:rFonts w:ascii="宋体" w:hAnsi="宋体" w:eastAsia="宋体"/>
          <w:color w:val="auto"/>
          <w:highlight w:val="none"/>
        </w:rPr>
        <w:t xml:space="preserve">2. </w:t>
      </w:r>
      <w:r>
        <w:rPr>
          <w:rFonts w:hint="eastAsia" w:ascii="宋体" w:hAnsi="宋体" w:eastAsia="宋体"/>
          <w:color w:val="auto"/>
          <w:highlight w:val="none"/>
        </w:rPr>
        <w:t>招标文件</w:t>
      </w:r>
      <w:bookmarkEnd w:id="58"/>
    </w:p>
    <w:p w14:paraId="65F00312">
      <w:pPr>
        <w:pStyle w:val="4"/>
        <w:spacing w:line="240" w:lineRule="auto"/>
        <w:ind w:firstLine="137"/>
        <w:rPr>
          <w:rFonts w:ascii="宋体" w:hAnsi="宋体" w:eastAsia="宋体"/>
          <w:color w:val="auto"/>
          <w:highlight w:val="none"/>
        </w:rPr>
      </w:pPr>
      <w:bookmarkStart w:id="59" w:name="_Toc49509979"/>
      <w:bookmarkStart w:id="60" w:name="_Toc49506145"/>
      <w:r>
        <w:rPr>
          <w:rFonts w:ascii="宋体" w:hAnsi="宋体" w:eastAsia="宋体"/>
          <w:color w:val="auto"/>
          <w:highlight w:val="none"/>
        </w:rPr>
        <w:t xml:space="preserve">2.1 </w:t>
      </w:r>
      <w:r>
        <w:rPr>
          <w:rFonts w:hint="eastAsia" w:ascii="宋体" w:hAnsi="宋体" w:eastAsia="宋体"/>
          <w:color w:val="auto"/>
          <w:highlight w:val="none"/>
        </w:rPr>
        <w:t>招标文件的组成</w:t>
      </w:r>
      <w:bookmarkEnd w:id="59"/>
      <w:bookmarkEnd w:id="60"/>
    </w:p>
    <w:p w14:paraId="553EC5EE">
      <w:pPr>
        <w:spacing w:line="400" w:lineRule="exact"/>
        <w:ind w:firstLine="359" w:firstLineChars="171"/>
        <w:rPr>
          <w:rFonts w:ascii="宋体" w:hAnsi="宋体"/>
          <w:color w:val="auto"/>
          <w:highlight w:val="none"/>
        </w:rPr>
      </w:pPr>
      <w:r>
        <w:rPr>
          <w:rFonts w:hint="eastAsia" w:ascii="宋体" w:hAnsi="宋体"/>
          <w:color w:val="auto"/>
          <w:highlight w:val="none"/>
        </w:rPr>
        <w:t>本招标文件包括：</w:t>
      </w:r>
    </w:p>
    <w:p w14:paraId="7928627F">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）招标公告</w:t>
      </w:r>
      <w:r>
        <w:rPr>
          <w:rFonts w:hint="eastAsia" w:ascii="宋体" w:hAnsi="宋体"/>
          <w:strike/>
          <w:color w:val="auto"/>
          <w:highlight w:val="none"/>
        </w:rPr>
        <w:t>（或投标邀请书）</w:t>
      </w:r>
      <w:r>
        <w:rPr>
          <w:rFonts w:hint="eastAsia" w:ascii="宋体" w:hAnsi="宋体"/>
          <w:color w:val="auto"/>
          <w:highlight w:val="none"/>
        </w:rPr>
        <w:t>；</w:t>
      </w:r>
    </w:p>
    <w:p w14:paraId="46D7D37B">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）投标人须知；</w:t>
      </w:r>
    </w:p>
    <w:p w14:paraId="1336EEAE">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）评标办法</w:t>
      </w:r>
      <w:r>
        <w:rPr>
          <w:rFonts w:hint="eastAsia" w:ascii="宋体" w:hAnsi="宋体"/>
          <w:color w:val="auto"/>
          <w:highlight w:val="none"/>
          <w:u w:val="single"/>
        </w:rPr>
        <w:t>（“评定分离”定标办法）</w:t>
      </w:r>
      <w:r>
        <w:rPr>
          <w:rFonts w:hint="eastAsia" w:ascii="宋体" w:hAnsi="宋体"/>
          <w:color w:val="auto"/>
          <w:highlight w:val="none"/>
        </w:rPr>
        <w:t>；</w:t>
      </w:r>
    </w:p>
    <w:p w14:paraId="404897DD">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）合同条款及格式；</w:t>
      </w:r>
    </w:p>
    <w:p w14:paraId="5F6C5368">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）委托人要求；</w:t>
      </w:r>
    </w:p>
    <w:p w14:paraId="231B7F08">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）投标文件格式；</w:t>
      </w:r>
    </w:p>
    <w:p w14:paraId="75AFA5B3">
      <w:pPr>
        <w:spacing w:line="400" w:lineRule="exact"/>
        <w:ind w:firstLine="359" w:firstLineChars="171"/>
        <w:rPr>
          <w:rFonts w:hint="eastAsia" w:ascii="宋体" w:hAnsi="宋体"/>
          <w:color w:val="auto"/>
          <w:highlight w:val="none"/>
          <w:u w:val="singl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w:t>
      </w:r>
      <w:r>
        <w:rPr>
          <w:rFonts w:hint="eastAsia" w:ascii="宋体" w:hAnsi="宋体"/>
          <w:color w:val="auto"/>
          <w:highlight w:val="none"/>
          <w:u w:val="single"/>
        </w:rPr>
        <w:t>否决性条款汇总；</w:t>
      </w:r>
    </w:p>
    <w:p w14:paraId="447DD0BA">
      <w:pPr>
        <w:spacing w:line="400" w:lineRule="exact"/>
        <w:ind w:firstLine="359" w:firstLineChars="171"/>
        <w:rPr>
          <w:rFonts w:hint="eastAsia" w:ascii="宋体" w:hAnsi="宋体"/>
          <w:color w:val="auto"/>
          <w:highlight w:val="none"/>
          <w:u w:val="single"/>
        </w:rPr>
      </w:pPr>
      <w:r>
        <w:rPr>
          <w:rFonts w:hint="eastAsia" w:ascii="宋体" w:hAnsi="宋体"/>
          <w:color w:val="auto"/>
          <w:highlight w:val="none"/>
          <w:u w:val="single"/>
        </w:rPr>
        <w:t>（8）投标人须知前附表规定的其他资料。</w:t>
      </w:r>
    </w:p>
    <w:p w14:paraId="59DF9512">
      <w:pPr>
        <w:spacing w:line="400" w:lineRule="exact"/>
        <w:ind w:firstLine="420" w:firstLineChars="200"/>
        <w:rPr>
          <w:rFonts w:ascii="宋体" w:hAnsi="宋体"/>
          <w:color w:val="auto"/>
          <w:highlight w:val="none"/>
        </w:rPr>
      </w:pPr>
      <w:r>
        <w:rPr>
          <w:rFonts w:hint="eastAsia" w:ascii="宋体" w:hAnsi="宋体"/>
          <w:color w:val="auto"/>
          <w:highlight w:val="none"/>
        </w:rPr>
        <w:t>根据本章第</w:t>
      </w:r>
      <w:r>
        <w:rPr>
          <w:rFonts w:ascii="宋体" w:hAnsi="宋体"/>
          <w:color w:val="auto"/>
          <w:highlight w:val="none"/>
        </w:rPr>
        <w:t>1.10</w:t>
      </w:r>
      <w:r>
        <w:rPr>
          <w:rFonts w:hint="eastAsia" w:ascii="宋体" w:hAnsi="宋体"/>
          <w:color w:val="auto"/>
          <w:highlight w:val="none"/>
        </w:rPr>
        <w:t>款、第</w:t>
      </w:r>
      <w:r>
        <w:rPr>
          <w:rFonts w:ascii="宋体" w:hAnsi="宋体"/>
          <w:color w:val="auto"/>
          <w:highlight w:val="none"/>
        </w:rPr>
        <w:t>2.2</w:t>
      </w:r>
      <w:r>
        <w:rPr>
          <w:rFonts w:hint="eastAsia" w:ascii="宋体" w:hAnsi="宋体"/>
          <w:color w:val="auto"/>
          <w:highlight w:val="none"/>
        </w:rPr>
        <w:t>款和第</w:t>
      </w:r>
      <w:r>
        <w:rPr>
          <w:rFonts w:ascii="宋体" w:hAnsi="宋体"/>
          <w:color w:val="auto"/>
          <w:highlight w:val="none"/>
        </w:rPr>
        <w:t>2.3</w:t>
      </w:r>
      <w:r>
        <w:rPr>
          <w:rFonts w:hint="eastAsia" w:ascii="宋体" w:hAnsi="宋体"/>
          <w:color w:val="auto"/>
          <w:highlight w:val="none"/>
        </w:rPr>
        <w:t>款对招标文件所作的澄清、修改，构成招标文件的组成部分。</w:t>
      </w:r>
    </w:p>
    <w:p w14:paraId="1DA824EC">
      <w:pPr>
        <w:pStyle w:val="4"/>
        <w:spacing w:line="240" w:lineRule="auto"/>
        <w:ind w:firstLine="137"/>
        <w:rPr>
          <w:rFonts w:ascii="宋体" w:hAnsi="宋体" w:eastAsia="宋体"/>
          <w:color w:val="auto"/>
          <w:highlight w:val="none"/>
        </w:rPr>
      </w:pPr>
      <w:bookmarkStart w:id="61" w:name="_Toc49506146"/>
      <w:bookmarkStart w:id="62" w:name="_Toc49509980"/>
      <w:r>
        <w:rPr>
          <w:rFonts w:ascii="宋体" w:hAnsi="宋体" w:eastAsia="宋体"/>
          <w:color w:val="auto"/>
          <w:highlight w:val="none"/>
        </w:rPr>
        <w:t xml:space="preserve">2.2 </w:t>
      </w:r>
      <w:r>
        <w:rPr>
          <w:rFonts w:hint="eastAsia" w:ascii="宋体" w:hAnsi="宋体" w:eastAsia="宋体"/>
          <w:color w:val="auto"/>
          <w:highlight w:val="none"/>
        </w:rPr>
        <w:t>招标文件的澄清</w:t>
      </w:r>
      <w:bookmarkEnd w:id="61"/>
      <w:bookmarkEnd w:id="62"/>
    </w:p>
    <w:p w14:paraId="34E71F35">
      <w:pPr>
        <w:spacing w:line="400" w:lineRule="exact"/>
        <w:ind w:firstLine="420" w:firstLineChars="200"/>
        <w:rPr>
          <w:rFonts w:ascii="宋体" w:hAnsi="宋体"/>
          <w:color w:val="auto"/>
          <w:highlight w:val="none"/>
        </w:rPr>
      </w:pPr>
      <w:r>
        <w:rPr>
          <w:rFonts w:ascii="宋体" w:hAnsi="宋体"/>
          <w:color w:val="auto"/>
          <w:highlight w:val="none"/>
        </w:rPr>
        <w:t>2.2.1</w:t>
      </w:r>
      <w:r>
        <w:rPr>
          <w:rFonts w:hint="eastAsia" w:ascii="宋体" w:hAnsi="宋体"/>
          <w:color w:val="auto"/>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DF47698">
      <w:pPr>
        <w:spacing w:line="400" w:lineRule="exact"/>
        <w:ind w:firstLine="420" w:firstLineChars="200"/>
        <w:rPr>
          <w:rFonts w:ascii="宋体" w:hAnsi="宋体"/>
          <w:color w:val="auto"/>
          <w:highlight w:val="none"/>
        </w:rPr>
      </w:pPr>
      <w:r>
        <w:rPr>
          <w:rFonts w:ascii="宋体" w:hAnsi="宋体"/>
          <w:color w:val="auto"/>
          <w:highlight w:val="none"/>
        </w:rPr>
        <w:t>2.2.2</w:t>
      </w:r>
      <w:r>
        <w:rPr>
          <w:rFonts w:hint="eastAsia" w:ascii="宋体" w:hAnsi="宋体"/>
          <w:color w:val="auto"/>
          <w:highlight w:val="none"/>
        </w:rPr>
        <w:t>招标文件的澄清以投标人须知前附表规定的形式发给所有</w:t>
      </w:r>
      <w:r>
        <w:rPr>
          <w:rFonts w:hint="eastAsia" w:ascii="宋体" w:hAnsi="宋体"/>
          <w:color w:val="auto"/>
          <w:highlight w:val="none"/>
          <w:u w:val="single"/>
          <w:lang w:val="en-US" w:eastAsia="zh-CN"/>
        </w:rPr>
        <w:t>投标登记</w:t>
      </w:r>
      <w:r>
        <w:rPr>
          <w:rFonts w:hint="eastAsia" w:ascii="宋体" w:hAnsi="宋体"/>
          <w:color w:val="auto"/>
          <w:highlight w:val="none"/>
        </w:rPr>
        <w:t>的投标人，但不指明澄清问题的来源。澄清发出的时间距本章第</w:t>
      </w:r>
      <w:r>
        <w:rPr>
          <w:rFonts w:ascii="宋体" w:hAnsi="宋体"/>
          <w:color w:val="auto"/>
          <w:highlight w:val="none"/>
        </w:rPr>
        <w:t>4.2.1</w:t>
      </w:r>
      <w:r>
        <w:rPr>
          <w:rFonts w:hint="eastAsia" w:ascii="宋体" w:hAnsi="宋体"/>
          <w:color w:val="auto"/>
          <w:highlight w:val="none"/>
        </w:rPr>
        <w:t>项规定的投标截止时间不足</w:t>
      </w:r>
      <w:r>
        <w:rPr>
          <w:rFonts w:ascii="宋体" w:hAnsi="宋体"/>
          <w:color w:val="auto"/>
          <w:highlight w:val="none"/>
        </w:rPr>
        <w:t>15</w:t>
      </w:r>
      <w:r>
        <w:rPr>
          <w:rFonts w:hint="eastAsia" w:ascii="宋体" w:hAnsi="宋体"/>
          <w:color w:val="auto"/>
          <w:highlight w:val="none"/>
        </w:rPr>
        <w:t>日的，并且澄清内容可能影响投标文件编制的，将相应延长投标截止时间。</w:t>
      </w:r>
    </w:p>
    <w:p w14:paraId="29E2FD4C">
      <w:pPr>
        <w:spacing w:line="400" w:lineRule="exact"/>
        <w:ind w:firstLine="420" w:firstLineChars="200"/>
        <w:rPr>
          <w:rFonts w:ascii="宋体" w:hAnsi="宋体"/>
          <w:color w:val="auto"/>
          <w:highlight w:val="none"/>
        </w:rPr>
      </w:pPr>
      <w:r>
        <w:rPr>
          <w:rFonts w:ascii="宋体" w:hAnsi="宋体"/>
          <w:color w:val="auto"/>
          <w:highlight w:val="none"/>
        </w:rPr>
        <w:t>2.2.3</w:t>
      </w:r>
      <w:r>
        <w:rPr>
          <w:rFonts w:hint="eastAsia" w:ascii="宋体" w:hAnsi="宋体"/>
          <w:color w:val="auto"/>
          <w:highlight w:val="none"/>
        </w:rPr>
        <w:t>投标人在收到澄清后，应按投标人须知前附表规定的时间和形式通知招标人，确认已收到该澄清。</w:t>
      </w:r>
    </w:p>
    <w:p w14:paraId="19B37C92">
      <w:pPr>
        <w:spacing w:line="400" w:lineRule="exact"/>
        <w:ind w:firstLine="420" w:firstLineChars="200"/>
        <w:rPr>
          <w:rFonts w:ascii="宋体" w:hAnsi="宋体"/>
          <w:color w:val="auto"/>
          <w:highlight w:val="none"/>
        </w:rPr>
      </w:pPr>
      <w:r>
        <w:rPr>
          <w:rFonts w:ascii="宋体" w:hAnsi="宋体"/>
          <w:color w:val="auto"/>
          <w:highlight w:val="none"/>
        </w:rPr>
        <w:t>2.2.4</w:t>
      </w:r>
      <w:r>
        <w:rPr>
          <w:rFonts w:hint="eastAsia" w:ascii="宋体" w:hAnsi="宋体"/>
          <w:color w:val="auto"/>
          <w:highlight w:val="none"/>
        </w:rPr>
        <w:t>除非招标人认为确有必要答复，否则，招标人有权拒绝回复投标人在本章第</w:t>
      </w:r>
      <w:r>
        <w:rPr>
          <w:rFonts w:ascii="宋体" w:hAnsi="宋体"/>
          <w:color w:val="auto"/>
          <w:highlight w:val="none"/>
        </w:rPr>
        <w:t>2.2.1</w:t>
      </w:r>
      <w:r>
        <w:rPr>
          <w:rFonts w:hint="eastAsia" w:ascii="宋体" w:hAnsi="宋体"/>
          <w:color w:val="auto"/>
          <w:highlight w:val="none"/>
        </w:rPr>
        <w:t>项规定的时间后的任何澄清要求。</w:t>
      </w:r>
    </w:p>
    <w:p w14:paraId="7A631412">
      <w:pPr>
        <w:pStyle w:val="4"/>
        <w:spacing w:line="240" w:lineRule="auto"/>
        <w:ind w:firstLine="137"/>
        <w:rPr>
          <w:rFonts w:ascii="宋体" w:hAnsi="宋体" w:eastAsia="宋体"/>
          <w:color w:val="auto"/>
          <w:highlight w:val="none"/>
        </w:rPr>
      </w:pPr>
      <w:bookmarkStart w:id="63" w:name="_Toc49506147"/>
      <w:bookmarkStart w:id="64" w:name="_Toc49509981"/>
      <w:bookmarkStart w:id="65" w:name="_Toc352691479"/>
      <w:r>
        <w:rPr>
          <w:rFonts w:ascii="宋体" w:hAnsi="宋体" w:eastAsia="宋体"/>
          <w:color w:val="auto"/>
          <w:highlight w:val="none"/>
        </w:rPr>
        <w:t xml:space="preserve">2.3 </w:t>
      </w:r>
      <w:r>
        <w:rPr>
          <w:rFonts w:hint="eastAsia" w:ascii="宋体" w:hAnsi="宋体" w:eastAsia="宋体"/>
          <w:color w:val="auto"/>
          <w:highlight w:val="none"/>
        </w:rPr>
        <w:t>招标文件的修</w:t>
      </w:r>
      <w:bookmarkStart w:id="66" w:name="_Toc369531521"/>
      <w:bookmarkStart w:id="67" w:name="_Toc16514"/>
      <w:r>
        <w:rPr>
          <w:rFonts w:hint="eastAsia" w:ascii="宋体" w:hAnsi="宋体" w:eastAsia="宋体"/>
          <w:color w:val="auto"/>
          <w:highlight w:val="none"/>
        </w:rPr>
        <w:t>改</w:t>
      </w:r>
      <w:bookmarkEnd w:id="63"/>
      <w:bookmarkEnd w:id="64"/>
    </w:p>
    <w:p w14:paraId="28AE478E">
      <w:pPr>
        <w:spacing w:line="400" w:lineRule="exact"/>
        <w:ind w:firstLine="420" w:firstLineChars="200"/>
        <w:rPr>
          <w:rFonts w:ascii="宋体" w:hAnsi="宋体"/>
          <w:color w:val="auto"/>
          <w:highlight w:val="none"/>
        </w:rPr>
      </w:pPr>
      <w:r>
        <w:rPr>
          <w:rFonts w:ascii="宋体" w:hAnsi="宋体"/>
          <w:color w:val="auto"/>
          <w:highlight w:val="none"/>
        </w:rPr>
        <w:t>2.3.1</w:t>
      </w:r>
      <w:r>
        <w:rPr>
          <w:rFonts w:hint="eastAsia" w:ascii="宋体" w:hAnsi="宋体"/>
          <w:color w:val="auto"/>
          <w:highlight w:val="none"/>
        </w:rPr>
        <w:t>招标人以投标人须知前附表规定的形式修改招标文件，并通知所有</w:t>
      </w:r>
      <w:r>
        <w:rPr>
          <w:rFonts w:hint="eastAsia" w:ascii="宋体" w:hAnsi="宋体"/>
          <w:color w:val="auto"/>
          <w:highlight w:val="none"/>
          <w:u w:val="single"/>
          <w:lang w:val="en-US" w:eastAsia="zh-CN"/>
        </w:rPr>
        <w:t>投标登记</w:t>
      </w:r>
      <w:r>
        <w:rPr>
          <w:rFonts w:hint="eastAsia" w:ascii="宋体" w:hAnsi="宋体"/>
          <w:color w:val="auto"/>
          <w:highlight w:val="none"/>
        </w:rPr>
        <w:t>的投标人。修改招标文件的时间距本章第</w:t>
      </w:r>
      <w:r>
        <w:rPr>
          <w:rFonts w:ascii="宋体" w:hAnsi="宋体"/>
          <w:color w:val="auto"/>
          <w:highlight w:val="none"/>
        </w:rPr>
        <w:t>4.2.1</w:t>
      </w:r>
      <w:r>
        <w:rPr>
          <w:rFonts w:hint="eastAsia" w:ascii="宋体" w:hAnsi="宋体"/>
          <w:color w:val="auto"/>
          <w:highlight w:val="none"/>
        </w:rPr>
        <w:t>项规定的投标截止时间不足</w:t>
      </w:r>
      <w:r>
        <w:rPr>
          <w:rFonts w:ascii="宋体" w:hAnsi="宋体"/>
          <w:color w:val="auto"/>
          <w:highlight w:val="none"/>
        </w:rPr>
        <w:t>15</w:t>
      </w:r>
      <w:r>
        <w:rPr>
          <w:rFonts w:hint="eastAsia" w:ascii="宋体" w:hAnsi="宋体"/>
          <w:color w:val="auto"/>
          <w:highlight w:val="none"/>
        </w:rPr>
        <w:t>日的，并且修改内容可能影响投标文件编制的，将相应延长投标截止时间。</w:t>
      </w:r>
    </w:p>
    <w:bookmarkEnd w:id="65"/>
    <w:bookmarkEnd w:id="66"/>
    <w:bookmarkEnd w:id="67"/>
    <w:p w14:paraId="0AB842D9">
      <w:pPr>
        <w:spacing w:line="400" w:lineRule="exact"/>
        <w:ind w:firstLine="420" w:firstLineChars="200"/>
        <w:rPr>
          <w:rFonts w:ascii="宋体" w:hAnsi="宋体"/>
          <w:color w:val="auto"/>
          <w:highlight w:val="none"/>
        </w:rPr>
      </w:pPr>
      <w:r>
        <w:rPr>
          <w:rFonts w:ascii="宋体" w:hAnsi="宋体"/>
          <w:color w:val="auto"/>
          <w:highlight w:val="none"/>
        </w:rPr>
        <w:t>2.3.2</w:t>
      </w:r>
      <w:r>
        <w:rPr>
          <w:rFonts w:hint="eastAsia" w:ascii="宋体" w:hAnsi="宋体"/>
          <w:color w:val="auto"/>
          <w:highlight w:val="none"/>
        </w:rPr>
        <w:t>投标人收到修改内容</w:t>
      </w:r>
      <w:bookmarkStart w:id="68" w:name="_Toc369531524"/>
      <w:bookmarkStart w:id="69" w:name="_Toc247527562"/>
      <w:bookmarkStart w:id="70" w:name="_Toc152045538"/>
      <w:bookmarkStart w:id="71" w:name="_Toc24632"/>
      <w:bookmarkStart w:id="72" w:name="_Toc384308218"/>
      <w:bookmarkStart w:id="73" w:name="_Toc300834958"/>
      <w:bookmarkStart w:id="74" w:name="_Toc352691482"/>
      <w:bookmarkStart w:id="75" w:name="_Toc152042314"/>
      <w:bookmarkStart w:id="76" w:name="_Toc247513961"/>
      <w:bookmarkStart w:id="77" w:name="_Toc361508593"/>
      <w:bookmarkStart w:id="78" w:name="_Toc144974506"/>
      <w:r>
        <w:rPr>
          <w:rFonts w:hint="eastAsia" w:ascii="宋体" w:hAnsi="宋体"/>
          <w:color w:val="auto"/>
          <w:highlight w:val="none"/>
        </w:rPr>
        <w:t>后，</w:t>
      </w:r>
      <w:bookmarkEnd w:id="68"/>
      <w:bookmarkEnd w:id="69"/>
      <w:bookmarkEnd w:id="70"/>
      <w:bookmarkEnd w:id="71"/>
      <w:bookmarkEnd w:id="72"/>
      <w:bookmarkEnd w:id="73"/>
      <w:bookmarkEnd w:id="74"/>
      <w:bookmarkEnd w:id="75"/>
      <w:bookmarkEnd w:id="76"/>
      <w:bookmarkEnd w:id="77"/>
      <w:bookmarkEnd w:id="78"/>
      <w:bookmarkStart w:id="79" w:name="_Toc16623"/>
      <w:bookmarkStart w:id="80" w:name="_Toc369531526"/>
      <w:bookmarkStart w:id="81" w:name="_Toc152045540"/>
      <w:bookmarkStart w:id="82" w:name="_Toc300834960"/>
      <w:bookmarkStart w:id="83" w:name="_Toc352691484"/>
      <w:bookmarkStart w:id="84" w:name="_Toc144974508"/>
      <w:bookmarkStart w:id="85" w:name="_Toc152042316"/>
      <w:bookmarkStart w:id="86" w:name="_Toc384308220"/>
      <w:bookmarkStart w:id="87" w:name="_Toc361508595"/>
      <w:bookmarkStart w:id="88" w:name="_Toc247527564"/>
      <w:bookmarkStart w:id="89" w:name="_Toc247513963"/>
      <w:r>
        <w:rPr>
          <w:rFonts w:hint="eastAsia" w:ascii="宋体" w:hAnsi="宋体"/>
          <w:color w:val="auto"/>
          <w:highlight w:val="none"/>
        </w:rPr>
        <w:t>应按投标人须知前附表规定的时间和形式通知招标人，确认已收到该修改。</w:t>
      </w:r>
    </w:p>
    <w:p w14:paraId="6D868A73">
      <w:pPr>
        <w:pStyle w:val="4"/>
        <w:spacing w:line="240" w:lineRule="auto"/>
        <w:ind w:firstLine="137"/>
        <w:rPr>
          <w:rFonts w:ascii="宋体" w:hAnsi="宋体" w:eastAsia="宋体"/>
          <w:color w:val="auto"/>
          <w:highlight w:val="none"/>
        </w:rPr>
      </w:pPr>
      <w:bookmarkStart w:id="90" w:name="_Toc49509982"/>
      <w:bookmarkStart w:id="91" w:name="_Toc49506148"/>
      <w:r>
        <w:rPr>
          <w:rFonts w:ascii="宋体" w:hAnsi="宋体" w:eastAsia="宋体"/>
          <w:color w:val="auto"/>
          <w:highlight w:val="none"/>
        </w:rPr>
        <w:t>2.</w:t>
      </w:r>
      <w:bookmarkEnd w:id="79"/>
      <w:bookmarkEnd w:id="80"/>
      <w:bookmarkEnd w:id="81"/>
      <w:bookmarkEnd w:id="82"/>
      <w:bookmarkEnd w:id="83"/>
      <w:bookmarkEnd w:id="84"/>
      <w:bookmarkEnd w:id="85"/>
      <w:bookmarkEnd w:id="86"/>
      <w:bookmarkEnd w:id="87"/>
      <w:bookmarkEnd w:id="88"/>
      <w:bookmarkEnd w:id="89"/>
      <w:r>
        <w:rPr>
          <w:rFonts w:ascii="宋体" w:hAnsi="宋体" w:eastAsia="宋体"/>
          <w:color w:val="auto"/>
          <w:highlight w:val="none"/>
        </w:rPr>
        <w:t xml:space="preserve">4 </w:t>
      </w:r>
      <w:r>
        <w:rPr>
          <w:rFonts w:hint="eastAsia" w:ascii="宋体" w:hAnsi="宋体" w:eastAsia="宋体"/>
          <w:color w:val="auto"/>
          <w:highlight w:val="none"/>
        </w:rPr>
        <w:t>招标文件的异议</w:t>
      </w:r>
      <w:bookmarkEnd w:id="90"/>
      <w:bookmarkEnd w:id="91"/>
    </w:p>
    <w:p w14:paraId="7DCE7099">
      <w:pPr>
        <w:spacing w:line="400" w:lineRule="exact"/>
        <w:ind w:firstLine="420" w:firstLineChars="200"/>
        <w:rPr>
          <w:rFonts w:hint="eastAsia" w:ascii="宋体" w:hAnsi="宋体"/>
          <w:color w:val="auto"/>
          <w:highlight w:val="none"/>
        </w:rPr>
      </w:pPr>
      <w:r>
        <w:rPr>
          <w:rFonts w:hint="eastAsia" w:ascii="宋体" w:hAnsi="宋体"/>
          <w:color w:val="auto"/>
          <w:highlight w:val="none"/>
        </w:rPr>
        <w:t>投标人或者其他利害关系人对招标文件有异议的，应当在投标截止时间</w:t>
      </w:r>
      <w:r>
        <w:rPr>
          <w:rFonts w:ascii="宋体" w:hAnsi="宋体"/>
          <w:color w:val="auto"/>
          <w:highlight w:val="none"/>
        </w:rPr>
        <w:t>10</w:t>
      </w:r>
      <w:r>
        <w:rPr>
          <w:rFonts w:hint="eastAsia" w:ascii="宋体" w:hAnsi="宋体"/>
          <w:color w:val="auto"/>
          <w:highlight w:val="none"/>
        </w:rPr>
        <w:t>日前以书面形式提出。招标人将在收到异议之日起</w:t>
      </w:r>
      <w:r>
        <w:rPr>
          <w:rFonts w:ascii="宋体" w:hAnsi="宋体"/>
          <w:color w:val="auto"/>
          <w:highlight w:val="none"/>
        </w:rPr>
        <w:t>3</w:t>
      </w:r>
      <w:r>
        <w:rPr>
          <w:rFonts w:hint="eastAsia" w:ascii="宋体" w:hAnsi="宋体"/>
          <w:color w:val="auto"/>
          <w:highlight w:val="none"/>
        </w:rPr>
        <w:t>日内作出答复；作出答复前，将暂停招标投标活动。</w:t>
      </w:r>
    </w:p>
    <w:p w14:paraId="744518CC">
      <w:pPr>
        <w:spacing w:line="400" w:lineRule="exact"/>
        <w:ind w:firstLine="420" w:firstLineChars="200"/>
        <w:rPr>
          <w:rFonts w:hint="eastAsia" w:ascii="宋体" w:hAnsi="宋体"/>
          <w:color w:val="auto"/>
          <w:highlight w:val="none"/>
        </w:rPr>
      </w:pPr>
      <w:r>
        <w:rPr>
          <w:rFonts w:hint="eastAsia" w:ascii="宋体" w:hAnsi="宋体"/>
          <w:color w:val="auto"/>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81EA8DB">
      <w:pPr>
        <w:pStyle w:val="2"/>
        <w:rPr>
          <w:rFonts w:ascii="宋体" w:hAnsi="宋体" w:eastAsia="宋体"/>
          <w:color w:val="auto"/>
          <w:highlight w:val="none"/>
        </w:rPr>
      </w:pPr>
      <w:bookmarkStart w:id="92" w:name="_Toc49509983"/>
      <w:r>
        <w:rPr>
          <w:rFonts w:ascii="宋体" w:hAnsi="宋体" w:eastAsia="宋体"/>
          <w:color w:val="auto"/>
          <w:highlight w:val="none"/>
        </w:rPr>
        <w:t xml:space="preserve">3. </w:t>
      </w:r>
      <w:r>
        <w:rPr>
          <w:rFonts w:hint="eastAsia" w:ascii="宋体" w:hAnsi="宋体" w:eastAsia="宋体"/>
          <w:color w:val="auto"/>
          <w:highlight w:val="none"/>
        </w:rPr>
        <w:t>投标文件</w:t>
      </w:r>
      <w:bookmarkEnd w:id="92"/>
    </w:p>
    <w:p w14:paraId="1898A527">
      <w:pPr>
        <w:pStyle w:val="4"/>
        <w:spacing w:line="240" w:lineRule="auto"/>
        <w:ind w:firstLine="137"/>
        <w:rPr>
          <w:rFonts w:ascii="宋体" w:hAnsi="宋体" w:eastAsia="宋体"/>
          <w:color w:val="auto"/>
          <w:highlight w:val="none"/>
        </w:rPr>
      </w:pPr>
      <w:bookmarkStart w:id="93" w:name="_Toc49509984"/>
      <w:bookmarkStart w:id="94" w:name="_Toc49506150"/>
      <w:r>
        <w:rPr>
          <w:rFonts w:ascii="宋体" w:hAnsi="宋体" w:eastAsia="宋体"/>
          <w:color w:val="auto"/>
          <w:highlight w:val="none"/>
        </w:rPr>
        <w:t xml:space="preserve">3.1 </w:t>
      </w:r>
      <w:r>
        <w:rPr>
          <w:rFonts w:hint="eastAsia" w:ascii="宋体" w:hAnsi="宋体" w:eastAsia="宋体"/>
          <w:color w:val="auto"/>
          <w:highlight w:val="none"/>
        </w:rPr>
        <w:t>投标文件的组成</w:t>
      </w:r>
      <w:bookmarkEnd w:id="93"/>
      <w:bookmarkEnd w:id="94"/>
    </w:p>
    <w:p w14:paraId="150BA937">
      <w:pPr>
        <w:spacing w:line="360" w:lineRule="auto"/>
        <w:ind w:firstLine="420" w:firstLineChars="200"/>
        <w:rPr>
          <w:rFonts w:ascii="宋体" w:hAnsi="宋体"/>
          <w:color w:val="auto"/>
          <w:highlight w:val="none"/>
        </w:rPr>
      </w:pPr>
      <w:r>
        <w:rPr>
          <w:rFonts w:ascii="宋体" w:hAnsi="宋体"/>
          <w:color w:val="auto"/>
          <w:highlight w:val="none"/>
        </w:rPr>
        <w:t>3.1.1投标文件应</w:t>
      </w:r>
      <w:r>
        <w:rPr>
          <w:rFonts w:hint="eastAsia" w:ascii="宋体" w:hAnsi="宋体"/>
          <w:color w:val="auto"/>
          <w:highlight w:val="none"/>
        </w:rPr>
        <w:t>包括下列内容：</w:t>
      </w:r>
    </w:p>
    <w:p w14:paraId="0DD449F7">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（1）投标函及投标函附录；</w:t>
      </w:r>
    </w:p>
    <w:p w14:paraId="5DE9E243">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（2）法定代表人身份证明</w:t>
      </w:r>
      <w:r>
        <w:rPr>
          <w:rFonts w:hint="eastAsia" w:ascii="宋体" w:hAnsi="宋体"/>
          <w:color w:val="auto"/>
          <w:kern w:val="0"/>
          <w:szCs w:val="24"/>
          <w:highlight w:val="none"/>
          <w:lang w:eastAsia="zh-CN"/>
        </w:rPr>
        <w:t>、</w:t>
      </w:r>
      <w:r>
        <w:rPr>
          <w:rFonts w:hint="eastAsia" w:ascii="宋体" w:hAnsi="宋体"/>
          <w:color w:val="auto"/>
          <w:kern w:val="0"/>
          <w:szCs w:val="24"/>
          <w:highlight w:val="none"/>
        </w:rPr>
        <w:t>授</w:t>
      </w:r>
      <w:bookmarkStart w:id="439" w:name="_GoBack"/>
      <w:bookmarkEnd w:id="439"/>
      <w:r>
        <w:rPr>
          <w:rFonts w:hint="eastAsia" w:ascii="宋体" w:hAnsi="宋体"/>
          <w:color w:val="auto"/>
          <w:kern w:val="0"/>
          <w:szCs w:val="24"/>
          <w:highlight w:val="none"/>
        </w:rPr>
        <w:t>权委托书；</w:t>
      </w:r>
    </w:p>
    <w:p w14:paraId="5A776FDC">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3）联合体协议书；</w:t>
      </w:r>
    </w:p>
    <w:p w14:paraId="0DDEB1F7">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4）投标保证金</w:t>
      </w:r>
      <w:r>
        <w:rPr>
          <w:rFonts w:hint="eastAsia" w:ascii="宋体" w:hAnsi="宋体"/>
          <w:strike/>
          <w:color w:val="auto"/>
          <w:kern w:val="0"/>
          <w:szCs w:val="24"/>
          <w:highlight w:val="none"/>
        </w:rPr>
        <w:t>；</w:t>
      </w:r>
    </w:p>
    <w:p w14:paraId="776CBBEF">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（5）监理报酬清单；</w:t>
      </w:r>
    </w:p>
    <w:p w14:paraId="471194B9">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（6）资格审查资料；</w:t>
      </w:r>
    </w:p>
    <w:p w14:paraId="78E54F76">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（7）监理大纲；</w:t>
      </w:r>
    </w:p>
    <w:p w14:paraId="347EF5F1">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（8）投标人须知前附表规定的其他资料。</w:t>
      </w:r>
    </w:p>
    <w:p w14:paraId="244ACB90">
      <w:pPr>
        <w:spacing w:line="400" w:lineRule="exact"/>
        <w:ind w:firstLine="420" w:firstLineChars="200"/>
        <w:rPr>
          <w:rFonts w:ascii="宋体" w:hAnsi="宋体"/>
          <w:color w:val="auto"/>
          <w:highlight w:val="none"/>
        </w:rPr>
      </w:pPr>
      <w:r>
        <w:rPr>
          <w:rFonts w:ascii="宋体" w:hAnsi="宋体"/>
          <w:color w:val="auto"/>
          <w:highlight w:val="none"/>
        </w:rPr>
        <w:t>投标人在评标过程中作出的符合法律法规和招标文件规定的澄清确认，构成投标文件的组成部分。</w:t>
      </w:r>
    </w:p>
    <w:p w14:paraId="4EA83DA1">
      <w:pPr>
        <w:spacing w:line="400" w:lineRule="exact"/>
        <w:ind w:firstLine="359" w:firstLineChars="171"/>
        <w:rPr>
          <w:rFonts w:ascii="宋体" w:hAnsi="宋体"/>
          <w:strike/>
          <w:color w:val="auto"/>
          <w:highlight w:val="none"/>
        </w:rPr>
      </w:pPr>
      <w:r>
        <w:rPr>
          <w:rFonts w:ascii="宋体" w:hAnsi="宋体"/>
          <w:strike/>
          <w:color w:val="auto"/>
          <w:highlight w:val="none"/>
        </w:rPr>
        <w:t>3.1.2投标人须知前附表规定不接受联合体投标的，或投标人没有组成联合体的，投标文件不包括本章第3.1.1（3）目所指的联合体协议书。</w:t>
      </w:r>
    </w:p>
    <w:p w14:paraId="73C0A8D3">
      <w:pPr>
        <w:spacing w:line="400" w:lineRule="exact"/>
        <w:ind w:firstLine="359" w:firstLineChars="171"/>
        <w:rPr>
          <w:rFonts w:ascii="宋体" w:hAnsi="宋体"/>
          <w:color w:val="auto"/>
          <w:highlight w:val="none"/>
        </w:rPr>
      </w:pPr>
      <w:r>
        <w:rPr>
          <w:rFonts w:ascii="宋体" w:hAnsi="宋体"/>
          <w:strike/>
          <w:color w:val="auto"/>
          <w:highlight w:val="none"/>
        </w:rPr>
        <w:t>3.1.3投标人须知前附表未要求提交投标保证金的，投标文件不包括本章第3.1.1（4）目所指的投标保证金。</w:t>
      </w:r>
    </w:p>
    <w:p w14:paraId="55EA0127">
      <w:pPr>
        <w:pStyle w:val="4"/>
        <w:spacing w:line="240" w:lineRule="auto"/>
        <w:ind w:firstLine="137"/>
        <w:rPr>
          <w:rFonts w:ascii="宋体" w:hAnsi="宋体" w:eastAsia="宋体"/>
          <w:color w:val="auto"/>
          <w:highlight w:val="none"/>
        </w:rPr>
      </w:pPr>
      <w:bookmarkStart w:id="95" w:name="_Toc49506151"/>
      <w:bookmarkStart w:id="96" w:name="_Toc49509985"/>
      <w:r>
        <w:rPr>
          <w:rFonts w:ascii="宋体" w:hAnsi="宋体" w:eastAsia="宋体"/>
          <w:color w:val="auto"/>
          <w:highlight w:val="none"/>
        </w:rPr>
        <w:t xml:space="preserve">3.2 </w:t>
      </w:r>
      <w:r>
        <w:rPr>
          <w:rFonts w:hint="eastAsia" w:ascii="宋体" w:hAnsi="宋体" w:eastAsia="宋体"/>
          <w:color w:val="auto"/>
          <w:highlight w:val="none"/>
        </w:rPr>
        <w:t>投标报价</w:t>
      </w:r>
      <w:bookmarkEnd w:id="95"/>
      <w:bookmarkEnd w:id="96"/>
    </w:p>
    <w:p w14:paraId="08ECDA66">
      <w:pPr>
        <w:spacing w:line="400" w:lineRule="exact"/>
        <w:ind w:firstLine="420" w:firstLineChars="200"/>
        <w:rPr>
          <w:rFonts w:ascii="宋体" w:hAnsi="宋体"/>
          <w:color w:val="auto"/>
          <w:highlight w:val="none"/>
        </w:rPr>
      </w:pPr>
      <w:r>
        <w:rPr>
          <w:rFonts w:ascii="宋体" w:hAnsi="宋体"/>
          <w:color w:val="auto"/>
          <w:highlight w:val="none"/>
        </w:rPr>
        <w:t>3.2.1投标报价应包括国家规定的增值税税金，除投标人须知前附表另有规定外，增值税税金按一般计税方法计算。投标人应按第六章“投标文件格式”的要求在投标函中进行报价并填写报酬清单。</w:t>
      </w:r>
    </w:p>
    <w:p w14:paraId="738920DA">
      <w:pPr>
        <w:spacing w:line="400" w:lineRule="exact"/>
        <w:ind w:firstLine="420" w:firstLineChars="200"/>
        <w:rPr>
          <w:rFonts w:ascii="宋体" w:hAnsi="宋体"/>
          <w:color w:val="auto"/>
          <w:highlight w:val="none"/>
        </w:rPr>
      </w:pPr>
      <w:r>
        <w:rPr>
          <w:rFonts w:ascii="宋体" w:hAnsi="宋体"/>
          <w:color w:val="auto"/>
          <w:highlight w:val="none"/>
        </w:rPr>
        <w:t>3.2.2投标人应充分了解该项目的总体情况以及影响投标报价的其他要素。</w:t>
      </w:r>
    </w:p>
    <w:p w14:paraId="2A25330B">
      <w:pPr>
        <w:spacing w:line="400" w:lineRule="exact"/>
        <w:ind w:firstLine="420" w:firstLineChars="200"/>
        <w:rPr>
          <w:rFonts w:ascii="宋体" w:hAnsi="宋体"/>
          <w:color w:val="auto"/>
          <w:highlight w:val="none"/>
        </w:rPr>
      </w:pPr>
      <w:r>
        <w:rPr>
          <w:rFonts w:ascii="宋体" w:hAnsi="宋体"/>
          <w:color w:val="auto"/>
          <w:highlight w:val="none"/>
        </w:rPr>
        <w:t>3.2.3</w:t>
      </w:r>
      <w:bookmarkStart w:id="97" w:name="_Toc352691487"/>
      <w:bookmarkEnd w:id="97"/>
      <w:bookmarkStart w:id="98" w:name="_Toc300834964"/>
      <w:bookmarkEnd w:id="98"/>
      <w:bookmarkStart w:id="99" w:name="_Toc152045543"/>
      <w:bookmarkEnd w:id="99"/>
      <w:bookmarkStart w:id="100" w:name="_Toc15242"/>
      <w:bookmarkEnd w:id="100"/>
      <w:bookmarkStart w:id="101" w:name="_Toc144974511"/>
      <w:bookmarkEnd w:id="101"/>
      <w:bookmarkStart w:id="102" w:name="_Toc361508599"/>
      <w:bookmarkEnd w:id="102"/>
      <w:bookmarkStart w:id="103" w:name="_Toc384308224"/>
      <w:bookmarkEnd w:id="103"/>
      <w:bookmarkStart w:id="104" w:name="_Toc152042319"/>
      <w:bookmarkEnd w:id="104"/>
      <w:bookmarkStart w:id="105" w:name="_Toc247513967"/>
      <w:bookmarkEnd w:id="105"/>
      <w:bookmarkStart w:id="106" w:name="_Toc369531530"/>
      <w:bookmarkEnd w:id="106"/>
      <w:bookmarkStart w:id="107" w:name="_Toc247527568"/>
      <w:bookmarkEnd w:id="107"/>
      <w:r>
        <w:rPr>
          <w:rFonts w:hint="eastAsia" w:ascii="宋体" w:hAnsi="宋体"/>
          <w:color w:val="auto"/>
          <w:highlight w:val="none"/>
        </w:rPr>
        <w:t>本项目的报价方式见投标人须知前附表。</w:t>
      </w:r>
      <w:r>
        <w:rPr>
          <w:rFonts w:ascii="宋体" w:hAnsi="宋体"/>
          <w:color w:val="auto"/>
          <w:highlight w:val="none"/>
        </w:rPr>
        <w:t>投标人在投标截止时间前修改投标函中的投标报价总额，应同时修改投标文件“</w:t>
      </w:r>
      <w:r>
        <w:rPr>
          <w:rFonts w:hint="eastAsia" w:ascii="宋体" w:hAnsi="宋体"/>
          <w:color w:val="auto"/>
          <w:highlight w:val="none"/>
        </w:rPr>
        <w:t>投标报价表</w:t>
      </w:r>
      <w:r>
        <w:rPr>
          <w:rFonts w:ascii="宋体" w:hAnsi="宋体"/>
          <w:color w:val="auto"/>
          <w:highlight w:val="none"/>
        </w:rPr>
        <w:t>”中的相应报价。此修改须符合本章第4.3款的有关要求。</w:t>
      </w:r>
    </w:p>
    <w:p w14:paraId="3EAA632B">
      <w:pPr>
        <w:spacing w:line="400" w:lineRule="exact"/>
        <w:ind w:firstLine="420" w:firstLineChars="200"/>
        <w:rPr>
          <w:rFonts w:ascii="宋体" w:hAnsi="宋体"/>
          <w:color w:val="auto"/>
          <w:highlight w:val="none"/>
        </w:rPr>
      </w:pPr>
      <w:r>
        <w:rPr>
          <w:rFonts w:ascii="宋体" w:hAnsi="宋体"/>
          <w:color w:val="auto"/>
          <w:highlight w:val="none"/>
        </w:rPr>
        <w:t>3.2.4招标人设有最高投标限价的，投标人的投标报价不得超过最高投标限价，最高投标限价在投标</w:t>
      </w:r>
      <w:bookmarkStart w:id="108" w:name="_Toc352691488"/>
      <w:bookmarkStart w:id="109" w:name="_Toc10429"/>
      <w:bookmarkStart w:id="110" w:name="_Toc247527569"/>
      <w:bookmarkStart w:id="111" w:name="_Toc300834965"/>
      <w:bookmarkStart w:id="112" w:name="_Toc152042320"/>
      <w:bookmarkStart w:id="113" w:name="_Toc361508600"/>
      <w:bookmarkStart w:id="114" w:name="_Toc144974512"/>
      <w:bookmarkStart w:id="115" w:name="_Toc369531531"/>
      <w:bookmarkStart w:id="116" w:name="_Toc384308225"/>
      <w:bookmarkStart w:id="117" w:name="_Toc152045544"/>
      <w:bookmarkStart w:id="118" w:name="_Toc247513968"/>
      <w:r>
        <w:rPr>
          <w:rFonts w:ascii="宋体" w:hAnsi="宋体"/>
          <w:color w:val="auto"/>
          <w:highlight w:val="none"/>
        </w:rPr>
        <w:t>人须知前附表中载明。</w:t>
      </w:r>
      <w:bookmarkEnd w:id="108"/>
      <w:bookmarkEnd w:id="109"/>
      <w:bookmarkEnd w:id="110"/>
      <w:bookmarkEnd w:id="111"/>
      <w:bookmarkEnd w:id="112"/>
      <w:bookmarkEnd w:id="113"/>
      <w:bookmarkEnd w:id="114"/>
      <w:bookmarkEnd w:id="115"/>
      <w:bookmarkEnd w:id="116"/>
      <w:bookmarkEnd w:id="117"/>
      <w:bookmarkEnd w:id="118"/>
    </w:p>
    <w:p w14:paraId="0E9F555B">
      <w:pPr>
        <w:spacing w:line="400" w:lineRule="exact"/>
        <w:ind w:firstLine="420" w:firstLineChars="200"/>
        <w:rPr>
          <w:rFonts w:ascii="宋体" w:hAnsi="宋体"/>
          <w:color w:val="auto"/>
          <w:highlight w:val="none"/>
        </w:rPr>
      </w:pPr>
      <w:r>
        <w:rPr>
          <w:rFonts w:ascii="宋体" w:hAnsi="宋体"/>
          <w:color w:val="auto"/>
          <w:highlight w:val="none"/>
        </w:rPr>
        <w:t xml:space="preserve">3.2.5 </w:t>
      </w:r>
      <w:r>
        <w:rPr>
          <w:rFonts w:hint="eastAsia" w:ascii="宋体" w:hAnsi="宋体"/>
          <w:color w:val="auto"/>
          <w:highlight w:val="none"/>
        </w:rPr>
        <w:t>投标报价的其他要求见投标人须知前附表。</w:t>
      </w:r>
    </w:p>
    <w:p w14:paraId="415FD2B1">
      <w:pPr>
        <w:pStyle w:val="4"/>
        <w:spacing w:line="240" w:lineRule="auto"/>
        <w:ind w:firstLine="137"/>
        <w:rPr>
          <w:rFonts w:ascii="宋体" w:hAnsi="宋体" w:eastAsia="宋体"/>
          <w:color w:val="auto"/>
          <w:highlight w:val="none"/>
        </w:rPr>
      </w:pPr>
      <w:bookmarkStart w:id="119" w:name="_Toc49506152"/>
      <w:bookmarkStart w:id="120" w:name="_Toc49509986"/>
      <w:r>
        <w:rPr>
          <w:rFonts w:ascii="宋体" w:hAnsi="宋体" w:eastAsia="宋体"/>
          <w:color w:val="auto"/>
          <w:highlight w:val="none"/>
        </w:rPr>
        <w:t xml:space="preserve">3.3 </w:t>
      </w:r>
      <w:r>
        <w:rPr>
          <w:rFonts w:hint="eastAsia" w:ascii="宋体" w:hAnsi="宋体" w:eastAsia="宋体"/>
          <w:color w:val="auto"/>
          <w:highlight w:val="none"/>
        </w:rPr>
        <w:t>投标有效期</w:t>
      </w:r>
      <w:bookmarkEnd w:id="119"/>
      <w:bookmarkEnd w:id="120"/>
    </w:p>
    <w:p w14:paraId="74AD4069">
      <w:pPr>
        <w:spacing w:line="400" w:lineRule="exact"/>
        <w:ind w:firstLine="420" w:firstLineChars="200"/>
        <w:rPr>
          <w:rFonts w:ascii="宋体" w:hAnsi="宋体"/>
          <w:color w:val="auto"/>
          <w:highlight w:val="none"/>
        </w:rPr>
      </w:pPr>
      <w:r>
        <w:rPr>
          <w:rFonts w:ascii="宋体" w:hAnsi="宋体"/>
          <w:color w:val="auto"/>
          <w:highlight w:val="none"/>
        </w:rPr>
        <w:t>3.3.1</w:t>
      </w:r>
      <w:r>
        <w:rPr>
          <w:rFonts w:hint="eastAsia" w:ascii="宋体" w:hAnsi="宋体"/>
          <w:color w:val="auto"/>
          <w:highlight w:val="none"/>
        </w:rPr>
        <w:t>除</w:t>
      </w:r>
      <w:r>
        <w:rPr>
          <w:rFonts w:ascii="宋体" w:hAnsi="宋体"/>
          <w:color w:val="auto"/>
          <w:highlight w:val="none"/>
        </w:rPr>
        <w:t>投标人须知前附表另有规定外，投标有效期为</w:t>
      </w:r>
      <w:r>
        <w:rPr>
          <w:rFonts w:hint="eastAsia" w:ascii="宋体" w:hAnsi="宋体"/>
          <w:color w:val="auto"/>
          <w:highlight w:val="none"/>
          <w:u w:val="single"/>
          <w:lang w:val="en-US" w:eastAsia="zh-CN"/>
        </w:rPr>
        <w:t>120</w:t>
      </w:r>
      <w:r>
        <w:rPr>
          <w:rFonts w:ascii="宋体" w:hAnsi="宋体"/>
          <w:color w:val="auto"/>
          <w:highlight w:val="none"/>
        </w:rPr>
        <w:t>天</w:t>
      </w:r>
      <w:r>
        <w:rPr>
          <w:rFonts w:hint="eastAsia" w:ascii="宋体" w:hAnsi="宋体"/>
          <w:color w:val="auto"/>
          <w:highlight w:val="none"/>
        </w:rPr>
        <w:t>。</w:t>
      </w:r>
    </w:p>
    <w:p w14:paraId="505BFB04">
      <w:pPr>
        <w:spacing w:line="400" w:lineRule="exact"/>
        <w:ind w:firstLine="420" w:firstLineChars="200"/>
        <w:rPr>
          <w:rFonts w:ascii="宋体" w:hAnsi="宋体"/>
          <w:color w:val="auto"/>
          <w:highlight w:val="none"/>
        </w:rPr>
      </w:pPr>
      <w:r>
        <w:rPr>
          <w:rFonts w:ascii="宋体" w:hAnsi="宋体"/>
          <w:color w:val="auto"/>
          <w:highlight w:val="none"/>
        </w:rPr>
        <w:t>3.3.2</w:t>
      </w:r>
      <w:r>
        <w:rPr>
          <w:rFonts w:hint="eastAsia" w:ascii="宋体" w:hAnsi="宋体"/>
          <w:color w:val="auto"/>
          <w:highlight w:val="none"/>
        </w:rPr>
        <w:t>在投标有效期内，投标人撤销投标文件的，应承担招标文件和法律规定的责任。</w:t>
      </w:r>
    </w:p>
    <w:p w14:paraId="0894DE58">
      <w:pPr>
        <w:spacing w:line="400" w:lineRule="exact"/>
        <w:ind w:firstLine="420" w:firstLineChars="200"/>
        <w:rPr>
          <w:rFonts w:ascii="宋体" w:hAnsi="宋体"/>
          <w:color w:val="auto"/>
          <w:highlight w:val="none"/>
        </w:rPr>
      </w:pPr>
      <w:r>
        <w:rPr>
          <w:rFonts w:ascii="宋体" w:hAnsi="宋体"/>
          <w:color w:val="auto"/>
          <w:highlight w:val="none"/>
        </w:rPr>
        <w:t>3.3.3</w:t>
      </w:r>
      <w:r>
        <w:rPr>
          <w:rFonts w:hint="eastAsia" w:ascii="宋体" w:hAnsi="宋体"/>
          <w:color w:val="auto"/>
          <w:highlight w:val="none"/>
        </w:rPr>
        <w:t>出现特殊情况需要延长投标有效期的，招标人以书面形式通知所有投标人延长投标有效期。投标人应予以书面答复，同意延长的，</w:t>
      </w:r>
      <w:r>
        <w:rPr>
          <w:rFonts w:hint="eastAsia" w:ascii="宋体" w:hAnsi="宋体"/>
          <w:strike/>
          <w:color w:val="auto"/>
          <w:highlight w:val="none"/>
        </w:rPr>
        <w:t>应相应延长其投标保证金的有效期，但</w:t>
      </w:r>
      <w:r>
        <w:rPr>
          <w:rFonts w:hint="eastAsia" w:ascii="宋体" w:hAnsi="宋体"/>
          <w:color w:val="auto"/>
          <w:highlight w:val="none"/>
        </w:rPr>
        <w:t>不得要求或被允许修改其投标文件；投标人拒绝延长的，其投标失效</w:t>
      </w:r>
      <w:r>
        <w:rPr>
          <w:rFonts w:hint="eastAsia" w:ascii="宋体" w:hAnsi="宋体"/>
          <w:strike/>
          <w:color w:val="auto"/>
          <w:highlight w:val="none"/>
        </w:rPr>
        <w:t>，但投标</w:t>
      </w:r>
      <w:r>
        <w:rPr>
          <w:rFonts w:ascii="宋体" w:hAnsi="宋体"/>
          <w:strike/>
          <w:color w:val="auto"/>
          <w:highlight w:val="none"/>
        </w:rPr>
        <w:t>人有权收回其投标保证金及以现金或者支票形式递交的投标保证金的银行同期存款利息</w:t>
      </w:r>
      <w:r>
        <w:rPr>
          <w:rFonts w:ascii="宋体" w:hAnsi="宋体"/>
          <w:color w:val="auto"/>
          <w:highlight w:val="none"/>
        </w:rPr>
        <w:t>。</w:t>
      </w:r>
    </w:p>
    <w:p w14:paraId="788F978C">
      <w:pPr>
        <w:pStyle w:val="4"/>
        <w:spacing w:line="240" w:lineRule="auto"/>
        <w:ind w:firstLine="137"/>
        <w:rPr>
          <w:rFonts w:ascii="宋体" w:hAnsi="宋体" w:eastAsia="宋体"/>
          <w:color w:val="auto"/>
          <w:highlight w:val="none"/>
        </w:rPr>
      </w:pPr>
      <w:bookmarkStart w:id="121" w:name="_Toc49506153"/>
      <w:bookmarkStart w:id="122" w:name="_Toc49509987"/>
      <w:r>
        <w:rPr>
          <w:rFonts w:ascii="宋体" w:hAnsi="宋体" w:eastAsia="宋体"/>
          <w:color w:val="auto"/>
          <w:highlight w:val="none"/>
        </w:rPr>
        <w:t xml:space="preserve">3.4 </w:t>
      </w:r>
      <w:r>
        <w:rPr>
          <w:rFonts w:hint="eastAsia" w:ascii="宋体" w:hAnsi="宋体" w:eastAsia="宋体"/>
          <w:color w:val="auto"/>
          <w:highlight w:val="none"/>
        </w:rPr>
        <w:t>投标保证金</w:t>
      </w:r>
      <w:bookmarkEnd w:id="121"/>
      <w:bookmarkEnd w:id="122"/>
      <w:r>
        <w:rPr>
          <w:rFonts w:hint="eastAsia" w:ascii="宋体" w:hAnsi="宋体" w:eastAsia="宋体" w:cs="宋体"/>
          <w:b/>
          <w:color w:val="auto"/>
          <w:szCs w:val="28"/>
          <w:highlight w:val="none"/>
          <w:u w:val="single"/>
        </w:rPr>
        <w:t>（本项目不要求递交投标保证金）</w:t>
      </w:r>
    </w:p>
    <w:p w14:paraId="2F70E58C">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09F8F2D6">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3.4.2 投标人不按本章第3.4.1项要求提交投标保证金的，评标委员会将否决其投标。</w:t>
      </w:r>
    </w:p>
    <w:p w14:paraId="19C10257">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3.4.3 招标人最迟将在与中标人签订合同后5日内，向未中标的投标人和中标人退还投标保证金。</w:t>
      </w:r>
    </w:p>
    <w:p w14:paraId="534FC0AB">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3.4.4 有下列情形之一的，投标保证金将不予退还：</w:t>
      </w:r>
    </w:p>
    <w:p w14:paraId="571302C8">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（1）投标人在投标有效期内撤销投标文件；</w:t>
      </w:r>
    </w:p>
    <w:p w14:paraId="4FAE81BD">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（2）中标人在收到中标通知书后，无正当理由不与招标人订立合同，在签订合同时向招标人提出附加条件，或者不按照招标文件要求提交履约保证金；</w:t>
      </w:r>
    </w:p>
    <w:p w14:paraId="192D8B3E">
      <w:pPr>
        <w:spacing w:line="400" w:lineRule="exact"/>
        <w:ind w:firstLine="315" w:firstLineChars="150"/>
        <w:rPr>
          <w:rFonts w:ascii="宋体" w:hAnsi="宋体"/>
          <w:color w:val="auto"/>
          <w:highlight w:val="none"/>
        </w:rPr>
      </w:pPr>
      <w:r>
        <w:rPr>
          <w:rFonts w:hint="eastAsia" w:ascii="宋体" w:hAnsi="宋体"/>
          <w:strike/>
          <w:color w:val="auto"/>
          <w:highlight w:val="none"/>
        </w:rPr>
        <w:t>（3）发生投标人须知前附表规定的其他可以不予退还投标保证金的情形。</w:t>
      </w:r>
    </w:p>
    <w:p w14:paraId="6037673C">
      <w:pPr>
        <w:pStyle w:val="4"/>
        <w:spacing w:line="240" w:lineRule="auto"/>
        <w:ind w:firstLine="137"/>
        <w:rPr>
          <w:rFonts w:ascii="宋体" w:hAnsi="宋体" w:eastAsia="宋体"/>
          <w:color w:val="auto"/>
          <w:highlight w:val="none"/>
        </w:rPr>
      </w:pPr>
      <w:bookmarkStart w:id="123" w:name="_Toc49506154"/>
      <w:bookmarkStart w:id="124" w:name="_Toc49509988"/>
      <w:r>
        <w:rPr>
          <w:rFonts w:ascii="宋体" w:hAnsi="宋体" w:eastAsia="宋体"/>
          <w:color w:val="auto"/>
          <w:highlight w:val="none"/>
        </w:rPr>
        <w:t xml:space="preserve">3.5 </w:t>
      </w:r>
      <w:r>
        <w:rPr>
          <w:rFonts w:hint="eastAsia" w:ascii="宋体" w:hAnsi="宋体" w:eastAsia="宋体"/>
          <w:color w:val="auto"/>
          <w:highlight w:val="none"/>
        </w:rPr>
        <w:t>资格审查资料（适用于未进行资格预审的）</w:t>
      </w:r>
      <w:bookmarkEnd w:id="123"/>
      <w:bookmarkEnd w:id="124"/>
    </w:p>
    <w:p w14:paraId="5F431ACD">
      <w:pPr>
        <w:spacing w:line="400" w:lineRule="exact"/>
        <w:ind w:firstLine="420" w:firstLineChars="200"/>
        <w:rPr>
          <w:rFonts w:ascii="宋体" w:hAnsi="宋体"/>
          <w:color w:val="auto"/>
          <w:highlight w:val="none"/>
        </w:rPr>
      </w:pPr>
      <w:r>
        <w:rPr>
          <w:rFonts w:ascii="宋体" w:hAnsi="宋体"/>
          <w:color w:val="auto"/>
          <w:highlight w:val="none"/>
        </w:rPr>
        <w:t>除投标人须知前附表另有规定外，投标人应按下列规定提供资格审查资料，以证明其满足本章第1.4款规定的</w:t>
      </w:r>
      <w:r>
        <w:rPr>
          <w:rFonts w:hint="eastAsia" w:ascii="宋体" w:hAnsi="宋体"/>
          <w:color w:val="auto"/>
          <w:highlight w:val="none"/>
        </w:rPr>
        <w:t>资质、财务、业绩、信誉等要求。</w:t>
      </w:r>
    </w:p>
    <w:p w14:paraId="3EBE9BA5">
      <w:pPr>
        <w:spacing w:line="400" w:lineRule="exact"/>
        <w:ind w:firstLine="420" w:firstLineChars="200"/>
        <w:rPr>
          <w:rFonts w:ascii="宋体" w:hAnsi="宋体"/>
          <w:color w:val="auto"/>
          <w:highlight w:val="none"/>
        </w:rPr>
      </w:pPr>
      <w:r>
        <w:rPr>
          <w:rFonts w:hint="eastAsia" w:ascii="宋体" w:hAnsi="宋体"/>
          <w:color w:val="auto"/>
          <w:highlight w:val="none"/>
        </w:rPr>
        <w:t>3.5.1 “投标人基本情况表”应附投标人</w:t>
      </w:r>
      <w:r>
        <w:rPr>
          <w:rFonts w:hint="eastAsia" w:ascii="宋体" w:hAnsi="宋体"/>
          <w:color w:val="auto"/>
          <w:highlight w:val="none"/>
          <w:u w:val="single"/>
        </w:rPr>
        <w:t>营业执照、资质证书</w:t>
      </w:r>
      <w:r>
        <w:rPr>
          <w:rFonts w:hint="eastAsia" w:ascii="宋体" w:hAnsi="宋体"/>
          <w:color w:val="auto"/>
          <w:highlight w:val="none"/>
        </w:rPr>
        <w:t>等材料。</w:t>
      </w:r>
    </w:p>
    <w:p w14:paraId="2186FC08">
      <w:pPr>
        <w:spacing w:line="400" w:lineRule="exact"/>
        <w:ind w:firstLine="420" w:firstLineChars="200"/>
        <w:rPr>
          <w:rFonts w:ascii="宋体" w:hAnsi="宋体"/>
          <w:color w:val="auto"/>
          <w:highlight w:val="none"/>
        </w:rPr>
      </w:pPr>
      <w:r>
        <w:rPr>
          <w:rFonts w:hint="eastAsia" w:ascii="宋体" w:hAnsi="宋体"/>
          <w:color w:val="auto"/>
          <w:highlight w:val="none"/>
        </w:rPr>
        <w:t>3.5.2 按招标公告要求提供总监理工程师相关证明资料。</w:t>
      </w:r>
    </w:p>
    <w:p w14:paraId="67679617">
      <w:pPr>
        <w:spacing w:line="400" w:lineRule="exact"/>
        <w:ind w:firstLine="420" w:firstLineChars="200"/>
        <w:rPr>
          <w:rFonts w:ascii="宋体" w:hAnsi="宋体"/>
          <w:color w:val="auto"/>
          <w:highlight w:val="none"/>
        </w:rPr>
      </w:pPr>
      <w:r>
        <w:rPr>
          <w:rFonts w:hint="eastAsia" w:ascii="宋体" w:hAnsi="宋体"/>
          <w:color w:val="auto"/>
          <w:highlight w:val="none"/>
        </w:rPr>
        <w:t>3.5.3按照招标文件的附件内容签署盖章的投标人声明（原件扫描件）。</w:t>
      </w:r>
    </w:p>
    <w:p w14:paraId="553955E8">
      <w:pPr>
        <w:spacing w:line="400" w:lineRule="exact"/>
        <w:ind w:firstLine="420" w:firstLineChars="200"/>
        <w:rPr>
          <w:rFonts w:ascii="宋体" w:hAnsi="宋体"/>
          <w:color w:val="auto"/>
          <w:highlight w:val="none"/>
        </w:rPr>
      </w:pPr>
      <w:r>
        <w:rPr>
          <w:rFonts w:hint="eastAsia" w:ascii="宋体" w:hAnsi="宋体"/>
          <w:color w:val="auto"/>
          <w:highlight w:val="none"/>
        </w:rPr>
        <w:t>3.5.4投标人认为需要提交的其他资料。</w:t>
      </w:r>
    </w:p>
    <w:p w14:paraId="56A20D6D">
      <w:pPr>
        <w:spacing w:line="400" w:lineRule="exact"/>
        <w:ind w:firstLine="420" w:firstLineChars="200"/>
        <w:rPr>
          <w:rFonts w:ascii="宋体" w:hAnsi="宋体"/>
          <w:color w:val="auto"/>
          <w:highlight w:val="none"/>
        </w:rPr>
      </w:pPr>
      <w:r>
        <w:rPr>
          <w:rFonts w:hint="eastAsia" w:ascii="宋体" w:hAnsi="宋体"/>
          <w:color w:val="auto"/>
          <w:highlight w:val="none"/>
        </w:rPr>
        <w:t>3.5.5 投标人须知前附表规定不接受联合体投标。</w:t>
      </w:r>
    </w:p>
    <w:p w14:paraId="61855453">
      <w:pPr>
        <w:pStyle w:val="4"/>
        <w:spacing w:line="240" w:lineRule="auto"/>
        <w:ind w:firstLine="137"/>
        <w:rPr>
          <w:rFonts w:ascii="宋体" w:hAnsi="宋体" w:eastAsia="宋体"/>
          <w:color w:val="auto"/>
          <w:highlight w:val="none"/>
        </w:rPr>
      </w:pPr>
      <w:bookmarkStart w:id="125" w:name="_Toc49509989"/>
      <w:bookmarkStart w:id="126" w:name="_Toc49506155"/>
      <w:r>
        <w:rPr>
          <w:rFonts w:ascii="宋体" w:hAnsi="宋体" w:eastAsia="宋体"/>
          <w:color w:val="auto"/>
          <w:highlight w:val="none"/>
        </w:rPr>
        <w:t xml:space="preserve">3.6 </w:t>
      </w:r>
      <w:r>
        <w:rPr>
          <w:rFonts w:hint="eastAsia" w:ascii="宋体" w:hAnsi="宋体" w:eastAsia="宋体"/>
          <w:color w:val="auto"/>
          <w:highlight w:val="none"/>
        </w:rPr>
        <w:t>备选投标方案</w:t>
      </w:r>
      <w:bookmarkEnd w:id="125"/>
      <w:bookmarkEnd w:id="126"/>
    </w:p>
    <w:p w14:paraId="39EB53D0">
      <w:pPr>
        <w:spacing w:line="400" w:lineRule="exact"/>
        <w:ind w:firstLine="420" w:firstLineChars="200"/>
        <w:rPr>
          <w:rFonts w:ascii="宋体" w:hAnsi="宋体"/>
          <w:color w:val="auto"/>
          <w:highlight w:val="none"/>
        </w:rPr>
      </w:pPr>
      <w:r>
        <w:rPr>
          <w:rFonts w:ascii="宋体" w:hAnsi="宋体"/>
          <w:color w:val="auto"/>
          <w:highlight w:val="none"/>
        </w:rPr>
        <w:t>3.6.1</w:t>
      </w:r>
      <w:r>
        <w:rPr>
          <w:rFonts w:hint="eastAsia" w:ascii="宋体" w:hAnsi="宋体"/>
          <w:color w:val="auto"/>
          <w:highlight w:val="none"/>
        </w:rPr>
        <w:t>除投标人须知前附表规定允许外，投标人不得递交备选投标方案，否则其投标将被否决。</w:t>
      </w:r>
    </w:p>
    <w:p w14:paraId="64F5A012">
      <w:pPr>
        <w:spacing w:line="400" w:lineRule="exact"/>
        <w:ind w:firstLine="420" w:firstLineChars="200"/>
        <w:rPr>
          <w:rFonts w:ascii="宋体" w:hAnsi="宋体"/>
          <w:color w:val="auto"/>
          <w:highlight w:val="none"/>
        </w:rPr>
      </w:pPr>
      <w:r>
        <w:rPr>
          <w:rFonts w:ascii="宋体" w:hAnsi="宋体"/>
          <w:color w:val="auto"/>
          <w:highlight w:val="none"/>
        </w:rPr>
        <w:t>3.6.2</w:t>
      </w:r>
      <w:r>
        <w:rPr>
          <w:rFonts w:hint="eastAsia" w:ascii="宋体" w:hAnsi="宋体"/>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C479723">
      <w:pPr>
        <w:spacing w:line="400" w:lineRule="exact"/>
        <w:ind w:firstLine="420" w:firstLineChars="200"/>
        <w:rPr>
          <w:rFonts w:ascii="宋体" w:hAnsi="宋体"/>
          <w:color w:val="auto"/>
          <w:highlight w:val="none"/>
        </w:rPr>
      </w:pPr>
      <w:r>
        <w:rPr>
          <w:rFonts w:ascii="宋体" w:hAnsi="宋体"/>
          <w:color w:val="auto"/>
          <w:highlight w:val="none"/>
        </w:rPr>
        <w:t>3.6.3</w:t>
      </w:r>
      <w:r>
        <w:rPr>
          <w:rFonts w:hint="eastAsia" w:ascii="宋体" w:hAnsi="宋体"/>
          <w:color w:val="auto"/>
          <w:highlight w:val="none"/>
        </w:rPr>
        <w:t>投标人提供两个或两个以上投标报价，或者在投标文件中提供一个报价，但同时提供两个或两个以上</w:t>
      </w:r>
      <w:bookmarkStart w:id="127" w:name="_Toc247513974"/>
      <w:bookmarkStart w:id="128" w:name="_Toc144974518"/>
      <w:bookmarkStart w:id="129" w:name="_Toc152045550"/>
      <w:bookmarkStart w:id="130" w:name="_Toc29902"/>
      <w:bookmarkStart w:id="131" w:name="_Toc384308232"/>
      <w:bookmarkStart w:id="132" w:name="_Toc247527575"/>
      <w:bookmarkStart w:id="133" w:name="_Toc361508607"/>
      <w:bookmarkStart w:id="134" w:name="_Toc300834971"/>
      <w:bookmarkStart w:id="135" w:name="_Toc352691495"/>
      <w:bookmarkStart w:id="136" w:name="_Toc152042326"/>
      <w:bookmarkStart w:id="137" w:name="_Toc369531538"/>
      <w:r>
        <w:rPr>
          <w:rFonts w:hint="eastAsia" w:ascii="宋体" w:hAnsi="宋体"/>
          <w:color w:val="auto"/>
          <w:highlight w:val="none"/>
        </w:rPr>
        <w:t>监理</w:t>
      </w:r>
      <w:r>
        <w:rPr>
          <w:rFonts w:ascii="宋体" w:hAnsi="宋体"/>
          <w:color w:val="auto"/>
          <w:highlight w:val="none"/>
        </w:rPr>
        <w:t>方案的</w:t>
      </w:r>
      <w:bookmarkEnd w:id="127"/>
      <w:bookmarkEnd w:id="128"/>
      <w:bookmarkEnd w:id="129"/>
      <w:bookmarkEnd w:id="130"/>
      <w:bookmarkEnd w:id="131"/>
      <w:bookmarkEnd w:id="132"/>
      <w:bookmarkEnd w:id="133"/>
      <w:bookmarkEnd w:id="134"/>
      <w:bookmarkEnd w:id="135"/>
      <w:bookmarkEnd w:id="136"/>
      <w:bookmarkEnd w:id="137"/>
      <w:r>
        <w:rPr>
          <w:rFonts w:ascii="宋体" w:hAnsi="宋体"/>
          <w:color w:val="auto"/>
          <w:highlight w:val="none"/>
        </w:rPr>
        <w:t>，</w:t>
      </w:r>
      <w:r>
        <w:rPr>
          <w:rFonts w:hint="eastAsia" w:ascii="宋体" w:hAnsi="宋体"/>
          <w:color w:val="auto"/>
          <w:highlight w:val="none"/>
        </w:rPr>
        <w:t>视为提供备选方案。</w:t>
      </w:r>
    </w:p>
    <w:p w14:paraId="18CB0CBD">
      <w:pPr>
        <w:pStyle w:val="4"/>
        <w:spacing w:line="240" w:lineRule="auto"/>
        <w:ind w:firstLine="137"/>
        <w:rPr>
          <w:rFonts w:ascii="宋体" w:hAnsi="宋体" w:eastAsia="宋体"/>
          <w:color w:val="auto"/>
          <w:highlight w:val="none"/>
        </w:rPr>
      </w:pPr>
      <w:bookmarkStart w:id="138" w:name="_Toc49509990"/>
      <w:bookmarkStart w:id="139" w:name="_Toc49506156"/>
      <w:r>
        <w:rPr>
          <w:rFonts w:ascii="宋体" w:hAnsi="宋体" w:eastAsia="宋体"/>
          <w:color w:val="auto"/>
          <w:highlight w:val="none"/>
        </w:rPr>
        <w:t xml:space="preserve">3.7 </w:t>
      </w:r>
      <w:r>
        <w:rPr>
          <w:rFonts w:hint="eastAsia" w:ascii="宋体" w:hAnsi="宋体" w:eastAsia="宋体"/>
          <w:color w:val="auto"/>
          <w:highlight w:val="none"/>
        </w:rPr>
        <w:t>投标文件的编制</w:t>
      </w:r>
      <w:bookmarkEnd w:id="138"/>
      <w:bookmarkEnd w:id="139"/>
    </w:p>
    <w:p w14:paraId="4E06ED90">
      <w:pPr>
        <w:spacing w:line="400" w:lineRule="exact"/>
        <w:ind w:firstLine="420" w:firstLineChars="200"/>
        <w:rPr>
          <w:rFonts w:ascii="宋体" w:hAnsi="宋体"/>
          <w:color w:val="auto"/>
          <w:highlight w:val="none"/>
        </w:rPr>
      </w:pPr>
      <w:r>
        <w:rPr>
          <w:rFonts w:ascii="宋体" w:hAnsi="宋体"/>
          <w:color w:val="auto"/>
          <w:highlight w:val="none"/>
        </w:rPr>
        <w:t>3.7.1</w:t>
      </w:r>
      <w:r>
        <w:rPr>
          <w:rFonts w:hint="eastAsia" w:ascii="宋体" w:hAnsi="宋体"/>
          <w:color w:val="auto"/>
          <w:highlight w:val="none"/>
        </w:rPr>
        <w:t>投标文件应按第六章</w:t>
      </w:r>
      <w:r>
        <w:rPr>
          <w:rFonts w:ascii="宋体" w:hAnsi="宋体"/>
          <w:color w:val="auto"/>
          <w:highlight w:val="none"/>
        </w:rPr>
        <w:t>“</w:t>
      </w:r>
      <w:r>
        <w:rPr>
          <w:rFonts w:hint="eastAsia" w:ascii="宋体" w:hAnsi="宋体"/>
          <w:color w:val="auto"/>
          <w:highlight w:val="none"/>
        </w:rPr>
        <w:t>投标文件格式</w:t>
      </w:r>
      <w:r>
        <w:rPr>
          <w:rFonts w:ascii="宋体" w:hAnsi="宋体"/>
          <w:color w:val="auto"/>
          <w:highlight w:val="none"/>
        </w:rPr>
        <w:t>”</w:t>
      </w:r>
      <w:r>
        <w:rPr>
          <w:rFonts w:hint="eastAsia" w:ascii="宋体" w:hAnsi="宋体"/>
          <w:color w:val="auto"/>
          <w:highlight w:val="none"/>
        </w:rPr>
        <w:t>进行编写，如有必要，可以增加附页，作为投标文件的组成部分。</w:t>
      </w:r>
      <w:r>
        <w:rPr>
          <w:rFonts w:ascii="宋体" w:hAnsi="宋体"/>
          <w:color w:val="auto"/>
          <w:highlight w:val="none"/>
        </w:rPr>
        <w:t>其中，投标函附录在满足招标文件实质性要求的基础上，可以提出比招标文件要求更有利于招标人的承诺。</w:t>
      </w:r>
    </w:p>
    <w:p w14:paraId="26920CCF">
      <w:pPr>
        <w:spacing w:line="400" w:lineRule="exact"/>
        <w:ind w:firstLine="420" w:firstLineChars="200"/>
        <w:rPr>
          <w:rFonts w:ascii="宋体" w:hAnsi="宋体"/>
          <w:color w:val="auto"/>
          <w:highlight w:val="none"/>
        </w:rPr>
      </w:pPr>
      <w:r>
        <w:rPr>
          <w:rFonts w:ascii="宋体" w:hAnsi="宋体"/>
          <w:color w:val="auto"/>
          <w:highlight w:val="none"/>
        </w:rPr>
        <w:t>3.7.2</w:t>
      </w:r>
      <w:r>
        <w:rPr>
          <w:rFonts w:hint="eastAsia" w:ascii="宋体" w:hAnsi="宋体"/>
          <w:color w:val="auto"/>
          <w:highlight w:val="none"/>
        </w:rPr>
        <w:t>投标文件应当对招标文件有关服务期限、投标有效期、委托人要求、招标范围等实质性内容作出响应。</w:t>
      </w:r>
    </w:p>
    <w:p w14:paraId="229263C4">
      <w:pPr>
        <w:spacing w:line="400" w:lineRule="exact"/>
        <w:ind w:firstLine="420" w:firstLineChars="200"/>
        <w:rPr>
          <w:rFonts w:ascii="宋体" w:hAnsi="宋体"/>
          <w:color w:val="auto"/>
          <w:highlight w:val="none"/>
        </w:rPr>
      </w:pPr>
      <w:r>
        <w:rPr>
          <w:rFonts w:ascii="宋体" w:hAnsi="宋体"/>
          <w:color w:val="auto"/>
          <w:highlight w:val="none"/>
        </w:rPr>
        <w:t>3.7.3</w:t>
      </w:r>
      <w:r>
        <w:rPr>
          <w:rFonts w:hint="eastAsia" w:ascii="宋体" w:hAnsi="宋体"/>
          <w:color w:val="auto"/>
          <w:highlight w:val="none"/>
        </w:rPr>
        <w:t>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14:paraId="11D8FB4E">
      <w:pPr>
        <w:pStyle w:val="2"/>
        <w:rPr>
          <w:rFonts w:ascii="宋体" w:hAnsi="宋体" w:eastAsia="宋体"/>
          <w:color w:val="auto"/>
          <w:highlight w:val="none"/>
        </w:rPr>
      </w:pPr>
      <w:bookmarkStart w:id="140" w:name="_Toc49509991"/>
      <w:r>
        <w:rPr>
          <w:rFonts w:ascii="宋体" w:hAnsi="宋体" w:eastAsia="宋体"/>
          <w:color w:val="auto"/>
          <w:highlight w:val="none"/>
        </w:rPr>
        <w:t xml:space="preserve">4. </w:t>
      </w:r>
      <w:r>
        <w:rPr>
          <w:rFonts w:hint="eastAsia" w:ascii="宋体" w:hAnsi="宋体" w:eastAsia="宋体"/>
          <w:color w:val="auto"/>
          <w:highlight w:val="none"/>
        </w:rPr>
        <w:t>投标</w:t>
      </w:r>
      <w:bookmarkEnd w:id="140"/>
    </w:p>
    <w:p w14:paraId="08E6A575">
      <w:pPr>
        <w:pStyle w:val="4"/>
        <w:spacing w:line="240" w:lineRule="auto"/>
        <w:ind w:firstLine="137"/>
        <w:rPr>
          <w:rFonts w:ascii="宋体" w:hAnsi="宋体" w:eastAsia="宋体"/>
          <w:color w:val="auto"/>
          <w:highlight w:val="none"/>
        </w:rPr>
      </w:pPr>
      <w:bookmarkStart w:id="141" w:name="_Toc49506158"/>
      <w:bookmarkStart w:id="142" w:name="_Toc49509992"/>
      <w:r>
        <w:rPr>
          <w:rFonts w:ascii="宋体" w:hAnsi="宋体" w:eastAsia="宋体"/>
          <w:color w:val="auto"/>
          <w:highlight w:val="none"/>
        </w:rPr>
        <w:t xml:space="preserve">4.1 </w:t>
      </w:r>
      <w:r>
        <w:rPr>
          <w:rFonts w:hint="eastAsia" w:ascii="宋体" w:hAnsi="宋体" w:eastAsia="宋体"/>
          <w:color w:val="auto"/>
          <w:highlight w:val="none"/>
        </w:rPr>
        <w:t>投标文件的密封和标记</w:t>
      </w:r>
      <w:bookmarkEnd w:id="141"/>
      <w:bookmarkEnd w:id="142"/>
    </w:p>
    <w:p w14:paraId="4D303953">
      <w:pPr>
        <w:spacing w:line="400" w:lineRule="exact"/>
        <w:ind w:firstLine="420" w:firstLineChars="200"/>
        <w:rPr>
          <w:rFonts w:ascii="宋体" w:hAnsi="宋体"/>
          <w:color w:val="auto"/>
          <w:highlight w:val="none"/>
        </w:rPr>
      </w:pPr>
      <w:r>
        <w:rPr>
          <w:rFonts w:ascii="宋体" w:hAnsi="宋体"/>
          <w:color w:val="auto"/>
          <w:highlight w:val="none"/>
        </w:rPr>
        <w:t>4.1.1</w:t>
      </w:r>
      <w:r>
        <w:rPr>
          <w:rFonts w:hint="eastAsia" w:ascii="宋体" w:hAnsi="宋体"/>
          <w:color w:val="auto"/>
          <w:highlight w:val="none"/>
        </w:rPr>
        <w:t>投标人应当按照招标文件和电子招标投标交易平台的要求加密投标文件，具体要求见投标人须知前附表。</w:t>
      </w:r>
    </w:p>
    <w:p w14:paraId="287906A7">
      <w:pPr>
        <w:spacing w:line="400" w:lineRule="exact"/>
        <w:ind w:firstLine="420" w:firstLineChars="200"/>
        <w:rPr>
          <w:rFonts w:ascii="宋体" w:hAnsi="宋体"/>
          <w:color w:val="auto"/>
          <w:highlight w:val="none"/>
        </w:rPr>
      </w:pPr>
      <w:r>
        <w:rPr>
          <w:rFonts w:hint="eastAsia" w:ascii="宋体" w:hAnsi="宋体"/>
          <w:color w:val="auto"/>
          <w:highlight w:val="none"/>
        </w:rPr>
        <w:t>4.</w:t>
      </w:r>
      <w:r>
        <w:rPr>
          <w:rFonts w:ascii="宋体" w:hAnsi="宋体"/>
          <w:color w:val="auto"/>
          <w:highlight w:val="none"/>
        </w:rPr>
        <w:t>1.2</w:t>
      </w:r>
      <w:r>
        <w:rPr>
          <w:rFonts w:hint="eastAsia" w:ascii="宋体" w:hAnsi="宋体"/>
          <w:color w:val="auto"/>
          <w:highlight w:val="none"/>
        </w:rPr>
        <w:t>网上递交的电子投标文件须进行加密。</w:t>
      </w:r>
    </w:p>
    <w:p w14:paraId="50852ABE">
      <w:pPr>
        <w:spacing w:line="400" w:lineRule="exact"/>
        <w:ind w:firstLine="420" w:firstLineChars="200"/>
        <w:rPr>
          <w:rFonts w:ascii="宋体" w:hAnsi="宋体"/>
          <w:color w:val="auto"/>
          <w:highlight w:val="none"/>
        </w:rPr>
      </w:pPr>
      <w:r>
        <w:rPr>
          <w:rFonts w:ascii="宋体" w:hAnsi="宋体"/>
          <w:color w:val="auto"/>
          <w:highlight w:val="none"/>
        </w:rPr>
        <w:t>4.1.3</w:t>
      </w:r>
      <w:r>
        <w:rPr>
          <w:rFonts w:hint="eastAsia" w:ascii="宋体" w:hAnsi="宋体"/>
          <w:color w:val="auto"/>
          <w:highlight w:val="none"/>
        </w:rPr>
        <w:t>投标文件封套上应写明的内容见投标人须知前附表。</w:t>
      </w:r>
    </w:p>
    <w:p w14:paraId="1173C2FF">
      <w:pPr>
        <w:spacing w:line="400" w:lineRule="exact"/>
        <w:ind w:firstLine="420" w:firstLineChars="200"/>
        <w:rPr>
          <w:rFonts w:ascii="宋体" w:hAnsi="宋体"/>
          <w:color w:val="auto"/>
          <w:highlight w:val="none"/>
        </w:rPr>
      </w:pPr>
      <w:r>
        <w:rPr>
          <w:rFonts w:ascii="宋体" w:hAnsi="宋体"/>
          <w:color w:val="auto"/>
          <w:highlight w:val="none"/>
        </w:rPr>
        <w:t>4.1.4</w:t>
      </w:r>
      <w:r>
        <w:rPr>
          <w:rFonts w:hint="eastAsia" w:ascii="宋体" w:hAnsi="宋体"/>
          <w:color w:val="auto"/>
          <w:highlight w:val="none"/>
        </w:rPr>
        <w:t>未按本章第</w:t>
      </w:r>
      <w:r>
        <w:rPr>
          <w:rFonts w:ascii="宋体" w:hAnsi="宋体"/>
          <w:color w:val="auto"/>
          <w:highlight w:val="none"/>
        </w:rPr>
        <w:t>4.1.1</w:t>
      </w:r>
      <w:r>
        <w:rPr>
          <w:rFonts w:hint="eastAsia" w:ascii="宋体" w:hAnsi="宋体"/>
          <w:color w:val="auto"/>
          <w:highlight w:val="none"/>
        </w:rPr>
        <w:t>项要求密封的投标文件，招标人将予以拒收。</w:t>
      </w:r>
    </w:p>
    <w:p w14:paraId="68DE64F9">
      <w:pPr>
        <w:pStyle w:val="4"/>
        <w:spacing w:line="240" w:lineRule="auto"/>
        <w:ind w:firstLine="137"/>
        <w:rPr>
          <w:rFonts w:ascii="宋体" w:hAnsi="宋体" w:eastAsia="宋体"/>
          <w:color w:val="auto"/>
          <w:highlight w:val="none"/>
        </w:rPr>
      </w:pPr>
      <w:bookmarkStart w:id="143" w:name="_Toc49509993"/>
      <w:bookmarkStart w:id="144" w:name="_Toc49506159"/>
      <w:r>
        <w:rPr>
          <w:rFonts w:ascii="宋体" w:hAnsi="宋体" w:eastAsia="宋体"/>
          <w:color w:val="auto"/>
          <w:highlight w:val="none"/>
        </w:rPr>
        <w:t xml:space="preserve">4.2 </w:t>
      </w:r>
      <w:r>
        <w:rPr>
          <w:rFonts w:hint="eastAsia" w:ascii="宋体" w:hAnsi="宋体" w:eastAsia="宋体"/>
          <w:color w:val="auto"/>
          <w:highlight w:val="none"/>
        </w:rPr>
        <w:t>投标文件的递交</w:t>
      </w:r>
      <w:bookmarkEnd w:id="143"/>
      <w:bookmarkEnd w:id="144"/>
    </w:p>
    <w:p w14:paraId="0C946FDC">
      <w:pPr>
        <w:spacing w:line="400" w:lineRule="exact"/>
        <w:ind w:firstLine="420" w:firstLineChars="200"/>
        <w:rPr>
          <w:rFonts w:ascii="宋体" w:hAnsi="宋体"/>
          <w:color w:val="auto"/>
          <w:highlight w:val="none"/>
        </w:rPr>
      </w:pPr>
      <w:r>
        <w:rPr>
          <w:rFonts w:ascii="宋体" w:hAnsi="宋体"/>
          <w:color w:val="auto"/>
          <w:highlight w:val="none"/>
        </w:rPr>
        <w:t>4.2.1</w:t>
      </w:r>
      <w:r>
        <w:rPr>
          <w:rFonts w:hint="eastAsia" w:ascii="宋体" w:hAnsi="宋体"/>
          <w:color w:val="auto"/>
          <w:highlight w:val="none"/>
        </w:rPr>
        <w:t>投标人应在投标人须知前附表规定的投标截止时间前递交投标文件。</w:t>
      </w:r>
    </w:p>
    <w:p w14:paraId="33E4F4C5">
      <w:pPr>
        <w:spacing w:line="400" w:lineRule="exact"/>
        <w:ind w:firstLine="420" w:firstLineChars="200"/>
        <w:rPr>
          <w:rFonts w:ascii="宋体" w:hAnsi="宋体"/>
          <w:color w:val="auto"/>
          <w:highlight w:val="none"/>
        </w:rPr>
      </w:pPr>
      <w:r>
        <w:rPr>
          <w:rFonts w:ascii="宋体" w:hAnsi="宋体"/>
          <w:color w:val="auto"/>
          <w:highlight w:val="none"/>
        </w:rPr>
        <w:t>4.2.2</w:t>
      </w:r>
      <w:r>
        <w:rPr>
          <w:rFonts w:hint="eastAsia" w:ascii="宋体" w:hAnsi="宋体"/>
          <w:color w:val="auto"/>
          <w:highlight w:val="none"/>
        </w:rPr>
        <w:t>投标人通过下载招标文件的电子招标投标交易平台递交电子投标文件。</w:t>
      </w:r>
    </w:p>
    <w:p w14:paraId="4B701CFD">
      <w:pPr>
        <w:spacing w:line="400" w:lineRule="exact"/>
        <w:ind w:firstLine="420" w:firstLineChars="200"/>
        <w:rPr>
          <w:rFonts w:ascii="宋体" w:hAnsi="宋体"/>
          <w:color w:val="auto"/>
          <w:highlight w:val="none"/>
        </w:rPr>
      </w:pPr>
      <w:r>
        <w:rPr>
          <w:rFonts w:ascii="宋体" w:hAnsi="宋体"/>
          <w:color w:val="auto"/>
          <w:highlight w:val="none"/>
        </w:rPr>
        <w:t>4.2.3</w:t>
      </w:r>
      <w:r>
        <w:rPr>
          <w:rFonts w:hint="eastAsia" w:ascii="宋体" w:hAnsi="宋体"/>
          <w:color w:val="auto"/>
          <w:highlight w:val="none"/>
        </w:rPr>
        <w:t>除投标人须知前附表另有规定外，投标人所递交的投标文件不予退还。</w:t>
      </w:r>
    </w:p>
    <w:p w14:paraId="7CBB2E63">
      <w:pPr>
        <w:spacing w:line="400" w:lineRule="exact"/>
        <w:ind w:firstLine="420" w:firstLineChars="200"/>
        <w:rPr>
          <w:rFonts w:ascii="宋体" w:hAnsi="宋体"/>
          <w:color w:val="auto"/>
          <w:highlight w:val="none"/>
        </w:rPr>
      </w:pPr>
      <w:r>
        <w:rPr>
          <w:rFonts w:ascii="宋体" w:hAnsi="宋体"/>
          <w:color w:val="auto"/>
          <w:highlight w:val="none"/>
        </w:rPr>
        <w:t>4.2.4</w:t>
      </w:r>
      <w:r>
        <w:rPr>
          <w:rFonts w:hint="eastAsia" w:ascii="宋体" w:hAnsi="宋体"/>
          <w:color w:val="auto"/>
          <w:highlight w:val="none"/>
        </w:rPr>
        <w:t>投标人</w:t>
      </w:r>
      <w:r>
        <w:rPr>
          <w:rFonts w:ascii="宋体" w:hAnsi="宋体"/>
          <w:color w:val="auto"/>
          <w:highlight w:val="none"/>
        </w:rPr>
        <w:t>完成电子投标文件上传后，</w:t>
      </w:r>
      <w:r>
        <w:rPr>
          <w:rFonts w:hint="eastAsia" w:ascii="宋体" w:hAnsi="宋体"/>
          <w:color w:val="auto"/>
          <w:highlight w:val="none"/>
        </w:rPr>
        <w:t>电子招标投标交易平台即时向投标人发出递交回执通知</w:t>
      </w:r>
      <w:r>
        <w:rPr>
          <w:rFonts w:ascii="宋体" w:hAnsi="宋体"/>
          <w:color w:val="auto"/>
          <w:highlight w:val="none"/>
        </w:rPr>
        <w:t>。递交时间以递交回执通知载明的传输完成时间为准。</w:t>
      </w:r>
    </w:p>
    <w:p w14:paraId="04425D90">
      <w:pPr>
        <w:spacing w:line="400" w:lineRule="exact"/>
        <w:ind w:firstLine="420" w:firstLineChars="200"/>
        <w:jc w:val="left"/>
        <w:rPr>
          <w:rFonts w:ascii="宋体" w:hAnsi="宋体"/>
          <w:color w:val="auto"/>
          <w:highlight w:val="none"/>
        </w:rPr>
      </w:pPr>
      <w:r>
        <w:rPr>
          <w:rFonts w:ascii="宋体" w:hAnsi="宋体"/>
          <w:color w:val="auto"/>
          <w:highlight w:val="none"/>
        </w:rPr>
        <w:t>4.2.5逾期送达的投标文件，电子招标投标交易平台将予以拒收。</w:t>
      </w:r>
    </w:p>
    <w:p w14:paraId="76199036">
      <w:pPr>
        <w:pStyle w:val="4"/>
        <w:spacing w:line="240" w:lineRule="auto"/>
        <w:ind w:firstLine="137"/>
        <w:rPr>
          <w:rFonts w:ascii="宋体" w:hAnsi="宋体" w:eastAsia="宋体"/>
          <w:color w:val="auto"/>
          <w:highlight w:val="none"/>
        </w:rPr>
      </w:pPr>
      <w:bookmarkStart w:id="145" w:name="_Toc49509994"/>
      <w:bookmarkStart w:id="146" w:name="_Toc49506160"/>
      <w:r>
        <w:rPr>
          <w:rFonts w:ascii="宋体" w:hAnsi="宋体" w:eastAsia="宋体"/>
          <w:color w:val="auto"/>
          <w:highlight w:val="none"/>
        </w:rPr>
        <w:t xml:space="preserve">4.3 </w:t>
      </w:r>
      <w:r>
        <w:rPr>
          <w:rFonts w:hint="eastAsia" w:ascii="宋体" w:hAnsi="宋体" w:eastAsia="宋体"/>
          <w:color w:val="auto"/>
          <w:highlight w:val="none"/>
        </w:rPr>
        <w:t>投标文件的修改与撤回</w:t>
      </w:r>
      <w:bookmarkEnd w:id="145"/>
      <w:bookmarkEnd w:id="146"/>
    </w:p>
    <w:p w14:paraId="74C5FB44">
      <w:pPr>
        <w:spacing w:line="400" w:lineRule="exact"/>
        <w:ind w:firstLine="420" w:firstLineChars="200"/>
        <w:rPr>
          <w:rFonts w:ascii="宋体" w:hAnsi="宋体"/>
          <w:color w:val="auto"/>
          <w:highlight w:val="none"/>
        </w:rPr>
      </w:pPr>
      <w:r>
        <w:rPr>
          <w:rFonts w:ascii="宋体" w:hAnsi="宋体"/>
          <w:color w:val="auto"/>
          <w:highlight w:val="none"/>
        </w:rPr>
        <w:t>4.3.1</w:t>
      </w:r>
      <w:r>
        <w:rPr>
          <w:rFonts w:hint="eastAsia" w:ascii="宋体" w:hAnsi="宋体"/>
          <w:color w:val="auto"/>
          <w:highlight w:val="none"/>
        </w:rPr>
        <w:t>在本章第</w:t>
      </w:r>
      <w:r>
        <w:rPr>
          <w:rFonts w:ascii="宋体" w:hAnsi="宋体"/>
          <w:color w:val="auto"/>
          <w:highlight w:val="none"/>
        </w:rPr>
        <w:t>4.2.1</w:t>
      </w:r>
      <w:r>
        <w:rPr>
          <w:rFonts w:hint="eastAsia" w:ascii="宋体" w:hAnsi="宋体"/>
          <w:color w:val="auto"/>
          <w:highlight w:val="none"/>
        </w:rPr>
        <w:t>项规定的投标截止时间前，投标人可以修改或撤回已递交的投标文件，但应以书面形式通知招标人。</w:t>
      </w:r>
    </w:p>
    <w:p w14:paraId="168938DE">
      <w:pPr>
        <w:spacing w:line="400" w:lineRule="exact"/>
        <w:ind w:firstLine="420" w:firstLineChars="200"/>
        <w:rPr>
          <w:rFonts w:ascii="宋体" w:hAnsi="宋体"/>
          <w:color w:val="auto"/>
          <w:highlight w:val="none"/>
        </w:rPr>
      </w:pPr>
      <w:r>
        <w:rPr>
          <w:rFonts w:ascii="宋体" w:hAnsi="宋体"/>
          <w:color w:val="auto"/>
          <w:highlight w:val="none"/>
        </w:rPr>
        <w:t>4.3.2</w:t>
      </w:r>
      <w:r>
        <w:rPr>
          <w:rFonts w:hint="eastAsia" w:ascii="宋体" w:hAnsi="宋体"/>
          <w:color w:val="auto"/>
          <w:highlight w:val="none"/>
        </w:rPr>
        <w:t>投标人修改或撤回已递交投标文件的通知，应按照本章第</w:t>
      </w:r>
      <w:r>
        <w:rPr>
          <w:rFonts w:ascii="宋体" w:hAnsi="宋体"/>
          <w:color w:val="auto"/>
          <w:highlight w:val="none"/>
        </w:rPr>
        <w:t>3.7.3</w:t>
      </w:r>
      <w:r>
        <w:rPr>
          <w:rFonts w:hint="eastAsia" w:ascii="宋体" w:hAnsi="宋体"/>
          <w:color w:val="auto"/>
          <w:highlight w:val="none"/>
        </w:rPr>
        <w:t>（</w:t>
      </w:r>
      <w:r>
        <w:rPr>
          <w:rFonts w:ascii="宋体" w:hAnsi="宋体"/>
          <w:color w:val="auto"/>
          <w:highlight w:val="none"/>
        </w:rPr>
        <w:t>B</w:t>
      </w:r>
      <w:r>
        <w:rPr>
          <w:rFonts w:hint="eastAsia" w:ascii="宋体" w:hAnsi="宋体"/>
          <w:color w:val="auto"/>
          <w:highlight w:val="none"/>
        </w:rPr>
        <w:t>）项的要求加盖电子印章。电子招标投标交易平台收到通知后，即时向投标人发出确认回执通知。</w:t>
      </w:r>
    </w:p>
    <w:p w14:paraId="360927BA">
      <w:pPr>
        <w:spacing w:line="400" w:lineRule="exact"/>
        <w:ind w:firstLine="420" w:firstLineChars="200"/>
        <w:rPr>
          <w:rFonts w:ascii="宋体" w:hAnsi="宋体"/>
          <w:color w:val="auto"/>
          <w:highlight w:val="none"/>
        </w:rPr>
      </w:pPr>
      <w:r>
        <w:rPr>
          <w:rFonts w:ascii="宋体" w:hAnsi="宋体"/>
          <w:strike/>
          <w:color w:val="auto"/>
          <w:highlight w:val="none"/>
        </w:rPr>
        <w:t>4.3.3</w:t>
      </w:r>
      <w:r>
        <w:rPr>
          <w:rFonts w:hint="eastAsia" w:ascii="宋体" w:hAnsi="宋体"/>
          <w:strike/>
          <w:color w:val="auto"/>
          <w:highlight w:val="none"/>
        </w:rPr>
        <w:t>投标人撤回投标文件的，招标人自收到投标人书面撤回通知之日起</w:t>
      </w:r>
      <w:r>
        <w:rPr>
          <w:rFonts w:ascii="宋体" w:hAnsi="宋体"/>
          <w:strike/>
          <w:color w:val="auto"/>
          <w:highlight w:val="none"/>
        </w:rPr>
        <w:t>5</w:t>
      </w:r>
      <w:r>
        <w:rPr>
          <w:rFonts w:hint="eastAsia" w:ascii="宋体" w:hAnsi="宋体"/>
          <w:strike/>
          <w:color w:val="auto"/>
          <w:highlight w:val="none"/>
        </w:rPr>
        <w:t>日内退还已收取的投标保证金。</w:t>
      </w:r>
    </w:p>
    <w:p w14:paraId="63AFB919">
      <w:pPr>
        <w:spacing w:line="400" w:lineRule="exact"/>
        <w:ind w:firstLine="420" w:firstLineChars="200"/>
        <w:rPr>
          <w:rFonts w:ascii="宋体" w:hAnsi="宋体"/>
          <w:color w:val="auto"/>
          <w:highlight w:val="none"/>
        </w:rPr>
      </w:pPr>
      <w:r>
        <w:rPr>
          <w:rFonts w:ascii="宋体" w:hAnsi="宋体"/>
          <w:color w:val="auto"/>
          <w:highlight w:val="none"/>
        </w:rPr>
        <w:t>4.3.</w:t>
      </w:r>
      <w:bookmarkStart w:id="147" w:name="_Toc300834974"/>
      <w:bookmarkStart w:id="148" w:name="_Toc369531541"/>
      <w:bookmarkStart w:id="149" w:name="_Toc384308235"/>
      <w:bookmarkStart w:id="150" w:name="_Toc152045553"/>
      <w:bookmarkStart w:id="151" w:name="_Toc19203"/>
      <w:bookmarkStart w:id="152" w:name="_Toc144974521"/>
      <w:bookmarkStart w:id="153" w:name="_Toc152042329"/>
      <w:bookmarkStart w:id="154" w:name="_Toc361508610"/>
      <w:bookmarkStart w:id="155" w:name="_Toc352691497"/>
      <w:bookmarkStart w:id="156" w:name="_Toc247527578"/>
      <w:bookmarkStart w:id="157" w:name="_Toc247513977"/>
      <w:r>
        <w:rPr>
          <w:rFonts w:ascii="宋体" w:hAnsi="宋体"/>
          <w:color w:val="auto"/>
          <w:highlight w:val="none"/>
        </w:rPr>
        <w:t>4</w:t>
      </w:r>
      <w:r>
        <w:rPr>
          <w:rFonts w:hint="eastAsia" w:ascii="宋体" w:hAnsi="宋体"/>
          <w:color w:val="auto"/>
          <w:highlight w:val="none"/>
        </w:rPr>
        <w:t>修改的内容为投标</w:t>
      </w:r>
      <w:bookmarkEnd w:id="147"/>
      <w:bookmarkEnd w:id="148"/>
      <w:bookmarkEnd w:id="149"/>
      <w:bookmarkEnd w:id="150"/>
      <w:bookmarkEnd w:id="151"/>
      <w:bookmarkEnd w:id="152"/>
      <w:bookmarkEnd w:id="153"/>
      <w:bookmarkEnd w:id="154"/>
      <w:bookmarkEnd w:id="155"/>
      <w:bookmarkEnd w:id="156"/>
      <w:bookmarkEnd w:id="157"/>
      <w:r>
        <w:rPr>
          <w:rFonts w:hint="eastAsia" w:ascii="宋体" w:hAnsi="宋体"/>
          <w:color w:val="auto"/>
          <w:highlight w:val="none"/>
        </w:rPr>
        <w:t>文件的组成部分。修改的投标文件应按照本章第</w:t>
      </w:r>
      <w:r>
        <w:rPr>
          <w:rFonts w:ascii="宋体" w:hAnsi="宋体"/>
          <w:color w:val="auto"/>
          <w:highlight w:val="none"/>
        </w:rPr>
        <w:t>3</w:t>
      </w:r>
      <w:r>
        <w:rPr>
          <w:rFonts w:hint="eastAsia" w:ascii="宋体" w:hAnsi="宋体"/>
          <w:color w:val="auto"/>
          <w:highlight w:val="none"/>
        </w:rPr>
        <w:t>条、第</w:t>
      </w:r>
      <w:r>
        <w:rPr>
          <w:rFonts w:ascii="宋体" w:hAnsi="宋体"/>
          <w:color w:val="auto"/>
          <w:highlight w:val="none"/>
        </w:rPr>
        <w:t>4</w:t>
      </w:r>
      <w:r>
        <w:rPr>
          <w:rFonts w:hint="eastAsia" w:ascii="宋体" w:hAnsi="宋体"/>
          <w:color w:val="auto"/>
          <w:highlight w:val="none"/>
        </w:rPr>
        <w:t>条的规定进行编制、密封、标记和递交，并标明</w:t>
      </w:r>
      <w:r>
        <w:rPr>
          <w:rFonts w:ascii="宋体" w:hAnsi="宋体"/>
          <w:color w:val="auto"/>
          <w:highlight w:val="none"/>
        </w:rPr>
        <w:t>“</w:t>
      </w:r>
      <w:r>
        <w:rPr>
          <w:rFonts w:hint="eastAsia" w:ascii="宋体" w:hAnsi="宋体"/>
          <w:color w:val="auto"/>
          <w:highlight w:val="none"/>
        </w:rPr>
        <w:t>修改</w:t>
      </w:r>
      <w:r>
        <w:rPr>
          <w:rFonts w:ascii="宋体" w:hAnsi="宋体"/>
          <w:color w:val="auto"/>
          <w:highlight w:val="none"/>
        </w:rPr>
        <w:t>”</w:t>
      </w:r>
      <w:r>
        <w:rPr>
          <w:rFonts w:hint="eastAsia" w:ascii="宋体" w:hAnsi="宋体"/>
          <w:color w:val="auto"/>
          <w:highlight w:val="none"/>
        </w:rPr>
        <w:t>字样。</w:t>
      </w:r>
    </w:p>
    <w:p w14:paraId="50461B72">
      <w:pPr>
        <w:pStyle w:val="2"/>
        <w:rPr>
          <w:rFonts w:ascii="宋体" w:hAnsi="宋体" w:eastAsia="宋体"/>
          <w:color w:val="auto"/>
          <w:highlight w:val="none"/>
        </w:rPr>
      </w:pPr>
      <w:bookmarkStart w:id="158" w:name="_Toc49509995"/>
      <w:r>
        <w:rPr>
          <w:rFonts w:ascii="宋体" w:hAnsi="宋体" w:eastAsia="宋体"/>
          <w:color w:val="auto"/>
          <w:highlight w:val="none"/>
        </w:rPr>
        <w:t xml:space="preserve">5. </w:t>
      </w:r>
      <w:r>
        <w:rPr>
          <w:rFonts w:hint="eastAsia" w:ascii="宋体" w:hAnsi="宋体" w:eastAsia="宋体"/>
          <w:color w:val="auto"/>
          <w:highlight w:val="none"/>
        </w:rPr>
        <w:t>开标</w:t>
      </w:r>
      <w:bookmarkEnd w:id="158"/>
    </w:p>
    <w:p w14:paraId="3138F485">
      <w:pPr>
        <w:pStyle w:val="4"/>
        <w:spacing w:line="240" w:lineRule="auto"/>
        <w:ind w:firstLine="137"/>
        <w:rPr>
          <w:rFonts w:ascii="宋体" w:hAnsi="宋体" w:eastAsia="宋体"/>
          <w:color w:val="auto"/>
          <w:highlight w:val="none"/>
        </w:rPr>
      </w:pPr>
      <w:bookmarkStart w:id="159" w:name="_Toc49506162"/>
      <w:bookmarkStart w:id="160" w:name="_Toc49509996"/>
      <w:r>
        <w:rPr>
          <w:rFonts w:ascii="宋体" w:hAnsi="宋体" w:eastAsia="宋体"/>
          <w:color w:val="auto"/>
          <w:highlight w:val="none"/>
        </w:rPr>
        <w:t xml:space="preserve">5.1 </w:t>
      </w:r>
      <w:r>
        <w:rPr>
          <w:rFonts w:hint="eastAsia" w:ascii="宋体" w:hAnsi="宋体" w:eastAsia="宋体"/>
          <w:color w:val="auto"/>
          <w:highlight w:val="none"/>
        </w:rPr>
        <w:t>开标时间和地点</w:t>
      </w:r>
      <w:bookmarkEnd w:id="159"/>
      <w:bookmarkEnd w:id="160"/>
    </w:p>
    <w:p w14:paraId="3A82BEF5">
      <w:pPr>
        <w:spacing w:line="400" w:lineRule="exact"/>
        <w:ind w:firstLine="420" w:firstLineChars="200"/>
        <w:rPr>
          <w:rFonts w:ascii="宋体" w:hAnsi="宋体"/>
          <w:color w:val="auto"/>
          <w:highlight w:val="none"/>
        </w:rPr>
      </w:pPr>
      <w:r>
        <w:rPr>
          <w:rFonts w:hint="eastAsia" w:ascii="宋体" w:hAnsi="宋体"/>
          <w:color w:val="auto"/>
          <w:highlight w:val="none"/>
        </w:rPr>
        <w:t>招标人在本章第</w:t>
      </w:r>
      <w:r>
        <w:rPr>
          <w:rFonts w:ascii="宋体" w:hAnsi="宋体"/>
          <w:color w:val="auto"/>
          <w:highlight w:val="none"/>
        </w:rPr>
        <w:t>4.2.1</w:t>
      </w:r>
      <w:r>
        <w:rPr>
          <w:rFonts w:hint="eastAsia" w:ascii="宋体" w:hAnsi="宋体"/>
          <w:color w:val="auto"/>
          <w:highlight w:val="none"/>
        </w:rPr>
        <w:t>项规定的投标截止时间（开标时间）</w:t>
      </w:r>
      <w:r>
        <w:rPr>
          <w:rFonts w:ascii="宋体" w:hAnsi="宋体"/>
          <w:color w:val="auto"/>
          <w:highlight w:val="none"/>
        </w:rPr>
        <w:t>,</w:t>
      </w:r>
      <w:r>
        <w:rPr>
          <w:rFonts w:hint="eastAsia" w:ascii="宋体" w:hAnsi="宋体"/>
          <w:color w:val="auto"/>
          <w:highlight w:val="none"/>
        </w:rPr>
        <w:t>通过电子招标投标交易平台公开开标，所有投标人的法定代表人或其委托代理人应当准时参加。</w:t>
      </w:r>
    </w:p>
    <w:p w14:paraId="6068BDCF">
      <w:pPr>
        <w:pStyle w:val="4"/>
        <w:spacing w:line="240" w:lineRule="auto"/>
        <w:ind w:firstLine="137"/>
        <w:rPr>
          <w:rFonts w:ascii="宋体" w:hAnsi="宋体" w:eastAsia="宋体"/>
          <w:color w:val="auto"/>
          <w:highlight w:val="none"/>
        </w:rPr>
      </w:pPr>
      <w:bookmarkStart w:id="161" w:name="_Toc49509997"/>
      <w:bookmarkStart w:id="162" w:name="_Toc49506163"/>
      <w:r>
        <w:rPr>
          <w:rFonts w:ascii="宋体" w:hAnsi="宋体" w:eastAsia="宋体"/>
          <w:color w:val="auto"/>
          <w:highlight w:val="none"/>
        </w:rPr>
        <w:t xml:space="preserve">5.2 </w:t>
      </w:r>
      <w:r>
        <w:rPr>
          <w:rFonts w:hint="eastAsia" w:ascii="宋体" w:hAnsi="宋体" w:eastAsia="宋体"/>
          <w:color w:val="auto"/>
          <w:highlight w:val="none"/>
        </w:rPr>
        <w:t>开标程序</w:t>
      </w:r>
      <w:bookmarkEnd w:id="161"/>
      <w:bookmarkEnd w:id="162"/>
    </w:p>
    <w:p w14:paraId="6D81E8DA">
      <w:pPr>
        <w:spacing w:line="360" w:lineRule="auto"/>
        <w:ind w:firstLine="420" w:firstLineChars="200"/>
        <w:rPr>
          <w:rFonts w:ascii="宋体" w:hAnsi="宋体"/>
          <w:color w:val="auto"/>
          <w:highlight w:val="none"/>
        </w:rPr>
      </w:pPr>
      <w:r>
        <w:rPr>
          <w:rFonts w:ascii="宋体" w:hAnsi="宋体"/>
          <w:color w:val="auto"/>
          <w:szCs w:val="21"/>
          <w:highlight w:val="none"/>
          <w:u w:val="single"/>
        </w:rPr>
        <w:t>5.2.1</w:t>
      </w:r>
      <w:r>
        <w:rPr>
          <w:rFonts w:hint="eastAsia" w:ascii="宋体" w:hAnsi="宋体"/>
          <w:color w:val="auto"/>
          <w:highlight w:val="none"/>
        </w:rPr>
        <w:t>主持人按下列程序进行开标：</w:t>
      </w:r>
    </w:p>
    <w:p w14:paraId="232537F9">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）宣布开标纪律；</w:t>
      </w:r>
    </w:p>
    <w:p w14:paraId="618D114A">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（2）投标人通过电子招标投标交易平台对已递交的电子投标文件进行解密；</w:t>
      </w:r>
    </w:p>
    <w:p w14:paraId="4D467105">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（3）投标人完成解密后，再由招标人或招标代理机构进行解密；</w:t>
      </w:r>
    </w:p>
    <w:p w14:paraId="2B9DDB2A">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（4）解密完成后，公布招标项目名称、投标人名称、投标报价、监理服务期限及其他内容，并记录在案；</w:t>
      </w:r>
    </w:p>
    <w:p w14:paraId="4C4CBBFA">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（5）投标人代表、招标人代表、监标人、记录人等有关人员在开标记录上签字确认；若有关人员不签字的，不影响开标程序；</w:t>
      </w:r>
    </w:p>
    <w:p w14:paraId="2729558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）开标结束。</w:t>
      </w:r>
    </w:p>
    <w:p w14:paraId="4A2591C6">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w:t>
      </w:r>
      <w:r>
        <w:rPr>
          <w:rFonts w:hint="eastAsia" w:ascii="宋体" w:hAnsi="宋体"/>
          <w:b/>
          <w:color w:val="auto"/>
          <w:szCs w:val="21"/>
          <w:highlight w:val="none"/>
          <w:u w:val="single"/>
        </w:rPr>
        <w:t>一小时内</w:t>
      </w:r>
      <w:r>
        <w:rPr>
          <w:rFonts w:hint="eastAsia" w:ascii="宋体" w:hAnsi="宋体"/>
          <w:color w:val="auto"/>
          <w:szCs w:val="21"/>
          <w:highlight w:val="none"/>
          <w:u w:val="single"/>
        </w:rPr>
        <w:t>解密的且未提交备用光盘（或U盘）的，视为撤销其投标文件。</w:t>
      </w:r>
    </w:p>
    <w:p w14:paraId="0C02AB20">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5.2.3开标时，出现下列情形之一的，不参与资格审查和评标：</w:t>
      </w:r>
    </w:p>
    <w:p w14:paraId="4B433C8D">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（1）未成功递交投标文件的。</w:t>
      </w:r>
    </w:p>
    <w:p w14:paraId="39879644">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（2）因投标人原因造成投标文件未解密的。</w:t>
      </w:r>
    </w:p>
    <w:p w14:paraId="30F1931D">
      <w:pPr>
        <w:spacing w:line="360" w:lineRule="auto"/>
        <w:ind w:firstLine="420" w:firstLineChars="200"/>
        <w:rPr>
          <w:rFonts w:ascii="宋体" w:hAnsi="宋体"/>
          <w:color w:val="auto"/>
          <w:highlight w:val="none"/>
        </w:rPr>
      </w:pPr>
      <w:r>
        <w:rPr>
          <w:rFonts w:hint="eastAsia" w:ascii="宋体" w:hAnsi="宋体"/>
          <w:bCs/>
          <w:color w:val="auto"/>
          <w:szCs w:val="21"/>
          <w:highlight w:val="none"/>
          <w:u w:val="single"/>
        </w:rPr>
        <w:t>5.2.4开标时，两个（含两个）以上的投标人加密打包投标文件电脑机器特征码一致的，不参与下一程序，并由评标委员会否决其投标。</w:t>
      </w:r>
      <w:bookmarkStart w:id="163" w:name="_Toc49509998"/>
      <w:bookmarkStart w:id="164" w:name="_Toc49506164"/>
    </w:p>
    <w:p w14:paraId="2A8061BE">
      <w:pPr>
        <w:pStyle w:val="4"/>
        <w:spacing w:line="240" w:lineRule="auto"/>
        <w:ind w:firstLine="137"/>
        <w:rPr>
          <w:rFonts w:ascii="宋体" w:hAnsi="宋体" w:eastAsia="宋体"/>
          <w:color w:val="auto"/>
          <w:highlight w:val="none"/>
        </w:rPr>
      </w:pPr>
      <w:r>
        <w:rPr>
          <w:rFonts w:ascii="宋体" w:hAnsi="宋体" w:eastAsia="宋体"/>
          <w:color w:val="auto"/>
          <w:highlight w:val="none"/>
        </w:rPr>
        <w:t xml:space="preserve">5.3 </w:t>
      </w:r>
      <w:r>
        <w:rPr>
          <w:rFonts w:hint="eastAsia" w:ascii="宋体" w:hAnsi="宋体" w:eastAsia="宋体"/>
          <w:color w:val="auto"/>
          <w:highlight w:val="none"/>
        </w:rPr>
        <w:t>开标异议</w:t>
      </w:r>
      <w:bookmarkEnd w:id="163"/>
      <w:bookmarkEnd w:id="164"/>
    </w:p>
    <w:p w14:paraId="22BF28B5">
      <w:pPr>
        <w:spacing w:line="400" w:lineRule="exact"/>
        <w:ind w:firstLine="359" w:firstLineChars="171"/>
        <w:rPr>
          <w:rFonts w:ascii="宋体" w:hAnsi="宋体"/>
          <w:color w:val="auto"/>
          <w:highlight w:val="none"/>
        </w:rPr>
      </w:pPr>
      <w:r>
        <w:rPr>
          <w:rFonts w:hint="eastAsia" w:ascii="宋体" w:hAnsi="宋体"/>
          <w:color w:val="auto"/>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E662DFC">
      <w:pPr>
        <w:pStyle w:val="2"/>
        <w:rPr>
          <w:rFonts w:ascii="宋体" w:hAnsi="宋体" w:eastAsia="宋体"/>
          <w:color w:val="auto"/>
          <w:highlight w:val="none"/>
        </w:rPr>
      </w:pPr>
      <w:bookmarkStart w:id="165" w:name="_Toc49509999"/>
      <w:r>
        <w:rPr>
          <w:rFonts w:ascii="宋体" w:hAnsi="宋体" w:eastAsia="宋体"/>
          <w:color w:val="auto"/>
          <w:highlight w:val="none"/>
        </w:rPr>
        <w:t xml:space="preserve">6. </w:t>
      </w:r>
      <w:r>
        <w:rPr>
          <w:rFonts w:hint="eastAsia" w:ascii="宋体" w:hAnsi="宋体" w:eastAsia="宋体"/>
          <w:color w:val="auto"/>
          <w:highlight w:val="none"/>
        </w:rPr>
        <w:t>评标</w:t>
      </w:r>
      <w:bookmarkEnd w:id="165"/>
    </w:p>
    <w:p w14:paraId="6E0AB6EF">
      <w:pPr>
        <w:pStyle w:val="4"/>
        <w:spacing w:line="240" w:lineRule="auto"/>
        <w:ind w:firstLine="137"/>
        <w:rPr>
          <w:rFonts w:ascii="宋体" w:hAnsi="宋体" w:eastAsia="宋体"/>
          <w:color w:val="auto"/>
          <w:highlight w:val="none"/>
        </w:rPr>
      </w:pPr>
      <w:bookmarkStart w:id="166" w:name="_Toc49510000"/>
      <w:bookmarkStart w:id="167" w:name="_Toc49506166"/>
      <w:r>
        <w:rPr>
          <w:rFonts w:ascii="宋体" w:hAnsi="宋体" w:eastAsia="宋体"/>
          <w:color w:val="auto"/>
          <w:highlight w:val="none"/>
        </w:rPr>
        <w:t xml:space="preserve">6.1 </w:t>
      </w:r>
      <w:r>
        <w:rPr>
          <w:rFonts w:hint="eastAsia" w:ascii="宋体" w:hAnsi="宋体" w:eastAsia="宋体"/>
          <w:color w:val="auto"/>
          <w:highlight w:val="none"/>
        </w:rPr>
        <w:t>评标委员会</w:t>
      </w:r>
      <w:bookmarkEnd w:id="166"/>
      <w:bookmarkEnd w:id="167"/>
    </w:p>
    <w:p w14:paraId="158EACCE">
      <w:pPr>
        <w:spacing w:line="400" w:lineRule="exact"/>
        <w:ind w:firstLine="420" w:firstLineChars="200"/>
        <w:rPr>
          <w:rFonts w:ascii="宋体" w:hAnsi="宋体"/>
          <w:color w:val="auto"/>
          <w:highlight w:val="none"/>
        </w:rPr>
      </w:pPr>
      <w:r>
        <w:rPr>
          <w:rFonts w:ascii="宋体" w:hAnsi="宋体"/>
          <w:color w:val="auto"/>
          <w:highlight w:val="none"/>
        </w:rPr>
        <w:t>6.1.1</w:t>
      </w:r>
      <w:r>
        <w:rPr>
          <w:rFonts w:hint="eastAsia" w:ascii="宋体" w:hAnsi="宋体"/>
          <w:color w:val="auto"/>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31DAE3A">
      <w:pPr>
        <w:spacing w:line="400" w:lineRule="exact"/>
        <w:ind w:firstLine="420" w:firstLineChars="200"/>
        <w:rPr>
          <w:rFonts w:ascii="宋体" w:hAnsi="宋体"/>
          <w:color w:val="auto"/>
          <w:highlight w:val="none"/>
        </w:rPr>
      </w:pPr>
      <w:r>
        <w:rPr>
          <w:rFonts w:ascii="宋体" w:hAnsi="宋体"/>
          <w:color w:val="auto"/>
          <w:highlight w:val="none"/>
        </w:rPr>
        <w:t>6.1.2</w:t>
      </w:r>
      <w:r>
        <w:rPr>
          <w:rFonts w:hint="eastAsia" w:ascii="宋体" w:hAnsi="宋体"/>
          <w:color w:val="auto"/>
          <w:highlight w:val="none"/>
        </w:rPr>
        <w:t>评标委员会成员有下列情形之一的，应当回避：</w:t>
      </w:r>
    </w:p>
    <w:p w14:paraId="559CD095">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）投标人或投标人主要负责人的近亲属；</w:t>
      </w:r>
    </w:p>
    <w:p w14:paraId="43E5394B">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）项目主管部门或者行政监督部门的人员；</w:t>
      </w:r>
    </w:p>
    <w:p w14:paraId="0B41E363">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）与投标人有经济利益关系，可能影响对投标公正评审的；</w:t>
      </w:r>
    </w:p>
    <w:p w14:paraId="59C2E170">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）曾因在招标、评</w:t>
      </w:r>
      <w:bookmarkStart w:id="168" w:name="_Toc361508612"/>
      <w:bookmarkStart w:id="169" w:name="_Toc152042331"/>
      <w:bookmarkStart w:id="170" w:name="_Toc6230"/>
      <w:bookmarkStart w:id="171" w:name="_Toc369531543"/>
      <w:bookmarkStart w:id="172" w:name="_Toc247513979"/>
      <w:bookmarkStart w:id="173" w:name="_Toc300834976"/>
      <w:bookmarkStart w:id="174" w:name="_Toc247527580"/>
      <w:bookmarkStart w:id="175" w:name="_Toc144974523"/>
      <w:bookmarkStart w:id="176" w:name="_Toc152045555"/>
      <w:bookmarkStart w:id="177" w:name="_Toc352691499"/>
      <w:bookmarkStart w:id="178" w:name="_Toc384308237"/>
      <w:r>
        <w:rPr>
          <w:rFonts w:hint="eastAsia" w:ascii="宋体" w:hAnsi="宋体"/>
          <w:color w:val="auto"/>
          <w:highlight w:val="none"/>
        </w:rPr>
        <w:t>标以及其他</w:t>
      </w:r>
      <w:bookmarkEnd w:id="168"/>
      <w:bookmarkEnd w:id="169"/>
      <w:bookmarkEnd w:id="170"/>
      <w:bookmarkEnd w:id="171"/>
      <w:bookmarkEnd w:id="172"/>
      <w:bookmarkEnd w:id="173"/>
      <w:bookmarkEnd w:id="174"/>
      <w:bookmarkEnd w:id="175"/>
      <w:bookmarkEnd w:id="176"/>
      <w:bookmarkEnd w:id="177"/>
      <w:bookmarkEnd w:id="178"/>
      <w:r>
        <w:rPr>
          <w:rFonts w:hint="eastAsia" w:ascii="宋体" w:hAnsi="宋体"/>
          <w:color w:val="auto"/>
          <w:highlight w:val="none"/>
        </w:rPr>
        <w:t>与</w:t>
      </w:r>
      <w:bookmarkStart w:id="179" w:name="_Toc152045556"/>
      <w:bookmarkStart w:id="180" w:name="_Toc247513980"/>
      <w:bookmarkStart w:id="181" w:name="_Toc384308238"/>
      <w:bookmarkStart w:id="182" w:name="_Toc361508613"/>
      <w:bookmarkStart w:id="183" w:name="_Toc369531544"/>
      <w:bookmarkStart w:id="184" w:name="_Toc247527581"/>
      <w:bookmarkStart w:id="185" w:name="_Toc144974524"/>
      <w:bookmarkStart w:id="186" w:name="_Toc17703"/>
      <w:bookmarkStart w:id="187" w:name="_Toc300834977"/>
      <w:bookmarkStart w:id="188" w:name="_Toc352691500"/>
      <w:bookmarkStart w:id="189" w:name="_Toc152042332"/>
      <w:r>
        <w:rPr>
          <w:rFonts w:hint="eastAsia" w:ascii="宋体" w:hAnsi="宋体"/>
          <w:color w:val="auto"/>
          <w:highlight w:val="none"/>
        </w:rPr>
        <w:t>招标投标有关活动中从事违法行</w:t>
      </w:r>
      <w:bookmarkEnd w:id="179"/>
      <w:bookmarkEnd w:id="180"/>
      <w:bookmarkEnd w:id="181"/>
      <w:bookmarkEnd w:id="182"/>
      <w:bookmarkEnd w:id="183"/>
      <w:bookmarkEnd w:id="184"/>
      <w:bookmarkEnd w:id="185"/>
      <w:bookmarkEnd w:id="186"/>
      <w:bookmarkEnd w:id="187"/>
      <w:bookmarkEnd w:id="188"/>
      <w:bookmarkEnd w:id="189"/>
      <w:r>
        <w:rPr>
          <w:rFonts w:hint="eastAsia" w:ascii="宋体" w:hAnsi="宋体"/>
          <w:color w:val="auto"/>
          <w:highlight w:val="none"/>
        </w:rPr>
        <w:t>为而受过行政处罚或刑事处罚的；</w:t>
      </w:r>
    </w:p>
    <w:p w14:paraId="19D840F2">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）与投标人有其他利害关系。</w:t>
      </w:r>
    </w:p>
    <w:p w14:paraId="691F9682">
      <w:pPr>
        <w:spacing w:line="400" w:lineRule="exact"/>
        <w:ind w:firstLine="420" w:firstLineChars="200"/>
        <w:rPr>
          <w:rFonts w:ascii="宋体" w:hAnsi="宋体"/>
          <w:color w:val="auto"/>
          <w:highlight w:val="none"/>
        </w:rPr>
      </w:pPr>
      <w:r>
        <w:rPr>
          <w:rFonts w:ascii="宋体" w:hAnsi="宋体"/>
          <w:color w:val="auto"/>
          <w:highlight w:val="none"/>
        </w:rPr>
        <w:t>6.1.3</w:t>
      </w:r>
      <w:r>
        <w:rPr>
          <w:rFonts w:hint="eastAsia" w:ascii="宋体" w:hAnsi="宋体"/>
          <w:color w:val="auto"/>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50A2DD82">
      <w:pPr>
        <w:pStyle w:val="4"/>
        <w:spacing w:line="240" w:lineRule="auto"/>
        <w:ind w:firstLine="137"/>
        <w:rPr>
          <w:rFonts w:ascii="宋体" w:hAnsi="宋体" w:eastAsia="宋体"/>
          <w:color w:val="auto"/>
          <w:highlight w:val="none"/>
        </w:rPr>
      </w:pPr>
      <w:bookmarkStart w:id="190" w:name="_Toc49506167"/>
      <w:bookmarkStart w:id="191" w:name="_Toc49510001"/>
      <w:r>
        <w:rPr>
          <w:rFonts w:ascii="宋体" w:hAnsi="宋体" w:eastAsia="宋体"/>
          <w:color w:val="auto"/>
          <w:highlight w:val="none"/>
        </w:rPr>
        <w:t xml:space="preserve">6.2 </w:t>
      </w:r>
      <w:r>
        <w:rPr>
          <w:rFonts w:hint="eastAsia" w:ascii="宋体" w:hAnsi="宋体" w:eastAsia="宋体"/>
          <w:color w:val="auto"/>
          <w:highlight w:val="none"/>
        </w:rPr>
        <w:t>评标原则</w:t>
      </w:r>
      <w:bookmarkEnd w:id="190"/>
      <w:bookmarkEnd w:id="191"/>
    </w:p>
    <w:p w14:paraId="5931669C">
      <w:pPr>
        <w:spacing w:line="400" w:lineRule="exact"/>
        <w:ind w:firstLine="420" w:firstLineChars="200"/>
        <w:rPr>
          <w:rFonts w:ascii="宋体" w:hAnsi="宋体"/>
          <w:color w:val="auto"/>
          <w:highlight w:val="none"/>
        </w:rPr>
      </w:pPr>
      <w:r>
        <w:rPr>
          <w:rFonts w:hint="eastAsia" w:ascii="宋体" w:hAnsi="宋体"/>
          <w:color w:val="auto"/>
          <w:highlight w:val="none"/>
        </w:rPr>
        <w:t>评标活动遵循公平、公正、科学和择优的原</w:t>
      </w:r>
      <w:bookmarkStart w:id="192" w:name="_Toc352691501"/>
      <w:bookmarkStart w:id="193" w:name="_Toc247513981"/>
      <w:bookmarkStart w:id="194" w:name="_Toc384308239"/>
      <w:bookmarkStart w:id="195" w:name="_Toc144974525"/>
      <w:bookmarkStart w:id="196" w:name="_Toc152045557"/>
      <w:bookmarkStart w:id="197" w:name="_Toc361508614"/>
      <w:bookmarkStart w:id="198" w:name="_Toc369531545"/>
      <w:bookmarkStart w:id="199" w:name="_Toc18949"/>
      <w:bookmarkStart w:id="200" w:name="_Toc300834978"/>
      <w:bookmarkStart w:id="201" w:name="_Toc152042333"/>
      <w:bookmarkStart w:id="202" w:name="_Toc247527582"/>
      <w:r>
        <w:rPr>
          <w:rFonts w:hint="eastAsia" w:ascii="宋体" w:hAnsi="宋体"/>
          <w:color w:val="auto"/>
          <w:highlight w:val="none"/>
        </w:rPr>
        <w:t>则。</w:t>
      </w:r>
    </w:p>
    <w:p w14:paraId="61661F29">
      <w:pPr>
        <w:pStyle w:val="4"/>
        <w:spacing w:line="240" w:lineRule="auto"/>
        <w:ind w:firstLine="137"/>
        <w:rPr>
          <w:rFonts w:ascii="宋体" w:hAnsi="宋体" w:eastAsia="宋体"/>
          <w:color w:val="auto"/>
          <w:highlight w:val="none"/>
        </w:rPr>
      </w:pPr>
      <w:bookmarkStart w:id="203" w:name="_Toc49506168"/>
      <w:bookmarkStart w:id="204" w:name="_Toc49510002"/>
      <w:r>
        <w:rPr>
          <w:rFonts w:ascii="宋体" w:hAnsi="宋体" w:eastAsia="宋体"/>
          <w:color w:val="auto"/>
          <w:highlight w:val="none"/>
        </w:rPr>
        <w:t xml:space="preserve">6.3 </w:t>
      </w:r>
      <w:r>
        <w:rPr>
          <w:rFonts w:hint="eastAsia" w:ascii="宋体" w:hAnsi="宋体" w:eastAsia="宋体"/>
          <w:color w:val="auto"/>
          <w:highlight w:val="none"/>
        </w:rPr>
        <w:t>评标</w:t>
      </w:r>
      <w:bookmarkEnd w:id="203"/>
      <w:bookmarkEnd w:id="204"/>
    </w:p>
    <w:p w14:paraId="11290A7E">
      <w:pPr>
        <w:spacing w:line="400" w:lineRule="exact"/>
        <w:ind w:firstLine="420" w:firstLineChars="200"/>
        <w:rPr>
          <w:rFonts w:ascii="宋体" w:hAnsi="宋体"/>
          <w:color w:val="auto"/>
          <w:highlight w:val="none"/>
        </w:rPr>
      </w:pPr>
      <w:r>
        <w:rPr>
          <w:rFonts w:ascii="宋体" w:hAnsi="宋体"/>
          <w:color w:val="auto"/>
          <w:highlight w:val="none"/>
        </w:rPr>
        <w:t>6</w:t>
      </w:r>
      <w:bookmarkEnd w:id="192"/>
      <w:bookmarkEnd w:id="193"/>
      <w:bookmarkEnd w:id="194"/>
      <w:bookmarkEnd w:id="195"/>
      <w:bookmarkEnd w:id="196"/>
      <w:bookmarkEnd w:id="197"/>
      <w:bookmarkEnd w:id="198"/>
      <w:bookmarkEnd w:id="199"/>
      <w:bookmarkEnd w:id="200"/>
      <w:bookmarkEnd w:id="201"/>
      <w:bookmarkEnd w:id="202"/>
      <w:r>
        <w:rPr>
          <w:rFonts w:ascii="宋体" w:hAnsi="宋体"/>
          <w:color w:val="auto"/>
          <w:highlight w:val="none"/>
        </w:rPr>
        <w:t>.3.1</w:t>
      </w:r>
      <w:r>
        <w:rPr>
          <w:rFonts w:hint="eastAsia" w:ascii="宋体" w:hAnsi="宋体"/>
          <w:color w:val="auto"/>
          <w:highlight w:val="none"/>
        </w:rPr>
        <w:t>评标委员会按照第三章</w:t>
      </w:r>
      <w:r>
        <w:rPr>
          <w:rFonts w:ascii="宋体" w:hAnsi="宋体"/>
          <w:color w:val="auto"/>
          <w:highlight w:val="none"/>
        </w:rPr>
        <w:t>评标办法（</w:t>
      </w:r>
      <w:r>
        <w:rPr>
          <w:rFonts w:hint="eastAsia" w:ascii="宋体" w:hAnsi="宋体"/>
          <w:color w:val="auto"/>
          <w:highlight w:val="none"/>
        </w:rPr>
        <w:t>“</w:t>
      </w:r>
      <w:r>
        <w:rPr>
          <w:rFonts w:ascii="宋体" w:hAnsi="宋体"/>
          <w:color w:val="auto"/>
          <w:highlight w:val="none"/>
        </w:rPr>
        <w:t>评定分离</w:t>
      </w:r>
      <w:r>
        <w:rPr>
          <w:rFonts w:hint="eastAsia" w:ascii="宋体" w:hAnsi="宋体"/>
          <w:color w:val="auto"/>
          <w:highlight w:val="none"/>
        </w:rPr>
        <w:t>”</w:t>
      </w:r>
      <w:r>
        <w:rPr>
          <w:rFonts w:ascii="宋体" w:hAnsi="宋体"/>
          <w:color w:val="auto"/>
          <w:highlight w:val="none"/>
        </w:rPr>
        <w:t>定标办法）</w:t>
      </w:r>
      <w:r>
        <w:rPr>
          <w:rFonts w:hint="eastAsia" w:ascii="宋体" w:hAnsi="宋体"/>
          <w:color w:val="auto"/>
          <w:highlight w:val="none"/>
        </w:rPr>
        <w:t>规定的方法、评审因素、标准和程序对投标文件进行评审。第三章</w:t>
      </w:r>
      <w:r>
        <w:rPr>
          <w:rFonts w:ascii="宋体" w:hAnsi="宋体"/>
          <w:color w:val="auto"/>
          <w:highlight w:val="none"/>
        </w:rPr>
        <w:t>评标办法（</w:t>
      </w:r>
      <w:r>
        <w:rPr>
          <w:rFonts w:hint="eastAsia" w:ascii="宋体" w:hAnsi="宋体"/>
          <w:color w:val="auto"/>
          <w:highlight w:val="none"/>
        </w:rPr>
        <w:t>“</w:t>
      </w:r>
      <w:r>
        <w:rPr>
          <w:rFonts w:ascii="宋体" w:hAnsi="宋体"/>
          <w:color w:val="auto"/>
          <w:highlight w:val="none"/>
        </w:rPr>
        <w:t>评定分离</w:t>
      </w:r>
      <w:r>
        <w:rPr>
          <w:rFonts w:hint="eastAsia" w:ascii="宋体" w:hAnsi="宋体"/>
          <w:color w:val="auto"/>
          <w:highlight w:val="none"/>
        </w:rPr>
        <w:t>”</w:t>
      </w:r>
      <w:r>
        <w:rPr>
          <w:rFonts w:ascii="宋体" w:hAnsi="宋体"/>
          <w:color w:val="auto"/>
          <w:highlight w:val="none"/>
        </w:rPr>
        <w:t>定标办法）</w:t>
      </w:r>
      <w:r>
        <w:rPr>
          <w:rFonts w:hint="eastAsia" w:ascii="宋体" w:hAnsi="宋体"/>
          <w:color w:val="auto"/>
          <w:highlight w:val="none"/>
        </w:rPr>
        <w:t>没有规定的方法、评审因素和标准，不作为评标依据。</w:t>
      </w:r>
    </w:p>
    <w:p w14:paraId="5BB372E3">
      <w:pPr>
        <w:spacing w:line="400" w:lineRule="exact"/>
        <w:ind w:firstLine="420" w:firstLineChars="200"/>
        <w:rPr>
          <w:rFonts w:ascii="宋体" w:hAnsi="宋体"/>
          <w:color w:val="auto"/>
          <w:highlight w:val="none"/>
        </w:rPr>
      </w:pPr>
      <w:r>
        <w:rPr>
          <w:rFonts w:ascii="宋体" w:hAnsi="宋体"/>
          <w:color w:val="auto"/>
          <w:highlight w:val="none"/>
        </w:rPr>
        <w:t>6.3.2</w:t>
      </w:r>
      <w:r>
        <w:rPr>
          <w:rFonts w:hint="eastAsia" w:ascii="宋体" w:hAnsi="宋体"/>
          <w:color w:val="auto"/>
          <w:highlight w:val="none"/>
        </w:rPr>
        <w:t>评标完成后，评标委员会应当向招标人提交书面评标报告和中标候选人名单。</w:t>
      </w:r>
    </w:p>
    <w:p w14:paraId="58177A39">
      <w:pPr>
        <w:pStyle w:val="2"/>
        <w:rPr>
          <w:rFonts w:ascii="宋体" w:hAnsi="宋体" w:eastAsia="宋体"/>
          <w:color w:val="auto"/>
          <w:highlight w:val="none"/>
        </w:rPr>
      </w:pPr>
      <w:bookmarkStart w:id="205" w:name="_Toc49510004"/>
      <w:r>
        <w:rPr>
          <w:rFonts w:ascii="宋体" w:hAnsi="宋体" w:eastAsia="宋体"/>
          <w:color w:val="auto"/>
          <w:highlight w:val="none"/>
        </w:rPr>
        <w:t xml:space="preserve">7. </w:t>
      </w:r>
      <w:r>
        <w:rPr>
          <w:rFonts w:hint="eastAsia" w:ascii="宋体" w:hAnsi="宋体" w:eastAsia="宋体"/>
          <w:color w:val="auto"/>
          <w:highlight w:val="none"/>
        </w:rPr>
        <w:t>合同授予</w:t>
      </w:r>
      <w:bookmarkEnd w:id="205"/>
    </w:p>
    <w:p w14:paraId="66672376">
      <w:pPr>
        <w:pStyle w:val="4"/>
        <w:spacing w:line="240" w:lineRule="auto"/>
        <w:ind w:firstLine="137"/>
        <w:rPr>
          <w:rFonts w:ascii="宋体" w:hAnsi="宋体" w:eastAsia="宋体"/>
          <w:color w:val="auto"/>
          <w:highlight w:val="none"/>
        </w:rPr>
      </w:pPr>
      <w:bookmarkStart w:id="206" w:name="_Toc49510005"/>
      <w:bookmarkStart w:id="207" w:name="_Toc49506170"/>
      <w:r>
        <w:rPr>
          <w:rFonts w:ascii="宋体" w:hAnsi="宋体" w:eastAsia="宋体"/>
          <w:color w:val="auto"/>
          <w:highlight w:val="none"/>
        </w:rPr>
        <w:t xml:space="preserve">7.1 </w:t>
      </w:r>
      <w:r>
        <w:rPr>
          <w:rFonts w:hint="eastAsia" w:ascii="宋体" w:hAnsi="宋体" w:eastAsia="宋体"/>
          <w:color w:val="auto"/>
          <w:highlight w:val="none"/>
        </w:rPr>
        <w:t>中标候选人公示</w:t>
      </w:r>
      <w:bookmarkEnd w:id="206"/>
      <w:bookmarkEnd w:id="207"/>
    </w:p>
    <w:p w14:paraId="3E0D9BF5">
      <w:pPr>
        <w:spacing w:line="400" w:lineRule="exact"/>
        <w:ind w:firstLine="420" w:firstLineChars="200"/>
        <w:rPr>
          <w:rFonts w:ascii="宋体" w:hAnsi="宋体"/>
          <w:color w:val="auto"/>
          <w:highlight w:val="none"/>
        </w:rPr>
      </w:pPr>
      <w:r>
        <w:rPr>
          <w:rFonts w:hint="eastAsia" w:ascii="宋体" w:hAnsi="宋体"/>
          <w:color w:val="auto"/>
          <w:highlight w:val="none"/>
        </w:rPr>
        <w:t>招标人在</w:t>
      </w:r>
      <w:r>
        <w:rPr>
          <w:rFonts w:ascii="宋体" w:hAnsi="宋体"/>
          <w:color w:val="auto"/>
          <w:highlight w:val="none"/>
        </w:rPr>
        <w:t>收到评标报告</w:t>
      </w:r>
      <w:r>
        <w:rPr>
          <w:rFonts w:hint="eastAsia" w:ascii="宋体" w:hAnsi="宋体"/>
          <w:color w:val="auto"/>
          <w:highlight w:val="none"/>
        </w:rPr>
        <w:t>之日起</w:t>
      </w:r>
      <w:r>
        <w:rPr>
          <w:rFonts w:ascii="宋体" w:hAnsi="宋体"/>
          <w:color w:val="auto"/>
          <w:highlight w:val="none"/>
        </w:rPr>
        <w:t>3</w:t>
      </w:r>
      <w:r>
        <w:rPr>
          <w:rFonts w:hint="eastAsia" w:ascii="宋体" w:hAnsi="宋体"/>
          <w:color w:val="auto"/>
          <w:highlight w:val="none"/>
        </w:rPr>
        <w:t>日内，按照投标人须知前附表规定的公示媒介和期限公示中标候选人，公示期不得少于</w:t>
      </w:r>
      <w:r>
        <w:rPr>
          <w:rFonts w:ascii="宋体" w:hAnsi="宋体"/>
          <w:color w:val="auto"/>
          <w:highlight w:val="none"/>
        </w:rPr>
        <w:t>3</w:t>
      </w:r>
      <w:r>
        <w:rPr>
          <w:rFonts w:hint="eastAsia" w:ascii="宋体" w:hAnsi="宋体"/>
          <w:color w:val="auto"/>
          <w:highlight w:val="none"/>
        </w:rPr>
        <w:t>天。</w:t>
      </w:r>
    </w:p>
    <w:p w14:paraId="4F1EBA8B">
      <w:pPr>
        <w:pStyle w:val="4"/>
        <w:spacing w:line="240" w:lineRule="auto"/>
        <w:ind w:firstLine="137"/>
        <w:rPr>
          <w:rFonts w:ascii="宋体" w:hAnsi="宋体" w:eastAsia="宋体"/>
          <w:color w:val="auto"/>
          <w:highlight w:val="none"/>
        </w:rPr>
      </w:pPr>
      <w:bookmarkStart w:id="208" w:name="_Toc49506171"/>
      <w:bookmarkStart w:id="209" w:name="_Toc49510006"/>
      <w:r>
        <w:rPr>
          <w:rFonts w:ascii="宋体" w:hAnsi="宋体" w:eastAsia="宋体"/>
          <w:color w:val="auto"/>
          <w:highlight w:val="none"/>
        </w:rPr>
        <w:t xml:space="preserve">7.2 </w:t>
      </w:r>
      <w:r>
        <w:rPr>
          <w:rFonts w:hint="eastAsia" w:ascii="宋体" w:hAnsi="宋体" w:eastAsia="宋体"/>
          <w:color w:val="auto"/>
          <w:highlight w:val="none"/>
        </w:rPr>
        <w:t>评标结果异议</w:t>
      </w:r>
      <w:bookmarkEnd w:id="208"/>
      <w:bookmarkEnd w:id="209"/>
    </w:p>
    <w:p w14:paraId="434188D7">
      <w:pPr>
        <w:spacing w:line="400" w:lineRule="exact"/>
        <w:ind w:firstLine="420" w:firstLineChars="200"/>
        <w:rPr>
          <w:rFonts w:ascii="宋体" w:hAnsi="宋体"/>
          <w:color w:val="auto"/>
          <w:highlight w:val="none"/>
        </w:rPr>
      </w:pPr>
      <w:r>
        <w:rPr>
          <w:rFonts w:hint="eastAsia" w:ascii="宋体" w:hAnsi="宋体"/>
          <w:color w:val="auto"/>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79A1369B">
      <w:pPr>
        <w:pStyle w:val="4"/>
        <w:spacing w:line="240" w:lineRule="auto"/>
        <w:ind w:firstLine="137"/>
        <w:rPr>
          <w:rFonts w:ascii="宋体" w:hAnsi="宋体" w:eastAsia="宋体"/>
          <w:color w:val="auto"/>
          <w:highlight w:val="none"/>
        </w:rPr>
      </w:pPr>
      <w:bookmarkStart w:id="210" w:name="_Toc49510007"/>
      <w:bookmarkStart w:id="211" w:name="_Toc49506172"/>
      <w:r>
        <w:rPr>
          <w:rFonts w:ascii="宋体" w:hAnsi="宋体" w:eastAsia="宋体"/>
          <w:color w:val="auto"/>
          <w:highlight w:val="none"/>
        </w:rPr>
        <w:t xml:space="preserve">7.3 </w:t>
      </w:r>
      <w:r>
        <w:rPr>
          <w:rFonts w:hint="eastAsia" w:ascii="宋体" w:hAnsi="宋体" w:eastAsia="宋体"/>
          <w:color w:val="auto"/>
          <w:highlight w:val="none"/>
        </w:rPr>
        <w:t>中标候选人履约能力审查</w:t>
      </w:r>
      <w:bookmarkEnd w:id="210"/>
      <w:bookmarkEnd w:id="211"/>
    </w:p>
    <w:p w14:paraId="7E26429E">
      <w:pPr>
        <w:spacing w:line="400" w:lineRule="exact"/>
        <w:ind w:firstLine="420" w:firstLineChars="200"/>
        <w:rPr>
          <w:rFonts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93A6BE9">
      <w:pPr>
        <w:pStyle w:val="4"/>
        <w:spacing w:line="240" w:lineRule="auto"/>
        <w:ind w:firstLine="137"/>
        <w:rPr>
          <w:rFonts w:ascii="宋体" w:hAnsi="宋体" w:eastAsia="宋体"/>
          <w:color w:val="auto"/>
          <w:highlight w:val="none"/>
        </w:rPr>
      </w:pPr>
      <w:bookmarkStart w:id="212" w:name="_Toc49506173"/>
      <w:bookmarkStart w:id="213" w:name="_Toc49510008"/>
      <w:r>
        <w:rPr>
          <w:rFonts w:ascii="宋体" w:hAnsi="宋体" w:eastAsia="宋体"/>
          <w:color w:val="auto"/>
          <w:highlight w:val="none"/>
        </w:rPr>
        <w:t xml:space="preserve">7.4 </w:t>
      </w:r>
      <w:r>
        <w:rPr>
          <w:rFonts w:hint="eastAsia" w:ascii="宋体" w:hAnsi="宋体" w:eastAsia="宋体"/>
          <w:color w:val="auto"/>
          <w:highlight w:val="none"/>
        </w:rPr>
        <w:t>定标</w:t>
      </w:r>
      <w:bookmarkEnd w:id="212"/>
      <w:bookmarkEnd w:id="213"/>
    </w:p>
    <w:p w14:paraId="167F377B">
      <w:pPr>
        <w:spacing w:line="420" w:lineRule="exact"/>
        <w:ind w:firstLine="420" w:firstLineChars="200"/>
        <w:rPr>
          <w:rFonts w:ascii="宋体" w:hAnsi="宋体"/>
          <w:color w:val="auto"/>
          <w:highlight w:val="none"/>
          <w:u w:val="single"/>
        </w:rPr>
      </w:pPr>
      <w:r>
        <w:rPr>
          <w:rFonts w:hint="eastAsia" w:ascii="宋体" w:hAnsi="宋体"/>
          <w:color w:val="auto"/>
          <w:szCs w:val="24"/>
          <w:highlight w:val="none"/>
          <w:u w:val="single"/>
        </w:rPr>
        <w:t>定标委员会</w:t>
      </w:r>
      <w:r>
        <w:rPr>
          <w:rFonts w:hint="eastAsia" w:ascii="宋体" w:hAnsi="宋体"/>
          <w:color w:val="auto"/>
          <w:highlight w:val="none"/>
          <w:u w:val="single"/>
        </w:rPr>
        <w:t>按照投标人须知前附表的规定依法确定中标人。</w:t>
      </w:r>
    </w:p>
    <w:p w14:paraId="0993C768">
      <w:pPr>
        <w:pStyle w:val="4"/>
        <w:spacing w:line="240" w:lineRule="auto"/>
        <w:ind w:firstLine="137"/>
        <w:rPr>
          <w:rFonts w:ascii="宋体" w:hAnsi="宋体" w:eastAsia="宋体"/>
          <w:color w:val="auto"/>
          <w:highlight w:val="none"/>
        </w:rPr>
      </w:pPr>
      <w:bookmarkStart w:id="214" w:name="_Toc49506174"/>
      <w:bookmarkStart w:id="215" w:name="_Toc49510009"/>
      <w:r>
        <w:rPr>
          <w:rFonts w:ascii="宋体" w:hAnsi="宋体" w:eastAsia="宋体"/>
          <w:color w:val="auto"/>
          <w:highlight w:val="none"/>
        </w:rPr>
        <w:t xml:space="preserve">7.5 </w:t>
      </w:r>
      <w:r>
        <w:rPr>
          <w:rFonts w:hint="eastAsia" w:ascii="宋体" w:hAnsi="宋体" w:eastAsia="宋体"/>
          <w:color w:val="auto"/>
          <w:highlight w:val="none"/>
        </w:rPr>
        <w:t>中标通知</w:t>
      </w:r>
      <w:bookmarkEnd w:id="214"/>
      <w:bookmarkEnd w:id="215"/>
    </w:p>
    <w:p w14:paraId="4E77EA35">
      <w:pPr>
        <w:spacing w:line="400" w:lineRule="exact"/>
        <w:ind w:firstLine="420" w:firstLineChars="200"/>
        <w:rPr>
          <w:rFonts w:ascii="宋体" w:hAnsi="宋体"/>
          <w:color w:val="auto"/>
          <w:highlight w:val="none"/>
        </w:rPr>
      </w:pPr>
      <w:r>
        <w:rPr>
          <w:rFonts w:hint="eastAsia" w:ascii="宋体" w:hAnsi="宋体"/>
          <w:color w:val="auto"/>
          <w:highlight w:val="none"/>
        </w:rPr>
        <w:t>在本章第</w:t>
      </w:r>
      <w:r>
        <w:rPr>
          <w:rFonts w:ascii="宋体" w:hAnsi="宋体"/>
          <w:color w:val="auto"/>
          <w:highlight w:val="none"/>
        </w:rPr>
        <w:t>3.3</w:t>
      </w:r>
      <w:r>
        <w:rPr>
          <w:rFonts w:hint="eastAsia" w:ascii="宋体" w:hAnsi="宋体"/>
          <w:color w:val="auto"/>
          <w:highlight w:val="none"/>
        </w:rPr>
        <w:t>款规定的投标有效期内，招标人以书面形式向中标人发出中标</w:t>
      </w:r>
      <w:bookmarkStart w:id="216" w:name="_Toc5668"/>
      <w:bookmarkStart w:id="217" w:name="_Toc384308244"/>
      <w:bookmarkStart w:id="218" w:name="_Toc352691506"/>
      <w:bookmarkStart w:id="219" w:name="_Toc300834983"/>
      <w:bookmarkStart w:id="220" w:name="_Toc361508619"/>
      <w:bookmarkStart w:id="221" w:name="_Toc369531550"/>
      <w:r>
        <w:rPr>
          <w:rFonts w:hint="eastAsia" w:ascii="宋体" w:hAnsi="宋体"/>
          <w:color w:val="auto"/>
          <w:highlight w:val="none"/>
        </w:rPr>
        <w:t>通知书，同时将中</w:t>
      </w:r>
      <w:bookmarkEnd w:id="216"/>
      <w:bookmarkEnd w:id="217"/>
      <w:bookmarkEnd w:id="218"/>
      <w:bookmarkEnd w:id="219"/>
      <w:bookmarkEnd w:id="220"/>
      <w:bookmarkEnd w:id="221"/>
      <w:r>
        <w:rPr>
          <w:rFonts w:hint="eastAsia" w:ascii="宋体" w:hAnsi="宋体"/>
          <w:color w:val="auto"/>
          <w:highlight w:val="none"/>
        </w:rPr>
        <w:t>标结果通知未中标的投标人。</w:t>
      </w:r>
    </w:p>
    <w:p w14:paraId="43164FAA">
      <w:pPr>
        <w:pStyle w:val="4"/>
        <w:spacing w:line="240" w:lineRule="auto"/>
        <w:ind w:firstLine="137"/>
        <w:rPr>
          <w:rFonts w:ascii="宋体" w:hAnsi="宋体" w:eastAsia="宋体"/>
          <w:color w:val="auto"/>
          <w:highlight w:val="none"/>
        </w:rPr>
      </w:pPr>
      <w:bookmarkStart w:id="222" w:name="_Toc49506175"/>
      <w:bookmarkStart w:id="223" w:name="_Toc49510010"/>
      <w:r>
        <w:rPr>
          <w:rFonts w:ascii="宋体" w:hAnsi="宋体" w:eastAsia="宋体"/>
          <w:color w:val="auto"/>
          <w:highlight w:val="none"/>
        </w:rPr>
        <w:t xml:space="preserve">7.6 </w:t>
      </w:r>
      <w:r>
        <w:rPr>
          <w:rFonts w:hint="eastAsia" w:ascii="宋体" w:hAnsi="宋体" w:eastAsia="宋体"/>
          <w:color w:val="auto"/>
          <w:highlight w:val="none"/>
        </w:rPr>
        <w:t>履约保证金</w:t>
      </w:r>
      <w:bookmarkEnd w:id="222"/>
      <w:bookmarkEnd w:id="223"/>
      <w:r>
        <w:rPr>
          <w:rFonts w:hint="eastAsia" w:ascii="宋体" w:hAnsi="宋体" w:eastAsia="宋体" w:cs="宋体"/>
          <w:b/>
          <w:color w:val="auto"/>
          <w:szCs w:val="28"/>
          <w:highlight w:val="none"/>
          <w:u w:val="single"/>
        </w:rPr>
        <w:t>（本项目不要求递交</w:t>
      </w:r>
      <w:r>
        <w:rPr>
          <w:rFonts w:hint="eastAsia" w:ascii="宋体" w:hAnsi="宋体" w:eastAsia="宋体" w:cs="宋体"/>
          <w:b/>
          <w:color w:val="auto"/>
          <w:szCs w:val="28"/>
          <w:highlight w:val="none"/>
          <w:u w:val="single"/>
          <w:lang w:val="en-US" w:eastAsia="zh-CN"/>
        </w:rPr>
        <w:t>履约</w:t>
      </w:r>
      <w:r>
        <w:rPr>
          <w:rFonts w:hint="eastAsia" w:ascii="宋体" w:hAnsi="宋体" w:eastAsia="宋体" w:cs="宋体"/>
          <w:b/>
          <w:color w:val="auto"/>
          <w:szCs w:val="28"/>
          <w:highlight w:val="none"/>
          <w:u w:val="single"/>
        </w:rPr>
        <w:t>保证金）</w:t>
      </w:r>
    </w:p>
    <w:p w14:paraId="6CEBB687">
      <w:pPr>
        <w:spacing w:line="400" w:lineRule="exact"/>
        <w:ind w:firstLine="420" w:firstLineChars="200"/>
        <w:rPr>
          <w:rFonts w:ascii="宋体" w:hAnsi="宋体"/>
          <w:strike/>
          <w:color w:val="auto"/>
          <w:highlight w:val="none"/>
        </w:rPr>
      </w:pPr>
      <w:r>
        <w:rPr>
          <w:rFonts w:ascii="宋体" w:hAnsi="宋体"/>
          <w:strike/>
          <w:color w:val="auto"/>
          <w:highlight w:val="none"/>
        </w:rPr>
        <w:t>7.6.1</w:t>
      </w:r>
      <w:r>
        <w:rPr>
          <w:rFonts w:hint="eastAsia" w:ascii="宋体" w:hAnsi="宋体"/>
          <w:strike/>
          <w:color w:val="auto"/>
          <w:highlight w:val="none"/>
        </w:rPr>
        <w:t>在签订合同前，中标人应按投标人须知前附表规定的形式、金额和招标文件第四章</w:t>
      </w:r>
      <w:r>
        <w:rPr>
          <w:rFonts w:ascii="宋体" w:hAnsi="宋体"/>
          <w:strike/>
          <w:color w:val="auto"/>
          <w:highlight w:val="none"/>
        </w:rPr>
        <w:t>“</w:t>
      </w:r>
      <w:r>
        <w:rPr>
          <w:rFonts w:hint="eastAsia" w:ascii="宋体" w:hAnsi="宋体"/>
          <w:strike/>
          <w:color w:val="auto"/>
          <w:highlight w:val="none"/>
        </w:rPr>
        <w:t>合同条款及格式</w:t>
      </w:r>
      <w:r>
        <w:rPr>
          <w:rFonts w:ascii="宋体" w:hAnsi="宋体"/>
          <w:strike/>
          <w:color w:val="auto"/>
          <w:highlight w:val="none"/>
        </w:rPr>
        <w:t>”</w:t>
      </w:r>
      <w:r>
        <w:rPr>
          <w:rFonts w:hint="eastAsia" w:ascii="宋体" w:hAnsi="宋体"/>
          <w:strike/>
          <w:color w:val="auto"/>
          <w:highlight w:val="none"/>
        </w:rPr>
        <w:t>规定的或者事先经过招标人书面认可的履约保证金格式向招标人提交履约保证金。除投标人须知前附表另有规定外，履约保证金为中标合同金额的</w:t>
      </w:r>
      <w:r>
        <w:rPr>
          <w:rFonts w:ascii="宋体" w:hAnsi="宋体"/>
          <w:strike/>
          <w:color w:val="auto"/>
          <w:highlight w:val="none"/>
        </w:rPr>
        <w:t>10%</w:t>
      </w:r>
      <w:r>
        <w:rPr>
          <w:rFonts w:hint="eastAsia" w:ascii="宋体" w:hAnsi="宋体"/>
          <w:strike/>
          <w:color w:val="auto"/>
          <w:highlight w:val="none"/>
        </w:rPr>
        <w:t>。联合体中标的，其履约保证金以联合体各方或者联合体中牵头人的名义提交。</w:t>
      </w:r>
    </w:p>
    <w:p w14:paraId="68A5CB84">
      <w:pPr>
        <w:spacing w:line="400" w:lineRule="exact"/>
        <w:ind w:firstLine="420" w:firstLineChars="200"/>
        <w:rPr>
          <w:rFonts w:ascii="宋体" w:hAnsi="宋体"/>
          <w:strike/>
          <w:color w:val="auto"/>
          <w:highlight w:val="none"/>
        </w:rPr>
      </w:pPr>
      <w:r>
        <w:rPr>
          <w:rFonts w:ascii="宋体" w:hAnsi="宋体"/>
          <w:strike/>
          <w:color w:val="auto"/>
          <w:highlight w:val="none"/>
        </w:rPr>
        <w:t>7.6.2</w:t>
      </w:r>
      <w:r>
        <w:rPr>
          <w:rFonts w:hint="eastAsia" w:ascii="宋体" w:hAnsi="宋体"/>
          <w:strike/>
          <w:color w:val="auto"/>
          <w:highlight w:val="none"/>
        </w:rPr>
        <w:t>中标人不能按本章第</w:t>
      </w:r>
      <w:r>
        <w:rPr>
          <w:rFonts w:ascii="宋体" w:hAnsi="宋体"/>
          <w:strike/>
          <w:color w:val="auto"/>
          <w:highlight w:val="none"/>
        </w:rPr>
        <w:t>7.6.1</w:t>
      </w:r>
      <w:r>
        <w:rPr>
          <w:rFonts w:hint="eastAsia" w:ascii="宋体" w:hAnsi="宋体"/>
          <w:strike/>
          <w:color w:val="auto"/>
          <w:highlight w:val="none"/>
        </w:rPr>
        <w:t>项要求提交履约保证金的，视为放弃中标，其投标保证金不予退还，给招标人造成的损失超过投标保证金数额的，中标人还应当对超过部分予以赔偿。</w:t>
      </w:r>
    </w:p>
    <w:p w14:paraId="3D0164F2">
      <w:pPr>
        <w:pStyle w:val="4"/>
        <w:spacing w:line="240" w:lineRule="auto"/>
        <w:ind w:firstLine="137"/>
        <w:rPr>
          <w:rFonts w:ascii="宋体" w:hAnsi="宋体" w:eastAsia="宋体"/>
          <w:color w:val="auto"/>
          <w:highlight w:val="none"/>
        </w:rPr>
      </w:pPr>
      <w:bookmarkStart w:id="224" w:name="_Toc49510011"/>
      <w:bookmarkStart w:id="225" w:name="_Toc49506176"/>
      <w:r>
        <w:rPr>
          <w:rFonts w:ascii="宋体" w:hAnsi="宋体" w:eastAsia="宋体"/>
          <w:color w:val="auto"/>
          <w:highlight w:val="none"/>
        </w:rPr>
        <w:t xml:space="preserve">7.7 </w:t>
      </w:r>
      <w:r>
        <w:rPr>
          <w:rFonts w:hint="eastAsia" w:ascii="宋体" w:hAnsi="宋体" w:eastAsia="宋体"/>
          <w:color w:val="auto"/>
          <w:highlight w:val="none"/>
        </w:rPr>
        <w:t>签订合同</w:t>
      </w:r>
      <w:bookmarkEnd w:id="224"/>
      <w:bookmarkEnd w:id="225"/>
    </w:p>
    <w:p w14:paraId="1EFBB4D7">
      <w:pPr>
        <w:spacing w:line="400" w:lineRule="exact"/>
        <w:ind w:firstLine="420" w:firstLineChars="200"/>
        <w:rPr>
          <w:rFonts w:ascii="宋体" w:hAnsi="宋体"/>
          <w:color w:val="auto"/>
          <w:highlight w:val="none"/>
        </w:rPr>
      </w:pPr>
      <w:r>
        <w:rPr>
          <w:rFonts w:ascii="宋体" w:hAnsi="宋体"/>
          <w:color w:val="auto"/>
          <w:highlight w:val="none"/>
        </w:rPr>
        <w:t>7.7.1</w:t>
      </w:r>
      <w:r>
        <w:rPr>
          <w:rFonts w:hint="eastAsia" w:ascii="宋体" w:hAnsi="宋体"/>
          <w:color w:val="auto"/>
          <w:highlight w:val="none"/>
        </w:rPr>
        <w:t>招标人和中标人应当在中标通知书发出之日起</w:t>
      </w:r>
      <w:r>
        <w:rPr>
          <w:rFonts w:ascii="宋体" w:hAnsi="宋体"/>
          <w:color w:val="auto"/>
          <w:highlight w:val="none"/>
        </w:rPr>
        <w:t>30</w:t>
      </w:r>
      <w:r>
        <w:rPr>
          <w:rFonts w:hint="eastAsia" w:ascii="宋体" w:hAnsi="宋体"/>
          <w:color w:val="auto"/>
          <w:highlight w:val="none"/>
        </w:rPr>
        <w:t>日内，根据招标文件和中标人的投标文件订立书面合同。中标人</w:t>
      </w:r>
      <w:r>
        <w:rPr>
          <w:rFonts w:ascii="宋体" w:hAnsi="宋体"/>
          <w:color w:val="auto"/>
          <w:highlight w:val="none"/>
        </w:rPr>
        <w:t>无正当理由</w:t>
      </w:r>
      <w:r>
        <w:rPr>
          <w:rFonts w:hint="eastAsia" w:ascii="宋体" w:hAnsi="宋体"/>
          <w:color w:val="auto"/>
          <w:highlight w:val="none"/>
        </w:rPr>
        <w:t>拒签</w:t>
      </w:r>
      <w:r>
        <w:rPr>
          <w:rFonts w:ascii="宋体" w:hAnsi="宋体"/>
          <w:color w:val="auto"/>
          <w:highlight w:val="none"/>
        </w:rPr>
        <w:t>合同，在签订合同时向招标人提出附加条件，</w:t>
      </w:r>
      <w:r>
        <w:rPr>
          <w:rFonts w:ascii="宋体" w:hAnsi="宋体"/>
          <w:strike/>
          <w:color w:val="auto"/>
          <w:highlight w:val="none"/>
        </w:rPr>
        <w:t>或者不按照招标文件要求提交履约保证金的</w:t>
      </w:r>
      <w:r>
        <w:rPr>
          <w:rFonts w:hint="eastAsia" w:ascii="宋体" w:hAnsi="宋体"/>
          <w:strike/>
          <w:color w:val="auto"/>
          <w:highlight w:val="none"/>
        </w:rPr>
        <w:t>，</w:t>
      </w:r>
      <w:r>
        <w:rPr>
          <w:rFonts w:hint="eastAsia" w:ascii="宋体" w:hAnsi="宋体"/>
          <w:color w:val="auto"/>
          <w:highlight w:val="none"/>
        </w:rPr>
        <w:t>招标人有权取消其中标资格</w:t>
      </w:r>
      <w:r>
        <w:rPr>
          <w:rFonts w:hint="eastAsia" w:ascii="宋体" w:hAnsi="宋体"/>
          <w:strike/>
          <w:color w:val="auto"/>
          <w:highlight w:val="none"/>
        </w:rPr>
        <w:t>，其投标保证金不予退还</w:t>
      </w:r>
      <w:r>
        <w:rPr>
          <w:rFonts w:hint="eastAsia" w:ascii="宋体" w:hAnsi="宋体"/>
          <w:color w:val="auto"/>
          <w:highlight w:val="none"/>
        </w:rPr>
        <w:t>；给招标人造成的损失</w:t>
      </w:r>
      <w:r>
        <w:rPr>
          <w:rFonts w:hint="eastAsia" w:ascii="宋体" w:hAnsi="宋体"/>
          <w:strike/>
          <w:color w:val="auto"/>
          <w:highlight w:val="none"/>
        </w:rPr>
        <w:t>超过投标保证金数额</w:t>
      </w:r>
      <w:r>
        <w:rPr>
          <w:rFonts w:hint="eastAsia" w:ascii="宋体" w:hAnsi="宋体"/>
          <w:color w:val="auto"/>
          <w:highlight w:val="none"/>
        </w:rPr>
        <w:t>的，中标人还应当</w:t>
      </w:r>
      <w:r>
        <w:rPr>
          <w:rFonts w:hint="eastAsia" w:ascii="宋体" w:hAnsi="宋体"/>
          <w:strike/>
          <w:color w:val="auto"/>
          <w:highlight w:val="none"/>
        </w:rPr>
        <w:t>对超过部分</w:t>
      </w:r>
      <w:r>
        <w:rPr>
          <w:rFonts w:hint="eastAsia" w:ascii="宋体" w:hAnsi="宋体"/>
          <w:color w:val="auto"/>
          <w:highlight w:val="none"/>
        </w:rPr>
        <w:t>予以赔偿。</w:t>
      </w:r>
    </w:p>
    <w:p w14:paraId="5685FA68">
      <w:pPr>
        <w:spacing w:line="400" w:lineRule="exact"/>
        <w:ind w:firstLine="420" w:firstLineChars="200"/>
        <w:rPr>
          <w:rFonts w:ascii="宋体" w:hAnsi="宋体"/>
          <w:color w:val="auto"/>
          <w:highlight w:val="none"/>
        </w:rPr>
      </w:pPr>
      <w:r>
        <w:rPr>
          <w:rFonts w:ascii="宋体" w:hAnsi="宋体"/>
          <w:color w:val="auto"/>
          <w:highlight w:val="none"/>
        </w:rPr>
        <w:t>7.7.2</w:t>
      </w:r>
      <w:r>
        <w:rPr>
          <w:rFonts w:hint="eastAsia" w:ascii="宋体" w:hAnsi="宋体"/>
          <w:color w:val="auto"/>
          <w:highlight w:val="none"/>
        </w:rPr>
        <w:t>发出中标通知书后，招标人无正当理由拒签合同，或者</w:t>
      </w:r>
      <w:r>
        <w:rPr>
          <w:rFonts w:ascii="宋体" w:hAnsi="宋体"/>
          <w:color w:val="auto"/>
          <w:highlight w:val="none"/>
        </w:rPr>
        <w:t>在签订合同时</w:t>
      </w:r>
      <w:r>
        <w:rPr>
          <w:rFonts w:hint="eastAsia" w:ascii="宋体" w:hAnsi="宋体"/>
          <w:color w:val="auto"/>
          <w:highlight w:val="none"/>
        </w:rPr>
        <w:t>向中标人提出附加条件</w:t>
      </w:r>
      <w:r>
        <w:rPr>
          <w:rFonts w:hint="eastAsia" w:ascii="宋体" w:hAnsi="宋体"/>
          <w:strike/>
          <w:color w:val="auto"/>
          <w:highlight w:val="none"/>
        </w:rPr>
        <w:t>的，招标人向中标人退还投标保证金；</w:t>
      </w:r>
      <w:r>
        <w:rPr>
          <w:rFonts w:hint="eastAsia" w:ascii="宋体" w:hAnsi="宋体"/>
          <w:color w:val="auto"/>
          <w:highlight w:val="none"/>
        </w:rPr>
        <w:t>给中标人造成损失的，还应当赔偿损失。</w:t>
      </w:r>
    </w:p>
    <w:p w14:paraId="4FA4B917">
      <w:pPr>
        <w:spacing w:line="400" w:lineRule="exact"/>
        <w:ind w:firstLine="420" w:firstLineChars="200"/>
        <w:rPr>
          <w:rFonts w:ascii="宋体" w:hAnsi="宋体"/>
          <w:color w:val="auto"/>
          <w:highlight w:val="none"/>
        </w:rPr>
      </w:pPr>
      <w:r>
        <w:rPr>
          <w:rFonts w:ascii="宋体" w:hAnsi="宋体"/>
          <w:strike/>
          <w:color w:val="auto"/>
          <w:highlight w:val="none"/>
        </w:rPr>
        <w:t>7.7.3</w:t>
      </w:r>
      <w:r>
        <w:rPr>
          <w:rFonts w:hint="eastAsia" w:ascii="宋体" w:hAnsi="宋体"/>
          <w:strike/>
          <w:color w:val="auto"/>
          <w:highlight w:val="none"/>
        </w:rPr>
        <w:t>联合体中标的，联合体各方应当共同与招标人签订合同，就中标项目向招标人承担连带责任。</w:t>
      </w:r>
    </w:p>
    <w:p w14:paraId="3B208BAF">
      <w:pPr>
        <w:pStyle w:val="2"/>
        <w:rPr>
          <w:rFonts w:ascii="宋体" w:hAnsi="宋体" w:eastAsia="宋体"/>
          <w:color w:val="auto"/>
          <w:highlight w:val="none"/>
        </w:rPr>
      </w:pPr>
      <w:bookmarkStart w:id="226" w:name="_Toc384308252"/>
      <w:bookmarkStart w:id="227" w:name="_Toc361508627"/>
      <w:bookmarkStart w:id="228" w:name="_Toc24067"/>
      <w:bookmarkStart w:id="229" w:name="_Toc49510012"/>
      <w:bookmarkStart w:id="230" w:name="_Toc247527593"/>
      <w:bookmarkStart w:id="231" w:name="_Toc152042344"/>
      <w:bookmarkStart w:id="232" w:name="_Toc247513992"/>
      <w:bookmarkStart w:id="233" w:name="_Toc144974536"/>
      <w:bookmarkStart w:id="234" w:name="_Toc300834991"/>
      <w:bookmarkStart w:id="235" w:name="_Toc152045568"/>
      <w:r>
        <w:rPr>
          <w:rFonts w:ascii="宋体" w:hAnsi="宋体" w:eastAsia="宋体"/>
          <w:color w:val="auto"/>
          <w:highlight w:val="none"/>
        </w:rPr>
        <w:t>8.</w:t>
      </w:r>
      <w:bookmarkEnd w:id="226"/>
      <w:bookmarkEnd w:id="227"/>
      <w:bookmarkEnd w:id="228"/>
      <w:r>
        <w:rPr>
          <w:rFonts w:hint="eastAsia" w:ascii="宋体" w:hAnsi="宋体" w:eastAsia="宋体"/>
          <w:color w:val="auto"/>
          <w:highlight w:val="none"/>
        </w:rPr>
        <w:t>纪律和监督</w:t>
      </w:r>
      <w:bookmarkEnd w:id="229"/>
    </w:p>
    <w:p w14:paraId="61E3A404">
      <w:pPr>
        <w:pStyle w:val="4"/>
        <w:spacing w:line="240" w:lineRule="auto"/>
        <w:ind w:firstLine="137"/>
        <w:rPr>
          <w:rFonts w:ascii="宋体" w:hAnsi="宋体" w:eastAsia="宋体"/>
          <w:color w:val="auto"/>
          <w:highlight w:val="none"/>
        </w:rPr>
      </w:pPr>
      <w:bookmarkStart w:id="236" w:name="_Toc49506178"/>
      <w:bookmarkStart w:id="237" w:name="_Toc49510013"/>
      <w:r>
        <w:rPr>
          <w:rFonts w:ascii="宋体" w:hAnsi="宋体" w:eastAsia="宋体"/>
          <w:color w:val="auto"/>
          <w:highlight w:val="none"/>
        </w:rPr>
        <w:t xml:space="preserve">8.1 </w:t>
      </w:r>
      <w:r>
        <w:rPr>
          <w:rFonts w:hint="eastAsia" w:ascii="宋体" w:hAnsi="宋体" w:eastAsia="宋体"/>
          <w:color w:val="auto"/>
          <w:highlight w:val="none"/>
        </w:rPr>
        <w:t>对招标人的纪律要求</w:t>
      </w:r>
      <w:bookmarkEnd w:id="236"/>
      <w:bookmarkEnd w:id="237"/>
    </w:p>
    <w:p w14:paraId="3292EA8D">
      <w:pPr>
        <w:spacing w:line="400" w:lineRule="exact"/>
        <w:ind w:firstLine="420" w:firstLineChars="200"/>
        <w:rPr>
          <w:rFonts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14:paraId="73B67862">
      <w:pPr>
        <w:pStyle w:val="4"/>
        <w:spacing w:line="240" w:lineRule="auto"/>
        <w:ind w:firstLine="137"/>
        <w:rPr>
          <w:rFonts w:ascii="宋体" w:hAnsi="宋体" w:eastAsia="宋体"/>
          <w:color w:val="auto"/>
          <w:highlight w:val="none"/>
        </w:rPr>
      </w:pPr>
      <w:bookmarkStart w:id="238" w:name="_Toc49510014"/>
      <w:bookmarkStart w:id="239" w:name="_Toc49506179"/>
      <w:r>
        <w:rPr>
          <w:rFonts w:ascii="宋体" w:hAnsi="宋体" w:eastAsia="宋体"/>
          <w:color w:val="auto"/>
          <w:highlight w:val="none"/>
        </w:rPr>
        <w:t xml:space="preserve">8.2 </w:t>
      </w:r>
      <w:r>
        <w:rPr>
          <w:rFonts w:hint="eastAsia" w:ascii="宋体" w:hAnsi="宋体" w:eastAsia="宋体"/>
          <w:color w:val="auto"/>
          <w:highlight w:val="none"/>
        </w:rPr>
        <w:t>对投标人的纪律要求</w:t>
      </w:r>
      <w:bookmarkEnd w:id="238"/>
      <w:bookmarkEnd w:id="239"/>
    </w:p>
    <w:p w14:paraId="003AFC5D">
      <w:pPr>
        <w:spacing w:line="400" w:lineRule="exact"/>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825CBBF">
      <w:pPr>
        <w:pStyle w:val="4"/>
        <w:spacing w:line="240" w:lineRule="auto"/>
        <w:ind w:firstLine="137"/>
        <w:rPr>
          <w:rFonts w:ascii="宋体" w:hAnsi="宋体" w:eastAsia="宋体"/>
          <w:color w:val="auto"/>
          <w:highlight w:val="none"/>
        </w:rPr>
      </w:pPr>
      <w:bookmarkStart w:id="240" w:name="_Toc49506180"/>
      <w:bookmarkStart w:id="241" w:name="_Toc49510015"/>
      <w:r>
        <w:rPr>
          <w:rFonts w:ascii="宋体" w:hAnsi="宋体" w:eastAsia="宋体"/>
          <w:color w:val="auto"/>
          <w:highlight w:val="none"/>
        </w:rPr>
        <w:t xml:space="preserve">8.3 </w:t>
      </w:r>
      <w:r>
        <w:rPr>
          <w:rFonts w:hint="eastAsia" w:ascii="宋体" w:hAnsi="宋体" w:eastAsia="宋体"/>
          <w:color w:val="auto"/>
          <w:highlight w:val="none"/>
        </w:rPr>
        <w:t>对评标委员会成员的纪律要求</w:t>
      </w:r>
      <w:bookmarkEnd w:id="240"/>
      <w:bookmarkEnd w:id="241"/>
    </w:p>
    <w:p w14:paraId="60656A00">
      <w:pPr>
        <w:spacing w:line="400" w:lineRule="exact"/>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242" w:name="_Toc384308253"/>
      <w:bookmarkStart w:id="243" w:name="_Toc13644"/>
      <w:bookmarkStart w:id="244" w:name="_Toc369531559"/>
      <w:bookmarkStart w:id="245" w:name="_Toc352691515"/>
      <w:bookmarkStart w:id="246" w:name="_Toc361508628"/>
      <w:r>
        <w:rPr>
          <w:rFonts w:hint="eastAsia" w:ascii="宋体" w:hAnsi="宋体"/>
          <w:color w:val="auto"/>
          <w:highlight w:val="none"/>
        </w:rPr>
        <w:t>和比较、中标候选人</w:t>
      </w:r>
      <w:bookmarkEnd w:id="230"/>
      <w:bookmarkEnd w:id="231"/>
      <w:bookmarkEnd w:id="232"/>
      <w:bookmarkEnd w:id="233"/>
      <w:bookmarkEnd w:id="234"/>
      <w:bookmarkEnd w:id="235"/>
      <w:bookmarkEnd w:id="242"/>
      <w:bookmarkEnd w:id="243"/>
      <w:bookmarkEnd w:id="244"/>
      <w:bookmarkEnd w:id="245"/>
      <w:bookmarkEnd w:id="246"/>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w:t>
      </w:r>
      <w:r>
        <w:rPr>
          <w:rFonts w:ascii="宋体" w:hAnsi="宋体"/>
          <w:color w:val="auto"/>
          <w:highlight w:val="none"/>
        </w:rPr>
        <w:t>评标办法（</w:t>
      </w:r>
      <w:r>
        <w:rPr>
          <w:rFonts w:hint="eastAsia" w:ascii="宋体" w:hAnsi="宋体"/>
          <w:color w:val="auto"/>
          <w:highlight w:val="none"/>
        </w:rPr>
        <w:t>“</w:t>
      </w:r>
      <w:r>
        <w:rPr>
          <w:rFonts w:ascii="宋体" w:hAnsi="宋体"/>
          <w:color w:val="auto"/>
          <w:highlight w:val="none"/>
        </w:rPr>
        <w:t>评定分离</w:t>
      </w:r>
      <w:r>
        <w:rPr>
          <w:rFonts w:hint="eastAsia" w:ascii="宋体" w:hAnsi="宋体"/>
          <w:color w:val="auto"/>
          <w:highlight w:val="none"/>
        </w:rPr>
        <w:t>”</w:t>
      </w:r>
      <w:r>
        <w:rPr>
          <w:rFonts w:ascii="宋体" w:hAnsi="宋体"/>
          <w:color w:val="auto"/>
          <w:highlight w:val="none"/>
        </w:rPr>
        <w:t>定标办法）</w:t>
      </w:r>
      <w:r>
        <w:rPr>
          <w:rFonts w:hint="eastAsia" w:ascii="宋体" w:hAnsi="宋体"/>
          <w:color w:val="auto"/>
          <w:highlight w:val="none"/>
        </w:rPr>
        <w:t>没有规定的评审因素和标准进行评标。</w:t>
      </w:r>
    </w:p>
    <w:p w14:paraId="2D86B32E">
      <w:pPr>
        <w:pStyle w:val="4"/>
        <w:spacing w:line="240" w:lineRule="auto"/>
        <w:ind w:firstLine="137"/>
        <w:rPr>
          <w:rFonts w:ascii="宋体" w:hAnsi="宋体" w:eastAsia="宋体"/>
          <w:color w:val="auto"/>
          <w:highlight w:val="none"/>
        </w:rPr>
      </w:pPr>
      <w:bookmarkStart w:id="247" w:name="_Toc49506181"/>
      <w:bookmarkStart w:id="248" w:name="_Toc49510016"/>
      <w:r>
        <w:rPr>
          <w:rFonts w:ascii="宋体" w:hAnsi="宋体" w:eastAsia="宋体"/>
          <w:color w:val="auto"/>
          <w:highlight w:val="none"/>
        </w:rPr>
        <w:t xml:space="preserve">8.4 </w:t>
      </w:r>
      <w:r>
        <w:rPr>
          <w:rFonts w:hint="eastAsia" w:ascii="宋体" w:hAnsi="宋体" w:eastAsia="宋体"/>
          <w:color w:val="auto"/>
          <w:highlight w:val="none"/>
        </w:rPr>
        <w:t>对与评标活动有关的工作人员的纪律要求</w:t>
      </w:r>
      <w:bookmarkEnd w:id="247"/>
      <w:bookmarkEnd w:id="248"/>
    </w:p>
    <w:p w14:paraId="487A9CBD">
      <w:pPr>
        <w:spacing w:line="400" w:lineRule="exact"/>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249" w:name="_Toc369531560"/>
      <w:bookmarkStart w:id="250" w:name="_Toc361508629"/>
      <w:bookmarkStart w:id="251" w:name="_Toc144974537"/>
      <w:bookmarkStart w:id="252" w:name="_Toc384308254"/>
      <w:bookmarkStart w:id="253" w:name="_Toc152042345"/>
      <w:bookmarkStart w:id="254" w:name="_Toc152045569"/>
      <w:bookmarkStart w:id="255" w:name="_Toc19429"/>
      <w:bookmarkStart w:id="256" w:name="_Toc352691516"/>
      <w:bookmarkStart w:id="257" w:name="_Toc247513993"/>
      <w:bookmarkStart w:id="258" w:name="_Toc300834992"/>
      <w:bookmarkStart w:id="259" w:name="_Toc247527594"/>
      <w:r>
        <w:rPr>
          <w:rFonts w:hint="eastAsia" w:ascii="宋体" w:hAnsi="宋体"/>
          <w:color w:val="auto"/>
          <w:highlight w:val="none"/>
        </w:rPr>
        <w:t>的评审和比较、中标</w:t>
      </w:r>
      <w:bookmarkEnd w:id="249"/>
      <w:bookmarkEnd w:id="250"/>
      <w:bookmarkEnd w:id="251"/>
      <w:bookmarkEnd w:id="252"/>
      <w:bookmarkEnd w:id="253"/>
      <w:bookmarkEnd w:id="254"/>
      <w:bookmarkEnd w:id="255"/>
      <w:bookmarkEnd w:id="256"/>
      <w:bookmarkEnd w:id="257"/>
      <w:bookmarkEnd w:id="258"/>
      <w:bookmarkEnd w:id="259"/>
      <w:r>
        <w:rPr>
          <w:rFonts w:hint="eastAsia" w:ascii="宋体" w:hAnsi="宋体"/>
          <w:color w:val="auto"/>
          <w:highlight w:val="none"/>
        </w:rPr>
        <w:t>候选人的推荐情况以及评标有关的其他情况。在评标活动中，与评标活动有关的工作人员不得擅离职守，影响评标程序正常进行。</w:t>
      </w:r>
    </w:p>
    <w:p w14:paraId="153956CF">
      <w:pPr>
        <w:pStyle w:val="4"/>
        <w:spacing w:line="240" w:lineRule="auto"/>
        <w:ind w:firstLine="137"/>
        <w:rPr>
          <w:rFonts w:ascii="宋体" w:hAnsi="宋体" w:eastAsia="宋体"/>
          <w:color w:val="auto"/>
          <w:highlight w:val="none"/>
        </w:rPr>
      </w:pPr>
      <w:bookmarkStart w:id="260" w:name="_Toc49510017"/>
      <w:bookmarkStart w:id="261" w:name="_Toc49506182"/>
      <w:r>
        <w:rPr>
          <w:rFonts w:ascii="宋体" w:hAnsi="宋体" w:eastAsia="宋体"/>
          <w:color w:val="auto"/>
          <w:highlight w:val="none"/>
        </w:rPr>
        <w:t xml:space="preserve">8.5 </w:t>
      </w:r>
      <w:r>
        <w:rPr>
          <w:rFonts w:hint="eastAsia" w:ascii="宋体" w:hAnsi="宋体" w:eastAsia="宋体"/>
          <w:color w:val="auto"/>
          <w:highlight w:val="none"/>
        </w:rPr>
        <w:t>投诉</w:t>
      </w:r>
      <w:bookmarkEnd w:id="260"/>
      <w:bookmarkEnd w:id="261"/>
    </w:p>
    <w:p w14:paraId="11702CFA">
      <w:pPr>
        <w:spacing w:line="400" w:lineRule="exact"/>
        <w:ind w:firstLine="420" w:firstLineChars="200"/>
        <w:rPr>
          <w:rFonts w:ascii="宋体" w:hAnsi="宋体"/>
          <w:color w:val="auto"/>
          <w:highlight w:val="none"/>
        </w:rPr>
      </w:pPr>
      <w:r>
        <w:rPr>
          <w:rFonts w:ascii="宋体" w:hAnsi="宋体"/>
          <w:color w:val="auto"/>
          <w:highlight w:val="none"/>
        </w:rPr>
        <w:t>8.5.1</w:t>
      </w:r>
      <w:r>
        <w:rPr>
          <w:rFonts w:hint="eastAsia" w:ascii="宋体" w:hAnsi="宋体"/>
          <w:color w:val="auto"/>
          <w:highlight w:val="none"/>
        </w:rPr>
        <w:t>投标人或者其他利害关系人认为招标投标活动不符合法律、行政法规规定的，可以自知道或者应当知道之日起</w:t>
      </w:r>
      <w:r>
        <w:rPr>
          <w:rFonts w:ascii="宋体" w:hAnsi="宋体"/>
          <w:color w:val="auto"/>
          <w:highlight w:val="none"/>
        </w:rPr>
        <w:t>10</w:t>
      </w:r>
      <w:r>
        <w:rPr>
          <w:rFonts w:hint="eastAsia" w:ascii="宋体" w:hAnsi="宋体"/>
          <w:color w:val="auto"/>
          <w:highlight w:val="none"/>
        </w:rPr>
        <w:t>日内向有关行政监督部门投诉。投诉应当有明确的请求和必要的证明材料。</w:t>
      </w:r>
    </w:p>
    <w:p w14:paraId="24AAD065">
      <w:pPr>
        <w:spacing w:line="400" w:lineRule="exact"/>
        <w:ind w:firstLine="420" w:firstLineChars="200"/>
        <w:rPr>
          <w:rFonts w:ascii="宋体" w:hAnsi="宋体"/>
          <w:color w:val="auto"/>
          <w:highlight w:val="none"/>
        </w:rPr>
      </w:pPr>
      <w:r>
        <w:rPr>
          <w:rFonts w:ascii="宋体" w:hAnsi="宋体"/>
          <w:color w:val="auto"/>
          <w:highlight w:val="none"/>
        </w:rPr>
        <w:t xml:space="preserve">8.5.2 </w:t>
      </w:r>
      <w:r>
        <w:rPr>
          <w:rFonts w:hint="eastAsia" w:ascii="宋体" w:hAnsi="宋体"/>
          <w:color w:val="auto"/>
          <w:highlight w:val="none"/>
        </w:rPr>
        <w:t>投标人或者其他利害关系人对招标文件、开标和评标结果提出投诉的，应当按照投标人须知第</w:t>
      </w:r>
      <w:r>
        <w:rPr>
          <w:rFonts w:ascii="宋体" w:hAnsi="宋体"/>
          <w:color w:val="auto"/>
          <w:highlight w:val="none"/>
        </w:rPr>
        <w:t>2.4</w:t>
      </w:r>
      <w:r>
        <w:rPr>
          <w:rFonts w:hint="eastAsia" w:ascii="宋体" w:hAnsi="宋体"/>
          <w:color w:val="auto"/>
          <w:highlight w:val="none"/>
        </w:rPr>
        <w:t>款、第</w:t>
      </w:r>
      <w:r>
        <w:rPr>
          <w:rFonts w:ascii="宋体" w:hAnsi="宋体"/>
          <w:color w:val="auto"/>
          <w:highlight w:val="none"/>
        </w:rPr>
        <w:t>5.3</w:t>
      </w:r>
      <w:r>
        <w:rPr>
          <w:rFonts w:hint="eastAsia" w:ascii="宋体" w:hAnsi="宋体"/>
          <w:color w:val="auto"/>
          <w:highlight w:val="none"/>
        </w:rPr>
        <w:t>款和第</w:t>
      </w:r>
      <w:r>
        <w:rPr>
          <w:rFonts w:ascii="宋体" w:hAnsi="宋体"/>
          <w:color w:val="auto"/>
          <w:highlight w:val="none"/>
        </w:rPr>
        <w:t>7.2</w:t>
      </w:r>
      <w:r>
        <w:rPr>
          <w:rFonts w:hint="eastAsia" w:ascii="宋体" w:hAnsi="宋体"/>
          <w:color w:val="auto"/>
          <w:highlight w:val="none"/>
        </w:rPr>
        <w:t>款的规定先向招标人提出异议。异议答复期间</w:t>
      </w:r>
      <w:bookmarkStart w:id="262" w:name="_Toc247513994"/>
      <w:bookmarkStart w:id="263" w:name="_Toc361508630"/>
      <w:bookmarkStart w:id="264" w:name="_Toc247527595"/>
      <w:bookmarkStart w:id="265" w:name="_Toc12776"/>
      <w:bookmarkStart w:id="266" w:name="_Toc384308255"/>
      <w:bookmarkStart w:id="267" w:name="_Toc352691517"/>
      <w:bookmarkStart w:id="268" w:name="_Toc144974538"/>
      <w:bookmarkStart w:id="269" w:name="_Toc369531561"/>
      <w:bookmarkStart w:id="270" w:name="_Toc300834993"/>
      <w:bookmarkStart w:id="271" w:name="_Toc152045570"/>
      <w:bookmarkStart w:id="272" w:name="_Toc152042346"/>
      <w:r>
        <w:rPr>
          <w:rFonts w:hint="eastAsia" w:ascii="宋体" w:hAnsi="宋体"/>
          <w:color w:val="auto"/>
          <w:highlight w:val="none"/>
        </w:rPr>
        <w:t>不计算在第</w:t>
      </w:r>
      <w:r>
        <w:rPr>
          <w:rFonts w:ascii="宋体" w:hAnsi="宋体"/>
          <w:color w:val="auto"/>
          <w:highlight w:val="none"/>
        </w:rPr>
        <w:t>8.5.</w:t>
      </w:r>
      <w:bookmarkEnd w:id="262"/>
      <w:bookmarkEnd w:id="263"/>
      <w:bookmarkEnd w:id="264"/>
      <w:bookmarkEnd w:id="265"/>
      <w:bookmarkEnd w:id="266"/>
      <w:bookmarkEnd w:id="267"/>
      <w:bookmarkEnd w:id="268"/>
      <w:bookmarkEnd w:id="269"/>
      <w:bookmarkEnd w:id="270"/>
      <w:bookmarkEnd w:id="271"/>
      <w:bookmarkEnd w:id="272"/>
      <w:r>
        <w:rPr>
          <w:rFonts w:ascii="宋体" w:hAnsi="宋体"/>
          <w:color w:val="auto"/>
          <w:highlight w:val="none"/>
        </w:rPr>
        <w:t>1</w:t>
      </w:r>
      <w:r>
        <w:rPr>
          <w:rFonts w:hint="eastAsia" w:ascii="宋体" w:hAnsi="宋体"/>
          <w:color w:val="auto"/>
          <w:highlight w:val="none"/>
        </w:rPr>
        <w:t>项规定的期限内。</w:t>
      </w:r>
    </w:p>
    <w:p w14:paraId="02416AAA">
      <w:pPr>
        <w:pStyle w:val="2"/>
        <w:spacing w:line="240" w:lineRule="auto"/>
        <w:rPr>
          <w:rFonts w:ascii="宋体" w:hAnsi="宋体" w:eastAsia="宋体"/>
          <w:color w:val="auto"/>
          <w:highlight w:val="none"/>
        </w:rPr>
      </w:pPr>
      <w:bookmarkStart w:id="273" w:name="_Toc477134992"/>
      <w:bookmarkStart w:id="274" w:name="_Toc49510018"/>
      <w:r>
        <w:rPr>
          <w:rFonts w:ascii="宋体" w:hAnsi="宋体" w:eastAsia="宋体"/>
          <w:color w:val="auto"/>
          <w:highlight w:val="none"/>
        </w:rPr>
        <w:t>9. 是否采用电子招标投标</w:t>
      </w:r>
      <w:bookmarkEnd w:id="273"/>
      <w:bookmarkEnd w:id="274"/>
    </w:p>
    <w:p w14:paraId="7BAD462B">
      <w:pPr>
        <w:spacing w:line="400" w:lineRule="exact"/>
        <w:ind w:firstLine="420" w:firstLineChars="200"/>
        <w:rPr>
          <w:rFonts w:ascii="宋体" w:hAnsi="宋体"/>
          <w:color w:val="auto"/>
          <w:highlight w:val="none"/>
        </w:rPr>
      </w:pPr>
      <w:r>
        <w:rPr>
          <w:rFonts w:hint="eastAsia" w:ascii="宋体" w:hAnsi="宋体"/>
          <w:color w:val="auto"/>
          <w:highlight w:val="none"/>
        </w:rPr>
        <w:t>本招标项目是否采用电子招标投标方式，</w:t>
      </w:r>
      <w:r>
        <w:rPr>
          <w:rFonts w:ascii="宋体" w:hAnsi="宋体"/>
          <w:color w:val="auto"/>
          <w:highlight w:val="none"/>
        </w:rPr>
        <w:t>见投标人须知前附表。</w:t>
      </w:r>
    </w:p>
    <w:p w14:paraId="31536FF8">
      <w:pPr>
        <w:pStyle w:val="2"/>
        <w:spacing w:line="240" w:lineRule="auto"/>
        <w:rPr>
          <w:rFonts w:ascii="宋体" w:hAnsi="宋体" w:eastAsia="宋体"/>
          <w:color w:val="auto"/>
          <w:highlight w:val="none"/>
        </w:rPr>
      </w:pPr>
      <w:bookmarkStart w:id="275" w:name="_Toc49510019"/>
      <w:r>
        <w:rPr>
          <w:rFonts w:ascii="宋体" w:hAnsi="宋体" w:eastAsia="宋体"/>
          <w:color w:val="auto"/>
          <w:highlight w:val="none"/>
        </w:rPr>
        <w:t xml:space="preserve">10. </w:t>
      </w:r>
      <w:r>
        <w:rPr>
          <w:rFonts w:hint="eastAsia" w:ascii="宋体" w:hAnsi="宋体" w:eastAsia="宋体"/>
          <w:color w:val="auto"/>
          <w:highlight w:val="none"/>
        </w:rPr>
        <w:t>需要补充的其他内容</w:t>
      </w:r>
      <w:bookmarkEnd w:id="275"/>
    </w:p>
    <w:p w14:paraId="0015E434">
      <w:pPr>
        <w:spacing w:line="400" w:lineRule="exact"/>
        <w:ind w:firstLine="420" w:firstLineChars="200"/>
        <w:rPr>
          <w:rFonts w:ascii="宋体" w:hAnsi="宋体"/>
          <w:color w:val="auto"/>
          <w:highlight w:val="none"/>
        </w:rPr>
      </w:pPr>
      <w:r>
        <w:rPr>
          <w:rFonts w:hint="eastAsia" w:ascii="宋体" w:hAnsi="宋体"/>
          <w:color w:val="auto"/>
          <w:highlight w:val="none"/>
        </w:rPr>
        <w:t>需要补充的其他内容：见投标人须知前附表。</w:t>
      </w:r>
    </w:p>
    <w:p w14:paraId="66786629">
      <w:pPr>
        <w:jc w:val="left"/>
        <w:rPr>
          <w:rFonts w:ascii="宋体" w:hAnsi="宋体"/>
          <w:color w:val="auto"/>
          <w:sz w:val="28"/>
          <w:highlight w:val="none"/>
        </w:rPr>
      </w:pPr>
      <w:r>
        <w:rPr>
          <w:rFonts w:hint="eastAsia" w:ascii="宋体" w:hAnsi="宋体"/>
          <w:color w:val="auto"/>
          <w:highlight w:val="none"/>
        </w:rPr>
        <w:br w:type="page"/>
      </w:r>
      <w:r>
        <w:rPr>
          <w:rFonts w:ascii="宋体" w:hAnsi="宋体"/>
          <w:color w:val="auto"/>
          <w:position w:val="-4"/>
          <w:sz w:val="28"/>
          <w:highlight w:val="none"/>
        </w:rPr>
        <w:t>附件</w:t>
      </w:r>
      <w:r>
        <w:rPr>
          <w:rFonts w:hint="eastAsia" w:ascii="宋体" w:hAnsi="宋体"/>
          <w:color w:val="auto"/>
          <w:position w:val="-4"/>
          <w:sz w:val="28"/>
          <w:highlight w:val="none"/>
        </w:rPr>
        <w:t>一</w:t>
      </w:r>
      <w:r>
        <w:rPr>
          <w:rFonts w:ascii="宋体" w:hAnsi="宋体"/>
          <w:color w:val="auto"/>
          <w:spacing w:val="-3"/>
          <w:position w:val="-4"/>
          <w:sz w:val="28"/>
          <w:highlight w:val="none"/>
        </w:rPr>
        <w:t>：</w:t>
      </w:r>
      <w:r>
        <w:rPr>
          <w:rFonts w:ascii="宋体" w:hAnsi="宋体"/>
          <w:color w:val="auto"/>
          <w:position w:val="-4"/>
          <w:sz w:val="28"/>
          <w:highlight w:val="none"/>
        </w:rPr>
        <w:t>开标</w:t>
      </w:r>
      <w:r>
        <w:rPr>
          <w:rFonts w:ascii="宋体" w:hAnsi="宋体"/>
          <w:color w:val="auto"/>
          <w:spacing w:val="-3"/>
          <w:position w:val="-4"/>
          <w:sz w:val="28"/>
          <w:highlight w:val="none"/>
        </w:rPr>
        <w:t>记录</w:t>
      </w:r>
      <w:r>
        <w:rPr>
          <w:rFonts w:ascii="宋体" w:hAnsi="宋体"/>
          <w:color w:val="auto"/>
          <w:position w:val="-4"/>
          <w:sz w:val="28"/>
          <w:highlight w:val="none"/>
        </w:rPr>
        <w:t>表</w:t>
      </w:r>
    </w:p>
    <w:p w14:paraId="1539B4FD">
      <w:pPr>
        <w:spacing w:line="200" w:lineRule="exact"/>
        <w:jc w:val="left"/>
        <w:rPr>
          <w:rFonts w:ascii="宋体" w:hAnsi="宋体"/>
          <w:color w:val="auto"/>
          <w:sz w:val="20"/>
          <w:highlight w:val="none"/>
        </w:rPr>
      </w:pPr>
    </w:p>
    <w:p w14:paraId="7CCABDB0">
      <w:pPr>
        <w:spacing w:before="12" w:line="200" w:lineRule="exact"/>
        <w:jc w:val="left"/>
        <w:rPr>
          <w:rFonts w:ascii="宋体" w:hAnsi="宋体"/>
          <w:color w:val="auto"/>
          <w:sz w:val="20"/>
          <w:highlight w:val="none"/>
        </w:rPr>
      </w:pPr>
    </w:p>
    <w:p w14:paraId="7C265423">
      <w:pPr>
        <w:spacing w:line="373" w:lineRule="exact"/>
        <w:ind w:left="3799" w:right="3400"/>
        <w:jc w:val="center"/>
        <w:rPr>
          <w:rFonts w:ascii="宋体" w:hAnsi="宋体"/>
          <w:color w:val="auto"/>
          <w:sz w:val="28"/>
          <w:highlight w:val="none"/>
        </w:rPr>
      </w:pPr>
      <w:r>
        <w:rPr>
          <w:rFonts w:ascii="宋体" w:hAnsi="宋体"/>
          <w:color w:val="auto"/>
          <w:sz w:val="28"/>
          <w:highlight w:val="none"/>
        </w:rPr>
        <w:t>开标记</w:t>
      </w:r>
      <w:r>
        <w:rPr>
          <w:rFonts w:ascii="宋体" w:hAnsi="宋体"/>
          <w:color w:val="auto"/>
          <w:spacing w:val="-3"/>
          <w:sz w:val="28"/>
          <w:highlight w:val="none"/>
        </w:rPr>
        <w:t>录</w:t>
      </w:r>
      <w:r>
        <w:rPr>
          <w:rFonts w:ascii="宋体" w:hAnsi="宋体"/>
          <w:color w:val="auto"/>
          <w:sz w:val="28"/>
          <w:highlight w:val="none"/>
        </w:rPr>
        <w:t>表</w:t>
      </w:r>
    </w:p>
    <w:p w14:paraId="417414BC">
      <w:pPr>
        <w:spacing w:before="7" w:line="140" w:lineRule="exact"/>
        <w:jc w:val="left"/>
        <w:rPr>
          <w:rFonts w:ascii="宋体" w:hAnsi="宋体"/>
          <w:color w:val="auto"/>
          <w:sz w:val="14"/>
          <w:highlight w:val="none"/>
        </w:rPr>
      </w:pPr>
    </w:p>
    <w:p w14:paraId="3B780A06">
      <w:pPr>
        <w:tabs>
          <w:tab w:val="left" w:pos="3600"/>
          <w:tab w:val="left" w:pos="4760"/>
          <w:tab w:val="left" w:pos="5920"/>
          <w:tab w:val="left" w:pos="7060"/>
          <w:tab w:val="left" w:pos="8220"/>
        </w:tabs>
        <w:spacing w:line="337" w:lineRule="exact"/>
        <w:ind w:right="-20"/>
        <w:jc w:val="left"/>
        <w:rPr>
          <w:rFonts w:ascii="宋体" w:hAnsi="宋体"/>
          <w:color w:val="auto"/>
          <w:position w:val="-4"/>
          <w:highlight w:val="none"/>
        </w:rPr>
      </w:pPr>
      <w:r>
        <w:rPr>
          <w:rFonts w:ascii="宋体" w:hAnsi="宋体"/>
          <w:color w:val="auto"/>
          <w:position w:val="-4"/>
          <w:highlight w:val="none"/>
        </w:rPr>
        <w:t>开标</w:t>
      </w:r>
      <w:r>
        <w:rPr>
          <w:rFonts w:ascii="宋体" w:hAnsi="宋体"/>
          <w:color w:val="auto"/>
          <w:spacing w:val="-2"/>
          <w:position w:val="-4"/>
          <w:highlight w:val="none"/>
        </w:rPr>
        <w:t>时</w:t>
      </w:r>
      <w:r>
        <w:rPr>
          <w:rFonts w:ascii="宋体" w:hAnsi="宋体"/>
          <w:color w:val="auto"/>
          <w:position w:val="-4"/>
          <w:highlight w:val="none"/>
        </w:rPr>
        <w:t>间</w:t>
      </w:r>
      <w:r>
        <w:rPr>
          <w:rFonts w:ascii="宋体" w:hAnsi="宋体"/>
          <w:color w:val="auto"/>
          <w:spacing w:val="-2"/>
          <w:position w:val="-4"/>
          <w:highlight w:val="none"/>
        </w:rPr>
        <w:t>：</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年</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月</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日</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时</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分</w:t>
      </w:r>
    </w:p>
    <w:p w14:paraId="76807754">
      <w:pPr>
        <w:tabs>
          <w:tab w:val="left" w:pos="3600"/>
          <w:tab w:val="left" w:pos="4760"/>
          <w:tab w:val="left" w:pos="5920"/>
          <w:tab w:val="left" w:pos="7060"/>
          <w:tab w:val="left" w:pos="8220"/>
        </w:tabs>
        <w:spacing w:line="337" w:lineRule="exact"/>
        <w:ind w:right="-20"/>
        <w:jc w:val="left"/>
        <w:rPr>
          <w:rFonts w:ascii="宋体" w:hAnsi="宋体"/>
          <w:color w:val="auto"/>
          <w:position w:val="-4"/>
          <w:highlight w:val="none"/>
        </w:rPr>
      </w:pPr>
      <w:r>
        <w:rPr>
          <w:rFonts w:hint="eastAsia" w:ascii="宋体" w:hAnsi="宋体"/>
          <w:color w:val="auto"/>
          <w:position w:val="-4"/>
          <w:highlight w:val="none"/>
        </w:rPr>
        <w:t>项目名称：</w:t>
      </w:r>
    </w:p>
    <w:tbl>
      <w:tblPr>
        <w:tblStyle w:val="46"/>
        <w:tblW w:w="0" w:type="auto"/>
        <w:jc w:val="center"/>
        <w:tblLayout w:type="fixed"/>
        <w:tblCellMar>
          <w:top w:w="0" w:type="dxa"/>
          <w:left w:w="108" w:type="dxa"/>
          <w:bottom w:w="0" w:type="dxa"/>
          <w:right w:w="108" w:type="dxa"/>
        </w:tblCellMar>
      </w:tblPr>
      <w:tblGrid>
        <w:gridCol w:w="1195"/>
        <w:gridCol w:w="1260"/>
        <w:gridCol w:w="973"/>
        <w:gridCol w:w="10"/>
        <w:gridCol w:w="841"/>
        <w:gridCol w:w="10"/>
        <w:gridCol w:w="839"/>
        <w:gridCol w:w="10"/>
        <w:gridCol w:w="1124"/>
        <w:gridCol w:w="10"/>
        <w:gridCol w:w="1121"/>
        <w:gridCol w:w="10"/>
        <w:gridCol w:w="695"/>
        <w:gridCol w:w="10"/>
        <w:gridCol w:w="1135"/>
        <w:gridCol w:w="10"/>
      </w:tblGrid>
      <w:tr w14:paraId="7BE8C2BB">
        <w:tblPrEx>
          <w:tblCellMar>
            <w:top w:w="0" w:type="dxa"/>
            <w:left w:w="108" w:type="dxa"/>
            <w:bottom w:w="0" w:type="dxa"/>
            <w:right w:w="108" w:type="dxa"/>
          </w:tblCellMar>
        </w:tblPrEx>
        <w:trPr>
          <w:trHeight w:val="850" w:hRule="atLeast"/>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764D6F09">
            <w:pPr>
              <w:spacing w:line="276" w:lineRule="auto"/>
              <w:jc w:val="center"/>
              <w:rPr>
                <w:rFonts w:ascii="宋体" w:hAnsi="宋体"/>
                <w:color w:val="auto"/>
                <w:highlight w:val="none"/>
              </w:rPr>
            </w:pPr>
            <w:r>
              <w:rPr>
                <w:rFonts w:hint="eastAsia" w:ascii="宋体" w:hAnsi="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255B6BBA">
            <w:pPr>
              <w:spacing w:line="276" w:lineRule="auto"/>
              <w:jc w:val="center"/>
              <w:rPr>
                <w:rFonts w:ascii="宋体" w:hAnsi="宋体"/>
                <w:color w:val="auto"/>
                <w:highlight w:val="none"/>
              </w:rPr>
            </w:pPr>
            <w:r>
              <w:rPr>
                <w:rFonts w:hint="eastAsia" w:ascii="宋体" w:hAnsi="宋体"/>
                <w:color w:val="auto"/>
                <w:highlight w:val="none"/>
              </w:rPr>
              <w:t>投标人</w:t>
            </w: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1F1198E3">
            <w:pPr>
              <w:spacing w:line="276" w:lineRule="auto"/>
              <w:ind w:right="-13" w:rightChars="-6"/>
              <w:jc w:val="center"/>
              <w:rPr>
                <w:rFonts w:ascii="宋体" w:hAnsi="宋体"/>
                <w:color w:val="auto"/>
                <w:highlight w:val="none"/>
              </w:rPr>
            </w:pPr>
            <w:r>
              <w:rPr>
                <w:rFonts w:hint="eastAsia" w:ascii="宋体" w:hAnsi="宋体"/>
                <w:color w:val="auto"/>
                <w:highlight w:val="none"/>
              </w:rPr>
              <w:t>投标</w:t>
            </w:r>
            <w:r>
              <w:rPr>
                <w:rFonts w:hint="eastAsia" w:ascii="宋体" w:hAnsi="宋体"/>
                <w:color w:val="auto"/>
                <w:highlight w:val="none"/>
                <w:lang w:val="en-US" w:eastAsia="zh-CN"/>
              </w:rPr>
              <w:t>总</w:t>
            </w:r>
            <w:r>
              <w:rPr>
                <w:rFonts w:hint="eastAsia" w:ascii="宋体" w:hAnsi="宋体"/>
                <w:color w:val="auto"/>
                <w:highlight w:val="none"/>
              </w:rPr>
              <w:t>报价（元）</w:t>
            </w: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102436DC">
            <w:pPr>
              <w:spacing w:line="276" w:lineRule="auto"/>
              <w:jc w:val="center"/>
              <w:rPr>
                <w:rFonts w:ascii="宋体" w:hAnsi="宋体"/>
                <w:color w:val="auto"/>
                <w:highlight w:val="none"/>
              </w:rPr>
            </w:pPr>
            <w:r>
              <w:rPr>
                <w:rFonts w:hint="eastAsia" w:ascii="宋体" w:hAnsi="宋体"/>
                <w:color w:val="auto"/>
                <w:highlight w:val="none"/>
              </w:rPr>
              <w:t>总监理工程师</w:t>
            </w: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1C29911">
            <w:pPr>
              <w:spacing w:line="276" w:lineRule="auto"/>
              <w:jc w:val="center"/>
              <w:rPr>
                <w:rFonts w:ascii="宋体" w:hAnsi="宋体"/>
                <w:color w:val="auto"/>
                <w:highlight w:val="none"/>
              </w:rPr>
            </w:pPr>
            <w:r>
              <w:rPr>
                <w:rFonts w:hint="eastAsia" w:ascii="宋体" w:hAnsi="宋体"/>
                <w:color w:val="auto"/>
                <w:highlight w:val="none"/>
              </w:rPr>
              <w:t>监理服务期限</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5BCAC8AF">
            <w:pPr>
              <w:spacing w:line="276" w:lineRule="auto"/>
              <w:jc w:val="center"/>
              <w:rPr>
                <w:rFonts w:ascii="宋体" w:hAnsi="宋体"/>
                <w:color w:val="auto"/>
                <w:highlight w:val="none"/>
              </w:rPr>
            </w:pPr>
            <w:r>
              <w:rPr>
                <w:rFonts w:hint="eastAsia" w:ascii="宋体" w:hAnsi="宋体"/>
                <w:color w:val="auto"/>
                <w:highlight w:val="none"/>
              </w:rPr>
              <w:t>投标文件递交情况</w:t>
            </w: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077711CE">
            <w:pPr>
              <w:spacing w:line="276" w:lineRule="auto"/>
              <w:jc w:val="center"/>
              <w:rPr>
                <w:rFonts w:ascii="宋体" w:hAnsi="宋体"/>
                <w:color w:val="auto"/>
                <w:highlight w:val="none"/>
              </w:rPr>
            </w:pPr>
            <w:r>
              <w:rPr>
                <w:rFonts w:hint="eastAsia" w:ascii="宋体" w:hAnsi="宋体"/>
                <w:color w:val="auto"/>
                <w:highlight w:val="none"/>
              </w:rPr>
              <w:t>投标文件解密情况</w:t>
            </w: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080AFF6D">
            <w:pPr>
              <w:spacing w:line="276" w:lineRule="auto"/>
              <w:jc w:val="center"/>
              <w:rPr>
                <w:rFonts w:ascii="宋体" w:hAnsi="宋体"/>
                <w:color w:val="auto"/>
                <w:highlight w:val="none"/>
              </w:rPr>
            </w:pPr>
            <w:r>
              <w:rPr>
                <w:rFonts w:hint="eastAsia" w:ascii="宋体" w:hAnsi="宋体"/>
                <w:color w:val="auto"/>
                <w:highlight w:val="none"/>
              </w:rPr>
              <w:t>备注</w:t>
            </w: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33D65902">
            <w:pPr>
              <w:spacing w:line="276" w:lineRule="auto"/>
              <w:jc w:val="center"/>
              <w:rPr>
                <w:rFonts w:ascii="宋体" w:hAnsi="宋体"/>
                <w:color w:val="auto"/>
                <w:highlight w:val="none"/>
              </w:rPr>
            </w:pPr>
            <w:r>
              <w:rPr>
                <w:rFonts w:hint="eastAsia" w:ascii="宋体" w:hAnsi="宋体"/>
                <w:color w:val="auto"/>
                <w:highlight w:val="none"/>
              </w:rPr>
              <w:t>投标人</w:t>
            </w:r>
          </w:p>
          <w:p w14:paraId="7C7A8761">
            <w:pPr>
              <w:spacing w:line="276" w:lineRule="auto"/>
              <w:jc w:val="center"/>
              <w:rPr>
                <w:rFonts w:ascii="宋体" w:hAnsi="宋体"/>
                <w:color w:val="auto"/>
                <w:highlight w:val="none"/>
              </w:rPr>
            </w:pPr>
            <w:r>
              <w:rPr>
                <w:rFonts w:hint="eastAsia" w:ascii="宋体" w:hAnsi="宋体"/>
                <w:color w:val="auto"/>
                <w:highlight w:val="none"/>
              </w:rPr>
              <w:t>代表签名</w:t>
            </w:r>
          </w:p>
        </w:tc>
      </w:tr>
      <w:tr w14:paraId="7FA958EE">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40E2B0D6">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A6853F4">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14B667D4">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59AEC418">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0477A68">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605A387">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00CF0F64">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2F2CD101">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5F5365BB">
            <w:pPr>
              <w:spacing w:line="500" w:lineRule="exact"/>
              <w:jc w:val="center"/>
              <w:rPr>
                <w:rFonts w:ascii="宋体" w:hAnsi="宋体"/>
                <w:color w:val="auto"/>
                <w:highlight w:val="none"/>
              </w:rPr>
            </w:pPr>
          </w:p>
        </w:tc>
      </w:tr>
      <w:tr w14:paraId="16F22A15">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7E0030D7">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8AA3153">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19D1859B">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2FF8EC30">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244D155B">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7C6C001D">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051D8FD1">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0E297BD8">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1C81872C">
            <w:pPr>
              <w:spacing w:line="500" w:lineRule="exact"/>
              <w:jc w:val="center"/>
              <w:rPr>
                <w:rFonts w:ascii="宋体" w:hAnsi="宋体"/>
                <w:color w:val="auto"/>
                <w:highlight w:val="none"/>
              </w:rPr>
            </w:pPr>
          </w:p>
        </w:tc>
      </w:tr>
      <w:tr w14:paraId="494D854F">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44BCE415">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F26B8F0">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1127F9D4">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28DD18E4">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3FA4354C">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871F3E0">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1D7C428C">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5B2D232F">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4FD3ECD1">
            <w:pPr>
              <w:spacing w:line="500" w:lineRule="exact"/>
              <w:jc w:val="center"/>
              <w:rPr>
                <w:rFonts w:ascii="宋体" w:hAnsi="宋体"/>
                <w:color w:val="auto"/>
                <w:highlight w:val="none"/>
              </w:rPr>
            </w:pPr>
          </w:p>
        </w:tc>
      </w:tr>
      <w:tr w14:paraId="723CE67B">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017EC7B3">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8941E46">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47303926">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640DC64A">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9DCDF95">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215EE67">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6A603AC9">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74DF3D36">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31B1EC3E">
            <w:pPr>
              <w:spacing w:line="500" w:lineRule="exact"/>
              <w:jc w:val="center"/>
              <w:rPr>
                <w:rFonts w:ascii="宋体" w:hAnsi="宋体"/>
                <w:color w:val="auto"/>
                <w:highlight w:val="none"/>
              </w:rPr>
            </w:pPr>
          </w:p>
        </w:tc>
      </w:tr>
      <w:tr w14:paraId="023AD11C">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64A88256">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D97114C">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0C20A060">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67B11E71">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2FA162D6">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583603CE">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35F75EEA">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55E9A104">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2D991E65">
            <w:pPr>
              <w:spacing w:line="500" w:lineRule="exact"/>
              <w:jc w:val="center"/>
              <w:rPr>
                <w:rFonts w:ascii="宋体" w:hAnsi="宋体"/>
                <w:color w:val="auto"/>
                <w:highlight w:val="none"/>
              </w:rPr>
            </w:pPr>
          </w:p>
        </w:tc>
      </w:tr>
      <w:tr w14:paraId="22AEA9C1">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2C9938E4">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A94D33B">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062FB564">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0F4464D5">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1856C001">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76789A5E">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51DFEBFD">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11882AB2">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3CD62274">
            <w:pPr>
              <w:spacing w:line="500" w:lineRule="exact"/>
              <w:jc w:val="center"/>
              <w:rPr>
                <w:rFonts w:ascii="宋体" w:hAnsi="宋体"/>
                <w:color w:val="auto"/>
                <w:highlight w:val="none"/>
              </w:rPr>
            </w:pPr>
          </w:p>
        </w:tc>
      </w:tr>
      <w:tr w14:paraId="5472EBBE">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5EF6E76F">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23AE8EA9">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782A33F8">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44B90EC4">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2B02158">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9823D83">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248A37A0">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4EDBDFF8">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6CA2F4CB">
            <w:pPr>
              <w:spacing w:line="500" w:lineRule="exact"/>
              <w:jc w:val="center"/>
              <w:rPr>
                <w:rFonts w:ascii="宋体" w:hAnsi="宋体"/>
                <w:color w:val="auto"/>
                <w:highlight w:val="none"/>
              </w:rPr>
            </w:pPr>
          </w:p>
        </w:tc>
      </w:tr>
      <w:tr w14:paraId="4B0850D4">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19C20CBB">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CECF18F">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7756C0A4">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5EE6EA8B">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1560A11A">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F6E27C4">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525381A4">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35D58A91">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10215756">
            <w:pPr>
              <w:spacing w:line="500" w:lineRule="exact"/>
              <w:jc w:val="center"/>
              <w:rPr>
                <w:rFonts w:ascii="宋体" w:hAnsi="宋体"/>
                <w:color w:val="auto"/>
                <w:highlight w:val="none"/>
              </w:rPr>
            </w:pPr>
          </w:p>
        </w:tc>
      </w:tr>
      <w:tr w14:paraId="6BDBDF4F">
        <w:tblPrEx>
          <w:tblCellMar>
            <w:top w:w="0" w:type="dxa"/>
            <w:left w:w="108" w:type="dxa"/>
            <w:bottom w:w="0" w:type="dxa"/>
            <w:right w:w="108" w:type="dxa"/>
          </w:tblCellMar>
        </w:tblPrEx>
        <w:trPr>
          <w:trHeight w:val="502" w:hRule="atLeast"/>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25734796">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267CB23">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74531F5D">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6059C393">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8C99BE0">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B631998">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20290EBB">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32544234">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744B150D">
            <w:pPr>
              <w:spacing w:line="500" w:lineRule="exact"/>
              <w:jc w:val="center"/>
              <w:rPr>
                <w:rFonts w:ascii="宋体" w:hAnsi="宋体"/>
                <w:color w:val="auto"/>
                <w:highlight w:val="none"/>
              </w:rPr>
            </w:pPr>
          </w:p>
        </w:tc>
      </w:tr>
      <w:tr w14:paraId="23F2BE72">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095D25AC">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7596E7A">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373B277E">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18D95413">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5534F6F3">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58E06C5">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19DEA356">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2C0EA8C6">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6F414D18">
            <w:pPr>
              <w:spacing w:line="500" w:lineRule="exact"/>
              <w:jc w:val="center"/>
              <w:rPr>
                <w:rFonts w:ascii="宋体" w:hAnsi="宋体"/>
                <w:color w:val="auto"/>
                <w:highlight w:val="none"/>
              </w:rPr>
            </w:pPr>
          </w:p>
        </w:tc>
      </w:tr>
      <w:tr w14:paraId="08B8723C">
        <w:tblPrEx>
          <w:tblCellMar>
            <w:top w:w="0" w:type="dxa"/>
            <w:left w:w="108" w:type="dxa"/>
            <w:bottom w:w="0" w:type="dxa"/>
            <w:right w:w="108" w:type="dxa"/>
          </w:tblCellMar>
        </w:tblPrEx>
        <w:trPr>
          <w:gridAfter w:val="1"/>
          <w:wAfter w:w="10" w:type="dxa"/>
          <w:jc w:val="center"/>
        </w:trPr>
        <w:tc>
          <w:tcPr>
            <w:tcW w:w="2455" w:type="dxa"/>
            <w:gridSpan w:val="2"/>
            <w:tcBorders>
              <w:top w:val="single" w:color="auto" w:sz="4" w:space="0"/>
              <w:left w:val="single" w:color="auto" w:sz="4" w:space="0"/>
              <w:bottom w:val="single" w:color="auto" w:sz="4" w:space="0"/>
              <w:right w:val="single" w:color="auto" w:sz="4" w:space="0"/>
            </w:tcBorders>
            <w:noWrap/>
            <w:vAlign w:val="center"/>
          </w:tcPr>
          <w:p w14:paraId="3E28095B">
            <w:pPr>
              <w:spacing w:line="500" w:lineRule="exact"/>
              <w:rPr>
                <w:rFonts w:hint="eastAsia" w:ascii="宋体" w:hAnsi="宋体"/>
                <w:color w:val="auto"/>
                <w:highlight w:val="none"/>
              </w:rPr>
            </w:pPr>
            <w:r>
              <w:rPr>
                <w:rFonts w:hint="eastAsia" w:ascii="宋体" w:hAnsi="宋体"/>
                <w:color w:val="auto"/>
                <w:highlight w:val="none"/>
              </w:rPr>
              <w:t>最高投标限价：</w:t>
            </w:r>
          </w:p>
        </w:tc>
        <w:tc>
          <w:tcPr>
            <w:tcW w:w="973" w:type="dxa"/>
            <w:tcBorders>
              <w:top w:val="single" w:color="auto" w:sz="4" w:space="0"/>
              <w:left w:val="single" w:color="auto" w:sz="4" w:space="0"/>
              <w:bottom w:val="single" w:color="auto" w:sz="4" w:space="0"/>
              <w:right w:val="single" w:color="auto" w:sz="4" w:space="0"/>
            </w:tcBorders>
            <w:noWrap/>
            <w:vAlign w:val="center"/>
          </w:tcPr>
          <w:p w14:paraId="49A76437">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6EC84021">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1C79895">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139AD6AF">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3C2969EF">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6EF16726">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3C15832A">
            <w:pPr>
              <w:spacing w:line="500" w:lineRule="exact"/>
              <w:jc w:val="center"/>
              <w:rPr>
                <w:rFonts w:ascii="宋体" w:hAnsi="宋体"/>
                <w:color w:val="auto"/>
                <w:highlight w:val="none"/>
              </w:rPr>
            </w:pPr>
          </w:p>
        </w:tc>
      </w:tr>
    </w:tbl>
    <w:p w14:paraId="063A8ECA">
      <w:pPr>
        <w:pStyle w:val="13"/>
        <w:ind w:firstLine="0"/>
        <w:rPr>
          <w:color w:val="auto"/>
          <w:highlight w:val="none"/>
        </w:rPr>
      </w:pPr>
    </w:p>
    <w:p w14:paraId="556C101A">
      <w:pPr>
        <w:tabs>
          <w:tab w:val="left" w:pos="2200"/>
          <w:tab w:val="left" w:pos="3040"/>
          <w:tab w:val="left" w:pos="4620"/>
          <w:tab w:val="left" w:pos="5360"/>
          <w:tab w:val="left" w:pos="6940"/>
        </w:tabs>
        <w:spacing w:line="271" w:lineRule="exact"/>
        <w:ind w:left="220" w:right="-20"/>
        <w:jc w:val="left"/>
        <w:rPr>
          <w:rFonts w:ascii="宋体" w:hAnsi="宋体"/>
          <w:color w:val="auto"/>
          <w:highlight w:val="none"/>
        </w:rPr>
      </w:pPr>
      <w:r>
        <w:rPr>
          <w:rFonts w:ascii="宋体" w:hAnsi="宋体"/>
          <w:color w:val="auto"/>
          <w:position w:val="-2"/>
          <w:highlight w:val="none"/>
        </w:rPr>
        <w:t>招标</w:t>
      </w:r>
      <w:r>
        <w:rPr>
          <w:rFonts w:ascii="宋体" w:hAnsi="宋体"/>
          <w:color w:val="auto"/>
          <w:spacing w:val="-2"/>
          <w:position w:val="-2"/>
          <w:highlight w:val="none"/>
        </w:rPr>
        <w:t>人</w:t>
      </w:r>
      <w:r>
        <w:rPr>
          <w:rFonts w:ascii="宋体" w:hAnsi="宋体"/>
          <w:color w:val="auto"/>
          <w:position w:val="-2"/>
          <w:highlight w:val="none"/>
        </w:rPr>
        <w:t>代</w:t>
      </w:r>
      <w:r>
        <w:rPr>
          <w:rFonts w:ascii="宋体" w:hAnsi="宋体"/>
          <w:color w:val="auto"/>
          <w:spacing w:val="-2"/>
          <w:position w:val="-2"/>
          <w:highlight w:val="none"/>
        </w:rPr>
        <w:t>表</w:t>
      </w:r>
      <w:r>
        <w:rPr>
          <w:rFonts w:ascii="宋体" w:hAnsi="宋体"/>
          <w:color w:val="auto"/>
          <w:position w:val="-2"/>
          <w:highlight w:val="none"/>
        </w:rPr>
        <w:t>：</w:t>
      </w:r>
      <w:r>
        <w:rPr>
          <w:rFonts w:hint="eastAsia" w:ascii="宋体" w:hAnsi="宋体"/>
          <w:color w:val="auto"/>
          <w:position w:val="-2"/>
          <w:highlight w:val="none"/>
        </w:rPr>
        <w:t xml:space="preserve">  </w:t>
      </w:r>
      <w:r>
        <w:rPr>
          <w:rFonts w:ascii="宋体" w:hAnsi="宋体"/>
          <w:color w:val="auto"/>
          <w:spacing w:val="-2"/>
          <w:position w:val="-2"/>
          <w:highlight w:val="none"/>
        </w:rPr>
        <w:t>记</w:t>
      </w:r>
      <w:r>
        <w:rPr>
          <w:rFonts w:ascii="宋体" w:hAnsi="宋体"/>
          <w:color w:val="auto"/>
          <w:position w:val="-2"/>
          <w:highlight w:val="none"/>
        </w:rPr>
        <w:t>录</w:t>
      </w:r>
      <w:r>
        <w:rPr>
          <w:rFonts w:ascii="宋体" w:hAnsi="宋体"/>
          <w:color w:val="auto"/>
          <w:spacing w:val="-2"/>
          <w:position w:val="-2"/>
          <w:highlight w:val="none"/>
        </w:rPr>
        <w:t>人</w:t>
      </w:r>
      <w:r>
        <w:rPr>
          <w:rFonts w:ascii="宋体" w:hAnsi="宋体"/>
          <w:color w:val="auto"/>
          <w:position w:val="-2"/>
          <w:highlight w:val="none"/>
        </w:rPr>
        <w:t>：</w:t>
      </w:r>
      <w:r>
        <w:rPr>
          <w:rFonts w:hint="eastAsia" w:ascii="宋体" w:hAnsi="宋体"/>
          <w:color w:val="auto"/>
          <w:w w:val="201"/>
          <w:position w:val="-2"/>
          <w:highlight w:val="none"/>
        </w:rPr>
        <w:t xml:space="preserve"> </w:t>
      </w:r>
      <w:r>
        <w:rPr>
          <w:rFonts w:ascii="宋体" w:hAnsi="宋体"/>
          <w:color w:val="auto"/>
          <w:spacing w:val="-2"/>
          <w:position w:val="-2"/>
          <w:highlight w:val="none"/>
        </w:rPr>
        <w:t>监</w:t>
      </w:r>
      <w:r>
        <w:rPr>
          <w:rFonts w:ascii="宋体" w:hAnsi="宋体"/>
          <w:color w:val="auto"/>
          <w:position w:val="-2"/>
          <w:highlight w:val="none"/>
        </w:rPr>
        <w:t>标</w:t>
      </w:r>
      <w:r>
        <w:rPr>
          <w:rFonts w:ascii="宋体" w:hAnsi="宋体"/>
          <w:color w:val="auto"/>
          <w:spacing w:val="-2"/>
          <w:position w:val="-2"/>
          <w:highlight w:val="none"/>
        </w:rPr>
        <w:t>人</w:t>
      </w:r>
      <w:r>
        <w:rPr>
          <w:rFonts w:ascii="宋体" w:hAnsi="宋体"/>
          <w:color w:val="auto"/>
          <w:position w:val="-2"/>
          <w:highlight w:val="none"/>
        </w:rPr>
        <w:t>：</w:t>
      </w:r>
    </w:p>
    <w:p w14:paraId="0B85876B">
      <w:pPr>
        <w:spacing w:line="150" w:lineRule="exact"/>
        <w:jc w:val="left"/>
        <w:rPr>
          <w:rFonts w:ascii="宋体" w:hAnsi="宋体"/>
          <w:color w:val="auto"/>
          <w:sz w:val="15"/>
          <w:highlight w:val="none"/>
        </w:rPr>
      </w:pPr>
    </w:p>
    <w:p w14:paraId="7EEDEC56">
      <w:pPr>
        <w:spacing w:line="200" w:lineRule="exact"/>
        <w:jc w:val="left"/>
        <w:rPr>
          <w:rFonts w:ascii="宋体" w:hAnsi="宋体"/>
          <w:color w:val="auto"/>
          <w:sz w:val="20"/>
          <w:highlight w:val="none"/>
        </w:rPr>
      </w:pPr>
    </w:p>
    <w:p w14:paraId="4217C177">
      <w:pPr>
        <w:tabs>
          <w:tab w:val="left" w:pos="720"/>
          <w:tab w:val="left" w:pos="1680"/>
          <w:tab w:val="left" w:pos="2620"/>
        </w:tabs>
        <w:spacing w:line="295" w:lineRule="exact"/>
        <w:ind w:right="96"/>
        <w:jc w:val="right"/>
        <w:rPr>
          <w:rFonts w:ascii="宋体" w:hAnsi="宋体"/>
          <w:color w:val="auto"/>
          <w:highlight w:val="none"/>
        </w:rPr>
      </w:pPr>
      <w:r>
        <w:rPr>
          <w:rFonts w:hint="eastAsia" w:ascii="宋体" w:hAnsi="宋体"/>
          <w:color w:val="auto"/>
          <w:w w:val="201"/>
          <w:position w:val="-1"/>
          <w:highlight w:val="none"/>
          <w:u w:val="single"/>
        </w:rPr>
        <w:t xml:space="preserve"> </w:t>
      </w:r>
      <w:r>
        <w:rPr>
          <w:rFonts w:ascii="宋体" w:hAnsi="宋体"/>
          <w:color w:val="auto"/>
          <w:position w:val="-1"/>
          <w:highlight w:val="none"/>
        </w:rPr>
        <w:t>年</w:t>
      </w:r>
      <w:r>
        <w:rPr>
          <w:rFonts w:hint="eastAsia" w:ascii="宋体" w:hAnsi="宋体"/>
          <w:color w:val="auto"/>
          <w:position w:val="-1"/>
          <w:highlight w:val="none"/>
          <w:u w:val="single"/>
        </w:rPr>
        <w:t xml:space="preserve"> </w:t>
      </w:r>
      <w:r>
        <w:rPr>
          <w:rFonts w:ascii="宋体" w:hAnsi="宋体"/>
          <w:color w:val="auto"/>
          <w:spacing w:val="-2"/>
          <w:position w:val="-1"/>
          <w:highlight w:val="none"/>
        </w:rPr>
        <w:t>月</w:t>
      </w:r>
      <w:r>
        <w:rPr>
          <w:rFonts w:hint="eastAsia" w:ascii="宋体" w:hAnsi="宋体"/>
          <w:color w:val="auto"/>
          <w:position w:val="-1"/>
          <w:highlight w:val="none"/>
          <w:u w:val="single"/>
        </w:rPr>
        <w:t xml:space="preserve"> </w:t>
      </w:r>
      <w:r>
        <w:rPr>
          <w:rFonts w:ascii="宋体" w:hAnsi="宋体"/>
          <w:color w:val="auto"/>
          <w:position w:val="-1"/>
          <w:highlight w:val="none"/>
        </w:rPr>
        <w:t>日</w:t>
      </w:r>
    </w:p>
    <w:p w14:paraId="3903D90E">
      <w:pPr>
        <w:spacing w:line="373" w:lineRule="exact"/>
        <w:ind w:left="14" w:right="40" w:hanging="14" w:hangingChars="5"/>
        <w:rPr>
          <w:rFonts w:hint="eastAsia" w:ascii="宋体" w:hAnsi="宋体"/>
          <w:color w:val="auto"/>
          <w:sz w:val="28"/>
          <w:highlight w:val="none"/>
        </w:rPr>
      </w:pPr>
    </w:p>
    <w:p w14:paraId="05B50F96">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14:paraId="42189E82">
      <w:pPr>
        <w:spacing w:line="383" w:lineRule="exact"/>
        <w:ind w:right="-20"/>
        <w:jc w:val="left"/>
        <w:rPr>
          <w:rFonts w:ascii="宋体" w:hAnsi="宋体"/>
          <w:color w:val="auto"/>
          <w:sz w:val="28"/>
          <w:highlight w:val="none"/>
        </w:rPr>
      </w:pPr>
      <w:r>
        <w:rPr>
          <w:rFonts w:hint="eastAsia" w:ascii="宋体" w:hAnsi="宋体" w:cs="宋体"/>
          <w:color w:val="auto"/>
          <w:highlight w:val="none"/>
        </w:rPr>
        <w:br w:type="page"/>
      </w:r>
      <w:r>
        <w:rPr>
          <w:rFonts w:ascii="宋体" w:hAnsi="宋体"/>
          <w:color w:val="auto"/>
          <w:position w:val="-4"/>
          <w:sz w:val="28"/>
          <w:highlight w:val="none"/>
        </w:rPr>
        <w:t>附件二</w:t>
      </w:r>
      <w:r>
        <w:rPr>
          <w:rFonts w:ascii="宋体" w:hAnsi="宋体"/>
          <w:color w:val="auto"/>
          <w:spacing w:val="-3"/>
          <w:position w:val="-4"/>
          <w:sz w:val="28"/>
          <w:highlight w:val="none"/>
        </w:rPr>
        <w:t>：</w:t>
      </w:r>
      <w:r>
        <w:rPr>
          <w:rFonts w:ascii="宋体" w:hAnsi="宋体"/>
          <w:color w:val="auto"/>
          <w:position w:val="-4"/>
          <w:sz w:val="28"/>
          <w:highlight w:val="none"/>
        </w:rPr>
        <w:t>问题</w:t>
      </w:r>
      <w:r>
        <w:rPr>
          <w:rFonts w:ascii="宋体" w:hAnsi="宋体"/>
          <w:color w:val="auto"/>
          <w:spacing w:val="-3"/>
          <w:position w:val="-4"/>
          <w:sz w:val="28"/>
          <w:highlight w:val="none"/>
        </w:rPr>
        <w:t>澄清</w:t>
      </w:r>
      <w:r>
        <w:rPr>
          <w:rFonts w:ascii="宋体" w:hAnsi="宋体"/>
          <w:color w:val="auto"/>
          <w:position w:val="-4"/>
          <w:sz w:val="28"/>
          <w:highlight w:val="none"/>
        </w:rPr>
        <w:t>通知</w:t>
      </w:r>
    </w:p>
    <w:p w14:paraId="5B3D7226">
      <w:pPr>
        <w:spacing w:line="200" w:lineRule="exact"/>
        <w:jc w:val="left"/>
        <w:rPr>
          <w:rFonts w:ascii="宋体" w:hAnsi="宋体"/>
          <w:color w:val="auto"/>
          <w:sz w:val="20"/>
          <w:highlight w:val="none"/>
        </w:rPr>
      </w:pPr>
    </w:p>
    <w:p w14:paraId="36DE6516">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14:paraId="260CE940">
      <w:pPr>
        <w:spacing w:line="383" w:lineRule="exact"/>
        <w:ind w:left="237" w:right="-20"/>
        <w:jc w:val="left"/>
        <w:rPr>
          <w:rFonts w:ascii="宋体" w:hAnsi="宋体"/>
          <w:color w:val="auto"/>
          <w:position w:val="-4"/>
          <w:sz w:val="28"/>
          <w:highlight w:val="none"/>
        </w:rPr>
      </w:pPr>
    </w:p>
    <w:p w14:paraId="4CE7405D">
      <w:pPr>
        <w:spacing w:line="383" w:lineRule="exact"/>
        <w:ind w:left="237" w:right="-20"/>
        <w:jc w:val="left"/>
        <w:rPr>
          <w:rFonts w:ascii="宋体" w:hAnsi="宋体"/>
          <w:color w:val="auto"/>
          <w:position w:val="-4"/>
          <w:sz w:val="28"/>
          <w:highlight w:val="none"/>
        </w:rPr>
      </w:pPr>
    </w:p>
    <w:p w14:paraId="4F6C491B">
      <w:pPr>
        <w:spacing w:line="383" w:lineRule="exact"/>
        <w:ind w:right="-20"/>
        <w:jc w:val="left"/>
        <w:rPr>
          <w:rFonts w:ascii="宋体" w:hAnsi="宋体"/>
          <w:color w:val="auto"/>
          <w:sz w:val="17"/>
          <w:highlight w:val="none"/>
        </w:rPr>
      </w:pPr>
      <w:r>
        <w:rPr>
          <w:rFonts w:ascii="宋体" w:hAnsi="宋体"/>
          <w:color w:val="auto"/>
          <w:position w:val="-4"/>
          <w:sz w:val="28"/>
          <w:highlight w:val="none"/>
        </w:rPr>
        <w:t>附件三</w:t>
      </w:r>
      <w:r>
        <w:rPr>
          <w:rFonts w:ascii="宋体" w:hAnsi="宋体"/>
          <w:color w:val="auto"/>
          <w:spacing w:val="-3"/>
          <w:position w:val="-4"/>
          <w:sz w:val="28"/>
          <w:highlight w:val="none"/>
        </w:rPr>
        <w:t>：</w:t>
      </w:r>
      <w:r>
        <w:rPr>
          <w:rFonts w:ascii="宋体" w:hAnsi="宋体"/>
          <w:color w:val="auto"/>
          <w:position w:val="-4"/>
          <w:sz w:val="28"/>
          <w:highlight w:val="none"/>
        </w:rPr>
        <w:t>问题</w:t>
      </w:r>
      <w:r>
        <w:rPr>
          <w:rFonts w:ascii="宋体" w:hAnsi="宋体"/>
          <w:color w:val="auto"/>
          <w:spacing w:val="-3"/>
          <w:position w:val="-4"/>
          <w:sz w:val="28"/>
          <w:highlight w:val="none"/>
        </w:rPr>
        <w:t>的澄</w:t>
      </w:r>
      <w:r>
        <w:rPr>
          <w:rFonts w:ascii="宋体" w:hAnsi="宋体"/>
          <w:color w:val="auto"/>
          <w:position w:val="-4"/>
          <w:sz w:val="28"/>
          <w:highlight w:val="none"/>
        </w:rPr>
        <w:t>清</w:t>
      </w:r>
    </w:p>
    <w:p w14:paraId="10554CBD">
      <w:pPr>
        <w:spacing w:line="200" w:lineRule="exact"/>
        <w:jc w:val="left"/>
        <w:rPr>
          <w:rFonts w:ascii="宋体" w:hAnsi="宋体"/>
          <w:color w:val="auto"/>
          <w:sz w:val="20"/>
          <w:highlight w:val="none"/>
        </w:rPr>
      </w:pPr>
    </w:p>
    <w:p w14:paraId="1FCFC277">
      <w:pPr>
        <w:spacing w:line="373" w:lineRule="exact"/>
        <w:ind w:right="40"/>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14:paraId="1BFFF178">
      <w:pPr>
        <w:spacing w:line="383" w:lineRule="exact"/>
        <w:ind w:left="237" w:right="-20"/>
        <w:jc w:val="left"/>
        <w:rPr>
          <w:rFonts w:ascii="宋体" w:hAnsi="宋体"/>
          <w:color w:val="auto"/>
          <w:position w:val="-4"/>
          <w:sz w:val="28"/>
          <w:highlight w:val="none"/>
        </w:rPr>
      </w:pPr>
      <w:bookmarkStart w:id="276" w:name="_Toc529459327"/>
      <w:bookmarkStart w:id="277" w:name="_Toc51593457"/>
      <w:bookmarkStart w:id="278" w:name="_Toc525218682"/>
      <w:bookmarkStart w:id="279" w:name="_Toc51179204"/>
      <w:bookmarkStart w:id="280" w:name="_Toc536455247"/>
      <w:bookmarkStart w:id="281" w:name="_Toc27507"/>
    </w:p>
    <w:p w14:paraId="784F44BD">
      <w:pPr>
        <w:spacing w:line="383" w:lineRule="exact"/>
        <w:ind w:left="237" w:right="-20"/>
        <w:jc w:val="left"/>
        <w:rPr>
          <w:rFonts w:ascii="宋体" w:hAnsi="宋体"/>
          <w:color w:val="auto"/>
          <w:position w:val="-4"/>
          <w:sz w:val="28"/>
          <w:highlight w:val="none"/>
        </w:rPr>
      </w:pPr>
    </w:p>
    <w:p w14:paraId="47492E2D">
      <w:pPr>
        <w:spacing w:line="383" w:lineRule="exact"/>
        <w:ind w:right="-20"/>
        <w:jc w:val="left"/>
        <w:rPr>
          <w:rFonts w:ascii="宋体" w:hAnsi="宋体"/>
          <w:color w:val="auto"/>
          <w:position w:val="-4"/>
          <w:sz w:val="28"/>
          <w:highlight w:val="none"/>
        </w:rPr>
      </w:pPr>
      <w:r>
        <w:rPr>
          <w:rFonts w:ascii="宋体" w:hAnsi="宋体"/>
          <w:color w:val="auto"/>
          <w:position w:val="-4"/>
          <w:sz w:val="28"/>
          <w:highlight w:val="none"/>
        </w:rPr>
        <w:t>附件四：中标通知书</w:t>
      </w:r>
      <w:bookmarkEnd w:id="276"/>
      <w:bookmarkEnd w:id="277"/>
      <w:bookmarkEnd w:id="278"/>
      <w:bookmarkEnd w:id="279"/>
      <w:bookmarkEnd w:id="280"/>
      <w:bookmarkEnd w:id="281"/>
    </w:p>
    <w:p w14:paraId="760CA8CC">
      <w:pPr>
        <w:spacing w:line="200" w:lineRule="exact"/>
        <w:jc w:val="left"/>
        <w:rPr>
          <w:rFonts w:ascii="宋体" w:hAnsi="宋体"/>
          <w:color w:val="auto"/>
          <w:sz w:val="20"/>
          <w:highlight w:val="none"/>
        </w:rPr>
      </w:pPr>
    </w:p>
    <w:p w14:paraId="1A65A123">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14:paraId="3C141502">
      <w:pPr>
        <w:spacing w:line="373" w:lineRule="exact"/>
        <w:ind w:left="3578" w:right="40" w:hanging="3578" w:hangingChars="1278"/>
        <w:jc w:val="center"/>
        <w:rPr>
          <w:rFonts w:ascii="宋体" w:hAnsi="宋体"/>
          <w:color w:val="auto"/>
          <w:sz w:val="28"/>
          <w:highlight w:val="none"/>
        </w:rPr>
      </w:pPr>
    </w:p>
    <w:p w14:paraId="317F1DD1">
      <w:pPr>
        <w:spacing w:line="383" w:lineRule="exact"/>
        <w:ind w:left="237" w:right="-20"/>
        <w:jc w:val="left"/>
        <w:rPr>
          <w:rFonts w:ascii="宋体" w:hAnsi="宋体"/>
          <w:color w:val="auto"/>
          <w:position w:val="-4"/>
          <w:sz w:val="28"/>
          <w:highlight w:val="none"/>
        </w:rPr>
      </w:pPr>
      <w:bookmarkStart w:id="282" w:name="_Toc492300625"/>
      <w:bookmarkStart w:id="283" w:name="_Toc492300624"/>
      <w:bookmarkStart w:id="284" w:name="_Toc530470628"/>
      <w:bookmarkStart w:id="285" w:name="_Toc529196580"/>
      <w:bookmarkStart w:id="286" w:name="_Toc535938719"/>
      <w:bookmarkStart w:id="287" w:name="_Toc49510020"/>
      <w:bookmarkStart w:id="288" w:name="_Toc6395"/>
    </w:p>
    <w:p w14:paraId="7A626EC0">
      <w:pPr>
        <w:spacing w:after="240"/>
        <w:rPr>
          <w:rFonts w:ascii="宋体" w:hAnsi="宋体"/>
          <w:color w:val="auto"/>
          <w:position w:val="-4"/>
          <w:sz w:val="28"/>
          <w:highlight w:val="none"/>
        </w:rPr>
      </w:pPr>
      <w:r>
        <w:rPr>
          <w:rFonts w:ascii="宋体" w:hAnsi="宋体"/>
          <w:color w:val="auto"/>
          <w:position w:val="-4"/>
          <w:sz w:val="28"/>
          <w:highlight w:val="none"/>
        </w:rPr>
        <w:t>附件五：</w:t>
      </w:r>
      <w:bookmarkEnd w:id="282"/>
      <w:r>
        <w:rPr>
          <w:rFonts w:ascii="宋体" w:hAnsi="宋体"/>
          <w:color w:val="auto"/>
          <w:position w:val="-4"/>
          <w:sz w:val="28"/>
          <w:highlight w:val="none"/>
        </w:rPr>
        <w:t>中标结果通知书</w:t>
      </w:r>
      <w:bookmarkEnd w:id="283"/>
    </w:p>
    <w:p w14:paraId="15E93E5F">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bookmarkEnd w:id="284"/>
    <w:bookmarkEnd w:id="285"/>
    <w:bookmarkEnd w:id="286"/>
    <w:p w14:paraId="5A303F45">
      <w:pPr>
        <w:spacing w:line="383" w:lineRule="exact"/>
        <w:ind w:left="237" w:right="-20"/>
        <w:jc w:val="left"/>
        <w:rPr>
          <w:rFonts w:ascii="宋体" w:hAnsi="宋体"/>
          <w:color w:val="auto"/>
          <w:position w:val="-4"/>
          <w:sz w:val="28"/>
          <w:highlight w:val="none"/>
        </w:rPr>
      </w:pPr>
    </w:p>
    <w:p w14:paraId="7DC8D202">
      <w:pPr>
        <w:spacing w:line="383" w:lineRule="exact"/>
        <w:ind w:left="237" w:right="-20"/>
        <w:jc w:val="left"/>
        <w:rPr>
          <w:rFonts w:ascii="宋体" w:hAnsi="宋体"/>
          <w:color w:val="auto"/>
          <w:position w:val="-4"/>
          <w:sz w:val="28"/>
          <w:highlight w:val="none"/>
        </w:rPr>
      </w:pPr>
    </w:p>
    <w:p w14:paraId="3D3A2C80">
      <w:pPr>
        <w:rPr>
          <w:rFonts w:ascii="宋体" w:hAnsi="宋体"/>
          <w:color w:val="auto"/>
          <w:position w:val="-4"/>
          <w:sz w:val="28"/>
          <w:highlight w:val="none"/>
        </w:rPr>
      </w:pPr>
      <w:r>
        <w:rPr>
          <w:rFonts w:ascii="宋体" w:hAnsi="宋体"/>
          <w:color w:val="auto"/>
          <w:position w:val="-4"/>
          <w:sz w:val="28"/>
          <w:highlight w:val="none"/>
        </w:rPr>
        <w:t>附件六：确认通知</w:t>
      </w:r>
    </w:p>
    <w:p w14:paraId="48A3CC6C">
      <w:pPr>
        <w:spacing w:line="200" w:lineRule="exact"/>
        <w:jc w:val="left"/>
        <w:rPr>
          <w:rFonts w:ascii="宋体" w:hAnsi="宋体"/>
          <w:color w:val="auto"/>
          <w:sz w:val="20"/>
          <w:highlight w:val="none"/>
        </w:rPr>
      </w:pPr>
    </w:p>
    <w:p w14:paraId="167AA39E">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14:paraId="24EC5416">
      <w:pPr>
        <w:rPr>
          <w:rFonts w:ascii="宋体" w:hAnsi="宋体"/>
          <w:color w:val="auto"/>
          <w:highlight w:val="none"/>
        </w:rPr>
      </w:pPr>
    </w:p>
    <w:p w14:paraId="7DABD238">
      <w:pPr>
        <w:pStyle w:val="3"/>
        <w:spacing w:line="240" w:lineRule="auto"/>
        <w:jc w:val="center"/>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第三章 评标办法（“评定分离”定标办法）</w:t>
      </w:r>
      <w:bookmarkEnd w:id="287"/>
      <w:bookmarkEnd w:id="288"/>
    </w:p>
    <w:p w14:paraId="1134BF6F">
      <w:pPr>
        <w:pStyle w:val="2"/>
        <w:spacing w:line="240" w:lineRule="auto"/>
        <w:jc w:val="center"/>
        <w:rPr>
          <w:rFonts w:hint="eastAsia" w:ascii="宋体" w:hAnsi="宋体" w:eastAsia="宋体"/>
          <w:color w:val="auto"/>
          <w:highlight w:val="none"/>
        </w:rPr>
      </w:pPr>
      <w:bookmarkStart w:id="289" w:name="_Toc49510021"/>
      <w:r>
        <w:rPr>
          <w:rFonts w:hint="eastAsia" w:ascii="宋体" w:hAnsi="宋体" w:eastAsia="宋体"/>
          <w:color w:val="auto"/>
          <w:highlight w:val="none"/>
        </w:rPr>
        <w:t>评标办法前附表</w:t>
      </w:r>
      <w:bookmarkEnd w:id="289"/>
    </w:p>
    <w:tbl>
      <w:tblPr>
        <w:tblStyle w:val="46"/>
        <w:tblpPr w:leftFromText="180" w:rightFromText="180" w:vertAnchor="text" w:horzAnchor="page" w:tblpX="1636" w:tblpY="1780"/>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158"/>
        <w:gridCol w:w="1772"/>
        <w:gridCol w:w="5511"/>
      </w:tblGrid>
      <w:tr w14:paraId="6E63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AA09CE">
            <w:pPr>
              <w:widowControl/>
              <w:spacing w:beforeAutospacing="1" w:afterAutospacing="1"/>
              <w:jc w:val="center"/>
              <w:rPr>
                <w:rFonts w:ascii="宋体" w:hAnsi="宋体" w:cs="楷体"/>
                <w:color w:val="auto"/>
                <w:kern w:val="0"/>
                <w:sz w:val="24"/>
                <w:szCs w:val="24"/>
                <w:highlight w:val="none"/>
              </w:rPr>
            </w:pPr>
            <w:bookmarkStart w:id="290" w:name="_Toc529196583"/>
            <w:bookmarkStart w:id="291" w:name="_Toc515205256"/>
            <w:r>
              <w:rPr>
                <w:rFonts w:hint="eastAsia" w:ascii="宋体" w:hAnsi="宋体" w:cs="宋体"/>
                <w:b/>
                <w:color w:val="auto"/>
                <w:kern w:val="0"/>
                <w:sz w:val="24"/>
                <w:szCs w:val="24"/>
                <w:highlight w:val="none"/>
              </w:rPr>
              <w:t>条款号</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7812C1">
            <w:pPr>
              <w:widowControl/>
              <w:spacing w:beforeAutospacing="1" w:afterAutospacing="1"/>
              <w:jc w:val="center"/>
              <w:rPr>
                <w:rFonts w:ascii="宋体" w:hAnsi="宋体" w:cs="楷体"/>
                <w:color w:val="auto"/>
                <w:kern w:val="0"/>
                <w:sz w:val="24"/>
                <w:szCs w:val="24"/>
                <w:highlight w:val="none"/>
              </w:rPr>
            </w:pPr>
            <w:r>
              <w:rPr>
                <w:rFonts w:hint="eastAsia" w:ascii="宋体" w:hAnsi="宋体" w:cs="宋体"/>
                <w:b/>
                <w:color w:val="auto"/>
                <w:kern w:val="0"/>
                <w:sz w:val="24"/>
                <w:szCs w:val="24"/>
                <w:highlight w:val="none"/>
              </w:rPr>
              <w:t>评审因素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90A9B4">
            <w:pPr>
              <w:widowControl/>
              <w:spacing w:beforeAutospacing="1" w:afterAutospacing="1"/>
              <w:jc w:val="center"/>
              <w:rPr>
                <w:rFonts w:ascii="宋体" w:hAnsi="宋体" w:cs="楷体"/>
                <w:color w:val="auto"/>
                <w:kern w:val="0"/>
                <w:sz w:val="24"/>
                <w:szCs w:val="24"/>
                <w:highlight w:val="none"/>
              </w:rPr>
            </w:pPr>
            <w:r>
              <w:rPr>
                <w:rFonts w:hint="eastAsia" w:ascii="宋体" w:hAnsi="宋体" w:cs="宋体"/>
                <w:b/>
                <w:color w:val="auto"/>
                <w:kern w:val="0"/>
                <w:sz w:val="24"/>
                <w:szCs w:val="24"/>
                <w:highlight w:val="none"/>
              </w:rPr>
              <w:t>评审标准</w:t>
            </w:r>
          </w:p>
        </w:tc>
      </w:tr>
      <w:tr w14:paraId="075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9B297F8">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C6ED5C9">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评标方法</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333873">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中标候选人排序方法</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D07A066">
            <w:pPr>
              <w:rPr>
                <w:color w:val="auto"/>
                <w:szCs w:val="21"/>
                <w:highlight w:val="none"/>
              </w:rPr>
            </w:pPr>
            <w:r>
              <w:rPr>
                <w:rFonts w:hint="eastAsia" w:ascii="宋体" w:hAnsi="宋体" w:cs="宋体"/>
                <w:color w:val="auto"/>
                <w:highlight w:val="none"/>
                <w:u w:val="single"/>
              </w:rPr>
              <w:t>本项目采用评定分离定标办法，其中：评标采用“通过制”评标办法，</w:t>
            </w: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【不排序，按其统一社会信用代码后4位（除校验码外）大小进行排位】</w:t>
            </w:r>
            <w:r>
              <w:rPr>
                <w:rFonts w:hint="eastAsia"/>
                <w:color w:val="auto"/>
                <w:szCs w:val="21"/>
                <w:highlight w:val="none"/>
                <w:u w:val="single"/>
              </w:rPr>
              <w:t>。</w:t>
            </w:r>
          </w:p>
        </w:tc>
      </w:tr>
      <w:tr w14:paraId="555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A8CFDFD">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9017E62">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形式评审标准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463294D">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投标人名称</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1671567">
            <w:pPr>
              <w:widowControl/>
              <w:spacing w:beforeAutospacing="1" w:afterAutospacing="1"/>
              <w:jc w:val="both"/>
              <w:rPr>
                <w:rFonts w:hint="eastAsia" w:ascii="宋体" w:hAnsi="宋体" w:eastAsia="宋体" w:cs="楷体"/>
                <w:color w:val="auto"/>
                <w:kern w:val="0"/>
                <w:szCs w:val="21"/>
                <w:highlight w:val="none"/>
                <w:lang w:eastAsia="zh-CN"/>
              </w:rPr>
            </w:pPr>
            <w:r>
              <w:rPr>
                <w:rFonts w:hint="eastAsia" w:ascii="宋体" w:hAnsi="宋体" w:cs="宋体"/>
                <w:color w:val="auto"/>
                <w:kern w:val="0"/>
                <w:szCs w:val="21"/>
                <w:highlight w:val="none"/>
              </w:rPr>
              <w:t>与营业执照、资质证书一致</w:t>
            </w:r>
            <w:r>
              <w:rPr>
                <w:rFonts w:hint="eastAsia" w:ascii="宋体" w:hAnsi="宋体" w:cs="宋体"/>
                <w:color w:val="auto"/>
                <w:kern w:val="0"/>
                <w:szCs w:val="21"/>
                <w:highlight w:val="none"/>
                <w:lang w:eastAsia="zh-CN"/>
              </w:rPr>
              <w:t>；</w:t>
            </w:r>
            <w:r>
              <w:rPr>
                <w:rFonts w:hint="eastAsia" w:ascii="宋体" w:hAnsi="宋体" w:eastAsia="宋体" w:cs="宋体"/>
                <w:color w:val="auto"/>
                <w:sz w:val="21"/>
                <w:szCs w:val="21"/>
                <w:highlight w:val="none"/>
                <w:u w:val="single"/>
              </w:rPr>
              <w:t>香港企业参加投标的，须与在广东省住房和城乡建设主管部门备案的证明一致。</w:t>
            </w:r>
          </w:p>
        </w:tc>
      </w:tr>
      <w:tr w14:paraId="225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D64FD00">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6BFE05F">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67194CD">
            <w:pPr>
              <w:widowControl/>
              <w:jc w:val="center"/>
              <w:rPr>
                <w:rFonts w:ascii="宋体" w:hAnsi="宋体" w:cs="楷体"/>
                <w:color w:val="auto"/>
                <w:kern w:val="0"/>
                <w:szCs w:val="21"/>
                <w:highlight w:val="none"/>
              </w:rPr>
            </w:pPr>
            <w:r>
              <w:rPr>
                <w:rFonts w:hint="eastAsia" w:ascii="宋体" w:hAnsi="宋体" w:cs="宋体"/>
                <w:color w:val="auto"/>
                <w:kern w:val="0"/>
                <w:szCs w:val="21"/>
                <w:highlight w:val="none"/>
              </w:rPr>
              <w:t>投标函及投标函</w:t>
            </w:r>
          </w:p>
          <w:p w14:paraId="3BFE8291">
            <w:pPr>
              <w:widowControl/>
              <w:jc w:val="center"/>
              <w:rPr>
                <w:rFonts w:ascii="宋体" w:hAnsi="宋体" w:cs="楷体"/>
                <w:color w:val="auto"/>
                <w:kern w:val="0"/>
                <w:szCs w:val="21"/>
                <w:highlight w:val="none"/>
              </w:rPr>
            </w:pPr>
            <w:r>
              <w:rPr>
                <w:rFonts w:hint="eastAsia" w:ascii="宋体" w:hAnsi="宋体" w:cs="宋体"/>
                <w:color w:val="auto"/>
                <w:kern w:val="0"/>
                <w:szCs w:val="21"/>
                <w:highlight w:val="none"/>
              </w:rPr>
              <w:t>附录签字盖章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F6C50B">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kern w:val="0"/>
                <w:szCs w:val="21"/>
                <w:highlight w:val="none"/>
              </w:rPr>
              <w:t>有法定代表人或被授权人签字（或盖章）。由法定代表人签字（或盖章）的，应附法定代表人身份证明；由被授权人签字（或盖章）的，应附授权委托书、法定代表人身份证明。</w:t>
            </w:r>
          </w:p>
        </w:tc>
      </w:tr>
      <w:tr w14:paraId="7028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4D07BB0">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A8C5373">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2B693FC">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投标文件格式</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F88A33E">
            <w:pPr>
              <w:widowControl/>
              <w:spacing w:beforeAutospacing="1" w:afterAutospacing="1"/>
              <w:jc w:val="left"/>
              <w:rPr>
                <w:rFonts w:ascii="宋体" w:hAnsi="宋体" w:cs="楷体"/>
                <w:color w:val="auto"/>
                <w:kern w:val="0"/>
                <w:szCs w:val="21"/>
                <w:highlight w:val="none"/>
                <w:u w:val="single"/>
              </w:rPr>
            </w:pPr>
            <w:r>
              <w:rPr>
                <w:rFonts w:hint="eastAsia" w:ascii="宋体" w:hAnsi="宋体" w:cs="宋体"/>
                <w:color w:val="auto"/>
                <w:kern w:val="0"/>
                <w:szCs w:val="21"/>
                <w:highlight w:val="none"/>
                <w:u w:val="single"/>
              </w:rPr>
              <w:t>“</w:t>
            </w:r>
            <w:r>
              <w:rPr>
                <w:rFonts w:ascii="宋体" w:hAnsi="宋体"/>
                <w:color w:val="auto"/>
                <w:highlight w:val="none"/>
                <w:u w:val="single"/>
              </w:rPr>
              <w:t>投标函及投标函附录</w:t>
            </w:r>
            <w:r>
              <w:rPr>
                <w:rFonts w:hint="eastAsia" w:ascii="宋体" w:hAnsi="宋体"/>
                <w:color w:val="auto"/>
                <w:highlight w:val="none"/>
                <w:u w:val="single"/>
              </w:rPr>
              <w:t>”</w:t>
            </w:r>
            <w:r>
              <w:rPr>
                <w:rFonts w:hint="eastAsia" w:ascii="宋体" w:hAnsi="宋体" w:cs="宋体"/>
                <w:color w:val="auto"/>
                <w:kern w:val="0"/>
                <w:szCs w:val="21"/>
                <w:highlight w:val="none"/>
                <w:u w:val="single"/>
              </w:rPr>
              <w:t>符合第六章“投标文件格式”的规定。</w:t>
            </w:r>
          </w:p>
        </w:tc>
      </w:tr>
      <w:tr w14:paraId="438B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BE46350">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54E03C3">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635B73">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pacing w:val="-7"/>
                <w:szCs w:val="21"/>
                <w:highlight w:val="none"/>
              </w:rPr>
              <w:t>备选投标方案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E559F1D">
            <w:pPr>
              <w:widowControl/>
              <w:spacing w:beforeAutospacing="1" w:afterAutospacing="1"/>
              <w:jc w:val="left"/>
              <w:rPr>
                <w:rFonts w:ascii="宋体" w:hAnsi="宋体" w:cs="楷体"/>
                <w:color w:val="auto"/>
                <w:kern w:val="0"/>
                <w:szCs w:val="21"/>
                <w:highlight w:val="none"/>
              </w:rPr>
            </w:pPr>
            <w:r>
              <w:rPr>
                <w:rFonts w:hint="default" w:ascii="宋体" w:hAnsi="宋体" w:eastAsia="宋体" w:cs="宋体"/>
                <w:color w:val="auto"/>
                <w:sz w:val="21"/>
                <w:szCs w:val="21"/>
                <w:highlight w:val="none"/>
                <w:u w:val="single"/>
              </w:rPr>
              <w:t>不允许。</w:t>
            </w:r>
          </w:p>
        </w:tc>
      </w:tr>
      <w:tr w14:paraId="293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510A7D2">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34F16D">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FE35C16">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B9EDF0B">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szCs w:val="21"/>
                <w:highlight w:val="none"/>
                <w:u w:val="single"/>
                <w:lang w:val="en-US" w:eastAsia="zh-CN"/>
              </w:rPr>
              <w:t>本次招标</w:t>
            </w:r>
            <w:r>
              <w:rPr>
                <w:rFonts w:hint="eastAsia" w:ascii="宋体" w:hAnsi="宋体" w:cs="宋体"/>
                <w:color w:val="auto"/>
                <w:szCs w:val="21"/>
                <w:highlight w:val="none"/>
                <w:u w:val="single"/>
              </w:rPr>
              <w:t>不接受联合体投标。</w:t>
            </w:r>
          </w:p>
        </w:tc>
      </w:tr>
      <w:tr w14:paraId="5934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BC8C56B">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9CC2B76">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4609B8D">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投标人机器码</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64CA576">
            <w:pPr>
              <w:widowControl/>
              <w:jc w:val="left"/>
              <w:rPr>
                <w:rFonts w:hint="eastAsia" w:ascii="宋体" w:hAnsi="宋体" w:eastAsia="宋体" w:cs="楷体"/>
                <w:color w:val="auto"/>
                <w:kern w:val="0"/>
                <w:szCs w:val="21"/>
                <w:highlight w:val="none"/>
                <w:lang w:eastAsia="zh-CN"/>
              </w:rPr>
            </w:pPr>
            <w:r>
              <w:rPr>
                <w:rFonts w:hint="default" w:ascii="宋体" w:hAnsi="Times New Roman" w:eastAsia="宋体"/>
                <w:color w:val="auto"/>
                <w:sz w:val="21"/>
                <w:szCs w:val="24"/>
                <w:highlight w:val="none"/>
                <w:u w:val="single"/>
              </w:rPr>
              <w:t>投标人与</w:t>
            </w:r>
            <w:r>
              <w:rPr>
                <w:rFonts w:hint="default" w:ascii="宋体" w:hAnsi="Times New Roman" w:eastAsia="宋体"/>
                <w:color w:val="auto"/>
                <w:sz w:val="21"/>
                <w:szCs w:val="24"/>
                <w:highlight w:val="none"/>
                <w:u w:val="single"/>
                <w:lang w:eastAsia="zh-CN"/>
              </w:rPr>
              <w:t>本项目</w:t>
            </w:r>
            <w:r>
              <w:rPr>
                <w:rFonts w:hint="default" w:ascii="宋体" w:hAnsi="Times New Roman" w:eastAsia="宋体"/>
                <w:color w:val="auto"/>
                <w:sz w:val="21"/>
                <w:szCs w:val="24"/>
                <w:highlight w:val="none"/>
                <w:u w:val="single"/>
              </w:rPr>
              <w:t>其他投标人加密打包投标文件电脑机器特征码</w:t>
            </w:r>
            <w:r>
              <w:rPr>
                <w:rFonts w:hint="default" w:ascii="宋体" w:hAnsi="Times New Roman" w:eastAsia="宋体"/>
                <w:color w:val="auto"/>
                <w:sz w:val="21"/>
                <w:szCs w:val="24"/>
                <w:highlight w:val="none"/>
                <w:u w:val="single"/>
                <w:lang w:eastAsia="zh-CN"/>
              </w:rPr>
              <w:t>不</w:t>
            </w:r>
            <w:r>
              <w:rPr>
                <w:rFonts w:hint="default" w:ascii="宋体" w:hAnsi="Times New Roman" w:eastAsia="宋体"/>
                <w:color w:val="auto"/>
                <w:sz w:val="21"/>
                <w:szCs w:val="24"/>
                <w:highlight w:val="none"/>
                <w:u w:val="single"/>
              </w:rPr>
              <w:t>一致的(以</w:t>
            </w:r>
            <w:r>
              <w:rPr>
                <w:rFonts w:hint="eastAsia" w:ascii="宋体"/>
                <w:color w:val="auto"/>
                <w:sz w:val="21"/>
                <w:szCs w:val="24"/>
                <w:highlight w:val="none"/>
                <w:u w:val="single"/>
                <w:lang w:eastAsia="zh-CN"/>
              </w:rPr>
              <w:t>广州交易集团有限公司（广州公共资源交易中心）</w:t>
            </w:r>
            <w:r>
              <w:rPr>
                <w:rFonts w:hint="default" w:ascii="宋体" w:hAnsi="Times New Roman" w:eastAsia="宋体"/>
                <w:color w:val="auto"/>
                <w:sz w:val="21"/>
                <w:szCs w:val="24"/>
                <w:highlight w:val="none"/>
                <w:u w:val="single"/>
                <w:lang w:eastAsia="zh-CN"/>
              </w:rPr>
              <w:t>交易</w:t>
            </w:r>
            <w:r>
              <w:rPr>
                <w:rFonts w:hint="default" w:ascii="宋体" w:hAnsi="Times New Roman" w:eastAsia="宋体"/>
                <w:color w:val="auto"/>
                <w:sz w:val="21"/>
                <w:szCs w:val="24"/>
                <w:highlight w:val="none"/>
                <w:u w:val="single"/>
              </w:rPr>
              <w:t>平台</w:t>
            </w:r>
            <w:r>
              <w:rPr>
                <w:rFonts w:hint="eastAsia" w:ascii="宋体"/>
                <w:color w:val="auto"/>
                <w:sz w:val="21"/>
                <w:szCs w:val="24"/>
                <w:highlight w:val="none"/>
                <w:u w:val="single"/>
                <w:lang w:eastAsia="zh-CN"/>
              </w:rPr>
              <w:t>开标</w:t>
            </w:r>
            <w:r>
              <w:rPr>
                <w:rFonts w:hint="default" w:ascii="宋体" w:hAnsi="Times New Roman" w:eastAsia="宋体"/>
                <w:color w:val="auto"/>
                <w:sz w:val="21"/>
                <w:szCs w:val="24"/>
                <w:highlight w:val="none"/>
                <w:u w:val="single"/>
              </w:rPr>
              <w:t>系统的检索信息为准)</w:t>
            </w:r>
            <w:r>
              <w:rPr>
                <w:rFonts w:hint="eastAsia" w:ascii="宋体" w:hAnsi="宋体" w:cs="宋体"/>
                <w:color w:val="auto"/>
                <w:kern w:val="0"/>
                <w:szCs w:val="21"/>
                <w:highlight w:val="none"/>
                <w:u w:val="single"/>
                <w:lang w:eastAsia="zh-CN"/>
              </w:rPr>
              <w:t>。</w:t>
            </w:r>
          </w:p>
        </w:tc>
      </w:tr>
      <w:tr w14:paraId="32F8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CAFD2A2">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BE52C9E">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资格评审标准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26C376">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u w:val="single"/>
              </w:rPr>
              <w:t>营业执照</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C335BFB">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kern w:val="0"/>
                <w:szCs w:val="21"/>
                <w:highlight w:val="none"/>
              </w:rPr>
              <w:t>符合第二章“投标人须知”第3.5.1项规定，具备有效的营业执照</w:t>
            </w:r>
            <w:r>
              <w:rPr>
                <w:rFonts w:hint="eastAsia" w:ascii="宋体" w:hAnsi="宋体" w:cs="宋体"/>
                <w:color w:val="auto"/>
                <w:kern w:val="0"/>
                <w:szCs w:val="21"/>
                <w:highlight w:val="none"/>
                <w:lang w:eastAsia="zh-CN"/>
              </w:rPr>
              <w:t>；</w:t>
            </w:r>
            <w:r>
              <w:rPr>
                <w:rFonts w:hint="default" w:ascii="宋体" w:hAnsi="宋体" w:eastAsia="宋体" w:cs="宋体"/>
                <w:color w:val="auto"/>
                <w:sz w:val="21"/>
                <w:szCs w:val="21"/>
                <w:highlight w:val="none"/>
                <w:u w:val="single"/>
              </w:rPr>
              <w:t>香港企业提供在香港进行商业登记的证明文书。</w:t>
            </w:r>
          </w:p>
        </w:tc>
      </w:tr>
      <w:tr w14:paraId="3A40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4179E43">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F7CF1C">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135701">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资质要求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8CDDE98">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szCs w:val="21"/>
                <w:highlight w:val="none"/>
              </w:rPr>
              <w:t>符合第二章“投标人须知”第1.4.1项规定</w:t>
            </w:r>
            <w:r>
              <w:rPr>
                <w:rFonts w:hint="eastAsia" w:ascii="宋体" w:hAnsi="宋体" w:cs="宋体"/>
                <w:color w:val="auto"/>
                <w:szCs w:val="21"/>
                <w:highlight w:val="none"/>
                <w:lang w:eastAsia="zh-CN"/>
              </w:rPr>
              <w:t>。</w:t>
            </w:r>
          </w:p>
        </w:tc>
      </w:tr>
      <w:tr w14:paraId="20F5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90E942B">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F4288D">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92962EF">
            <w:pPr>
              <w:widowControl/>
              <w:spacing w:beforeAutospacing="1" w:afterAutospacing="1"/>
              <w:jc w:val="center"/>
              <w:rPr>
                <w:rFonts w:ascii="宋体" w:hAnsi="宋体" w:cs="楷体"/>
                <w:color w:val="auto"/>
                <w:szCs w:val="21"/>
                <w:highlight w:val="none"/>
              </w:rPr>
            </w:pPr>
            <w:r>
              <w:rPr>
                <w:rFonts w:hint="eastAsia" w:ascii="宋体" w:hAnsi="宋体" w:cs="宋体"/>
                <w:color w:val="auto"/>
                <w:szCs w:val="21"/>
                <w:highlight w:val="none"/>
              </w:rPr>
              <w:t>财务要求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829B24C">
            <w:pPr>
              <w:widowControl/>
              <w:spacing w:beforeAutospacing="1" w:afterAutospacing="1"/>
              <w:jc w:val="left"/>
              <w:rPr>
                <w:rFonts w:ascii="宋体" w:hAnsi="宋体" w:cs="楷体"/>
                <w:color w:val="auto"/>
                <w:szCs w:val="21"/>
                <w:highlight w:val="none"/>
              </w:rPr>
            </w:pPr>
            <w:r>
              <w:rPr>
                <w:rFonts w:hint="eastAsia" w:ascii="宋体" w:hAnsi="宋体" w:cs="宋体"/>
                <w:color w:val="auto"/>
                <w:szCs w:val="21"/>
                <w:highlight w:val="none"/>
              </w:rPr>
              <w:t>/</w:t>
            </w:r>
          </w:p>
        </w:tc>
      </w:tr>
      <w:tr w14:paraId="42E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C3C7FA4">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5F812F6">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4197BE5">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业绩要求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3B18C5">
            <w:pPr>
              <w:rPr>
                <w:rFonts w:ascii="宋体" w:hAnsi="宋体" w:cs="楷体"/>
                <w:color w:val="auto"/>
                <w:kern w:val="0"/>
                <w:szCs w:val="21"/>
                <w:highlight w:val="none"/>
              </w:rPr>
            </w:pPr>
            <w:r>
              <w:rPr>
                <w:rFonts w:hint="eastAsia" w:ascii="宋体" w:hAnsi="宋体" w:cs="宋体"/>
                <w:color w:val="auto"/>
                <w:szCs w:val="21"/>
                <w:highlight w:val="none"/>
              </w:rPr>
              <w:t>/</w:t>
            </w:r>
          </w:p>
        </w:tc>
      </w:tr>
      <w:tr w14:paraId="2E25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1357EC9">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AD83717">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F47DCD">
            <w:pPr>
              <w:widowControl/>
              <w:spacing w:beforeAutospacing="1" w:afterAutospacing="1"/>
              <w:jc w:val="center"/>
              <w:rPr>
                <w:rFonts w:ascii="宋体" w:hAnsi="宋体" w:cs="楷体"/>
                <w:color w:val="auto"/>
                <w:szCs w:val="21"/>
                <w:highlight w:val="none"/>
              </w:rPr>
            </w:pPr>
            <w:r>
              <w:rPr>
                <w:rFonts w:hint="eastAsia" w:ascii="宋体" w:hAnsi="宋体" w:cs="宋体"/>
                <w:color w:val="auto"/>
                <w:szCs w:val="21"/>
                <w:highlight w:val="none"/>
              </w:rPr>
              <w:t>信誉要求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C51ACEA">
            <w:pPr>
              <w:widowControl/>
              <w:spacing w:beforeAutospacing="1" w:afterAutospacing="1"/>
              <w:jc w:val="left"/>
              <w:rPr>
                <w:rFonts w:ascii="宋体" w:hAnsi="宋体" w:cs="楷体"/>
                <w:color w:val="auto"/>
                <w:szCs w:val="21"/>
                <w:highlight w:val="none"/>
              </w:rPr>
            </w:pPr>
            <w:r>
              <w:rPr>
                <w:rFonts w:hint="eastAsia" w:ascii="宋体" w:hAnsi="宋体" w:cs="宋体"/>
                <w:color w:val="auto"/>
                <w:szCs w:val="21"/>
                <w:highlight w:val="none"/>
              </w:rPr>
              <w:t>/</w:t>
            </w:r>
          </w:p>
        </w:tc>
      </w:tr>
      <w:tr w14:paraId="200F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46DD0F6">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76FCA80">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9B5BD28">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总监理工程师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19D87B4">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szCs w:val="21"/>
                <w:highlight w:val="none"/>
              </w:rPr>
              <w:t>符合第二章“投标人须知”第1.4.1项规定</w:t>
            </w:r>
            <w:r>
              <w:rPr>
                <w:rFonts w:hint="eastAsia" w:ascii="宋体" w:hAnsi="宋体" w:cs="宋体"/>
                <w:color w:val="auto"/>
                <w:szCs w:val="21"/>
                <w:highlight w:val="none"/>
                <w:lang w:eastAsia="zh-CN"/>
              </w:rPr>
              <w:t>。</w:t>
            </w:r>
          </w:p>
        </w:tc>
      </w:tr>
      <w:tr w14:paraId="168D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21BAB03">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BABBE98">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28D3A50">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其他主要人员</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22C7461">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szCs w:val="21"/>
                <w:highlight w:val="none"/>
              </w:rPr>
              <w:t>/</w:t>
            </w:r>
          </w:p>
        </w:tc>
      </w:tr>
      <w:tr w14:paraId="13DB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0F5670F">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2B68836">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62C0C68">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试验检测仪器设备</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F63D24B">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szCs w:val="21"/>
                <w:highlight w:val="none"/>
              </w:rPr>
              <w:t>/</w:t>
            </w:r>
          </w:p>
        </w:tc>
      </w:tr>
      <w:tr w14:paraId="011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7A83CF6">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642A350">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6E469BC">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其他要求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680F6F8">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szCs w:val="21"/>
                <w:highlight w:val="none"/>
              </w:rPr>
              <w:t>符合第二章“投标人须知”第1.4.1项规定</w:t>
            </w:r>
            <w:r>
              <w:rPr>
                <w:rFonts w:hint="eastAsia" w:ascii="宋体" w:hAnsi="宋体" w:cs="宋体"/>
                <w:color w:val="auto"/>
                <w:szCs w:val="21"/>
                <w:highlight w:val="none"/>
                <w:lang w:eastAsia="zh-CN"/>
              </w:rPr>
              <w:t>。</w:t>
            </w:r>
          </w:p>
        </w:tc>
      </w:tr>
      <w:tr w14:paraId="51FF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BA0BEB6">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9556B15">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B3A207F">
            <w:pPr>
              <w:widowControl/>
              <w:spacing w:beforeAutospacing="1" w:afterAutospacing="1"/>
              <w:jc w:val="center"/>
              <w:rPr>
                <w:rFonts w:ascii="宋体" w:hAnsi="宋体" w:cs="楷体"/>
                <w:color w:val="auto"/>
                <w:szCs w:val="21"/>
                <w:highlight w:val="none"/>
              </w:rPr>
            </w:pPr>
            <w:r>
              <w:rPr>
                <w:rFonts w:hint="eastAsia" w:ascii="宋体" w:hAnsi="宋体" w:cs="宋体"/>
                <w:color w:val="auto"/>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ACA69D">
            <w:pPr>
              <w:widowControl/>
              <w:spacing w:beforeAutospacing="1" w:afterAutospacing="1"/>
              <w:jc w:val="left"/>
              <w:rPr>
                <w:rFonts w:ascii="宋体" w:hAnsi="宋体" w:cs="楷体"/>
                <w:color w:val="auto"/>
                <w:szCs w:val="21"/>
                <w:highlight w:val="none"/>
              </w:rPr>
            </w:pPr>
            <w:r>
              <w:rPr>
                <w:rFonts w:hint="eastAsia" w:ascii="宋体" w:hAnsi="宋体" w:cs="宋体"/>
                <w:color w:val="auto"/>
                <w:szCs w:val="21"/>
                <w:highlight w:val="none"/>
                <w:u w:val="single"/>
                <w:lang w:val="en-US" w:eastAsia="zh-CN"/>
              </w:rPr>
              <w:t>本次招标</w:t>
            </w:r>
            <w:r>
              <w:rPr>
                <w:rFonts w:hint="eastAsia" w:ascii="宋体" w:hAnsi="宋体" w:cs="宋体"/>
                <w:color w:val="auto"/>
                <w:szCs w:val="21"/>
                <w:highlight w:val="none"/>
                <w:u w:val="single"/>
              </w:rPr>
              <w:t>不接受联合体投标。</w:t>
            </w:r>
          </w:p>
        </w:tc>
      </w:tr>
      <w:tr w14:paraId="1B8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50B5F78">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50814F">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9FB6246">
            <w:pPr>
              <w:widowControl/>
              <w:jc w:val="center"/>
              <w:rPr>
                <w:rFonts w:hint="eastAsia" w:ascii="宋体" w:hAnsi="宋体" w:cs="楷体"/>
                <w:color w:val="auto"/>
                <w:kern w:val="0"/>
                <w:szCs w:val="21"/>
                <w:highlight w:val="none"/>
              </w:rPr>
            </w:pPr>
            <w:r>
              <w:rPr>
                <w:rFonts w:hint="eastAsia" w:ascii="宋体" w:hAnsi="宋体" w:cs="宋体"/>
                <w:color w:val="auto"/>
                <w:szCs w:val="21"/>
                <w:highlight w:val="none"/>
              </w:rPr>
              <w:t>不存在禁止投标的情形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49A977">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kern w:val="0"/>
                <w:szCs w:val="21"/>
                <w:highlight w:val="none"/>
              </w:rPr>
              <w:t>不存在第二章“投标人须知”第1.4.3项规定的任何一种情形</w:t>
            </w:r>
            <w:r>
              <w:rPr>
                <w:rFonts w:hint="eastAsia" w:ascii="宋体" w:hAnsi="宋体" w:cs="宋体"/>
                <w:color w:val="auto"/>
                <w:kern w:val="0"/>
                <w:szCs w:val="21"/>
                <w:highlight w:val="none"/>
                <w:lang w:eastAsia="zh-CN"/>
              </w:rPr>
              <w:t>。</w:t>
            </w:r>
          </w:p>
        </w:tc>
      </w:tr>
      <w:tr w14:paraId="32E8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26B938F">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219681E">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DCB1B1">
            <w:pPr>
              <w:spacing w:before="40" w:after="40"/>
              <w:jc w:val="center"/>
              <w:rPr>
                <w:rFonts w:hint="eastAsia" w:ascii="宋体" w:hAnsi="宋体"/>
                <w:color w:val="auto"/>
                <w:highlight w:val="none"/>
              </w:rPr>
            </w:pPr>
            <w:r>
              <w:rPr>
                <w:rFonts w:hint="eastAsia" w:ascii="宋体" w:hAnsi="宋体" w:cs="宋体"/>
                <w:color w:val="auto"/>
                <w:szCs w:val="21"/>
                <w:highlight w:val="none"/>
                <w:u w:val="single"/>
              </w:rPr>
              <w:t>投标人声明签字</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1C8130">
            <w:pPr>
              <w:wordWrap w:val="0"/>
              <w:autoSpaceDE w:val="0"/>
              <w:autoSpaceDN w:val="0"/>
              <w:rPr>
                <w:rFonts w:hint="eastAsia" w:ascii="宋体" w:hAnsi="宋体"/>
                <w:color w:val="auto"/>
                <w:highlight w:val="none"/>
              </w:rPr>
            </w:pPr>
            <w:r>
              <w:rPr>
                <w:rFonts w:hint="eastAsia" w:ascii="宋体" w:hAnsi="宋体" w:cs="宋体"/>
                <w:color w:val="auto"/>
                <w:szCs w:val="21"/>
                <w:highlight w:val="none"/>
                <w:u w:val="single"/>
              </w:rPr>
              <w:t>总监理工程师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技术负责人</w:t>
            </w:r>
            <w:r>
              <w:rPr>
                <w:rFonts w:hint="eastAsia" w:ascii="宋体" w:hAnsi="宋体" w:cs="宋体"/>
                <w:color w:val="auto"/>
                <w:szCs w:val="21"/>
                <w:highlight w:val="none"/>
                <w:u w:val="single"/>
              </w:rPr>
              <w:t>按《投标人声明》格式要求签字。</w:t>
            </w:r>
          </w:p>
        </w:tc>
      </w:tr>
      <w:tr w14:paraId="70CD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E555FBF">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8F50992">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530882">
            <w:pPr>
              <w:jc w:val="center"/>
              <w:rPr>
                <w:rFonts w:hint="eastAsia" w:ascii="宋体" w:hAnsi="宋体"/>
                <w:color w:val="auto"/>
                <w:highlight w:val="none"/>
                <w:u w:val="single"/>
              </w:rPr>
            </w:pPr>
            <w:r>
              <w:rPr>
                <w:rFonts w:hint="eastAsia"/>
                <w:color w:val="auto"/>
                <w:szCs w:val="21"/>
                <w:highlight w:val="none"/>
                <w:u w:val="single"/>
              </w:rPr>
              <w:t>未被列入拖欠农民工工资失信联合惩戒对象名单</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39E953">
            <w:pPr>
              <w:rPr>
                <w:rFonts w:hint="eastAsia" w:ascii="宋体" w:hAnsi="宋体"/>
                <w:color w:val="auto"/>
                <w:highlight w:val="none"/>
                <w:u w:val="single"/>
              </w:rPr>
            </w:pPr>
            <w:r>
              <w:rPr>
                <w:rFonts w:hint="eastAsia" w:ascii="宋体" w:hAnsi="宋体" w:cs="宋体"/>
                <w:color w:val="auto"/>
                <w:szCs w:val="21"/>
                <w:highlight w:val="none"/>
                <w:u w:val="single"/>
              </w:rPr>
              <w:t>投标人无需提供资料，按投标截止时间广州交易集团有限公司(广州公共资源交易中心)交易系统比对的结果进行评审。</w:t>
            </w:r>
          </w:p>
        </w:tc>
      </w:tr>
      <w:tr w14:paraId="3F08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B67A40A">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BE1B340">
            <w:pPr>
              <w:widowControl/>
              <w:spacing w:beforeAutospacing="1" w:afterAutospacing="1"/>
              <w:jc w:val="center"/>
              <w:rPr>
                <w:rFonts w:ascii="宋体" w:hAnsi="宋体" w:cs="楷体"/>
                <w:strike/>
                <w:color w:val="auto"/>
                <w:kern w:val="0"/>
                <w:szCs w:val="21"/>
                <w:highlight w:val="none"/>
              </w:rPr>
            </w:pPr>
            <w:r>
              <w:rPr>
                <w:rFonts w:hint="eastAsia" w:ascii="宋体" w:hAnsi="宋体" w:cs="宋体"/>
                <w:color w:val="auto"/>
                <w:kern w:val="0"/>
                <w:szCs w:val="21"/>
                <w:highlight w:val="none"/>
              </w:rPr>
              <w:t>响应性评审标准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D2E3C6">
            <w:pPr>
              <w:widowControl/>
              <w:spacing w:beforeAutospacing="1" w:afterAutospacing="1"/>
              <w:jc w:val="center"/>
              <w:rPr>
                <w:color w:val="auto"/>
                <w:szCs w:val="21"/>
                <w:highlight w:val="none"/>
              </w:rPr>
            </w:pPr>
            <w:r>
              <w:rPr>
                <w:rFonts w:hint="eastAsia" w:ascii="宋体" w:hAnsi="宋体" w:cs="宋体"/>
                <w:color w:val="auto"/>
                <w:kern w:val="0"/>
                <w:szCs w:val="21"/>
                <w:highlight w:val="none"/>
              </w:rPr>
              <w:t>投标报价</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F4E6CD">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符合第二章“投标人须知”第3.2款规定，对同一招标项目没有出现：两个或以上的投标报价且修正无依据。</w:t>
            </w:r>
          </w:p>
        </w:tc>
      </w:tr>
      <w:tr w14:paraId="696B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860B425">
            <w:pPr>
              <w:rPr>
                <w:rFonts w:ascii="Times New Roman" w:hAnsi="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273A1B6">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A3911F">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投标内容</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22E4C3F">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kern w:val="0"/>
                <w:szCs w:val="21"/>
                <w:highlight w:val="none"/>
              </w:rPr>
              <w:t>符合第二章“投标人须知”第1.3.1项规定，投标文件按规定的格式填写，内容齐全或关键字迹清晰、容易辩认。</w:t>
            </w:r>
          </w:p>
        </w:tc>
      </w:tr>
      <w:tr w14:paraId="40F5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D230AE4">
            <w:pPr>
              <w:rPr>
                <w:rFonts w:ascii="Times New Roman" w:hAnsi="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8091106">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735675A">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监理服务期限</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430E2A">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符合第二章“投标人须知”第1.3.2项规定。</w:t>
            </w:r>
          </w:p>
        </w:tc>
      </w:tr>
      <w:tr w14:paraId="006F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0630E6C">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90FA81F">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835A76E">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质量标准</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B58BA71">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符合第二章“投标人须知”第1.3.3项规定。</w:t>
            </w:r>
          </w:p>
        </w:tc>
      </w:tr>
      <w:tr w14:paraId="2D35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36CAF22">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D9BF408">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74098AA0">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投标有效期</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6FEAF31B">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符合第二章“投标人须知”第3.3.1项规定。</w:t>
            </w:r>
          </w:p>
        </w:tc>
      </w:tr>
      <w:tr w14:paraId="7475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345E2A3">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5E4B83F">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63204DFE">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串通投标情形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1572408D">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kern w:val="0"/>
                <w:szCs w:val="21"/>
                <w:highlight w:val="none"/>
              </w:rPr>
              <w:t>不存在串通投标情形（串通投标情形以《广东省实施&lt;中华人民共和国招标投标法&gt;</w:t>
            </w:r>
            <w:r>
              <w:rPr>
                <w:rFonts w:hint="eastAsia" w:ascii="宋体" w:hAnsi="宋体" w:cs="宋体"/>
                <w:color w:val="auto"/>
                <w:kern w:val="0"/>
                <w:szCs w:val="21"/>
                <w:highlight w:val="none"/>
                <w:lang w:val="en-US" w:eastAsia="zh-CN"/>
              </w:rPr>
              <w:t>办法</w:t>
            </w:r>
            <w:r>
              <w:rPr>
                <w:rFonts w:hint="eastAsia" w:ascii="宋体" w:hAnsi="宋体" w:cs="宋体"/>
                <w:color w:val="auto"/>
                <w:kern w:val="0"/>
                <w:szCs w:val="21"/>
                <w:highlight w:val="none"/>
              </w:rPr>
              <w:t>》第十六条的规定为准）。</w:t>
            </w:r>
          </w:p>
        </w:tc>
      </w:tr>
      <w:tr w14:paraId="39B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6D097A15">
            <w:pPr>
              <w:widowControl/>
              <w:jc w:val="center"/>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u w:val="single"/>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17394AB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定标</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914BA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1.定标委员会的组成</w:t>
            </w:r>
          </w:p>
          <w:p w14:paraId="26164985">
            <w:pP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（1）定标委员会</w:t>
            </w:r>
          </w:p>
          <w:p w14:paraId="724391AE">
            <w:pP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定标委员会由招标人依法组建。</w:t>
            </w:r>
          </w:p>
          <w:p w14:paraId="10DBF16D">
            <w:pP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（2）定标会召开的时间地点：</w:t>
            </w:r>
          </w:p>
          <w:p w14:paraId="597083F7">
            <w:pP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定标会召开时间在合格的中标候选人公示完成后10个工作日内在广州交易集团有限公司（广州公共资源交易中心）举行，定标会全程在广州交易集团有限公司（广州公共资源交易中心）见证人员见证下进行。</w:t>
            </w:r>
          </w:p>
          <w:p w14:paraId="671FE6F8">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2.定标原则</w:t>
            </w:r>
          </w:p>
          <w:p w14:paraId="267FA296">
            <w:pPr>
              <w:rPr>
                <w:rFonts w:hint="eastAsia" w:ascii="宋体" w:hAnsi="宋体" w:eastAsia="宋体" w:cs="宋体"/>
                <w:b/>
                <w:color w:val="auto"/>
                <w:kern w:val="0"/>
                <w:szCs w:val="21"/>
                <w:highlight w:val="none"/>
              </w:rPr>
            </w:pPr>
            <w:r>
              <w:rPr>
                <w:rFonts w:hint="eastAsia" w:ascii="宋体" w:hAnsi="宋体" w:eastAsia="宋体" w:cs="宋体"/>
                <w:color w:val="auto"/>
                <w:highlight w:val="none"/>
                <w:u w:val="single"/>
              </w:rPr>
              <w:t>详见</w:t>
            </w:r>
            <w:r>
              <w:rPr>
                <w:rFonts w:hint="eastAsia" w:ascii="宋体" w:hAnsi="宋体" w:eastAsia="宋体" w:cs="宋体"/>
                <w:bCs/>
                <w:color w:val="auto"/>
                <w:szCs w:val="21"/>
                <w:highlight w:val="none"/>
                <w:u w:val="single"/>
              </w:rPr>
              <w:t>本章第4款。</w:t>
            </w:r>
          </w:p>
        </w:tc>
      </w:tr>
      <w:tr w14:paraId="4556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3A612BE">
            <w:pPr>
              <w:widowControl/>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694A237E">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定标表格</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2DAE6AA">
            <w:pPr>
              <w:widowControl/>
              <w:jc w:val="left"/>
              <w:rPr>
                <w:rFonts w:hint="eastAsia" w:ascii="宋体" w:hAnsi="宋体" w:eastAsia="宋体" w:cs="宋体"/>
                <w:color w:val="auto"/>
                <w:szCs w:val="21"/>
                <w:highlight w:val="none"/>
              </w:rPr>
            </w:pPr>
            <w:r>
              <w:rPr>
                <w:rFonts w:hint="eastAsia" w:ascii="宋体" w:hAnsi="宋体" w:eastAsia="宋体" w:cs="宋体"/>
                <w:color w:val="auto"/>
                <w:highlight w:val="none"/>
                <w:u w:val="single"/>
              </w:rPr>
              <w:t>详见本章第5款附表</w:t>
            </w:r>
            <w:r>
              <w:rPr>
                <w:rFonts w:hint="eastAsia" w:ascii="宋体" w:hAnsi="宋体" w:eastAsia="宋体" w:cs="宋体"/>
                <w:color w:val="auto"/>
                <w:szCs w:val="21"/>
                <w:highlight w:val="none"/>
              </w:rPr>
              <w:t>。</w:t>
            </w:r>
          </w:p>
        </w:tc>
      </w:tr>
    </w:tbl>
    <w:p w14:paraId="64DAF381">
      <w:pPr>
        <w:spacing w:before="120" w:beforeLines="50" w:after="120" w:afterLines="50" w:line="360" w:lineRule="exact"/>
        <w:outlineLvl w:val="2"/>
        <w:rPr>
          <w:rFonts w:ascii="宋体" w:hAnsi="宋体"/>
          <w:b/>
          <w:color w:val="auto"/>
          <w:sz w:val="32"/>
          <w:highlight w:val="none"/>
        </w:rPr>
      </w:pPr>
      <w:r>
        <w:rPr>
          <w:rFonts w:hint="eastAsia" w:ascii="宋体" w:hAnsi="宋体"/>
          <w:b/>
          <w:color w:val="auto"/>
          <w:sz w:val="32"/>
          <w:highlight w:val="none"/>
        </w:rPr>
        <w:br w:type="page"/>
      </w:r>
      <w:r>
        <w:rPr>
          <w:rFonts w:hint="eastAsia" w:ascii="宋体" w:hAnsi="宋体"/>
          <w:b/>
          <w:color w:val="auto"/>
          <w:sz w:val="32"/>
          <w:highlight w:val="none"/>
        </w:rPr>
        <w:t>1. 评标方法</w:t>
      </w:r>
      <w:bookmarkEnd w:id="290"/>
      <w:bookmarkEnd w:id="291"/>
    </w:p>
    <w:p w14:paraId="4FCAE503">
      <w:pPr>
        <w:spacing w:line="440" w:lineRule="exact"/>
        <w:ind w:firstLine="420" w:firstLineChars="200"/>
        <w:rPr>
          <w:strike/>
          <w:color w:val="auto"/>
          <w:highlight w:val="none"/>
        </w:rPr>
      </w:pPr>
      <w:r>
        <w:rPr>
          <w:rFonts w:hint="eastAsia" w:ascii="宋体" w:hAnsi="宋体" w:cs="宋体"/>
          <w:color w:val="auto"/>
          <w:highlight w:val="none"/>
          <w:u w:val="single"/>
        </w:rPr>
        <w:t>本项目采用评定分离定标办法，其中：评标采用“通过制”评标办法，</w:t>
      </w: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【不排序，按其统一社会信用代码后4位（除校验码外）大小进行排位】</w:t>
      </w:r>
      <w:r>
        <w:rPr>
          <w:rFonts w:hint="eastAsia"/>
          <w:color w:val="auto"/>
          <w:szCs w:val="21"/>
          <w:highlight w:val="none"/>
          <w:u w:val="single"/>
        </w:rPr>
        <w:t>。</w:t>
      </w:r>
    </w:p>
    <w:p w14:paraId="6CEA763C">
      <w:pPr>
        <w:ind w:firstLine="420" w:firstLineChars="200"/>
        <w:rPr>
          <w:rFonts w:ascii="Times New Roman" w:hAnsi="Times New Roman"/>
          <w:strike/>
          <w:color w:val="auto"/>
          <w:highlight w:val="none"/>
        </w:rPr>
      </w:pPr>
    </w:p>
    <w:p w14:paraId="44B7D6D6">
      <w:pPr>
        <w:spacing w:before="120" w:beforeLines="50" w:line="360" w:lineRule="exact"/>
        <w:outlineLvl w:val="2"/>
        <w:rPr>
          <w:rFonts w:ascii="宋体" w:hAnsi="宋体"/>
          <w:b/>
          <w:color w:val="auto"/>
          <w:sz w:val="32"/>
          <w:highlight w:val="none"/>
        </w:rPr>
      </w:pPr>
      <w:bookmarkStart w:id="292" w:name="_Toc515205257"/>
      <w:bookmarkStart w:id="293" w:name="_Toc529196584"/>
      <w:r>
        <w:rPr>
          <w:rFonts w:hint="eastAsia" w:ascii="宋体" w:hAnsi="宋体"/>
          <w:b/>
          <w:color w:val="auto"/>
          <w:sz w:val="32"/>
          <w:highlight w:val="none"/>
        </w:rPr>
        <w:t>2. 评审标准</w:t>
      </w:r>
      <w:bookmarkEnd w:id="292"/>
      <w:bookmarkEnd w:id="293"/>
    </w:p>
    <w:p w14:paraId="1149B909">
      <w:pPr>
        <w:spacing w:before="240" w:beforeLines="100" w:after="240" w:afterLines="100" w:line="360" w:lineRule="exact"/>
        <w:rPr>
          <w:rFonts w:ascii="宋体" w:hAnsi="宋体"/>
          <w:b/>
          <w:color w:val="auto"/>
          <w:sz w:val="28"/>
          <w:highlight w:val="none"/>
        </w:rPr>
      </w:pPr>
      <w:bookmarkStart w:id="294" w:name="_Toc529196585"/>
      <w:bookmarkStart w:id="295" w:name="_Toc515205258"/>
      <w:r>
        <w:rPr>
          <w:rFonts w:hint="eastAsia" w:ascii="宋体" w:hAnsi="宋体"/>
          <w:b/>
          <w:color w:val="auto"/>
          <w:sz w:val="28"/>
          <w:highlight w:val="none"/>
        </w:rPr>
        <w:t>2.1 初步评审标准</w:t>
      </w:r>
      <w:bookmarkEnd w:id="294"/>
      <w:bookmarkEnd w:id="295"/>
    </w:p>
    <w:p w14:paraId="1A743DAE">
      <w:pPr>
        <w:spacing w:line="360" w:lineRule="exact"/>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14:paraId="097C0F4F">
      <w:pPr>
        <w:spacing w:line="360" w:lineRule="exact"/>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14:paraId="2470B27F">
      <w:pPr>
        <w:spacing w:line="360" w:lineRule="exact"/>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14:paraId="7895047E">
      <w:pPr>
        <w:spacing w:before="240" w:beforeLines="100" w:after="240" w:afterLines="100" w:line="360" w:lineRule="exact"/>
        <w:rPr>
          <w:rFonts w:ascii="宋体" w:hAnsi="宋体"/>
          <w:b/>
          <w:strike/>
          <w:color w:val="auto"/>
          <w:sz w:val="28"/>
          <w:highlight w:val="none"/>
        </w:rPr>
      </w:pPr>
      <w:bookmarkStart w:id="296" w:name="_Toc529196586"/>
      <w:bookmarkStart w:id="297" w:name="_Toc515205259"/>
      <w:r>
        <w:rPr>
          <w:rFonts w:hint="eastAsia" w:ascii="宋体" w:hAnsi="宋体"/>
          <w:b/>
          <w:strike/>
          <w:color w:val="auto"/>
          <w:sz w:val="28"/>
          <w:highlight w:val="none"/>
        </w:rPr>
        <w:t>2.2 分值构成与评分标准</w:t>
      </w:r>
      <w:bookmarkEnd w:id="296"/>
      <w:bookmarkEnd w:id="297"/>
    </w:p>
    <w:p w14:paraId="162882F8">
      <w:pPr>
        <w:spacing w:line="360" w:lineRule="exact"/>
        <w:ind w:firstLine="420" w:firstLineChars="200"/>
        <w:rPr>
          <w:rFonts w:ascii="宋体" w:hAnsi="宋体"/>
          <w:strike/>
          <w:color w:val="auto"/>
          <w:highlight w:val="none"/>
        </w:rPr>
      </w:pPr>
      <w:r>
        <w:rPr>
          <w:rFonts w:hint="eastAsia" w:ascii="宋体" w:hAnsi="宋体"/>
          <w:strike/>
          <w:color w:val="auto"/>
          <w:highlight w:val="none"/>
        </w:rPr>
        <w:t>2.2.1 分值构成：</w:t>
      </w:r>
    </w:p>
    <w:p w14:paraId="13D9C67B">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（1）资信业绩部分：见评标办法前附表；</w:t>
      </w:r>
    </w:p>
    <w:p w14:paraId="0EBBAF63">
      <w:pPr>
        <w:spacing w:line="360" w:lineRule="exact"/>
        <w:ind w:firstLine="420" w:firstLineChars="200"/>
        <w:rPr>
          <w:rFonts w:ascii="宋体" w:hAnsi="宋体"/>
          <w:strike/>
          <w:color w:val="auto"/>
          <w:highlight w:val="none"/>
        </w:rPr>
      </w:pPr>
      <w:r>
        <w:rPr>
          <w:rFonts w:hint="eastAsia" w:ascii="宋体" w:hAnsi="宋体"/>
          <w:strike/>
          <w:color w:val="auto"/>
          <w:highlight w:val="none"/>
        </w:rPr>
        <w:t>（2）监理大纲部分：见评标办法前附表；</w:t>
      </w:r>
    </w:p>
    <w:p w14:paraId="01E4BFF3">
      <w:pPr>
        <w:spacing w:line="360" w:lineRule="exact"/>
        <w:ind w:firstLine="420" w:firstLineChars="200"/>
        <w:rPr>
          <w:rFonts w:ascii="宋体" w:hAnsi="宋体"/>
          <w:strike/>
          <w:color w:val="auto"/>
          <w:highlight w:val="none"/>
        </w:rPr>
      </w:pPr>
      <w:r>
        <w:rPr>
          <w:rFonts w:hint="eastAsia" w:ascii="宋体" w:hAnsi="宋体"/>
          <w:strike/>
          <w:color w:val="auto"/>
          <w:highlight w:val="none"/>
        </w:rPr>
        <w:t>（3）投标报价：见评标办法前附表；</w:t>
      </w:r>
    </w:p>
    <w:p w14:paraId="330431FB">
      <w:pPr>
        <w:spacing w:line="360" w:lineRule="exact"/>
        <w:ind w:firstLine="420" w:firstLineChars="200"/>
        <w:rPr>
          <w:rFonts w:ascii="宋体" w:hAnsi="宋体"/>
          <w:strike/>
          <w:color w:val="auto"/>
          <w:highlight w:val="none"/>
        </w:rPr>
      </w:pPr>
      <w:r>
        <w:rPr>
          <w:rFonts w:hint="eastAsia" w:ascii="宋体" w:hAnsi="宋体"/>
          <w:strike/>
          <w:color w:val="auto"/>
          <w:highlight w:val="none"/>
        </w:rPr>
        <w:t>（4）其他评分因素：见评标办法前附表。</w:t>
      </w:r>
    </w:p>
    <w:p w14:paraId="518B72FF">
      <w:pPr>
        <w:spacing w:line="360" w:lineRule="exact"/>
        <w:ind w:firstLine="420" w:firstLineChars="200"/>
        <w:rPr>
          <w:rFonts w:ascii="宋体" w:hAnsi="宋体"/>
          <w:strike/>
          <w:color w:val="auto"/>
          <w:highlight w:val="none"/>
        </w:rPr>
      </w:pPr>
      <w:r>
        <w:rPr>
          <w:rFonts w:hint="eastAsia" w:ascii="宋体" w:hAnsi="宋体"/>
          <w:strike/>
          <w:color w:val="auto"/>
          <w:highlight w:val="none"/>
        </w:rPr>
        <w:t>2.2.2 评标基准价计算</w:t>
      </w:r>
    </w:p>
    <w:p w14:paraId="3F88321C">
      <w:pPr>
        <w:spacing w:line="360" w:lineRule="exact"/>
        <w:ind w:firstLine="420" w:firstLineChars="200"/>
        <w:rPr>
          <w:rFonts w:ascii="宋体" w:hAnsi="宋体"/>
          <w:strike/>
          <w:color w:val="auto"/>
          <w:highlight w:val="none"/>
        </w:rPr>
      </w:pPr>
      <w:r>
        <w:rPr>
          <w:rFonts w:hint="eastAsia" w:ascii="宋体" w:hAnsi="宋体"/>
          <w:strike/>
          <w:color w:val="auto"/>
          <w:highlight w:val="none"/>
        </w:rPr>
        <w:t>评标基准价计算方法：见评标办法前附表。</w:t>
      </w:r>
    </w:p>
    <w:p w14:paraId="5180AACD">
      <w:pPr>
        <w:spacing w:line="360" w:lineRule="exact"/>
        <w:ind w:firstLine="420" w:firstLineChars="200"/>
        <w:rPr>
          <w:rFonts w:ascii="宋体" w:hAnsi="宋体"/>
          <w:strike/>
          <w:color w:val="auto"/>
          <w:highlight w:val="none"/>
        </w:rPr>
      </w:pPr>
      <w:r>
        <w:rPr>
          <w:rFonts w:hint="eastAsia" w:ascii="宋体" w:hAnsi="宋体"/>
          <w:strike/>
          <w:color w:val="auto"/>
          <w:highlight w:val="none"/>
        </w:rPr>
        <w:t>2.2.3 投标报价的偏差率计算</w:t>
      </w:r>
    </w:p>
    <w:p w14:paraId="578FF1BB">
      <w:pPr>
        <w:spacing w:line="360" w:lineRule="exact"/>
        <w:ind w:firstLine="420" w:firstLineChars="200"/>
        <w:rPr>
          <w:rFonts w:ascii="宋体" w:hAnsi="宋体"/>
          <w:strike/>
          <w:color w:val="auto"/>
          <w:highlight w:val="none"/>
        </w:rPr>
      </w:pPr>
      <w:r>
        <w:rPr>
          <w:rFonts w:hint="eastAsia" w:ascii="宋体" w:hAnsi="宋体"/>
          <w:strike/>
          <w:color w:val="auto"/>
          <w:highlight w:val="none"/>
        </w:rPr>
        <w:t>投标报价的偏差率计算公式：见评标办法前附表。</w:t>
      </w:r>
    </w:p>
    <w:p w14:paraId="4CF9530B">
      <w:pPr>
        <w:spacing w:line="360" w:lineRule="exact"/>
        <w:ind w:firstLine="420" w:firstLineChars="200"/>
        <w:rPr>
          <w:rFonts w:ascii="宋体" w:hAnsi="宋体"/>
          <w:strike/>
          <w:color w:val="auto"/>
          <w:highlight w:val="none"/>
        </w:rPr>
      </w:pPr>
      <w:r>
        <w:rPr>
          <w:rFonts w:hint="eastAsia" w:ascii="宋体" w:hAnsi="宋体"/>
          <w:strike/>
          <w:color w:val="auto"/>
          <w:highlight w:val="none"/>
        </w:rPr>
        <w:t>2.2.4 评分标准</w:t>
      </w:r>
    </w:p>
    <w:p w14:paraId="3D9132A4">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（1）资信业绩评分标准：见评标办法前附表；</w:t>
      </w:r>
    </w:p>
    <w:p w14:paraId="0758D0AA">
      <w:pPr>
        <w:spacing w:line="360" w:lineRule="exact"/>
        <w:ind w:firstLine="420" w:firstLineChars="200"/>
        <w:rPr>
          <w:rFonts w:ascii="宋体" w:hAnsi="宋体"/>
          <w:strike/>
          <w:color w:val="auto"/>
          <w:highlight w:val="none"/>
        </w:rPr>
      </w:pPr>
      <w:r>
        <w:rPr>
          <w:rFonts w:hint="eastAsia" w:ascii="宋体" w:hAnsi="宋体"/>
          <w:strike/>
          <w:color w:val="auto"/>
          <w:highlight w:val="none"/>
        </w:rPr>
        <w:t>（2）监理大纲评分标准：见评标办法前附表；</w:t>
      </w:r>
    </w:p>
    <w:p w14:paraId="137A5128">
      <w:pPr>
        <w:spacing w:line="360" w:lineRule="exact"/>
        <w:ind w:firstLine="420" w:firstLineChars="200"/>
        <w:rPr>
          <w:rFonts w:ascii="宋体" w:hAnsi="宋体"/>
          <w:strike/>
          <w:color w:val="auto"/>
          <w:highlight w:val="none"/>
        </w:rPr>
      </w:pPr>
      <w:r>
        <w:rPr>
          <w:rFonts w:hint="eastAsia" w:ascii="宋体" w:hAnsi="宋体"/>
          <w:strike/>
          <w:color w:val="auto"/>
          <w:highlight w:val="none"/>
        </w:rPr>
        <w:t>（3）投标报价评分标准：见评标办法前附表；</w:t>
      </w:r>
    </w:p>
    <w:p w14:paraId="0E6A59C9">
      <w:pPr>
        <w:spacing w:line="360" w:lineRule="exact"/>
        <w:ind w:firstLine="420" w:firstLineChars="200"/>
        <w:rPr>
          <w:rFonts w:ascii="宋体" w:hAnsi="宋体"/>
          <w:strike/>
          <w:color w:val="auto"/>
          <w:highlight w:val="none"/>
        </w:rPr>
      </w:pPr>
      <w:r>
        <w:rPr>
          <w:rFonts w:hint="eastAsia" w:ascii="宋体" w:hAnsi="宋体"/>
          <w:strike/>
          <w:color w:val="auto"/>
          <w:highlight w:val="none"/>
        </w:rPr>
        <w:t>（4）其他因素评分标准：见评标办法前附表。</w:t>
      </w:r>
    </w:p>
    <w:p w14:paraId="4180C364">
      <w:pPr>
        <w:ind w:firstLine="420" w:firstLineChars="200"/>
        <w:rPr>
          <w:rFonts w:ascii="Times New Roman" w:hAnsi="Times New Roman"/>
          <w:color w:val="auto"/>
          <w:highlight w:val="none"/>
        </w:rPr>
      </w:pPr>
    </w:p>
    <w:p w14:paraId="017AE26D">
      <w:pPr>
        <w:spacing w:before="120" w:beforeLines="50" w:line="360" w:lineRule="exact"/>
        <w:outlineLvl w:val="2"/>
        <w:rPr>
          <w:rFonts w:ascii="宋体" w:hAnsi="宋体"/>
          <w:b/>
          <w:color w:val="auto"/>
          <w:sz w:val="32"/>
          <w:highlight w:val="none"/>
        </w:rPr>
      </w:pPr>
      <w:bookmarkStart w:id="298" w:name="_Toc515205260"/>
      <w:bookmarkStart w:id="299" w:name="_Toc529196587"/>
      <w:r>
        <w:rPr>
          <w:rFonts w:hint="eastAsia" w:ascii="宋体" w:hAnsi="宋体"/>
          <w:b/>
          <w:color w:val="auto"/>
          <w:sz w:val="32"/>
          <w:highlight w:val="none"/>
        </w:rPr>
        <w:t>3. 评标程序</w:t>
      </w:r>
      <w:bookmarkEnd w:id="298"/>
      <w:bookmarkEnd w:id="299"/>
    </w:p>
    <w:p w14:paraId="1A202AA3">
      <w:pPr>
        <w:spacing w:before="240" w:beforeLines="100" w:after="240" w:afterLines="100" w:line="360" w:lineRule="exact"/>
        <w:rPr>
          <w:rFonts w:ascii="宋体" w:hAnsi="宋体"/>
          <w:b/>
          <w:color w:val="auto"/>
          <w:sz w:val="28"/>
          <w:highlight w:val="none"/>
        </w:rPr>
      </w:pPr>
      <w:bookmarkStart w:id="300" w:name="_Toc529196588"/>
      <w:bookmarkStart w:id="301" w:name="_Toc515205261"/>
      <w:r>
        <w:rPr>
          <w:rFonts w:hint="eastAsia" w:ascii="宋体" w:hAnsi="宋体"/>
          <w:b/>
          <w:color w:val="auto"/>
          <w:sz w:val="28"/>
          <w:highlight w:val="none"/>
        </w:rPr>
        <w:t>3.1 初步评审</w:t>
      </w:r>
      <w:bookmarkEnd w:id="300"/>
      <w:bookmarkEnd w:id="301"/>
    </w:p>
    <w:p w14:paraId="3CB48E61">
      <w:pPr>
        <w:spacing w:line="360" w:lineRule="exact"/>
        <w:ind w:firstLine="420" w:firstLineChars="200"/>
        <w:rPr>
          <w:rFonts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795CF1F">
      <w:pPr>
        <w:spacing w:line="360" w:lineRule="exact"/>
        <w:ind w:firstLine="420" w:firstLineChars="200"/>
        <w:rPr>
          <w:rFonts w:ascii="宋体" w:hAnsi="宋体"/>
          <w:color w:val="auto"/>
          <w:highlight w:val="none"/>
        </w:rPr>
      </w:pPr>
      <w:r>
        <w:rPr>
          <w:rFonts w:hint="eastAsia" w:ascii="宋体" w:hAnsi="宋体"/>
          <w:color w:val="auto"/>
          <w:highlight w:val="none"/>
        </w:rPr>
        <w:t>3.1.2 投标人有以下情形之一的，评标委员会应当否决其投标：</w:t>
      </w:r>
    </w:p>
    <w:p w14:paraId="72365094">
      <w:pPr>
        <w:spacing w:line="360" w:lineRule="exact"/>
        <w:ind w:firstLine="420" w:firstLineChars="200"/>
        <w:rPr>
          <w:rFonts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14:paraId="6EDEB022">
      <w:pPr>
        <w:spacing w:line="360" w:lineRule="exact"/>
        <w:ind w:firstLine="420" w:firstLineChars="200"/>
        <w:rPr>
          <w:rFonts w:ascii="宋体" w:hAnsi="宋体"/>
          <w:color w:val="auto"/>
          <w:highlight w:val="none"/>
        </w:rPr>
      </w:pPr>
      <w:r>
        <w:rPr>
          <w:rFonts w:hint="eastAsia" w:ascii="宋体" w:hAnsi="宋体"/>
          <w:color w:val="auto"/>
          <w:highlight w:val="none"/>
        </w:rPr>
        <w:t>（2）有串通投标、弄虚作假、行贿等违法行为。</w:t>
      </w:r>
    </w:p>
    <w:p w14:paraId="17BABD35">
      <w:pPr>
        <w:spacing w:line="360" w:lineRule="exact"/>
        <w:ind w:firstLine="420" w:firstLineChars="200"/>
        <w:rPr>
          <w:rFonts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14:paraId="2338B7C7">
      <w:pPr>
        <w:spacing w:line="360" w:lineRule="exact"/>
        <w:ind w:firstLine="420" w:firstLineChars="200"/>
        <w:rPr>
          <w:rFonts w:ascii="宋体" w:hAnsi="宋体"/>
          <w:color w:val="auto"/>
          <w:highlight w:val="none"/>
        </w:rPr>
      </w:pPr>
      <w:r>
        <w:rPr>
          <w:rFonts w:hint="eastAsia" w:ascii="宋体" w:hAnsi="宋体"/>
          <w:color w:val="auto"/>
          <w:highlight w:val="none"/>
        </w:rPr>
        <w:t>（1）投标文件中的大写金额与小写金额不一致的，以大写金额为准；</w:t>
      </w:r>
    </w:p>
    <w:p w14:paraId="266C3E8C">
      <w:pPr>
        <w:spacing w:line="360" w:lineRule="exact"/>
        <w:ind w:firstLine="420" w:firstLineChars="200"/>
        <w:rPr>
          <w:rFonts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14:paraId="42048704">
      <w:pPr>
        <w:spacing w:before="168" w:beforeLines="70" w:after="168" w:afterLines="70" w:line="360" w:lineRule="exact"/>
        <w:rPr>
          <w:rFonts w:ascii="宋体" w:hAnsi="宋体"/>
          <w:b/>
          <w:strike/>
          <w:color w:val="auto"/>
          <w:sz w:val="28"/>
          <w:highlight w:val="none"/>
        </w:rPr>
      </w:pPr>
      <w:bookmarkStart w:id="302" w:name="_Toc529196589"/>
      <w:bookmarkStart w:id="303" w:name="_Toc515205262"/>
      <w:r>
        <w:rPr>
          <w:rFonts w:hint="eastAsia" w:ascii="宋体" w:hAnsi="宋体"/>
          <w:b/>
          <w:strike/>
          <w:color w:val="auto"/>
          <w:sz w:val="28"/>
          <w:highlight w:val="none"/>
        </w:rPr>
        <w:t>3.2 详细评审</w:t>
      </w:r>
      <w:bookmarkEnd w:id="302"/>
      <w:bookmarkEnd w:id="303"/>
    </w:p>
    <w:p w14:paraId="42E6746B">
      <w:pPr>
        <w:spacing w:line="360" w:lineRule="exact"/>
        <w:ind w:firstLine="420" w:firstLineChars="200"/>
        <w:rPr>
          <w:rFonts w:ascii="宋体" w:hAnsi="宋体"/>
          <w:strike/>
          <w:color w:val="auto"/>
          <w:highlight w:val="none"/>
        </w:rPr>
      </w:pPr>
      <w:r>
        <w:rPr>
          <w:rFonts w:hint="eastAsia" w:ascii="宋体" w:hAnsi="宋体"/>
          <w:strike/>
          <w:color w:val="auto"/>
          <w:highlight w:val="none"/>
        </w:rPr>
        <w:t>3.2.1 评标委员会按本章第2.2款规定的量化因素和分值进行打分，并计算出综合评估得分。</w:t>
      </w:r>
    </w:p>
    <w:p w14:paraId="4F254A06">
      <w:pPr>
        <w:spacing w:line="360" w:lineRule="exact"/>
        <w:ind w:firstLine="420" w:firstLineChars="200"/>
        <w:rPr>
          <w:rFonts w:ascii="宋体" w:hAnsi="宋体"/>
          <w:strike/>
          <w:color w:val="auto"/>
          <w:highlight w:val="none"/>
        </w:rPr>
      </w:pPr>
      <w:r>
        <w:rPr>
          <w:rFonts w:hint="eastAsia" w:ascii="宋体" w:hAnsi="宋体"/>
          <w:strike/>
          <w:color w:val="auto"/>
          <w:highlight w:val="none"/>
        </w:rPr>
        <w:t>（1）按本章第 2.2.4（1）目规定的评审因素和分值对资信业绩部分计算出得分 A；</w:t>
      </w:r>
    </w:p>
    <w:p w14:paraId="19DD7DB5">
      <w:pPr>
        <w:spacing w:line="360" w:lineRule="exact"/>
        <w:ind w:firstLine="420" w:firstLineChars="200"/>
        <w:rPr>
          <w:rFonts w:ascii="宋体" w:hAnsi="宋体"/>
          <w:strike/>
          <w:color w:val="auto"/>
          <w:highlight w:val="none"/>
        </w:rPr>
      </w:pPr>
      <w:r>
        <w:rPr>
          <w:rFonts w:hint="eastAsia" w:ascii="宋体" w:hAnsi="宋体"/>
          <w:strike/>
          <w:color w:val="auto"/>
          <w:highlight w:val="none"/>
        </w:rPr>
        <w:t>（2）按本章第 2.2.4（2）目规定的评审因素和分值对监理大纲部分计算出得分 B；</w:t>
      </w:r>
    </w:p>
    <w:p w14:paraId="2B7C20B0">
      <w:pPr>
        <w:spacing w:line="360" w:lineRule="exact"/>
        <w:ind w:firstLine="420" w:firstLineChars="200"/>
        <w:rPr>
          <w:rFonts w:ascii="宋体" w:hAnsi="宋体"/>
          <w:strike/>
          <w:color w:val="auto"/>
          <w:highlight w:val="none"/>
        </w:rPr>
      </w:pPr>
      <w:r>
        <w:rPr>
          <w:rFonts w:hint="eastAsia" w:ascii="宋体" w:hAnsi="宋体"/>
          <w:strike/>
          <w:color w:val="auto"/>
          <w:highlight w:val="none"/>
        </w:rPr>
        <w:t>（3）按本章第 2.2.4（3）目规定的评审因素和分值对投标报价计算出得分 C；</w:t>
      </w:r>
    </w:p>
    <w:p w14:paraId="00D91AF8">
      <w:pPr>
        <w:spacing w:line="360" w:lineRule="exact"/>
        <w:ind w:firstLine="420" w:firstLineChars="200"/>
        <w:rPr>
          <w:rFonts w:ascii="宋体" w:hAnsi="宋体"/>
          <w:strike/>
          <w:color w:val="auto"/>
          <w:highlight w:val="none"/>
        </w:rPr>
      </w:pPr>
      <w:r>
        <w:rPr>
          <w:rFonts w:hint="eastAsia" w:ascii="宋体" w:hAnsi="宋体"/>
          <w:strike/>
          <w:color w:val="auto"/>
          <w:highlight w:val="none"/>
        </w:rPr>
        <w:t>（4）按本章第 2.2.4（4）目规定的评审因素和分值对其他部分计算出得分 D。</w:t>
      </w:r>
    </w:p>
    <w:p w14:paraId="2891491E">
      <w:pPr>
        <w:spacing w:line="360" w:lineRule="exact"/>
        <w:ind w:firstLine="420" w:firstLineChars="200"/>
        <w:rPr>
          <w:rFonts w:ascii="宋体" w:hAnsi="宋体"/>
          <w:strike/>
          <w:color w:val="auto"/>
          <w:highlight w:val="none"/>
        </w:rPr>
      </w:pPr>
      <w:r>
        <w:rPr>
          <w:rFonts w:hint="eastAsia" w:ascii="宋体" w:hAnsi="宋体"/>
          <w:strike/>
          <w:color w:val="auto"/>
          <w:highlight w:val="none"/>
        </w:rPr>
        <w:t>3.2.2 评分分值计算保留小数点后两位，小数点后第三位“四舍五入”。</w:t>
      </w:r>
    </w:p>
    <w:p w14:paraId="74DAB2A2">
      <w:pPr>
        <w:spacing w:line="360" w:lineRule="exact"/>
        <w:ind w:firstLine="420" w:firstLineChars="200"/>
        <w:rPr>
          <w:rFonts w:ascii="宋体" w:hAnsi="宋体"/>
          <w:strike/>
          <w:color w:val="auto"/>
          <w:highlight w:val="none"/>
        </w:rPr>
      </w:pPr>
      <w:r>
        <w:rPr>
          <w:rFonts w:hint="eastAsia" w:ascii="宋体" w:hAnsi="宋体"/>
          <w:strike/>
          <w:color w:val="auto"/>
          <w:highlight w:val="none"/>
        </w:rPr>
        <w:t>3.2.3 投标人得分=A+B+C+D</w:t>
      </w:r>
    </w:p>
    <w:p w14:paraId="18195EC4">
      <w:pPr>
        <w:spacing w:line="360" w:lineRule="exact"/>
        <w:ind w:firstLine="420" w:firstLineChars="200"/>
        <w:rPr>
          <w:rFonts w:ascii="宋体" w:hAnsi="宋体"/>
          <w:color w:val="auto"/>
          <w:highlight w:val="none"/>
        </w:rPr>
      </w:pPr>
      <w:r>
        <w:rPr>
          <w:rFonts w:hint="eastAsia" w:ascii="宋体" w:hAnsi="宋体"/>
          <w:strike/>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0903BDE">
      <w:pPr>
        <w:spacing w:before="168" w:beforeLines="70" w:after="168" w:afterLines="70" w:line="360" w:lineRule="exact"/>
        <w:rPr>
          <w:rFonts w:ascii="宋体" w:hAnsi="宋体"/>
          <w:b/>
          <w:color w:val="auto"/>
          <w:sz w:val="28"/>
          <w:highlight w:val="none"/>
        </w:rPr>
      </w:pPr>
      <w:bookmarkStart w:id="304" w:name="_Toc529196590"/>
      <w:bookmarkStart w:id="305" w:name="_Toc515205263"/>
      <w:r>
        <w:rPr>
          <w:rFonts w:hint="eastAsia" w:ascii="宋体" w:hAnsi="宋体"/>
          <w:b/>
          <w:color w:val="auto"/>
          <w:sz w:val="28"/>
          <w:highlight w:val="none"/>
        </w:rPr>
        <w:t>3.3 投标文件的澄清</w:t>
      </w:r>
      <w:bookmarkEnd w:id="304"/>
      <w:bookmarkEnd w:id="305"/>
    </w:p>
    <w:p w14:paraId="0CA492AA">
      <w:pPr>
        <w:spacing w:line="360" w:lineRule="exact"/>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41B032E">
      <w:pPr>
        <w:spacing w:line="360" w:lineRule="exact"/>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14:paraId="7D9B61E9">
      <w:pPr>
        <w:spacing w:line="360" w:lineRule="exact"/>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14:paraId="4415F63A">
      <w:pPr>
        <w:spacing w:before="168" w:beforeLines="70" w:after="168" w:afterLines="70" w:line="360" w:lineRule="exact"/>
        <w:rPr>
          <w:rFonts w:ascii="宋体" w:hAnsi="宋体"/>
          <w:b/>
          <w:color w:val="auto"/>
          <w:sz w:val="28"/>
          <w:highlight w:val="none"/>
        </w:rPr>
      </w:pPr>
      <w:bookmarkStart w:id="306" w:name="_Toc529196591"/>
      <w:bookmarkStart w:id="307" w:name="_Toc515205264"/>
      <w:r>
        <w:rPr>
          <w:rFonts w:hint="eastAsia" w:ascii="宋体" w:hAnsi="宋体"/>
          <w:b/>
          <w:color w:val="auto"/>
          <w:sz w:val="28"/>
          <w:highlight w:val="none"/>
        </w:rPr>
        <w:t>3.4 评标结果</w:t>
      </w:r>
      <w:bookmarkEnd w:id="306"/>
      <w:bookmarkEnd w:id="307"/>
    </w:p>
    <w:p w14:paraId="06E732D0">
      <w:pPr>
        <w:spacing w:line="360" w:lineRule="exact"/>
        <w:ind w:firstLine="420" w:firstLineChars="200"/>
        <w:rPr>
          <w:rFonts w:ascii="宋体" w:hAnsi="宋体"/>
          <w:b/>
          <w:strike/>
          <w:color w:val="auto"/>
          <w:highlight w:val="none"/>
        </w:rPr>
      </w:pPr>
      <w:r>
        <w:rPr>
          <w:rFonts w:hint="eastAsia" w:ascii="宋体" w:hAnsi="宋体"/>
          <w:color w:val="auto"/>
          <w:highlight w:val="none"/>
        </w:rPr>
        <w:t xml:space="preserve">3.4.1 </w:t>
      </w:r>
      <w:r>
        <w:rPr>
          <w:rFonts w:hint="eastAsia" w:ascii="宋体" w:hAnsi="宋体"/>
          <w:color w:val="auto"/>
          <w:highlight w:val="none"/>
          <w:u w:val="single"/>
        </w:rPr>
        <w:t>评标委员会按照招标文件规定完成初步评审</w:t>
      </w:r>
      <w:r>
        <w:rPr>
          <w:rFonts w:hint="eastAsia" w:ascii="宋体" w:hAnsi="宋体" w:cs="宋体"/>
          <w:color w:val="auto"/>
          <w:highlight w:val="none"/>
          <w:u w:val="single"/>
        </w:rPr>
        <w:t>（形式评审、资格评审、响应性评审）</w:t>
      </w:r>
      <w:r>
        <w:rPr>
          <w:rFonts w:hint="eastAsia" w:ascii="宋体" w:hAnsi="宋体"/>
          <w:color w:val="auto"/>
          <w:highlight w:val="none"/>
          <w:u w:val="single"/>
        </w:rPr>
        <w:t>，向招标人推荐合格的中标候选人，进入定标阶段【不排序，按其统一社会信用代码后4位（除校验码外）大小进行排位】。合格的中标候选人少于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p>
    <w:p w14:paraId="3FA2397C">
      <w:pPr>
        <w:spacing w:line="360" w:lineRule="exact"/>
        <w:ind w:firstLine="482"/>
        <w:rPr>
          <w:rFonts w:ascii="宋体" w:hAnsi="宋体"/>
          <w:b/>
          <w:color w:val="auto"/>
          <w:sz w:val="30"/>
          <w:szCs w:val="30"/>
          <w:highlight w:val="none"/>
        </w:rPr>
      </w:pPr>
      <w:r>
        <w:rPr>
          <w:rFonts w:hint="eastAsia" w:ascii="宋体" w:hAnsi="宋体"/>
          <w:color w:val="auto"/>
          <w:highlight w:val="none"/>
        </w:rPr>
        <w:t xml:space="preserve">3.4.2 </w:t>
      </w:r>
      <w:r>
        <w:rPr>
          <w:rFonts w:ascii="宋体" w:hAnsi="宋体"/>
          <w:color w:val="auto"/>
          <w:szCs w:val="21"/>
          <w:highlight w:val="none"/>
          <w:u w:val="single"/>
        </w:rPr>
        <w:t>评标委员会完成评标后，应当向招标人提交书面评标报告和</w:t>
      </w:r>
      <w:r>
        <w:rPr>
          <w:rFonts w:hint="eastAsia" w:ascii="宋体" w:hAnsi="宋体"/>
          <w:color w:val="auto"/>
          <w:szCs w:val="21"/>
          <w:highlight w:val="none"/>
          <w:u w:val="single"/>
        </w:rPr>
        <w:t>合格的</w:t>
      </w:r>
      <w:r>
        <w:rPr>
          <w:rFonts w:ascii="宋体" w:hAnsi="宋体"/>
          <w:color w:val="auto"/>
          <w:szCs w:val="21"/>
          <w:highlight w:val="none"/>
          <w:u w:val="single"/>
        </w:rPr>
        <w:t>中标候选人名单</w:t>
      </w:r>
      <w:r>
        <w:rPr>
          <w:rFonts w:hint="eastAsia" w:ascii="宋体" w:hAnsi="宋体"/>
          <w:color w:val="auto"/>
          <w:highlight w:val="none"/>
        </w:rPr>
        <w:t>。</w:t>
      </w:r>
    </w:p>
    <w:p w14:paraId="28355A9F">
      <w:pPr>
        <w:spacing w:before="240" w:beforeLines="100" w:line="360" w:lineRule="auto"/>
        <w:outlineLvl w:val="2"/>
        <w:rPr>
          <w:rFonts w:ascii="宋体" w:hAnsi="宋体"/>
          <w:b/>
          <w:color w:val="auto"/>
          <w:szCs w:val="21"/>
          <w:highlight w:val="none"/>
          <w:u w:val="single"/>
        </w:rPr>
      </w:pPr>
    </w:p>
    <w:p w14:paraId="320F0CDB">
      <w:pPr>
        <w:spacing w:before="120" w:beforeLines="50" w:line="360" w:lineRule="exact"/>
        <w:outlineLvl w:val="2"/>
        <w:rPr>
          <w:rFonts w:ascii="宋体" w:hAnsi="宋体"/>
          <w:b/>
          <w:color w:val="auto"/>
          <w:sz w:val="32"/>
          <w:highlight w:val="none"/>
        </w:rPr>
      </w:pPr>
      <w:r>
        <w:rPr>
          <w:rFonts w:hint="eastAsia" w:ascii="宋体" w:hAnsi="宋体"/>
          <w:b/>
          <w:color w:val="auto"/>
          <w:sz w:val="32"/>
          <w:highlight w:val="none"/>
          <w:u w:val="single"/>
        </w:rPr>
        <w:t>4.定标</w:t>
      </w:r>
      <w:r>
        <w:rPr>
          <w:rFonts w:ascii="宋体" w:hAnsi="宋体"/>
          <w:b/>
          <w:color w:val="auto"/>
          <w:sz w:val="32"/>
          <w:highlight w:val="none"/>
          <w:u w:val="single"/>
        </w:rPr>
        <w:t>原则</w:t>
      </w:r>
    </w:p>
    <w:p w14:paraId="426C9D04">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4.1本项目定标办法采用“记名投票+撰写评语”。定标委员会成员根据评标过程资料，对比合格的中标候选人的投标文件等情况，综合考虑各中标候选人的情况，根据定标因素</w:t>
      </w:r>
      <w:r>
        <w:rPr>
          <w:rFonts w:hint="eastAsia" w:ascii="宋体" w:hAnsi="宋体" w:cs="宋体"/>
          <w:color w:val="auto"/>
          <w:szCs w:val="21"/>
          <w:highlight w:val="none"/>
          <w:u w:val="single"/>
        </w:rPr>
        <w:t>（详见《定标因素表》）</w:t>
      </w:r>
      <w:r>
        <w:rPr>
          <w:rFonts w:hint="eastAsia" w:ascii="宋体" w:hAnsi="宋体"/>
          <w:color w:val="auto"/>
          <w:szCs w:val="21"/>
          <w:highlight w:val="none"/>
          <w:u w:val="single"/>
        </w:rPr>
        <w:t>对各合格的中标候选人进行评审比较后，采用</w:t>
      </w:r>
      <w:r>
        <w:rPr>
          <w:rFonts w:hint="eastAsia" w:ascii="宋体" w:hAnsi="宋体" w:cs="宋体"/>
          <w:color w:val="auto"/>
          <w:szCs w:val="21"/>
          <w:highlight w:val="none"/>
          <w:u w:val="single"/>
        </w:rPr>
        <w:t>直接票决定标法</w:t>
      </w:r>
      <w:r>
        <w:rPr>
          <w:rFonts w:hint="eastAsia" w:ascii="宋体" w:hAnsi="宋体"/>
          <w:color w:val="auto"/>
          <w:szCs w:val="21"/>
          <w:highlight w:val="none"/>
          <w:u w:val="single"/>
        </w:rPr>
        <w:t>“记名投票+撰写评语”方式确定中标人。</w:t>
      </w:r>
    </w:p>
    <w:p w14:paraId="795A3017">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4.2定标细则</w:t>
      </w:r>
    </w:p>
    <w:p w14:paraId="29AE49D0">
      <w:pPr>
        <w:spacing w:line="360" w:lineRule="exact"/>
        <w:ind w:firstLine="420" w:firstLineChars="200"/>
        <w:rPr>
          <w:rFonts w:hint="eastAsia" w:ascii="宋体" w:hAnsi="宋体" w:cs="宋体"/>
          <w:color w:val="auto"/>
          <w:highlight w:val="none"/>
          <w:u w:val="single"/>
        </w:rPr>
      </w:pPr>
      <w:r>
        <w:rPr>
          <w:rFonts w:hint="eastAsia" w:ascii="宋体" w:hAnsi="宋体"/>
          <w:color w:val="auto"/>
          <w:szCs w:val="21"/>
          <w:highlight w:val="none"/>
          <w:u w:val="single"/>
        </w:rPr>
        <w:t>（1）</w:t>
      </w:r>
      <w:r>
        <w:rPr>
          <w:rFonts w:hint="eastAsia" w:ascii="宋体" w:hAnsi="宋体" w:cs="宋体"/>
          <w:color w:val="auto"/>
          <w:szCs w:val="21"/>
          <w:highlight w:val="none"/>
          <w:u w:val="single"/>
        </w:rPr>
        <w:t>定标委员会根据评标委员会递交的评标报告和定标因素（详见《定标因素表》），对各</w:t>
      </w:r>
      <w:r>
        <w:rPr>
          <w:rFonts w:ascii="宋体" w:hAnsi="宋体" w:cs="宋体"/>
          <w:color w:val="auto"/>
          <w:szCs w:val="21"/>
          <w:highlight w:val="none"/>
          <w:u w:val="single"/>
        </w:rPr>
        <w:t>合格中标</w:t>
      </w:r>
      <w:r>
        <w:rPr>
          <w:rFonts w:hint="eastAsia" w:ascii="宋体" w:hAnsi="宋体" w:cs="宋体"/>
          <w:color w:val="auto"/>
          <w:szCs w:val="21"/>
          <w:highlight w:val="none"/>
          <w:u w:val="single"/>
        </w:rPr>
        <w:t>候选人的投标文件</w:t>
      </w:r>
      <w:r>
        <w:rPr>
          <w:rFonts w:hint="eastAsia" w:ascii="宋体" w:hAnsi="宋体" w:cs="宋体"/>
          <w:color w:val="auto"/>
          <w:highlight w:val="none"/>
          <w:u w:val="single"/>
        </w:rPr>
        <w:t>进行评审比较并撰写评语和记名投票，汇总确认选票情况，编写并提交定标报告。</w:t>
      </w:r>
      <w:r>
        <w:rPr>
          <w:rFonts w:hint="eastAsia" w:ascii="宋体" w:hAnsi="宋体"/>
          <w:color w:val="auto"/>
          <w:szCs w:val="21"/>
          <w:highlight w:val="none"/>
          <w:u w:val="single"/>
        </w:rPr>
        <w:t>定标报告由定标委员会全体成员签字，对定标结论持有异议的成员应以书面方式阐述其不同意见和理由。</w:t>
      </w:r>
    </w:p>
    <w:p w14:paraId="6F5D6B97">
      <w:pPr>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投票规则：由定标委员会</w:t>
      </w:r>
      <w:r>
        <w:rPr>
          <w:rFonts w:hint="eastAsia" w:ascii="宋体" w:hAnsi="宋体" w:cs="宋体"/>
          <w:color w:val="auto"/>
          <w:highlight w:val="none"/>
          <w:u w:val="single"/>
        </w:rPr>
        <w:t>进行评审比较并撰写评语和记名投票</w:t>
      </w:r>
      <w:r>
        <w:rPr>
          <w:rFonts w:hint="eastAsia" w:ascii="宋体" w:hAnsi="宋体" w:cs="宋体"/>
          <w:color w:val="auto"/>
          <w:szCs w:val="21"/>
          <w:highlight w:val="none"/>
          <w:u w:val="single"/>
        </w:rPr>
        <w:t>，进行一轮一次性票决并排序，每位定标委员会成员只有1票表决权（即只能对其中一家投标人投票），经票决，</w:t>
      </w:r>
      <w:r>
        <w:rPr>
          <w:rFonts w:hint="eastAsia" w:ascii="宋体" w:hAnsi="宋体" w:cs="宋体"/>
          <w:color w:val="auto"/>
          <w:highlight w:val="none"/>
          <w:u w:val="single"/>
        </w:rPr>
        <w:t>定标委员会向招标人推荐</w:t>
      </w:r>
      <w:r>
        <w:rPr>
          <w:rFonts w:hint="eastAsia" w:ascii="宋体" w:hAnsi="宋体" w:cs="宋体"/>
          <w:color w:val="auto"/>
          <w:szCs w:val="21"/>
          <w:highlight w:val="none"/>
          <w:u w:val="single"/>
        </w:rPr>
        <w:t>得票数最多的合格中标候选人为中标人，若出现票数相同且无法票决出中标人时，票数相同的再进行附加的一次性票决，直至票决出中标人。</w:t>
      </w:r>
    </w:p>
    <w:p w14:paraId="3BF784CB">
      <w:pPr>
        <w:spacing w:before="120" w:beforeLines="50" w:line="360" w:lineRule="exact"/>
        <w:outlineLvl w:val="2"/>
        <w:rPr>
          <w:rFonts w:hint="eastAsia" w:ascii="宋体" w:hAnsi="宋体"/>
          <w:color w:val="auto"/>
          <w:szCs w:val="21"/>
          <w:highlight w:val="none"/>
          <w:u w:val="single"/>
        </w:rPr>
      </w:pPr>
      <w:r>
        <w:rPr>
          <w:rFonts w:hint="eastAsia" w:ascii="宋体" w:hAnsi="宋体"/>
          <w:color w:val="auto"/>
          <w:szCs w:val="21"/>
          <w:highlight w:val="none"/>
          <w:u w:val="single"/>
        </w:rPr>
        <w:t>定标委员会向招标人提交书面定标报告后即解散，定标过程中使用的文件、表格以及其他资料不得私自带离。</w:t>
      </w:r>
    </w:p>
    <w:p w14:paraId="2BBBB8D6">
      <w:pPr>
        <w:spacing w:before="120" w:beforeLines="50" w:line="360" w:lineRule="exact"/>
        <w:outlineLvl w:val="2"/>
        <w:rPr>
          <w:rFonts w:hint="eastAsia" w:ascii="宋体" w:hAnsi="宋体"/>
          <w:b/>
          <w:color w:val="auto"/>
          <w:sz w:val="32"/>
          <w:highlight w:val="none"/>
          <w:u w:val="single"/>
        </w:rPr>
      </w:pPr>
      <w:r>
        <w:rPr>
          <w:rFonts w:hint="eastAsia" w:ascii="宋体" w:hAnsi="宋体"/>
          <w:b/>
          <w:color w:val="auto"/>
          <w:sz w:val="32"/>
          <w:highlight w:val="none"/>
          <w:u w:val="single"/>
        </w:rPr>
        <w:t>5.定标表格</w:t>
      </w:r>
    </w:p>
    <w:p w14:paraId="2385C931">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见后附表。</w:t>
      </w:r>
    </w:p>
    <w:p w14:paraId="43C753A4">
      <w:pPr>
        <w:spacing w:line="360" w:lineRule="exact"/>
        <w:ind w:firstLine="420" w:firstLineChars="200"/>
        <w:rPr>
          <w:rFonts w:hint="eastAsia" w:ascii="宋体" w:hAnsi="宋体" w:cs="宋体"/>
          <w:color w:val="auto"/>
          <w:szCs w:val="21"/>
          <w:highlight w:val="none"/>
          <w:u w:val="single"/>
        </w:rPr>
      </w:pPr>
    </w:p>
    <w:p w14:paraId="634C723B">
      <w:pPr>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br w:type="page"/>
      </w:r>
    </w:p>
    <w:p w14:paraId="2149A4CF">
      <w:pPr>
        <w:spacing w:line="360" w:lineRule="exact"/>
        <w:jc w:val="center"/>
        <w:rPr>
          <w:rFonts w:hint="eastAsia" w:ascii="宋体" w:hAnsi="宋体"/>
          <w:b/>
          <w:bCs/>
          <w:color w:val="auto"/>
          <w:sz w:val="28"/>
          <w:szCs w:val="28"/>
          <w:highlight w:val="none"/>
          <w:u w:val="single"/>
        </w:rPr>
      </w:pPr>
      <w:r>
        <w:rPr>
          <w:rFonts w:hint="eastAsia" w:ascii="宋体" w:hAnsi="宋体" w:cs="宋体"/>
          <w:b/>
          <w:bCs/>
          <w:color w:val="auto"/>
          <w:sz w:val="28"/>
          <w:szCs w:val="28"/>
          <w:highlight w:val="none"/>
          <w:u w:val="single"/>
        </w:rPr>
        <w:t>定标因素表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19"/>
        <w:gridCol w:w="6561"/>
      </w:tblGrid>
      <w:tr w14:paraId="13F2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47A48CB">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1719" w:type="dxa"/>
            <w:tcBorders>
              <w:top w:val="single" w:color="auto" w:sz="4" w:space="0"/>
              <w:left w:val="nil"/>
              <w:bottom w:val="single" w:color="auto" w:sz="4" w:space="0"/>
              <w:right w:val="single" w:color="auto" w:sz="4" w:space="0"/>
            </w:tcBorders>
            <w:vAlign w:val="center"/>
          </w:tcPr>
          <w:p w14:paraId="4CC79D72">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评审因素</w:t>
            </w:r>
          </w:p>
        </w:tc>
        <w:tc>
          <w:tcPr>
            <w:tcW w:w="6561" w:type="dxa"/>
            <w:tcBorders>
              <w:top w:val="single" w:color="auto" w:sz="4" w:space="0"/>
              <w:left w:val="nil"/>
              <w:bottom w:val="single" w:color="auto" w:sz="4" w:space="0"/>
              <w:right w:val="single" w:color="auto" w:sz="4" w:space="0"/>
            </w:tcBorders>
            <w:vAlign w:val="center"/>
          </w:tcPr>
          <w:p w14:paraId="41C04EFA">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具体内容</w:t>
            </w:r>
          </w:p>
        </w:tc>
      </w:tr>
      <w:tr w14:paraId="75B5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0F26AB6">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1</w:t>
            </w:r>
          </w:p>
        </w:tc>
        <w:tc>
          <w:tcPr>
            <w:tcW w:w="1719" w:type="dxa"/>
            <w:tcBorders>
              <w:top w:val="single" w:color="auto" w:sz="4" w:space="0"/>
              <w:left w:val="nil"/>
              <w:bottom w:val="single" w:color="auto" w:sz="4" w:space="0"/>
              <w:right w:val="single" w:color="auto" w:sz="4" w:space="0"/>
            </w:tcBorders>
            <w:vAlign w:val="center"/>
          </w:tcPr>
          <w:p w14:paraId="655AB136">
            <w:pPr>
              <w:spacing w:line="36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资信因素</w:t>
            </w:r>
          </w:p>
        </w:tc>
        <w:tc>
          <w:tcPr>
            <w:tcW w:w="6561" w:type="dxa"/>
            <w:tcBorders>
              <w:top w:val="single" w:color="auto" w:sz="4" w:space="0"/>
              <w:left w:val="nil"/>
              <w:bottom w:val="single" w:color="auto" w:sz="4" w:space="0"/>
              <w:right w:val="single" w:color="auto" w:sz="4" w:space="0"/>
            </w:tcBorders>
            <w:vAlign w:val="center"/>
          </w:tcPr>
          <w:p w14:paraId="0D84035E">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对合格的中标候选人企业综合能力及信誉、业绩、获奖情况进行评审。</w:t>
            </w:r>
          </w:p>
          <w:p w14:paraId="1B2344D9">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（1）管理体系认证：具备有效期内的质量管理体系认证、环境管理体系认证、职业健康安全管理体系认证、知识产权管理体系认证（或知识产权合规管理体系认证证书）的情况：</w:t>
            </w:r>
          </w:p>
          <w:p w14:paraId="7E538A5F">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【优】同时具备上述</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项的。</w:t>
            </w:r>
          </w:p>
          <w:p w14:paraId="340FAB0D">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【中】具备上述其中</w:t>
            </w:r>
            <w:r>
              <w:rPr>
                <w:rFonts w:hint="eastAsia" w:ascii="宋体" w:hAnsi="宋体" w:cs="宋体"/>
                <w:color w:val="auto"/>
                <w:szCs w:val="21"/>
                <w:highlight w:val="none"/>
                <w:u w:val="single"/>
                <w:lang w:val="en-US" w:eastAsia="zh-CN" w:bidi="ar"/>
              </w:rPr>
              <w:t>3</w:t>
            </w:r>
            <w:r>
              <w:rPr>
                <w:rFonts w:hint="eastAsia" w:ascii="宋体" w:hAnsi="宋体" w:cs="宋体"/>
                <w:color w:val="auto"/>
                <w:szCs w:val="21"/>
                <w:highlight w:val="none"/>
                <w:u w:val="single"/>
                <w:lang w:bidi="ar"/>
              </w:rPr>
              <w:t>项（含本数）以上的。</w:t>
            </w:r>
          </w:p>
          <w:p w14:paraId="60944F19">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【差】具备上述其中</w:t>
            </w:r>
            <w:r>
              <w:rPr>
                <w:rFonts w:hint="eastAsia" w:ascii="宋体" w:hAnsi="宋体" w:cs="宋体"/>
                <w:color w:val="auto"/>
                <w:szCs w:val="21"/>
                <w:highlight w:val="none"/>
                <w:u w:val="single"/>
                <w:lang w:val="en-US" w:eastAsia="zh-CN" w:bidi="ar"/>
              </w:rPr>
              <w:t>2</w:t>
            </w:r>
            <w:r>
              <w:rPr>
                <w:rFonts w:hint="eastAsia" w:ascii="宋体" w:hAnsi="宋体" w:cs="宋体"/>
                <w:color w:val="auto"/>
                <w:szCs w:val="21"/>
                <w:highlight w:val="none"/>
                <w:u w:val="single"/>
                <w:lang w:bidi="ar"/>
              </w:rPr>
              <w:t>项（不含本数）以下的，或不具备的。</w:t>
            </w:r>
          </w:p>
          <w:p w14:paraId="051B8550">
            <w:pPr>
              <w:spacing w:line="360" w:lineRule="exact"/>
              <w:rPr>
                <w:rFonts w:hint="eastAsia" w:ascii="宋体" w:hAnsi="宋体" w:cs="宋体"/>
                <w:color w:val="auto"/>
                <w:kern w:val="0"/>
                <w:szCs w:val="21"/>
                <w:highlight w:val="none"/>
                <w:u w:val="single"/>
              </w:rPr>
            </w:pPr>
            <w:r>
              <w:rPr>
                <w:rFonts w:hint="eastAsia" w:ascii="宋体" w:hAnsi="宋体" w:cs="宋体"/>
                <w:color w:val="auto"/>
                <w:szCs w:val="21"/>
                <w:highlight w:val="none"/>
                <w:u w:val="single"/>
                <w:lang w:bidi="ar"/>
              </w:rPr>
              <w:t>注：需</w:t>
            </w:r>
            <w:r>
              <w:rPr>
                <w:rFonts w:hint="eastAsia" w:ascii="宋体" w:hAnsi="宋体" w:cs="宋体"/>
                <w:color w:val="auto"/>
                <w:kern w:val="0"/>
                <w:szCs w:val="21"/>
                <w:highlight w:val="none"/>
                <w:u w:val="single"/>
              </w:rPr>
              <w:t>同时提供</w:t>
            </w:r>
            <w:r>
              <w:rPr>
                <w:rFonts w:hint="eastAsia" w:ascii="宋体" w:hAnsi="宋体" w:cs="宋体"/>
                <w:color w:val="auto"/>
                <w:szCs w:val="21"/>
                <w:highlight w:val="none"/>
                <w:u w:val="single"/>
                <w:lang w:bidi="ar"/>
              </w:rPr>
              <w:t>①有效期内的</w:t>
            </w:r>
            <w:r>
              <w:rPr>
                <w:rFonts w:hint="eastAsia" w:ascii="宋体" w:hAnsi="宋体" w:cs="宋体"/>
                <w:color w:val="auto"/>
                <w:kern w:val="0"/>
                <w:szCs w:val="21"/>
                <w:highlight w:val="none"/>
                <w:u w:val="single"/>
              </w:rPr>
              <w:t>认证证书</w:t>
            </w:r>
            <w:r>
              <w:rPr>
                <w:rFonts w:hint="eastAsia" w:ascii="宋体" w:hAnsi="宋体" w:cs="宋体"/>
                <w:color w:val="auto"/>
                <w:szCs w:val="21"/>
                <w:highlight w:val="none"/>
                <w:u w:val="single"/>
                <w:lang w:bidi="ar"/>
              </w:rPr>
              <w:t>；②</w:t>
            </w:r>
            <w:r>
              <w:rPr>
                <w:rFonts w:hint="eastAsia" w:ascii="宋体" w:hAnsi="宋体" w:cs="宋体"/>
                <w:color w:val="auto"/>
                <w:kern w:val="0"/>
                <w:szCs w:val="21"/>
                <w:highlight w:val="none"/>
                <w:u w:val="single"/>
              </w:rPr>
              <w:t>全国认证认可信息公共服务平台（http://cx.cnca.cn/）查询结果网页截图。</w:t>
            </w:r>
          </w:p>
          <w:p w14:paraId="31A9A6A5">
            <w:pPr>
              <w:spacing w:line="360" w:lineRule="exact"/>
              <w:rPr>
                <w:rFonts w:ascii="宋体" w:hAnsi="宋体" w:cs="宋体"/>
                <w:color w:val="auto"/>
                <w:szCs w:val="21"/>
                <w:highlight w:val="none"/>
                <w:u w:val="single"/>
              </w:rPr>
            </w:pPr>
            <w:r>
              <w:rPr>
                <w:rFonts w:hint="eastAsia" w:ascii="宋体" w:hAnsi="宋体" w:cs="宋体"/>
                <w:color w:val="auto"/>
                <w:szCs w:val="21"/>
                <w:highlight w:val="none"/>
                <w:u w:val="single"/>
                <w:lang w:bidi="ar"/>
              </w:rPr>
              <w:t>（2）纳税信用：</w:t>
            </w:r>
            <w:r>
              <w:rPr>
                <w:rFonts w:hint="eastAsia" w:ascii="宋体" w:hAnsi="宋体" w:cs="宋体"/>
                <w:color w:val="auto"/>
                <w:szCs w:val="21"/>
                <w:highlight w:val="none"/>
                <w:u w:val="single"/>
                <w:lang w:eastAsia="zh-CN" w:bidi="ar"/>
              </w:rPr>
              <w:t>投标人</w:t>
            </w:r>
            <w:r>
              <w:rPr>
                <w:rFonts w:hint="eastAsia" w:ascii="宋体" w:hAnsi="宋体" w:cs="宋体"/>
                <w:color w:val="auto"/>
                <w:szCs w:val="21"/>
                <w:highlight w:val="none"/>
                <w:u w:val="single"/>
                <w:lang w:bidi="ar"/>
              </w:rPr>
              <w:t>曾</w:t>
            </w:r>
            <w:r>
              <w:rPr>
                <w:rFonts w:hint="eastAsia" w:ascii="宋体" w:hAnsi="宋体" w:cs="宋体"/>
                <w:color w:val="auto"/>
                <w:szCs w:val="21"/>
                <w:highlight w:val="none"/>
                <w:u w:val="single"/>
                <w:lang w:eastAsia="zh-CN" w:bidi="ar"/>
              </w:rPr>
              <w:t>连续获得</w:t>
            </w:r>
            <w:r>
              <w:rPr>
                <w:rFonts w:hint="eastAsia" w:ascii="宋体" w:hAnsi="宋体" w:cs="宋体"/>
                <w:color w:val="auto"/>
                <w:szCs w:val="21"/>
                <w:highlight w:val="none"/>
                <w:u w:val="single"/>
                <w:lang w:bidi="ar"/>
              </w:rPr>
              <w:t>“纳税信用A级纳税人”称号（须含202</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评审年度）的情况：</w:t>
            </w:r>
          </w:p>
          <w:p w14:paraId="493C1AF3">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【优】获评</w:t>
            </w:r>
            <w:r>
              <w:rPr>
                <w:rFonts w:hint="eastAsia" w:ascii="宋体" w:hAnsi="宋体" w:cs="宋体"/>
                <w:color w:val="auto"/>
                <w:szCs w:val="21"/>
                <w:highlight w:val="none"/>
                <w:u w:val="single"/>
                <w:lang w:val="en-US" w:eastAsia="zh-CN" w:bidi="ar"/>
              </w:rPr>
              <w:t>8</w:t>
            </w:r>
            <w:r>
              <w:rPr>
                <w:rFonts w:hint="eastAsia" w:ascii="宋体" w:hAnsi="宋体" w:cs="宋体"/>
                <w:color w:val="auto"/>
                <w:szCs w:val="21"/>
                <w:highlight w:val="none"/>
                <w:u w:val="single"/>
                <w:lang w:bidi="ar"/>
              </w:rPr>
              <w:t>个（含本数）以上年度的。</w:t>
            </w:r>
          </w:p>
          <w:p w14:paraId="34A72D2B">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【中】获评</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个（含本数）</w:t>
            </w:r>
            <w:r>
              <w:rPr>
                <w:rFonts w:hint="default" w:ascii="宋体" w:hAnsi="宋体" w:cs="宋体"/>
                <w:color w:val="auto"/>
                <w:szCs w:val="21"/>
                <w:highlight w:val="none"/>
                <w:u w:val="single"/>
                <w:lang w:val="en-US" w:bidi="ar"/>
              </w:rPr>
              <w:t>-</w:t>
            </w:r>
            <w:r>
              <w:rPr>
                <w:rFonts w:hint="eastAsia" w:ascii="宋体" w:hAnsi="宋体" w:cs="宋体"/>
                <w:color w:val="auto"/>
                <w:szCs w:val="21"/>
                <w:highlight w:val="none"/>
                <w:u w:val="single"/>
                <w:lang w:val="en-US" w:eastAsia="zh-CN" w:bidi="ar"/>
              </w:rPr>
              <w:t>7</w:t>
            </w:r>
            <w:r>
              <w:rPr>
                <w:rFonts w:hint="eastAsia" w:ascii="宋体" w:hAnsi="宋体" w:cs="宋体"/>
                <w:color w:val="auto"/>
                <w:szCs w:val="21"/>
                <w:highlight w:val="none"/>
                <w:u w:val="single"/>
                <w:lang w:bidi="ar"/>
              </w:rPr>
              <w:t>个（含本数）年度的。</w:t>
            </w:r>
          </w:p>
          <w:p w14:paraId="7C8AB364">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【差】获评</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个（含本数）以下年度的，或未获评的。</w:t>
            </w:r>
          </w:p>
          <w:p w14:paraId="68E4251C">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注：</w:t>
            </w:r>
            <w:r>
              <w:rPr>
                <w:rFonts w:hint="eastAsia" w:ascii="宋体" w:hAnsi="宋体" w:cs="宋体"/>
                <w:color w:val="auto"/>
                <w:kern w:val="0"/>
                <w:szCs w:val="21"/>
                <w:highlight w:val="none"/>
                <w:u w:val="single"/>
              </w:rPr>
              <w:t>需提供纳税信用A级纳税人证书或省级（或以上）国家税务局官网（含在国家税务局官网单列的城市）纳税信用信息查询结果的网页截图。时间以证书或网页截图上注明的公示评价（评定）年度为准；只计算投标人自身，不计算投标人的分公司、子公司和分支机构。</w:t>
            </w:r>
          </w:p>
          <w:p w14:paraId="34E3266E">
            <w:pPr>
              <w:spacing w:line="360" w:lineRule="exact"/>
              <w:rPr>
                <w:rFonts w:ascii="宋体" w:hAnsi="宋体" w:cs="宋体"/>
                <w:color w:val="auto"/>
                <w:szCs w:val="21"/>
                <w:highlight w:val="none"/>
                <w:u w:val="single"/>
              </w:rPr>
            </w:pPr>
            <w:r>
              <w:rPr>
                <w:rFonts w:hint="eastAsia" w:ascii="宋体" w:hAnsi="宋体" w:cs="宋体"/>
                <w:color w:val="auto"/>
                <w:szCs w:val="21"/>
                <w:highlight w:val="none"/>
                <w:u w:val="single"/>
                <w:lang w:bidi="ar"/>
              </w:rPr>
              <w:t>（3）类似项目业绩：202</w:t>
            </w:r>
            <w:r>
              <w:rPr>
                <w:rFonts w:hint="eastAsia" w:ascii="宋体" w:hAnsi="宋体" w:cs="宋体"/>
                <w:color w:val="auto"/>
                <w:szCs w:val="21"/>
                <w:highlight w:val="none"/>
                <w:u w:val="single"/>
                <w:lang w:val="en-US" w:eastAsia="zh-CN" w:bidi="ar"/>
              </w:rPr>
              <w:t>0</w:t>
            </w:r>
            <w:r>
              <w:rPr>
                <w:rFonts w:hint="eastAsia" w:ascii="宋体" w:hAnsi="宋体" w:cs="宋体"/>
                <w:color w:val="auto"/>
                <w:szCs w:val="21"/>
                <w:highlight w:val="none"/>
                <w:u w:val="single"/>
                <w:lang w:bidi="ar"/>
              </w:rPr>
              <w:t>年1月1日至今完成过质量合格的类似监理业绩情况：</w:t>
            </w:r>
          </w:p>
          <w:p w14:paraId="159A2E3E">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【优】完成</w:t>
            </w:r>
            <w:r>
              <w:rPr>
                <w:rFonts w:hint="eastAsia" w:ascii="宋体" w:hAnsi="宋体" w:cs="宋体"/>
                <w:color w:val="auto"/>
                <w:szCs w:val="21"/>
                <w:highlight w:val="none"/>
                <w:u w:val="single"/>
                <w:lang w:val="en-US" w:eastAsia="zh-CN" w:bidi="ar"/>
              </w:rPr>
              <w:t>10</w:t>
            </w:r>
            <w:r>
              <w:rPr>
                <w:rFonts w:hint="eastAsia" w:ascii="宋体" w:hAnsi="宋体" w:cs="宋体"/>
                <w:color w:val="auto"/>
                <w:szCs w:val="21"/>
                <w:highlight w:val="none"/>
                <w:u w:val="single"/>
                <w:lang w:bidi="ar"/>
              </w:rPr>
              <w:t>个（含本数）以上的。</w:t>
            </w:r>
          </w:p>
          <w:p w14:paraId="2E3B5462">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【中】完成</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个（含本数）</w:t>
            </w:r>
            <w:r>
              <w:rPr>
                <w:rFonts w:hint="eastAsia" w:ascii="宋体" w:hAnsi="宋体" w:cs="宋体"/>
                <w:color w:val="auto"/>
                <w:szCs w:val="21"/>
                <w:highlight w:val="none"/>
                <w:u w:val="single"/>
                <w:lang w:val="en-US" w:eastAsia="zh-CN" w:bidi="ar"/>
              </w:rPr>
              <w:t>9</w:t>
            </w:r>
            <w:r>
              <w:rPr>
                <w:rFonts w:hint="eastAsia" w:ascii="宋体" w:hAnsi="宋体" w:cs="宋体"/>
                <w:color w:val="auto"/>
                <w:szCs w:val="21"/>
                <w:highlight w:val="none"/>
                <w:u w:val="single"/>
                <w:lang w:bidi="ar"/>
              </w:rPr>
              <w:t>个（含本数）的。</w:t>
            </w:r>
          </w:p>
          <w:p w14:paraId="2CAD75E4">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【差】完成</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个（含本数）以下的，或没有完成的。</w:t>
            </w:r>
          </w:p>
          <w:p w14:paraId="68365E8E">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注：类似监理业绩是指中标金额大于或等于</w:t>
            </w:r>
            <w:r>
              <w:rPr>
                <w:rFonts w:hint="eastAsia" w:ascii="宋体" w:hAnsi="宋体" w:cs="宋体"/>
                <w:color w:val="auto"/>
                <w:szCs w:val="21"/>
                <w:highlight w:val="none"/>
                <w:u w:val="single"/>
                <w:lang w:val="en-US" w:eastAsia="zh-CN" w:bidi="ar"/>
              </w:rPr>
              <w:t>500</w:t>
            </w:r>
            <w:r>
              <w:rPr>
                <w:rFonts w:hint="eastAsia" w:ascii="宋体" w:hAnsi="宋体" w:cs="宋体"/>
                <w:color w:val="auto"/>
                <w:szCs w:val="21"/>
                <w:highlight w:val="none"/>
                <w:u w:val="single"/>
                <w:lang w:bidi="ar"/>
              </w:rPr>
              <w:t>万元的房屋建筑工程监理业绩，需同时提供①中标通知书或免招标的相关证明；②</w:t>
            </w:r>
            <w:r>
              <w:rPr>
                <w:rFonts w:hint="eastAsia" w:ascii="宋体" w:hAnsi="宋体" w:cs="宋体"/>
                <w:color w:val="auto"/>
                <w:szCs w:val="21"/>
                <w:highlight w:val="none"/>
                <w:u w:val="single"/>
                <w:lang w:val="en-US" w:eastAsia="zh-CN" w:bidi="ar"/>
              </w:rPr>
              <w:t>监理</w:t>
            </w:r>
            <w:r>
              <w:rPr>
                <w:rFonts w:hint="eastAsia" w:ascii="宋体" w:hAnsi="宋体" w:cs="宋体"/>
                <w:color w:val="auto"/>
                <w:szCs w:val="21"/>
                <w:highlight w:val="none"/>
                <w:u w:val="single"/>
                <w:lang w:bidi="ar"/>
              </w:rPr>
              <w:t>合同关键页（含签订合同双方的单位名称、服务内容、签订合同双方的盖章页、签订时间）；</w:t>
            </w:r>
            <w:r>
              <w:rPr>
                <w:rFonts w:ascii="宋体" w:hAnsi="宋体" w:cs="宋体"/>
                <w:color w:val="auto"/>
                <w:szCs w:val="21"/>
                <w:highlight w:val="none"/>
                <w:u w:val="single"/>
                <w:lang w:bidi="ar"/>
              </w:rPr>
              <w:t>③</w:t>
            </w:r>
            <w:r>
              <w:rPr>
                <w:rFonts w:hint="eastAsia" w:ascii="宋体" w:hAnsi="宋体" w:cs="宋体"/>
                <w:color w:val="auto"/>
                <w:szCs w:val="21"/>
                <w:highlight w:val="none"/>
                <w:u w:val="single"/>
                <w:lang w:bidi="ar"/>
              </w:rPr>
              <w:t>竣工验收报告或竣工验收证明。业绩时间以竣工验收报告或竣工验收证明出具时间为准；中标金额以中标通知书为准，中标通知书上没有金额或免招标的，以监理合同（不含补充合同）为准。</w:t>
            </w:r>
          </w:p>
          <w:p w14:paraId="50494DD4">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（4）项目获奖情况：202</w:t>
            </w:r>
            <w:r>
              <w:rPr>
                <w:rFonts w:hint="eastAsia" w:ascii="宋体" w:hAnsi="宋体" w:cs="宋体"/>
                <w:color w:val="auto"/>
                <w:szCs w:val="21"/>
                <w:highlight w:val="none"/>
                <w:u w:val="single"/>
                <w:lang w:val="en-US" w:eastAsia="zh-CN" w:bidi="ar"/>
              </w:rPr>
              <w:t>0</w:t>
            </w:r>
            <w:r>
              <w:rPr>
                <w:rFonts w:hint="eastAsia" w:ascii="宋体" w:hAnsi="宋体" w:cs="宋体"/>
                <w:color w:val="auto"/>
                <w:szCs w:val="21"/>
                <w:highlight w:val="none"/>
                <w:u w:val="single"/>
                <w:lang w:bidi="ar"/>
              </w:rPr>
              <w:t>年1月1日至今监理的房屋建筑工程获得市级(含副省级)或以上</w:t>
            </w:r>
            <w:r>
              <w:rPr>
                <w:rFonts w:hint="eastAsia" w:ascii="宋体" w:hAnsi="宋体" w:cs="宋体"/>
                <w:color w:val="auto"/>
                <w:kern w:val="0"/>
                <w:szCs w:val="21"/>
                <w:highlight w:val="none"/>
                <w:u w:val="single"/>
              </w:rPr>
              <w:t>工程质量类</w:t>
            </w:r>
            <w:r>
              <w:rPr>
                <w:rFonts w:hint="eastAsia" w:ascii="宋体" w:hAnsi="宋体" w:cs="宋体"/>
                <w:color w:val="auto"/>
                <w:szCs w:val="21"/>
                <w:highlight w:val="none"/>
                <w:u w:val="single"/>
                <w:lang w:bidi="ar"/>
              </w:rPr>
              <w:t>奖项的情况：</w:t>
            </w:r>
          </w:p>
          <w:p w14:paraId="394F521D">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【优】获得</w:t>
            </w:r>
            <w:r>
              <w:rPr>
                <w:rFonts w:hint="eastAsia" w:ascii="宋体" w:hAnsi="宋体" w:cs="宋体"/>
                <w:color w:val="auto"/>
                <w:szCs w:val="21"/>
                <w:highlight w:val="none"/>
                <w:u w:val="single"/>
                <w:lang w:val="en-US" w:eastAsia="zh-CN" w:bidi="ar"/>
              </w:rPr>
              <w:t>8</w:t>
            </w:r>
            <w:r>
              <w:rPr>
                <w:rFonts w:hint="eastAsia" w:ascii="宋体" w:hAnsi="宋体" w:cs="宋体"/>
                <w:color w:val="auto"/>
                <w:szCs w:val="21"/>
                <w:highlight w:val="none"/>
                <w:u w:val="single"/>
                <w:lang w:bidi="ar"/>
              </w:rPr>
              <w:t>个（含本数）以上的。</w:t>
            </w:r>
          </w:p>
          <w:p w14:paraId="536255B2">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【中】获得</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个（含本数）-</w:t>
            </w:r>
            <w:r>
              <w:rPr>
                <w:rFonts w:hint="eastAsia" w:ascii="宋体" w:hAnsi="宋体" w:cs="宋体"/>
                <w:color w:val="auto"/>
                <w:szCs w:val="21"/>
                <w:highlight w:val="none"/>
                <w:u w:val="single"/>
                <w:lang w:val="en-US" w:eastAsia="zh-CN" w:bidi="ar"/>
              </w:rPr>
              <w:t>7</w:t>
            </w:r>
            <w:r>
              <w:rPr>
                <w:rFonts w:hint="eastAsia" w:ascii="宋体" w:hAnsi="宋体" w:cs="宋体"/>
                <w:color w:val="auto"/>
                <w:szCs w:val="21"/>
                <w:highlight w:val="none"/>
                <w:u w:val="single"/>
                <w:lang w:bidi="ar"/>
              </w:rPr>
              <w:t>个（不含本数）的。</w:t>
            </w:r>
          </w:p>
          <w:p w14:paraId="250FECD2">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【差】获得</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个（含本数）以下的，或没有获得的。</w:t>
            </w:r>
          </w:p>
          <w:p w14:paraId="400E7706">
            <w:pPr>
              <w:numPr>
                <w:ilvl w:val="0"/>
                <w:numId w:val="0"/>
              </w:numPr>
              <w:spacing w:line="360" w:lineRule="exact"/>
              <w:rPr>
                <w:rFonts w:hint="eastAsia"/>
                <w:color w:val="auto"/>
                <w:highlight w:val="none"/>
              </w:rPr>
            </w:pPr>
            <w:r>
              <w:rPr>
                <w:rFonts w:hint="eastAsia" w:ascii="宋体" w:hAnsi="宋体" w:cs="宋体"/>
                <w:color w:val="auto"/>
                <w:kern w:val="0"/>
                <w:szCs w:val="21"/>
                <w:highlight w:val="none"/>
                <w:u w:val="single"/>
              </w:rPr>
              <w:t>注：需提供获奖证书等证明材料。获奖时间以获奖证明文件注明时间为准。国家级奖项包括中国建设工程鲁班奖、中国土木工程詹天佑奖、国家优质工程奖等；省级或市级奖项指由建设行政主管部门或行业协会（学会）颁发的工程质量类奖项；非工程质量类获奖不予计分。同一工程项目获得多个奖项的，按最高获奖等级计算，不重复计算</w:t>
            </w:r>
            <w:r>
              <w:rPr>
                <w:rFonts w:hint="eastAsia" w:ascii="宋体" w:hAnsi="宋体" w:cs="宋体"/>
                <w:color w:val="auto"/>
                <w:kern w:val="0"/>
                <w:szCs w:val="21"/>
                <w:highlight w:val="none"/>
                <w:u w:val="single"/>
                <w:lang w:eastAsia="zh-CN"/>
              </w:rPr>
              <w:t>。</w:t>
            </w:r>
          </w:p>
        </w:tc>
      </w:tr>
      <w:tr w14:paraId="4B5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76A0BED">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2</w:t>
            </w:r>
          </w:p>
        </w:tc>
        <w:tc>
          <w:tcPr>
            <w:tcW w:w="1719" w:type="dxa"/>
            <w:tcBorders>
              <w:top w:val="single" w:color="auto" w:sz="4" w:space="0"/>
              <w:left w:val="nil"/>
              <w:bottom w:val="single" w:color="auto" w:sz="4" w:space="0"/>
              <w:right w:val="single" w:color="auto" w:sz="4" w:space="0"/>
            </w:tcBorders>
            <w:vAlign w:val="center"/>
          </w:tcPr>
          <w:p w14:paraId="6C984808">
            <w:pPr>
              <w:spacing w:line="36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方案因素</w:t>
            </w:r>
          </w:p>
        </w:tc>
        <w:tc>
          <w:tcPr>
            <w:tcW w:w="6561" w:type="dxa"/>
            <w:tcBorders>
              <w:top w:val="single" w:color="auto" w:sz="4" w:space="0"/>
              <w:left w:val="nil"/>
              <w:bottom w:val="single" w:color="auto" w:sz="4" w:space="0"/>
              <w:right w:val="single" w:color="auto" w:sz="4" w:space="0"/>
            </w:tcBorders>
            <w:vAlign w:val="center"/>
          </w:tcPr>
          <w:p w14:paraId="6DE89685">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对各阶段监理工作方案、对本项目重点及难点分析及解决措施等监理大纲内容的合理性、可行性进行评审：</w:t>
            </w:r>
          </w:p>
          <w:p w14:paraId="0BE3033D">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监理工作目标明确，监理工作依据、制度、流程完善；监理工作内容及管理手段合理可行、措施具体；针对本项目建设特点进行监理的重点难点分析、提出相关解决技术措施方案、措施，内容全面具体、针对性强。</w:t>
            </w:r>
          </w:p>
          <w:p w14:paraId="3CDFF752">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【中】监理工作目标较明确，监理工作依据、制度、流程基本完善；监理工作内容及管理手段基本合理可行；能针对本项目建设特点进行监理的重点难点分析、提出相关解决技术措施方案，内容基本合理。</w:t>
            </w:r>
          </w:p>
          <w:p w14:paraId="7641E99E">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lang w:bidi="ar"/>
              </w:rPr>
              <w:t>【差】监理工作目标不明确，监理工作依据、制度、流程不完善；监理工作内容及管理手段不合理；监理的重点难点分析、提出相关解决技术措施方案、措施内容不全面、或缺乏针对性。</w:t>
            </w:r>
          </w:p>
        </w:tc>
      </w:tr>
      <w:tr w14:paraId="6D4D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F961097">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3</w:t>
            </w:r>
          </w:p>
        </w:tc>
        <w:tc>
          <w:tcPr>
            <w:tcW w:w="1719" w:type="dxa"/>
            <w:tcBorders>
              <w:top w:val="single" w:color="auto" w:sz="4" w:space="0"/>
              <w:left w:val="nil"/>
              <w:bottom w:val="single" w:color="auto" w:sz="4" w:space="0"/>
              <w:right w:val="single" w:color="auto" w:sz="4" w:space="0"/>
            </w:tcBorders>
            <w:vAlign w:val="center"/>
          </w:tcPr>
          <w:p w14:paraId="026704A3">
            <w:pPr>
              <w:spacing w:line="36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团队因素</w:t>
            </w:r>
          </w:p>
        </w:tc>
        <w:tc>
          <w:tcPr>
            <w:tcW w:w="6561" w:type="dxa"/>
            <w:tcBorders>
              <w:top w:val="single" w:color="auto" w:sz="4" w:space="0"/>
              <w:left w:val="nil"/>
              <w:bottom w:val="single" w:color="auto" w:sz="4" w:space="0"/>
              <w:right w:val="single" w:color="auto" w:sz="4" w:space="0"/>
            </w:tcBorders>
            <w:vAlign w:val="center"/>
          </w:tcPr>
          <w:p w14:paraId="54590891">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【优】拟投入监理机构人员配备合理，优于招标文件《监理机构人员配备要求表》基本要求，人员技术水平高。</w:t>
            </w:r>
          </w:p>
          <w:p w14:paraId="7137329D">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【中】拟投入监理机构人员配备较合理，满足招标文件《监理机构人员配备要求表》基本要求，人员技术水平较高。</w:t>
            </w:r>
          </w:p>
          <w:p w14:paraId="731334E8">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【差】拟投入监理机构人员配备不合理，不满足招标文件《监理机构人员配备要求表》基本要求。</w:t>
            </w:r>
            <w:r>
              <w:rPr>
                <w:rFonts w:hint="eastAsia" w:ascii="宋体" w:hAnsi="宋体" w:cs="宋体"/>
                <w:color w:val="auto"/>
                <w:kern w:val="0"/>
                <w:szCs w:val="21"/>
                <w:highlight w:val="none"/>
                <w:lang w:bidi="ar"/>
              </w:rPr>
              <w:t xml:space="preserve"> </w:t>
            </w:r>
          </w:p>
        </w:tc>
      </w:tr>
    </w:tbl>
    <w:p w14:paraId="1BB8121D">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4.3定标后出现中标人不符合法定情形的，招标人可从其他合格的中标候选人中采用原定标办法，由原定标委员会确定中标人，也可以重新招标。</w:t>
      </w:r>
    </w:p>
    <w:p w14:paraId="4CF2F4F6">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328C30A1">
      <w:pPr>
        <w:spacing w:line="360" w:lineRule="exact"/>
        <w:ind w:firstLine="420" w:firstLineChars="200"/>
        <w:rPr>
          <w:color w:val="auto"/>
          <w:highlight w:val="none"/>
          <w:u w:val="single"/>
        </w:rPr>
      </w:pPr>
      <w:r>
        <w:rPr>
          <w:rFonts w:hint="eastAsia" w:ascii="宋体" w:hAnsi="宋体"/>
          <w:color w:val="auto"/>
          <w:szCs w:val="21"/>
          <w:highlight w:val="none"/>
          <w:u w:val="single"/>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7811A629">
      <w:pPr>
        <w:spacing w:before="120" w:beforeLines="50" w:line="360" w:lineRule="exact"/>
        <w:outlineLvl w:val="2"/>
        <w:rPr>
          <w:rFonts w:ascii="宋体" w:hAnsi="宋体"/>
          <w:b/>
          <w:color w:val="auto"/>
          <w:szCs w:val="21"/>
          <w:highlight w:val="none"/>
          <w:u w:val="single"/>
        </w:rPr>
      </w:pPr>
    </w:p>
    <w:p w14:paraId="3F85B096">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定标委员评语表</w:t>
      </w:r>
    </w:p>
    <w:p w14:paraId="0D854E1F">
      <w:pPr>
        <w:pStyle w:val="138"/>
        <w:rPr>
          <w:rFonts w:hint="eastAsia" w:ascii="宋体" w:hAnsi="宋体" w:cs="宋体"/>
          <w:color w:val="auto"/>
          <w:highlight w:val="none"/>
        </w:rPr>
      </w:pPr>
    </w:p>
    <w:p w14:paraId="6457B075">
      <w:pPr>
        <w:pStyle w:val="138"/>
        <w:spacing w:line="360" w:lineRule="auto"/>
        <w:jc w:val="left"/>
        <w:rPr>
          <w:rFonts w:hint="eastAsia" w:ascii="宋体" w:hAnsi="宋体" w:cs="宋体"/>
          <w:b w:val="0"/>
          <w:color w:val="auto"/>
          <w:szCs w:val="21"/>
          <w:highlight w:val="none"/>
        </w:rPr>
      </w:pPr>
      <w:r>
        <w:rPr>
          <w:rFonts w:hint="eastAsia" w:ascii="宋体" w:hAnsi="宋体" w:cs="宋体"/>
          <w:b w:val="0"/>
          <w:color w:val="auto"/>
          <w:szCs w:val="21"/>
          <w:highlight w:val="none"/>
        </w:rPr>
        <w:t>项目名称：</w:t>
      </w:r>
    </w:p>
    <w:p w14:paraId="435D258F">
      <w:pPr>
        <w:pStyle w:val="138"/>
        <w:spacing w:line="360" w:lineRule="auto"/>
        <w:jc w:val="left"/>
        <w:rPr>
          <w:rFonts w:hint="eastAsia" w:ascii="宋体" w:hAnsi="宋体" w:cs="宋体"/>
          <w:b w:val="0"/>
          <w:color w:val="auto"/>
          <w:szCs w:val="21"/>
          <w:highlight w:val="none"/>
        </w:rPr>
      </w:pPr>
      <w:r>
        <w:rPr>
          <w:rFonts w:hint="eastAsia" w:ascii="宋体" w:hAnsi="宋体" w:cs="宋体"/>
          <w:b w:val="0"/>
          <w:color w:val="auto"/>
          <w:szCs w:val="21"/>
          <w:highlight w:val="none"/>
        </w:rPr>
        <w:t>合格中标候选人名称：</w:t>
      </w:r>
    </w:p>
    <w:tbl>
      <w:tblPr>
        <w:tblStyle w:val="46"/>
        <w:tblW w:w="919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74"/>
        <w:gridCol w:w="1767"/>
        <w:gridCol w:w="2266"/>
        <w:gridCol w:w="2917"/>
      </w:tblGrid>
      <w:tr w14:paraId="13C0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vAlign w:val="center"/>
          </w:tcPr>
          <w:p w14:paraId="42594B56">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141" w:type="dxa"/>
            <w:gridSpan w:val="2"/>
            <w:tcBorders>
              <w:top w:val="single" w:color="auto" w:sz="4" w:space="0"/>
              <w:left w:val="single" w:color="auto" w:sz="4" w:space="0"/>
              <w:bottom w:val="single" w:color="auto" w:sz="4" w:space="0"/>
              <w:right w:val="single" w:color="auto" w:sz="4" w:space="0"/>
            </w:tcBorders>
            <w:vAlign w:val="center"/>
          </w:tcPr>
          <w:p w14:paraId="36AF0D8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定标因素</w:t>
            </w:r>
          </w:p>
        </w:tc>
        <w:tc>
          <w:tcPr>
            <w:tcW w:w="2266" w:type="dxa"/>
            <w:tcBorders>
              <w:top w:val="single" w:color="auto" w:sz="4" w:space="0"/>
              <w:left w:val="single" w:color="auto" w:sz="4" w:space="0"/>
              <w:bottom w:val="single" w:color="auto" w:sz="4" w:space="0"/>
              <w:right w:val="single" w:color="auto" w:sz="4" w:space="0"/>
            </w:tcBorders>
            <w:vAlign w:val="center"/>
          </w:tcPr>
          <w:p w14:paraId="3B97FAA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定标因素结论</w:t>
            </w:r>
          </w:p>
        </w:tc>
        <w:tc>
          <w:tcPr>
            <w:tcW w:w="2917" w:type="dxa"/>
            <w:tcBorders>
              <w:top w:val="single" w:color="auto" w:sz="4" w:space="0"/>
              <w:left w:val="single" w:color="auto" w:sz="4" w:space="0"/>
              <w:bottom w:val="single" w:color="auto" w:sz="4" w:space="0"/>
              <w:right w:val="single" w:color="auto" w:sz="4" w:space="0"/>
            </w:tcBorders>
            <w:vAlign w:val="center"/>
          </w:tcPr>
          <w:p w14:paraId="2F2009F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定标委员评语</w:t>
            </w:r>
          </w:p>
        </w:tc>
      </w:tr>
      <w:tr w14:paraId="1F39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restart"/>
            <w:tcBorders>
              <w:top w:val="single" w:color="auto" w:sz="4" w:space="0"/>
              <w:left w:val="single" w:color="auto" w:sz="4" w:space="0"/>
              <w:right w:val="single" w:color="auto" w:sz="4" w:space="0"/>
            </w:tcBorders>
            <w:vAlign w:val="center"/>
          </w:tcPr>
          <w:p w14:paraId="4E022FFB">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1374" w:type="dxa"/>
            <w:vMerge w:val="restart"/>
            <w:tcBorders>
              <w:top w:val="single" w:color="auto" w:sz="4" w:space="0"/>
              <w:left w:val="single" w:color="auto" w:sz="4" w:space="0"/>
              <w:right w:val="single" w:color="auto" w:sz="4" w:space="0"/>
            </w:tcBorders>
            <w:vAlign w:val="center"/>
          </w:tcPr>
          <w:p w14:paraId="19871B86">
            <w:pPr>
              <w:spacing w:line="360" w:lineRule="auto"/>
              <w:jc w:val="center"/>
              <w:rPr>
                <w:rFonts w:hint="eastAsia" w:ascii="宋体" w:hAnsi="宋体" w:cs="宋体"/>
                <w:color w:val="auto"/>
                <w:szCs w:val="21"/>
                <w:highlight w:val="none"/>
              </w:rPr>
            </w:pPr>
            <w:r>
              <w:rPr>
                <w:rFonts w:hint="eastAsia"/>
                <w:color w:val="auto"/>
                <w:szCs w:val="21"/>
                <w:highlight w:val="none"/>
              </w:rPr>
              <w:t>资信因素</w:t>
            </w:r>
          </w:p>
        </w:tc>
        <w:tc>
          <w:tcPr>
            <w:tcW w:w="1767" w:type="dxa"/>
            <w:tcBorders>
              <w:top w:val="single" w:color="auto" w:sz="4" w:space="0"/>
              <w:left w:val="single" w:color="auto" w:sz="4" w:space="0"/>
              <w:bottom w:val="single" w:color="auto" w:sz="4" w:space="0"/>
              <w:right w:val="single" w:color="auto" w:sz="4" w:space="0"/>
            </w:tcBorders>
            <w:vAlign w:val="center"/>
          </w:tcPr>
          <w:p w14:paraId="28BDA808">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管理体系认证</w:t>
            </w:r>
          </w:p>
        </w:tc>
        <w:tc>
          <w:tcPr>
            <w:tcW w:w="2266" w:type="dxa"/>
            <w:tcBorders>
              <w:top w:val="single" w:color="auto" w:sz="4" w:space="0"/>
              <w:left w:val="single" w:color="auto" w:sz="4" w:space="0"/>
              <w:bottom w:val="single" w:color="auto" w:sz="4" w:space="0"/>
              <w:right w:val="single" w:color="auto" w:sz="4" w:space="0"/>
            </w:tcBorders>
            <w:vAlign w:val="center"/>
          </w:tcPr>
          <w:p w14:paraId="5C18C6E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14:paraId="14F05488">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14:paraId="148DFFCB">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14:paraId="1C4CEDE4">
            <w:pPr>
              <w:spacing w:line="360" w:lineRule="auto"/>
              <w:rPr>
                <w:rFonts w:hint="eastAsia" w:ascii="宋体" w:hAnsi="宋体" w:cs="宋体"/>
                <w:color w:val="auto"/>
                <w:szCs w:val="21"/>
                <w:highlight w:val="none"/>
              </w:rPr>
            </w:pPr>
          </w:p>
        </w:tc>
      </w:tr>
      <w:tr w14:paraId="417E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continue"/>
            <w:tcBorders>
              <w:left w:val="single" w:color="auto" w:sz="4" w:space="0"/>
              <w:right w:val="single" w:color="auto" w:sz="4" w:space="0"/>
            </w:tcBorders>
            <w:vAlign w:val="center"/>
          </w:tcPr>
          <w:p w14:paraId="38612E1F">
            <w:pPr>
              <w:rPr>
                <w:color w:val="auto"/>
                <w:highlight w:val="none"/>
              </w:rPr>
            </w:pPr>
          </w:p>
        </w:tc>
        <w:tc>
          <w:tcPr>
            <w:tcW w:w="1374" w:type="dxa"/>
            <w:vMerge w:val="continue"/>
            <w:tcBorders>
              <w:left w:val="single" w:color="auto" w:sz="4" w:space="0"/>
              <w:right w:val="single" w:color="auto" w:sz="4" w:space="0"/>
            </w:tcBorders>
            <w:vAlign w:val="center"/>
          </w:tcPr>
          <w:p w14:paraId="19922812">
            <w:pP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07FADE75">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纳税信用</w:t>
            </w:r>
          </w:p>
        </w:tc>
        <w:tc>
          <w:tcPr>
            <w:tcW w:w="2266" w:type="dxa"/>
            <w:tcBorders>
              <w:top w:val="single" w:color="auto" w:sz="4" w:space="0"/>
              <w:left w:val="single" w:color="auto" w:sz="4" w:space="0"/>
              <w:bottom w:val="single" w:color="auto" w:sz="4" w:space="0"/>
              <w:right w:val="single" w:color="auto" w:sz="4" w:space="0"/>
            </w:tcBorders>
            <w:vAlign w:val="center"/>
          </w:tcPr>
          <w:p w14:paraId="2426B410">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14:paraId="281A94D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14:paraId="60B40109">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14:paraId="7CCF417A">
            <w:pPr>
              <w:spacing w:line="360" w:lineRule="auto"/>
              <w:rPr>
                <w:rFonts w:hint="eastAsia" w:ascii="宋体" w:hAnsi="宋体" w:cs="宋体"/>
                <w:color w:val="auto"/>
                <w:szCs w:val="21"/>
                <w:highlight w:val="none"/>
              </w:rPr>
            </w:pPr>
          </w:p>
        </w:tc>
      </w:tr>
      <w:tr w14:paraId="307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continue"/>
            <w:tcBorders>
              <w:left w:val="single" w:color="auto" w:sz="4" w:space="0"/>
              <w:right w:val="single" w:color="auto" w:sz="4" w:space="0"/>
            </w:tcBorders>
            <w:vAlign w:val="center"/>
          </w:tcPr>
          <w:p w14:paraId="1A0E0949">
            <w:pPr>
              <w:rPr>
                <w:color w:val="auto"/>
                <w:highlight w:val="none"/>
              </w:rPr>
            </w:pPr>
          </w:p>
        </w:tc>
        <w:tc>
          <w:tcPr>
            <w:tcW w:w="1374" w:type="dxa"/>
            <w:vMerge w:val="continue"/>
            <w:tcBorders>
              <w:left w:val="single" w:color="auto" w:sz="4" w:space="0"/>
              <w:right w:val="single" w:color="auto" w:sz="4" w:space="0"/>
            </w:tcBorders>
            <w:vAlign w:val="center"/>
          </w:tcPr>
          <w:p w14:paraId="4454E266">
            <w:pP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6F1C6C06">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类似项目业绩</w:t>
            </w:r>
          </w:p>
        </w:tc>
        <w:tc>
          <w:tcPr>
            <w:tcW w:w="2266" w:type="dxa"/>
            <w:tcBorders>
              <w:top w:val="single" w:color="auto" w:sz="4" w:space="0"/>
              <w:left w:val="single" w:color="auto" w:sz="4" w:space="0"/>
              <w:bottom w:val="single" w:color="auto" w:sz="4" w:space="0"/>
              <w:right w:val="single" w:color="auto" w:sz="4" w:space="0"/>
            </w:tcBorders>
            <w:vAlign w:val="center"/>
          </w:tcPr>
          <w:p w14:paraId="25DD25E6">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14:paraId="43940F41">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14:paraId="692FCD31">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14:paraId="1AF7BC1D">
            <w:pPr>
              <w:spacing w:line="360" w:lineRule="auto"/>
              <w:rPr>
                <w:rFonts w:hint="eastAsia" w:ascii="宋体" w:hAnsi="宋体" w:cs="宋体"/>
                <w:color w:val="auto"/>
                <w:szCs w:val="21"/>
                <w:highlight w:val="none"/>
              </w:rPr>
            </w:pPr>
          </w:p>
        </w:tc>
      </w:tr>
      <w:tr w14:paraId="0830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continue"/>
            <w:tcBorders>
              <w:left w:val="single" w:color="auto" w:sz="4" w:space="0"/>
              <w:bottom w:val="single" w:color="auto" w:sz="4" w:space="0"/>
              <w:right w:val="single" w:color="auto" w:sz="4" w:space="0"/>
            </w:tcBorders>
            <w:vAlign w:val="center"/>
          </w:tcPr>
          <w:p w14:paraId="716643F3">
            <w:pPr>
              <w:rPr>
                <w:color w:val="auto"/>
                <w:highlight w:val="none"/>
              </w:rPr>
            </w:pPr>
          </w:p>
        </w:tc>
        <w:tc>
          <w:tcPr>
            <w:tcW w:w="1374" w:type="dxa"/>
            <w:vMerge w:val="continue"/>
            <w:tcBorders>
              <w:left w:val="single" w:color="auto" w:sz="4" w:space="0"/>
              <w:bottom w:val="single" w:color="auto" w:sz="4" w:space="0"/>
              <w:right w:val="single" w:color="auto" w:sz="4" w:space="0"/>
            </w:tcBorders>
            <w:vAlign w:val="center"/>
          </w:tcPr>
          <w:p w14:paraId="7DF284EE">
            <w:pP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5BD90205">
            <w:pPr>
              <w:spacing w:line="360" w:lineRule="auto"/>
              <w:jc w:val="center"/>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项目获奖情况</w:t>
            </w:r>
          </w:p>
        </w:tc>
        <w:tc>
          <w:tcPr>
            <w:tcW w:w="2266" w:type="dxa"/>
            <w:tcBorders>
              <w:top w:val="single" w:color="auto" w:sz="4" w:space="0"/>
              <w:left w:val="single" w:color="auto" w:sz="4" w:space="0"/>
              <w:bottom w:val="single" w:color="auto" w:sz="4" w:space="0"/>
              <w:right w:val="single" w:color="auto" w:sz="4" w:space="0"/>
            </w:tcBorders>
            <w:vAlign w:val="center"/>
          </w:tcPr>
          <w:p w14:paraId="7DDF5142">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14:paraId="37E13114">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14:paraId="3C4E39D6">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14:paraId="7521481F">
            <w:pPr>
              <w:spacing w:line="360" w:lineRule="auto"/>
              <w:rPr>
                <w:rFonts w:hint="eastAsia" w:ascii="宋体" w:hAnsi="宋体" w:cs="宋体"/>
                <w:color w:val="auto"/>
                <w:szCs w:val="21"/>
                <w:highlight w:val="none"/>
              </w:rPr>
            </w:pPr>
          </w:p>
        </w:tc>
      </w:tr>
      <w:tr w14:paraId="4AC3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left w:val="single" w:color="auto" w:sz="4" w:space="0"/>
              <w:bottom w:val="single" w:color="auto" w:sz="4" w:space="0"/>
              <w:right w:val="single" w:color="auto" w:sz="4" w:space="0"/>
            </w:tcBorders>
            <w:vAlign w:val="center"/>
          </w:tcPr>
          <w:p w14:paraId="29B76F70">
            <w:pPr>
              <w:jc w:val="center"/>
              <w:rPr>
                <w:rFonts w:hint="eastAsia"/>
                <w:color w:val="auto"/>
                <w:highlight w:val="none"/>
              </w:rPr>
            </w:pPr>
            <w:r>
              <w:rPr>
                <w:rFonts w:hint="eastAsia"/>
                <w:color w:val="auto"/>
                <w:highlight w:val="none"/>
              </w:rPr>
              <w:t>2</w:t>
            </w:r>
          </w:p>
        </w:tc>
        <w:tc>
          <w:tcPr>
            <w:tcW w:w="3141" w:type="dxa"/>
            <w:gridSpan w:val="2"/>
            <w:tcBorders>
              <w:left w:val="single" w:color="auto" w:sz="4" w:space="0"/>
              <w:bottom w:val="single" w:color="auto" w:sz="4" w:space="0"/>
              <w:right w:val="single" w:color="auto" w:sz="4" w:space="0"/>
            </w:tcBorders>
            <w:vAlign w:val="center"/>
          </w:tcPr>
          <w:p w14:paraId="19F28EC7">
            <w:pPr>
              <w:spacing w:line="360" w:lineRule="auto"/>
              <w:jc w:val="center"/>
              <w:rPr>
                <w:rFonts w:hint="eastAsia" w:ascii="宋体" w:hAnsi="宋体"/>
                <w:color w:val="auto"/>
                <w:sz w:val="22"/>
                <w:highlight w:val="none"/>
                <w:lang w:val="zh-CN"/>
              </w:rPr>
            </w:pPr>
            <w:r>
              <w:rPr>
                <w:rFonts w:hint="eastAsia" w:ascii="宋体" w:hAnsi="宋体" w:cs="宋体"/>
                <w:color w:val="auto"/>
                <w:szCs w:val="21"/>
                <w:highlight w:val="none"/>
                <w:u w:val="single"/>
                <w:lang w:bidi="ar"/>
              </w:rPr>
              <w:t>方案因素</w:t>
            </w:r>
          </w:p>
        </w:tc>
        <w:tc>
          <w:tcPr>
            <w:tcW w:w="2266" w:type="dxa"/>
            <w:tcBorders>
              <w:top w:val="single" w:color="auto" w:sz="4" w:space="0"/>
              <w:left w:val="single" w:color="auto" w:sz="4" w:space="0"/>
              <w:bottom w:val="single" w:color="auto" w:sz="4" w:space="0"/>
              <w:right w:val="single" w:color="auto" w:sz="4" w:space="0"/>
            </w:tcBorders>
            <w:vAlign w:val="center"/>
          </w:tcPr>
          <w:p w14:paraId="467EF0F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14:paraId="2327DCC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14:paraId="47FF6DDD">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14:paraId="441688D1">
            <w:pPr>
              <w:spacing w:line="360" w:lineRule="auto"/>
              <w:rPr>
                <w:rFonts w:hint="eastAsia" w:ascii="宋体" w:hAnsi="宋体" w:cs="宋体"/>
                <w:color w:val="auto"/>
                <w:szCs w:val="21"/>
                <w:highlight w:val="none"/>
              </w:rPr>
            </w:pPr>
          </w:p>
        </w:tc>
      </w:tr>
      <w:tr w14:paraId="722F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left w:val="single" w:color="auto" w:sz="4" w:space="0"/>
              <w:bottom w:val="single" w:color="auto" w:sz="4" w:space="0"/>
              <w:right w:val="single" w:color="auto" w:sz="4" w:space="0"/>
            </w:tcBorders>
            <w:vAlign w:val="center"/>
          </w:tcPr>
          <w:p w14:paraId="7EB6B5BC">
            <w:pPr>
              <w:jc w:val="center"/>
              <w:rPr>
                <w:rFonts w:hint="eastAsia"/>
                <w:color w:val="auto"/>
                <w:highlight w:val="none"/>
              </w:rPr>
            </w:pPr>
            <w:r>
              <w:rPr>
                <w:rFonts w:hint="eastAsia"/>
                <w:color w:val="auto"/>
                <w:highlight w:val="none"/>
              </w:rPr>
              <w:t>3</w:t>
            </w:r>
          </w:p>
        </w:tc>
        <w:tc>
          <w:tcPr>
            <w:tcW w:w="3141" w:type="dxa"/>
            <w:gridSpan w:val="2"/>
            <w:tcBorders>
              <w:left w:val="single" w:color="auto" w:sz="4" w:space="0"/>
              <w:bottom w:val="single" w:color="auto" w:sz="4" w:space="0"/>
              <w:right w:val="single" w:color="auto" w:sz="4" w:space="0"/>
            </w:tcBorders>
            <w:vAlign w:val="center"/>
          </w:tcPr>
          <w:p w14:paraId="240176C4">
            <w:pPr>
              <w:spacing w:line="360" w:lineRule="auto"/>
              <w:jc w:val="center"/>
              <w:rPr>
                <w:rFonts w:hint="eastAsia" w:ascii="宋体" w:hAnsi="宋体"/>
                <w:color w:val="auto"/>
                <w:sz w:val="22"/>
                <w:highlight w:val="none"/>
                <w:lang w:val="zh-CN"/>
              </w:rPr>
            </w:pPr>
            <w:r>
              <w:rPr>
                <w:rFonts w:hint="eastAsia" w:ascii="宋体" w:hAnsi="宋体" w:cs="宋体"/>
                <w:color w:val="auto"/>
                <w:szCs w:val="21"/>
                <w:highlight w:val="none"/>
                <w:u w:val="single"/>
                <w:lang w:bidi="ar"/>
              </w:rPr>
              <w:t>团队因素</w:t>
            </w:r>
          </w:p>
        </w:tc>
        <w:tc>
          <w:tcPr>
            <w:tcW w:w="2266" w:type="dxa"/>
            <w:tcBorders>
              <w:top w:val="single" w:color="auto" w:sz="4" w:space="0"/>
              <w:left w:val="single" w:color="auto" w:sz="4" w:space="0"/>
              <w:bottom w:val="single" w:color="auto" w:sz="4" w:space="0"/>
              <w:right w:val="single" w:color="auto" w:sz="4" w:space="0"/>
            </w:tcBorders>
            <w:vAlign w:val="center"/>
          </w:tcPr>
          <w:p w14:paraId="4A7D980D">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14:paraId="446604C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14:paraId="57DB0778">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14:paraId="15F7A474">
            <w:pPr>
              <w:spacing w:line="360" w:lineRule="auto"/>
              <w:rPr>
                <w:rFonts w:hint="eastAsia" w:ascii="宋体" w:hAnsi="宋体" w:cs="宋体"/>
                <w:color w:val="auto"/>
                <w:szCs w:val="21"/>
                <w:highlight w:val="none"/>
              </w:rPr>
            </w:pPr>
          </w:p>
        </w:tc>
      </w:tr>
      <w:tr w14:paraId="6996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80" w:type="dxa"/>
            <w:gridSpan w:val="4"/>
            <w:tcBorders>
              <w:top w:val="single" w:color="auto" w:sz="4" w:space="0"/>
              <w:left w:val="single" w:color="auto" w:sz="4" w:space="0"/>
              <w:bottom w:val="single" w:color="auto" w:sz="4" w:space="0"/>
              <w:right w:val="single" w:color="auto" w:sz="4" w:space="0"/>
            </w:tcBorders>
            <w:vAlign w:val="center"/>
          </w:tcPr>
          <w:p w14:paraId="64DB2183">
            <w:pPr>
              <w:pStyle w:val="12"/>
              <w:ind w:firstLine="2530" w:firstLineChars="1200"/>
              <w:rPr>
                <w:rFonts w:hint="eastAsia" w:cs="宋体"/>
                <w:bCs/>
                <w:color w:val="auto"/>
                <w:szCs w:val="21"/>
                <w:highlight w:val="none"/>
              </w:rPr>
            </w:pPr>
            <w:r>
              <w:rPr>
                <w:rFonts w:hint="eastAsia" w:cs="宋体"/>
                <w:color w:val="auto"/>
                <w:szCs w:val="21"/>
                <w:highlight w:val="none"/>
              </w:rPr>
              <w:t>结论</w:t>
            </w:r>
          </w:p>
        </w:tc>
        <w:tc>
          <w:tcPr>
            <w:tcW w:w="2917" w:type="dxa"/>
            <w:tcBorders>
              <w:top w:val="single" w:color="auto" w:sz="4" w:space="0"/>
              <w:left w:val="single" w:color="auto" w:sz="4" w:space="0"/>
              <w:bottom w:val="single" w:color="auto" w:sz="4" w:space="0"/>
              <w:right w:val="single" w:color="auto" w:sz="4" w:space="0"/>
            </w:tcBorders>
            <w:vAlign w:val="center"/>
          </w:tcPr>
          <w:p w14:paraId="0DB7454D">
            <w:pPr>
              <w:jc w:val="center"/>
              <w:rPr>
                <w:rFonts w:hint="eastAsia" w:ascii="宋体" w:hAnsi="宋体" w:cs="宋体"/>
                <w:bCs/>
                <w:color w:val="auto"/>
                <w:szCs w:val="21"/>
                <w:highlight w:val="none"/>
              </w:rPr>
            </w:pPr>
            <w:r>
              <w:rPr>
                <w:rFonts w:hint="eastAsia" w:ascii="宋体" w:hAnsi="宋体" w:cs="宋体"/>
                <w:b/>
                <w:color w:val="auto"/>
                <w:szCs w:val="21"/>
                <w:highlight w:val="none"/>
              </w:rPr>
              <w:t>□优   □中   □差</w:t>
            </w:r>
          </w:p>
        </w:tc>
      </w:tr>
    </w:tbl>
    <w:p w14:paraId="43F10191">
      <w:pPr>
        <w:spacing w:line="360" w:lineRule="auto"/>
        <w:ind w:left="316" w:hanging="316" w:hangingChars="150"/>
        <w:jc w:val="left"/>
        <w:rPr>
          <w:rFonts w:hint="eastAsia" w:ascii="宋体" w:hAnsi="宋体" w:cs="宋体"/>
          <w:b/>
          <w:bCs/>
          <w:color w:val="auto"/>
          <w:szCs w:val="21"/>
          <w:highlight w:val="none"/>
        </w:rPr>
      </w:pPr>
      <w:r>
        <w:rPr>
          <w:rFonts w:hint="eastAsia" w:ascii="宋体" w:hAnsi="宋体" w:cs="宋体"/>
          <w:b/>
          <w:bCs/>
          <w:color w:val="auto"/>
          <w:szCs w:val="21"/>
          <w:highlight w:val="none"/>
        </w:rPr>
        <w:t>注：定标委员须根据合格中标候选人的投标文件在定标因素结论中进行勾选，并按相应的定标因素填写评语。</w:t>
      </w:r>
    </w:p>
    <w:p w14:paraId="2BD02C9D">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4902C925">
      <w:pPr>
        <w:adjustRightInd w:val="0"/>
        <w:snapToGrid w:val="0"/>
        <w:spacing w:line="360" w:lineRule="auto"/>
        <w:ind w:firstLine="562" w:firstLineChars="200"/>
        <w:jc w:val="center"/>
        <w:rPr>
          <w:rFonts w:hint="eastAsia" w:ascii="宋体" w:hAnsi="宋体" w:cs="宋体"/>
          <w:b/>
          <w:color w:val="auto"/>
          <w:sz w:val="36"/>
          <w:szCs w:val="36"/>
          <w:highlight w:val="none"/>
        </w:rPr>
      </w:pPr>
      <w:r>
        <w:rPr>
          <w:rFonts w:hint="eastAsia" w:ascii="宋体" w:hAnsi="宋体" w:cs="宋体"/>
          <w:b/>
          <w:bCs/>
          <w:color w:val="auto"/>
          <w:kern w:val="0"/>
          <w:sz w:val="28"/>
          <w:szCs w:val="28"/>
          <w:highlight w:val="none"/>
        </w:rPr>
        <w:br w:type="page"/>
      </w:r>
      <w:r>
        <w:rPr>
          <w:rFonts w:hint="eastAsia" w:ascii="宋体" w:hAnsi="宋体" w:cs="宋体"/>
          <w:b/>
          <w:color w:val="auto"/>
          <w:sz w:val="36"/>
          <w:szCs w:val="36"/>
          <w:highlight w:val="none"/>
        </w:rPr>
        <w:t>直接票决定标选票表（定标阶段）</w:t>
      </w:r>
    </w:p>
    <w:p w14:paraId="5F856F4F">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66E7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14:paraId="479E7406">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支持的投标人名称</w:t>
            </w:r>
          </w:p>
        </w:tc>
        <w:tc>
          <w:tcPr>
            <w:tcW w:w="2990" w:type="dxa"/>
            <w:tcBorders>
              <w:top w:val="single" w:color="auto" w:sz="4" w:space="0"/>
              <w:left w:val="nil"/>
              <w:bottom w:val="single" w:color="auto" w:sz="4" w:space="0"/>
              <w:right w:val="single" w:color="auto" w:sz="4" w:space="0"/>
            </w:tcBorders>
            <w:vAlign w:val="center"/>
          </w:tcPr>
          <w:p w14:paraId="1C7F473D">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E89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14:paraId="57DFF12F">
            <w:pPr>
              <w:adjustRightInd w:val="0"/>
              <w:snapToGrid w:val="0"/>
              <w:spacing w:line="360" w:lineRule="auto"/>
              <w:jc w:val="center"/>
              <w:rPr>
                <w:rFonts w:hint="eastAsia" w:ascii="宋体" w:hAnsi="宋体" w:cs="宋体"/>
                <w:color w:val="auto"/>
                <w:kern w:val="0"/>
                <w:szCs w:val="21"/>
                <w:highlight w:val="none"/>
              </w:rPr>
            </w:pPr>
          </w:p>
        </w:tc>
        <w:tc>
          <w:tcPr>
            <w:tcW w:w="2990" w:type="dxa"/>
            <w:tcBorders>
              <w:top w:val="single" w:color="auto" w:sz="4" w:space="0"/>
              <w:left w:val="nil"/>
              <w:bottom w:val="single" w:color="auto" w:sz="4" w:space="0"/>
              <w:right w:val="single" w:color="auto" w:sz="4" w:space="0"/>
            </w:tcBorders>
            <w:vAlign w:val="center"/>
          </w:tcPr>
          <w:p w14:paraId="43B68406">
            <w:pPr>
              <w:adjustRightInd w:val="0"/>
              <w:snapToGrid w:val="0"/>
              <w:spacing w:line="360" w:lineRule="auto"/>
              <w:jc w:val="center"/>
              <w:rPr>
                <w:rFonts w:hint="eastAsia" w:ascii="宋体" w:hAnsi="宋体" w:cs="宋体"/>
                <w:color w:val="auto"/>
                <w:kern w:val="0"/>
                <w:szCs w:val="21"/>
                <w:highlight w:val="none"/>
              </w:rPr>
            </w:pPr>
          </w:p>
        </w:tc>
      </w:tr>
    </w:tbl>
    <w:p w14:paraId="0BE50BED">
      <w:pPr>
        <w:pStyle w:val="139"/>
        <w:rPr>
          <w:rFonts w:hint="eastAsia" w:ascii="宋体" w:hAnsi="宋体" w:eastAsia="宋体" w:cs="宋体"/>
          <w:color w:val="auto"/>
          <w:kern w:val="0"/>
          <w:szCs w:val="21"/>
          <w:highlight w:val="none"/>
        </w:rPr>
      </w:pPr>
    </w:p>
    <w:p w14:paraId="7F032A7F">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7DA5792B">
      <w:pPr>
        <w:adjustRightInd w:val="0"/>
        <w:snapToGrid w:val="0"/>
        <w:spacing w:line="360" w:lineRule="auto"/>
        <w:rPr>
          <w:rFonts w:hint="eastAsia" w:ascii="宋体" w:hAnsi="宋体" w:cs="宋体"/>
          <w:color w:val="auto"/>
          <w:kern w:val="0"/>
          <w:highlight w:val="none"/>
        </w:rPr>
      </w:pPr>
    </w:p>
    <w:p w14:paraId="5A763E8F">
      <w:pPr>
        <w:adjustRightInd w:val="0"/>
        <w:snapToGrid w:val="0"/>
        <w:spacing w:line="360" w:lineRule="auto"/>
        <w:rPr>
          <w:rFonts w:hint="eastAsia" w:ascii="宋体" w:hAnsi="宋体" w:cs="宋体"/>
          <w:b/>
          <w:color w:val="auto"/>
          <w:kern w:val="0"/>
          <w:highlight w:val="none"/>
        </w:rPr>
      </w:pPr>
      <w:r>
        <w:rPr>
          <w:rFonts w:hint="eastAsia" w:ascii="宋体" w:hAnsi="宋体" w:cs="宋体"/>
          <w:b/>
          <w:color w:val="auto"/>
          <w:kern w:val="0"/>
          <w:highlight w:val="none"/>
        </w:rPr>
        <w:t>注：由定标委员会成员进行投票，各定标委员会成员只能支持一家投标人。</w:t>
      </w:r>
    </w:p>
    <w:p w14:paraId="12498961">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p>
    <w:p w14:paraId="44C8D175">
      <w:pPr>
        <w:pStyle w:val="139"/>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szCs w:val="36"/>
          <w:highlight w:val="none"/>
        </w:rPr>
        <w:t>直接票决定标选票汇总表（定标阶段）</w:t>
      </w:r>
    </w:p>
    <w:p w14:paraId="25411900">
      <w:pPr>
        <w:pStyle w:val="139"/>
        <w:rPr>
          <w:rFonts w:hint="eastAsia" w:ascii="宋体" w:hAnsi="宋体" w:eastAsia="宋体" w:cs="宋体"/>
          <w:color w:val="auto"/>
          <w:highlight w:val="none"/>
        </w:rPr>
      </w:pPr>
    </w:p>
    <w:p w14:paraId="639005F1">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项目</w:t>
      </w:r>
      <w:r>
        <w:rPr>
          <w:rFonts w:hint="eastAsia" w:ascii="宋体" w:hAnsi="宋体" w:cs="宋体"/>
          <w:color w:val="auto"/>
          <w:kern w:val="0"/>
          <w:szCs w:val="21"/>
          <w:highlight w:val="none"/>
        </w:rPr>
        <w:t>名称：</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4020"/>
        <w:gridCol w:w="3782"/>
      </w:tblGrid>
      <w:tr w14:paraId="282D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14:paraId="1F09679D">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131" w:type="dxa"/>
            <w:tcBorders>
              <w:top w:val="single" w:color="auto" w:sz="4" w:space="0"/>
              <w:left w:val="single" w:color="auto" w:sz="4" w:space="0"/>
              <w:bottom w:val="single" w:color="auto" w:sz="6" w:space="0"/>
              <w:right w:val="single" w:color="auto" w:sz="6" w:space="0"/>
            </w:tcBorders>
            <w:vAlign w:val="center"/>
          </w:tcPr>
          <w:p w14:paraId="5AAC7B0E">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投标人名称</w:t>
            </w:r>
          </w:p>
        </w:tc>
        <w:tc>
          <w:tcPr>
            <w:tcW w:w="3885" w:type="dxa"/>
            <w:tcBorders>
              <w:top w:val="single" w:color="auto" w:sz="4" w:space="0"/>
              <w:left w:val="single" w:color="auto" w:sz="6" w:space="0"/>
              <w:bottom w:val="single" w:color="auto" w:sz="6" w:space="0"/>
              <w:right w:val="single" w:color="auto" w:sz="6" w:space="0"/>
            </w:tcBorders>
            <w:vAlign w:val="center"/>
          </w:tcPr>
          <w:p w14:paraId="1698E1BE">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得票数</w:t>
            </w:r>
          </w:p>
        </w:tc>
      </w:tr>
      <w:tr w14:paraId="38D6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14:paraId="5EFDAE27">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131" w:type="dxa"/>
            <w:tcBorders>
              <w:top w:val="single" w:color="auto" w:sz="6" w:space="0"/>
              <w:left w:val="single" w:color="auto" w:sz="4" w:space="0"/>
              <w:bottom w:val="single" w:color="auto" w:sz="6" w:space="0"/>
              <w:right w:val="single" w:color="auto" w:sz="6" w:space="0"/>
            </w:tcBorders>
            <w:vAlign w:val="center"/>
          </w:tcPr>
          <w:p w14:paraId="437D5D54">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14:paraId="5E7515FA">
            <w:pPr>
              <w:adjustRightInd w:val="0"/>
              <w:snapToGrid w:val="0"/>
              <w:spacing w:line="360" w:lineRule="auto"/>
              <w:jc w:val="center"/>
              <w:rPr>
                <w:rFonts w:hint="eastAsia" w:ascii="宋体" w:hAnsi="宋体" w:cs="宋体"/>
                <w:color w:val="auto"/>
                <w:kern w:val="0"/>
                <w:szCs w:val="21"/>
                <w:highlight w:val="none"/>
              </w:rPr>
            </w:pPr>
          </w:p>
        </w:tc>
      </w:tr>
      <w:tr w14:paraId="3768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14:paraId="15D8EF76">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131" w:type="dxa"/>
            <w:tcBorders>
              <w:top w:val="single" w:color="auto" w:sz="6" w:space="0"/>
              <w:left w:val="single" w:color="auto" w:sz="4" w:space="0"/>
              <w:bottom w:val="single" w:color="auto" w:sz="6" w:space="0"/>
              <w:right w:val="single" w:color="auto" w:sz="6" w:space="0"/>
            </w:tcBorders>
            <w:vAlign w:val="center"/>
          </w:tcPr>
          <w:p w14:paraId="74E774CB">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14:paraId="310810DD">
            <w:pPr>
              <w:adjustRightInd w:val="0"/>
              <w:snapToGrid w:val="0"/>
              <w:spacing w:line="360" w:lineRule="auto"/>
              <w:jc w:val="center"/>
              <w:rPr>
                <w:rFonts w:hint="eastAsia" w:ascii="宋体" w:hAnsi="宋体" w:cs="宋体"/>
                <w:color w:val="auto"/>
                <w:kern w:val="0"/>
                <w:szCs w:val="21"/>
                <w:highlight w:val="none"/>
              </w:rPr>
            </w:pPr>
          </w:p>
        </w:tc>
      </w:tr>
      <w:tr w14:paraId="520D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14:paraId="268F7DA9">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4131" w:type="dxa"/>
            <w:tcBorders>
              <w:top w:val="single" w:color="auto" w:sz="6" w:space="0"/>
              <w:left w:val="single" w:color="auto" w:sz="4" w:space="0"/>
              <w:bottom w:val="single" w:color="auto" w:sz="6" w:space="0"/>
              <w:right w:val="single" w:color="auto" w:sz="6" w:space="0"/>
            </w:tcBorders>
            <w:vAlign w:val="center"/>
          </w:tcPr>
          <w:p w14:paraId="4C1E666A">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14:paraId="554DAE4A">
            <w:pPr>
              <w:adjustRightInd w:val="0"/>
              <w:snapToGrid w:val="0"/>
              <w:spacing w:line="360" w:lineRule="auto"/>
              <w:jc w:val="center"/>
              <w:rPr>
                <w:rFonts w:hint="eastAsia" w:ascii="宋体" w:hAnsi="宋体" w:cs="宋体"/>
                <w:color w:val="auto"/>
                <w:kern w:val="0"/>
                <w:szCs w:val="21"/>
                <w:highlight w:val="none"/>
              </w:rPr>
            </w:pPr>
          </w:p>
        </w:tc>
      </w:tr>
      <w:tr w14:paraId="201D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14:paraId="2C34C7E0">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4131" w:type="dxa"/>
            <w:tcBorders>
              <w:top w:val="single" w:color="auto" w:sz="6" w:space="0"/>
              <w:left w:val="single" w:color="auto" w:sz="4" w:space="0"/>
              <w:bottom w:val="single" w:color="auto" w:sz="6" w:space="0"/>
              <w:right w:val="single" w:color="auto" w:sz="6" w:space="0"/>
            </w:tcBorders>
            <w:vAlign w:val="center"/>
          </w:tcPr>
          <w:p w14:paraId="75221FF2">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14:paraId="2514CAF7">
            <w:pPr>
              <w:adjustRightInd w:val="0"/>
              <w:snapToGrid w:val="0"/>
              <w:spacing w:line="360" w:lineRule="auto"/>
              <w:jc w:val="center"/>
              <w:rPr>
                <w:rFonts w:hint="eastAsia" w:ascii="宋体" w:hAnsi="宋体" w:cs="宋体"/>
                <w:color w:val="auto"/>
                <w:kern w:val="0"/>
                <w:szCs w:val="21"/>
                <w:highlight w:val="none"/>
              </w:rPr>
            </w:pPr>
          </w:p>
        </w:tc>
      </w:tr>
      <w:tr w14:paraId="710B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14:paraId="14724E6A">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131" w:type="dxa"/>
            <w:tcBorders>
              <w:top w:val="single" w:color="auto" w:sz="6" w:space="0"/>
              <w:left w:val="single" w:color="auto" w:sz="4" w:space="0"/>
              <w:bottom w:val="single" w:color="auto" w:sz="4" w:space="0"/>
              <w:right w:val="single" w:color="auto" w:sz="6" w:space="0"/>
            </w:tcBorders>
            <w:vAlign w:val="center"/>
          </w:tcPr>
          <w:p w14:paraId="603BFEBF">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4" w:space="0"/>
              <w:right w:val="single" w:color="auto" w:sz="6" w:space="0"/>
            </w:tcBorders>
            <w:vAlign w:val="center"/>
          </w:tcPr>
          <w:p w14:paraId="623CBAD4">
            <w:pPr>
              <w:adjustRightInd w:val="0"/>
              <w:snapToGrid w:val="0"/>
              <w:spacing w:line="360" w:lineRule="auto"/>
              <w:jc w:val="center"/>
              <w:rPr>
                <w:rFonts w:hint="eastAsia" w:ascii="宋体" w:hAnsi="宋体" w:cs="宋体"/>
                <w:color w:val="auto"/>
                <w:kern w:val="0"/>
                <w:szCs w:val="21"/>
                <w:highlight w:val="none"/>
              </w:rPr>
            </w:pPr>
          </w:p>
        </w:tc>
      </w:tr>
    </w:tbl>
    <w:p w14:paraId="185B60F2">
      <w:pPr>
        <w:rPr>
          <w:rFonts w:hint="eastAsia" w:ascii="宋体" w:hAnsi="宋体" w:cs="宋体"/>
          <w:color w:val="auto"/>
          <w:kern w:val="0"/>
          <w:szCs w:val="21"/>
          <w:highlight w:val="none"/>
        </w:rPr>
      </w:pPr>
    </w:p>
    <w:p w14:paraId="0E184CE4">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4F4D71D0">
      <w:pPr>
        <w:pStyle w:val="139"/>
        <w:rPr>
          <w:rFonts w:hint="eastAsia" w:ascii="宋体" w:hAnsi="宋体" w:eastAsia="宋体" w:cs="宋体"/>
          <w:color w:val="auto"/>
          <w:highlight w:val="none"/>
        </w:rPr>
      </w:pPr>
    </w:p>
    <w:p w14:paraId="62B0D6E9">
      <w:pPr>
        <w:pStyle w:val="139"/>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szCs w:val="36"/>
          <w:highlight w:val="none"/>
        </w:rPr>
        <w:t>附加直接票决定标选票表</w:t>
      </w:r>
    </w:p>
    <w:p w14:paraId="472ADCB3">
      <w:pPr>
        <w:pStyle w:val="13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（定标阶段-票数相同时定标委员会个人用表）</w:t>
      </w:r>
    </w:p>
    <w:p w14:paraId="70D72620">
      <w:pPr>
        <w:pStyle w:val="139"/>
        <w:jc w:val="center"/>
        <w:rPr>
          <w:rFonts w:hint="eastAsia" w:ascii="宋体" w:hAnsi="宋体" w:eastAsia="宋体" w:cs="宋体"/>
          <w:b/>
          <w:color w:val="auto"/>
          <w:sz w:val="28"/>
          <w:szCs w:val="28"/>
          <w:highlight w:val="none"/>
        </w:rPr>
      </w:pPr>
    </w:p>
    <w:p w14:paraId="56426795">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63BA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1702D83A">
            <w:pPr>
              <w:spacing w:line="600" w:lineRule="exact"/>
              <w:jc w:val="center"/>
              <w:rPr>
                <w:rFonts w:hint="eastAsia" w:ascii="宋体" w:hAnsi="宋体" w:cs="宋体"/>
                <w:b/>
                <w:bCs/>
                <w:color w:val="auto"/>
                <w:kern w:val="0"/>
                <w:highlight w:val="none"/>
              </w:rPr>
            </w:pPr>
            <w:r>
              <w:rPr>
                <w:rFonts w:hint="eastAsia" w:ascii="宋体" w:hAnsi="宋体" w:cs="宋体"/>
                <w:b/>
                <w:bCs/>
                <w:color w:val="auto"/>
                <w:kern w:val="0"/>
                <w:highlight w:val="none"/>
              </w:rPr>
              <w:t>投标人名称</w:t>
            </w:r>
          </w:p>
        </w:tc>
        <w:tc>
          <w:tcPr>
            <w:tcW w:w="1930" w:type="dxa"/>
            <w:tcBorders>
              <w:top w:val="single" w:color="auto" w:sz="4" w:space="0"/>
              <w:left w:val="single" w:color="auto" w:sz="4" w:space="0"/>
              <w:bottom w:val="single" w:color="auto" w:sz="4" w:space="0"/>
              <w:right w:val="single" w:color="auto" w:sz="4" w:space="0"/>
            </w:tcBorders>
            <w:vAlign w:val="center"/>
          </w:tcPr>
          <w:p w14:paraId="6F2118B3">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78ED2A2D">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49C794B1">
            <w:pPr>
              <w:spacing w:line="600" w:lineRule="exact"/>
              <w:jc w:val="center"/>
              <w:rPr>
                <w:rFonts w:hint="eastAsia" w:ascii="宋体" w:hAnsi="宋体" w:cs="宋体"/>
                <w:color w:val="auto"/>
                <w:kern w:val="0"/>
                <w:highlight w:val="none"/>
              </w:rPr>
            </w:pPr>
          </w:p>
        </w:tc>
      </w:tr>
      <w:tr w14:paraId="65AE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6D947F59">
            <w:pPr>
              <w:spacing w:line="600" w:lineRule="exact"/>
              <w:jc w:val="center"/>
              <w:rPr>
                <w:rFonts w:hint="eastAsia" w:ascii="宋体" w:hAnsi="宋体" w:cs="宋体"/>
                <w:b/>
                <w:bCs/>
                <w:color w:val="auto"/>
                <w:kern w:val="0"/>
                <w:szCs w:val="21"/>
                <w:highlight w:val="none"/>
              </w:rPr>
            </w:pPr>
            <w:r>
              <w:rPr>
                <w:rFonts w:hint="eastAsia" w:ascii="宋体" w:hAnsi="宋体" w:cs="宋体"/>
                <w:b/>
                <w:bCs/>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663CB37A">
            <w:pPr>
              <w:spacing w:line="600" w:lineRule="exact"/>
              <w:jc w:val="center"/>
              <w:rPr>
                <w:rFonts w:hint="eastAsia"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7BB254B3">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47BAD0D4">
            <w:pPr>
              <w:spacing w:line="600" w:lineRule="exact"/>
              <w:jc w:val="center"/>
              <w:rPr>
                <w:rFonts w:hint="eastAsia" w:ascii="宋体" w:hAnsi="宋体" w:cs="宋体"/>
                <w:color w:val="auto"/>
                <w:kern w:val="0"/>
                <w:highlight w:val="none"/>
              </w:rPr>
            </w:pPr>
          </w:p>
        </w:tc>
      </w:tr>
    </w:tbl>
    <w:p w14:paraId="63093E2C">
      <w:pPr>
        <w:pStyle w:val="139"/>
        <w:rPr>
          <w:rFonts w:hint="eastAsia" w:ascii="宋体" w:hAnsi="宋体" w:eastAsia="宋体" w:cs="宋体"/>
          <w:color w:val="auto"/>
          <w:kern w:val="0"/>
          <w:szCs w:val="21"/>
          <w:highlight w:val="none"/>
        </w:rPr>
      </w:pPr>
    </w:p>
    <w:p w14:paraId="0EB44A88">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132A2F90">
      <w:pPr>
        <w:pStyle w:val="139"/>
        <w:rPr>
          <w:rFonts w:hint="eastAsia" w:ascii="宋体" w:hAnsi="宋体" w:eastAsia="宋体" w:cs="宋体"/>
          <w:color w:val="auto"/>
          <w:highlight w:val="none"/>
        </w:rPr>
      </w:pPr>
    </w:p>
    <w:p w14:paraId="08EAF6C9">
      <w:pPr>
        <w:pStyle w:val="139"/>
        <w:rPr>
          <w:rFonts w:hint="eastAsia" w:ascii="宋体" w:hAnsi="宋体" w:eastAsia="宋体" w:cs="宋体"/>
          <w:b/>
          <w:color w:val="auto"/>
          <w:highlight w:val="none"/>
        </w:rPr>
      </w:pPr>
      <w:r>
        <w:rPr>
          <w:rFonts w:hint="eastAsia" w:ascii="宋体" w:hAnsi="宋体" w:eastAsia="宋体" w:cs="宋体"/>
          <w:b/>
          <w:color w:val="auto"/>
          <w:highlight w:val="none"/>
        </w:rPr>
        <w:t>备注：</w:t>
      </w:r>
    </w:p>
    <w:p w14:paraId="279D548B">
      <w:pPr>
        <w:pStyle w:val="139"/>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1、本表用于投票出现票数相同的情况。</w:t>
      </w:r>
    </w:p>
    <w:p w14:paraId="6618330C">
      <w:pPr>
        <w:pStyle w:val="139"/>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由定标委员会成员进行附加投票，票决意见分别为“投票”或“不投票”，各定标委员会成员只有1票表决权（即只能对其中一名投标人“投票”），票决意见为“投票”的，用“○”表示；票决意见为“不投票”，用“×”表示。</w:t>
      </w:r>
    </w:p>
    <w:p w14:paraId="696A4A17">
      <w:pPr>
        <w:pStyle w:val="139"/>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szCs w:val="36"/>
          <w:highlight w:val="none"/>
        </w:rPr>
        <w:t>附加直接票决定标选票汇总表</w:t>
      </w:r>
    </w:p>
    <w:p w14:paraId="40249328">
      <w:pPr>
        <w:pStyle w:val="13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（定标阶段-票数相同时定标委员会汇总用表）</w:t>
      </w:r>
    </w:p>
    <w:p w14:paraId="11B66CEB">
      <w:pPr>
        <w:pStyle w:val="139"/>
        <w:jc w:val="center"/>
        <w:rPr>
          <w:rFonts w:hint="eastAsia" w:ascii="宋体" w:hAnsi="宋体" w:eastAsia="宋体" w:cs="宋体"/>
          <w:b/>
          <w:color w:val="auto"/>
          <w:sz w:val="28"/>
          <w:szCs w:val="28"/>
          <w:highlight w:val="none"/>
        </w:rPr>
      </w:pPr>
    </w:p>
    <w:p w14:paraId="24CFEAFB">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5098"/>
        <w:gridCol w:w="2224"/>
      </w:tblGrid>
      <w:tr w14:paraId="65C9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63" w:type="dxa"/>
            <w:tcBorders>
              <w:top w:val="single" w:color="auto" w:sz="4" w:space="0"/>
              <w:left w:val="single" w:color="auto" w:sz="4" w:space="0"/>
              <w:bottom w:val="single" w:color="auto" w:sz="4" w:space="0"/>
              <w:right w:val="single" w:color="auto" w:sz="4" w:space="0"/>
            </w:tcBorders>
            <w:vAlign w:val="center"/>
          </w:tcPr>
          <w:p w14:paraId="0BFC141C">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5243" w:type="dxa"/>
            <w:tcBorders>
              <w:top w:val="single" w:color="auto" w:sz="4" w:space="0"/>
              <w:left w:val="single" w:color="auto" w:sz="4" w:space="0"/>
              <w:bottom w:val="single" w:color="auto" w:sz="4" w:space="0"/>
              <w:right w:val="single" w:color="auto" w:sz="4" w:space="0"/>
            </w:tcBorders>
            <w:vAlign w:val="center"/>
          </w:tcPr>
          <w:p w14:paraId="3C8B4F39">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投标人名称</w:t>
            </w:r>
          </w:p>
        </w:tc>
        <w:tc>
          <w:tcPr>
            <w:tcW w:w="2280" w:type="dxa"/>
            <w:tcBorders>
              <w:top w:val="single" w:color="auto" w:sz="4" w:space="0"/>
              <w:left w:val="single" w:color="auto" w:sz="4" w:space="0"/>
              <w:bottom w:val="single" w:color="auto" w:sz="4" w:space="0"/>
              <w:right w:val="single" w:color="auto" w:sz="4" w:space="0"/>
            </w:tcBorders>
            <w:vAlign w:val="center"/>
          </w:tcPr>
          <w:p w14:paraId="11C91C2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得票数</w:t>
            </w:r>
          </w:p>
        </w:tc>
      </w:tr>
      <w:tr w14:paraId="715B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14:paraId="41DE5F5B">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243" w:type="dxa"/>
            <w:tcBorders>
              <w:top w:val="single" w:color="auto" w:sz="4" w:space="0"/>
              <w:left w:val="single" w:color="auto" w:sz="4" w:space="0"/>
              <w:bottom w:val="single" w:color="auto" w:sz="4" w:space="0"/>
              <w:right w:val="single" w:color="auto" w:sz="4" w:space="0"/>
            </w:tcBorders>
            <w:vAlign w:val="center"/>
          </w:tcPr>
          <w:p w14:paraId="2B1DDC14">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14:paraId="67EFB797">
            <w:pPr>
              <w:jc w:val="center"/>
              <w:rPr>
                <w:rFonts w:hint="eastAsia" w:ascii="宋体" w:hAnsi="宋体" w:cs="宋体"/>
                <w:color w:val="auto"/>
                <w:sz w:val="24"/>
                <w:highlight w:val="none"/>
              </w:rPr>
            </w:pPr>
          </w:p>
        </w:tc>
      </w:tr>
      <w:tr w14:paraId="4DFD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14:paraId="14AF2E6F">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243" w:type="dxa"/>
            <w:tcBorders>
              <w:top w:val="single" w:color="auto" w:sz="4" w:space="0"/>
              <w:left w:val="single" w:color="auto" w:sz="4" w:space="0"/>
              <w:bottom w:val="single" w:color="auto" w:sz="4" w:space="0"/>
              <w:right w:val="single" w:color="auto" w:sz="4" w:space="0"/>
            </w:tcBorders>
            <w:vAlign w:val="center"/>
          </w:tcPr>
          <w:p w14:paraId="2450C5D0">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14:paraId="27789AFD">
            <w:pPr>
              <w:jc w:val="center"/>
              <w:rPr>
                <w:rFonts w:hint="eastAsia" w:ascii="宋体" w:hAnsi="宋体" w:cs="宋体"/>
                <w:color w:val="auto"/>
                <w:sz w:val="24"/>
                <w:highlight w:val="none"/>
              </w:rPr>
            </w:pPr>
          </w:p>
        </w:tc>
      </w:tr>
      <w:tr w14:paraId="7376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14:paraId="4DD98BE7">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243" w:type="dxa"/>
            <w:tcBorders>
              <w:top w:val="single" w:color="auto" w:sz="4" w:space="0"/>
              <w:left w:val="single" w:color="auto" w:sz="4" w:space="0"/>
              <w:bottom w:val="single" w:color="auto" w:sz="4" w:space="0"/>
              <w:right w:val="single" w:color="auto" w:sz="4" w:space="0"/>
            </w:tcBorders>
            <w:vAlign w:val="center"/>
          </w:tcPr>
          <w:p w14:paraId="3ED83EAE">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14:paraId="20038946">
            <w:pPr>
              <w:jc w:val="center"/>
              <w:rPr>
                <w:rFonts w:hint="eastAsia" w:ascii="宋体" w:hAnsi="宋体" w:cs="宋体"/>
                <w:color w:val="auto"/>
                <w:sz w:val="24"/>
                <w:highlight w:val="none"/>
              </w:rPr>
            </w:pPr>
          </w:p>
        </w:tc>
      </w:tr>
      <w:tr w14:paraId="7292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14:paraId="20C41985">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243" w:type="dxa"/>
            <w:tcBorders>
              <w:top w:val="single" w:color="auto" w:sz="4" w:space="0"/>
              <w:left w:val="single" w:color="auto" w:sz="4" w:space="0"/>
              <w:bottom w:val="single" w:color="auto" w:sz="4" w:space="0"/>
              <w:right w:val="single" w:color="auto" w:sz="4" w:space="0"/>
            </w:tcBorders>
            <w:vAlign w:val="center"/>
          </w:tcPr>
          <w:p w14:paraId="6F1F9784">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14:paraId="079E40C2">
            <w:pPr>
              <w:jc w:val="center"/>
              <w:rPr>
                <w:rFonts w:hint="eastAsia" w:ascii="宋体" w:hAnsi="宋体" w:cs="宋体"/>
                <w:color w:val="auto"/>
                <w:sz w:val="24"/>
                <w:highlight w:val="none"/>
              </w:rPr>
            </w:pPr>
          </w:p>
        </w:tc>
      </w:tr>
      <w:tr w14:paraId="3F18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14:paraId="3A01A043">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5243" w:type="dxa"/>
            <w:tcBorders>
              <w:top w:val="single" w:color="auto" w:sz="4" w:space="0"/>
              <w:left w:val="single" w:color="auto" w:sz="4" w:space="0"/>
              <w:bottom w:val="single" w:color="auto" w:sz="4" w:space="0"/>
              <w:right w:val="single" w:color="auto" w:sz="4" w:space="0"/>
            </w:tcBorders>
            <w:vAlign w:val="center"/>
          </w:tcPr>
          <w:p w14:paraId="2484F12F">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14:paraId="264AF8EF">
            <w:pPr>
              <w:jc w:val="center"/>
              <w:rPr>
                <w:rFonts w:hint="eastAsia" w:ascii="宋体" w:hAnsi="宋体" w:cs="宋体"/>
                <w:color w:val="auto"/>
                <w:sz w:val="24"/>
                <w:highlight w:val="none"/>
              </w:rPr>
            </w:pPr>
          </w:p>
        </w:tc>
      </w:tr>
    </w:tbl>
    <w:p w14:paraId="70E8E09F">
      <w:pPr>
        <w:pStyle w:val="139"/>
        <w:rPr>
          <w:rFonts w:hint="eastAsia" w:ascii="宋体" w:hAnsi="宋体" w:eastAsia="宋体" w:cs="宋体"/>
          <w:color w:val="auto"/>
          <w:kern w:val="0"/>
          <w:szCs w:val="21"/>
          <w:highlight w:val="none"/>
        </w:rPr>
      </w:pPr>
    </w:p>
    <w:p w14:paraId="347DD0FB">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4D55215A">
      <w:pPr>
        <w:pStyle w:val="139"/>
        <w:rPr>
          <w:rFonts w:ascii="宋体" w:hAnsi="宋体" w:eastAsia="宋体" w:cs="宋体"/>
          <w:color w:val="auto"/>
          <w:highlight w:val="none"/>
        </w:rPr>
      </w:pPr>
    </w:p>
    <w:p w14:paraId="6D61E521">
      <w:pPr>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直接票决定标情况汇总表（定标阶段）</w:t>
      </w:r>
    </w:p>
    <w:p w14:paraId="4C9347A7">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46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432"/>
        <w:gridCol w:w="1763"/>
        <w:gridCol w:w="2200"/>
      </w:tblGrid>
      <w:tr w14:paraId="56C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6" w:type="pct"/>
            <w:tcBorders>
              <w:top w:val="single" w:color="auto" w:sz="4" w:space="0"/>
              <w:left w:val="single" w:color="auto" w:sz="4" w:space="0"/>
              <w:bottom w:val="single" w:color="auto" w:sz="4" w:space="0"/>
              <w:right w:val="single" w:color="auto" w:sz="4" w:space="0"/>
            </w:tcBorders>
            <w:vAlign w:val="center"/>
          </w:tcPr>
          <w:p w14:paraId="66DE2176">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048" w:type="pct"/>
            <w:tcBorders>
              <w:top w:val="single" w:color="auto" w:sz="4" w:space="0"/>
              <w:left w:val="nil"/>
              <w:bottom w:val="single" w:color="auto" w:sz="4" w:space="0"/>
              <w:right w:val="single" w:color="auto" w:sz="4" w:space="0"/>
            </w:tcBorders>
            <w:vAlign w:val="center"/>
          </w:tcPr>
          <w:p w14:paraId="0E8DABAB">
            <w:pPr>
              <w:jc w:val="center"/>
              <w:rPr>
                <w:rFonts w:ascii="宋体" w:hAnsi="宋体" w:cs="宋体"/>
                <w:b/>
                <w:color w:val="auto"/>
                <w:szCs w:val="21"/>
                <w:highlight w:val="none"/>
              </w:rPr>
            </w:pPr>
            <w:r>
              <w:rPr>
                <w:rFonts w:hint="eastAsia" w:ascii="宋体" w:hAnsi="宋体" w:cs="宋体"/>
                <w:b/>
                <w:color w:val="auto"/>
                <w:szCs w:val="21"/>
                <w:highlight w:val="none"/>
              </w:rPr>
              <w:t>投标人名称</w:t>
            </w:r>
          </w:p>
        </w:tc>
        <w:tc>
          <w:tcPr>
            <w:tcW w:w="1052" w:type="pct"/>
            <w:tcBorders>
              <w:top w:val="single" w:color="auto" w:sz="4" w:space="0"/>
              <w:left w:val="nil"/>
              <w:bottom w:val="single" w:color="auto" w:sz="4" w:space="0"/>
              <w:right w:val="single" w:color="auto" w:sz="4" w:space="0"/>
            </w:tcBorders>
            <w:vAlign w:val="center"/>
          </w:tcPr>
          <w:p w14:paraId="78B98CB4">
            <w:pPr>
              <w:jc w:val="center"/>
              <w:rPr>
                <w:rFonts w:ascii="宋体" w:hAnsi="宋体" w:cs="宋体"/>
                <w:b/>
                <w:color w:val="auto"/>
                <w:szCs w:val="21"/>
                <w:highlight w:val="none"/>
              </w:rPr>
            </w:pPr>
            <w:r>
              <w:rPr>
                <w:rFonts w:hint="eastAsia" w:ascii="宋体" w:hAnsi="宋体" w:cs="宋体"/>
                <w:b/>
                <w:color w:val="auto"/>
                <w:szCs w:val="21"/>
                <w:highlight w:val="none"/>
              </w:rPr>
              <w:t>得票数</w:t>
            </w:r>
          </w:p>
        </w:tc>
        <w:tc>
          <w:tcPr>
            <w:tcW w:w="1313" w:type="pct"/>
            <w:tcBorders>
              <w:top w:val="single" w:color="auto" w:sz="4" w:space="0"/>
              <w:left w:val="nil"/>
              <w:bottom w:val="single" w:color="auto" w:sz="4" w:space="0"/>
              <w:right w:val="single" w:color="auto" w:sz="4" w:space="0"/>
            </w:tcBorders>
            <w:vAlign w:val="center"/>
          </w:tcPr>
          <w:p w14:paraId="50B84941">
            <w:pPr>
              <w:jc w:val="center"/>
              <w:rPr>
                <w:rFonts w:ascii="宋体" w:hAnsi="宋体" w:cs="宋体"/>
                <w:b/>
                <w:color w:val="auto"/>
                <w:szCs w:val="21"/>
                <w:highlight w:val="none"/>
              </w:rPr>
            </w:pPr>
            <w:r>
              <w:rPr>
                <w:rFonts w:hint="eastAsia" w:ascii="宋体" w:hAnsi="宋体" w:cs="宋体"/>
                <w:b/>
                <w:color w:val="auto"/>
                <w:szCs w:val="21"/>
                <w:highlight w:val="none"/>
              </w:rPr>
              <w:t>是否被推荐为中标人</w:t>
            </w:r>
          </w:p>
        </w:tc>
      </w:tr>
      <w:tr w14:paraId="78A6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14:paraId="531AB370">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048" w:type="pct"/>
            <w:tcBorders>
              <w:top w:val="single" w:color="auto" w:sz="4" w:space="0"/>
              <w:left w:val="nil"/>
              <w:bottom w:val="single" w:color="auto" w:sz="4" w:space="0"/>
              <w:right w:val="single" w:color="auto" w:sz="4" w:space="0"/>
            </w:tcBorders>
            <w:vAlign w:val="center"/>
          </w:tcPr>
          <w:p w14:paraId="607EDEBA">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14CCE6DF">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261F44A9">
            <w:pPr>
              <w:jc w:val="center"/>
              <w:rPr>
                <w:rFonts w:ascii="宋体" w:hAnsi="宋体" w:cs="宋体"/>
                <w:color w:val="auto"/>
                <w:sz w:val="24"/>
                <w:szCs w:val="24"/>
                <w:highlight w:val="none"/>
              </w:rPr>
            </w:pPr>
          </w:p>
        </w:tc>
      </w:tr>
      <w:tr w14:paraId="7E70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14:paraId="3593F707">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048" w:type="pct"/>
            <w:tcBorders>
              <w:top w:val="single" w:color="auto" w:sz="4" w:space="0"/>
              <w:left w:val="nil"/>
              <w:bottom w:val="single" w:color="auto" w:sz="4" w:space="0"/>
              <w:right w:val="single" w:color="auto" w:sz="4" w:space="0"/>
            </w:tcBorders>
            <w:vAlign w:val="center"/>
          </w:tcPr>
          <w:p w14:paraId="25FF92C6">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790EC3B7">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0EA847A9">
            <w:pPr>
              <w:jc w:val="center"/>
              <w:rPr>
                <w:rFonts w:ascii="宋体" w:hAnsi="宋体" w:cs="宋体"/>
                <w:color w:val="auto"/>
                <w:sz w:val="24"/>
                <w:szCs w:val="24"/>
                <w:highlight w:val="none"/>
              </w:rPr>
            </w:pPr>
          </w:p>
        </w:tc>
      </w:tr>
      <w:tr w14:paraId="3596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14:paraId="56277C57">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048" w:type="pct"/>
            <w:tcBorders>
              <w:top w:val="single" w:color="auto" w:sz="4" w:space="0"/>
              <w:left w:val="nil"/>
              <w:bottom w:val="single" w:color="auto" w:sz="4" w:space="0"/>
              <w:right w:val="single" w:color="auto" w:sz="4" w:space="0"/>
            </w:tcBorders>
            <w:vAlign w:val="center"/>
          </w:tcPr>
          <w:p w14:paraId="77E5151D">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4DD17686">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277F7E71">
            <w:pPr>
              <w:jc w:val="center"/>
              <w:rPr>
                <w:rFonts w:ascii="宋体" w:hAnsi="宋体" w:cs="宋体"/>
                <w:color w:val="auto"/>
                <w:sz w:val="24"/>
                <w:szCs w:val="24"/>
                <w:highlight w:val="none"/>
              </w:rPr>
            </w:pPr>
          </w:p>
        </w:tc>
      </w:tr>
      <w:tr w14:paraId="179E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14:paraId="0EA346A1">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048" w:type="pct"/>
            <w:tcBorders>
              <w:top w:val="single" w:color="auto" w:sz="4" w:space="0"/>
              <w:left w:val="nil"/>
              <w:bottom w:val="single" w:color="auto" w:sz="4" w:space="0"/>
              <w:right w:val="single" w:color="auto" w:sz="4" w:space="0"/>
            </w:tcBorders>
            <w:vAlign w:val="center"/>
          </w:tcPr>
          <w:p w14:paraId="7AAE149B">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5716A46C">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7A8EA716">
            <w:pPr>
              <w:jc w:val="center"/>
              <w:rPr>
                <w:rFonts w:ascii="宋体" w:hAnsi="宋体" w:cs="宋体"/>
                <w:color w:val="auto"/>
                <w:sz w:val="24"/>
                <w:szCs w:val="24"/>
                <w:highlight w:val="none"/>
              </w:rPr>
            </w:pPr>
          </w:p>
        </w:tc>
      </w:tr>
      <w:tr w14:paraId="35F4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14:paraId="333298F7">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048" w:type="pct"/>
            <w:tcBorders>
              <w:top w:val="single" w:color="auto" w:sz="4" w:space="0"/>
              <w:left w:val="nil"/>
              <w:bottom w:val="single" w:color="auto" w:sz="4" w:space="0"/>
              <w:right w:val="single" w:color="auto" w:sz="4" w:space="0"/>
            </w:tcBorders>
            <w:vAlign w:val="center"/>
          </w:tcPr>
          <w:p w14:paraId="02E4E20C">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20F57625">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394C5A6A">
            <w:pPr>
              <w:jc w:val="center"/>
              <w:rPr>
                <w:rFonts w:ascii="宋体" w:hAnsi="宋体" w:cs="宋体"/>
                <w:color w:val="auto"/>
                <w:sz w:val="24"/>
                <w:szCs w:val="24"/>
                <w:highlight w:val="none"/>
              </w:rPr>
            </w:pPr>
          </w:p>
        </w:tc>
      </w:tr>
      <w:tr w14:paraId="31BF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14:paraId="2459B63A">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048" w:type="pct"/>
            <w:tcBorders>
              <w:top w:val="single" w:color="auto" w:sz="4" w:space="0"/>
              <w:left w:val="nil"/>
              <w:bottom w:val="single" w:color="auto" w:sz="4" w:space="0"/>
              <w:right w:val="single" w:color="auto" w:sz="4" w:space="0"/>
            </w:tcBorders>
            <w:vAlign w:val="center"/>
          </w:tcPr>
          <w:p w14:paraId="682847F6">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140947E2">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66B0CFA8">
            <w:pPr>
              <w:jc w:val="center"/>
              <w:rPr>
                <w:rFonts w:ascii="宋体" w:hAnsi="宋体" w:cs="宋体"/>
                <w:color w:val="auto"/>
                <w:sz w:val="24"/>
                <w:szCs w:val="24"/>
                <w:highlight w:val="none"/>
              </w:rPr>
            </w:pPr>
          </w:p>
        </w:tc>
      </w:tr>
      <w:tr w14:paraId="0C4F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86" w:type="pct"/>
            <w:tcBorders>
              <w:top w:val="single" w:color="auto" w:sz="4" w:space="0"/>
              <w:left w:val="single" w:color="auto" w:sz="4" w:space="0"/>
              <w:bottom w:val="single" w:color="auto" w:sz="4" w:space="0"/>
              <w:right w:val="single" w:color="auto" w:sz="4" w:space="0"/>
            </w:tcBorders>
            <w:vAlign w:val="center"/>
          </w:tcPr>
          <w:p w14:paraId="3874B7ED">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048" w:type="pct"/>
            <w:tcBorders>
              <w:top w:val="single" w:color="auto" w:sz="4" w:space="0"/>
              <w:left w:val="nil"/>
              <w:bottom w:val="single" w:color="auto" w:sz="4" w:space="0"/>
              <w:right w:val="single" w:color="auto" w:sz="4" w:space="0"/>
            </w:tcBorders>
            <w:vAlign w:val="center"/>
          </w:tcPr>
          <w:p w14:paraId="090DCBBE">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14:paraId="71AAE488">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14:paraId="3383E80B">
            <w:pPr>
              <w:jc w:val="center"/>
              <w:rPr>
                <w:rFonts w:ascii="宋体" w:hAnsi="宋体" w:cs="宋体"/>
                <w:color w:val="auto"/>
                <w:sz w:val="24"/>
                <w:szCs w:val="24"/>
                <w:highlight w:val="none"/>
              </w:rPr>
            </w:pPr>
          </w:p>
        </w:tc>
      </w:tr>
    </w:tbl>
    <w:p w14:paraId="67D4890A">
      <w:pPr>
        <w:pStyle w:val="139"/>
        <w:rPr>
          <w:rFonts w:ascii="宋体" w:hAnsi="宋体" w:eastAsia="宋体" w:cs="宋体"/>
          <w:color w:val="auto"/>
          <w:highlight w:val="none"/>
        </w:rPr>
      </w:pPr>
    </w:p>
    <w:p w14:paraId="658CDDF4">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2333E718">
      <w:pPr>
        <w:pStyle w:val="139"/>
        <w:rPr>
          <w:rFonts w:ascii="宋体" w:hAnsi="宋体" w:eastAsia="宋体" w:cs="宋体"/>
          <w:color w:val="auto"/>
          <w:highlight w:val="none"/>
        </w:rPr>
      </w:pPr>
    </w:p>
    <w:p w14:paraId="4120569E">
      <w:pPr>
        <w:pStyle w:val="139"/>
        <w:rPr>
          <w:rFonts w:ascii="宋体" w:hAnsi="宋体" w:eastAsia="宋体" w:cs="宋体"/>
          <w:color w:val="auto"/>
          <w:highlight w:val="none"/>
        </w:rPr>
      </w:pPr>
    </w:p>
    <w:p w14:paraId="513A0FE8">
      <w:pPr>
        <w:pStyle w:val="44"/>
        <w:spacing w:line="360" w:lineRule="auto"/>
        <w:ind w:firstLine="0"/>
        <w:rPr>
          <w:rFonts w:hint="eastAsia" w:ascii="宋体" w:hAnsi="宋体" w:cs="宋体"/>
          <w:b/>
          <w:color w:val="auto"/>
          <w:szCs w:val="22"/>
          <w:highlight w:val="none"/>
        </w:rPr>
      </w:pPr>
      <w:r>
        <w:rPr>
          <w:rFonts w:hint="eastAsia" w:ascii="宋体" w:hAnsi="宋体" w:cs="宋体"/>
          <w:b/>
          <w:color w:val="auto"/>
          <w:szCs w:val="22"/>
          <w:highlight w:val="none"/>
        </w:rPr>
        <w:t>注： 定标委员会成员须根据投票结果，得票数最多的合格的中标候选人推荐为中标人。</w:t>
      </w:r>
    </w:p>
    <w:p w14:paraId="7A467812">
      <w:pPr>
        <w:rPr>
          <w:rFonts w:ascii="宋体" w:hAnsi="宋体"/>
          <w:b/>
          <w:bCs/>
          <w:color w:val="auto"/>
          <w:szCs w:val="32"/>
          <w:highlight w:val="none"/>
        </w:rPr>
      </w:pPr>
    </w:p>
    <w:p w14:paraId="53FFB852">
      <w:pPr>
        <w:rPr>
          <w:rFonts w:ascii="宋体" w:hAnsi="宋体"/>
          <w:color w:val="auto"/>
          <w:szCs w:val="32"/>
          <w:highlight w:val="none"/>
        </w:rPr>
      </w:pPr>
    </w:p>
    <w:p w14:paraId="63581BAD">
      <w:pPr>
        <w:rPr>
          <w:rFonts w:ascii="宋体" w:hAnsi="宋体"/>
          <w:color w:val="auto"/>
          <w:szCs w:val="32"/>
          <w:highlight w:val="none"/>
        </w:rPr>
      </w:pPr>
    </w:p>
    <w:p w14:paraId="569017DD">
      <w:pPr>
        <w:widowControl/>
        <w:snapToGrid w:val="0"/>
        <w:spacing w:line="360" w:lineRule="auto"/>
        <w:ind w:firstLine="426" w:firstLineChars="202"/>
        <w:jc w:val="left"/>
        <w:rPr>
          <w:rFonts w:ascii="宋体" w:hAnsi="宋体"/>
          <w:b/>
          <w:color w:val="auto"/>
          <w:kern w:val="0"/>
          <w:szCs w:val="21"/>
          <w:highlight w:val="none"/>
          <w:shd w:val="clear" w:color="auto" w:fill="FFFFFF"/>
        </w:rPr>
      </w:pPr>
    </w:p>
    <w:p w14:paraId="187F6AD2">
      <w:pPr>
        <w:rPr>
          <w:rFonts w:ascii="宋体" w:hAnsi="宋体"/>
          <w:color w:val="auto"/>
          <w:szCs w:val="32"/>
          <w:highlight w:val="none"/>
        </w:rPr>
      </w:pPr>
    </w:p>
    <w:p w14:paraId="15E316A3">
      <w:pPr>
        <w:spacing w:line="360" w:lineRule="auto"/>
        <w:ind w:firstLine="420" w:firstLineChars="200"/>
        <w:rPr>
          <w:rFonts w:ascii="宋体" w:hAnsi="宋体"/>
          <w:color w:val="auto"/>
          <w:highlight w:val="none"/>
        </w:rPr>
      </w:pPr>
    </w:p>
    <w:p w14:paraId="2F54C22D">
      <w:pPr>
        <w:pStyle w:val="3"/>
        <w:spacing w:line="240" w:lineRule="auto"/>
        <w:jc w:val="center"/>
        <w:rPr>
          <w:rFonts w:ascii="宋体" w:hAnsi="宋体"/>
          <w:color w:val="auto"/>
          <w:highlight w:val="none"/>
        </w:rPr>
      </w:pPr>
      <w:r>
        <w:rPr>
          <w:rFonts w:ascii="宋体" w:hAnsi="宋体"/>
          <w:color w:val="auto"/>
          <w:highlight w:val="none"/>
        </w:rPr>
        <w:br w:type="page"/>
      </w:r>
      <w:bookmarkStart w:id="308" w:name="_Toc15726"/>
      <w:bookmarkStart w:id="309" w:name="_Toc49510035"/>
      <w:r>
        <w:rPr>
          <w:rFonts w:hint="eastAsia" w:ascii="宋体" w:hAnsi="宋体"/>
          <w:color w:val="auto"/>
          <w:highlight w:val="none"/>
        </w:rPr>
        <w:t>第四章 合同条款及格式</w:t>
      </w:r>
      <w:bookmarkEnd w:id="308"/>
      <w:bookmarkEnd w:id="309"/>
    </w:p>
    <w:p w14:paraId="6E11E7B4">
      <w:pPr>
        <w:pStyle w:val="2"/>
        <w:ind w:firstLine="643" w:firstLineChars="200"/>
        <w:jc w:val="center"/>
        <w:rPr>
          <w:rFonts w:hint="eastAsia" w:ascii="宋体" w:hAnsi="宋体" w:eastAsia="宋体"/>
          <w:bCs/>
          <w:color w:val="auto"/>
          <w:highlight w:val="none"/>
        </w:rPr>
      </w:pPr>
      <w:bookmarkStart w:id="310" w:name="_Toc16559"/>
      <w:bookmarkStart w:id="311" w:name="_Toc29728"/>
      <w:r>
        <w:rPr>
          <w:rFonts w:hint="eastAsia" w:ascii="宋体" w:hAnsi="宋体" w:eastAsia="宋体"/>
          <w:bCs/>
          <w:color w:val="auto"/>
          <w:highlight w:val="none"/>
        </w:rPr>
        <w:t>（另册）</w:t>
      </w:r>
      <w:bookmarkEnd w:id="310"/>
      <w:bookmarkEnd w:id="311"/>
    </w:p>
    <w:p w14:paraId="70C5A2A8">
      <w:pPr>
        <w:rPr>
          <w:rFonts w:hint="eastAsia" w:ascii="宋体" w:hAnsi="宋体"/>
          <w:bCs/>
          <w:color w:val="auto"/>
          <w:highlight w:val="none"/>
        </w:rPr>
      </w:pPr>
    </w:p>
    <w:p w14:paraId="0DD27F4A">
      <w:pPr>
        <w:pStyle w:val="20"/>
        <w:rPr>
          <w:rFonts w:hint="eastAsia" w:ascii="宋体" w:hAnsi="宋体"/>
          <w:bCs/>
          <w:color w:val="auto"/>
          <w:highlight w:val="none"/>
        </w:rPr>
      </w:pPr>
    </w:p>
    <w:p w14:paraId="43F3394D">
      <w:pPr>
        <w:pStyle w:val="21"/>
        <w:rPr>
          <w:rFonts w:hint="eastAsia" w:ascii="宋体" w:hAnsi="宋体"/>
          <w:bCs/>
          <w:color w:val="auto"/>
          <w:highlight w:val="none"/>
        </w:rPr>
      </w:pPr>
    </w:p>
    <w:p w14:paraId="458EB426">
      <w:pPr>
        <w:spacing w:line="360" w:lineRule="auto"/>
        <w:jc w:val="center"/>
        <w:rPr>
          <w:rFonts w:hint="eastAsia" w:ascii="宋体" w:hAnsi="宋体"/>
          <w:color w:val="auto"/>
          <w:highlight w:val="none"/>
        </w:rPr>
      </w:pPr>
      <w:bookmarkStart w:id="312" w:name="_Toc49510050"/>
      <w:bookmarkStart w:id="313" w:name="_Toc1039"/>
      <w:bookmarkStart w:id="314" w:name="_Toc179632787"/>
      <w:bookmarkStart w:id="315" w:name="_Toc246997081"/>
      <w:bookmarkStart w:id="316" w:name="_Toc247085853"/>
      <w:bookmarkStart w:id="317" w:name="_Toc246996338"/>
      <w:bookmarkStart w:id="318" w:name="_Toc152042549"/>
      <w:bookmarkStart w:id="319" w:name="_Toc152045610"/>
      <w:bookmarkStart w:id="320" w:name="_Toc144974578"/>
      <w:bookmarkStart w:id="321" w:name="_Toc184635122"/>
      <w:bookmarkStart w:id="322" w:name="_Toc247514197"/>
      <w:bookmarkStart w:id="323" w:name="_Toc144974829"/>
      <w:bookmarkStart w:id="324" w:name="_Toc152042388"/>
      <w:bookmarkStart w:id="325" w:name="_Toc247527798"/>
      <w:bookmarkStart w:id="326" w:name="_Toc300835199"/>
      <w:r>
        <w:rPr>
          <w:rFonts w:hint="eastAsia" w:ascii="宋体" w:hAnsi="宋体"/>
          <w:b/>
          <w:color w:val="auto"/>
          <w:kern w:val="44"/>
          <w:sz w:val="44"/>
          <w:szCs w:val="20"/>
          <w:highlight w:val="none"/>
        </w:rPr>
        <w:br w:type="page"/>
      </w:r>
      <w:bookmarkEnd w:id="312"/>
      <w:bookmarkEnd w:id="313"/>
      <w:bookmarkStart w:id="327" w:name="_Toc49510051"/>
      <w:bookmarkStart w:id="328" w:name="_Toc25775"/>
      <w:r>
        <w:rPr>
          <w:rFonts w:hint="eastAsia" w:ascii="宋体" w:hAnsi="宋体"/>
          <w:b/>
          <w:bCs/>
          <w:color w:val="auto"/>
          <w:sz w:val="44"/>
          <w:szCs w:val="44"/>
          <w:highlight w:val="none"/>
        </w:rPr>
        <w:t>第二卷</w:t>
      </w:r>
    </w:p>
    <w:p w14:paraId="6568C9CD">
      <w:pPr>
        <w:pStyle w:val="3"/>
        <w:spacing w:line="240" w:lineRule="auto"/>
        <w:jc w:val="center"/>
        <w:rPr>
          <w:rFonts w:ascii="宋体" w:hAnsi="宋体"/>
          <w:color w:val="auto"/>
          <w:highlight w:val="none"/>
        </w:rPr>
      </w:pPr>
      <w:r>
        <w:rPr>
          <w:rFonts w:hint="eastAsia" w:ascii="宋体" w:hAnsi="宋体"/>
          <w:color w:val="auto"/>
          <w:highlight w:val="none"/>
        </w:rPr>
        <w:t>第五章 委托人要求</w:t>
      </w:r>
      <w:bookmarkEnd w:id="327"/>
      <w:bookmarkEnd w:id="328"/>
    </w:p>
    <w:bookmarkEnd w:id="314"/>
    <w:bookmarkEnd w:id="315"/>
    <w:bookmarkEnd w:id="316"/>
    <w:bookmarkEnd w:id="317"/>
    <w:p w14:paraId="46CA74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委托人具体要求详见第四章“合同条款及格式”。</w:t>
      </w:r>
    </w:p>
    <w:p w14:paraId="2B93B6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下表中所列人员配备为最低要求</w:t>
      </w:r>
      <w:r>
        <w:rPr>
          <w:rFonts w:hint="eastAsia" w:ascii="宋体" w:hAnsi="宋体" w:cs="宋体"/>
          <w:color w:val="auto"/>
          <w:szCs w:val="21"/>
          <w:highlight w:val="none"/>
        </w:rPr>
        <w:t>，</w:t>
      </w:r>
      <w:r>
        <w:rPr>
          <w:rFonts w:hint="eastAsia" w:ascii="宋体" w:hAnsi="宋体"/>
          <w:color w:val="auto"/>
          <w:szCs w:val="21"/>
          <w:highlight w:val="none"/>
        </w:rPr>
        <w:t>招标人可根据实际工作需要要求中标人及时增加人员投入，中标人须无条件配合。投标人拟投入的</w:t>
      </w:r>
      <w:r>
        <w:rPr>
          <w:rFonts w:hint="eastAsia" w:ascii="宋体" w:hAnsi="宋体" w:cs="宋体"/>
          <w:color w:val="auto"/>
          <w:szCs w:val="21"/>
          <w:highlight w:val="none"/>
        </w:rPr>
        <w:t>人员不满足下表最低配备要求的，将影响其团队因素评价，但不作为否决性条款。</w:t>
      </w:r>
    </w:p>
    <w:tbl>
      <w:tblPr>
        <w:tblStyle w:val="46"/>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416"/>
        <w:gridCol w:w="829"/>
        <w:gridCol w:w="5149"/>
      </w:tblGrid>
      <w:tr w14:paraId="7C31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7" w:type="dxa"/>
            <w:vAlign w:val="center"/>
          </w:tcPr>
          <w:p w14:paraId="29294F3E">
            <w:pPr>
              <w:adjustRightInd w:val="0"/>
              <w:snapToGrid w:val="0"/>
              <w:jc w:val="center"/>
              <w:rPr>
                <w:rFonts w:ascii="宋体" w:hAnsi="宋体" w:cs="宋体"/>
                <w:b/>
                <w:color w:val="auto"/>
                <w:kern w:val="44"/>
                <w:szCs w:val="21"/>
                <w:highlight w:val="none"/>
              </w:rPr>
            </w:pPr>
            <w:r>
              <w:rPr>
                <w:rFonts w:hint="eastAsia" w:ascii="宋体" w:hAnsi="宋体" w:cs="宋体"/>
                <w:b/>
                <w:color w:val="auto"/>
                <w:kern w:val="44"/>
                <w:szCs w:val="21"/>
                <w:highlight w:val="none"/>
              </w:rPr>
              <w:t>序号</w:t>
            </w:r>
          </w:p>
        </w:tc>
        <w:tc>
          <w:tcPr>
            <w:tcW w:w="2416" w:type="dxa"/>
            <w:vAlign w:val="center"/>
          </w:tcPr>
          <w:p w14:paraId="4BD0666F">
            <w:pPr>
              <w:adjustRightInd w:val="0"/>
              <w:snapToGrid w:val="0"/>
              <w:jc w:val="center"/>
              <w:rPr>
                <w:rFonts w:ascii="宋体" w:hAnsi="宋体" w:cs="宋体"/>
                <w:color w:val="auto"/>
                <w:kern w:val="44"/>
                <w:szCs w:val="21"/>
                <w:highlight w:val="none"/>
              </w:rPr>
            </w:pPr>
            <w:r>
              <w:rPr>
                <w:rFonts w:hint="eastAsia" w:ascii="宋体" w:hAnsi="宋体" w:cs="宋体"/>
                <w:b/>
                <w:color w:val="auto"/>
                <w:kern w:val="44"/>
                <w:szCs w:val="21"/>
                <w:highlight w:val="none"/>
              </w:rPr>
              <w:t>专业类别</w:t>
            </w:r>
          </w:p>
        </w:tc>
        <w:tc>
          <w:tcPr>
            <w:tcW w:w="829" w:type="dxa"/>
            <w:vAlign w:val="center"/>
          </w:tcPr>
          <w:p w14:paraId="3BFDD2FF">
            <w:pPr>
              <w:adjustRightInd w:val="0"/>
              <w:snapToGrid w:val="0"/>
              <w:jc w:val="center"/>
              <w:rPr>
                <w:rFonts w:ascii="宋体" w:hAnsi="宋体" w:cs="宋体"/>
                <w:color w:val="auto"/>
                <w:kern w:val="44"/>
                <w:szCs w:val="21"/>
                <w:highlight w:val="none"/>
              </w:rPr>
            </w:pPr>
            <w:r>
              <w:rPr>
                <w:rFonts w:hint="eastAsia" w:ascii="宋体" w:hAnsi="宋体" w:cs="宋体"/>
                <w:b/>
                <w:color w:val="auto"/>
                <w:kern w:val="44"/>
                <w:szCs w:val="21"/>
                <w:highlight w:val="none"/>
              </w:rPr>
              <w:t>数量</w:t>
            </w:r>
          </w:p>
        </w:tc>
        <w:tc>
          <w:tcPr>
            <w:tcW w:w="5149" w:type="dxa"/>
            <w:vAlign w:val="center"/>
          </w:tcPr>
          <w:p w14:paraId="2197F12D">
            <w:pPr>
              <w:adjustRightInd w:val="0"/>
              <w:snapToGrid w:val="0"/>
              <w:jc w:val="center"/>
              <w:rPr>
                <w:rFonts w:ascii="宋体" w:hAnsi="宋体" w:cs="宋体"/>
                <w:color w:val="auto"/>
                <w:kern w:val="44"/>
                <w:szCs w:val="21"/>
                <w:highlight w:val="none"/>
              </w:rPr>
            </w:pPr>
            <w:r>
              <w:rPr>
                <w:rFonts w:hint="eastAsia" w:ascii="宋体" w:hAnsi="宋体" w:cs="宋体"/>
                <w:b/>
                <w:color w:val="auto"/>
                <w:kern w:val="44"/>
                <w:szCs w:val="21"/>
                <w:highlight w:val="none"/>
              </w:rPr>
              <w:t>基本要求</w:t>
            </w:r>
          </w:p>
        </w:tc>
      </w:tr>
      <w:tr w14:paraId="7947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14:paraId="2D3E1FA2">
            <w:pPr>
              <w:adjustRightInd w:val="0"/>
              <w:snapToGrid w:val="0"/>
              <w:jc w:val="center"/>
              <w:rPr>
                <w:rFonts w:ascii="宋体" w:hAnsi="宋体" w:cs="仿宋"/>
                <w:color w:val="auto"/>
                <w:szCs w:val="21"/>
                <w:highlight w:val="none"/>
              </w:rPr>
            </w:pPr>
            <w:r>
              <w:rPr>
                <w:rFonts w:hint="eastAsia" w:ascii="宋体" w:hAnsi="宋体" w:cs="仿宋"/>
                <w:color w:val="auto"/>
                <w:szCs w:val="21"/>
                <w:highlight w:val="none"/>
              </w:rPr>
              <w:t>1</w:t>
            </w:r>
          </w:p>
        </w:tc>
        <w:tc>
          <w:tcPr>
            <w:tcW w:w="2416" w:type="dxa"/>
            <w:vAlign w:val="center"/>
          </w:tcPr>
          <w:p w14:paraId="33EDEB65">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总监理工程师</w:t>
            </w:r>
          </w:p>
        </w:tc>
        <w:tc>
          <w:tcPr>
            <w:tcW w:w="829" w:type="dxa"/>
            <w:vAlign w:val="center"/>
          </w:tcPr>
          <w:p w14:paraId="52E76072">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14:paraId="3DEC2F97">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按招标公告要求。</w:t>
            </w:r>
          </w:p>
        </w:tc>
      </w:tr>
      <w:tr w14:paraId="44A2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14:paraId="0EA3FF45">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16" w:type="dxa"/>
            <w:vAlign w:val="center"/>
          </w:tcPr>
          <w:p w14:paraId="39863B5C">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建筑专业监理工程师</w:t>
            </w:r>
          </w:p>
        </w:tc>
        <w:tc>
          <w:tcPr>
            <w:tcW w:w="829" w:type="dxa"/>
            <w:vAlign w:val="center"/>
          </w:tcPr>
          <w:p w14:paraId="75D958AE">
            <w:pPr>
              <w:adjustRightInd w:val="0"/>
              <w:snapToGrid w:val="0"/>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1</w:t>
            </w:r>
          </w:p>
        </w:tc>
        <w:tc>
          <w:tcPr>
            <w:tcW w:w="5149" w:type="dxa"/>
            <w:vAlign w:val="center"/>
          </w:tcPr>
          <w:p w14:paraId="0FF39B17">
            <w:pPr>
              <w:adjustRightInd w:val="0"/>
              <w:snapToGrid w:val="0"/>
              <w:jc w:val="left"/>
              <w:rPr>
                <w:rFonts w:hint="eastAsia" w:ascii="宋体" w:hAnsi="宋体" w:cs="仿宋"/>
                <w:color w:val="auto"/>
                <w:szCs w:val="21"/>
                <w:highlight w:val="none"/>
              </w:rPr>
            </w:pPr>
            <w:r>
              <w:rPr>
                <w:rFonts w:hint="eastAsia" w:ascii="宋体" w:hAnsi="宋体" w:cs="仿宋"/>
                <w:color w:val="auto"/>
                <w:szCs w:val="21"/>
                <w:highlight w:val="none"/>
              </w:rPr>
              <w:t>具备</w:t>
            </w:r>
            <w:r>
              <w:rPr>
                <w:rFonts w:hint="eastAsia" w:ascii="宋体" w:hAnsi="宋体" w:cs="仿宋"/>
                <w:color w:val="auto"/>
                <w:szCs w:val="21"/>
                <w:highlight w:val="none"/>
                <w:lang w:val="en-US" w:eastAsia="zh-CN"/>
              </w:rPr>
              <w:t>建筑</w:t>
            </w:r>
            <w:r>
              <w:rPr>
                <w:rFonts w:hint="eastAsia" w:ascii="宋体" w:hAnsi="宋体" w:cs="仿宋"/>
                <w:color w:val="auto"/>
                <w:szCs w:val="21"/>
                <w:highlight w:val="none"/>
              </w:rPr>
              <w:t>相关专业中级（或以上）技术职称或专业监理工程师或注册监理工程师资格。专业以职称证或专业监理工程师证书或注册监理工程师注册执业证书或毕业证所列的相关专业为准。</w:t>
            </w:r>
          </w:p>
        </w:tc>
      </w:tr>
      <w:tr w14:paraId="49EA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14:paraId="1F03C727">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16" w:type="dxa"/>
            <w:vAlign w:val="center"/>
          </w:tcPr>
          <w:p w14:paraId="405BB991">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机电专业监理工程师</w:t>
            </w:r>
          </w:p>
        </w:tc>
        <w:tc>
          <w:tcPr>
            <w:tcW w:w="829" w:type="dxa"/>
            <w:vAlign w:val="center"/>
          </w:tcPr>
          <w:p w14:paraId="2180F545">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14:paraId="1354A9E7">
            <w:pPr>
              <w:adjustRightInd w:val="0"/>
              <w:snapToGrid w:val="0"/>
              <w:jc w:val="left"/>
              <w:rPr>
                <w:rFonts w:hint="eastAsia" w:ascii="宋体" w:hAnsi="宋体" w:cs="仿宋"/>
                <w:color w:val="auto"/>
                <w:szCs w:val="21"/>
                <w:highlight w:val="none"/>
              </w:rPr>
            </w:pPr>
            <w:r>
              <w:rPr>
                <w:rFonts w:hint="eastAsia" w:ascii="宋体" w:hAnsi="宋体" w:cs="仿宋"/>
                <w:color w:val="auto"/>
                <w:szCs w:val="21"/>
                <w:highlight w:val="none"/>
              </w:rPr>
              <w:t>具备</w:t>
            </w:r>
            <w:r>
              <w:rPr>
                <w:rFonts w:hint="eastAsia" w:ascii="宋体" w:hAnsi="宋体" w:cs="仿宋"/>
                <w:color w:val="auto"/>
                <w:szCs w:val="21"/>
                <w:highlight w:val="none"/>
                <w:lang w:val="en-US" w:eastAsia="zh-CN"/>
              </w:rPr>
              <w:t>机电</w:t>
            </w:r>
            <w:r>
              <w:rPr>
                <w:rFonts w:hint="eastAsia" w:ascii="宋体" w:hAnsi="宋体" w:cs="仿宋"/>
                <w:color w:val="auto"/>
                <w:szCs w:val="21"/>
                <w:highlight w:val="none"/>
              </w:rPr>
              <w:t>相关专业中级（或以上）技术职称或专业监理工程师或注册监理工程师资格。专业以职称证或专业监理工程师证书或注册监理工程师注册执业证书或毕业证所列的相关专业为准。</w:t>
            </w:r>
          </w:p>
        </w:tc>
      </w:tr>
      <w:tr w14:paraId="47A3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14:paraId="19517122">
            <w:pPr>
              <w:widowControl/>
              <w:adjustRightInd w:val="0"/>
              <w:snapToGrid w:val="0"/>
              <w:ind w:left="-361" w:leftChars="-172" w:firstLine="420" w:firstLineChars="20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2416" w:type="dxa"/>
            <w:shd w:val="clear" w:color="auto" w:fill="auto"/>
            <w:vAlign w:val="center"/>
          </w:tcPr>
          <w:p w14:paraId="6D4A8FCF">
            <w:pPr>
              <w:adjustRightInd w:val="0"/>
              <w:snapToGrid w:val="0"/>
              <w:jc w:val="center"/>
              <w:rPr>
                <w:rFonts w:hint="eastAsia" w:ascii="宋体" w:hAnsi="宋体" w:eastAsia="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装修</w:t>
            </w:r>
            <w:r>
              <w:rPr>
                <w:rFonts w:hint="eastAsia" w:ascii="宋体" w:hAnsi="宋体" w:cs="仿宋"/>
                <w:color w:val="auto"/>
                <w:szCs w:val="21"/>
                <w:highlight w:val="none"/>
              </w:rPr>
              <w:t>专业监理工程师</w:t>
            </w:r>
          </w:p>
        </w:tc>
        <w:tc>
          <w:tcPr>
            <w:tcW w:w="829" w:type="dxa"/>
            <w:shd w:val="clear" w:color="auto" w:fill="auto"/>
            <w:vAlign w:val="center"/>
          </w:tcPr>
          <w:p w14:paraId="052A8EA1">
            <w:pPr>
              <w:adjustRightInd w:val="0"/>
              <w:snapToGrid w:val="0"/>
              <w:jc w:val="center"/>
              <w:rPr>
                <w:rFonts w:hint="eastAsia" w:ascii="宋体" w:hAnsi="宋体" w:eastAsia="宋体" w:cs="仿宋"/>
                <w:color w:val="auto"/>
                <w:kern w:val="2"/>
                <w:sz w:val="21"/>
                <w:szCs w:val="21"/>
                <w:highlight w:val="none"/>
                <w:lang w:val="en-US" w:eastAsia="zh-CN" w:bidi="ar-SA"/>
              </w:rPr>
            </w:pPr>
            <w:r>
              <w:rPr>
                <w:rFonts w:hint="eastAsia" w:ascii="宋体" w:hAnsi="宋体" w:cs="仿宋"/>
                <w:color w:val="auto"/>
                <w:szCs w:val="21"/>
                <w:highlight w:val="none"/>
              </w:rPr>
              <w:t>1</w:t>
            </w:r>
          </w:p>
        </w:tc>
        <w:tc>
          <w:tcPr>
            <w:tcW w:w="5149" w:type="dxa"/>
            <w:shd w:val="clear" w:color="auto" w:fill="auto"/>
            <w:vAlign w:val="center"/>
          </w:tcPr>
          <w:p w14:paraId="3A9D16F7">
            <w:pPr>
              <w:adjustRightInd w:val="0"/>
              <w:snapToGrid w:val="0"/>
              <w:jc w:val="left"/>
              <w:rPr>
                <w:rFonts w:hint="eastAsia" w:ascii="宋体" w:hAnsi="宋体" w:eastAsia="宋体" w:cs="仿宋"/>
                <w:color w:val="auto"/>
                <w:kern w:val="2"/>
                <w:sz w:val="21"/>
                <w:szCs w:val="21"/>
                <w:highlight w:val="none"/>
                <w:lang w:val="en-US" w:eastAsia="zh-CN" w:bidi="ar-SA"/>
              </w:rPr>
            </w:pPr>
            <w:r>
              <w:rPr>
                <w:rFonts w:hint="eastAsia" w:ascii="宋体" w:hAnsi="宋体" w:cs="仿宋"/>
                <w:color w:val="auto"/>
                <w:szCs w:val="21"/>
                <w:highlight w:val="none"/>
              </w:rPr>
              <w:t>具备</w:t>
            </w:r>
            <w:r>
              <w:rPr>
                <w:rFonts w:hint="eastAsia" w:ascii="宋体" w:hAnsi="宋体" w:cs="仿宋"/>
                <w:color w:val="auto"/>
                <w:szCs w:val="21"/>
                <w:highlight w:val="none"/>
                <w:lang w:val="en-US" w:eastAsia="zh-CN"/>
              </w:rPr>
              <w:t>建筑或装修</w:t>
            </w:r>
            <w:r>
              <w:rPr>
                <w:rFonts w:hint="eastAsia" w:ascii="宋体" w:hAnsi="宋体" w:cs="仿宋"/>
                <w:color w:val="auto"/>
                <w:szCs w:val="21"/>
                <w:highlight w:val="none"/>
              </w:rPr>
              <w:t>相关专业中级（或以上）技术职称或专业监理工程师或注册监理工程师资格。专业以职称证或专业监理工程师证书或注册监理工程师注册执业证书或毕业证所列的相关专业为准。</w:t>
            </w:r>
          </w:p>
        </w:tc>
      </w:tr>
      <w:tr w14:paraId="1265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shd w:val="clear" w:color="auto" w:fill="auto"/>
            <w:vAlign w:val="center"/>
          </w:tcPr>
          <w:p w14:paraId="3C68CA37">
            <w:pPr>
              <w:widowControl/>
              <w:adjustRightInd w:val="0"/>
              <w:snapToGrid w:val="0"/>
              <w:ind w:left="-361" w:leftChars="-172" w:firstLine="420" w:firstLineChars="20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2416" w:type="dxa"/>
            <w:vAlign w:val="center"/>
          </w:tcPr>
          <w:p w14:paraId="4B7D9FB7">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造价工程师</w:t>
            </w:r>
          </w:p>
        </w:tc>
        <w:tc>
          <w:tcPr>
            <w:tcW w:w="829" w:type="dxa"/>
            <w:vAlign w:val="center"/>
          </w:tcPr>
          <w:p w14:paraId="6F4FF0C3">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14:paraId="3AD436F9">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具备一级注册造价工程师执业资格。</w:t>
            </w:r>
          </w:p>
        </w:tc>
      </w:tr>
      <w:tr w14:paraId="617A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shd w:val="clear" w:color="auto" w:fill="auto"/>
            <w:vAlign w:val="center"/>
          </w:tcPr>
          <w:p w14:paraId="676CC525">
            <w:pPr>
              <w:widowControl/>
              <w:adjustRightInd w:val="0"/>
              <w:snapToGrid w:val="0"/>
              <w:ind w:left="-361" w:leftChars="-172" w:firstLine="420" w:firstLineChars="20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2416" w:type="dxa"/>
            <w:vAlign w:val="center"/>
          </w:tcPr>
          <w:p w14:paraId="494A90E6">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安全监理员或注册安全工程师</w:t>
            </w:r>
          </w:p>
        </w:tc>
        <w:tc>
          <w:tcPr>
            <w:tcW w:w="829" w:type="dxa"/>
            <w:vAlign w:val="center"/>
          </w:tcPr>
          <w:p w14:paraId="38F921E1">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14:paraId="58EBC828">
            <w:pPr>
              <w:adjustRightInd w:val="0"/>
              <w:snapToGrid w:val="0"/>
              <w:jc w:val="center"/>
              <w:rPr>
                <w:rFonts w:hint="eastAsia" w:ascii="宋体" w:hAnsi="宋体" w:cs="仿宋"/>
                <w:color w:val="auto"/>
                <w:szCs w:val="21"/>
                <w:highlight w:val="none"/>
              </w:rPr>
            </w:pPr>
            <w:bookmarkStart w:id="329" w:name="突出显示"/>
            <w:r>
              <w:rPr>
                <w:rFonts w:hint="eastAsia" w:ascii="宋体" w:hAnsi="宋体" w:cs="仿宋"/>
                <w:color w:val="auto"/>
                <w:szCs w:val="21"/>
                <w:highlight w:val="none"/>
              </w:rPr>
              <w:t>具备相关岗位证或培训证或上岗证</w:t>
            </w:r>
            <w:bookmarkEnd w:id="329"/>
            <w:r>
              <w:rPr>
                <w:rFonts w:hint="eastAsia" w:ascii="宋体" w:hAnsi="宋体" w:cs="仿宋"/>
                <w:color w:val="auto"/>
                <w:szCs w:val="21"/>
                <w:highlight w:val="none"/>
              </w:rPr>
              <w:t>，或注册安全工程师执业资格。</w:t>
            </w:r>
          </w:p>
        </w:tc>
      </w:tr>
      <w:tr w14:paraId="4A7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shd w:val="clear" w:color="auto" w:fill="auto"/>
            <w:vAlign w:val="center"/>
          </w:tcPr>
          <w:p w14:paraId="61772278">
            <w:pPr>
              <w:widowControl/>
              <w:adjustRightInd w:val="0"/>
              <w:snapToGrid w:val="0"/>
              <w:ind w:left="-361" w:leftChars="-172" w:firstLine="420" w:firstLineChars="20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2416" w:type="dxa"/>
            <w:vAlign w:val="center"/>
          </w:tcPr>
          <w:p w14:paraId="0C625560">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监理员</w:t>
            </w:r>
          </w:p>
        </w:tc>
        <w:tc>
          <w:tcPr>
            <w:tcW w:w="829" w:type="dxa"/>
            <w:vAlign w:val="center"/>
          </w:tcPr>
          <w:p w14:paraId="0B5AAE35">
            <w:pPr>
              <w:adjustRightInd w:val="0"/>
              <w:snapToGrid w:val="0"/>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3</w:t>
            </w:r>
          </w:p>
        </w:tc>
        <w:tc>
          <w:tcPr>
            <w:tcW w:w="5149" w:type="dxa"/>
            <w:vAlign w:val="center"/>
          </w:tcPr>
          <w:p w14:paraId="6150322F">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具备相关岗位证或培训证或上岗证。</w:t>
            </w:r>
          </w:p>
        </w:tc>
      </w:tr>
      <w:tr w14:paraId="26E1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14:paraId="5EECEC27">
            <w:pPr>
              <w:widowControl/>
              <w:adjustRightInd w:val="0"/>
              <w:snapToGrid w:val="0"/>
              <w:ind w:left="-361" w:leftChars="-172" w:firstLine="420" w:firstLineChars="20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2416" w:type="dxa"/>
            <w:vAlign w:val="center"/>
          </w:tcPr>
          <w:p w14:paraId="3F1E1466">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资料员</w:t>
            </w:r>
          </w:p>
        </w:tc>
        <w:tc>
          <w:tcPr>
            <w:tcW w:w="829" w:type="dxa"/>
            <w:vAlign w:val="center"/>
          </w:tcPr>
          <w:p w14:paraId="52C0B5B1">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14:paraId="611977B6">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具备相关岗位证或培训证或上岗证。</w:t>
            </w:r>
          </w:p>
        </w:tc>
      </w:tr>
      <w:tr w14:paraId="0BD3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03" w:type="dxa"/>
            <w:gridSpan w:val="2"/>
            <w:vAlign w:val="center"/>
          </w:tcPr>
          <w:p w14:paraId="04A9786C">
            <w:pPr>
              <w:adjustRightInd w:val="0"/>
              <w:snapToGrid w:val="0"/>
              <w:jc w:val="center"/>
              <w:rPr>
                <w:rFonts w:ascii="宋体" w:hAnsi="宋体" w:cs="仿宋"/>
                <w:color w:val="auto"/>
                <w:szCs w:val="21"/>
                <w:highlight w:val="none"/>
              </w:rPr>
            </w:pPr>
            <w:r>
              <w:rPr>
                <w:rFonts w:hint="eastAsia" w:ascii="宋体" w:hAnsi="宋体"/>
                <w:b/>
                <w:snapToGrid w:val="0"/>
                <w:color w:val="auto"/>
                <w:spacing w:val="4"/>
                <w:kern w:val="0"/>
                <w:szCs w:val="21"/>
                <w:highlight w:val="none"/>
              </w:rPr>
              <w:t>合计</w:t>
            </w:r>
          </w:p>
        </w:tc>
        <w:tc>
          <w:tcPr>
            <w:tcW w:w="829" w:type="dxa"/>
            <w:vAlign w:val="center"/>
          </w:tcPr>
          <w:p w14:paraId="715237A6">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149" w:type="dxa"/>
            <w:vAlign w:val="center"/>
          </w:tcPr>
          <w:p w14:paraId="5CAA561C">
            <w:pPr>
              <w:adjustRightInd w:val="0"/>
              <w:snapToGrid w:val="0"/>
              <w:jc w:val="center"/>
              <w:rPr>
                <w:rFonts w:ascii="宋体" w:hAnsi="宋体"/>
                <w:color w:val="auto"/>
                <w:szCs w:val="21"/>
                <w:highlight w:val="none"/>
              </w:rPr>
            </w:pPr>
          </w:p>
        </w:tc>
      </w:tr>
    </w:tbl>
    <w:p w14:paraId="14C22F25">
      <w:pPr>
        <w:rPr>
          <w:rFonts w:hint="eastAsia" w:ascii="宋体" w:hAnsi="宋体"/>
          <w:color w:val="auto"/>
          <w:szCs w:val="21"/>
          <w:highlight w:val="none"/>
        </w:rPr>
      </w:pPr>
      <w:r>
        <w:rPr>
          <w:rFonts w:hint="eastAsia" w:ascii="宋体" w:hAnsi="宋体" w:cs="宋体"/>
          <w:color w:val="auto"/>
          <w:szCs w:val="21"/>
          <w:highlight w:val="none"/>
        </w:rPr>
        <w:t>注：1.</w:t>
      </w:r>
      <w:r>
        <w:rPr>
          <w:rFonts w:hint="eastAsia" w:ascii="宋体" w:hAnsi="宋体"/>
          <w:color w:val="auto"/>
          <w:szCs w:val="21"/>
          <w:highlight w:val="none"/>
        </w:rPr>
        <w:t>以上人员岗位不能互相兼任。</w:t>
      </w:r>
    </w:p>
    <w:p w14:paraId="472E257F">
      <w:pPr>
        <w:rPr>
          <w:rFonts w:ascii="宋体" w:hAnsi="宋体"/>
          <w:color w:val="auto"/>
          <w:highlight w:val="none"/>
        </w:rPr>
      </w:pPr>
      <w:r>
        <w:rPr>
          <w:rFonts w:hint="eastAsia" w:ascii="宋体" w:hAnsi="宋体" w:cs="宋体"/>
          <w:color w:val="auto"/>
          <w:szCs w:val="21"/>
          <w:highlight w:val="none"/>
        </w:rPr>
        <w:t>2.按照《造价工程师职业资格制度规定》的规定，根据原人事部、原建设部发布的《造价工程师执业资格制度暂行规定》（人发[1996]77号)取得的造价工程师执业资格，并经注册且在有效期内的，等同于一级注册造价工程师。</w:t>
      </w:r>
    </w:p>
    <w:p w14:paraId="15298CD3">
      <w:pPr>
        <w:jc w:val="center"/>
        <w:rPr>
          <w:rFonts w:hint="eastAsia" w:ascii="宋体" w:hAnsi="宋体"/>
          <w:color w:val="auto"/>
          <w:highlight w:val="none"/>
        </w:rPr>
      </w:pPr>
      <w:r>
        <w:rPr>
          <w:rFonts w:ascii="宋体" w:hAnsi="宋体"/>
          <w:color w:val="auto"/>
          <w:sz w:val="22"/>
          <w:highlight w:val="none"/>
        </w:rPr>
        <w:br w:type="page"/>
      </w:r>
      <w:bookmarkStart w:id="330" w:name="_Toc29685"/>
      <w:bookmarkStart w:id="331" w:name="_Toc49510052"/>
      <w:r>
        <w:rPr>
          <w:rFonts w:hint="eastAsia" w:ascii="宋体" w:hAnsi="宋体"/>
          <w:b/>
          <w:bCs/>
          <w:color w:val="auto"/>
          <w:sz w:val="44"/>
          <w:szCs w:val="44"/>
          <w:highlight w:val="none"/>
        </w:rPr>
        <w:t>第三卷</w:t>
      </w:r>
      <w:bookmarkEnd w:id="330"/>
      <w:bookmarkEnd w:id="331"/>
      <w:bookmarkStart w:id="332" w:name="_Toc1700"/>
      <w:bookmarkStart w:id="333" w:name="_Toc49510053"/>
    </w:p>
    <w:p w14:paraId="393AC50A">
      <w:pPr>
        <w:pStyle w:val="3"/>
        <w:spacing w:line="240" w:lineRule="auto"/>
        <w:jc w:val="center"/>
        <w:rPr>
          <w:rFonts w:hint="eastAsia" w:ascii="宋体" w:hAnsi="宋体"/>
          <w:color w:val="auto"/>
          <w:highlight w:val="none"/>
        </w:rPr>
      </w:pPr>
      <w:r>
        <w:rPr>
          <w:rFonts w:hint="eastAsia" w:ascii="宋体" w:hAnsi="宋体"/>
          <w:color w:val="auto"/>
          <w:highlight w:val="none"/>
        </w:rPr>
        <w:t>第六章 投标文件格式</w:t>
      </w:r>
      <w:bookmarkEnd w:id="332"/>
      <w:bookmarkEnd w:id="333"/>
    </w:p>
    <w:p w14:paraId="69EED320">
      <w:pPr>
        <w:spacing w:line="400" w:lineRule="exact"/>
        <w:rPr>
          <w:rFonts w:ascii="宋体" w:hAnsi="宋体"/>
          <w:color w:val="auto"/>
          <w:highlight w:val="none"/>
        </w:rPr>
      </w:pPr>
    </w:p>
    <w:p w14:paraId="67372EFE">
      <w:pPr>
        <w:spacing w:line="400" w:lineRule="exact"/>
        <w:rPr>
          <w:rFonts w:ascii="宋体" w:hAnsi="宋体"/>
          <w:color w:val="auto"/>
          <w:highlight w:val="none"/>
        </w:rPr>
      </w:pPr>
      <w:r>
        <w:rPr>
          <w:rFonts w:ascii="宋体" w:hAnsi="宋体"/>
          <w:color w:val="auto"/>
          <w:highlight w:val="none"/>
        </w:rPr>
        <w:br w:type="page"/>
      </w:r>
    </w:p>
    <w:bookmarkEnd w:id="318"/>
    <w:bookmarkEnd w:id="319"/>
    <w:bookmarkEnd w:id="320"/>
    <w:bookmarkEnd w:id="321"/>
    <w:bookmarkEnd w:id="322"/>
    <w:bookmarkEnd w:id="323"/>
    <w:bookmarkEnd w:id="324"/>
    <w:bookmarkEnd w:id="325"/>
    <w:bookmarkEnd w:id="326"/>
    <w:p w14:paraId="00FB6FB5">
      <w:pPr>
        <w:pStyle w:val="2"/>
        <w:jc w:val="center"/>
        <w:rPr>
          <w:rFonts w:ascii="宋体" w:hAnsi="宋体" w:eastAsia="宋体"/>
          <w:color w:val="auto"/>
          <w:highlight w:val="none"/>
        </w:rPr>
      </w:pPr>
      <w:bookmarkStart w:id="334" w:name="_Toc492300719"/>
      <w:bookmarkStart w:id="335" w:name="_Toc516145370"/>
      <w:bookmarkStart w:id="336" w:name="_Toc515450412"/>
      <w:r>
        <w:rPr>
          <w:rFonts w:ascii="宋体" w:hAnsi="宋体" w:eastAsia="宋体"/>
          <w:color w:val="auto"/>
          <w:highlight w:val="none"/>
        </w:rPr>
        <w:t>目录</w:t>
      </w:r>
      <w:bookmarkEnd w:id="334"/>
      <w:bookmarkEnd w:id="335"/>
      <w:bookmarkEnd w:id="336"/>
    </w:p>
    <w:p w14:paraId="5A9DFF5A">
      <w:pPr>
        <w:spacing w:line="540" w:lineRule="exact"/>
        <w:outlineLvl w:val="0"/>
        <w:rPr>
          <w:rFonts w:ascii="宋体" w:hAnsi="宋体" w:cs="宋体"/>
          <w:color w:val="auto"/>
          <w:highlight w:val="none"/>
        </w:rPr>
      </w:pPr>
      <w:bookmarkStart w:id="337" w:name="_Toc5748"/>
      <w:bookmarkStart w:id="338" w:name="_Toc28562"/>
      <w:bookmarkStart w:id="339" w:name="_Toc20798"/>
      <w:bookmarkStart w:id="340" w:name="_Toc7039"/>
      <w:bookmarkStart w:id="341" w:name="_Toc352691655"/>
      <w:bookmarkStart w:id="342" w:name="_Toc369531691"/>
      <w:r>
        <w:rPr>
          <w:rFonts w:hint="eastAsia" w:ascii="宋体" w:hAnsi="宋体" w:cs="宋体"/>
          <w:color w:val="auto"/>
          <w:highlight w:val="none"/>
        </w:rPr>
        <w:t>一、投标函及投标函附录</w:t>
      </w:r>
      <w:bookmarkEnd w:id="337"/>
      <w:bookmarkEnd w:id="338"/>
      <w:bookmarkEnd w:id="339"/>
    </w:p>
    <w:p w14:paraId="481F4EFD">
      <w:pPr>
        <w:spacing w:line="540" w:lineRule="exact"/>
        <w:outlineLvl w:val="0"/>
        <w:rPr>
          <w:rFonts w:ascii="宋体" w:hAnsi="宋体" w:cs="宋体"/>
          <w:color w:val="auto"/>
          <w:highlight w:val="none"/>
        </w:rPr>
      </w:pPr>
      <w:bookmarkStart w:id="343" w:name="_Toc23586"/>
      <w:bookmarkStart w:id="344" w:name="_Toc8297"/>
      <w:bookmarkStart w:id="345" w:name="_Toc23791"/>
      <w:r>
        <w:rPr>
          <w:rFonts w:hint="eastAsia" w:ascii="宋体" w:hAnsi="宋体" w:cs="宋体"/>
          <w:color w:val="auto"/>
          <w:highlight w:val="none"/>
        </w:rPr>
        <w:t>二、法定代表人身份证明</w:t>
      </w:r>
      <w:bookmarkEnd w:id="343"/>
      <w:bookmarkEnd w:id="344"/>
      <w:bookmarkEnd w:id="345"/>
      <w:bookmarkStart w:id="346" w:name="_Toc26395"/>
      <w:bookmarkStart w:id="347" w:name="_Toc23827"/>
      <w:bookmarkStart w:id="348" w:name="_Toc16108"/>
      <w:r>
        <w:rPr>
          <w:rFonts w:hint="eastAsia" w:ascii="宋体" w:hAnsi="宋体" w:cs="宋体"/>
          <w:color w:val="auto"/>
          <w:highlight w:val="none"/>
        </w:rPr>
        <w:t>、授权委托书</w:t>
      </w:r>
      <w:bookmarkEnd w:id="346"/>
      <w:bookmarkEnd w:id="347"/>
      <w:bookmarkEnd w:id="348"/>
    </w:p>
    <w:p w14:paraId="03D1E0E7">
      <w:pPr>
        <w:spacing w:line="540" w:lineRule="exact"/>
        <w:outlineLvl w:val="0"/>
        <w:rPr>
          <w:rFonts w:hint="eastAsia" w:ascii="宋体" w:hAnsi="宋体" w:cs="宋体"/>
          <w:color w:val="auto"/>
          <w:highlight w:val="none"/>
        </w:rPr>
      </w:pPr>
      <w:bookmarkStart w:id="349" w:name="_Toc13987"/>
      <w:bookmarkStart w:id="350" w:name="_Toc31821"/>
      <w:bookmarkStart w:id="351" w:name="_Toc28998"/>
      <w:r>
        <w:rPr>
          <w:rFonts w:hint="eastAsia" w:ascii="宋体" w:hAnsi="宋体" w:cs="宋体"/>
          <w:color w:val="auto"/>
          <w:highlight w:val="none"/>
        </w:rPr>
        <w:t>三、</w:t>
      </w:r>
      <w:bookmarkEnd w:id="349"/>
      <w:bookmarkEnd w:id="350"/>
      <w:bookmarkEnd w:id="351"/>
      <w:r>
        <w:rPr>
          <w:rFonts w:hint="eastAsia" w:ascii="宋体" w:hAnsi="宋体" w:cs="宋体"/>
          <w:color w:val="auto"/>
          <w:highlight w:val="none"/>
        </w:rPr>
        <w:t>监理报酬清单</w:t>
      </w:r>
    </w:p>
    <w:p w14:paraId="2E601F70">
      <w:pPr>
        <w:spacing w:line="540" w:lineRule="exact"/>
        <w:outlineLvl w:val="0"/>
        <w:rPr>
          <w:rFonts w:ascii="宋体" w:hAnsi="宋体" w:cs="宋体"/>
          <w:color w:val="auto"/>
          <w:highlight w:val="none"/>
        </w:rPr>
      </w:pPr>
      <w:bookmarkStart w:id="352" w:name="_Toc13588"/>
      <w:bookmarkStart w:id="353" w:name="_Toc4284"/>
      <w:bookmarkStart w:id="354" w:name="_Toc12809"/>
      <w:r>
        <w:rPr>
          <w:rFonts w:hint="eastAsia" w:ascii="宋体" w:hAnsi="宋体" w:cs="宋体"/>
          <w:color w:val="auto"/>
          <w:highlight w:val="none"/>
        </w:rPr>
        <w:t>四、资格审查资料</w:t>
      </w:r>
      <w:bookmarkEnd w:id="352"/>
      <w:bookmarkEnd w:id="353"/>
      <w:bookmarkEnd w:id="354"/>
    </w:p>
    <w:p w14:paraId="2AA62B05">
      <w:pPr>
        <w:spacing w:line="540" w:lineRule="exact"/>
        <w:outlineLvl w:val="0"/>
        <w:rPr>
          <w:rFonts w:ascii="宋体" w:hAnsi="宋体" w:cs="宋体"/>
          <w:color w:val="auto"/>
          <w:highlight w:val="none"/>
        </w:rPr>
      </w:pPr>
      <w:bookmarkStart w:id="355" w:name="_Toc4325"/>
      <w:bookmarkStart w:id="356" w:name="_Toc8093"/>
      <w:bookmarkStart w:id="357" w:name="_Toc6297"/>
      <w:r>
        <w:rPr>
          <w:rFonts w:hint="eastAsia" w:ascii="宋体" w:hAnsi="宋体" w:cs="宋体"/>
          <w:color w:val="auto"/>
          <w:highlight w:val="none"/>
        </w:rPr>
        <w:t>五、</w:t>
      </w:r>
      <w:bookmarkEnd w:id="355"/>
      <w:bookmarkEnd w:id="356"/>
      <w:bookmarkEnd w:id="357"/>
      <w:r>
        <w:rPr>
          <w:rFonts w:hint="eastAsia" w:ascii="宋体" w:hAnsi="宋体" w:cs="宋体"/>
          <w:color w:val="auto"/>
          <w:highlight w:val="none"/>
        </w:rPr>
        <w:t>监理大纲</w:t>
      </w:r>
    </w:p>
    <w:p w14:paraId="075CD832">
      <w:pPr>
        <w:spacing w:line="540" w:lineRule="exact"/>
        <w:outlineLvl w:val="0"/>
        <w:rPr>
          <w:rFonts w:ascii="宋体" w:hAnsi="宋体" w:cs="宋体"/>
          <w:color w:val="auto"/>
          <w:highlight w:val="none"/>
        </w:rPr>
      </w:pPr>
      <w:bookmarkStart w:id="358" w:name="_Toc20369"/>
      <w:bookmarkStart w:id="359" w:name="_Toc12786"/>
      <w:bookmarkStart w:id="360" w:name="_Toc10714"/>
      <w:r>
        <w:rPr>
          <w:rFonts w:hint="eastAsia" w:ascii="宋体" w:hAnsi="宋体" w:cs="宋体"/>
          <w:color w:val="auto"/>
          <w:highlight w:val="none"/>
        </w:rPr>
        <w:t>六、其他资料</w:t>
      </w:r>
      <w:bookmarkEnd w:id="358"/>
      <w:bookmarkEnd w:id="359"/>
      <w:bookmarkEnd w:id="360"/>
    </w:p>
    <w:p w14:paraId="5D47F214">
      <w:pPr>
        <w:pStyle w:val="82"/>
        <w:rPr>
          <w:rFonts w:ascii="宋体" w:hAnsi="宋体"/>
          <w:color w:val="auto"/>
          <w:highlight w:val="none"/>
        </w:rPr>
      </w:pPr>
    </w:p>
    <w:p w14:paraId="15DA4032">
      <w:pPr>
        <w:spacing w:line="540" w:lineRule="exact"/>
        <w:rPr>
          <w:rFonts w:ascii="宋体" w:hAnsi="宋体"/>
          <w:color w:val="auto"/>
          <w:sz w:val="20"/>
          <w:highlight w:val="none"/>
        </w:rPr>
      </w:pPr>
    </w:p>
    <w:bookmarkEnd w:id="340"/>
    <w:bookmarkEnd w:id="341"/>
    <w:bookmarkEnd w:id="342"/>
    <w:p w14:paraId="4887DBBA">
      <w:pPr>
        <w:pStyle w:val="2"/>
        <w:spacing w:line="360" w:lineRule="auto"/>
        <w:jc w:val="center"/>
        <w:rPr>
          <w:rFonts w:ascii="宋体" w:hAnsi="宋体" w:eastAsia="宋体"/>
          <w:color w:val="auto"/>
          <w:highlight w:val="none"/>
        </w:rPr>
      </w:pPr>
      <w:bookmarkStart w:id="361" w:name="_Toc516145371"/>
      <w:bookmarkStart w:id="362" w:name="_Toc492300720"/>
      <w:bookmarkStart w:id="363" w:name="_Toc515450413"/>
      <w:r>
        <w:rPr>
          <w:rFonts w:ascii="宋体" w:hAnsi="宋体" w:eastAsia="宋体"/>
          <w:color w:val="auto"/>
          <w:highlight w:val="none"/>
        </w:rPr>
        <w:br w:type="page"/>
      </w:r>
      <w:r>
        <w:rPr>
          <w:rFonts w:ascii="宋体" w:hAnsi="宋体" w:eastAsia="宋体"/>
          <w:color w:val="auto"/>
          <w:highlight w:val="none"/>
        </w:rPr>
        <w:t>一、投标</w:t>
      </w:r>
      <w:bookmarkStart w:id="364" w:name="_Toc6931"/>
      <w:bookmarkStart w:id="365" w:name="_Toc369531692"/>
      <w:bookmarkStart w:id="366" w:name="_Toc352691656"/>
      <w:r>
        <w:rPr>
          <w:rFonts w:ascii="宋体" w:hAnsi="宋体" w:eastAsia="宋体"/>
          <w:color w:val="auto"/>
          <w:highlight w:val="none"/>
        </w:rPr>
        <w:t>函及投标函附录</w:t>
      </w:r>
      <w:bookmarkEnd w:id="361"/>
      <w:bookmarkEnd w:id="362"/>
      <w:bookmarkEnd w:id="363"/>
    </w:p>
    <w:bookmarkEnd w:id="364"/>
    <w:bookmarkEnd w:id="365"/>
    <w:bookmarkEnd w:id="366"/>
    <w:p w14:paraId="3D1F91E6">
      <w:pPr>
        <w:spacing w:line="360" w:lineRule="auto"/>
        <w:ind w:left="118"/>
        <w:jc w:val="center"/>
        <w:outlineLvl w:val="2"/>
        <w:rPr>
          <w:rFonts w:ascii="宋体" w:hAnsi="宋体"/>
          <w:b/>
          <w:bCs/>
          <w:color w:val="auto"/>
          <w:kern w:val="0"/>
          <w:sz w:val="32"/>
          <w:szCs w:val="28"/>
          <w:highlight w:val="none"/>
        </w:rPr>
      </w:pPr>
      <w:bookmarkStart w:id="367" w:name="_Toc530470643"/>
      <w:bookmarkStart w:id="368" w:name="_Toc370676426"/>
      <w:bookmarkStart w:id="369" w:name="_Toc529196601"/>
      <w:bookmarkStart w:id="370" w:name="_Toc359594235"/>
      <w:bookmarkStart w:id="371" w:name="_Toc391394111"/>
      <w:bookmarkStart w:id="372" w:name="_Toc385943065"/>
      <w:bookmarkStart w:id="373" w:name="_Toc482188651"/>
      <w:bookmarkStart w:id="374" w:name="_Toc535938752"/>
      <w:r>
        <w:rPr>
          <w:rFonts w:hint="eastAsia" w:ascii="宋体" w:hAnsi="宋体"/>
          <w:b/>
          <w:bCs/>
          <w:color w:val="auto"/>
          <w:kern w:val="0"/>
          <w:sz w:val="32"/>
          <w:szCs w:val="28"/>
          <w:highlight w:val="none"/>
        </w:rPr>
        <w:t>（一）投标函</w:t>
      </w:r>
      <w:bookmarkEnd w:id="367"/>
      <w:bookmarkEnd w:id="368"/>
      <w:bookmarkEnd w:id="369"/>
      <w:bookmarkEnd w:id="370"/>
      <w:bookmarkEnd w:id="371"/>
      <w:bookmarkEnd w:id="372"/>
      <w:bookmarkEnd w:id="373"/>
      <w:bookmarkEnd w:id="374"/>
    </w:p>
    <w:p w14:paraId="0EFB5C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048340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（项目名称）监理招标项目招标文件的全部内容，愿意以《投标函附录》中的投标报价和监理服务期限，按合同约定完成监理工作。</w:t>
      </w:r>
    </w:p>
    <w:p w14:paraId="0C81D7DB">
      <w:pPr>
        <w:spacing w:line="360" w:lineRule="auto"/>
        <w:ind w:firstLine="420" w:firstLineChars="200"/>
        <w:rPr>
          <w:rFonts w:hint="eastAsia" w:ascii="宋体" w:hAnsi="宋体" w:cs="宋体"/>
          <w:color w:val="auto"/>
          <w:szCs w:val="21"/>
          <w:highlight w:val="none"/>
        </w:rPr>
      </w:pPr>
      <w:bookmarkStart w:id="375" w:name="_Toc530470644"/>
      <w:r>
        <w:rPr>
          <w:rFonts w:hint="eastAsia" w:ascii="宋体" w:hAnsi="宋体" w:cs="宋体"/>
          <w:color w:val="auto"/>
          <w:szCs w:val="21"/>
          <w:highlight w:val="none"/>
        </w:rPr>
        <w:t>2. 我方的投标文件包括下列内容：</w:t>
      </w:r>
      <w:bookmarkEnd w:id="375"/>
    </w:p>
    <w:p w14:paraId="3B89497C">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（1）投标函及投标函附录；</w:t>
      </w:r>
    </w:p>
    <w:p w14:paraId="591538CF">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（2）法定代表人身份证明</w:t>
      </w:r>
      <w:r>
        <w:rPr>
          <w:rFonts w:hint="eastAsia" w:ascii="宋体" w:hAnsi="宋体" w:cs="宋体"/>
          <w:color w:val="auto"/>
          <w:szCs w:val="21"/>
          <w:highlight w:val="none"/>
          <w:lang w:eastAsia="zh-CN"/>
        </w:rPr>
        <w:t>、</w:t>
      </w:r>
      <w:r>
        <w:rPr>
          <w:rFonts w:hint="eastAsia" w:ascii="宋体" w:hAnsi="宋体" w:cs="宋体"/>
          <w:color w:val="auto"/>
          <w:szCs w:val="21"/>
          <w:highlight w:val="none"/>
        </w:rPr>
        <w:t>授权委托书（如有）；</w:t>
      </w:r>
    </w:p>
    <w:p w14:paraId="4A757836">
      <w:pPr>
        <w:spacing w:line="360" w:lineRule="auto"/>
        <w:ind w:firstLine="405"/>
        <w:rPr>
          <w:rFonts w:hint="eastAsia" w:ascii="宋体" w:hAnsi="宋体" w:cs="宋体"/>
          <w:strike/>
          <w:color w:val="auto"/>
          <w:szCs w:val="21"/>
          <w:highlight w:val="none"/>
        </w:rPr>
      </w:pPr>
      <w:r>
        <w:rPr>
          <w:rFonts w:hint="eastAsia" w:ascii="宋体" w:hAnsi="宋体" w:cs="宋体"/>
          <w:color w:val="auto"/>
          <w:szCs w:val="21"/>
          <w:highlight w:val="none"/>
        </w:rPr>
        <w:t>（3）监理报酬清单；</w:t>
      </w:r>
    </w:p>
    <w:p w14:paraId="56E5BA2C">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（4）资格审查资料；</w:t>
      </w:r>
    </w:p>
    <w:p w14:paraId="4C41C515">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（5）监理大纲；</w:t>
      </w:r>
    </w:p>
    <w:p w14:paraId="4A138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（6）其他资料。</w:t>
      </w:r>
    </w:p>
    <w:p w14:paraId="1417CC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投标文件的上述组成部分如存在内容不一致的，以投标函为准。</w:t>
      </w:r>
    </w:p>
    <w:p w14:paraId="6525BB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3．我方承诺在招标文件规定的投标有效期</w:t>
      </w:r>
      <w:r>
        <w:rPr>
          <w:rFonts w:hint="eastAsia" w:ascii="宋体" w:hAnsi="宋体" w:cs="宋体"/>
          <w:color w:val="auto"/>
          <w:szCs w:val="21"/>
          <w:highlight w:val="none"/>
          <w:u w:val="single"/>
          <w:lang w:eastAsia="zh-CN"/>
        </w:rPr>
        <w:t>120</w:t>
      </w:r>
      <w:r>
        <w:rPr>
          <w:rFonts w:hint="eastAsia" w:ascii="宋体" w:hAnsi="宋体" w:cs="宋体"/>
          <w:color w:val="auto"/>
          <w:szCs w:val="21"/>
          <w:highlight w:val="none"/>
        </w:rPr>
        <w:t>日历天内不撤销投标文件。</w:t>
      </w:r>
    </w:p>
    <w:p w14:paraId="007DB4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4．如我方中标，我方承诺：</w:t>
      </w:r>
    </w:p>
    <w:p w14:paraId="0388A388">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（1）在收到中标通知书后，在中标通知书规定的期限内与你方签订合同；</w:t>
      </w:r>
    </w:p>
    <w:p w14:paraId="4213BC3F">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4C883425">
      <w:pPr>
        <w:spacing w:line="360" w:lineRule="auto"/>
        <w:ind w:firstLine="619" w:firstLineChars="295"/>
        <w:rPr>
          <w:rFonts w:hint="eastAsia" w:ascii="宋体" w:hAnsi="宋体" w:cs="宋体"/>
          <w:strike/>
          <w:color w:val="auto"/>
          <w:szCs w:val="21"/>
          <w:highlight w:val="none"/>
        </w:rPr>
      </w:pPr>
      <w:r>
        <w:rPr>
          <w:rFonts w:hint="eastAsia" w:ascii="宋体" w:hAnsi="宋体" w:cs="宋体"/>
          <w:strike/>
          <w:color w:val="auto"/>
          <w:szCs w:val="21"/>
          <w:highlight w:val="none"/>
        </w:rPr>
        <w:t>（3）按照招标文件要求提交履约保证金；</w:t>
      </w:r>
      <w:bookmarkStart w:id="376" w:name="_Toc1187"/>
      <w:bookmarkStart w:id="377" w:name="_Toc352691658"/>
      <w:bookmarkStart w:id="378" w:name="_Toc369531694"/>
    </w:p>
    <w:p w14:paraId="0241876D">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（4）在合</w:t>
      </w:r>
      <w:bookmarkEnd w:id="376"/>
      <w:bookmarkEnd w:id="377"/>
      <w:bookmarkEnd w:id="378"/>
      <w:r>
        <w:rPr>
          <w:rFonts w:hint="eastAsia" w:ascii="宋体" w:hAnsi="宋体" w:cs="宋体"/>
          <w:color w:val="auto"/>
          <w:szCs w:val="21"/>
          <w:highlight w:val="none"/>
        </w:rPr>
        <w:t>同约定的期限内完成合同规定的全部义务。</w:t>
      </w:r>
    </w:p>
    <w:p w14:paraId="0041216A">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（5）除伤亡、吊销监理工程师执业资格等合法原因不能再从事监理工作情形外，如我方更换项目总监</w:t>
      </w:r>
      <w:r>
        <w:rPr>
          <w:rFonts w:hint="eastAsia" w:ascii="宋体" w:hAnsi="宋体" w:cs="宋体"/>
          <w:color w:val="auto"/>
          <w:szCs w:val="21"/>
          <w:highlight w:val="none"/>
          <w:lang w:val="en-US" w:eastAsia="zh-CN"/>
        </w:rPr>
        <w:t>理工程师</w:t>
      </w:r>
      <w:r>
        <w:rPr>
          <w:rFonts w:hint="eastAsia" w:ascii="宋体" w:hAnsi="宋体" w:cs="宋体"/>
          <w:color w:val="auto"/>
          <w:szCs w:val="21"/>
          <w:highlight w:val="none"/>
        </w:rPr>
        <w:t>，接受贵</w:t>
      </w:r>
      <w:r>
        <w:rPr>
          <w:rFonts w:hint="eastAsia" w:ascii="宋体" w:hAnsi="宋体" w:cs="宋体"/>
          <w:color w:val="auto"/>
          <w:spacing w:val="4"/>
          <w:szCs w:val="21"/>
          <w:highlight w:val="none"/>
          <w:lang w:val="en-US" w:eastAsia="zh-CN"/>
        </w:rPr>
        <w:t>单位</w:t>
      </w:r>
      <w:r>
        <w:rPr>
          <w:rFonts w:hint="eastAsia" w:ascii="宋体" w:hAnsi="宋体" w:cs="宋体"/>
          <w:color w:val="auto"/>
          <w:szCs w:val="21"/>
          <w:highlight w:val="none"/>
        </w:rPr>
        <w:t>1年内拒绝我方参与贵单位后续工程投标的处理。</w:t>
      </w:r>
    </w:p>
    <w:p w14:paraId="7F4315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5．我方在此声明，</w:t>
      </w:r>
      <w:bookmarkStart w:id="379" w:name="_Hlk22686284"/>
      <w:r>
        <w:rPr>
          <w:rFonts w:hint="eastAsia" w:ascii="宋体" w:hAnsi="宋体" w:cs="宋体"/>
          <w:color w:val="auto"/>
          <w:szCs w:val="21"/>
          <w:highlight w:val="none"/>
        </w:rPr>
        <w:t>所递交的投标文件</w:t>
      </w:r>
      <w:bookmarkEnd w:id="379"/>
      <w:r>
        <w:rPr>
          <w:rFonts w:hint="eastAsia" w:ascii="宋体" w:hAnsi="宋体" w:cs="宋体"/>
          <w:color w:val="auto"/>
          <w:szCs w:val="21"/>
          <w:highlight w:val="none"/>
        </w:rPr>
        <w:t>及有关资料内容完整、真实和准确，且不存在第二章“投标人须知”第1.4.3项规定的任何一种情形。</w:t>
      </w:r>
    </w:p>
    <w:p w14:paraId="495FFB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如我方中标，我方承诺，满足“委托人要求”中的所有内容。</w:t>
      </w:r>
    </w:p>
    <w:p w14:paraId="239B64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7AD4DD3A">
      <w:pPr>
        <w:spacing w:line="360" w:lineRule="auto"/>
        <w:ind w:firstLine="2520" w:firstLineChars="1200"/>
        <w:jc w:val="left"/>
        <w:rPr>
          <w:rFonts w:hint="eastAsia" w:ascii="宋体" w:hAnsi="宋体" w:cs="宋体"/>
          <w:color w:val="auto"/>
          <w:szCs w:val="21"/>
          <w:highlight w:val="none"/>
        </w:rPr>
      </w:pPr>
    </w:p>
    <w:p w14:paraId="137B6427">
      <w:pPr>
        <w:spacing w:line="360" w:lineRule="auto"/>
        <w:ind w:firstLine="2520" w:firstLineChars="1200"/>
        <w:jc w:val="left"/>
        <w:rPr>
          <w:rFonts w:hint="eastAsia" w:ascii="宋体" w:hAnsi="宋体" w:cs="宋体"/>
          <w:color w:val="auto"/>
          <w:szCs w:val="21"/>
          <w:highlight w:val="none"/>
        </w:rPr>
      </w:pPr>
    </w:p>
    <w:p w14:paraId="4C10F12B">
      <w:pPr>
        <w:spacing w:line="360" w:lineRule="auto"/>
        <w:ind w:firstLine="2835" w:firstLineChars="1350"/>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p>
    <w:p w14:paraId="75B9A702">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96F1103">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0A50D695">
      <w:pPr>
        <w:spacing w:line="360" w:lineRule="auto"/>
        <w:ind w:right="85"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3C136498">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56A3CD59">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B419B14">
      <w:pPr>
        <w:spacing w:line="360" w:lineRule="auto"/>
        <w:ind w:firstLine="5880" w:firstLineChars="28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0E77602">
      <w:pPr>
        <w:rPr>
          <w:rFonts w:ascii="宋体" w:hAnsi="宋体"/>
          <w:color w:val="auto"/>
          <w:highlight w:val="none"/>
        </w:rPr>
      </w:pPr>
      <w:bookmarkStart w:id="380" w:name="_Toc247514246"/>
      <w:bookmarkStart w:id="381" w:name="_Toc152042576"/>
      <w:bookmarkStart w:id="382" w:name="_Toc361508752"/>
      <w:bookmarkStart w:id="383" w:name="_Toc152045787"/>
      <w:bookmarkStart w:id="384" w:name="_Toc144974856"/>
      <w:bookmarkStart w:id="385" w:name="_Toc369531697"/>
      <w:bookmarkStart w:id="386" w:name="_Toc300835209"/>
      <w:bookmarkStart w:id="387" w:name="_Toc352691661"/>
      <w:bookmarkStart w:id="388" w:name="_Toc384308375"/>
      <w:bookmarkStart w:id="389" w:name="_Toc247527827"/>
      <w:bookmarkStart w:id="390" w:name="_Toc17960"/>
      <w:r>
        <w:rPr>
          <w:rFonts w:ascii="宋体" w:hAnsi="宋体"/>
          <w:color w:val="auto"/>
          <w:szCs w:val="21"/>
          <w:highlight w:val="none"/>
        </w:rPr>
        <w:br w:type="page"/>
      </w:r>
    </w:p>
    <w:p w14:paraId="1C02099F">
      <w:pPr>
        <w:spacing w:line="360" w:lineRule="auto"/>
        <w:jc w:val="center"/>
        <w:rPr>
          <w:rFonts w:ascii="宋体" w:hAnsi="宋体"/>
          <w:color w:val="auto"/>
          <w:sz w:val="32"/>
          <w:szCs w:val="32"/>
          <w:highlight w:val="none"/>
        </w:rPr>
      </w:pPr>
      <w:bookmarkStart w:id="391" w:name="_Toc391394112"/>
      <w:bookmarkStart w:id="392" w:name="_Toc359594236"/>
      <w:bookmarkStart w:id="393" w:name="_Toc385943066"/>
      <w:bookmarkStart w:id="394" w:name="_Toc370676427"/>
      <w:bookmarkStart w:id="395" w:name="_Toc482188652"/>
      <w:bookmarkStart w:id="396" w:name="_Toc516145373"/>
      <w:bookmarkStart w:id="397" w:name="_Toc492300722"/>
      <w:bookmarkStart w:id="398" w:name="_Toc515450415"/>
      <w:r>
        <w:rPr>
          <w:rFonts w:hint="eastAsia" w:ascii="宋体" w:hAnsi="宋体"/>
          <w:b/>
          <w:bCs/>
          <w:color w:val="auto"/>
          <w:kern w:val="0"/>
          <w:sz w:val="32"/>
          <w:szCs w:val="32"/>
          <w:highlight w:val="none"/>
        </w:rPr>
        <w:t>（二）投标函附录</w:t>
      </w:r>
      <w:bookmarkEnd w:id="391"/>
      <w:bookmarkEnd w:id="392"/>
      <w:bookmarkEnd w:id="393"/>
      <w:bookmarkEnd w:id="394"/>
      <w:bookmarkEnd w:id="395"/>
      <w:bookmarkEnd w:id="396"/>
      <w:bookmarkEnd w:id="397"/>
      <w:bookmarkEnd w:id="398"/>
    </w:p>
    <w:tbl>
      <w:tblPr>
        <w:tblStyle w:val="4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12"/>
        <w:gridCol w:w="4711"/>
        <w:gridCol w:w="1649"/>
      </w:tblGrid>
      <w:tr w14:paraId="3CCD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1064F6B1">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812" w:type="dxa"/>
            <w:tcBorders>
              <w:top w:val="single" w:color="auto" w:sz="4" w:space="0"/>
              <w:left w:val="single" w:color="auto" w:sz="4" w:space="0"/>
              <w:bottom w:val="single" w:color="auto" w:sz="4" w:space="0"/>
              <w:right w:val="single" w:color="auto" w:sz="4" w:space="0"/>
            </w:tcBorders>
            <w:noWrap/>
            <w:vAlign w:val="center"/>
          </w:tcPr>
          <w:p w14:paraId="3BFBBFF5">
            <w:pPr>
              <w:jc w:val="center"/>
              <w:rPr>
                <w:rFonts w:ascii="宋体" w:hAnsi="宋体"/>
                <w:b/>
                <w:color w:val="auto"/>
                <w:sz w:val="24"/>
                <w:szCs w:val="24"/>
                <w:highlight w:val="none"/>
              </w:rPr>
            </w:pPr>
            <w:r>
              <w:rPr>
                <w:rFonts w:hint="eastAsia" w:ascii="宋体" w:hAnsi="宋体"/>
                <w:b/>
                <w:color w:val="auto"/>
                <w:sz w:val="24"/>
                <w:szCs w:val="24"/>
                <w:highlight w:val="none"/>
              </w:rPr>
              <w:t>条款名称</w:t>
            </w:r>
          </w:p>
        </w:tc>
        <w:tc>
          <w:tcPr>
            <w:tcW w:w="4711" w:type="dxa"/>
            <w:tcBorders>
              <w:top w:val="single" w:color="auto" w:sz="4" w:space="0"/>
              <w:left w:val="single" w:color="auto" w:sz="4" w:space="0"/>
              <w:bottom w:val="single" w:color="auto" w:sz="4" w:space="0"/>
              <w:right w:val="single" w:color="auto" w:sz="4" w:space="0"/>
            </w:tcBorders>
            <w:noWrap/>
            <w:vAlign w:val="center"/>
          </w:tcPr>
          <w:p w14:paraId="3F76C7A3">
            <w:pPr>
              <w:jc w:val="center"/>
              <w:rPr>
                <w:rFonts w:ascii="宋体" w:hAnsi="宋体"/>
                <w:b/>
                <w:color w:val="auto"/>
                <w:sz w:val="24"/>
                <w:szCs w:val="24"/>
                <w:highlight w:val="none"/>
              </w:rPr>
            </w:pPr>
            <w:r>
              <w:rPr>
                <w:rFonts w:hint="eastAsia" w:ascii="宋体" w:hAnsi="宋体"/>
                <w:b/>
                <w:color w:val="auto"/>
                <w:sz w:val="24"/>
                <w:szCs w:val="24"/>
                <w:highlight w:val="none"/>
              </w:rPr>
              <w:t>约定内容</w:t>
            </w:r>
          </w:p>
        </w:tc>
        <w:tc>
          <w:tcPr>
            <w:tcW w:w="1649" w:type="dxa"/>
            <w:tcBorders>
              <w:top w:val="single" w:color="auto" w:sz="4" w:space="0"/>
              <w:left w:val="single" w:color="auto" w:sz="4" w:space="0"/>
              <w:bottom w:val="single" w:color="auto" w:sz="4" w:space="0"/>
              <w:right w:val="single" w:color="auto" w:sz="4" w:space="0"/>
            </w:tcBorders>
            <w:noWrap/>
            <w:vAlign w:val="center"/>
          </w:tcPr>
          <w:p w14:paraId="464788D1">
            <w:pPr>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7522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76B8573B">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12" w:type="dxa"/>
            <w:tcBorders>
              <w:top w:val="single" w:color="auto" w:sz="4" w:space="0"/>
              <w:left w:val="single" w:color="auto" w:sz="4" w:space="0"/>
              <w:bottom w:val="single" w:color="auto" w:sz="4" w:space="0"/>
              <w:right w:val="single" w:color="auto" w:sz="4" w:space="0"/>
            </w:tcBorders>
            <w:noWrap/>
            <w:vAlign w:val="center"/>
          </w:tcPr>
          <w:p w14:paraId="1230136A">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总监理工程师</w:t>
            </w:r>
          </w:p>
        </w:tc>
        <w:tc>
          <w:tcPr>
            <w:tcW w:w="4711" w:type="dxa"/>
            <w:tcBorders>
              <w:top w:val="single" w:color="auto" w:sz="4" w:space="0"/>
              <w:left w:val="single" w:color="auto" w:sz="4" w:space="0"/>
              <w:bottom w:val="single" w:color="auto" w:sz="4" w:space="0"/>
              <w:right w:val="single" w:color="auto" w:sz="4" w:space="0"/>
            </w:tcBorders>
            <w:noWrap/>
            <w:vAlign w:val="center"/>
          </w:tcPr>
          <w:p w14:paraId="510EC73F">
            <w:pPr>
              <w:spacing w:line="400" w:lineRule="exact"/>
              <w:contextualSpacing/>
              <w:rPr>
                <w:rFonts w:ascii="宋体" w:hAnsi="宋体"/>
                <w:color w:val="auto"/>
                <w:sz w:val="24"/>
                <w:highlight w:val="none"/>
              </w:rPr>
            </w:pPr>
            <w:r>
              <w:rPr>
                <w:rFonts w:hint="eastAsia" w:ascii="宋体" w:hAnsi="宋体"/>
                <w:color w:val="auto"/>
                <w:sz w:val="24"/>
                <w:highlight w:val="none"/>
              </w:rPr>
              <w:t>姓名：</w:t>
            </w:r>
          </w:p>
          <w:p w14:paraId="07E4DFA4">
            <w:pPr>
              <w:pStyle w:val="18"/>
              <w:topLinePunct/>
              <w:spacing w:line="400" w:lineRule="exact"/>
              <w:contextualSpacing/>
              <w:rPr>
                <w:rFonts w:hAnsi="宋体"/>
                <w:color w:val="auto"/>
                <w:kern w:val="2"/>
                <w:szCs w:val="24"/>
                <w:highlight w:val="none"/>
              </w:rPr>
            </w:pPr>
            <w:r>
              <w:rPr>
                <w:rFonts w:hint="eastAsia" w:hAnsi="宋体"/>
                <w:color w:val="auto"/>
                <w:highlight w:val="none"/>
              </w:rPr>
              <w:t>注册证号：</w:t>
            </w:r>
          </w:p>
        </w:tc>
        <w:tc>
          <w:tcPr>
            <w:tcW w:w="1649" w:type="dxa"/>
            <w:tcBorders>
              <w:top w:val="single" w:color="auto" w:sz="4" w:space="0"/>
              <w:left w:val="single" w:color="auto" w:sz="4" w:space="0"/>
              <w:bottom w:val="single" w:color="auto" w:sz="4" w:space="0"/>
              <w:right w:val="single" w:color="auto" w:sz="4" w:space="0"/>
            </w:tcBorders>
            <w:noWrap/>
            <w:vAlign w:val="center"/>
          </w:tcPr>
          <w:p w14:paraId="48E08E38">
            <w:pPr>
              <w:spacing w:line="400" w:lineRule="exact"/>
              <w:ind w:firstLine="820" w:firstLineChars="342"/>
              <w:contextualSpacing/>
              <w:rPr>
                <w:rFonts w:ascii="宋体" w:hAnsi="宋体"/>
                <w:color w:val="auto"/>
                <w:sz w:val="24"/>
                <w:szCs w:val="24"/>
                <w:highlight w:val="none"/>
              </w:rPr>
            </w:pPr>
          </w:p>
        </w:tc>
      </w:tr>
      <w:tr w14:paraId="229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7815CA3E">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812" w:type="dxa"/>
            <w:tcBorders>
              <w:top w:val="single" w:color="auto" w:sz="4" w:space="0"/>
              <w:left w:val="single" w:color="auto" w:sz="4" w:space="0"/>
              <w:bottom w:val="single" w:color="auto" w:sz="4" w:space="0"/>
              <w:right w:val="single" w:color="auto" w:sz="4" w:space="0"/>
            </w:tcBorders>
            <w:noWrap/>
            <w:vAlign w:val="center"/>
          </w:tcPr>
          <w:p w14:paraId="54F2B49C">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监理服务期限</w:t>
            </w:r>
          </w:p>
        </w:tc>
        <w:tc>
          <w:tcPr>
            <w:tcW w:w="4711" w:type="dxa"/>
            <w:tcBorders>
              <w:top w:val="single" w:color="auto" w:sz="4" w:space="0"/>
              <w:left w:val="single" w:color="auto" w:sz="4" w:space="0"/>
              <w:bottom w:val="single" w:color="auto" w:sz="4" w:space="0"/>
              <w:right w:val="single" w:color="auto" w:sz="4" w:space="0"/>
            </w:tcBorders>
            <w:noWrap/>
            <w:vAlign w:val="center"/>
          </w:tcPr>
          <w:p w14:paraId="3BC07717">
            <w:pPr>
              <w:pStyle w:val="18"/>
              <w:topLinePunct/>
              <w:spacing w:line="400" w:lineRule="exact"/>
              <w:contextualSpacing/>
              <w:rPr>
                <w:rFonts w:hint="eastAsia" w:hAnsi="宋体" w:eastAsia="宋体"/>
                <w:color w:val="auto"/>
                <w:kern w:val="2"/>
                <w:szCs w:val="24"/>
                <w:highlight w:val="none"/>
                <w:lang w:eastAsia="zh-CN"/>
              </w:rPr>
            </w:pPr>
            <w:r>
              <w:rPr>
                <w:rFonts w:hint="eastAsia" w:hAnsi="宋体"/>
                <w:color w:val="auto"/>
                <w:kern w:val="2"/>
                <w:szCs w:val="24"/>
                <w:highlight w:val="none"/>
                <w:u w:val="single"/>
              </w:rPr>
              <w:t>按招标文件要求</w:t>
            </w:r>
            <w:r>
              <w:rPr>
                <w:rFonts w:hint="eastAsia" w:hAnsi="宋体"/>
                <w:color w:val="auto"/>
                <w:kern w:val="2"/>
                <w:szCs w:val="24"/>
                <w:highlight w:val="none"/>
                <w:u w:val="single"/>
                <w:lang w:eastAsia="zh-CN"/>
              </w:rPr>
              <w:t>。</w:t>
            </w:r>
          </w:p>
        </w:tc>
        <w:tc>
          <w:tcPr>
            <w:tcW w:w="1649" w:type="dxa"/>
            <w:tcBorders>
              <w:top w:val="single" w:color="auto" w:sz="4" w:space="0"/>
              <w:left w:val="single" w:color="auto" w:sz="4" w:space="0"/>
              <w:bottom w:val="single" w:color="auto" w:sz="4" w:space="0"/>
              <w:right w:val="single" w:color="auto" w:sz="4" w:space="0"/>
            </w:tcBorders>
            <w:noWrap/>
            <w:vAlign w:val="center"/>
          </w:tcPr>
          <w:p w14:paraId="4611B8B0">
            <w:pPr>
              <w:spacing w:line="400" w:lineRule="exact"/>
              <w:contextualSpacing/>
              <w:rPr>
                <w:rFonts w:ascii="宋体" w:hAnsi="宋体"/>
                <w:color w:val="auto"/>
                <w:sz w:val="24"/>
                <w:szCs w:val="24"/>
                <w:highlight w:val="none"/>
              </w:rPr>
            </w:pPr>
          </w:p>
        </w:tc>
      </w:tr>
      <w:tr w14:paraId="3C6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39EBBE95">
            <w:pPr>
              <w:tabs>
                <w:tab w:val="left" w:pos="360"/>
              </w:tabs>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812" w:type="dxa"/>
            <w:tcBorders>
              <w:top w:val="single" w:color="auto" w:sz="4" w:space="0"/>
              <w:left w:val="single" w:color="auto" w:sz="4" w:space="0"/>
              <w:bottom w:val="single" w:color="auto" w:sz="4" w:space="0"/>
              <w:right w:val="single" w:color="auto" w:sz="4" w:space="0"/>
            </w:tcBorders>
            <w:noWrap/>
            <w:vAlign w:val="center"/>
          </w:tcPr>
          <w:p w14:paraId="0CF55CD8">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合同价款确定方式</w:t>
            </w:r>
          </w:p>
        </w:tc>
        <w:tc>
          <w:tcPr>
            <w:tcW w:w="4711" w:type="dxa"/>
            <w:tcBorders>
              <w:top w:val="single" w:color="auto" w:sz="4" w:space="0"/>
              <w:left w:val="single" w:color="auto" w:sz="4" w:space="0"/>
              <w:bottom w:val="single" w:color="auto" w:sz="4" w:space="0"/>
              <w:right w:val="single" w:color="auto" w:sz="4" w:space="0"/>
            </w:tcBorders>
            <w:noWrap/>
            <w:vAlign w:val="center"/>
          </w:tcPr>
          <w:p w14:paraId="64D81DAB">
            <w:pPr>
              <w:spacing w:line="400" w:lineRule="exact"/>
              <w:contextualSpacing/>
              <w:rPr>
                <w:rFonts w:hint="eastAsia" w:ascii="宋体" w:hAnsi="宋体" w:eastAsia="宋体"/>
                <w:color w:val="auto"/>
                <w:sz w:val="24"/>
                <w:szCs w:val="24"/>
                <w:highlight w:val="none"/>
                <w:lang w:eastAsia="zh-CN"/>
              </w:rPr>
            </w:pPr>
            <w:r>
              <w:rPr>
                <w:rFonts w:hint="eastAsia" w:ascii="宋体" w:hAnsi="宋体"/>
                <w:color w:val="auto"/>
                <w:sz w:val="24"/>
                <w:highlight w:val="none"/>
                <w:u w:val="single"/>
              </w:rPr>
              <w:t>按合同约定</w:t>
            </w:r>
            <w:r>
              <w:rPr>
                <w:rFonts w:hint="eastAsia" w:ascii="宋体" w:hAnsi="宋体"/>
                <w:color w:val="auto"/>
                <w:sz w:val="24"/>
                <w:highlight w:val="none"/>
                <w:u w:val="single"/>
                <w:lang w:eastAsia="zh-CN"/>
              </w:rPr>
              <w:t>。</w:t>
            </w:r>
          </w:p>
        </w:tc>
        <w:tc>
          <w:tcPr>
            <w:tcW w:w="1649" w:type="dxa"/>
            <w:tcBorders>
              <w:top w:val="single" w:color="auto" w:sz="4" w:space="0"/>
              <w:left w:val="single" w:color="auto" w:sz="4" w:space="0"/>
              <w:bottom w:val="single" w:color="auto" w:sz="4" w:space="0"/>
              <w:right w:val="single" w:color="auto" w:sz="4" w:space="0"/>
            </w:tcBorders>
            <w:noWrap/>
            <w:vAlign w:val="center"/>
          </w:tcPr>
          <w:p w14:paraId="5AA5BFC7">
            <w:pPr>
              <w:tabs>
                <w:tab w:val="left" w:pos="360"/>
              </w:tabs>
              <w:spacing w:line="400" w:lineRule="exact"/>
              <w:contextualSpacing/>
              <w:jc w:val="center"/>
              <w:rPr>
                <w:rFonts w:ascii="宋体" w:hAnsi="宋体"/>
                <w:color w:val="auto"/>
                <w:sz w:val="24"/>
                <w:szCs w:val="24"/>
                <w:highlight w:val="none"/>
              </w:rPr>
            </w:pPr>
          </w:p>
        </w:tc>
      </w:tr>
      <w:tr w14:paraId="2BF0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5D1F99A5">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812" w:type="dxa"/>
            <w:tcBorders>
              <w:top w:val="single" w:color="auto" w:sz="4" w:space="0"/>
              <w:left w:val="single" w:color="auto" w:sz="4" w:space="0"/>
              <w:bottom w:val="single" w:color="auto" w:sz="4" w:space="0"/>
              <w:right w:val="single" w:color="auto" w:sz="4" w:space="0"/>
            </w:tcBorders>
            <w:noWrap/>
            <w:vAlign w:val="center"/>
          </w:tcPr>
          <w:p w14:paraId="69F37E91">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4711" w:type="dxa"/>
            <w:tcBorders>
              <w:top w:val="single" w:color="auto" w:sz="4" w:space="0"/>
              <w:left w:val="single" w:color="auto" w:sz="4" w:space="0"/>
              <w:bottom w:val="single" w:color="auto" w:sz="4" w:space="0"/>
              <w:right w:val="single" w:color="auto" w:sz="4" w:space="0"/>
            </w:tcBorders>
            <w:noWrap/>
            <w:vAlign w:val="center"/>
          </w:tcPr>
          <w:p w14:paraId="053A4009">
            <w:pPr>
              <w:spacing w:line="400" w:lineRule="exact"/>
              <w:contextualSpacing/>
              <w:rPr>
                <w:rFonts w:hint="eastAsia" w:ascii="宋体" w:hAnsi="宋体" w:eastAsia="宋体"/>
                <w:color w:val="auto"/>
                <w:sz w:val="24"/>
                <w:szCs w:val="24"/>
                <w:highlight w:val="none"/>
                <w:lang w:eastAsia="zh-CN"/>
              </w:rPr>
            </w:pPr>
            <w:r>
              <w:rPr>
                <w:rFonts w:hint="eastAsia" w:ascii="宋体" w:hAnsi="宋体"/>
                <w:color w:val="auto"/>
                <w:sz w:val="24"/>
                <w:szCs w:val="24"/>
                <w:highlight w:val="none"/>
                <w:u w:val="single"/>
              </w:rPr>
              <w:t>按招标文件要求</w:t>
            </w:r>
            <w:r>
              <w:rPr>
                <w:rFonts w:hint="eastAsia" w:ascii="宋体" w:hAnsi="宋体"/>
                <w:color w:val="auto"/>
                <w:sz w:val="24"/>
                <w:szCs w:val="24"/>
                <w:highlight w:val="none"/>
                <w:u w:val="single"/>
                <w:lang w:eastAsia="zh-CN"/>
              </w:rPr>
              <w:t>。</w:t>
            </w:r>
          </w:p>
        </w:tc>
        <w:tc>
          <w:tcPr>
            <w:tcW w:w="1649" w:type="dxa"/>
            <w:tcBorders>
              <w:top w:val="single" w:color="auto" w:sz="4" w:space="0"/>
              <w:left w:val="single" w:color="auto" w:sz="4" w:space="0"/>
              <w:bottom w:val="single" w:color="auto" w:sz="4" w:space="0"/>
              <w:right w:val="single" w:color="auto" w:sz="4" w:space="0"/>
            </w:tcBorders>
            <w:noWrap/>
            <w:vAlign w:val="center"/>
          </w:tcPr>
          <w:p w14:paraId="23D74C96">
            <w:pPr>
              <w:tabs>
                <w:tab w:val="left" w:pos="360"/>
              </w:tabs>
              <w:spacing w:line="400" w:lineRule="exact"/>
              <w:contextualSpacing/>
              <w:jc w:val="center"/>
              <w:rPr>
                <w:rFonts w:ascii="宋体" w:hAnsi="宋体"/>
                <w:color w:val="auto"/>
                <w:sz w:val="24"/>
                <w:szCs w:val="24"/>
                <w:highlight w:val="none"/>
              </w:rPr>
            </w:pPr>
          </w:p>
        </w:tc>
      </w:tr>
      <w:tr w14:paraId="7DC4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7031A2E7">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5</w:t>
            </w:r>
          </w:p>
        </w:tc>
        <w:tc>
          <w:tcPr>
            <w:tcW w:w="1812" w:type="dxa"/>
            <w:tcBorders>
              <w:top w:val="single" w:color="auto" w:sz="4" w:space="0"/>
              <w:left w:val="single" w:color="auto" w:sz="4" w:space="0"/>
              <w:bottom w:val="single" w:color="auto" w:sz="4" w:space="0"/>
              <w:right w:val="single" w:color="auto" w:sz="4" w:space="0"/>
            </w:tcBorders>
            <w:noWrap/>
            <w:vAlign w:val="center"/>
          </w:tcPr>
          <w:p w14:paraId="4C938F62">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拟投入本项目监理机构人数</w:t>
            </w:r>
          </w:p>
        </w:tc>
        <w:tc>
          <w:tcPr>
            <w:tcW w:w="4711" w:type="dxa"/>
            <w:tcBorders>
              <w:top w:val="single" w:color="auto" w:sz="4" w:space="0"/>
              <w:left w:val="single" w:color="auto" w:sz="4" w:space="0"/>
              <w:bottom w:val="single" w:color="auto" w:sz="4" w:space="0"/>
              <w:right w:val="single" w:color="auto" w:sz="4" w:space="0"/>
            </w:tcBorders>
            <w:noWrap/>
            <w:vAlign w:val="center"/>
          </w:tcPr>
          <w:p w14:paraId="51E43702">
            <w:pPr>
              <w:spacing w:line="400" w:lineRule="exact"/>
              <w:contextualSpacing/>
              <w:rPr>
                <w:rFonts w:ascii="宋体" w:hAnsi="宋体"/>
                <w:color w:val="auto"/>
                <w:sz w:val="24"/>
                <w:szCs w:val="24"/>
                <w:highlight w:val="none"/>
              </w:rPr>
            </w:pPr>
            <w:r>
              <w:rPr>
                <w:rFonts w:hint="eastAsia" w:ascii="宋体" w:hAnsi="宋体"/>
                <w:color w:val="auto"/>
                <w:sz w:val="24"/>
                <w:szCs w:val="24"/>
                <w:highlight w:val="none"/>
              </w:rPr>
              <w:t>人数：</w:t>
            </w:r>
          </w:p>
        </w:tc>
        <w:tc>
          <w:tcPr>
            <w:tcW w:w="1649" w:type="dxa"/>
            <w:tcBorders>
              <w:top w:val="single" w:color="auto" w:sz="4" w:space="0"/>
              <w:left w:val="single" w:color="auto" w:sz="4" w:space="0"/>
              <w:bottom w:val="single" w:color="auto" w:sz="4" w:space="0"/>
              <w:right w:val="single" w:color="auto" w:sz="4" w:space="0"/>
            </w:tcBorders>
            <w:noWrap/>
            <w:vAlign w:val="center"/>
          </w:tcPr>
          <w:p w14:paraId="4945452C">
            <w:pPr>
              <w:tabs>
                <w:tab w:val="left" w:pos="360"/>
              </w:tabs>
              <w:spacing w:line="400" w:lineRule="exact"/>
              <w:contextualSpacing/>
              <w:jc w:val="center"/>
              <w:rPr>
                <w:rFonts w:ascii="宋体" w:hAnsi="宋体"/>
                <w:color w:val="auto"/>
                <w:sz w:val="24"/>
                <w:szCs w:val="24"/>
                <w:highlight w:val="none"/>
              </w:rPr>
            </w:pPr>
          </w:p>
        </w:tc>
      </w:tr>
      <w:tr w14:paraId="25EB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167FD871">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6</w:t>
            </w:r>
          </w:p>
        </w:tc>
        <w:tc>
          <w:tcPr>
            <w:tcW w:w="1812" w:type="dxa"/>
            <w:tcBorders>
              <w:top w:val="single" w:color="auto" w:sz="4" w:space="0"/>
              <w:left w:val="single" w:color="auto" w:sz="4" w:space="0"/>
              <w:bottom w:val="single" w:color="auto" w:sz="4" w:space="0"/>
              <w:right w:val="single" w:color="auto" w:sz="4" w:space="0"/>
            </w:tcBorders>
            <w:noWrap/>
            <w:vAlign w:val="center"/>
          </w:tcPr>
          <w:p w14:paraId="70055A15">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投标总报价</w:t>
            </w:r>
          </w:p>
        </w:tc>
        <w:tc>
          <w:tcPr>
            <w:tcW w:w="4711" w:type="dxa"/>
            <w:tcBorders>
              <w:top w:val="single" w:color="auto" w:sz="4" w:space="0"/>
              <w:left w:val="single" w:color="auto" w:sz="4" w:space="0"/>
              <w:bottom w:val="single" w:color="auto" w:sz="4" w:space="0"/>
              <w:right w:val="single" w:color="auto" w:sz="4" w:space="0"/>
            </w:tcBorders>
            <w:noWrap/>
            <w:vAlign w:val="center"/>
          </w:tcPr>
          <w:p w14:paraId="16941230">
            <w:pPr>
              <w:spacing w:before="156" w:beforeLines="50" w:after="156" w:afterLines="50" w:line="400" w:lineRule="exact"/>
              <w:contextualSpacing/>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大写：</w:t>
            </w:r>
            <w:r>
              <w:rPr>
                <w:rFonts w:hint="eastAsia" w:ascii="宋体" w:hAnsi="宋体"/>
                <w:color w:val="auto"/>
                <w:sz w:val="24"/>
                <w:szCs w:val="24"/>
                <w:highlight w:val="none"/>
                <w:lang w:val="en-US" w:eastAsia="zh-CN"/>
              </w:rPr>
              <w:t xml:space="preserve">                    元</w:t>
            </w:r>
          </w:p>
          <w:p w14:paraId="1DCE797D">
            <w:pPr>
              <w:spacing w:before="156" w:beforeLines="50" w:after="156" w:afterLines="50" w:line="400" w:lineRule="exact"/>
              <w:contextualSpacing/>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小写：</w:t>
            </w:r>
          </w:p>
        </w:tc>
        <w:tc>
          <w:tcPr>
            <w:tcW w:w="1649" w:type="dxa"/>
            <w:tcBorders>
              <w:top w:val="single" w:color="auto" w:sz="4" w:space="0"/>
              <w:left w:val="single" w:color="auto" w:sz="4" w:space="0"/>
              <w:bottom w:val="single" w:color="auto" w:sz="4" w:space="0"/>
              <w:right w:val="single" w:color="auto" w:sz="4" w:space="0"/>
            </w:tcBorders>
            <w:noWrap/>
            <w:vAlign w:val="center"/>
          </w:tcPr>
          <w:p w14:paraId="494A0AC7">
            <w:pPr>
              <w:tabs>
                <w:tab w:val="left" w:pos="360"/>
              </w:tabs>
              <w:spacing w:line="400" w:lineRule="exact"/>
              <w:contextualSpacing/>
              <w:jc w:val="left"/>
              <w:rPr>
                <w:rFonts w:ascii="宋体" w:hAnsi="宋体"/>
                <w:b/>
                <w:color w:val="auto"/>
                <w:szCs w:val="21"/>
                <w:highlight w:val="none"/>
              </w:rPr>
            </w:pPr>
          </w:p>
        </w:tc>
      </w:tr>
      <w:tr w14:paraId="6C4B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6162AF58">
            <w:pPr>
              <w:spacing w:line="400" w:lineRule="exact"/>
              <w:contextualSpacing/>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7</w:t>
            </w:r>
          </w:p>
        </w:tc>
        <w:tc>
          <w:tcPr>
            <w:tcW w:w="1812" w:type="dxa"/>
            <w:tcBorders>
              <w:top w:val="single" w:color="auto" w:sz="4" w:space="0"/>
              <w:left w:val="single" w:color="auto" w:sz="4" w:space="0"/>
              <w:bottom w:val="single" w:color="auto" w:sz="4" w:space="0"/>
              <w:right w:val="single" w:color="auto" w:sz="4" w:space="0"/>
            </w:tcBorders>
            <w:noWrap/>
            <w:vAlign w:val="center"/>
          </w:tcPr>
          <w:p w14:paraId="317A31E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投标有效期</w:t>
            </w:r>
          </w:p>
        </w:tc>
        <w:tc>
          <w:tcPr>
            <w:tcW w:w="4711" w:type="dxa"/>
            <w:tcBorders>
              <w:top w:val="single" w:color="auto" w:sz="4" w:space="0"/>
              <w:left w:val="single" w:color="auto" w:sz="4" w:space="0"/>
              <w:bottom w:val="single" w:color="auto" w:sz="4" w:space="0"/>
              <w:right w:val="single" w:color="auto" w:sz="4" w:space="0"/>
            </w:tcBorders>
            <w:noWrap/>
            <w:vAlign w:val="center"/>
          </w:tcPr>
          <w:p w14:paraId="0741FAD4">
            <w:pPr>
              <w:spacing w:line="400" w:lineRule="exact"/>
              <w:contextualSpacing/>
              <w:jc w:val="both"/>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按招标文件要求</w:t>
            </w:r>
            <w:r>
              <w:rPr>
                <w:rFonts w:hint="eastAsia" w:ascii="宋体" w:hAnsi="宋体"/>
                <w:color w:val="auto"/>
                <w:sz w:val="24"/>
                <w:szCs w:val="24"/>
                <w:highlight w:val="none"/>
                <w:lang w:eastAsia="zh-CN"/>
              </w:rPr>
              <w:t>。</w:t>
            </w:r>
          </w:p>
        </w:tc>
        <w:tc>
          <w:tcPr>
            <w:tcW w:w="1649" w:type="dxa"/>
            <w:tcBorders>
              <w:top w:val="single" w:color="auto" w:sz="4" w:space="0"/>
              <w:left w:val="single" w:color="auto" w:sz="4" w:space="0"/>
              <w:bottom w:val="single" w:color="auto" w:sz="4" w:space="0"/>
              <w:right w:val="single" w:color="auto" w:sz="4" w:space="0"/>
            </w:tcBorders>
            <w:noWrap/>
            <w:vAlign w:val="center"/>
          </w:tcPr>
          <w:p w14:paraId="06DEF9D3">
            <w:pPr>
              <w:spacing w:line="400" w:lineRule="exact"/>
              <w:contextualSpacing/>
              <w:jc w:val="center"/>
              <w:rPr>
                <w:rFonts w:ascii="宋体" w:hAnsi="宋体"/>
                <w:color w:val="auto"/>
                <w:sz w:val="24"/>
                <w:szCs w:val="24"/>
                <w:highlight w:val="none"/>
              </w:rPr>
            </w:pPr>
          </w:p>
        </w:tc>
      </w:tr>
    </w:tbl>
    <w:p w14:paraId="2F09D4E1">
      <w:pPr>
        <w:spacing w:line="440" w:lineRule="exact"/>
        <w:ind w:firstLine="0" w:firstLineChars="0"/>
        <w:jc w:val="left"/>
        <w:rPr>
          <w:rFonts w:ascii="宋体" w:hAnsi="宋体"/>
          <w:b/>
          <w:bCs/>
          <w:color w:val="auto"/>
          <w:sz w:val="24"/>
          <w:szCs w:val="24"/>
          <w:highlight w:val="none"/>
          <w:u w:val="none"/>
        </w:rPr>
      </w:pPr>
      <w:r>
        <w:rPr>
          <w:rFonts w:hint="eastAsia" w:ascii="宋体" w:hAnsi="宋体"/>
          <w:b/>
          <w:bCs/>
          <w:color w:val="auto"/>
          <w:szCs w:val="21"/>
          <w:highlight w:val="none"/>
        </w:rPr>
        <w:t>注：</w:t>
      </w:r>
      <w:r>
        <w:rPr>
          <w:rFonts w:hint="eastAsia"/>
          <w:b/>
          <w:bCs/>
          <w:color w:val="auto"/>
          <w:highlight w:val="none"/>
        </w:rPr>
        <w:t>投标人根据企业自身情况进行报价，</w:t>
      </w:r>
      <w:r>
        <w:rPr>
          <w:rFonts w:hint="eastAsia" w:ascii="宋体" w:hAnsi="宋体"/>
          <w:b/>
          <w:bCs/>
          <w:color w:val="auto"/>
          <w:szCs w:val="21"/>
          <w:highlight w:val="none"/>
        </w:rPr>
        <w:t>小数点后保留两位小数，第三位小数四舍五入。</w:t>
      </w:r>
      <w:r>
        <w:rPr>
          <w:rFonts w:hint="eastAsia" w:ascii="宋体" w:hAnsi="宋体" w:cs="宋体"/>
          <w:b/>
          <w:bCs/>
          <w:color w:val="auto"/>
          <w:szCs w:val="21"/>
          <w:highlight w:val="none"/>
          <w:u w:val="none"/>
        </w:rPr>
        <w:t>投标</w:t>
      </w:r>
      <w:r>
        <w:rPr>
          <w:rFonts w:hint="eastAsia" w:ascii="宋体" w:hAnsi="宋体" w:cs="宋体"/>
          <w:b/>
          <w:bCs/>
          <w:color w:val="auto"/>
          <w:szCs w:val="21"/>
          <w:highlight w:val="none"/>
          <w:u w:val="none"/>
          <w:lang w:val="en-US" w:eastAsia="zh-CN"/>
        </w:rPr>
        <w:t>总</w:t>
      </w:r>
      <w:r>
        <w:rPr>
          <w:rFonts w:hint="eastAsia" w:ascii="宋体" w:hAnsi="宋体" w:cs="宋体"/>
          <w:b/>
          <w:bCs/>
          <w:color w:val="auto"/>
          <w:szCs w:val="21"/>
          <w:highlight w:val="none"/>
          <w:u w:val="none"/>
        </w:rPr>
        <w:t>报价</w:t>
      </w:r>
      <w:r>
        <w:rPr>
          <w:rFonts w:hint="eastAsia" w:ascii="宋体" w:hAnsi="宋体" w:cs="宋体"/>
          <w:b/>
          <w:bCs/>
          <w:color w:val="auto"/>
          <w:szCs w:val="21"/>
          <w:highlight w:val="none"/>
          <w:u w:val="none"/>
          <w:lang w:val="en-US" w:eastAsia="zh-CN"/>
        </w:rPr>
        <w:t>不得</w:t>
      </w:r>
      <w:r>
        <w:rPr>
          <w:rFonts w:hint="eastAsia" w:ascii="宋体" w:hAnsi="宋体" w:cs="宋体"/>
          <w:b/>
          <w:bCs/>
          <w:color w:val="auto"/>
          <w:szCs w:val="21"/>
          <w:highlight w:val="none"/>
          <w:u w:val="none"/>
        </w:rPr>
        <w:t>超过</w:t>
      </w:r>
      <w:r>
        <w:rPr>
          <w:rFonts w:hint="eastAsia" w:ascii="宋体" w:hAnsi="宋体" w:cs="宋体"/>
          <w:b/>
          <w:bCs/>
          <w:color w:val="auto"/>
          <w:szCs w:val="21"/>
          <w:highlight w:val="none"/>
          <w:u w:val="none"/>
          <w:lang w:val="en-US" w:eastAsia="zh-CN"/>
        </w:rPr>
        <w:t>本项目的</w:t>
      </w:r>
      <w:r>
        <w:rPr>
          <w:rFonts w:hint="eastAsia" w:ascii="宋体" w:hAnsi="宋体" w:cs="宋体"/>
          <w:b/>
          <w:bCs/>
          <w:color w:val="auto"/>
          <w:szCs w:val="21"/>
          <w:highlight w:val="none"/>
          <w:u w:val="none"/>
        </w:rPr>
        <w:t>最高投标限价</w:t>
      </w:r>
      <w:r>
        <w:rPr>
          <w:rFonts w:hint="eastAsia"/>
          <w:b/>
          <w:bCs/>
          <w:color w:val="auto"/>
          <w:highlight w:val="none"/>
          <w:u w:val="none"/>
        </w:rPr>
        <w:t>。</w:t>
      </w:r>
    </w:p>
    <w:p w14:paraId="08625C83">
      <w:pPr>
        <w:spacing w:line="480" w:lineRule="exact"/>
        <w:ind w:firstLine="0" w:firstLineChars="0"/>
        <w:jc w:val="left"/>
        <w:rPr>
          <w:rFonts w:hint="eastAsia" w:ascii="宋体" w:hAnsi="宋体" w:cs="宋体"/>
          <w:color w:val="auto"/>
          <w:sz w:val="24"/>
          <w:szCs w:val="24"/>
          <w:highlight w:val="none"/>
        </w:rPr>
      </w:pPr>
    </w:p>
    <w:p w14:paraId="737B0C22">
      <w:pPr>
        <w:spacing w:line="480" w:lineRule="exact"/>
        <w:ind w:firstLine="2880" w:firstLineChars="1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投标人：</w:t>
      </w:r>
    </w:p>
    <w:p w14:paraId="58DFACC5">
      <w:pPr>
        <w:spacing w:line="440" w:lineRule="exact"/>
        <w:ind w:firstLine="2880" w:firstLineChars="1200"/>
        <w:rPr>
          <w:rFonts w:ascii="宋体" w:hAnsi="宋体"/>
          <w:color w:val="auto"/>
          <w:sz w:val="20"/>
          <w:highlight w:val="none"/>
        </w:rPr>
      </w:pPr>
      <w:r>
        <w:rPr>
          <w:rFonts w:hint="eastAsia" w:ascii="宋体" w:hAnsi="宋体" w:cs="宋体"/>
          <w:color w:val="auto"/>
          <w:sz w:val="24"/>
          <w:szCs w:val="24"/>
          <w:highlight w:val="none"/>
        </w:rPr>
        <w:t>日期：  年  月  日</w:t>
      </w:r>
    </w:p>
    <w:p w14:paraId="5A3B3BE9">
      <w:pPr>
        <w:spacing w:line="440" w:lineRule="exact"/>
        <w:ind w:firstLine="420" w:firstLineChars="200"/>
        <w:rPr>
          <w:rFonts w:ascii="宋体" w:hAnsi="宋体"/>
          <w:color w:val="auto"/>
          <w:szCs w:val="21"/>
          <w:highlight w:val="none"/>
        </w:rPr>
      </w:pPr>
      <w:r>
        <w:rPr>
          <w:rFonts w:ascii="宋体" w:hAnsi="宋体"/>
          <w:color w:val="auto"/>
          <w:szCs w:val="21"/>
          <w:highlight w:val="none"/>
        </w:rPr>
        <w:br w:type="page"/>
      </w:r>
    </w:p>
    <w:bookmarkEnd w:id="380"/>
    <w:bookmarkEnd w:id="381"/>
    <w:bookmarkEnd w:id="382"/>
    <w:bookmarkEnd w:id="383"/>
    <w:bookmarkEnd w:id="384"/>
    <w:bookmarkEnd w:id="385"/>
    <w:bookmarkEnd w:id="386"/>
    <w:bookmarkEnd w:id="387"/>
    <w:bookmarkEnd w:id="388"/>
    <w:bookmarkEnd w:id="389"/>
    <w:bookmarkEnd w:id="390"/>
    <w:p w14:paraId="598BFC30">
      <w:pPr>
        <w:spacing w:line="600" w:lineRule="auto"/>
        <w:jc w:val="left"/>
        <w:outlineLvl w:val="1"/>
        <w:rPr>
          <w:rFonts w:ascii="宋体" w:hAnsi="宋体"/>
          <w:b/>
          <w:bCs/>
          <w:color w:val="auto"/>
          <w:kern w:val="0"/>
          <w:sz w:val="30"/>
          <w:szCs w:val="30"/>
          <w:highlight w:val="none"/>
        </w:rPr>
      </w:pPr>
      <w:bookmarkStart w:id="399" w:name="_Toc535938754"/>
      <w:bookmarkStart w:id="400" w:name="_Toc529196603"/>
      <w:bookmarkStart w:id="401" w:name="_Toc530470646"/>
      <w:bookmarkStart w:id="402" w:name="_Toc492300723"/>
      <w:bookmarkStart w:id="403" w:name="_Toc515450416"/>
      <w:bookmarkStart w:id="404" w:name="_Toc516145374"/>
      <w:r>
        <w:rPr>
          <w:rFonts w:hint="eastAsia" w:ascii="宋体" w:hAnsi="宋体"/>
          <w:b/>
          <w:bCs/>
          <w:color w:val="auto"/>
          <w:kern w:val="0"/>
          <w:sz w:val="30"/>
          <w:szCs w:val="30"/>
          <w:highlight w:val="none"/>
        </w:rPr>
        <w:t>二、法定代表人身份证明或授权委托书（格式可自定）</w:t>
      </w:r>
      <w:bookmarkEnd w:id="399"/>
      <w:bookmarkEnd w:id="400"/>
      <w:bookmarkEnd w:id="401"/>
    </w:p>
    <w:p w14:paraId="0B8D9A5A">
      <w:pPr>
        <w:spacing w:line="440" w:lineRule="exact"/>
        <w:jc w:val="center"/>
        <w:rPr>
          <w:rFonts w:ascii="宋体" w:hAnsi="宋体"/>
          <w:color w:val="auto"/>
          <w:highlight w:val="none"/>
        </w:rPr>
      </w:pPr>
      <w:r>
        <w:rPr>
          <w:rFonts w:hint="eastAsia" w:ascii="宋体" w:hAnsi="宋体"/>
          <w:b/>
          <w:color w:val="auto"/>
          <w:sz w:val="32"/>
          <w:szCs w:val="32"/>
          <w:highlight w:val="none"/>
        </w:rPr>
        <w:t>法定代表人身份证明</w:t>
      </w:r>
      <w:bookmarkEnd w:id="402"/>
      <w:bookmarkEnd w:id="403"/>
      <w:bookmarkEnd w:id="404"/>
    </w:p>
    <w:p w14:paraId="64D7B7F0">
      <w:pPr>
        <w:spacing w:line="440" w:lineRule="exact"/>
        <w:rPr>
          <w:rFonts w:ascii="宋体" w:hAnsi="宋体"/>
          <w:color w:val="auto"/>
          <w:highlight w:val="none"/>
        </w:rPr>
      </w:pPr>
      <w:r>
        <w:rPr>
          <w:rFonts w:ascii="宋体" w:hAnsi="宋体"/>
          <w:color w:val="auto"/>
          <w:highlight w:val="none"/>
        </w:rPr>
        <w:t>投标人名称：</w:t>
      </w:r>
      <w:r>
        <w:rPr>
          <w:rFonts w:hint="eastAsia" w:ascii="宋体" w:hAnsi="宋体"/>
          <w:color w:val="auto"/>
          <w:szCs w:val="21"/>
          <w:highlight w:val="none"/>
          <w:u w:val="single"/>
        </w:rPr>
        <w:t xml:space="preserve">                                </w:t>
      </w:r>
    </w:p>
    <w:p w14:paraId="1D6F6E69">
      <w:pPr>
        <w:spacing w:line="440" w:lineRule="exact"/>
        <w:rPr>
          <w:rFonts w:ascii="宋体" w:hAnsi="宋体"/>
          <w:color w:val="auto"/>
          <w:highlight w:val="none"/>
        </w:rPr>
      </w:pPr>
      <w:r>
        <w:rPr>
          <w:rFonts w:ascii="宋体" w:hAnsi="宋体"/>
          <w:color w:val="auto"/>
          <w:highlight w:val="none"/>
        </w:rPr>
        <w:t>姓名：</w:t>
      </w:r>
      <w:r>
        <w:rPr>
          <w:rFonts w:hint="eastAsia" w:ascii="宋体" w:hAnsi="宋体"/>
          <w:color w:val="auto"/>
          <w:szCs w:val="21"/>
          <w:highlight w:val="none"/>
          <w:u w:val="single"/>
        </w:rPr>
        <w:t xml:space="preserve">             </w:t>
      </w:r>
      <w:r>
        <w:rPr>
          <w:rFonts w:ascii="宋体" w:hAnsi="宋体"/>
          <w:color w:val="auto"/>
          <w:highlight w:val="none"/>
        </w:rPr>
        <w:t>性别：</w:t>
      </w:r>
      <w:bookmarkStart w:id="405" w:name="_Toc369531698"/>
      <w:bookmarkStart w:id="406" w:name="_Toc352691662"/>
      <w:bookmarkStart w:id="407" w:name="_Toc27897"/>
      <w:r>
        <w:rPr>
          <w:rFonts w:hint="eastAsia" w:ascii="宋体" w:hAnsi="宋体"/>
          <w:color w:val="auto"/>
          <w:szCs w:val="21"/>
          <w:highlight w:val="none"/>
          <w:u w:val="single"/>
        </w:rPr>
        <w:t xml:space="preserve">             </w:t>
      </w:r>
      <w:r>
        <w:rPr>
          <w:rFonts w:ascii="宋体" w:hAnsi="宋体"/>
          <w:color w:val="auto"/>
          <w:highlight w:val="none"/>
        </w:rPr>
        <w:t>年</w:t>
      </w:r>
      <w:bookmarkEnd w:id="405"/>
      <w:bookmarkEnd w:id="406"/>
      <w:bookmarkEnd w:id="407"/>
      <w:r>
        <w:rPr>
          <w:rFonts w:ascii="宋体" w:hAnsi="宋体"/>
          <w:color w:val="auto"/>
          <w:highlight w:val="none"/>
        </w:rPr>
        <w:t>龄</w:t>
      </w:r>
      <w:bookmarkStart w:id="408" w:name="_Toc247527829"/>
      <w:bookmarkStart w:id="409" w:name="_Toc384308377"/>
      <w:bookmarkStart w:id="410" w:name="_Toc152042578"/>
      <w:bookmarkStart w:id="411" w:name="_Toc144974858"/>
      <w:bookmarkStart w:id="412" w:name="_Toc15573"/>
      <w:bookmarkStart w:id="413" w:name="_Toc361508754"/>
      <w:bookmarkStart w:id="414" w:name="_Toc300835211"/>
      <w:bookmarkStart w:id="415" w:name="_Toc369531699"/>
      <w:bookmarkStart w:id="416" w:name="_Toc247514248"/>
      <w:bookmarkStart w:id="417" w:name="_Toc152045789"/>
      <w:bookmarkStart w:id="418" w:name="_Toc352691663"/>
      <w:r>
        <w:rPr>
          <w:rFonts w:ascii="宋体" w:hAnsi="宋体"/>
          <w:color w:val="auto"/>
          <w:highlight w:val="none"/>
        </w:rPr>
        <w:t>：</w:t>
      </w:r>
      <w:bookmarkEnd w:id="408"/>
      <w:bookmarkEnd w:id="409"/>
      <w:bookmarkEnd w:id="410"/>
      <w:bookmarkEnd w:id="411"/>
      <w:bookmarkEnd w:id="412"/>
      <w:bookmarkEnd w:id="413"/>
      <w:bookmarkEnd w:id="414"/>
      <w:bookmarkEnd w:id="415"/>
      <w:bookmarkEnd w:id="416"/>
      <w:bookmarkEnd w:id="417"/>
      <w:bookmarkEnd w:id="418"/>
      <w:r>
        <w:rPr>
          <w:rFonts w:hint="eastAsia" w:ascii="宋体" w:hAnsi="宋体"/>
          <w:color w:val="auto"/>
          <w:szCs w:val="21"/>
          <w:highlight w:val="none"/>
          <w:u w:val="single"/>
        </w:rPr>
        <w:t xml:space="preserve">             </w:t>
      </w:r>
      <w:r>
        <w:rPr>
          <w:rFonts w:ascii="宋体" w:hAnsi="宋体"/>
          <w:color w:val="auto"/>
          <w:highlight w:val="none"/>
        </w:rPr>
        <w:t>职务：</w:t>
      </w:r>
      <w:r>
        <w:rPr>
          <w:rFonts w:hint="eastAsia" w:ascii="宋体" w:hAnsi="宋体"/>
          <w:color w:val="auto"/>
          <w:szCs w:val="21"/>
          <w:highlight w:val="none"/>
          <w:u w:val="single"/>
        </w:rPr>
        <w:t xml:space="preserve">             </w:t>
      </w:r>
    </w:p>
    <w:p w14:paraId="10C35E7C">
      <w:pPr>
        <w:spacing w:line="440" w:lineRule="exact"/>
        <w:rPr>
          <w:rFonts w:ascii="宋体" w:hAnsi="宋体"/>
          <w:color w:val="auto"/>
          <w:highlight w:val="none"/>
        </w:rPr>
      </w:pPr>
      <w:r>
        <w:rPr>
          <w:rFonts w:ascii="宋体" w:hAnsi="宋体"/>
          <w:color w:val="auto"/>
          <w:highlight w:val="none"/>
        </w:rPr>
        <w:t>系</w:t>
      </w:r>
      <w:r>
        <w:rPr>
          <w:rFonts w:hint="eastAsia" w:ascii="宋体" w:hAnsi="宋体"/>
          <w:color w:val="auto"/>
          <w:szCs w:val="21"/>
          <w:highlight w:val="none"/>
          <w:u w:val="single"/>
        </w:rPr>
        <w:t xml:space="preserve">                               </w:t>
      </w:r>
      <w:r>
        <w:rPr>
          <w:rFonts w:ascii="宋体" w:hAnsi="宋体"/>
          <w:color w:val="auto"/>
          <w:highlight w:val="none"/>
        </w:rPr>
        <w:t>（投标人名称）的法定代表人。</w:t>
      </w:r>
    </w:p>
    <w:p w14:paraId="6DE81956">
      <w:pPr>
        <w:spacing w:line="440" w:lineRule="exact"/>
        <w:ind w:firstLine="420" w:firstLineChars="200"/>
        <w:rPr>
          <w:rFonts w:ascii="宋体" w:hAnsi="宋体"/>
          <w:color w:val="auto"/>
          <w:highlight w:val="none"/>
        </w:rPr>
      </w:pPr>
      <w:r>
        <w:rPr>
          <w:rFonts w:ascii="宋体" w:hAnsi="宋体"/>
          <w:color w:val="auto"/>
          <w:highlight w:val="none"/>
        </w:rPr>
        <w:t>特此证明。</w:t>
      </w:r>
    </w:p>
    <w:p w14:paraId="7F188C35">
      <w:pPr>
        <w:spacing w:line="440" w:lineRule="exact"/>
        <w:rPr>
          <w:rFonts w:ascii="宋体" w:hAnsi="宋体"/>
          <w:color w:val="auto"/>
          <w:highlight w:val="none"/>
        </w:rPr>
      </w:pPr>
    </w:p>
    <w:p w14:paraId="6F188ABB">
      <w:pPr>
        <w:spacing w:line="440" w:lineRule="exact"/>
        <w:rPr>
          <w:rFonts w:ascii="宋体" w:hAnsi="宋体"/>
          <w:color w:val="auto"/>
          <w:highlight w:val="none"/>
        </w:rPr>
      </w:pPr>
      <w:r>
        <w:rPr>
          <w:rFonts w:ascii="宋体" w:hAnsi="宋体"/>
          <w:color w:val="auto"/>
          <w:highlight w:val="none"/>
        </w:rPr>
        <w:t>附：法定代表人身份证扫描件。</w:t>
      </w:r>
    </w:p>
    <w:p w14:paraId="5867F8EA">
      <w:pPr>
        <w:spacing w:line="440" w:lineRule="exact"/>
        <w:rPr>
          <w:rFonts w:ascii="宋体" w:hAnsi="宋体"/>
          <w:color w:val="auto"/>
          <w:highlight w:val="none"/>
        </w:rPr>
      </w:pPr>
    </w:p>
    <w:p w14:paraId="4C23AECC">
      <w:pPr>
        <w:spacing w:line="440" w:lineRule="exact"/>
        <w:rPr>
          <w:rFonts w:ascii="宋体" w:hAnsi="宋体"/>
          <w:color w:val="auto"/>
          <w:highlight w:val="none"/>
        </w:rPr>
      </w:pPr>
      <w:r>
        <w:rPr>
          <w:rFonts w:ascii="宋体" w:hAnsi="宋体"/>
          <w:color w:val="auto"/>
          <w:highlight w:val="none"/>
        </w:rPr>
        <w:t>注：本身份证明需由投标人加盖单位公章。</w:t>
      </w:r>
    </w:p>
    <w:p w14:paraId="1B182DE6">
      <w:pPr>
        <w:spacing w:line="440" w:lineRule="exact"/>
        <w:rPr>
          <w:rFonts w:ascii="宋体" w:hAnsi="宋体"/>
          <w:color w:val="auto"/>
          <w:highlight w:val="none"/>
        </w:rPr>
      </w:pPr>
    </w:p>
    <w:p w14:paraId="5D4BF6A4">
      <w:pPr>
        <w:spacing w:line="440" w:lineRule="exact"/>
        <w:rPr>
          <w:rFonts w:ascii="宋体" w:hAnsi="宋体"/>
          <w:color w:val="auto"/>
          <w:highlight w:val="none"/>
        </w:rPr>
      </w:pPr>
    </w:p>
    <w:p w14:paraId="20C65F89">
      <w:pPr>
        <w:spacing w:line="440" w:lineRule="exact"/>
        <w:jc w:val="center"/>
        <w:rPr>
          <w:rFonts w:ascii="宋体" w:hAnsi="宋体"/>
          <w:color w:val="auto"/>
          <w:highlight w:val="none"/>
        </w:rPr>
      </w:pPr>
      <w:r>
        <w:rPr>
          <w:rFonts w:hint="eastAsia" w:ascii="宋体" w:hAnsi="宋体"/>
          <w:color w:val="auto"/>
          <w:highlight w:val="none"/>
        </w:rPr>
        <w:t xml:space="preserve">                    </w:t>
      </w:r>
      <w:bookmarkStart w:id="419" w:name="_Toc17279"/>
      <w:bookmarkStart w:id="420" w:name="_Toc21557"/>
      <w:r>
        <w:rPr>
          <w:rFonts w:ascii="宋体" w:hAnsi="宋体"/>
          <w:color w:val="auto"/>
          <w:highlight w:val="none"/>
        </w:rPr>
        <w:t>投标人：</w:t>
      </w:r>
      <w:r>
        <w:rPr>
          <w:rFonts w:ascii="宋体" w:hAnsi="宋体"/>
          <w:color w:val="auto"/>
          <w:szCs w:val="21"/>
          <w:highlight w:val="none"/>
          <w:u w:val="single"/>
        </w:rPr>
        <w:tab/>
      </w:r>
      <w:r>
        <w:rPr>
          <w:rFonts w:hint="eastAsia" w:ascii="宋体" w:hAnsi="宋体"/>
          <w:color w:val="auto"/>
          <w:szCs w:val="21"/>
          <w:highlight w:val="none"/>
          <w:u w:val="single"/>
        </w:rPr>
        <w:t xml:space="preserve">                        </w:t>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bookmarkEnd w:id="419"/>
      <w:bookmarkEnd w:id="420"/>
    </w:p>
    <w:p w14:paraId="5D8C16FE">
      <w:pPr>
        <w:spacing w:line="440" w:lineRule="exact"/>
        <w:rPr>
          <w:rFonts w:ascii="宋体" w:hAnsi="宋体"/>
          <w:color w:val="auto"/>
          <w:highlight w:val="none"/>
        </w:rPr>
      </w:pPr>
    </w:p>
    <w:p w14:paraId="27549684">
      <w:pPr>
        <w:spacing w:line="440" w:lineRule="exact"/>
        <w:ind w:firstLine="5040" w:firstLineChars="2400"/>
        <w:rPr>
          <w:rFonts w:ascii="宋体" w:hAnsi="宋体"/>
          <w:color w:val="auto"/>
          <w:highlight w:val="none"/>
        </w:rPr>
      </w:pPr>
      <w:r>
        <w:rPr>
          <w:rFonts w:ascii="宋体" w:hAnsi="宋体"/>
          <w:color w:val="auto"/>
          <w:highlight w:val="none"/>
        </w:rPr>
        <w:t>年</w:t>
      </w:r>
      <w:r>
        <w:rPr>
          <w:rFonts w:hint="eastAsia" w:ascii="宋体" w:hAnsi="宋体"/>
          <w:color w:val="auto"/>
          <w:highlight w:val="none"/>
        </w:rPr>
        <w:t xml:space="preserve">   </w:t>
      </w:r>
      <w:r>
        <w:rPr>
          <w:rFonts w:ascii="宋体" w:hAnsi="宋体"/>
          <w:color w:val="auto"/>
          <w:highlight w:val="none"/>
        </w:rPr>
        <w:t>月</w:t>
      </w:r>
      <w:r>
        <w:rPr>
          <w:rFonts w:hint="eastAsia" w:ascii="宋体" w:hAnsi="宋体"/>
          <w:color w:val="auto"/>
          <w:highlight w:val="none"/>
        </w:rPr>
        <w:t xml:space="preserve">   </w:t>
      </w:r>
      <w:r>
        <w:rPr>
          <w:rFonts w:ascii="宋体" w:hAnsi="宋体"/>
          <w:color w:val="auto"/>
          <w:highlight w:val="none"/>
        </w:rPr>
        <w:t>日</w:t>
      </w:r>
    </w:p>
    <w:p w14:paraId="337E86B2">
      <w:pPr>
        <w:spacing w:line="440" w:lineRule="exact"/>
        <w:rPr>
          <w:rFonts w:ascii="宋体" w:hAnsi="宋体"/>
          <w:color w:val="auto"/>
          <w:sz w:val="20"/>
          <w:highlight w:val="none"/>
        </w:rPr>
      </w:pPr>
    </w:p>
    <w:p w14:paraId="18C0C547">
      <w:pPr>
        <w:rPr>
          <w:rFonts w:hint="eastAsia" w:ascii="宋体" w:hAnsi="宋体"/>
          <w:b/>
          <w:color w:val="auto"/>
          <w:sz w:val="32"/>
          <w:szCs w:val="32"/>
          <w:highlight w:val="none"/>
        </w:rPr>
      </w:pPr>
      <w:r>
        <w:rPr>
          <w:rFonts w:ascii="宋体" w:hAnsi="宋体"/>
          <w:color w:val="auto"/>
          <w:sz w:val="20"/>
          <w:highlight w:val="none"/>
        </w:rPr>
        <w:br w:type="page"/>
      </w:r>
    </w:p>
    <w:p w14:paraId="272A96F4">
      <w:pPr>
        <w:spacing w:line="440" w:lineRule="exact"/>
        <w:jc w:val="center"/>
        <w:rPr>
          <w:rFonts w:ascii="宋体" w:hAnsi="宋体"/>
          <w:color w:val="auto"/>
          <w:highlight w:val="none"/>
        </w:rPr>
      </w:pPr>
      <w:r>
        <w:rPr>
          <w:rFonts w:hint="eastAsia" w:ascii="宋体" w:hAnsi="宋体"/>
          <w:b/>
          <w:color w:val="auto"/>
          <w:sz w:val="32"/>
          <w:szCs w:val="32"/>
          <w:highlight w:val="none"/>
        </w:rPr>
        <w:t>授权委托书</w:t>
      </w:r>
    </w:p>
    <w:p w14:paraId="3BBA8862">
      <w:pPr>
        <w:topLinePunct/>
        <w:spacing w:line="440" w:lineRule="exact"/>
        <w:ind w:firstLine="420" w:firstLineChars="200"/>
        <w:rPr>
          <w:rFonts w:ascii="宋体" w:hAnsi="宋体"/>
          <w:color w:val="auto"/>
          <w:highlight w:val="none"/>
        </w:rPr>
      </w:pPr>
    </w:p>
    <w:p w14:paraId="6BEEAC55">
      <w:pPr>
        <w:topLinePunct/>
        <w:spacing w:line="440" w:lineRule="exact"/>
        <w:ind w:firstLine="420" w:firstLineChars="200"/>
        <w:rPr>
          <w:rFonts w:ascii="宋体" w:hAnsi="宋体"/>
          <w:color w:val="auto"/>
          <w:highlight w:val="none"/>
        </w:rPr>
      </w:pPr>
      <w:r>
        <w:rPr>
          <w:rFonts w:ascii="宋体" w:hAnsi="宋体"/>
          <w:color w:val="auto"/>
          <w:highlight w:val="none"/>
        </w:rPr>
        <w:t>本人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（姓名）系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（投标人名称）的法定代表人，现委托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ascii="宋体" w:hAnsi="宋体"/>
          <w:color w:val="auto"/>
          <w:highlight w:val="none"/>
        </w:rPr>
        <w:t>投标文件、签订合同和处理有关事宜，其法律后果由我方承担。</w:t>
      </w:r>
    </w:p>
    <w:p w14:paraId="410C0CAF">
      <w:pPr>
        <w:spacing w:line="440" w:lineRule="exact"/>
        <w:rPr>
          <w:rFonts w:ascii="宋体" w:hAnsi="宋体"/>
          <w:color w:val="auto"/>
          <w:highlight w:val="none"/>
        </w:rPr>
      </w:pPr>
      <w:r>
        <w:rPr>
          <w:rFonts w:ascii="宋体" w:hAnsi="宋体"/>
          <w:color w:val="auto"/>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120</w:t>
      </w:r>
      <w:r>
        <w:rPr>
          <w:rFonts w:hint="eastAsia" w:ascii="宋体" w:hAnsi="宋体"/>
          <w:color w:val="auto"/>
          <w:szCs w:val="21"/>
          <w:highlight w:val="none"/>
          <w:u w:val="single"/>
        </w:rPr>
        <w:t xml:space="preserve">日历天       </w:t>
      </w:r>
      <w:r>
        <w:rPr>
          <w:rFonts w:ascii="宋体" w:hAnsi="宋体"/>
          <w:color w:val="auto"/>
          <w:highlight w:val="none"/>
        </w:rPr>
        <w:t>。</w:t>
      </w:r>
    </w:p>
    <w:p w14:paraId="0EA9C26E">
      <w:pPr>
        <w:spacing w:line="440" w:lineRule="exact"/>
        <w:ind w:firstLine="420" w:firstLineChars="200"/>
        <w:rPr>
          <w:rFonts w:ascii="宋体" w:hAnsi="宋体"/>
          <w:color w:val="auto"/>
          <w:highlight w:val="none"/>
        </w:rPr>
      </w:pPr>
      <w:r>
        <w:rPr>
          <w:rFonts w:ascii="宋体" w:hAnsi="宋体"/>
          <w:color w:val="auto"/>
          <w:highlight w:val="none"/>
        </w:rPr>
        <w:t>代理人无转委托权。</w:t>
      </w:r>
    </w:p>
    <w:p w14:paraId="7C148FC8">
      <w:pPr>
        <w:spacing w:line="440" w:lineRule="exact"/>
        <w:ind w:firstLine="420" w:firstLineChars="200"/>
        <w:rPr>
          <w:rFonts w:ascii="宋体" w:hAnsi="宋体"/>
          <w:color w:val="auto"/>
          <w:highlight w:val="none"/>
        </w:rPr>
      </w:pPr>
    </w:p>
    <w:p w14:paraId="34E58C59">
      <w:pPr>
        <w:spacing w:line="440" w:lineRule="exact"/>
        <w:rPr>
          <w:rFonts w:ascii="宋体" w:hAnsi="宋体"/>
          <w:color w:val="auto"/>
          <w:highlight w:val="none"/>
        </w:rPr>
      </w:pPr>
      <w:r>
        <w:rPr>
          <w:rFonts w:ascii="宋体" w:hAnsi="宋体"/>
          <w:color w:val="auto"/>
          <w:highlight w:val="none"/>
        </w:rPr>
        <w:t>附：法定代表人身份证扫描件及委托代理人身份证扫描件</w:t>
      </w:r>
    </w:p>
    <w:p w14:paraId="58E8FAA1">
      <w:pPr>
        <w:spacing w:line="440" w:lineRule="exact"/>
        <w:rPr>
          <w:rFonts w:ascii="宋体" w:hAnsi="宋体"/>
          <w:color w:val="auto"/>
          <w:highlight w:val="none"/>
        </w:rPr>
      </w:pPr>
    </w:p>
    <w:p w14:paraId="13E689AF">
      <w:pPr>
        <w:spacing w:line="440" w:lineRule="exact"/>
        <w:rPr>
          <w:rFonts w:ascii="宋体" w:hAnsi="宋体"/>
          <w:color w:val="auto"/>
          <w:highlight w:val="none"/>
        </w:rPr>
      </w:pPr>
      <w:r>
        <w:rPr>
          <w:rFonts w:ascii="宋体" w:hAnsi="宋体"/>
          <w:color w:val="auto"/>
          <w:highlight w:val="none"/>
        </w:rPr>
        <w:t>注：本授权委托书需由投标人加盖单位公章并由其法定代表人和委托代理人签字</w:t>
      </w:r>
      <w:r>
        <w:rPr>
          <w:rFonts w:hint="eastAsia" w:ascii="宋体" w:hAnsi="宋体"/>
          <w:color w:val="auto"/>
          <w:highlight w:val="none"/>
        </w:rPr>
        <w:t>或盖章</w:t>
      </w:r>
      <w:r>
        <w:rPr>
          <w:rFonts w:ascii="宋体" w:hAnsi="宋体"/>
          <w:color w:val="auto"/>
          <w:highlight w:val="none"/>
        </w:rPr>
        <w:t>。</w:t>
      </w:r>
    </w:p>
    <w:p w14:paraId="182796D5">
      <w:pPr>
        <w:spacing w:line="440" w:lineRule="exact"/>
        <w:rPr>
          <w:rFonts w:ascii="宋体" w:hAnsi="宋体"/>
          <w:color w:val="auto"/>
          <w:highlight w:val="none"/>
        </w:rPr>
      </w:pPr>
    </w:p>
    <w:p w14:paraId="6A171520">
      <w:pPr>
        <w:spacing w:line="440" w:lineRule="exact"/>
        <w:ind w:firstLine="2692" w:firstLineChars="1282"/>
        <w:rPr>
          <w:rFonts w:ascii="宋体" w:hAnsi="宋体"/>
          <w:color w:val="auto"/>
          <w:highlight w:val="none"/>
        </w:rPr>
      </w:pPr>
      <w:r>
        <w:rPr>
          <w:rFonts w:ascii="宋体" w:hAnsi="宋体"/>
          <w:color w:val="auto"/>
          <w:highlight w:val="none"/>
        </w:rPr>
        <w:t>投标人：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p>
    <w:p w14:paraId="482FECDC">
      <w:pPr>
        <w:spacing w:line="440" w:lineRule="exact"/>
        <w:ind w:firstLine="2692" w:firstLineChars="1282"/>
        <w:rPr>
          <w:rFonts w:ascii="宋体" w:hAnsi="宋体"/>
          <w:color w:val="auto"/>
          <w:highlight w:val="none"/>
        </w:rPr>
      </w:pPr>
    </w:p>
    <w:p w14:paraId="5F78F06A">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或盖章</w:t>
      </w:r>
      <w:r>
        <w:rPr>
          <w:rFonts w:ascii="宋体" w:hAnsi="宋体"/>
          <w:color w:val="auto"/>
          <w:highlight w:val="none"/>
        </w:rPr>
        <w:t>）</w:t>
      </w:r>
    </w:p>
    <w:p w14:paraId="33CDBF37">
      <w:pPr>
        <w:spacing w:line="440" w:lineRule="exact"/>
        <w:ind w:firstLine="2692" w:firstLineChars="1282"/>
        <w:rPr>
          <w:rFonts w:ascii="宋体" w:hAnsi="宋体"/>
          <w:color w:val="auto"/>
          <w:highlight w:val="none"/>
        </w:rPr>
      </w:pPr>
    </w:p>
    <w:p w14:paraId="3AFAF10A">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p>
    <w:p w14:paraId="54FD9BC1">
      <w:pPr>
        <w:spacing w:line="440" w:lineRule="exact"/>
        <w:ind w:firstLine="2692" w:firstLineChars="1282"/>
        <w:rPr>
          <w:rFonts w:ascii="宋体" w:hAnsi="宋体"/>
          <w:color w:val="auto"/>
          <w:highlight w:val="none"/>
        </w:rPr>
      </w:pPr>
    </w:p>
    <w:p w14:paraId="4FB70F06">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或盖章</w:t>
      </w:r>
      <w:r>
        <w:rPr>
          <w:rFonts w:ascii="宋体" w:hAnsi="宋体"/>
          <w:color w:val="auto"/>
          <w:highlight w:val="none"/>
        </w:rPr>
        <w:t>）</w:t>
      </w:r>
    </w:p>
    <w:p w14:paraId="43771928">
      <w:pPr>
        <w:spacing w:line="440" w:lineRule="exact"/>
        <w:ind w:firstLine="2692" w:firstLineChars="1282"/>
        <w:rPr>
          <w:rFonts w:ascii="宋体" w:hAnsi="宋体"/>
          <w:color w:val="auto"/>
          <w:highlight w:val="none"/>
        </w:rPr>
      </w:pPr>
    </w:p>
    <w:p w14:paraId="51229B61">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p>
    <w:p w14:paraId="0EEC9E3A">
      <w:pPr>
        <w:spacing w:line="440" w:lineRule="exact"/>
        <w:ind w:firstLine="2692" w:firstLineChars="1282"/>
        <w:rPr>
          <w:rFonts w:ascii="宋体" w:hAnsi="宋体"/>
          <w:color w:val="auto"/>
          <w:highlight w:val="none"/>
        </w:rPr>
      </w:pPr>
    </w:p>
    <w:p w14:paraId="2A46563A">
      <w:pPr>
        <w:spacing w:line="440" w:lineRule="exact"/>
        <w:ind w:firstLine="2692" w:firstLineChars="1282"/>
        <w:rPr>
          <w:rFonts w:ascii="宋体" w:hAnsi="宋体"/>
          <w:color w:val="auto"/>
          <w:highlight w:val="none"/>
        </w:rPr>
      </w:pPr>
    </w:p>
    <w:p w14:paraId="70BA66E7">
      <w:pPr>
        <w:spacing w:line="440" w:lineRule="exact"/>
        <w:ind w:firstLine="4057" w:firstLineChars="1932"/>
        <w:jc w:val="right"/>
        <w:rPr>
          <w:rFonts w:ascii="宋体" w:hAnsi="宋体"/>
          <w:color w:val="auto"/>
          <w:highlight w:val="none"/>
        </w:rPr>
      </w:pPr>
      <w:r>
        <w:rPr>
          <w:rFonts w:ascii="宋体" w:hAnsi="宋体"/>
          <w:color w:val="auto"/>
          <w:highlight w:val="none"/>
        </w:rPr>
        <w:t>年</w:t>
      </w:r>
      <w:r>
        <w:rPr>
          <w:rFonts w:hint="eastAsia" w:ascii="宋体" w:hAnsi="宋体"/>
          <w:color w:val="auto"/>
          <w:highlight w:val="none"/>
        </w:rPr>
        <w:t xml:space="preserve">   </w:t>
      </w:r>
      <w:r>
        <w:rPr>
          <w:rFonts w:ascii="宋体" w:hAnsi="宋体"/>
          <w:color w:val="auto"/>
          <w:highlight w:val="none"/>
        </w:rPr>
        <w:t>月</w:t>
      </w:r>
      <w:r>
        <w:rPr>
          <w:rFonts w:hint="eastAsia" w:ascii="宋体" w:hAnsi="宋体"/>
          <w:color w:val="auto"/>
          <w:highlight w:val="none"/>
        </w:rPr>
        <w:t xml:space="preserve">   </w:t>
      </w:r>
      <w:r>
        <w:rPr>
          <w:rFonts w:ascii="宋体" w:hAnsi="宋体"/>
          <w:color w:val="auto"/>
          <w:highlight w:val="none"/>
        </w:rPr>
        <w:t>日</w:t>
      </w:r>
    </w:p>
    <w:p w14:paraId="701259A8">
      <w:pPr>
        <w:spacing w:line="600" w:lineRule="auto"/>
        <w:jc w:val="left"/>
        <w:outlineLvl w:val="1"/>
        <w:rPr>
          <w:rFonts w:hint="eastAsia" w:ascii="宋体" w:hAnsi="宋体"/>
          <w:b/>
          <w:bCs/>
          <w:color w:val="auto"/>
          <w:kern w:val="0"/>
          <w:sz w:val="30"/>
          <w:szCs w:val="30"/>
          <w:highlight w:val="none"/>
        </w:rPr>
      </w:pPr>
      <w:r>
        <w:rPr>
          <w:rFonts w:ascii="宋体" w:hAnsi="宋体"/>
          <w:color w:val="auto"/>
          <w:highlight w:val="none"/>
        </w:rPr>
        <w:br w:type="page"/>
      </w:r>
      <w:bookmarkStart w:id="421" w:name="_Toc30672"/>
      <w:bookmarkStart w:id="422" w:name="_Toc8916"/>
      <w:bookmarkStart w:id="423" w:name="_Toc515205280"/>
      <w:bookmarkStart w:id="424" w:name="_Toc516145377"/>
      <w:bookmarkStart w:id="425" w:name="_Toc515450421"/>
      <w:bookmarkStart w:id="426" w:name="_Toc492300728"/>
      <w:bookmarkStart w:id="427" w:name="_Toc361508760"/>
      <w:r>
        <w:rPr>
          <w:rFonts w:hint="eastAsia" w:ascii="宋体" w:hAnsi="宋体"/>
          <w:b/>
          <w:bCs/>
          <w:color w:val="auto"/>
          <w:kern w:val="0"/>
          <w:sz w:val="30"/>
          <w:szCs w:val="30"/>
          <w:highlight w:val="none"/>
        </w:rPr>
        <w:t>三、</w:t>
      </w:r>
      <w:bookmarkEnd w:id="421"/>
      <w:bookmarkEnd w:id="422"/>
      <w:bookmarkEnd w:id="423"/>
      <w:bookmarkEnd w:id="424"/>
      <w:r>
        <w:rPr>
          <w:rFonts w:hint="eastAsia" w:ascii="宋体" w:hAnsi="宋体"/>
          <w:b/>
          <w:bCs/>
          <w:color w:val="auto"/>
          <w:kern w:val="0"/>
          <w:sz w:val="30"/>
          <w:szCs w:val="30"/>
          <w:highlight w:val="none"/>
        </w:rPr>
        <w:t>监理报酬清单（格式可自定）</w:t>
      </w:r>
    </w:p>
    <w:p w14:paraId="7F43E734">
      <w:pPr>
        <w:spacing w:before="240" w:line="360" w:lineRule="auto"/>
        <w:jc w:val="center"/>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监理费用</w:t>
      </w:r>
      <w:r>
        <w:rPr>
          <w:rFonts w:hint="eastAsia" w:ascii="宋体" w:hAnsi="宋体"/>
          <w:b/>
          <w:color w:val="auto"/>
          <w:sz w:val="28"/>
          <w:szCs w:val="28"/>
          <w:highlight w:val="none"/>
          <w:lang w:val="en-US" w:eastAsia="zh-CN"/>
        </w:rPr>
        <w:t>报价表</w:t>
      </w:r>
    </w:p>
    <w:p w14:paraId="04946F17">
      <w:pPr>
        <w:bidi w:val="0"/>
        <w:rPr>
          <w:rFonts w:hint="default"/>
          <w:color w:val="auto"/>
          <w:highlight w:val="none"/>
          <w:lang w:val="en-US" w:eastAsia="zh-CN"/>
        </w:rPr>
      </w:pPr>
    </w:p>
    <w:tbl>
      <w:tblPr>
        <w:tblStyle w:val="46"/>
        <w:tblW w:w="4997" w:type="pct"/>
        <w:jc w:val="center"/>
        <w:tblLayout w:type="fixed"/>
        <w:tblCellMar>
          <w:top w:w="0" w:type="dxa"/>
          <w:left w:w="0" w:type="dxa"/>
          <w:bottom w:w="0" w:type="dxa"/>
          <w:right w:w="0" w:type="dxa"/>
        </w:tblCellMar>
      </w:tblPr>
      <w:tblGrid>
        <w:gridCol w:w="660"/>
        <w:gridCol w:w="2852"/>
        <w:gridCol w:w="1636"/>
        <w:gridCol w:w="1467"/>
        <w:gridCol w:w="2248"/>
      </w:tblGrid>
      <w:tr w14:paraId="1129E026">
        <w:tblPrEx>
          <w:tblCellMar>
            <w:top w:w="0" w:type="dxa"/>
            <w:left w:w="0" w:type="dxa"/>
            <w:bottom w:w="0" w:type="dxa"/>
            <w:right w:w="0" w:type="dxa"/>
          </w:tblCellMar>
        </w:tblPrEx>
        <w:trPr>
          <w:trHeight w:val="620" w:hRule="atLeast"/>
          <w:jc w:val="center"/>
        </w:trPr>
        <w:tc>
          <w:tcPr>
            <w:tcW w:w="3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BF00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160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72F92B9">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事项</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4B53C">
            <w:pPr>
              <w:keepNext w:val="0"/>
              <w:keepLines w:val="0"/>
              <w:widowControl/>
              <w:suppressLineNumbers w:val="0"/>
              <w:jc w:val="center"/>
              <w:textAlignment w:val="center"/>
              <w:rPr>
                <w:rFonts w:hint="default"/>
                <w:color w:val="auto"/>
                <w:highlight w:val="none"/>
                <w:lang w:val="en-US"/>
              </w:rPr>
            </w:pP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C79D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7E69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r>
      <w:tr w14:paraId="72A42894">
        <w:tblPrEx>
          <w:tblCellMar>
            <w:top w:w="0" w:type="dxa"/>
            <w:left w:w="0" w:type="dxa"/>
            <w:bottom w:w="0" w:type="dxa"/>
            <w:right w:w="0" w:type="dxa"/>
          </w:tblCellMar>
        </w:tblPrEx>
        <w:trPr>
          <w:trHeight w:val="540" w:hRule="atLeast"/>
          <w:jc w:val="center"/>
        </w:trPr>
        <w:tc>
          <w:tcPr>
            <w:tcW w:w="3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A033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E8329">
            <w:pPr>
              <w:widowControl/>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color w:val="auto"/>
                <w:sz w:val="22"/>
                <w:szCs w:val="22"/>
                <w:highlight w:val="none"/>
                <w:lang w:val="en-US" w:eastAsia="zh-CN"/>
              </w:rPr>
              <w:t>监理酬金</w:t>
            </w:r>
          </w:p>
        </w:tc>
        <w:tc>
          <w:tcPr>
            <w:tcW w:w="9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8893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p>
        </w:tc>
        <w:tc>
          <w:tcPr>
            <w:tcW w:w="8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0F78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p>
        </w:tc>
        <w:tc>
          <w:tcPr>
            <w:tcW w:w="12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3058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p>
        </w:tc>
      </w:tr>
      <w:tr w14:paraId="56B8EBC3">
        <w:tblPrEx>
          <w:tblCellMar>
            <w:top w:w="0" w:type="dxa"/>
            <w:left w:w="0" w:type="dxa"/>
            <w:bottom w:w="0" w:type="dxa"/>
            <w:right w:w="0" w:type="dxa"/>
          </w:tblCellMar>
        </w:tblPrEx>
        <w:trPr>
          <w:trHeight w:val="536" w:hRule="atLeast"/>
          <w:jc w:val="center"/>
        </w:trPr>
        <w:tc>
          <w:tcPr>
            <w:tcW w:w="3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5C0E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16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393F2">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474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130B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p>
        </w:tc>
        <w:tc>
          <w:tcPr>
            <w:tcW w:w="12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16FD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p>
        </w:tc>
      </w:tr>
      <w:tr w14:paraId="5490117A">
        <w:tblPrEx>
          <w:tblCellMar>
            <w:top w:w="0" w:type="dxa"/>
            <w:left w:w="0" w:type="dxa"/>
            <w:bottom w:w="0" w:type="dxa"/>
            <w:right w:w="0" w:type="dxa"/>
          </w:tblCellMar>
        </w:tblPrEx>
        <w:trPr>
          <w:trHeight w:val="540" w:hRule="atLeast"/>
          <w:jc w:val="center"/>
        </w:trPr>
        <w:tc>
          <w:tcPr>
            <w:tcW w:w="198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FD98E">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含税合计(元）：</w:t>
            </w:r>
          </w:p>
        </w:tc>
        <w:tc>
          <w:tcPr>
            <w:tcW w:w="3018"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545E2">
            <w:pPr>
              <w:jc w:val="center"/>
              <w:rPr>
                <w:rFonts w:hint="eastAsia" w:ascii="宋体" w:hAnsi="宋体" w:eastAsia="宋体" w:cs="宋体"/>
                <w:b/>
                <w:bCs/>
                <w:i w:val="0"/>
                <w:color w:val="auto"/>
                <w:sz w:val="22"/>
                <w:szCs w:val="22"/>
                <w:highlight w:val="none"/>
                <w:u w:val="none"/>
                <w:lang w:val="en-US" w:eastAsia="zh-CN"/>
              </w:rPr>
            </w:pPr>
          </w:p>
        </w:tc>
      </w:tr>
    </w:tbl>
    <w:p w14:paraId="4681981C">
      <w:pPr>
        <w:pStyle w:val="112"/>
        <w:ind w:firstLine="0" w:firstLineChars="0"/>
        <w:rPr>
          <w:rFonts w:hint="eastAsia" w:ascii="宋体" w:hAnsi="宋体" w:cs="宋体"/>
          <w:b/>
          <w:bCs/>
          <w:color w:val="auto"/>
          <w:highlight w:val="none"/>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1.</w:t>
      </w:r>
      <w:r>
        <w:rPr>
          <w:rFonts w:hint="eastAsia" w:ascii="宋体" w:hAnsi="宋体" w:cs="宋体"/>
          <w:b/>
          <w:bCs/>
          <w:color w:val="auto"/>
          <w:highlight w:val="none"/>
          <w:lang w:eastAsia="zh-CN"/>
        </w:rPr>
        <w:t>监理费</w:t>
      </w:r>
      <w:r>
        <w:rPr>
          <w:rFonts w:hint="eastAsia" w:ascii="宋体" w:hAnsi="宋体" w:cs="宋体"/>
          <w:b/>
          <w:bCs/>
          <w:color w:val="auto"/>
          <w:highlight w:val="none"/>
          <w:lang w:val="en-US" w:eastAsia="zh-CN"/>
        </w:rPr>
        <w:t>用报价表含税</w:t>
      </w:r>
      <w:r>
        <w:rPr>
          <w:rFonts w:hint="eastAsia" w:ascii="宋体" w:hAnsi="宋体" w:cs="宋体"/>
          <w:b/>
          <w:bCs/>
          <w:color w:val="auto"/>
          <w:highlight w:val="none"/>
          <w:lang w:eastAsia="zh-CN"/>
        </w:rPr>
        <w:t>合计</w:t>
      </w:r>
      <w:r>
        <w:rPr>
          <w:rFonts w:hint="eastAsia" w:ascii="宋体" w:hAnsi="宋体" w:cs="宋体"/>
          <w:b/>
          <w:bCs/>
          <w:color w:val="auto"/>
          <w:highlight w:val="none"/>
        </w:rPr>
        <w:t>应与投标</w:t>
      </w:r>
      <w:r>
        <w:rPr>
          <w:rFonts w:hint="eastAsia" w:ascii="宋体" w:hAnsi="宋体" w:cs="宋体"/>
          <w:b/>
          <w:bCs/>
          <w:color w:val="auto"/>
          <w:highlight w:val="none"/>
          <w:u w:val="none"/>
          <w:lang w:val="en-US" w:eastAsia="zh-CN"/>
        </w:rPr>
        <w:t>函附录</w:t>
      </w:r>
      <w:r>
        <w:rPr>
          <w:rFonts w:hint="eastAsia" w:ascii="宋体" w:hAnsi="宋体" w:cs="宋体"/>
          <w:b/>
          <w:bCs/>
          <w:color w:val="auto"/>
          <w:highlight w:val="none"/>
        </w:rPr>
        <w:t>的</w:t>
      </w:r>
      <w:r>
        <w:rPr>
          <w:rFonts w:hint="eastAsia" w:ascii="宋体" w:hAnsi="宋体" w:cs="宋体"/>
          <w:b/>
          <w:bCs/>
          <w:color w:val="auto"/>
          <w:highlight w:val="none"/>
          <w:lang w:val="en-US" w:eastAsia="zh-CN"/>
        </w:rPr>
        <w:t>投标总</w:t>
      </w:r>
      <w:r>
        <w:rPr>
          <w:rFonts w:hint="eastAsia" w:ascii="宋体" w:hAnsi="宋体" w:cs="宋体"/>
          <w:b/>
          <w:bCs/>
          <w:color w:val="auto"/>
          <w:highlight w:val="none"/>
        </w:rPr>
        <w:t>报价一致。</w:t>
      </w:r>
    </w:p>
    <w:p w14:paraId="5E8C7C2B">
      <w:pPr>
        <w:pStyle w:val="112"/>
        <w:ind w:firstLine="496"/>
        <w:rPr>
          <w:rFonts w:hint="eastAsia" w:ascii="宋体" w:hAnsi="宋体" w:cs="宋体"/>
          <w:b/>
          <w:bCs/>
          <w:color w:val="auto"/>
          <w:highlight w:val="none"/>
          <w:lang w:eastAsia="zh-CN"/>
        </w:rPr>
      </w:pPr>
      <w:r>
        <w:rPr>
          <w:rFonts w:hint="eastAsia" w:ascii="宋体" w:hAnsi="宋体" w:cs="宋体"/>
          <w:b/>
          <w:bCs/>
          <w:color w:val="auto"/>
          <w:highlight w:val="none"/>
          <w:lang w:val="en-US" w:eastAsia="zh-CN"/>
        </w:rPr>
        <w:t>2.</w:t>
      </w:r>
      <w:r>
        <w:rPr>
          <w:rFonts w:hint="eastAsia" w:ascii="宋体" w:hAnsi="宋体" w:cs="宋体"/>
          <w:b/>
          <w:bCs/>
          <w:color w:val="auto"/>
          <w:highlight w:val="none"/>
        </w:rPr>
        <w:t>报价</w:t>
      </w:r>
      <w:r>
        <w:rPr>
          <w:rFonts w:hint="eastAsia" w:ascii="宋体" w:hAnsi="宋体" w:cs="宋体"/>
          <w:b/>
          <w:bCs/>
          <w:color w:val="auto"/>
          <w:szCs w:val="21"/>
          <w:highlight w:val="none"/>
        </w:rPr>
        <w:t>小数点后保留两位小数，第三位小数四舍五入。</w:t>
      </w:r>
    </w:p>
    <w:p w14:paraId="33936E8D">
      <w:pPr>
        <w:pStyle w:val="112"/>
        <w:ind w:firstLine="496"/>
        <w:rPr>
          <w:rFonts w:hint="eastAsia" w:ascii="宋体" w:hAnsi="宋体" w:cs="宋体"/>
          <w:b/>
          <w:bCs/>
          <w:color w:val="auto"/>
          <w:highlight w:val="none"/>
          <w:lang w:eastAsia="zh-CN"/>
        </w:rPr>
      </w:pPr>
      <w:r>
        <w:rPr>
          <w:rFonts w:hint="eastAsia" w:ascii="宋体" w:hAnsi="宋体" w:cs="宋体"/>
          <w:b/>
          <w:bCs/>
          <w:color w:val="auto"/>
          <w:highlight w:val="none"/>
          <w:lang w:val="en-US" w:eastAsia="zh-CN"/>
        </w:rPr>
        <w:t>3.投标报价已包含投标人为实施和完成本项目所需的的全部费用，具体的服务要求及结算方式等内容详见招标文件及合同。</w:t>
      </w:r>
    </w:p>
    <w:p w14:paraId="6C739A82">
      <w:pPr>
        <w:spacing w:line="480" w:lineRule="exact"/>
        <w:ind w:firstLine="2880" w:firstLineChars="1200"/>
        <w:jc w:val="left"/>
        <w:rPr>
          <w:rFonts w:hint="eastAsia" w:ascii="宋体" w:hAnsi="宋体" w:cs="宋体"/>
          <w:color w:val="auto"/>
          <w:sz w:val="24"/>
          <w:szCs w:val="24"/>
          <w:highlight w:val="none"/>
        </w:rPr>
      </w:pPr>
    </w:p>
    <w:p w14:paraId="6437C24A">
      <w:pPr>
        <w:spacing w:line="480" w:lineRule="exact"/>
        <w:ind w:firstLine="2880" w:firstLineChars="1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投标人：</w:t>
      </w:r>
    </w:p>
    <w:p w14:paraId="3E365AFC">
      <w:pPr>
        <w:spacing w:line="440" w:lineRule="exact"/>
        <w:ind w:firstLine="2880" w:firstLineChars="1200"/>
        <w:rPr>
          <w:rFonts w:ascii="宋体" w:hAnsi="宋体"/>
          <w:color w:val="auto"/>
          <w:sz w:val="20"/>
          <w:highlight w:val="none"/>
        </w:rPr>
      </w:pPr>
      <w:r>
        <w:rPr>
          <w:rFonts w:hint="eastAsia" w:ascii="宋体" w:hAnsi="宋体" w:cs="宋体"/>
          <w:color w:val="auto"/>
          <w:sz w:val="24"/>
          <w:szCs w:val="24"/>
          <w:highlight w:val="none"/>
        </w:rPr>
        <w:t>日期：  年  月  日</w:t>
      </w:r>
    </w:p>
    <w:p w14:paraId="4E30B44F">
      <w:pPr>
        <w:widowControl/>
        <w:spacing w:line="360" w:lineRule="auto"/>
        <w:jc w:val="left"/>
        <w:rPr>
          <w:rFonts w:ascii="宋体" w:hAnsi="宋体"/>
          <w:b/>
          <w:bCs/>
          <w:color w:val="auto"/>
          <w:sz w:val="32"/>
          <w:szCs w:val="32"/>
          <w:highlight w:val="none"/>
        </w:rPr>
      </w:pPr>
      <w:r>
        <w:rPr>
          <w:rFonts w:ascii="宋体" w:hAnsi="宋体"/>
          <w:color w:val="auto"/>
          <w:highlight w:val="none"/>
        </w:rPr>
        <w:br w:type="page"/>
      </w:r>
      <w:bookmarkEnd w:id="425"/>
      <w:bookmarkEnd w:id="426"/>
      <w:bookmarkEnd w:id="427"/>
      <w:bookmarkStart w:id="428" w:name="_Toc9088"/>
      <w:r>
        <w:rPr>
          <w:rFonts w:hint="eastAsia" w:ascii="宋体" w:hAnsi="宋体"/>
          <w:b/>
          <w:bCs/>
          <w:color w:val="auto"/>
          <w:sz w:val="32"/>
          <w:szCs w:val="32"/>
          <w:highlight w:val="none"/>
        </w:rPr>
        <w:t>四、</w:t>
      </w:r>
      <w:r>
        <w:rPr>
          <w:rFonts w:ascii="宋体" w:hAnsi="宋体"/>
          <w:b/>
          <w:bCs/>
          <w:color w:val="auto"/>
          <w:sz w:val="32"/>
          <w:szCs w:val="32"/>
          <w:highlight w:val="none"/>
        </w:rPr>
        <w:t>资格审查资料</w:t>
      </w:r>
      <w:r>
        <w:rPr>
          <w:rFonts w:hint="eastAsia" w:ascii="宋体" w:hAnsi="宋体"/>
          <w:b/>
          <w:bCs/>
          <w:color w:val="auto"/>
          <w:kern w:val="0"/>
          <w:sz w:val="32"/>
          <w:szCs w:val="32"/>
          <w:highlight w:val="none"/>
        </w:rPr>
        <w:t>（格式可自定）</w:t>
      </w:r>
    </w:p>
    <w:p w14:paraId="15324C0A">
      <w:pPr>
        <w:jc w:val="center"/>
        <w:rPr>
          <w:rFonts w:ascii="宋体" w:hAnsi="宋体" w:cs="宋体"/>
          <w:b/>
          <w:color w:val="auto"/>
          <w:sz w:val="32"/>
          <w:szCs w:val="32"/>
          <w:highlight w:val="none"/>
        </w:rPr>
      </w:pPr>
      <w:bookmarkStart w:id="429" w:name="_Toc32629"/>
      <w:bookmarkStart w:id="430" w:name="_Toc526786515"/>
      <w:bookmarkStart w:id="431" w:name="_Toc4257"/>
      <w:r>
        <w:rPr>
          <w:rFonts w:hint="eastAsia" w:ascii="宋体" w:hAnsi="宋体" w:cs="宋体"/>
          <w:b/>
          <w:color w:val="auto"/>
          <w:sz w:val="32"/>
          <w:szCs w:val="32"/>
          <w:highlight w:val="none"/>
        </w:rPr>
        <w:t>资格审查资料</w:t>
      </w:r>
    </w:p>
    <w:tbl>
      <w:tblPr>
        <w:tblStyle w:val="4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8040"/>
      </w:tblGrid>
      <w:tr w14:paraId="74F2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8" w:type="dxa"/>
            <w:tcBorders>
              <w:top w:val="single" w:color="auto" w:sz="4" w:space="0"/>
              <w:left w:val="single" w:color="auto" w:sz="4" w:space="0"/>
              <w:bottom w:val="single" w:color="auto" w:sz="4" w:space="0"/>
              <w:right w:val="single" w:color="auto" w:sz="4" w:space="0"/>
            </w:tcBorders>
            <w:vAlign w:val="center"/>
          </w:tcPr>
          <w:p w14:paraId="36A0AE3C">
            <w:pPr>
              <w:tabs>
                <w:tab w:val="left" w:pos="720"/>
              </w:tabs>
              <w:snapToGrid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8040" w:type="dxa"/>
            <w:tcBorders>
              <w:top w:val="single" w:color="auto" w:sz="4" w:space="0"/>
              <w:left w:val="single" w:color="auto" w:sz="4" w:space="0"/>
              <w:bottom w:val="single" w:color="auto" w:sz="4" w:space="0"/>
              <w:right w:val="single" w:color="auto" w:sz="4" w:space="0"/>
            </w:tcBorders>
            <w:vAlign w:val="center"/>
          </w:tcPr>
          <w:p w14:paraId="6975DD16">
            <w:pPr>
              <w:tabs>
                <w:tab w:val="left" w:pos="720"/>
              </w:tabs>
              <w:snapToGrid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审查内容</w:t>
            </w:r>
          </w:p>
        </w:tc>
      </w:tr>
      <w:tr w14:paraId="628E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68" w:type="dxa"/>
            <w:tcBorders>
              <w:top w:val="single" w:color="auto" w:sz="4" w:space="0"/>
              <w:left w:val="single" w:color="auto" w:sz="4" w:space="0"/>
              <w:bottom w:val="single" w:color="auto" w:sz="4" w:space="0"/>
              <w:right w:val="single" w:color="auto" w:sz="4" w:space="0"/>
            </w:tcBorders>
            <w:vAlign w:val="center"/>
          </w:tcPr>
          <w:p w14:paraId="36F4BD87">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40" w:type="dxa"/>
            <w:tcBorders>
              <w:top w:val="single" w:color="auto" w:sz="4" w:space="0"/>
              <w:left w:val="single" w:color="auto" w:sz="4" w:space="0"/>
              <w:bottom w:val="single" w:color="auto" w:sz="4" w:space="0"/>
              <w:right w:val="single" w:color="auto" w:sz="4" w:space="0"/>
            </w:tcBorders>
            <w:vAlign w:val="center"/>
          </w:tcPr>
          <w:p w14:paraId="66F99D5C">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营业执照</w:t>
            </w:r>
            <w:r>
              <w:rPr>
                <w:rFonts w:hint="eastAsia" w:ascii="宋体" w:hAnsi="宋体" w:cs="宋体"/>
                <w:color w:val="auto"/>
                <w:sz w:val="28"/>
                <w:szCs w:val="28"/>
                <w:highlight w:val="none"/>
                <w:lang w:val="en-US" w:eastAsia="zh-CN"/>
              </w:rPr>
              <w:t>等</w:t>
            </w:r>
            <w:r>
              <w:rPr>
                <w:rFonts w:ascii="宋体" w:hAnsi="宋体" w:cs="宋体"/>
                <w:color w:val="auto"/>
                <w:sz w:val="28"/>
                <w:szCs w:val="28"/>
                <w:highlight w:val="none"/>
              </w:rPr>
              <w:t>扫描件</w:t>
            </w:r>
          </w:p>
        </w:tc>
      </w:tr>
      <w:tr w14:paraId="39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68" w:type="dxa"/>
            <w:tcBorders>
              <w:top w:val="single" w:color="auto" w:sz="4" w:space="0"/>
              <w:left w:val="single" w:color="auto" w:sz="4" w:space="0"/>
              <w:bottom w:val="single" w:color="auto" w:sz="4" w:space="0"/>
              <w:right w:val="single" w:color="auto" w:sz="4" w:space="0"/>
            </w:tcBorders>
            <w:vAlign w:val="center"/>
          </w:tcPr>
          <w:p w14:paraId="74FE817B">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8040" w:type="dxa"/>
            <w:tcBorders>
              <w:top w:val="single" w:color="auto" w:sz="4" w:space="0"/>
              <w:left w:val="single" w:color="auto" w:sz="4" w:space="0"/>
              <w:bottom w:val="single" w:color="auto" w:sz="4" w:space="0"/>
              <w:right w:val="single" w:color="auto" w:sz="4" w:space="0"/>
            </w:tcBorders>
            <w:vAlign w:val="center"/>
          </w:tcPr>
          <w:p w14:paraId="5473DAAB">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资质证书</w:t>
            </w:r>
            <w:r>
              <w:rPr>
                <w:rFonts w:ascii="宋体" w:hAnsi="宋体" w:cs="宋体"/>
                <w:color w:val="auto"/>
                <w:sz w:val="28"/>
                <w:szCs w:val="28"/>
                <w:highlight w:val="none"/>
              </w:rPr>
              <w:t>扫描件</w:t>
            </w:r>
          </w:p>
        </w:tc>
      </w:tr>
      <w:tr w14:paraId="7DC0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68" w:type="dxa"/>
            <w:tcBorders>
              <w:top w:val="single" w:color="auto" w:sz="4" w:space="0"/>
              <w:left w:val="single" w:color="auto" w:sz="4" w:space="0"/>
              <w:bottom w:val="single" w:color="auto" w:sz="4" w:space="0"/>
              <w:right w:val="single" w:color="auto" w:sz="4" w:space="0"/>
            </w:tcBorders>
            <w:vAlign w:val="center"/>
          </w:tcPr>
          <w:p w14:paraId="7E684895">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8040" w:type="dxa"/>
            <w:tcBorders>
              <w:top w:val="single" w:color="auto" w:sz="4" w:space="0"/>
              <w:left w:val="single" w:color="auto" w:sz="4" w:space="0"/>
              <w:bottom w:val="single" w:color="auto" w:sz="4" w:space="0"/>
              <w:right w:val="single" w:color="auto" w:sz="4" w:space="0"/>
            </w:tcBorders>
            <w:vAlign w:val="center"/>
          </w:tcPr>
          <w:p w14:paraId="4F25E52B">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拟派项目总监理工程师证明资料</w:t>
            </w:r>
          </w:p>
        </w:tc>
      </w:tr>
      <w:tr w14:paraId="7C5B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8" w:type="dxa"/>
            <w:tcBorders>
              <w:top w:val="single" w:color="auto" w:sz="4" w:space="0"/>
              <w:left w:val="single" w:color="auto" w:sz="4" w:space="0"/>
              <w:bottom w:val="single" w:color="auto" w:sz="4" w:space="0"/>
              <w:right w:val="single" w:color="auto" w:sz="4" w:space="0"/>
            </w:tcBorders>
            <w:vAlign w:val="center"/>
          </w:tcPr>
          <w:p w14:paraId="4BC92315">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4</w:t>
            </w:r>
          </w:p>
        </w:tc>
        <w:tc>
          <w:tcPr>
            <w:tcW w:w="8040" w:type="dxa"/>
            <w:tcBorders>
              <w:top w:val="single" w:color="auto" w:sz="4" w:space="0"/>
              <w:left w:val="single" w:color="auto" w:sz="4" w:space="0"/>
              <w:bottom w:val="single" w:color="auto" w:sz="4" w:space="0"/>
              <w:right w:val="single" w:color="auto" w:sz="4" w:space="0"/>
            </w:tcBorders>
            <w:vAlign w:val="center"/>
          </w:tcPr>
          <w:p w14:paraId="087A6201">
            <w:pPr>
              <w:tabs>
                <w:tab w:val="left" w:pos="720"/>
              </w:tabs>
              <w:snapToGrid w:val="0"/>
              <w:rPr>
                <w:rFonts w:ascii="宋体" w:hAnsi="宋体" w:cs="宋体"/>
                <w:color w:val="auto"/>
                <w:sz w:val="28"/>
                <w:szCs w:val="28"/>
                <w:highlight w:val="none"/>
              </w:rPr>
            </w:pPr>
            <w:r>
              <w:rPr>
                <w:rFonts w:ascii="宋体" w:hAnsi="宋体" w:cs="宋体"/>
                <w:color w:val="auto"/>
                <w:sz w:val="28"/>
                <w:szCs w:val="28"/>
                <w:highlight w:val="none"/>
              </w:rPr>
              <w:t>其他</w:t>
            </w:r>
            <w:r>
              <w:rPr>
                <w:rFonts w:hint="eastAsia" w:ascii="宋体" w:hAnsi="宋体" w:cs="宋体"/>
                <w:color w:val="auto"/>
                <w:sz w:val="28"/>
                <w:szCs w:val="28"/>
                <w:highlight w:val="none"/>
              </w:rPr>
              <w:t>证明资料（《投标人声明》格式详见招标公告附件）</w:t>
            </w:r>
          </w:p>
        </w:tc>
      </w:tr>
      <w:tr w14:paraId="6A67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8" w:type="dxa"/>
            <w:tcBorders>
              <w:top w:val="single" w:color="auto" w:sz="4" w:space="0"/>
              <w:left w:val="single" w:color="auto" w:sz="4" w:space="0"/>
              <w:bottom w:val="single" w:color="auto" w:sz="4" w:space="0"/>
              <w:right w:val="single" w:color="auto" w:sz="4" w:space="0"/>
            </w:tcBorders>
            <w:vAlign w:val="center"/>
          </w:tcPr>
          <w:p w14:paraId="57A6C0BB">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5</w:t>
            </w:r>
          </w:p>
        </w:tc>
        <w:tc>
          <w:tcPr>
            <w:tcW w:w="8040" w:type="dxa"/>
            <w:tcBorders>
              <w:top w:val="single" w:color="auto" w:sz="4" w:space="0"/>
              <w:left w:val="single" w:color="auto" w:sz="4" w:space="0"/>
              <w:bottom w:val="single" w:color="auto" w:sz="4" w:space="0"/>
              <w:right w:val="single" w:color="auto" w:sz="4" w:space="0"/>
            </w:tcBorders>
            <w:vAlign w:val="center"/>
          </w:tcPr>
          <w:p w14:paraId="25DC5394">
            <w:pPr>
              <w:tabs>
                <w:tab w:val="left" w:pos="720"/>
              </w:tabs>
              <w:snapToGrid w:val="0"/>
              <w:rPr>
                <w:rFonts w:ascii="宋体" w:hAnsi="宋体" w:cs="宋体"/>
                <w:color w:val="auto"/>
                <w:sz w:val="28"/>
                <w:szCs w:val="28"/>
                <w:highlight w:val="none"/>
              </w:rPr>
            </w:pPr>
            <w:r>
              <w:rPr>
                <w:rFonts w:ascii="宋体" w:hAnsi="宋体" w:cs="宋体"/>
                <w:color w:val="auto"/>
                <w:sz w:val="28"/>
                <w:szCs w:val="28"/>
                <w:highlight w:val="none"/>
              </w:rPr>
              <w:t>投标人认为需要提供的资料</w:t>
            </w:r>
          </w:p>
        </w:tc>
      </w:tr>
      <w:tr w14:paraId="0AF1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68" w:type="dxa"/>
            <w:tcBorders>
              <w:top w:val="single" w:color="auto" w:sz="4" w:space="0"/>
              <w:left w:val="single" w:color="auto" w:sz="4" w:space="0"/>
              <w:bottom w:val="single" w:color="auto" w:sz="4" w:space="0"/>
              <w:right w:val="single" w:color="auto" w:sz="4" w:space="0"/>
            </w:tcBorders>
            <w:vAlign w:val="center"/>
          </w:tcPr>
          <w:p w14:paraId="13F63FC5">
            <w:pPr>
              <w:tabs>
                <w:tab w:val="left" w:pos="720"/>
              </w:tabs>
              <w:snapToGrid w:val="0"/>
              <w:jc w:val="center"/>
              <w:rPr>
                <w:rFonts w:ascii="宋体" w:hAnsi="宋体" w:cs="宋体"/>
                <w:color w:val="auto"/>
                <w:sz w:val="28"/>
                <w:szCs w:val="28"/>
                <w:highlight w:val="none"/>
              </w:rPr>
            </w:pPr>
          </w:p>
        </w:tc>
        <w:tc>
          <w:tcPr>
            <w:tcW w:w="8040" w:type="dxa"/>
            <w:tcBorders>
              <w:top w:val="single" w:color="auto" w:sz="4" w:space="0"/>
              <w:left w:val="single" w:color="auto" w:sz="4" w:space="0"/>
              <w:bottom w:val="single" w:color="auto" w:sz="4" w:space="0"/>
              <w:right w:val="single" w:color="auto" w:sz="4" w:space="0"/>
            </w:tcBorders>
            <w:vAlign w:val="center"/>
          </w:tcPr>
          <w:p w14:paraId="40B3B665">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w:t>
            </w:r>
          </w:p>
        </w:tc>
      </w:tr>
    </w:tbl>
    <w:p w14:paraId="33FD7715">
      <w:pPr>
        <w:ind w:firstLine="1120" w:firstLineChars="400"/>
        <w:rPr>
          <w:rFonts w:ascii="宋体" w:hAnsi="宋体" w:cs="宋体"/>
          <w:color w:val="auto"/>
          <w:sz w:val="28"/>
          <w:szCs w:val="28"/>
          <w:highlight w:val="none"/>
        </w:rPr>
      </w:pPr>
    </w:p>
    <w:p w14:paraId="406BA8C8">
      <w:pPr>
        <w:keepNext/>
        <w:keepLines/>
        <w:spacing w:line="480" w:lineRule="auto"/>
        <w:jc w:val="left"/>
        <w:outlineLvl w:val="2"/>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五、监理大纲</w:t>
      </w:r>
      <w:r>
        <w:rPr>
          <w:rFonts w:hint="eastAsia" w:ascii="宋体" w:hAnsi="宋体"/>
          <w:b/>
          <w:bCs/>
          <w:color w:val="auto"/>
          <w:kern w:val="0"/>
          <w:sz w:val="30"/>
          <w:szCs w:val="30"/>
          <w:highlight w:val="none"/>
        </w:rPr>
        <w:t>（格式可自定）</w:t>
      </w:r>
    </w:p>
    <w:p w14:paraId="19E2C011">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监理大纲应包括（但不限于）下列内容：</w:t>
      </w:r>
    </w:p>
    <w:p w14:paraId="02ECC877">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一、监理工程概况；</w:t>
      </w:r>
    </w:p>
    <w:p w14:paraId="6B10289D">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二、监理范围、监理内容；</w:t>
      </w:r>
    </w:p>
    <w:p w14:paraId="6F2FA9AB">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三、监理依据、监理工作目标；</w:t>
      </w:r>
    </w:p>
    <w:p w14:paraId="5DB41DDB">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四、监理机构设置（监理组织架构框图）、岗位职责；</w:t>
      </w:r>
    </w:p>
    <w:p w14:paraId="5BA4484C">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五、质量控制、进度控制、投资控制措施；</w:t>
      </w:r>
    </w:p>
    <w:p w14:paraId="3C01B9A4">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六、安全、文明施工管理；</w:t>
      </w:r>
    </w:p>
    <w:p w14:paraId="32E2A2A5">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七、合同、信息管理方案；</w:t>
      </w:r>
    </w:p>
    <w:p w14:paraId="73845F22">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八、监理组织协调内容及措施；</w:t>
      </w:r>
    </w:p>
    <w:p w14:paraId="3DE7934F">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九、监理工作程序、方法和制度；</w:t>
      </w:r>
    </w:p>
    <w:p w14:paraId="60ACCDE9">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十、会议制度；</w:t>
      </w:r>
    </w:p>
    <w:p w14:paraId="54E92917">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十一、工程进度款、工程结算管理；</w:t>
      </w:r>
    </w:p>
    <w:p w14:paraId="3A969512">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十二、监理工作重点、难点分析；</w:t>
      </w:r>
    </w:p>
    <w:p w14:paraId="62A96CA5">
      <w:pPr>
        <w:numPr>
          <w:ilvl w:val="0"/>
          <w:numId w:val="2"/>
        </w:numPr>
        <w:spacing w:line="360" w:lineRule="auto"/>
        <w:ind w:firstLine="542" w:firstLineChars="226"/>
        <w:jc w:val="left"/>
        <w:rPr>
          <w:rFonts w:hint="eastAsia" w:ascii="宋体" w:hAnsi="宋体"/>
          <w:color w:val="auto"/>
          <w:sz w:val="24"/>
          <w:szCs w:val="24"/>
          <w:highlight w:val="none"/>
        </w:rPr>
      </w:pPr>
      <w:r>
        <w:rPr>
          <w:rFonts w:hint="eastAsia" w:ascii="宋体" w:hAnsi="宋体"/>
          <w:color w:val="auto"/>
          <w:sz w:val="24"/>
          <w:szCs w:val="24"/>
          <w:highlight w:val="none"/>
        </w:rPr>
        <w:t>合理化建议。</w:t>
      </w:r>
    </w:p>
    <w:p w14:paraId="7EF03788">
      <w:pPr>
        <w:spacing w:line="360" w:lineRule="auto"/>
        <w:jc w:val="left"/>
        <w:rPr>
          <w:rFonts w:hint="eastAsia"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六、其他资料</w:t>
      </w:r>
      <w:r>
        <w:rPr>
          <w:rFonts w:hint="eastAsia" w:ascii="宋体" w:hAnsi="宋体"/>
          <w:b/>
          <w:bCs/>
          <w:color w:val="auto"/>
          <w:kern w:val="0"/>
          <w:sz w:val="30"/>
          <w:szCs w:val="30"/>
          <w:highlight w:val="none"/>
        </w:rPr>
        <w:t>（格式可自定）</w:t>
      </w:r>
    </w:p>
    <w:p w14:paraId="45A79A71">
      <w:pPr>
        <w:pStyle w:val="4"/>
        <w:keepNext w:val="0"/>
        <w:keepLines w:val="0"/>
        <w:spacing w:before="20" w:line="240" w:lineRule="auto"/>
        <w:ind w:firstLine="157"/>
        <w:jc w:val="center"/>
        <w:rPr>
          <w:rFonts w:ascii="宋体" w:hAnsi="宋体" w:cs="宋体"/>
          <w:color w:val="auto"/>
          <w:highlight w:val="none"/>
        </w:rPr>
      </w:pPr>
      <w:bookmarkStart w:id="432" w:name="_Toc517280608"/>
      <w:r>
        <w:rPr>
          <w:rFonts w:hint="eastAsia" w:ascii="宋体" w:hAnsi="宋体" w:cs="宋体"/>
          <w:b/>
          <w:color w:val="auto"/>
          <w:sz w:val="32"/>
          <w:highlight w:val="none"/>
        </w:rPr>
        <w:t>（一）基本情况表</w:t>
      </w:r>
      <w:bookmarkEnd w:id="432"/>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1210"/>
        <w:gridCol w:w="714"/>
        <w:gridCol w:w="1287"/>
        <w:gridCol w:w="414"/>
        <w:gridCol w:w="873"/>
        <w:gridCol w:w="828"/>
        <w:gridCol w:w="284"/>
        <w:gridCol w:w="1230"/>
      </w:tblGrid>
      <w:tr w14:paraId="544CF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2D86B87E">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4249D21D">
            <w:pPr>
              <w:topLinePunct/>
              <w:spacing w:line="440" w:lineRule="exact"/>
              <w:jc w:val="center"/>
              <w:rPr>
                <w:rFonts w:ascii="宋体" w:hAnsi="宋体" w:cs="宋体"/>
                <w:color w:val="auto"/>
                <w:sz w:val="24"/>
                <w:szCs w:val="24"/>
                <w:highlight w:val="none"/>
              </w:rPr>
            </w:pPr>
          </w:p>
        </w:tc>
      </w:tr>
      <w:tr w14:paraId="728F3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045A6DC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6BF5F435">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527E59A9">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5555BD4D">
            <w:pPr>
              <w:topLinePunct/>
              <w:spacing w:line="440" w:lineRule="exact"/>
              <w:jc w:val="center"/>
              <w:rPr>
                <w:rFonts w:ascii="宋体" w:hAnsi="宋体" w:cs="宋体"/>
                <w:color w:val="auto"/>
                <w:sz w:val="24"/>
                <w:szCs w:val="24"/>
                <w:highlight w:val="none"/>
              </w:rPr>
            </w:pPr>
          </w:p>
        </w:tc>
      </w:tr>
      <w:tr w14:paraId="7A4F5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vMerge w:val="restart"/>
            <w:tcBorders>
              <w:top w:val="single" w:color="auto" w:sz="4" w:space="0"/>
              <w:left w:val="single" w:color="auto" w:sz="4" w:space="0"/>
              <w:bottom w:val="single" w:color="auto" w:sz="4" w:space="0"/>
              <w:right w:val="single" w:color="auto" w:sz="4" w:space="0"/>
            </w:tcBorders>
            <w:noWrap/>
            <w:vAlign w:val="center"/>
          </w:tcPr>
          <w:p w14:paraId="791F6E6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210" w:type="dxa"/>
            <w:tcBorders>
              <w:top w:val="single" w:color="auto" w:sz="4" w:space="0"/>
              <w:left w:val="single" w:color="auto" w:sz="4" w:space="0"/>
              <w:bottom w:val="single" w:color="auto" w:sz="4" w:space="0"/>
              <w:right w:val="single" w:color="auto" w:sz="4" w:space="0"/>
            </w:tcBorders>
            <w:noWrap/>
            <w:vAlign w:val="center"/>
          </w:tcPr>
          <w:p w14:paraId="6A1321BA">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1852F4E2">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3CCC92F">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5D6D7779">
            <w:pPr>
              <w:topLinePunct/>
              <w:spacing w:line="440" w:lineRule="exact"/>
              <w:jc w:val="center"/>
              <w:rPr>
                <w:rFonts w:ascii="宋体" w:hAnsi="宋体" w:cs="宋体"/>
                <w:color w:val="auto"/>
                <w:sz w:val="24"/>
                <w:szCs w:val="24"/>
                <w:highlight w:val="none"/>
              </w:rPr>
            </w:pPr>
          </w:p>
        </w:tc>
      </w:tr>
      <w:tr w14:paraId="5FE30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vMerge w:val="continue"/>
            <w:tcBorders>
              <w:top w:val="single" w:color="auto" w:sz="4" w:space="0"/>
              <w:left w:val="single" w:color="auto" w:sz="4" w:space="0"/>
              <w:bottom w:val="single" w:color="auto" w:sz="4" w:space="0"/>
              <w:right w:val="single" w:color="auto" w:sz="4" w:space="0"/>
            </w:tcBorders>
            <w:noWrap/>
            <w:vAlign w:val="center"/>
          </w:tcPr>
          <w:p w14:paraId="472A4353">
            <w:pPr>
              <w:rPr>
                <w:color w:val="auto"/>
                <w:highlight w:val="none"/>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76CC452F">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2A826ED0">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1D738F62">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4761E8AF">
            <w:pPr>
              <w:topLinePunct/>
              <w:spacing w:line="440" w:lineRule="exact"/>
              <w:jc w:val="center"/>
              <w:rPr>
                <w:rFonts w:ascii="宋体" w:hAnsi="宋体" w:cs="宋体"/>
                <w:color w:val="auto"/>
                <w:sz w:val="24"/>
                <w:szCs w:val="24"/>
                <w:highlight w:val="none"/>
              </w:rPr>
            </w:pPr>
          </w:p>
        </w:tc>
      </w:tr>
      <w:tr w14:paraId="1E40D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7FCD108C">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0B2BE9B6">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05CBA8EB">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027DA2E4">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4685C07">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58291601">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61906F40">
            <w:pPr>
              <w:topLinePunct/>
              <w:spacing w:line="440" w:lineRule="exact"/>
              <w:jc w:val="center"/>
              <w:rPr>
                <w:rFonts w:ascii="宋体" w:hAnsi="宋体" w:cs="宋体"/>
                <w:color w:val="auto"/>
                <w:sz w:val="24"/>
                <w:szCs w:val="24"/>
                <w:highlight w:val="none"/>
              </w:rPr>
            </w:pPr>
          </w:p>
        </w:tc>
      </w:tr>
      <w:tr w14:paraId="727BC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7C94F89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64DEF729">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4E2F2D42">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6D9BD916">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4BA386D6">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1DA320E0">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548DD0DB">
            <w:pPr>
              <w:topLinePunct/>
              <w:spacing w:line="440" w:lineRule="exact"/>
              <w:jc w:val="center"/>
              <w:rPr>
                <w:rFonts w:ascii="宋体" w:hAnsi="宋体" w:cs="宋体"/>
                <w:color w:val="auto"/>
                <w:sz w:val="24"/>
                <w:szCs w:val="24"/>
                <w:highlight w:val="none"/>
              </w:rPr>
            </w:pPr>
          </w:p>
        </w:tc>
      </w:tr>
      <w:tr w14:paraId="7DAEB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38E11747">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3367D541">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63092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0F12D35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7DD1DF63">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15273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581918F1">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3EA550E8">
            <w:pPr>
              <w:topLinePunct/>
              <w:spacing w:line="440" w:lineRule="exact"/>
              <w:jc w:val="center"/>
              <w:rPr>
                <w:rFonts w:ascii="宋体" w:hAnsi="宋体" w:cs="宋体"/>
                <w:color w:val="auto"/>
                <w:sz w:val="24"/>
                <w:szCs w:val="24"/>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ign w:val="center"/>
          </w:tcPr>
          <w:p w14:paraId="0ECA71C9">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14:paraId="68D4F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10166239">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2BF89DE6">
            <w:pPr>
              <w:topLinePunct/>
              <w:spacing w:line="440" w:lineRule="exact"/>
              <w:jc w:val="center"/>
              <w:rPr>
                <w:rFonts w:ascii="宋体" w:hAnsi="宋体" w:cs="宋体"/>
                <w:color w:val="auto"/>
                <w:sz w:val="24"/>
                <w:szCs w:val="24"/>
                <w:highlight w:val="none"/>
              </w:rPr>
            </w:pPr>
          </w:p>
        </w:tc>
        <w:tc>
          <w:tcPr>
            <w:tcW w:w="414" w:type="dxa"/>
            <w:vMerge w:val="restart"/>
            <w:tcBorders>
              <w:top w:val="single" w:color="auto" w:sz="4" w:space="0"/>
              <w:left w:val="single" w:color="auto" w:sz="4" w:space="0"/>
              <w:right w:val="single" w:color="auto" w:sz="4" w:space="0"/>
            </w:tcBorders>
            <w:noWrap/>
            <w:vAlign w:val="center"/>
          </w:tcPr>
          <w:p w14:paraId="69515D90">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4EB0950B">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43580391">
            <w:pPr>
              <w:topLinePunct/>
              <w:spacing w:line="440" w:lineRule="exact"/>
              <w:jc w:val="center"/>
              <w:rPr>
                <w:rFonts w:ascii="宋体" w:hAnsi="宋体" w:cs="宋体"/>
                <w:color w:val="auto"/>
                <w:sz w:val="24"/>
                <w:szCs w:val="24"/>
                <w:highlight w:val="none"/>
              </w:rPr>
            </w:pPr>
          </w:p>
        </w:tc>
      </w:tr>
      <w:tr w14:paraId="11824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05BFA266">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65E79F20">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14:paraId="0D2E89D3">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7145D292">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6CB8CA6">
            <w:pPr>
              <w:topLinePunct/>
              <w:spacing w:line="440" w:lineRule="exact"/>
              <w:jc w:val="center"/>
              <w:rPr>
                <w:rFonts w:ascii="宋体" w:hAnsi="宋体" w:cs="宋体"/>
                <w:color w:val="auto"/>
                <w:sz w:val="24"/>
                <w:szCs w:val="24"/>
                <w:highlight w:val="none"/>
              </w:rPr>
            </w:pPr>
          </w:p>
        </w:tc>
      </w:tr>
      <w:tr w14:paraId="5C1B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7B09BA7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7C260679">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14:paraId="6964D852">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00592468">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88E4F0C">
            <w:pPr>
              <w:topLinePunct/>
              <w:spacing w:line="440" w:lineRule="exact"/>
              <w:jc w:val="center"/>
              <w:rPr>
                <w:rFonts w:ascii="宋体" w:hAnsi="宋体" w:cs="宋体"/>
                <w:color w:val="auto"/>
                <w:sz w:val="24"/>
                <w:szCs w:val="24"/>
                <w:highlight w:val="none"/>
              </w:rPr>
            </w:pPr>
          </w:p>
        </w:tc>
      </w:tr>
      <w:tr w14:paraId="58642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70847A8B">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507D1E9E">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14:paraId="2FD7447E">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5BB573B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6C6C42E3">
            <w:pPr>
              <w:topLinePunct/>
              <w:spacing w:line="440" w:lineRule="exact"/>
              <w:jc w:val="center"/>
              <w:rPr>
                <w:rFonts w:ascii="宋体" w:hAnsi="宋体" w:cs="宋体"/>
                <w:color w:val="auto"/>
                <w:sz w:val="24"/>
                <w:szCs w:val="24"/>
                <w:highlight w:val="none"/>
              </w:rPr>
            </w:pPr>
          </w:p>
        </w:tc>
      </w:tr>
      <w:tr w14:paraId="7B5F5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right w:val="single" w:color="auto" w:sz="4" w:space="0"/>
            </w:tcBorders>
            <w:noWrap/>
            <w:vAlign w:val="center"/>
          </w:tcPr>
          <w:p w14:paraId="5FAD5A78">
            <w:pPr>
              <w:topLinePunct/>
              <w:spacing w:before="100" w:beforeAutospacing="1" w:after="100" w:afterAutospacing="1" w:line="440" w:lineRule="exac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noWrap/>
            <w:vAlign w:val="center"/>
          </w:tcPr>
          <w:p w14:paraId="6FA88AEE">
            <w:pPr>
              <w:topLinePunct/>
              <w:spacing w:line="440" w:lineRule="exact"/>
              <w:jc w:val="center"/>
              <w:rPr>
                <w:rFonts w:ascii="宋体" w:hAnsi="宋体" w:cs="宋体"/>
                <w:color w:val="auto"/>
                <w:sz w:val="24"/>
                <w:szCs w:val="24"/>
                <w:highlight w:val="none"/>
              </w:rPr>
            </w:pPr>
          </w:p>
        </w:tc>
      </w:tr>
      <w:tr w14:paraId="54FFE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right w:val="single" w:color="auto" w:sz="4" w:space="0"/>
            </w:tcBorders>
            <w:noWrap/>
            <w:vAlign w:val="center"/>
          </w:tcPr>
          <w:p w14:paraId="2EDFFF59">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ign w:val="center"/>
          </w:tcPr>
          <w:p w14:paraId="6B6A1F99">
            <w:pPr>
              <w:topLinePunct/>
              <w:spacing w:line="440" w:lineRule="exact"/>
              <w:jc w:val="center"/>
              <w:rPr>
                <w:rFonts w:ascii="宋体" w:hAnsi="宋体" w:cs="宋体"/>
                <w:color w:val="auto"/>
                <w:sz w:val="24"/>
                <w:szCs w:val="24"/>
                <w:highlight w:val="none"/>
              </w:rPr>
            </w:pPr>
          </w:p>
        </w:tc>
      </w:tr>
      <w:tr w14:paraId="4D446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426C95A2">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48590972">
            <w:pPr>
              <w:topLinePunct/>
              <w:spacing w:line="440" w:lineRule="exact"/>
              <w:jc w:val="center"/>
              <w:rPr>
                <w:rFonts w:ascii="宋体" w:hAnsi="宋体" w:cs="宋体"/>
                <w:color w:val="auto"/>
                <w:sz w:val="24"/>
                <w:szCs w:val="24"/>
                <w:highlight w:val="none"/>
              </w:rPr>
            </w:pPr>
          </w:p>
        </w:tc>
      </w:tr>
    </w:tbl>
    <w:p w14:paraId="5F053AE1">
      <w:pPr>
        <w:pStyle w:val="4"/>
        <w:keepNext w:val="0"/>
        <w:keepLines w:val="0"/>
        <w:spacing w:line="240" w:lineRule="auto"/>
        <w:ind w:firstLine="137"/>
        <w:jc w:val="center"/>
        <w:rPr>
          <w:rFonts w:ascii="宋体" w:hAnsi="宋体" w:cs="宋体"/>
          <w:color w:val="auto"/>
          <w:highlight w:val="none"/>
        </w:rPr>
      </w:pPr>
      <w:bookmarkStart w:id="433" w:name="_Toc517280609"/>
      <w:r>
        <w:rPr>
          <w:rFonts w:hint="eastAsia"/>
          <w:color w:val="auto"/>
          <w:highlight w:val="none"/>
        </w:rPr>
        <w:br w:type="page"/>
      </w:r>
      <w:r>
        <w:rPr>
          <w:rFonts w:hint="eastAsia" w:ascii="宋体" w:hAnsi="宋体" w:cs="宋体"/>
          <w:b/>
          <w:color w:val="auto"/>
          <w:sz w:val="32"/>
          <w:highlight w:val="none"/>
        </w:rPr>
        <w:t>（二）近年完成的类似监理项目情况表</w:t>
      </w:r>
      <w:bookmarkEnd w:id="433"/>
    </w:p>
    <w:tbl>
      <w:tblPr>
        <w:tblStyle w:val="46"/>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077"/>
      </w:tblGrid>
      <w:tr w14:paraId="455A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012A5CE">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077" w:type="dxa"/>
            <w:tcBorders>
              <w:top w:val="single" w:color="auto" w:sz="4" w:space="0"/>
              <w:left w:val="single" w:color="auto" w:sz="4" w:space="0"/>
              <w:bottom w:val="single" w:color="auto" w:sz="4" w:space="0"/>
              <w:right w:val="single" w:color="auto" w:sz="4" w:space="0"/>
            </w:tcBorders>
            <w:noWrap/>
          </w:tcPr>
          <w:p w14:paraId="21E9D857">
            <w:pPr>
              <w:topLinePunct/>
              <w:spacing w:line="440" w:lineRule="exact"/>
              <w:rPr>
                <w:rFonts w:ascii="宋体" w:hAnsi="宋体" w:cs="宋体"/>
                <w:color w:val="auto"/>
                <w:sz w:val="24"/>
                <w:szCs w:val="24"/>
                <w:highlight w:val="none"/>
              </w:rPr>
            </w:pPr>
          </w:p>
        </w:tc>
      </w:tr>
      <w:tr w14:paraId="1456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49ACE8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7077" w:type="dxa"/>
            <w:tcBorders>
              <w:top w:val="single" w:color="auto" w:sz="4" w:space="0"/>
              <w:left w:val="single" w:color="auto" w:sz="4" w:space="0"/>
              <w:bottom w:val="single" w:color="auto" w:sz="4" w:space="0"/>
              <w:right w:val="single" w:color="auto" w:sz="4" w:space="0"/>
            </w:tcBorders>
            <w:noWrap/>
          </w:tcPr>
          <w:p w14:paraId="32636512">
            <w:pPr>
              <w:topLinePunct/>
              <w:spacing w:line="440" w:lineRule="exact"/>
              <w:rPr>
                <w:rFonts w:ascii="宋体" w:hAnsi="宋体" w:cs="宋体"/>
                <w:color w:val="auto"/>
                <w:sz w:val="24"/>
                <w:szCs w:val="24"/>
                <w:highlight w:val="none"/>
              </w:rPr>
            </w:pPr>
          </w:p>
        </w:tc>
      </w:tr>
      <w:tr w14:paraId="1F83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0B323E7">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委托人名称</w:t>
            </w:r>
          </w:p>
        </w:tc>
        <w:tc>
          <w:tcPr>
            <w:tcW w:w="7077" w:type="dxa"/>
            <w:tcBorders>
              <w:top w:val="single" w:color="auto" w:sz="4" w:space="0"/>
              <w:left w:val="single" w:color="auto" w:sz="4" w:space="0"/>
              <w:bottom w:val="single" w:color="auto" w:sz="4" w:space="0"/>
              <w:right w:val="single" w:color="auto" w:sz="4" w:space="0"/>
            </w:tcBorders>
            <w:noWrap/>
          </w:tcPr>
          <w:p w14:paraId="61FE78B4">
            <w:pPr>
              <w:topLinePunct/>
              <w:spacing w:line="440" w:lineRule="exact"/>
              <w:rPr>
                <w:rFonts w:ascii="宋体" w:hAnsi="宋体" w:cs="宋体"/>
                <w:color w:val="auto"/>
                <w:sz w:val="24"/>
                <w:szCs w:val="24"/>
                <w:highlight w:val="none"/>
              </w:rPr>
            </w:pPr>
          </w:p>
        </w:tc>
      </w:tr>
      <w:tr w14:paraId="5BDB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35C380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委托人地址</w:t>
            </w:r>
          </w:p>
        </w:tc>
        <w:tc>
          <w:tcPr>
            <w:tcW w:w="7077" w:type="dxa"/>
            <w:tcBorders>
              <w:top w:val="single" w:color="auto" w:sz="4" w:space="0"/>
              <w:left w:val="single" w:color="auto" w:sz="4" w:space="0"/>
              <w:bottom w:val="single" w:color="auto" w:sz="4" w:space="0"/>
              <w:right w:val="single" w:color="auto" w:sz="4" w:space="0"/>
            </w:tcBorders>
            <w:noWrap/>
          </w:tcPr>
          <w:p w14:paraId="0B6C5CCB">
            <w:pPr>
              <w:topLinePunct/>
              <w:spacing w:line="440" w:lineRule="exact"/>
              <w:rPr>
                <w:rFonts w:ascii="宋体" w:hAnsi="宋体" w:cs="宋体"/>
                <w:color w:val="auto"/>
                <w:sz w:val="24"/>
                <w:szCs w:val="24"/>
                <w:highlight w:val="none"/>
              </w:rPr>
            </w:pPr>
          </w:p>
        </w:tc>
      </w:tr>
      <w:tr w14:paraId="6ADF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B60795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委托人电话</w:t>
            </w:r>
          </w:p>
        </w:tc>
        <w:tc>
          <w:tcPr>
            <w:tcW w:w="7077" w:type="dxa"/>
            <w:tcBorders>
              <w:top w:val="single" w:color="auto" w:sz="4" w:space="0"/>
              <w:left w:val="single" w:color="auto" w:sz="4" w:space="0"/>
              <w:bottom w:val="single" w:color="auto" w:sz="4" w:space="0"/>
              <w:right w:val="single" w:color="auto" w:sz="4" w:space="0"/>
            </w:tcBorders>
            <w:noWrap/>
          </w:tcPr>
          <w:p w14:paraId="7A182DB2">
            <w:pPr>
              <w:topLinePunct/>
              <w:spacing w:line="440" w:lineRule="exact"/>
              <w:rPr>
                <w:rFonts w:ascii="宋体" w:hAnsi="宋体" w:cs="宋体"/>
                <w:color w:val="auto"/>
                <w:sz w:val="24"/>
                <w:szCs w:val="24"/>
                <w:highlight w:val="none"/>
              </w:rPr>
            </w:pPr>
          </w:p>
        </w:tc>
      </w:tr>
      <w:tr w14:paraId="5D17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C3ADCD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合同价格</w:t>
            </w:r>
          </w:p>
        </w:tc>
        <w:tc>
          <w:tcPr>
            <w:tcW w:w="7077" w:type="dxa"/>
            <w:tcBorders>
              <w:top w:val="single" w:color="auto" w:sz="4" w:space="0"/>
              <w:left w:val="single" w:color="auto" w:sz="4" w:space="0"/>
              <w:bottom w:val="single" w:color="auto" w:sz="4" w:space="0"/>
              <w:right w:val="single" w:color="auto" w:sz="4" w:space="0"/>
            </w:tcBorders>
            <w:noWrap/>
          </w:tcPr>
          <w:p w14:paraId="043BA0A3">
            <w:pPr>
              <w:topLinePunct/>
              <w:spacing w:line="440" w:lineRule="exact"/>
              <w:rPr>
                <w:rFonts w:ascii="宋体" w:hAnsi="宋体" w:cs="宋体"/>
                <w:color w:val="auto"/>
                <w:sz w:val="24"/>
                <w:szCs w:val="24"/>
                <w:highlight w:val="none"/>
              </w:rPr>
            </w:pPr>
          </w:p>
        </w:tc>
      </w:tr>
      <w:tr w14:paraId="1A96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6BC4764">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7077" w:type="dxa"/>
            <w:tcBorders>
              <w:top w:val="single" w:color="auto" w:sz="4" w:space="0"/>
              <w:left w:val="single" w:color="auto" w:sz="4" w:space="0"/>
              <w:bottom w:val="single" w:color="auto" w:sz="4" w:space="0"/>
              <w:right w:val="single" w:color="auto" w:sz="4" w:space="0"/>
            </w:tcBorders>
            <w:noWrap/>
          </w:tcPr>
          <w:p w14:paraId="64C6D1B9">
            <w:pPr>
              <w:topLinePunct/>
              <w:spacing w:line="440" w:lineRule="exact"/>
              <w:rPr>
                <w:rFonts w:ascii="宋体" w:hAnsi="宋体" w:cs="宋体"/>
                <w:color w:val="auto"/>
                <w:sz w:val="24"/>
                <w:szCs w:val="24"/>
                <w:highlight w:val="none"/>
              </w:rPr>
            </w:pPr>
          </w:p>
        </w:tc>
      </w:tr>
      <w:tr w14:paraId="2635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52DB8CE">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监理内容</w:t>
            </w:r>
          </w:p>
        </w:tc>
        <w:tc>
          <w:tcPr>
            <w:tcW w:w="7077" w:type="dxa"/>
            <w:tcBorders>
              <w:top w:val="single" w:color="auto" w:sz="4" w:space="0"/>
              <w:left w:val="single" w:color="auto" w:sz="4" w:space="0"/>
              <w:bottom w:val="single" w:color="auto" w:sz="4" w:space="0"/>
              <w:right w:val="single" w:color="auto" w:sz="4" w:space="0"/>
            </w:tcBorders>
            <w:noWrap/>
          </w:tcPr>
          <w:p w14:paraId="138D4E3F">
            <w:pPr>
              <w:topLinePunct/>
              <w:spacing w:line="440" w:lineRule="exact"/>
              <w:rPr>
                <w:rFonts w:ascii="宋体" w:hAnsi="宋体" w:cs="宋体"/>
                <w:color w:val="auto"/>
                <w:sz w:val="24"/>
                <w:szCs w:val="24"/>
                <w:highlight w:val="none"/>
              </w:rPr>
            </w:pPr>
          </w:p>
        </w:tc>
      </w:tr>
      <w:tr w14:paraId="352F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2E2B63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7077" w:type="dxa"/>
            <w:tcBorders>
              <w:top w:val="single" w:color="auto" w:sz="4" w:space="0"/>
              <w:left w:val="single" w:color="auto" w:sz="4" w:space="0"/>
              <w:bottom w:val="single" w:color="auto" w:sz="4" w:space="0"/>
              <w:right w:val="single" w:color="auto" w:sz="4" w:space="0"/>
            </w:tcBorders>
            <w:noWrap/>
          </w:tcPr>
          <w:p w14:paraId="09A6DC06">
            <w:pPr>
              <w:topLinePunct/>
              <w:spacing w:line="440" w:lineRule="exact"/>
              <w:rPr>
                <w:rFonts w:ascii="宋体" w:hAnsi="宋体" w:cs="宋体"/>
                <w:color w:val="auto"/>
                <w:sz w:val="24"/>
                <w:szCs w:val="24"/>
                <w:highlight w:val="none"/>
              </w:rPr>
            </w:pPr>
          </w:p>
        </w:tc>
      </w:tr>
      <w:tr w14:paraId="4045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F9F255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7077" w:type="dxa"/>
            <w:tcBorders>
              <w:top w:val="single" w:color="auto" w:sz="4" w:space="0"/>
              <w:left w:val="single" w:color="auto" w:sz="4" w:space="0"/>
              <w:bottom w:val="single" w:color="auto" w:sz="4" w:space="0"/>
              <w:right w:val="single" w:color="auto" w:sz="4" w:space="0"/>
            </w:tcBorders>
            <w:noWrap/>
          </w:tcPr>
          <w:p w14:paraId="1DF46962">
            <w:pPr>
              <w:topLinePunct/>
              <w:spacing w:line="440" w:lineRule="exact"/>
              <w:rPr>
                <w:rFonts w:ascii="宋体" w:hAnsi="宋体" w:cs="宋体"/>
                <w:color w:val="auto"/>
                <w:sz w:val="24"/>
                <w:szCs w:val="24"/>
                <w:highlight w:val="none"/>
              </w:rPr>
            </w:pPr>
          </w:p>
          <w:p w14:paraId="23CA23B8">
            <w:pPr>
              <w:topLinePunct/>
              <w:spacing w:line="440" w:lineRule="exact"/>
              <w:rPr>
                <w:rFonts w:ascii="宋体" w:hAnsi="宋体" w:cs="宋体"/>
                <w:color w:val="auto"/>
                <w:sz w:val="24"/>
                <w:szCs w:val="24"/>
                <w:highlight w:val="none"/>
              </w:rPr>
            </w:pPr>
          </w:p>
          <w:p w14:paraId="07EF6001">
            <w:pPr>
              <w:topLinePunct/>
              <w:spacing w:line="440" w:lineRule="exact"/>
              <w:rPr>
                <w:rFonts w:ascii="宋体" w:hAnsi="宋体" w:cs="宋体"/>
                <w:color w:val="auto"/>
                <w:sz w:val="24"/>
                <w:szCs w:val="24"/>
                <w:highlight w:val="none"/>
              </w:rPr>
            </w:pPr>
          </w:p>
          <w:p w14:paraId="129264C5">
            <w:pPr>
              <w:topLinePunct/>
              <w:spacing w:line="440" w:lineRule="exact"/>
              <w:rPr>
                <w:rFonts w:ascii="宋体" w:hAnsi="宋体" w:cs="宋体"/>
                <w:color w:val="auto"/>
                <w:sz w:val="24"/>
                <w:szCs w:val="24"/>
                <w:highlight w:val="none"/>
              </w:rPr>
            </w:pPr>
          </w:p>
          <w:p w14:paraId="6640AFD8">
            <w:pPr>
              <w:topLinePunct/>
              <w:spacing w:line="440" w:lineRule="exact"/>
              <w:rPr>
                <w:rFonts w:ascii="宋体" w:hAnsi="宋体" w:cs="宋体"/>
                <w:color w:val="auto"/>
                <w:sz w:val="24"/>
                <w:szCs w:val="24"/>
                <w:highlight w:val="none"/>
              </w:rPr>
            </w:pPr>
          </w:p>
          <w:p w14:paraId="2AC04052">
            <w:pPr>
              <w:topLinePunct/>
              <w:spacing w:line="440" w:lineRule="exact"/>
              <w:rPr>
                <w:rFonts w:ascii="宋体" w:hAnsi="宋体" w:cs="宋体"/>
                <w:color w:val="auto"/>
                <w:sz w:val="24"/>
                <w:szCs w:val="24"/>
                <w:highlight w:val="none"/>
              </w:rPr>
            </w:pPr>
          </w:p>
          <w:p w14:paraId="1A219127">
            <w:pPr>
              <w:topLinePunct/>
              <w:spacing w:line="440" w:lineRule="exact"/>
              <w:rPr>
                <w:rFonts w:ascii="宋体" w:hAnsi="宋体" w:cs="宋体"/>
                <w:color w:val="auto"/>
                <w:sz w:val="24"/>
                <w:szCs w:val="24"/>
                <w:highlight w:val="none"/>
              </w:rPr>
            </w:pPr>
          </w:p>
        </w:tc>
      </w:tr>
      <w:tr w14:paraId="2B9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ED34AE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077" w:type="dxa"/>
            <w:tcBorders>
              <w:top w:val="single" w:color="auto" w:sz="4" w:space="0"/>
              <w:left w:val="single" w:color="auto" w:sz="4" w:space="0"/>
              <w:bottom w:val="single" w:color="auto" w:sz="4" w:space="0"/>
              <w:right w:val="single" w:color="auto" w:sz="4" w:space="0"/>
            </w:tcBorders>
            <w:noWrap/>
          </w:tcPr>
          <w:p w14:paraId="2527E320">
            <w:pPr>
              <w:topLinePunct/>
              <w:spacing w:line="440" w:lineRule="exact"/>
              <w:rPr>
                <w:rFonts w:ascii="宋体" w:hAnsi="宋体" w:cs="宋体"/>
                <w:color w:val="auto"/>
                <w:sz w:val="24"/>
                <w:szCs w:val="24"/>
                <w:highlight w:val="none"/>
              </w:rPr>
            </w:pPr>
          </w:p>
        </w:tc>
      </w:tr>
    </w:tbl>
    <w:p w14:paraId="75AA3884">
      <w:pPr>
        <w:rPr>
          <w:rFonts w:hint="eastAsia" w:ascii="宋体" w:hAnsi="宋体" w:cs="宋体"/>
          <w:color w:val="auto"/>
          <w:sz w:val="24"/>
          <w:szCs w:val="24"/>
          <w:highlight w:val="none"/>
        </w:rPr>
      </w:pPr>
      <w:bookmarkStart w:id="434" w:name="_Toc517280611"/>
      <w:r>
        <w:rPr>
          <w:rFonts w:hint="eastAsia" w:ascii="宋体" w:hAnsi="宋体" w:cs="宋体"/>
          <w:color w:val="auto"/>
          <w:sz w:val="24"/>
          <w:szCs w:val="24"/>
          <w:highlight w:val="none"/>
        </w:rPr>
        <w:br w:type="page"/>
      </w:r>
    </w:p>
    <w:p w14:paraId="3CEB3B44">
      <w:pPr>
        <w:spacing w:line="36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（三）拟委任的主要人员汇总表</w:t>
      </w:r>
      <w:bookmarkEnd w:id="434"/>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14:paraId="54D5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14:paraId="6DA872BB">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38" w:type="dxa"/>
            <w:vMerge w:val="restart"/>
            <w:noWrap/>
            <w:vAlign w:val="center"/>
          </w:tcPr>
          <w:p w14:paraId="052EB58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本项目任职</w:t>
            </w:r>
          </w:p>
        </w:tc>
        <w:tc>
          <w:tcPr>
            <w:tcW w:w="1115" w:type="dxa"/>
            <w:vMerge w:val="restart"/>
            <w:noWrap/>
            <w:vAlign w:val="center"/>
          </w:tcPr>
          <w:p w14:paraId="4008B059">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10" w:type="dxa"/>
            <w:vMerge w:val="restart"/>
            <w:noWrap/>
            <w:vAlign w:val="center"/>
          </w:tcPr>
          <w:p w14:paraId="17805BD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710" w:type="dxa"/>
            <w:vMerge w:val="restart"/>
            <w:noWrap/>
            <w:vAlign w:val="center"/>
          </w:tcPr>
          <w:p w14:paraId="3FC0DEB9">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3153" w:type="dxa"/>
            <w:gridSpan w:val="3"/>
            <w:noWrap/>
            <w:vAlign w:val="center"/>
          </w:tcPr>
          <w:p w14:paraId="2F7A2A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369" w:type="dxa"/>
            <w:noWrap/>
            <w:vAlign w:val="center"/>
          </w:tcPr>
          <w:p w14:paraId="4824A03F">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100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14:paraId="4A9436BA">
            <w:pPr>
              <w:rPr>
                <w:color w:val="auto"/>
                <w:highlight w:val="none"/>
              </w:rPr>
            </w:pPr>
          </w:p>
        </w:tc>
        <w:tc>
          <w:tcPr>
            <w:tcW w:w="1538" w:type="dxa"/>
            <w:vMerge w:val="continue"/>
            <w:tcBorders>
              <w:left w:val="single" w:color="auto" w:sz="4" w:space="0"/>
            </w:tcBorders>
            <w:noWrap/>
          </w:tcPr>
          <w:p w14:paraId="6108AFE3">
            <w:pPr>
              <w:rPr>
                <w:color w:val="auto"/>
                <w:highlight w:val="none"/>
              </w:rPr>
            </w:pPr>
          </w:p>
        </w:tc>
        <w:tc>
          <w:tcPr>
            <w:tcW w:w="1115" w:type="dxa"/>
            <w:vMerge w:val="continue"/>
            <w:tcBorders>
              <w:left w:val="single" w:color="auto" w:sz="4" w:space="0"/>
            </w:tcBorders>
            <w:noWrap/>
            <w:vAlign w:val="center"/>
          </w:tcPr>
          <w:p w14:paraId="270354AD">
            <w:pPr>
              <w:rPr>
                <w:color w:val="auto"/>
                <w:highlight w:val="none"/>
              </w:rPr>
            </w:pPr>
          </w:p>
        </w:tc>
        <w:tc>
          <w:tcPr>
            <w:tcW w:w="810" w:type="dxa"/>
            <w:vMerge w:val="continue"/>
            <w:tcBorders>
              <w:left w:val="single" w:color="auto" w:sz="4" w:space="0"/>
            </w:tcBorders>
            <w:noWrap/>
            <w:vAlign w:val="center"/>
          </w:tcPr>
          <w:p w14:paraId="6ACCB89D">
            <w:pPr>
              <w:rPr>
                <w:color w:val="auto"/>
                <w:highlight w:val="none"/>
              </w:rPr>
            </w:pPr>
          </w:p>
        </w:tc>
        <w:tc>
          <w:tcPr>
            <w:tcW w:w="710" w:type="dxa"/>
            <w:vMerge w:val="continue"/>
            <w:tcBorders>
              <w:left w:val="single" w:color="auto" w:sz="4" w:space="0"/>
            </w:tcBorders>
            <w:noWrap/>
            <w:vAlign w:val="center"/>
          </w:tcPr>
          <w:p w14:paraId="102724F2">
            <w:pPr>
              <w:rPr>
                <w:color w:val="auto"/>
                <w:highlight w:val="none"/>
              </w:rPr>
            </w:pPr>
          </w:p>
        </w:tc>
        <w:tc>
          <w:tcPr>
            <w:tcW w:w="1246" w:type="dxa"/>
            <w:tcBorders>
              <w:left w:val="single" w:color="auto" w:sz="4" w:space="0"/>
            </w:tcBorders>
            <w:noWrap/>
            <w:vAlign w:val="center"/>
          </w:tcPr>
          <w:p w14:paraId="121B22F7">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856" w:type="dxa"/>
            <w:tcBorders>
              <w:left w:val="single" w:color="auto" w:sz="4" w:space="0"/>
            </w:tcBorders>
            <w:noWrap/>
            <w:vAlign w:val="center"/>
          </w:tcPr>
          <w:p w14:paraId="39009A46">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级别</w:t>
            </w:r>
          </w:p>
        </w:tc>
        <w:tc>
          <w:tcPr>
            <w:tcW w:w="1051" w:type="dxa"/>
            <w:tcBorders>
              <w:left w:val="single" w:color="auto" w:sz="4" w:space="0"/>
            </w:tcBorders>
            <w:noWrap/>
            <w:vAlign w:val="center"/>
          </w:tcPr>
          <w:p w14:paraId="5EB3C840">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证号</w:t>
            </w:r>
          </w:p>
        </w:tc>
        <w:tc>
          <w:tcPr>
            <w:tcW w:w="1369" w:type="dxa"/>
            <w:tcBorders>
              <w:left w:val="single" w:color="auto" w:sz="4" w:space="0"/>
            </w:tcBorders>
            <w:noWrap/>
            <w:vAlign w:val="center"/>
          </w:tcPr>
          <w:p w14:paraId="144F7716">
            <w:pPr>
              <w:spacing w:line="440" w:lineRule="exact"/>
              <w:jc w:val="center"/>
              <w:rPr>
                <w:rFonts w:ascii="宋体" w:hAnsi="宋体" w:cs="宋体"/>
                <w:color w:val="auto"/>
                <w:sz w:val="24"/>
                <w:szCs w:val="24"/>
                <w:highlight w:val="none"/>
              </w:rPr>
            </w:pPr>
          </w:p>
        </w:tc>
      </w:tr>
      <w:tr w14:paraId="4ED7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14:paraId="50859E9B">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CB3F3E8">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vAlign w:val="center"/>
          </w:tcPr>
          <w:p w14:paraId="78E60EF5">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vAlign w:val="center"/>
          </w:tcPr>
          <w:p w14:paraId="7E4DB945">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vAlign w:val="center"/>
          </w:tcPr>
          <w:p w14:paraId="2003E22F">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vAlign w:val="center"/>
          </w:tcPr>
          <w:p w14:paraId="3203656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vAlign w:val="center"/>
          </w:tcPr>
          <w:p w14:paraId="49127452">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vAlign w:val="center"/>
          </w:tcPr>
          <w:p w14:paraId="5BAE44F2">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vAlign w:val="center"/>
          </w:tcPr>
          <w:p w14:paraId="7AAAE3C6">
            <w:pPr>
              <w:spacing w:line="440" w:lineRule="exact"/>
              <w:jc w:val="center"/>
              <w:rPr>
                <w:rFonts w:ascii="宋体" w:hAnsi="宋体" w:cs="宋体"/>
                <w:color w:val="auto"/>
                <w:sz w:val="24"/>
                <w:szCs w:val="24"/>
                <w:highlight w:val="none"/>
              </w:rPr>
            </w:pPr>
          </w:p>
        </w:tc>
      </w:tr>
      <w:tr w14:paraId="600D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F5DBDEF">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53B7F8D0">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7002D038">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910CBE7">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A2A89FC">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273B71DB">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703E54DA">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18C1A51">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DA568E1">
            <w:pPr>
              <w:spacing w:line="440" w:lineRule="exact"/>
              <w:jc w:val="center"/>
              <w:rPr>
                <w:rFonts w:ascii="宋体" w:hAnsi="宋体" w:cs="宋体"/>
                <w:color w:val="auto"/>
                <w:sz w:val="24"/>
                <w:szCs w:val="24"/>
                <w:highlight w:val="none"/>
              </w:rPr>
            </w:pPr>
          </w:p>
        </w:tc>
      </w:tr>
      <w:tr w14:paraId="0DED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59D5961">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55A72EEC">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F831155">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57BF3EE2">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12BD269A">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3CF6EEF2">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2E56A013">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88DE85A">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AB80EFF">
            <w:pPr>
              <w:spacing w:line="440" w:lineRule="exact"/>
              <w:jc w:val="center"/>
              <w:rPr>
                <w:rFonts w:ascii="宋体" w:hAnsi="宋体" w:cs="宋体"/>
                <w:color w:val="auto"/>
                <w:sz w:val="24"/>
                <w:szCs w:val="24"/>
                <w:highlight w:val="none"/>
              </w:rPr>
            </w:pPr>
          </w:p>
        </w:tc>
      </w:tr>
      <w:tr w14:paraId="682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D9EEF65">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73ECE19">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72502FE">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D7469D1">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026586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2D3D4EAC">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08417F4">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CE348E7">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22221860">
            <w:pPr>
              <w:spacing w:line="440" w:lineRule="exact"/>
              <w:jc w:val="center"/>
              <w:rPr>
                <w:rFonts w:ascii="宋体" w:hAnsi="宋体" w:cs="宋体"/>
                <w:color w:val="auto"/>
                <w:sz w:val="24"/>
                <w:szCs w:val="24"/>
                <w:highlight w:val="none"/>
              </w:rPr>
            </w:pPr>
          </w:p>
        </w:tc>
      </w:tr>
      <w:tr w14:paraId="7143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2059583">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539DB2B0">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24CEAEA3">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7636AF03">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5CDE926">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505A9209">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67E0012">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7B37CA36">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0A1D8CE8">
            <w:pPr>
              <w:spacing w:line="440" w:lineRule="exact"/>
              <w:jc w:val="center"/>
              <w:rPr>
                <w:rFonts w:ascii="宋体" w:hAnsi="宋体" w:cs="宋体"/>
                <w:color w:val="auto"/>
                <w:sz w:val="24"/>
                <w:szCs w:val="24"/>
                <w:highlight w:val="none"/>
              </w:rPr>
            </w:pPr>
          </w:p>
        </w:tc>
      </w:tr>
      <w:tr w14:paraId="0B55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02D3B0D">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51AFFE4D">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784FB279">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37AAFD84">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0B693F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F631954">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21943E48">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C42E04C">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663B3F07">
            <w:pPr>
              <w:spacing w:line="440" w:lineRule="exact"/>
              <w:jc w:val="center"/>
              <w:rPr>
                <w:rFonts w:ascii="宋体" w:hAnsi="宋体" w:cs="宋体"/>
                <w:color w:val="auto"/>
                <w:sz w:val="24"/>
                <w:szCs w:val="24"/>
                <w:highlight w:val="none"/>
              </w:rPr>
            </w:pPr>
          </w:p>
        </w:tc>
      </w:tr>
      <w:tr w14:paraId="34BA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6A43E39">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22D9AED8">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4142A497">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4C948F0C">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6DE82D9">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0E5CA7E3">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16AA12F">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1139492">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06AA073">
            <w:pPr>
              <w:spacing w:line="440" w:lineRule="exact"/>
              <w:jc w:val="center"/>
              <w:rPr>
                <w:rFonts w:ascii="宋体" w:hAnsi="宋体" w:cs="宋体"/>
                <w:color w:val="auto"/>
                <w:sz w:val="24"/>
                <w:szCs w:val="24"/>
                <w:highlight w:val="none"/>
              </w:rPr>
            </w:pPr>
          </w:p>
        </w:tc>
      </w:tr>
      <w:tr w14:paraId="17D3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75C40F3">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2E436C8A">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63DF510">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1F3975A">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55DF6174">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62C98F32">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D60B83E">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293CFB8">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09084E30">
            <w:pPr>
              <w:spacing w:line="440" w:lineRule="exact"/>
              <w:jc w:val="center"/>
              <w:rPr>
                <w:rFonts w:ascii="宋体" w:hAnsi="宋体" w:cs="宋体"/>
                <w:color w:val="auto"/>
                <w:sz w:val="24"/>
                <w:szCs w:val="24"/>
                <w:highlight w:val="none"/>
              </w:rPr>
            </w:pPr>
          </w:p>
        </w:tc>
      </w:tr>
      <w:tr w14:paraId="3A22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780045E">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4B8DE7AA">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6A363F20">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304FBD6">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1902EFE4">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0F3C4286">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34D03833">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AFFC7B2">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93226EB">
            <w:pPr>
              <w:spacing w:line="440" w:lineRule="exact"/>
              <w:jc w:val="center"/>
              <w:rPr>
                <w:rFonts w:ascii="宋体" w:hAnsi="宋体" w:cs="宋体"/>
                <w:color w:val="auto"/>
                <w:sz w:val="24"/>
                <w:szCs w:val="24"/>
                <w:highlight w:val="none"/>
              </w:rPr>
            </w:pPr>
          </w:p>
        </w:tc>
      </w:tr>
      <w:tr w14:paraId="03AB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C6753FA">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ABB0520">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B4AB409">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01342B26">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BE55733">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50EFF365">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7A860340">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6A4F7E8">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0EE810D">
            <w:pPr>
              <w:spacing w:line="440" w:lineRule="exact"/>
              <w:jc w:val="center"/>
              <w:rPr>
                <w:rFonts w:ascii="宋体" w:hAnsi="宋体" w:cs="宋体"/>
                <w:color w:val="auto"/>
                <w:sz w:val="24"/>
                <w:szCs w:val="24"/>
                <w:highlight w:val="none"/>
              </w:rPr>
            </w:pPr>
          </w:p>
        </w:tc>
      </w:tr>
      <w:tr w14:paraId="222E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6489F91">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0792DA1">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3F36269">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7B77E4F">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0564ECA">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5169C096">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558E764">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307E03C">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134BC83E">
            <w:pPr>
              <w:spacing w:line="440" w:lineRule="exact"/>
              <w:jc w:val="center"/>
              <w:rPr>
                <w:rFonts w:ascii="宋体" w:hAnsi="宋体" w:cs="宋体"/>
                <w:color w:val="auto"/>
                <w:sz w:val="24"/>
                <w:szCs w:val="24"/>
                <w:highlight w:val="none"/>
              </w:rPr>
            </w:pPr>
          </w:p>
        </w:tc>
      </w:tr>
      <w:tr w14:paraId="33C1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A5AA819">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28576C8C">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6F4464DC">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017371D">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1F8A045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2B4FCFF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375AF8BC">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35521331">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71D1724">
            <w:pPr>
              <w:spacing w:line="440" w:lineRule="exact"/>
              <w:jc w:val="center"/>
              <w:rPr>
                <w:rFonts w:ascii="宋体" w:hAnsi="宋体" w:cs="宋体"/>
                <w:color w:val="auto"/>
                <w:sz w:val="24"/>
                <w:szCs w:val="24"/>
                <w:highlight w:val="none"/>
              </w:rPr>
            </w:pPr>
          </w:p>
        </w:tc>
      </w:tr>
      <w:tr w14:paraId="7082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FCBEECC">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4EF2732F">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220F1F5A">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252F7435">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7D1FD657">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669A79B6">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7BA140AB">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93CA6A5">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4BF13B2">
            <w:pPr>
              <w:spacing w:line="440" w:lineRule="exact"/>
              <w:jc w:val="center"/>
              <w:rPr>
                <w:rFonts w:ascii="宋体" w:hAnsi="宋体" w:cs="宋体"/>
                <w:color w:val="auto"/>
                <w:sz w:val="24"/>
                <w:szCs w:val="24"/>
                <w:highlight w:val="none"/>
              </w:rPr>
            </w:pPr>
          </w:p>
        </w:tc>
      </w:tr>
      <w:tr w14:paraId="39B7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6946787">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2807721D">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CCD6DD7">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F0652D9">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951CD9A">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2C4D7DDB">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D68A11D">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503C6F6">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7E18EBC5">
            <w:pPr>
              <w:spacing w:line="440" w:lineRule="exact"/>
              <w:jc w:val="center"/>
              <w:rPr>
                <w:rFonts w:ascii="宋体" w:hAnsi="宋体" w:cs="宋体"/>
                <w:color w:val="auto"/>
                <w:sz w:val="24"/>
                <w:szCs w:val="24"/>
                <w:highlight w:val="none"/>
              </w:rPr>
            </w:pPr>
          </w:p>
        </w:tc>
      </w:tr>
      <w:tr w14:paraId="3608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1AD66BC">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C135B1A">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7D7BC71">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F250449">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75384BE2">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2A5A2820">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235D8059">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37B16D88">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690EF2C">
            <w:pPr>
              <w:spacing w:line="440" w:lineRule="exact"/>
              <w:jc w:val="center"/>
              <w:rPr>
                <w:rFonts w:ascii="宋体" w:hAnsi="宋体" w:cs="宋体"/>
                <w:color w:val="auto"/>
                <w:sz w:val="24"/>
                <w:szCs w:val="24"/>
                <w:highlight w:val="none"/>
              </w:rPr>
            </w:pPr>
          </w:p>
        </w:tc>
      </w:tr>
      <w:tr w14:paraId="7BD7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A0806E2">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5EA83A2F">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78E11CE">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44D75FDD">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41616C1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1B87A3AA">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0F59085">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472AAD8">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239C1C79">
            <w:pPr>
              <w:spacing w:line="440" w:lineRule="exact"/>
              <w:jc w:val="center"/>
              <w:rPr>
                <w:rFonts w:ascii="宋体" w:hAnsi="宋体" w:cs="宋体"/>
                <w:color w:val="auto"/>
                <w:sz w:val="24"/>
                <w:szCs w:val="24"/>
                <w:highlight w:val="none"/>
              </w:rPr>
            </w:pPr>
          </w:p>
        </w:tc>
      </w:tr>
      <w:tr w14:paraId="23BB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D68503B">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045CBE4">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184E643">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31D62FCF">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7B4E219">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0144A72B">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412352DA">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3999DC4C">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631F8DF5">
            <w:pPr>
              <w:spacing w:line="440" w:lineRule="exact"/>
              <w:jc w:val="center"/>
              <w:rPr>
                <w:rFonts w:ascii="宋体" w:hAnsi="宋体" w:cs="宋体"/>
                <w:color w:val="auto"/>
                <w:sz w:val="24"/>
                <w:szCs w:val="24"/>
                <w:highlight w:val="none"/>
              </w:rPr>
            </w:pPr>
          </w:p>
        </w:tc>
      </w:tr>
      <w:tr w14:paraId="2886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F3C69A4">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B3A0507">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04F6FC4">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35425C26">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66F0F97A">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EF857BE">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23E3399">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C880932">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78653354">
            <w:pPr>
              <w:spacing w:line="440" w:lineRule="exact"/>
              <w:jc w:val="center"/>
              <w:rPr>
                <w:rFonts w:ascii="宋体" w:hAnsi="宋体" w:cs="宋体"/>
                <w:color w:val="auto"/>
                <w:sz w:val="24"/>
                <w:szCs w:val="24"/>
                <w:highlight w:val="none"/>
              </w:rPr>
            </w:pPr>
          </w:p>
        </w:tc>
      </w:tr>
      <w:tr w14:paraId="7436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59E3C59">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6B45206">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4A25DF67">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5AAC5D0B">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50EDDFA8">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6DBF32A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450A9D1">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7340B88">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2F6D7C8">
            <w:pPr>
              <w:spacing w:line="440" w:lineRule="exact"/>
              <w:jc w:val="center"/>
              <w:rPr>
                <w:rFonts w:ascii="宋体" w:hAnsi="宋体" w:cs="宋体"/>
                <w:color w:val="auto"/>
                <w:sz w:val="24"/>
                <w:szCs w:val="24"/>
                <w:highlight w:val="none"/>
              </w:rPr>
            </w:pPr>
          </w:p>
        </w:tc>
      </w:tr>
      <w:tr w14:paraId="52F3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9FA4426">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60F73FD">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734280E4">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DFF6D15">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B452E2A">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652FDFD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8138B88">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32D60BA6">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996D356">
            <w:pPr>
              <w:spacing w:line="440" w:lineRule="exact"/>
              <w:jc w:val="center"/>
              <w:rPr>
                <w:rFonts w:ascii="宋体" w:hAnsi="宋体" w:cs="宋体"/>
                <w:color w:val="auto"/>
                <w:sz w:val="24"/>
                <w:szCs w:val="24"/>
                <w:highlight w:val="none"/>
              </w:rPr>
            </w:pPr>
          </w:p>
        </w:tc>
      </w:tr>
      <w:tr w14:paraId="2B3D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14:paraId="4C418526">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362192E2">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14FE599A">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36C28FDB">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38B206C">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0214E0ED">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53AD004C">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712A6A0">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A5FE837">
            <w:pPr>
              <w:spacing w:line="440" w:lineRule="exact"/>
              <w:jc w:val="center"/>
              <w:rPr>
                <w:rFonts w:ascii="宋体" w:hAnsi="宋体" w:cs="宋体"/>
                <w:color w:val="auto"/>
                <w:sz w:val="24"/>
                <w:szCs w:val="24"/>
                <w:highlight w:val="none"/>
              </w:rPr>
            </w:pPr>
          </w:p>
        </w:tc>
      </w:tr>
    </w:tbl>
    <w:p w14:paraId="490518E8">
      <w:pPr>
        <w:spacing w:line="440" w:lineRule="exact"/>
        <w:rPr>
          <w:rFonts w:ascii="宋体" w:hAnsi="宋体" w:cs="宋体"/>
          <w:color w:val="auto"/>
          <w:highlight w:val="none"/>
        </w:rPr>
      </w:pPr>
      <w:bookmarkStart w:id="435" w:name="_Toc517280612"/>
    </w:p>
    <w:p w14:paraId="7D8752D4">
      <w:pPr>
        <w:spacing w:line="440" w:lineRule="exact"/>
        <w:rPr>
          <w:rFonts w:ascii="宋体" w:hAnsi="宋体" w:cs="宋体"/>
          <w:color w:val="auto"/>
          <w:highlight w:val="none"/>
        </w:rPr>
      </w:pPr>
    </w:p>
    <w:p w14:paraId="37EEF5FF">
      <w:pPr>
        <w:pStyle w:val="4"/>
        <w:keepNext w:val="0"/>
        <w:keepLines w:val="0"/>
        <w:spacing w:line="240" w:lineRule="auto"/>
        <w:ind w:firstLine="137"/>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sz w:val="32"/>
          <w:highlight w:val="none"/>
        </w:rPr>
        <w:t>（四）</w:t>
      </w:r>
      <w:r>
        <w:rPr>
          <w:rFonts w:ascii="宋体" w:hAnsi="宋体" w:cs="宋体"/>
          <w:b/>
          <w:color w:val="auto"/>
          <w:sz w:val="32"/>
          <w:highlight w:val="none"/>
        </w:rPr>
        <w:t>主要人员简历表</w:t>
      </w:r>
      <w:bookmarkEnd w:id="435"/>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06"/>
        <w:gridCol w:w="787"/>
        <w:gridCol w:w="1090"/>
        <w:gridCol w:w="1213"/>
        <w:gridCol w:w="803"/>
        <w:gridCol w:w="1435"/>
        <w:gridCol w:w="457"/>
        <w:gridCol w:w="2158"/>
      </w:tblGrid>
      <w:tr w14:paraId="7F6A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1" w:type="dxa"/>
            <w:noWrap/>
            <w:vAlign w:val="center"/>
          </w:tcPr>
          <w:p w14:paraId="7F12B65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193" w:type="dxa"/>
            <w:gridSpan w:val="2"/>
            <w:noWrap/>
            <w:vAlign w:val="center"/>
          </w:tcPr>
          <w:p w14:paraId="047ECE3F">
            <w:pPr>
              <w:spacing w:line="440" w:lineRule="exact"/>
              <w:jc w:val="center"/>
              <w:rPr>
                <w:rFonts w:ascii="宋体" w:hAnsi="宋体" w:cs="宋体"/>
                <w:color w:val="auto"/>
                <w:sz w:val="24"/>
                <w:szCs w:val="24"/>
                <w:highlight w:val="none"/>
              </w:rPr>
            </w:pPr>
          </w:p>
        </w:tc>
        <w:tc>
          <w:tcPr>
            <w:tcW w:w="1090" w:type="dxa"/>
            <w:noWrap/>
            <w:vAlign w:val="center"/>
          </w:tcPr>
          <w:p w14:paraId="38EE648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213" w:type="dxa"/>
            <w:noWrap/>
            <w:vAlign w:val="center"/>
          </w:tcPr>
          <w:p w14:paraId="4E3AD9E6">
            <w:pPr>
              <w:spacing w:line="440" w:lineRule="exact"/>
              <w:jc w:val="center"/>
              <w:rPr>
                <w:rFonts w:ascii="宋体" w:hAnsi="宋体" w:cs="宋体"/>
                <w:color w:val="auto"/>
                <w:sz w:val="24"/>
                <w:szCs w:val="24"/>
                <w:highlight w:val="none"/>
              </w:rPr>
            </w:pPr>
          </w:p>
        </w:tc>
        <w:tc>
          <w:tcPr>
            <w:tcW w:w="2695" w:type="dxa"/>
            <w:gridSpan w:val="3"/>
            <w:noWrap/>
            <w:vAlign w:val="center"/>
          </w:tcPr>
          <w:p w14:paraId="6701A781">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执业资格证书（或上岗证书）名称</w:t>
            </w:r>
          </w:p>
        </w:tc>
        <w:tc>
          <w:tcPr>
            <w:tcW w:w="2158" w:type="dxa"/>
            <w:noWrap/>
            <w:vAlign w:val="center"/>
          </w:tcPr>
          <w:p w14:paraId="28AF54D2">
            <w:pPr>
              <w:spacing w:line="440" w:lineRule="exact"/>
              <w:jc w:val="center"/>
              <w:rPr>
                <w:rFonts w:ascii="宋体" w:hAnsi="宋体" w:cs="宋体"/>
                <w:color w:val="auto"/>
                <w:sz w:val="24"/>
                <w:szCs w:val="24"/>
                <w:highlight w:val="none"/>
              </w:rPr>
            </w:pPr>
          </w:p>
        </w:tc>
      </w:tr>
      <w:tr w14:paraId="45BB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2ABCAE3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193" w:type="dxa"/>
            <w:gridSpan w:val="2"/>
            <w:tcBorders>
              <w:left w:val="single" w:color="auto" w:sz="4" w:space="0"/>
            </w:tcBorders>
            <w:noWrap/>
            <w:vAlign w:val="center"/>
          </w:tcPr>
          <w:p w14:paraId="025E7E16">
            <w:pPr>
              <w:spacing w:line="440" w:lineRule="exact"/>
              <w:jc w:val="center"/>
              <w:rPr>
                <w:rFonts w:ascii="宋体" w:hAnsi="宋体" w:cs="宋体"/>
                <w:color w:val="auto"/>
                <w:sz w:val="24"/>
                <w:szCs w:val="24"/>
                <w:highlight w:val="none"/>
              </w:rPr>
            </w:pPr>
          </w:p>
        </w:tc>
        <w:tc>
          <w:tcPr>
            <w:tcW w:w="1090" w:type="dxa"/>
            <w:tcBorders>
              <w:left w:val="single" w:color="auto" w:sz="4" w:space="0"/>
            </w:tcBorders>
            <w:noWrap/>
            <w:vAlign w:val="center"/>
          </w:tcPr>
          <w:p w14:paraId="5886DEA4">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213" w:type="dxa"/>
            <w:tcBorders>
              <w:left w:val="single" w:color="auto" w:sz="4" w:space="0"/>
            </w:tcBorders>
            <w:noWrap/>
            <w:vAlign w:val="center"/>
          </w:tcPr>
          <w:p w14:paraId="14255CD9">
            <w:pPr>
              <w:spacing w:line="440" w:lineRule="exact"/>
              <w:jc w:val="center"/>
              <w:rPr>
                <w:rFonts w:ascii="宋体" w:hAnsi="宋体" w:cs="宋体"/>
                <w:color w:val="auto"/>
                <w:sz w:val="24"/>
                <w:szCs w:val="24"/>
                <w:highlight w:val="none"/>
              </w:rPr>
            </w:pPr>
          </w:p>
        </w:tc>
        <w:tc>
          <w:tcPr>
            <w:tcW w:w="2695" w:type="dxa"/>
            <w:gridSpan w:val="3"/>
            <w:tcBorders>
              <w:left w:val="single" w:color="auto" w:sz="4" w:space="0"/>
            </w:tcBorders>
            <w:noWrap/>
            <w:vAlign w:val="center"/>
          </w:tcPr>
          <w:p w14:paraId="0701F571">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拟在本项目任职</w:t>
            </w:r>
          </w:p>
        </w:tc>
        <w:tc>
          <w:tcPr>
            <w:tcW w:w="2158" w:type="dxa"/>
            <w:tcBorders>
              <w:left w:val="single" w:color="auto" w:sz="4" w:space="0"/>
            </w:tcBorders>
            <w:noWrap/>
            <w:vAlign w:val="center"/>
          </w:tcPr>
          <w:p w14:paraId="770156A8">
            <w:pPr>
              <w:spacing w:line="440" w:lineRule="exact"/>
              <w:jc w:val="center"/>
              <w:rPr>
                <w:rFonts w:ascii="宋体" w:hAnsi="宋体" w:cs="宋体"/>
                <w:color w:val="auto"/>
                <w:sz w:val="24"/>
                <w:szCs w:val="24"/>
                <w:highlight w:val="none"/>
              </w:rPr>
            </w:pPr>
          </w:p>
        </w:tc>
      </w:tr>
      <w:tr w14:paraId="2049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28ED9EA9">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3496" w:type="dxa"/>
            <w:gridSpan w:val="4"/>
            <w:tcBorders>
              <w:left w:val="single" w:color="auto" w:sz="4" w:space="0"/>
            </w:tcBorders>
            <w:noWrap/>
            <w:vAlign w:val="center"/>
          </w:tcPr>
          <w:p w14:paraId="3BCBD6A1">
            <w:pPr>
              <w:spacing w:line="440" w:lineRule="exact"/>
              <w:jc w:val="center"/>
              <w:rPr>
                <w:rFonts w:ascii="宋体" w:hAnsi="宋体" w:cs="宋体"/>
                <w:color w:val="auto"/>
                <w:sz w:val="24"/>
                <w:szCs w:val="24"/>
                <w:highlight w:val="none"/>
              </w:rPr>
            </w:pPr>
          </w:p>
        </w:tc>
        <w:tc>
          <w:tcPr>
            <w:tcW w:w="2695" w:type="dxa"/>
            <w:gridSpan w:val="3"/>
            <w:tcBorders>
              <w:left w:val="single" w:color="auto" w:sz="4" w:space="0"/>
            </w:tcBorders>
            <w:noWrap/>
            <w:vAlign w:val="center"/>
          </w:tcPr>
          <w:p w14:paraId="3FBF4B23">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从事监理工作年限</w:t>
            </w:r>
          </w:p>
        </w:tc>
        <w:tc>
          <w:tcPr>
            <w:tcW w:w="2158" w:type="dxa"/>
            <w:tcBorders>
              <w:left w:val="single" w:color="auto" w:sz="4" w:space="0"/>
            </w:tcBorders>
            <w:noWrap/>
            <w:vAlign w:val="center"/>
          </w:tcPr>
          <w:p w14:paraId="58E2FE5E">
            <w:pPr>
              <w:spacing w:line="440" w:lineRule="exact"/>
              <w:jc w:val="center"/>
              <w:rPr>
                <w:rFonts w:ascii="宋体" w:hAnsi="宋体" w:cs="宋体"/>
                <w:color w:val="auto"/>
                <w:sz w:val="24"/>
                <w:szCs w:val="24"/>
                <w:highlight w:val="none"/>
              </w:rPr>
            </w:pPr>
          </w:p>
        </w:tc>
      </w:tr>
      <w:tr w14:paraId="7F75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1" w:type="dxa"/>
            <w:noWrap/>
            <w:vAlign w:val="center"/>
          </w:tcPr>
          <w:p w14:paraId="78C0707B">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8349" w:type="dxa"/>
            <w:gridSpan w:val="8"/>
            <w:tcBorders>
              <w:left w:val="single" w:color="auto" w:sz="4" w:space="0"/>
            </w:tcBorders>
            <w:noWrap/>
            <w:vAlign w:val="center"/>
          </w:tcPr>
          <w:p w14:paraId="2F673DFC">
            <w:pPr>
              <w:spacing w:before="100" w:beforeAutospacing="1" w:after="100" w:afterAutospacing="1" w:line="44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14:paraId="251E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00" w:type="dxa"/>
            <w:gridSpan w:val="9"/>
            <w:noWrap/>
            <w:vAlign w:val="center"/>
          </w:tcPr>
          <w:p w14:paraId="337DFAC1">
            <w:pPr>
              <w:spacing w:before="100" w:beforeAutospacing="1" w:after="100" w:afterAutospacing="1"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3677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57" w:type="dxa"/>
            <w:gridSpan w:val="2"/>
            <w:noWrap/>
            <w:vAlign w:val="center"/>
          </w:tcPr>
          <w:p w14:paraId="7F3C6DE6">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893" w:type="dxa"/>
            <w:gridSpan w:val="4"/>
            <w:tcBorders>
              <w:left w:val="single" w:color="auto" w:sz="4" w:space="0"/>
            </w:tcBorders>
            <w:noWrap/>
            <w:vAlign w:val="center"/>
          </w:tcPr>
          <w:p w14:paraId="5B85CB00">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5" w:type="dxa"/>
            <w:tcBorders>
              <w:left w:val="single" w:color="auto" w:sz="4" w:space="0"/>
            </w:tcBorders>
            <w:noWrap/>
            <w:vAlign w:val="center"/>
          </w:tcPr>
          <w:p w14:paraId="4A5A633C">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15" w:type="dxa"/>
            <w:gridSpan w:val="2"/>
            <w:tcBorders>
              <w:left w:val="single" w:color="auto" w:sz="4" w:space="0"/>
            </w:tcBorders>
            <w:noWrap/>
            <w:vAlign w:val="center"/>
          </w:tcPr>
          <w:p w14:paraId="06B4AB65">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委托人及联系电话</w:t>
            </w:r>
          </w:p>
        </w:tc>
      </w:tr>
      <w:tr w14:paraId="6C69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3D267B6E">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tcPr>
          <w:p w14:paraId="5CFCA6BD">
            <w:pPr>
              <w:spacing w:line="440" w:lineRule="exact"/>
              <w:rPr>
                <w:rFonts w:ascii="宋体" w:hAnsi="宋体" w:cs="宋体"/>
                <w:color w:val="auto"/>
                <w:sz w:val="24"/>
                <w:szCs w:val="24"/>
                <w:highlight w:val="none"/>
              </w:rPr>
            </w:pPr>
          </w:p>
        </w:tc>
        <w:tc>
          <w:tcPr>
            <w:tcW w:w="1435" w:type="dxa"/>
            <w:tcBorders>
              <w:left w:val="single" w:color="auto" w:sz="4" w:space="0"/>
            </w:tcBorders>
            <w:noWrap/>
          </w:tcPr>
          <w:p w14:paraId="2199F397">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tcPr>
          <w:p w14:paraId="6DED01C1">
            <w:pPr>
              <w:spacing w:line="440" w:lineRule="exact"/>
              <w:rPr>
                <w:rFonts w:ascii="宋体" w:hAnsi="宋体" w:cs="宋体"/>
                <w:color w:val="auto"/>
                <w:sz w:val="24"/>
                <w:szCs w:val="24"/>
                <w:highlight w:val="none"/>
              </w:rPr>
            </w:pPr>
          </w:p>
        </w:tc>
      </w:tr>
      <w:tr w14:paraId="2554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336D728B">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tcPr>
          <w:p w14:paraId="62E95EFD">
            <w:pPr>
              <w:spacing w:line="440" w:lineRule="exact"/>
              <w:rPr>
                <w:rFonts w:ascii="宋体" w:hAnsi="宋体" w:cs="宋体"/>
                <w:color w:val="auto"/>
                <w:sz w:val="24"/>
                <w:szCs w:val="24"/>
                <w:highlight w:val="none"/>
              </w:rPr>
            </w:pPr>
          </w:p>
        </w:tc>
        <w:tc>
          <w:tcPr>
            <w:tcW w:w="1435" w:type="dxa"/>
            <w:tcBorders>
              <w:left w:val="single" w:color="auto" w:sz="4" w:space="0"/>
            </w:tcBorders>
            <w:noWrap/>
          </w:tcPr>
          <w:p w14:paraId="623867EF">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tcPr>
          <w:p w14:paraId="27B7F8CC">
            <w:pPr>
              <w:spacing w:line="440" w:lineRule="exact"/>
              <w:rPr>
                <w:rFonts w:ascii="宋体" w:hAnsi="宋体" w:cs="宋体"/>
                <w:color w:val="auto"/>
                <w:sz w:val="24"/>
                <w:szCs w:val="24"/>
                <w:highlight w:val="none"/>
              </w:rPr>
            </w:pPr>
          </w:p>
        </w:tc>
      </w:tr>
      <w:tr w14:paraId="5244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41AA3DB7">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tcPr>
          <w:p w14:paraId="28B4EA1E">
            <w:pPr>
              <w:spacing w:line="440" w:lineRule="exact"/>
              <w:rPr>
                <w:rFonts w:ascii="宋体" w:hAnsi="宋体" w:cs="宋体"/>
                <w:color w:val="auto"/>
                <w:sz w:val="24"/>
                <w:szCs w:val="24"/>
                <w:highlight w:val="none"/>
              </w:rPr>
            </w:pPr>
          </w:p>
        </w:tc>
        <w:tc>
          <w:tcPr>
            <w:tcW w:w="1435" w:type="dxa"/>
            <w:tcBorders>
              <w:left w:val="single" w:color="auto" w:sz="4" w:space="0"/>
            </w:tcBorders>
            <w:noWrap/>
          </w:tcPr>
          <w:p w14:paraId="22FF9CA3">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tcPr>
          <w:p w14:paraId="6AC83F09">
            <w:pPr>
              <w:spacing w:line="440" w:lineRule="exact"/>
              <w:rPr>
                <w:rFonts w:ascii="宋体" w:hAnsi="宋体" w:cs="宋体"/>
                <w:color w:val="auto"/>
                <w:sz w:val="24"/>
                <w:szCs w:val="24"/>
                <w:highlight w:val="none"/>
              </w:rPr>
            </w:pPr>
          </w:p>
        </w:tc>
      </w:tr>
      <w:tr w14:paraId="6AE3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50CBC0B5">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14:paraId="5FC4C1D2">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14:paraId="254A8521">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14:paraId="73313FBE">
            <w:pPr>
              <w:spacing w:line="440" w:lineRule="exact"/>
              <w:rPr>
                <w:rFonts w:ascii="宋体" w:hAnsi="宋体" w:cs="宋体"/>
                <w:color w:val="auto"/>
                <w:sz w:val="24"/>
                <w:szCs w:val="24"/>
                <w:highlight w:val="none"/>
              </w:rPr>
            </w:pPr>
          </w:p>
        </w:tc>
      </w:tr>
      <w:tr w14:paraId="24BE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7AF20715">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14:paraId="406F3965">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14:paraId="344A55C9">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14:paraId="28D599C2">
            <w:pPr>
              <w:spacing w:line="440" w:lineRule="exact"/>
              <w:rPr>
                <w:rFonts w:ascii="宋体" w:hAnsi="宋体" w:cs="宋体"/>
                <w:color w:val="auto"/>
                <w:sz w:val="24"/>
                <w:szCs w:val="24"/>
                <w:highlight w:val="none"/>
              </w:rPr>
            </w:pPr>
          </w:p>
        </w:tc>
      </w:tr>
      <w:tr w14:paraId="19F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27CA9B04">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14:paraId="15E1CF4B">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14:paraId="6227F24C">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14:paraId="0A684E61">
            <w:pPr>
              <w:spacing w:line="440" w:lineRule="exact"/>
              <w:rPr>
                <w:rFonts w:ascii="宋体" w:hAnsi="宋体" w:cs="宋体"/>
                <w:color w:val="auto"/>
                <w:sz w:val="24"/>
                <w:szCs w:val="24"/>
                <w:highlight w:val="none"/>
              </w:rPr>
            </w:pPr>
          </w:p>
        </w:tc>
      </w:tr>
      <w:tr w14:paraId="710E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57" w:type="dxa"/>
            <w:gridSpan w:val="2"/>
            <w:noWrap/>
            <w:vAlign w:val="center"/>
          </w:tcPr>
          <w:p w14:paraId="1D9603F2">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14:paraId="5829768A">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14:paraId="784AC312">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14:paraId="1ED3FE5E">
            <w:pPr>
              <w:spacing w:line="440" w:lineRule="exact"/>
              <w:rPr>
                <w:rFonts w:ascii="宋体" w:hAnsi="宋体" w:cs="宋体"/>
                <w:color w:val="auto"/>
                <w:sz w:val="24"/>
                <w:szCs w:val="24"/>
                <w:highlight w:val="none"/>
              </w:rPr>
            </w:pPr>
          </w:p>
        </w:tc>
      </w:tr>
    </w:tbl>
    <w:p w14:paraId="61A575A1">
      <w:pPr>
        <w:spacing w:line="440" w:lineRule="exact"/>
        <w:rPr>
          <w:rFonts w:ascii="宋体" w:hAnsi="宋体" w:cs="宋体"/>
          <w:color w:val="auto"/>
          <w:highlight w:val="none"/>
        </w:rPr>
      </w:pPr>
      <w:bookmarkStart w:id="436" w:name="_Toc352703741"/>
      <w:bookmarkStart w:id="437" w:name="_Toc300835229"/>
    </w:p>
    <w:p w14:paraId="5556589D">
      <w:pPr>
        <w:spacing w:line="440" w:lineRule="exact"/>
        <w:rPr>
          <w:rFonts w:ascii="宋体" w:hAnsi="宋体" w:cs="宋体"/>
          <w:color w:val="auto"/>
          <w:highlight w:val="none"/>
        </w:rPr>
      </w:pPr>
    </w:p>
    <w:p w14:paraId="797DDD37">
      <w:pPr>
        <w:rPr>
          <w:rFonts w:hint="eastAsia"/>
          <w:b/>
          <w:bCs/>
          <w:color w:val="auto"/>
          <w:sz w:val="32"/>
          <w:szCs w:val="32"/>
          <w:highlight w:val="none"/>
        </w:rPr>
      </w:pPr>
      <w:r>
        <w:rPr>
          <w:rFonts w:hint="eastAsia"/>
          <w:b/>
          <w:bCs/>
          <w:color w:val="auto"/>
          <w:sz w:val="32"/>
          <w:szCs w:val="32"/>
          <w:highlight w:val="none"/>
        </w:rPr>
        <w:br w:type="page"/>
      </w:r>
    </w:p>
    <w:p w14:paraId="14A3C658">
      <w:pPr>
        <w:pStyle w:val="24"/>
        <w:spacing w:line="360" w:lineRule="auto"/>
        <w:jc w:val="center"/>
        <w:outlineLvl w:val="1"/>
        <w:rPr>
          <w:b/>
          <w:bCs/>
          <w:color w:val="auto"/>
          <w:sz w:val="32"/>
          <w:szCs w:val="32"/>
          <w:highlight w:val="none"/>
        </w:rPr>
      </w:pPr>
      <w:r>
        <w:rPr>
          <w:rFonts w:hint="eastAsia" w:hAnsi="宋体" w:eastAsia="黑体" w:cs="宋体"/>
          <w:b/>
          <w:color w:val="auto"/>
          <w:sz w:val="32"/>
          <w:szCs w:val="20"/>
          <w:highlight w:val="none"/>
        </w:rPr>
        <w:t>（五）投标人认为需提供的其他材料（格式自拟）</w:t>
      </w:r>
    </w:p>
    <w:p w14:paraId="67F1712F">
      <w:pPr>
        <w:pStyle w:val="82"/>
        <w:spacing w:line="500" w:lineRule="exact"/>
        <w:outlineLvl w:val="0"/>
        <w:rPr>
          <w:b/>
          <w:bCs/>
          <w:color w:val="auto"/>
          <w:sz w:val="28"/>
          <w:szCs w:val="28"/>
          <w:highlight w:val="none"/>
        </w:rPr>
      </w:pPr>
      <w:r>
        <w:rPr>
          <w:rFonts w:hint="eastAsia"/>
          <w:b/>
          <w:bCs/>
          <w:color w:val="auto"/>
          <w:sz w:val="28"/>
          <w:szCs w:val="28"/>
          <w:highlight w:val="none"/>
        </w:rPr>
        <w:t>（投标人根据《定标因素表》要求提供其他证明材料或投标人认为需要提供的其他材料）</w:t>
      </w:r>
    </w:p>
    <w:p w14:paraId="0828D0E1">
      <w:pPr>
        <w:pStyle w:val="24"/>
        <w:spacing w:line="360" w:lineRule="auto"/>
        <w:jc w:val="left"/>
        <w:outlineLvl w:val="1"/>
        <w:rPr>
          <w:b/>
          <w:bCs/>
          <w:color w:val="auto"/>
          <w:sz w:val="28"/>
          <w:szCs w:val="28"/>
          <w:highlight w:val="none"/>
        </w:rPr>
      </w:pPr>
    </w:p>
    <w:bookmarkEnd w:id="436"/>
    <w:bookmarkEnd w:id="437"/>
    <w:p w14:paraId="0DA08771">
      <w:pPr>
        <w:rPr>
          <w:rFonts w:ascii="宋体" w:hAnsi="宋体" w:cs="宋体"/>
          <w:color w:val="auto"/>
          <w:highlight w:val="none"/>
        </w:rPr>
      </w:pPr>
    </w:p>
    <w:p w14:paraId="7596BC84">
      <w:pPr>
        <w:pStyle w:val="24"/>
        <w:spacing w:line="360" w:lineRule="auto"/>
        <w:rPr>
          <w:color w:val="auto"/>
          <w:highlight w:val="none"/>
        </w:rPr>
      </w:pPr>
    </w:p>
    <w:p w14:paraId="3B7A7951">
      <w:pPr>
        <w:rPr>
          <w:color w:val="auto"/>
          <w:highlight w:val="none"/>
        </w:rPr>
      </w:pPr>
    </w:p>
    <w:bookmarkEnd w:id="428"/>
    <w:bookmarkEnd w:id="429"/>
    <w:bookmarkEnd w:id="430"/>
    <w:bookmarkEnd w:id="431"/>
    <w:p w14:paraId="5E3D60D5">
      <w:pPr>
        <w:rPr>
          <w:rFonts w:ascii="宋体" w:hAnsi="宋体"/>
          <w:color w:val="auto"/>
          <w:highlight w:val="none"/>
        </w:rPr>
      </w:pPr>
      <w:r>
        <w:rPr>
          <w:rFonts w:ascii="宋体" w:hAnsi="宋体"/>
          <w:color w:val="auto"/>
          <w:highlight w:val="none"/>
        </w:rPr>
        <w:br w:type="page"/>
      </w:r>
    </w:p>
    <w:p w14:paraId="29BA8BDF">
      <w:pPr>
        <w:pStyle w:val="2"/>
        <w:spacing w:before="0" w:after="0" w:line="360" w:lineRule="auto"/>
        <w:jc w:val="center"/>
        <w:rPr>
          <w:rFonts w:hint="eastAsia" w:ascii="宋体" w:hAnsi="宋体" w:eastAsia="宋体"/>
          <w:color w:val="auto"/>
          <w:szCs w:val="30"/>
          <w:highlight w:val="none"/>
        </w:rPr>
      </w:pPr>
      <w:bookmarkStart w:id="438" w:name="_Toc19391"/>
      <w:r>
        <w:rPr>
          <w:rFonts w:hint="eastAsia" w:ascii="宋体" w:hAnsi="宋体" w:eastAsia="宋体"/>
          <w:color w:val="auto"/>
          <w:kern w:val="44"/>
          <w:sz w:val="44"/>
          <w:highlight w:val="none"/>
        </w:rPr>
        <w:t>第七章</w:t>
      </w:r>
      <w:bookmarkEnd w:id="438"/>
      <w:r>
        <w:rPr>
          <w:rFonts w:hint="eastAsia" w:ascii="宋体" w:hAnsi="宋体" w:eastAsia="宋体"/>
          <w:color w:val="auto"/>
          <w:kern w:val="44"/>
          <w:sz w:val="44"/>
          <w:szCs w:val="20"/>
          <w:highlight w:val="none"/>
        </w:rPr>
        <w:t xml:space="preserve"> 否决性条款汇总</w:t>
      </w:r>
    </w:p>
    <w:p w14:paraId="3C544CCE">
      <w:pPr>
        <w:wordWrap w:val="0"/>
        <w:spacing w:line="360" w:lineRule="auto"/>
        <w:ind w:firstLine="480" w:firstLineChars="200"/>
        <w:jc w:val="left"/>
        <w:rPr>
          <w:rFonts w:hint="eastAsia" w:ascii="宋体" w:hAnsi="宋体" w:cs="宋体"/>
          <w:color w:val="auto"/>
          <w:kern w:val="21"/>
          <w:sz w:val="24"/>
          <w:highlight w:val="none"/>
        </w:rPr>
      </w:pPr>
      <w:r>
        <w:rPr>
          <w:rFonts w:hint="eastAsia" w:ascii="宋体" w:hAnsi="宋体" w:cs="宋体"/>
          <w:color w:val="auto"/>
          <w:kern w:val="21"/>
          <w:sz w:val="24"/>
          <w:highlight w:val="none"/>
        </w:rPr>
        <w:t>招标人应当在招标文件中将投标文件的否决性条款单列，招标文件的其他条款与该单列的否决性条款不一致的，以单列的否决性条款为准。如招标文件澄清或修改的内容中增加否决性条款的，招标人应当重新单列完整的投标文件否决性条款，并依法发给所有投标人。否决性条款是指招标文件中规定的不予受理投标或者作无效标、废标以及不合格标处理等否定投标文件效力的条款。</w:t>
      </w:r>
    </w:p>
    <w:p w14:paraId="35ECAFCB">
      <w:pPr>
        <w:rPr>
          <w:rFonts w:hint="eastAsia"/>
          <w:color w:val="auto"/>
          <w:highlight w:val="none"/>
        </w:rPr>
      </w:pPr>
    </w:p>
    <w:tbl>
      <w:tblPr>
        <w:tblStyle w:val="46"/>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867"/>
      </w:tblGrid>
      <w:tr w14:paraId="2ADA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0" w:type="dxa"/>
            <w:vAlign w:val="center"/>
          </w:tcPr>
          <w:p w14:paraId="1C05775F">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8867" w:type="dxa"/>
            <w:vAlign w:val="center"/>
          </w:tcPr>
          <w:p w14:paraId="2473B937">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条款内容</w:t>
            </w:r>
          </w:p>
        </w:tc>
      </w:tr>
      <w:tr w14:paraId="53DD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87" w:type="dxa"/>
            <w:gridSpan w:val="2"/>
            <w:vAlign w:val="center"/>
          </w:tcPr>
          <w:p w14:paraId="63EB6C9C">
            <w:pPr>
              <w:numPr>
                <w:ilvl w:val="0"/>
                <w:numId w:val="3"/>
              </w:numPr>
              <w:wordWrap w:val="0"/>
              <w:spacing w:line="360" w:lineRule="auto"/>
              <w:rPr>
                <w:rFonts w:hint="eastAsia" w:ascii="宋体" w:hAnsi="宋体" w:cs="宋体"/>
                <w:b/>
                <w:bCs/>
                <w:color w:val="auto"/>
                <w:kern w:val="21"/>
                <w:sz w:val="24"/>
                <w:highlight w:val="none"/>
              </w:rPr>
            </w:pPr>
            <w:r>
              <w:rPr>
                <w:rFonts w:hint="eastAsia" w:ascii="宋体" w:hAnsi="宋体" w:cs="宋体"/>
                <w:b/>
                <w:bCs/>
                <w:color w:val="auto"/>
                <w:sz w:val="24"/>
                <w:highlight w:val="none"/>
              </w:rPr>
              <w:t>投标文件、投标文件光盘</w:t>
            </w:r>
            <w:r>
              <w:rPr>
                <w:rFonts w:ascii="宋体" w:hAnsi="宋体" w:cs="宋体"/>
                <w:b/>
                <w:bCs/>
                <w:color w:val="auto"/>
                <w:sz w:val="24"/>
                <w:highlight w:val="none"/>
              </w:rPr>
              <w:t>或U盘</w:t>
            </w:r>
            <w:r>
              <w:rPr>
                <w:rFonts w:hint="eastAsia" w:ascii="宋体" w:hAnsi="宋体" w:cs="宋体"/>
                <w:b/>
                <w:bCs/>
                <w:color w:val="auto"/>
                <w:sz w:val="24"/>
                <w:highlight w:val="none"/>
              </w:rPr>
              <w:t>（备用）出现下列情形之一的，拒绝受理：</w:t>
            </w:r>
          </w:p>
        </w:tc>
      </w:tr>
      <w:tr w14:paraId="55AD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269D34AE">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1</w:t>
            </w:r>
          </w:p>
        </w:tc>
        <w:tc>
          <w:tcPr>
            <w:tcW w:w="8867" w:type="dxa"/>
            <w:vAlign w:val="center"/>
          </w:tcPr>
          <w:p w14:paraId="3FCA8122">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（1）逾期送达的投标文件，电子招标投标交易平台将予以拒收。</w:t>
            </w:r>
          </w:p>
          <w:p w14:paraId="1DE6A850">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（2）逾期未上传成功的电子投标文件，招标人拒绝接收。</w:t>
            </w:r>
          </w:p>
          <w:p w14:paraId="35B351DD">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（3）逾期或未在指定地点递交投标文件光盘（或U盘）的,招标人拒绝接收其投标文件光盘（或U盘）。</w:t>
            </w:r>
          </w:p>
          <w:p w14:paraId="06D0B4ED">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（4）逾期送达的投标文件，电子招标投标交易平台将予以拒收。</w:t>
            </w:r>
          </w:p>
        </w:tc>
      </w:tr>
      <w:tr w14:paraId="28AD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4B165151">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2</w:t>
            </w:r>
          </w:p>
        </w:tc>
        <w:tc>
          <w:tcPr>
            <w:tcW w:w="8867" w:type="dxa"/>
            <w:vAlign w:val="center"/>
          </w:tcPr>
          <w:p w14:paraId="6AA8E1C4">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在投标截止时间后</w:t>
            </w:r>
            <w:r>
              <w:rPr>
                <w:rFonts w:hint="eastAsia" w:ascii="宋体" w:hAnsi="宋体" w:cs="宋体"/>
                <w:b/>
                <w:bCs/>
                <w:color w:val="auto"/>
                <w:kern w:val="21"/>
                <w:sz w:val="24"/>
                <w:highlight w:val="none"/>
                <w:lang w:val="en-US" w:eastAsia="zh-CN"/>
              </w:rPr>
              <w:t>一</w:t>
            </w:r>
            <w:r>
              <w:rPr>
                <w:rFonts w:hint="eastAsia" w:ascii="宋体" w:hAnsi="宋体" w:cs="宋体"/>
                <w:b/>
                <w:bCs/>
                <w:color w:val="auto"/>
                <w:kern w:val="21"/>
                <w:sz w:val="24"/>
                <w:highlight w:val="none"/>
              </w:rPr>
              <w:t>小时内为投标人投标文件解密时间，投标人通过广州公共资源交易平台对已递交的电子投标文件进行解密，超过时间未解密的视为撤销其投标文件。因投标人原因造成投标文件未解密的或未在投标截止时间后一小时内解密的且未提交备用光盘（或U盘）的，视为撤销其投标文件。</w:t>
            </w:r>
          </w:p>
        </w:tc>
      </w:tr>
      <w:tr w14:paraId="1B25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1298C374">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3</w:t>
            </w:r>
          </w:p>
        </w:tc>
        <w:tc>
          <w:tcPr>
            <w:tcW w:w="8867" w:type="dxa"/>
            <w:vAlign w:val="center"/>
          </w:tcPr>
          <w:p w14:paraId="23EC957F">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递交的投标文件光盘</w:t>
            </w:r>
            <w:r>
              <w:rPr>
                <w:rFonts w:ascii="宋体" w:hAnsi="宋体" w:cs="宋体"/>
                <w:b/>
                <w:bCs/>
                <w:color w:val="auto"/>
                <w:kern w:val="21"/>
                <w:sz w:val="24"/>
                <w:highlight w:val="none"/>
              </w:rPr>
              <w:t>或U盘</w:t>
            </w:r>
            <w:r>
              <w:rPr>
                <w:rFonts w:hint="eastAsia" w:ascii="宋体" w:hAnsi="宋体" w:cs="宋体"/>
                <w:b/>
                <w:bCs/>
                <w:color w:val="auto"/>
                <w:kern w:val="21"/>
                <w:sz w:val="24"/>
                <w:highlight w:val="none"/>
              </w:rPr>
              <w:t>不得加密。投标文件光盘</w:t>
            </w:r>
            <w:r>
              <w:rPr>
                <w:rFonts w:ascii="宋体" w:hAnsi="宋体" w:cs="宋体"/>
                <w:b/>
                <w:bCs/>
                <w:color w:val="auto"/>
                <w:kern w:val="21"/>
                <w:sz w:val="24"/>
                <w:highlight w:val="none"/>
              </w:rPr>
              <w:t>或U盘</w:t>
            </w:r>
            <w:r>
              <w:rPr>
                <w:rFonts w:hint="eastAsia" w:ascii="宋体" w:hAnsi="宋体" w:cs="宋体"/>
                <w:b/>
                <w:bCs/>
                <w:color w:val="auto"/>
                <w:kern w:val="21"/>
                <w:sz w:val="24"/>
                <w:highlight w:val="none"/>
              </w:rPr>
              <w:t>无法读取或导入的，则视为未提交备用投标文件光盘。如果投标人没有按规定通过交易平台网上递交电子投标文件的，不再接受提交的光盘。</w:t>
            </w:r>
          </w:p>
        </w:tc>
      </w:tr>
      <w:tr w14:paraId="4B9A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687" w:type="dxa"/>
            <w:gridSpan w:val="2"/>
            <w:vAlign w:val="center"/>
          </w:tcPr>
          <w:p w14:paraId="26AAAA2F">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二、开标时，出现下列情形之一的，不参与资格审查和评标：</w:t>
            </w:r>
          </w:p>
        </w:tc>
      </w:tr>
      <w:tr w14:paraId="73F3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5FADF8A6">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4</w:t>
            </w:r>
          </w:p>
        </w:tc>
        <w:tc>
          <w:tcPr>
            <w:tcW w:w="8867" w:type="dxa"/>
            <w:vAlign w:val="center"/>
          </w:tcPr>
          <w:p w14:paraId="2CEA031F">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（1）未成功递交投标文件的。</w:t>
            </w:r>
          </w:p>
          <w:p w14:paraId="20D43E39">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（2）因投标人原因造成投标文件未解密的。</w:t>
            </w:r>
          </w:p>
        </w:tc>
      </w:tr>
      <w:tr w14:paraId="57D1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7" w:type="dxa"/>
            <w:gridSpan w:val="2"/>
            <w:vAlign w:val="center"/>
          </w:tcPr>
          <w:p w14:paraId="21EF4415">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三、投标文件（投标人）有下列情形之一的，由评标委员会否决其投标：</w:t>
            </w:r>
          </w:p>
        </w:tc>
      </w:tr>
      <w:tr w14:paraId="6C7B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640A8B92">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5</w:t>
            </w:r>
          </w:p>
        </w:tc>
        <w:tc>
          <w:tcPr>
            <w:tcW w:w="8867" w:type="dxa"/>
            <w:vAlign w:val="center"/>
          </w:tcPr>
          <w:p w14:paraId="06D6F57E">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两个（含两个）以上的投标人加密打包的电子投标文件电脑机器码一致的；</w:t>
            </w:r>
          </w:p>
        </w:tc>
      </w:tr>
      <w:tr w14:paraId="4216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6E9873E5">
            <w:pPr>
              <w:wordWrap w:val="0"/>
              <w:spacing w:before="100"/>
              <w:jc w:val="center"/>
              <w:rPr>
                <w:rFonts w:hint="eastAsia" w:ascii="宋体" w:hAnsi="宋体" w:cs="宋体"/>
                <w:b/>
                <w:bCs/>
                <w:color w:val="auto"/>
                <w:kern w:val="21"/>
                <w:sz w:val="24"/>
                <w:highlight w:val="none"/>
                <w:lang w:val="zh-CN"/>
              </w:rPr>
            </w:pPr>
            <w:r>
              <w:rPr>
                <w:rFonts w:hint="eastAsia" w:ascii="宋体" w:hAnsi="宋体" w:cs="宋体"/>
                <w:b/>
                <w:bCs/>
                <w:color w:val="auto"/>
                <w:kern w:val="21"/>
                <w:sz w:val="24"/>
                <w:highlight w:val="none"/>
              </w:rPr>
              <w:t>6</w:t>
            </w:r>
          </w:p>
        </w:tc>
        <w:tc>
          <w:tcPr>
            <w:tcW w:w="8867" w:type="dxa"/>
            <w:vAlign w:val="center"/>
          </w:tcPr>
          <w:p w14:paraId="7D3EF6FE">
            <w:pPr>
              <w:wordWrap w:val="0"/>
              <w:spacing w:before="100"/>
              <w:rPr>
                <w:rFonts w:hint="eastAsia" w:ascii="宋体" w:hAnsi="宋体" w:cs="宋体"/>
                <w:b/>
                <w:bCs/>
                <w:color w:val="auto"/>
                <w:kern w:val="21"/>
                <w:sz w:val="24"/>
                <w:highlight w:val="none"/>
                <w:lang w:val="zh-CN"/>
              </w:rPr>
            </w:pPr>
            <w:r>
              <w:rPr>
                <w:rFonts w:hint="eastAsia" w:ascii="宋体" w:hAnsi="宋体" w:cs="宋体"/>
                <w:b/>
                <w:bCs/>
                <w:color w:val="auto"/>
                <w:kern w:val="21"/>
                <w:sz w:val="24"/>
                <w:highlight w:val="none"/>
              </w:rPr>
              <w:t>投标文件（投标人）有不符合招标文件第三章第2.1款中规定的任何一项情形的。</w:t>
            </w:r>
          </w:p>
        </w:tc>
      </w:tr>
      <w:tr w14:paraId="5A13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7D2ABDF1">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7</w:t>
            </w:r>
          </w:p>
        </w:tc>
        <w:tc>
          <w:tcPr>
            <w:tcW w:w="8867" w:type="dxa"/>
            <w:vAlign w:val="center"/>
          </w:tcPr>
          <w:p w14:paraId="788130FA">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投标文件（投标人）符合招标文件第三章第3.1款中规定的否决投标任何一项情形的。</w:t>
            </w:r>
          </w:p>
        </w:tc>
      </w:tr>
    </w:tbl>
    <w:p w14:paraId="79EBFE8B">
      <w:pPr>
        <w:pStyle w:val="82"/>
        <w:spacing w:line="500" w:lineRule="exact"/>
        <w:outlineLvl w:val="0"/>
        <w:rPr>
          <w:rFonts w:ascii="宋体" w:hAnsi="宋体"/>
          <w:color w:val="auto"/>
          <w:sz w:val="28"/>
          <w:szCs w:val="28"/>
          <w:highlight w:val="none"/>
        </w:rPr>
      </w:pPr>
    </w:p>
    <w:sectPr>
      <w:headerReference r:id="rId3" w:type="default"/>
      <w:footerReference r:id="rId4" w:type="default"/>
      <w:pgSz w:w="12240" w:h="15840"/>
      <w:pgMar w:top="1417" w:right="1701" w:bottom="1134" w:left="1701" w:header="850" w:footer="85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9DD0">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15875">
                        <a:noFill/>
                      </a:ln>
                      <a:effectLst/>
                    </wps:spPr>
                    <wps:txbx>
                      <w:txbxContent>
                        <w:p w14:paraId="0AECFABD">
                          <w:pPr>
                            <w:pStyle w:val="29"/>
                            <w:jc w:val="center"/>
                            <w:rPr>
                              <w:rFonts w:hint="eastAsia" w:ascii="宋体" w:hAnsi="宋体" w:cs="宋体"/>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PAGE </w:instrText>
                          </w:r>
                          <w:r>
                            <w:rPr>
                              <w:rFonts w:hint="eastAsia" w:ascii="宋体" w:hAnsi="宋体" w:cs="宋体"/>
                              <w:kern w:val="0"/>
                              <w:sz w:val="21"/>
                              <w:szCs w:val="21"/>
                            </w:rPr>
                            <w:fldChar w:fldCharType="separate"/>
                          </w:r>
                          <w:r>
                            <w:rPr>
                              <w:rFonts w:ascii="宋体" w:hAnsi="宋体" w:cs="宋体"/>
                              <w:kern w:val="0"/>
                              <w:sz w:val="21"/>
                              <w:szCs w:val="21"/>
                            </w:rPr>
                            <w:t>3</w:t>
                          </w:r>
                          <w:r>
                            <w:rPr>
                              <w:rFonts w:hint="eastAsia" w:ascii="宋体" w:hAnsi="宋体" w:cs="宋体"/>
                              <w:kern w:val="0"/>
                              <w:sz w:val="21"/>
                              <w:szCs w:val="21"/>
                            </w:rPr>
                            <w:fldChar w:fldCharType="end"/>
                          </w:r>
                          <w:r>
                            <w:rPr>
                              <w:rFonts w:hint="eastAsia" w:ascii="宋体" w:hAnsi="宋体" w:cs="宋体"/>
                              <w:kern w:val="0"/>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59264;mso-width-relative:page;mso-height-relative:page;" filled="f" stroked="f" coordsize="21600,21600" o:gfxdata="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WRv21AAAAAMBAAAPAAAAAAAA&#10;AAEAIAAAACIAAABkcnMvZG93bnJldi54bWxQSwECFAAUAAAACACHTuJAqX2lqN0BAACvAwAADgAA&#10;AAAAAAABACAAAAAjAQAAZHJzL2Uyb0RvYy54bWxQSwUGAAAAAAYABgBZAQAAcgUAAAAA&#10;">
              <v:fill on="f" focussize="0,0"/>
              <v:stroke on="f" weight="1.25pt"/>
              <v:imagedata o:title=""/>
              <o:lock v:ext="edit" aspectratio="f"/>
              <v:textbox inset="0mm,0mm,0mm,0mm" style="mso-fit-shape-to-text:t;">
                <w:txbxContent>
                  <w:p w14:paraId="0AECFABD">
                    <w:pPr>
                      <w:pStyle w:val="29"/>
                      <w:jc w:val="center"/>
                      <w:rPr>
                        <w:rFonts w:hint="eastAsia" w:ascii="宋体" w:hAnsi="宋体" w:cs="宋体"/>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PAGE </w:instrText>
                    </w:r>
                    <w:r>
                      <w:rPr>
                        <w:rFonts w:hint="eastAsia" w:ascii="宋体" w:hAnsi="宋体" w:cs="宋体"/>
                        <w:kern w:val="0"/>
                        <w:sz w:val="21"/>
                        <w:szCs w:val="21"/>
                      </w:rPr>
                      <w:fldChar w:fldCharType="separate"/>
                    </w:r>
                    <w:r>
                      <w:rPr>
                        <w:rFonts w:ascii="宋体" w:hAnsi="宋体" w:cs="宋体"/>
                        <w:kern w:val="0"/>
                        <w:sz w:val="21"/>
                        <w:szCs w:val="21"/>
                      </w:rPr>
                      <w:t>3</w:t>
                    </w:r>
                    <w:r>
                      <w:rPr>
                        <w:rFonts w:hint="eastAsia" w:ascii="宋体" w:hAnsi="宋体" w:cs="宋体"/>
                        <w:kern w:val="0"/>
                        <w:sz w:val="21"/>
                        <w:szCs w:val="21"/>
                      </w:rPr>
                      <w:fldChar w:fldCharType="end"/>
                    </w:r>
                    <w:r>
                      <w:rPr>
                        <w:rFonts w:hint="eastAsia" w:ascii="宋体" w:hAnsi="宋体" w:cs="宋体"/>
                        <w:kern w:val="0"/>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3AE3">
    <w:pPr>
      <w:pStyle w:val="3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B1DC2"/>
    <w:multiLevelType w:val="singleLevel"/>
    <w:tmpl w:val="A6EB1DC2"/>
    <w:lvl w:ilvl="0" w:tentative="0">
      <w:start w:val="13"/>
      <w:numFmt w:val="chineseCounting"/>
      <w:suff w:val="nothing"/>
      <w:lvlText w:val="%1、"/>
      <w:lvlJc w:val="left"/>
      <w:rPr>
        <w:rFonts w:hint="eastAsia"/>
      </w:rPr>
    </w:lvl>
  </w:abstractNum>
  <w:abstractNum w:abstractNumId="1">
    <w:nsid w:val="0000001D"/>
    <w:multiLevelType w:val="multilevel"/>
    <w:tmpl w:val="0000001D"/>
    <w:lvl w:ilvl="0" w:tentative="0">
      <w:start w:val="1"/>
      <w:numFmt w:val="decimal"/>
      <w:pStyle w:val="122"/>
      <w:lvlText w:val="%1."/>
      <w:lvlJc w:val="left"/>
      <w:pPr>
        <w:tabs>
          <w:tab w:val="left" w:pos="420"/>
        </w:tabs>
        <w:ind w:left="420"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4057F449"/>
    <w:multiLevelType w:val="singleLevel"/>
    <w:tmpl w:val="4057F44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ZTk4Mzc2ZWJmYWMwNDcxYTU1ZGI4MDkyZDg2ZDcifQ=="/>
  </w:docVars>
  <w:rsids>
    <w:rsidRoot w:val="00172A27"/>
    <w:rsid w:val="00000B56"/>
    <w:rsid w:val="0000261C"/>
    <w:rsid w:val="00002A60"/>
    <w:rsid w:val="00004603"/>
    <w:rsid w:val="00004DA7"/>
    <w:rsid w:val="000055E5"/>
    <w:rsid w:val="00006802"/>
    <w:rsid w:val="00007319"/>
    <w:rsid w:val="000106AE"/>
    <w:rsid w:val="000109BA"/>
    <w:rsid w:val="000113EC"/>
    <w:rsid w:val="00011560"/>
    <w:rsid w:val="00011684"/>
    <w:rsid w:val="00012703"/>
    <w:rsid w:val="0001485E"/>
    <w:rsid w:val="00014DB1"/>
    <w:rsid w:val="0001572D"/>
    <w:rsid w:val="00016D03"/>
    <w:rsid w:val="0001751A"/>
    <w:rsid w:val="00020140"/>
    <w:rsid w:val="00020F53"/>
    <w:rsid w:val="000214EF"/>
    <w:rsid w:val="00021763"/>
    <w:rsid w:val="00021BFE"/>
    <w:rsid w:val="000225C3"/>
    <w:rsid w:val="00022662"/>
    <w:rsid w:val="000240B5"/>
    <w:rsid w:val="00024206"/>
    <w:rsid w:val="00024685"/>
    <w:rsid w:val="00024D77"/>
    <w:rsid w:val="000250D6"/>
    <w:rsid w:val="00025ACC"/>
    <w:rsid w:val="00026171"/>
    <w:rsid w:val="00026AA0"/>
    <w:rsid w:val="00026B40"/>
    <w:rsid w:val="0002793E"/>
    <w:rsid w:val="00027FC6"/>
    <w:rsid w:val="00030469"/>
    <w:rsid w:val="00030736"/>
    <w:rsid w:val="00030804"/>
    <w:rsid w:val="00032288"/>
    <w:rsid w:val="00032762"/>
    <w:rsid w:val="000351AE"/>
    <w:rsid w:val="000351C2"/>
    <w:rsid w:val="00037128"/>
    <w:rsid w:val="00043778"/>
    <w:rsid w:val="00045007"/>
    <w:rsid w:val="00046C42"/>
    <w:rsid w:val="00047D8D"/>
    <w:rsid w:val="0005057A"/>
    <w:rsid w:val="000520CE"/>
    <w:rsid w:val="000527A6"/>
    <w:rsid w:val="000545CB"/>
    <w:rsid w:val="00055E20"/>
    <w:rsid w:val="00062431"/>
    <w:rsid w:val="00062AC6"/>
    <w:rsid w:val="00064EA9"/>
    <w:rsid w:val="00065A9E"/>
    <w:rsid w:val="000668F1"/>
    <w:rsid w:val="00067035"/>
    <w:rsid w:val="00070145"/>
    <w:rsid w:val="0007102F"/>
    <w:rsid w:val="00071945"/>
    <w:rsid w:val="0007298C"/>
    <w:rsid w:val="00072F2A"/>
    <w:rsid w:val="00073A9E"/>
    <w:rsid w:val="00075311"/>
    <w:rsid w:val="0007648C"/>
    <w:rsid w:val="0007798B"/>
    <w:rsid w:val="0008132B"/>
    <w:rsid w:val="00081360"/>
    <w:rsid w:val="00081482"/>
    <w:rsid w:val="0008187D"/>
    <w:rsid w:val="0008253E"/>
    <w:rsid w:val="00082A70"/>
    <w:rsid w:val="000838B3"/>
    <w:rsid w:val="00084FC3"/>
    <w:rsid w:val="00085690"/>
    <w:rsid w:val="00087558"/>
    <w:rsid w:val="000905EC"/>
    <w:rsid w:val="00090FED"/>
    <w:rsid w:val="0009240C"/>
    <w:rsid w:val="00093200"/>
    <w:rsid w:val="00094388"/>
    <w:rsid w:val="000943B0"/>
    <w:rsid w:val="00094C66"/>
    <w:rsid w:val="00095CBC"/>
    <w:rsid w:val="00097B3B"/>
    <w:rsid w:val="000A118B"/>
    <w:rsid w:val="000A1262"/>
    <w:rsid w:val="000A287B"/>
    <w:rsid w:val="000A2B6C"/>
    <w:rsid w:val="000A47E5"/>
    <w:rsid w:val="000A4AE1"/>
    <w:rsid w:val="000A5C81"/>
    <w:rsid w:val="000A5C92"/>
    <w:rsid w:val="000A76B3"/>
    <w:rsid w:val="000B09DF"/>
    <w:rsid w:val="000B119E"/>
    <w:rsid w:val="000B1A92"/>
    <w:rsid w:val="000B345A"/>
    <w:rsid w:val="000B6379"/>
    <w:rsid w:val="000B65E2"/>
    <w:rsid w:val="000B676B"/>
    <w:rsid w:val="000B69E2"/>
    <w:rsid w:val="000C0018"/>
    <w:rsid w:val="000C0AF1"/>
    <w:rsid w:val="000C1A9B"/>
    <w:rsid w:val="000C1AC9"/>
    <w:rsid w:val="000C2AB5"/>
    <w:rsid w:val="000C345B"/>
    <w:rsid w:val="000C3D51"/>
    <w:rsid w:val="000C4710"/>
    <w:rsid w:val="000C4924"/>
    <w:rsid w:val="000C6FFB"/>
    <w:rsid w:val="000C7720"/>
    <w:rsid w:val="000C7A74"/>
    <w:rsid w:val="000D204D"/>
    <w:rsid w:val="000D2C4B"/>
    <w:rsid w:val="000D3177"/>
    <w:rsid w:val="000D4336"/>
    <w:rsid w:val="000D49B4"/>
    <w:rsid w:val="000D50E2"/>
    <w:rsid w:val="000D75FB"/>
    <w:rsid w:val="000E08CB"/>
    <w:rsid w:val="000E10B1"/>
    <w:rsid w:val="000E1668"/>
    <w:rsid w:val="000E168C"/>
    <w:rsid w:val="000E205A"/>
    <w:rsid w:val="000E2EFB"/>
    <w:rsid w:val="000E54ED"/>
    <w:rsid w:val="000E5673"/>
    <w:rsid w:val="000E5F67"/>
    <w:rsid w:val="000E63A3"/>
    <w:rsid w:val="000E7256"/>
    <w:rsid w:val="000E7505"/>
    <w:rsid w:val="000E77D1"/>
    <w:rsid w:val="000E792F"/>
    <w:rsid w:val="000F021C"/>
    <w:rsid w:val="000F0A72"/>
    <w:rsid w:val="000F143B"/>
    <w:rsid w:val="000F2186"/>
    <w:rsid w:val="000F2A12"/>
    <w:rsid w:val="000F2ECC"/>
    <w:rsid w:val="000F4077"/>
    <w:rsid w:val="000F44D2"/>
    <w:rsid w:val="000F49F4"/>
    <w:rsid w:val="000F4A44"/>
    <w:rsid w:val="000F5E14"/>
    <w:rsid w:val="000F73BD"/>
    <w:rsid w:val="001011FC"/>
    <w:rsid w:val="00102618"/>
    <w:rsid w:val="00102BAF"/>
    <w:rsid w:val="00102F0B"/>
    <w:rsid w:val="00105423"/>
    <w:rsid w:val="001119B6"/>
    <w:rsid w:val="00111DA6"/>
    <w:rsid w:val="00112059"/>
    <w:rsid w:val="0011232A"/>
    <w:rsid w:val="001129F5"/>
    <w:rsid w:val="00114A34"/>
    <w:rsid w:val="00115124"/>
    <w:rsid w:val="0011582D"/>
    <w:rsid w:val="00117658"/>
    <w:rsid w:val="00117F0F"/>
    <w:rsid w:val="001209A9"/>
    <w:rsid w:val="001219F2"/>
    <w:rsid w:val="001223CF"/>
    <w:rsid w:val="00122852"/>
    <w:rsid w:val="001236C9"/>
    <w:rsid w:val="00123706"/>
    <w:rsid w:val="00123EDF"/>
    <w:rsid w:val="00124116"/>
    <w:rsid w:val="00124AED"/>
    <w:rsid w:val="00126510"/>
    <w:rsid w:val="0012660F"/>
    <w:rsid w:val="00126D88"/>
    <w:rsid w:val="00126E2B"/>
    <w:rsid w:val="001270CD"/>
    <w:rsid w:val="00127541"/>
    <w:rsid w:val="001276F8"/>
    <w:rsid w:val="00131FF3"/>
    <w:rsid w:val="001335BF"/>
    <w:rsid w:val="001335D9"/>
    <w:rsid w:val="00134701"/>
    <w:rsid w:val="00136D67"/>
    <w:rsid w:val="0013766F"/>
    <w:rsid w:val="0014098E"/>
    <w:rsid w:val="00140A44"/>
    <w:rsid w:val="00142058"/>
    <w:rsid w:val="00144947"/>
    <w:rsid w:val="00144EBD"/>
    <w:rsid w:val="00145049"/>
    <w:rsid w:val="001506DC"/>
    <w:rsid w:val="0015172C"/>
    <w:rsid w:val="00151C38"/>
    <w:rsid w:val="001530C6"/>
    <w:rsid w:val="00153218"/>
    <w:rsid w:val="00154706"/>
    <w:rsid w:val="00157753"/>
    <w:rsid w:val="001667FD"/>
    <w:rsid w:val="0016686C"/>
    <w:rsid w:val="00166A4E"/>
    <w:rsid w:val="00170389"/>
    <w:rsid w:val="0017159D"/>
    <w:rsid w:val="001728B0"/>
    <w:rsid w:val="00172A27"/>
    <w:rsid w:val="00172EB3"/>
    <w:rsid w:val="001735B4"/>
    <w:rsid w:val="00173B36"/>
    <w:rsid w:val="00174751"/>
    <w:rsid w:val="001748A3"/>
    <w:rsid w:val="00182822"/>
    <w:rsid w:val="00182B11"/>
    <w:rsid w:val="001831D5"/>
    <w:rsid w:val="001834D3"/>
    <w:rsid w:val="00183748"/>
    <w:rsid w:val="00183B4A"/>
    <w:rsid w:val="00184F11"/>
    <w:rsid w:val="00185D79"/>
    <w:rsid w:val="00186361"/>
    <w:rsid w:val="00186A85"/>
    <w:rsid w:val="0019161E"/>
    <w:rsid w:val="00193AC3"/>
    <w:rsid w:val="00193C1D"/>
    <w:rsid w:val="00193EF0"/>
    <w:rsid w:val="00194621"/>
    <w:rsid w:val="0019493C"/>
    <w:rsid w:val="00194BAE"/>
    <w:rsid w:val="0019551E"/>
    <w:rsid w:val="001964D6"/>
    <w:rsid w:val="001A067F"/>
    <w:rsid w:val="001A093D"/>
    <w:rsid w:val="001A0CCF"/>
    <w:rsid w:val="001A2E05"/>
    <w:rsid w:val="001A2E74"/>
    <w:rsid w:val="001A304A"/>
    <w:rsid w:val="001A341D"/>
    <w:rsid w:val="001A3AC6"/>
    <w:rsid w:val="001A4491"/>
    <w:rsid w:val="001A4684"/>
    <w:rsid w:val="001A713F"/>
    <w:rsid w:val="001A7435"/>
    <w:rsid w:val="001A7E77"/>
    <w:rsid w:val="001B1289"/>
    <w:rsid w:val="001B174D"/>
    <w:rsid w:val="001B2960"/>
    <w:rsid w:val="001B2DA3"/>
    <w:rsid w:val="001B2F79"/>
    <w:rsid w:val="001B4033"/>
    <w:rsid w:val="001B4065"/>
    <w:rsid w:val="001B5478"/>
    <w:rsid w:val="001B5D40"/>
    <w:rsid w:val="001B6CEE"/>
    <w:rsid w:val="001B7F5B"/>
    <w:rsid w:val="001B7FEF"/>
    <w:rsid w:val="001C122A"/>
    <w:rsid w:val="001C30C7"/>
    <w:rsid w:val="001C39A7"/>
    <w:rsid w:val="001C3B37"/>
    <w:rsid w:val="001C4420"/>
    <w:rsid w:val="001C4A74"/>
    <w:rsid w:val="001C540A"/>
    <w:rsid w:val="001C54F2"/>
    <w:rsid w:val="001D0AD8"/>
    <w:rsid w:val="001D1B41"/>
    <w:rsid w:val="001D1BB6"/>
    <w:rsid w:val="001D398F"/>
    <w:rsid w:val="001D414D"/>
    <w:rsid w:val="001D5C14"/>
    <w:rsid w:val="001E1433"/>
    <w:rsid w:val="001E3FE9"/>
    <w:rsid w:val="001E55FC"/>
    <w:rsid w:val="001E6B93"/>
    <w:rsid w:val="001F0EB6"/>
    <w:rsid w:val="001F0FC2"/>
    <w:rsid w:val="001F1937"/>
    <w:rsid w:val="001F2208"/>
    <w:rsid w:val="001F25D1"/>
    <w:rsid w:val="001F285E"/>
    <w:rsid w:val="001F4134"/>
    <w:rsid w:val="001F415C"/>
    <w:rsid w:val="001F4547"/>
    <w:rsid w:val="001F45EE"/>
    <w:rsid w:val="001F4850"/>
    <w:rsid w:val="001F619D"/>
    <w:rsid w:val="00202BA8"/>
    <w:rsid w:val="00202E8C"/>
    <w:rsid w:val="00203ADF"/>
    <w:rsid w:val="002049E3"/>
    <w:rsid w:val="00204A5C"/>
    <w:rsid w:val="0020545D"/>
    <w:rsid w:val="002065DE"/>
    <w:rsid w:val="00206887"/>
    <w:rsid w:val="00206EDA"/>
    <w:rsid w:val="00207A0B"/>
    <w:rsid w:val="002102FD"/>
    <w:rsid w:val="0021226E"/>
    <w:rsid w:val="00212A53"/>
    <w:rsid w:val="00212E14"/>
    <w:rsid w:val="0021322F"/>
    <w:rsid w:val="00213B90"/>
    <w:rsid w:val="00215AF0"/>
    <w:rsid w:val="00217143"/>
    <w:rsid w:val="002207EA"/>
    <w:rsid w:val="00221119"/>
    <w:rsid w:val="00221F1E"/>
    <w:rsid w:val="00221FAC"/>
    <w:rsid w:val="002229E2"/>
    <w:rsid w:val="0022434B"/>
    <w:rsid w:val="00224E45"/>
    <w:rsid w:val="00226041"/>
    <w:rsid w:val="00226F89"/>
    <w:rsid w:val="00226F8B"/>
    <w:rsid w:val="0022793C"/>
    <w:rsid w:val="00230836"/>
    <w:rsid w:val="002337D9"/>
    <w:rsid w:val="0023398E"/>
    <w:rsid w:val="00234213"/>
    <w:rsid w:val="0023423F"/>
    <w:rsid w:val="0023563A"/>
    <w:rsid w:val="00236FA0"/>
    <w:rsid w:val="002379D4"/>
    <w:rsid w:val="00237A22"/>
    <w:rsid w:val="00237B0E"/>
    <w:rsid w:val="00237F75"/>
    <w:rsid w:val="002400D0"/>
    <w:rsid w:val="00241348"/>
    <w:rsid w:val="00242200"/>
    <w:rsid w:val="002430C2"/>
    <w:rsid w:val="0024369C"/>
    <w:rsid w:val="00244D06"/>
    <w:rsid w:val="0024530F"/>
    <w:rsid w:val="00246A0E"/>
    <w:rsid w:val="00246A31"/>
    <w:rsid w:val="00247B5E"/>
    <w:rsid w:val="002506CC"/>
    <w:rsid w:val="00250B0E"/>
    <w:rsid w:val="00250B40"/>
    <w:rsid w:val="00250B63"/>
    <w:rsid w:val="00250CB7"/>
    <w:rsid w:val="00251A49"/>
    <w:rsid w:val="002521B3"/>
    <w:rsid w:val="0025316D"/>
    <w:rsid w:val="00253832"/>
    <w:rsid w:val="00254609"/>
    <w:rsid w:val="0025460A"/>
    <w:rsid w:val="00254EDC"/>
    <w:rsid w:val="00255D0D"/>
    <w:rsid w:val="002562E4"/>
    <w:rsid w:val="0025646F"/>
    <w:rsid w:val="002564CE"/>
    <w:rsid w:val="00260197"/>
    <w:rsid w:val="00260C77"/>
    <w:rsid w:val="00261352"/>
    <w:rsid w:val="00261480"/>
    <w:rsid w:val="00262223"/>
    <w:rsid w:val="00263F0B"/>
    <w:rsid w:val="00264EB1"/>
    <w:rsid w:val="00265192"/>
    <w:rsid w:val="00270F04"/>
    <w:rsid w:val="00271923"/>
    <w:rsid w:val="00272808"/>
    <w:rsid w:val="0027292C"/>
    <w:rsid w:val="00272A39"/>
    <w:rsid w:val="002735AD"/>
    <w:rsid w:val="00275B6D"/>
    <w:rsid w:val="002762ED"/>
    <w:rsid w:val="00276832"/>
    <w:rsid w:val="00276C71"/>
    <w:rsid w:val="00280A4F"/>
    <w:rsid w:val="00281526"/>
    <w:rsid w:val="00282C8E"/>
    <w:rsid w:val="0028346F"/>
    <w:rsid w:val="002845A0"/>
    <w:rsid w:val="00285406"/>
    <w:rsid w:val="002855A0"/>
    <w:rsid w:val="00287C6E"/>
    <w:rsid w:val="00287CC2"/>
    <w:rsid w:val="00291CF3"/>
    <w:rsid w:val="00292881"/>
    <w:rsid w:val="002933B8"/>
    <w:rsid w:val="00294A20"/>
    <w:rsid w:val="0029511C"/>
    <w:rsid w:val="00296618"/>
    <w:rsid w:val="00297099"/>
    <w:rsid w:val="00297678"/>
    <w:rsid w:val="00297D4D"/>
    <w:rsid w:val="002A1546"/>
    <w:rsid w:val="002A4757"/>
    <w:rsid w:val="002A4926"/>
    <w:rsid w:val="002A521E"/>
    <w:rsid w:val="002A552C"/>
    <w:rsid w:val="002A65ED"/>
    <w:rsid w:val="002A6DC0"/>
    <w:rsid w:val="002A6EE4"/>
    <w:rsid w:val="002B30C2"/>
    <w:rsid w:val="002B3BF7"/>
    <w:rsid w:val="002B3EB9"/>
    <w:rsid w:val="002B4133"/>
    <w:rsid w:val="002B44A7"/>
    <w:rsid w:val="002B5216"/>
    <w:rsid w:val="002B591E"/>
    <w:rsid w:val="002B66ED"/>
    <w:rsid w:val="002B6722"/>
    <w:rsid w:val="002C0C29"/>
    <w:rsid w:val="002C0DD3"/>
    <w:rsid w:val="002C1772"/>
    <w:rsid w:val="002C1C1A"/>
    <w:rsid w:val="002C31DD"/>
    <w:rsid w:val="002C3CD8"/>
    <w:rsid w:val="002C4530"/>
    <w:rsid w:val="002C489A"/>
    <w:rsid w:val="002C636F"/>
    <w:rsid w:val="002C7229"/>
    <w:rsid w:val="002C7B9B"/>
    <w:rsid w:val="002D0877"/>
    <w:rsid w:val="002D13B2"/>
    <w:rsid w:val="002D2B90"/>
    <w:rsid w:val="002D4528"/>
    <w:rsid w:val="002D58F2"/>
    <w:rsid w:val="002D6292"/>
    <w:rsid w:val="002D6F32"/>
    <w:rsid w:val="002D7AA9"/>
    <w:rsid w:val="002D7B78"/>
    <w:rsid w:val="002E1DAC"/>
    <w:rsid w:val="002E6D05"/>
    <w:rsid w:val="002E70E1"/>
    <w:rsid w:val="002F4028"/>
    <w:rsid w:val="002F6CA3"/>
    <w:rsid w:val="002F6D21"/>
    <w:rsid w:val="002F72A0"/>
    <w:rsid w:val="003006A6"/>
    <w:rsid w:val="00300733"/>
    <w:rsid w:val="003008A4"/>
    <w:rsid w:val="00301A6C"/>
    <w:rsid w:val="00301BC6"/>
    <w:rsid w:val="00301EBE"/>
    <w:rsid w:val="0030224A"/>
    <w:rsid w:val="00302993"/>
    <w:rsid w:val="00303653"/>
    <w:rsid w:val="00303B93"/>
    <w:rsid w:val="00304733"/>
    <w:rsid w:val="00304976"/>
    <w:rsid w:val="0030589B"/>
    <w:rsid w:val="00305ECA"/>
    <w:rsid w:val="00305F3A"/>
    <w:rsid w:val="00306555"/>
    <w:rsid w:val="00307AA3"/>
    <w:rsid w:val="0031016B"/>
    <w:rsid w:val="00311256"/>
    <w:rsid w:val="00311324"/>
    <w:rsid w:val="00311BD5"/>
    <w:rsid w:val="003122C4"/>
    <w:rsid w:val="00313660"/>
    <w:rsid w:val="0031412C"/>
    <w:rsid w:val="00314419"/>
    <w:rsid w:val="00314AF6"/>
    <w:rsid w:val="003151A3"/>
    <w:rsid w:val="003160FD"/>
    <w:rsid w:val="0032031D"/>
    <w:rsid w:val="00320F01"/>
    <w:rsid w:val="003214BA"/>
    <w:rsid w:val="00321647"/>
    <w:rsid w:val="00321989"/>
    <w:rsid w:val="00323E45"/>
    <w:rsid w:val="00324178"/>
    <w:rsid w:val="003243EC"/>
    <w:rsid w:val="003244DA"/>
    <w:rsid w:val="003247CD"/>
    <w:rsid w:val="00330D54"/>
    <w:rsid w:val="003325A0"/>
    <w:rsid w:val="00332802"/>
    <w:rsid w:val="00332962"/>
    <w:rsid w:val="003340C8"/>
    <w:rsid w:val="003341B5"/>
    <w:rsid w:val="00334385"/>
    <w:rsid w:val="0033585F"/>
    <w:rsid w:val="00335FCB"/>
    <w:rsid w:val="003362AD"/>
    <w:rsid w:val="00337591"/>
    <w:rsid w:val="00337703"/>
    <w:rsid w:val="003419A7"/>
    <w:rsid w:val="00342011"/>
    <w:rsid w:val="00342688"/>
    <w:rsid w:val="00342B09"/>
    <w:rsid w:val="00343FDF"/>
    <w:rsid w:val="0034440E"/>
    <w:rsid w:val="00344D96"/>
    <w:rsid w:val="00344F5D"/>
    <w:rsid w:val="00345499"/>
    <w:rsid w:val="003470E1"/>
    <w:rsid w:val="003475BD"/>
    <w:rsid w:val="00347899"/>
    <w:rsid w:val="00350F3E"/>
    <w:rsid w:val="0035125A"/>
    <w:rsid w:val="003518D6"/>
    <w:rsid w:val="00352BE0"/>
    <w:rsid w:val="00352FC6"/>
    <w:rsid w:val="00354B7A"/>
    <w:rsid w:val="00355AC2"/>
    <w:rsid w:val="00356080"/>
    <w:rsid w:val="003576A2"/>
    <w:rsid w:val="00360007"/>
    <w:rsid w:val="00362CA2"/>
    <w:rsid w:val="00363072"/>
    <w:rsid w:val="00363965"/>
    <w:rsid w:val="00363966"/>
    <w:rsid w:val="00365359"/>
    <w:rsid w:val="00367F0C"/>
    <w:rsid w:val="0037294E"/>
    <w:rsid w:val="003741B0"/>
    <w:rsid w:val="00374FFA"/>
    <w:rsid w:val="00375481"/>
    <w:rsid w:val="00377513"/>
    <w:rsid w:val="00377894"/>
    <w:rsid w:val="00380B97"/>
    <w:rsid w:val="003819F2"/>
    <w:rsid w:val="0038240C"/>
    <w:rsid w:val="0038245C"/>
    <w:rsid w:val="00382D56"/>
    <w:rsid w:val="0038359A"/>
    <w:rsid w:val="003836B0"/>
    <w:rsid w:val="00386466"/>
    <w:rsid w:val="003865F8"/>
    <w:rsid w:val="00386AA0"/>
    <w:rsid w:val="0038742C"/>
    <w:rsid w:val="00387996"/>
    <w:rsid w:val="003879FB"/>
    <w:rsid w:val="0039048C"/>
    <w:rsid w:val="00391D39"/>
    <w:rsid w:val="00391F03"/>
    <w:rsid w:val="003925EA"/>
    <w:rsid w:val="003937D8"/>
    <w:rsid w:val="0039407B"/>
    <w:rsid w:val="0039566A"/>
    <w:rsid w:val="00396091"/>
    <w:rsid w:val="003979D4"/>
    <w:rsid w:val="003A11D0"/>
    <w:rsid w:val="003A18E7"/>
    <w:rsid w:val="003A2368"/>
    <w:rsid w:val="003A2E53"/>
    <w:rsid w:val="003A4F4E"/>
    <w:rsid w:val="003A593E"/>
    <w:rsid w:val="003A5E9B"/>
    <w:rsid w:val="003A6775"/>
    <w:rsid w:val="003A7C47"/>
    <w:rsid w:val="003B17B0"/>
    <w:rsid w:val="003B1B15"/>
    <w:rsid w:val="003B408F"/>
    <w:rsid w:val="003B62E6"/>
    <w:rsid w:val="003B74D2"/>
    <w:rsid w:val="003B7A5C"/>
    <w:rsid w:val="003C0203"/>
    <w:rsid w:val="003C0D7D"/>
    <w:rsid w:val="003C16E4"/>
    <w:rsid w:val="003C17B5"/>
    <w:rsid w:val="003C19E2"/>
    <w:rsid w:val="003C1B76"/>
    <w:rsid w:val="003C339D"/>
    <w:rsid w:val="003C4858"/>
    <w:rsid w:val="003C5BB3"/>
    <w:rsid w:val="003C69C9"/>
    <w:rsid w:val="003C7F8F"/>
    <w:rsid w:val="003D1170"/>
    <w:rsid w:val="003D1B8E"/>
    <w:rsid w:val="003D1D5F"/>
    <w:rsid w:val="003D2243"/>
    <w:rsid w:val="003D2D72"/>
    <w:rsid w:val="003D36EE"/>
    <w:rsid w:val="003D3F57"/>
    <w:rsid w:val="003D4394"/>
    <w:rsid w:val="003D4C29"/>
    <w:rsid w:val="003D50AB"/>
    <w:rsid w:val="003D5701"/>
    <w:rsid w:val="003D6348"/>
    <w:rsid w:val="003D6C7E"/>
    <w:rsid w:val="003D6E0A"/>
    <w:rsid w:val="003D72DA"/>
    <w:rsid w:val="003E078C"/>
    <w:rsid w:val="003E2DAB"/>
    <w:rsid w:val="003E361B"/>
    <w:rsid w:val="003E71BB"/>
    <w:rsid w:val="003E789E"/>
    <w:rsid w:val="003E7EF2"/>
    <w:rsid w:val="003F13A5"/>
    <w:rsid w:val="003F1823"/>
    <w:rsid w:val="003F29B4"/>
    <w:rsid w:val="003F3224"/>
    <w:rsid w:val="003F3518"/>
    <w:rsid w:val="003F3D30"/>
    <w:rsid w:val="003F4218"/>
    <w:rsid w:val="003F504F"/>
    <w:rsid w:val="003F58DC"/>
    <w:rsid w:val="003F5B69"/>
    <w:rsid w:val="003F760E"/>
    <w:rsid w:val="0040121D"/>
    <w:rsid w:val="0040276D"/>
    <w:rsid w:val="00402DA4"/>
    <w:rsid w:val="00402F34"/>
    <w:rsid w:val="0040361B"/>
    <w:rsid w:val="0040556C"/>
    <w:rsid w:val="004064F4"/>
    <w:rsid w:val="00407637"/>
    <w:rsid w:val="004105EF"/>
    <w:rsid w:val="00414074"/>
    <w:rsid w:val="0041516D"/>
    <w:rsid w:val="0041521C"/>
    <w:rsid w:val="0041528A"/>
    <w:rsid w:val="00415A1A"/>
    <w:rsid w:val="00421293"/>
    <w:rsid w:val="00421A9F"/>
    <w:rsid w:val="00422A52"/>
    <w:rsid w:val="004230D0"/>
    <w:rsid w:val="0042326A"/>
    <w:rsid w:val="00423F96"/>
    <w:rsid w:val="004249F9"/>
    <w:rsid w:val="00430056"/>
    <w:rsid w:val="004306FF"/>
    <w:rsid w:val="00431939"/>
    <w:rsid w:val="00431F4F"/>
    <w:rsid w:val="0043220E"/>
    <w:rsid w:val="004334AD"/>
    <w:rsid w:val="0043351E"/>
    <w:rsid w:val="00433676"/>
    <w:rsid w:val="004337DF"/>
    <w:rsid w:val="00436504"/>
    <w:rsid w:val="004366EB"/>
    <w:rsid w:val="00436A3B"/>
    <w:rsid w:val="00436BA8"/>
    <w:rsid w:val="004405C7"/>
    <w:rsid w:val="00441479"/>
    <w:rsid w:val="00441D39"/>
    <w:rsid w:val="00441DD5"/>
    <w:rsid w:val="00442AF8"/>
    <w:rsid w:val="00443D0A"/>
    <w:rsid w:val="00444F53"/>
    <w:rsid w:val="0044514A"/>
    <w:rsid w:val="00445BC7"/>
    <w:rsid w:val="00446D07"/>
    <w:rsid w:val="00447E59"/>
    <w:rsid w:val="004510BC"/>
    <w:rsid w:val="00451551"/>
    <w:rsid w:val="00453255"/>
    <w:rsid w:val="00455981"/>
    <w:rsid w:val="00457DC2"/>
    <w:rsid w:val="00460EF7"/>
    <w:rsid w:val="0046206A"/>
    <w:rsid w:val="00462299"/>
    <w:rsid w:val="00465E37"/>
    <w:rsid w:val="00466339"/>
    <w:rsid w:val="00466534"/>
    <w:rsid w:val="0046780A"/>
    <w:rsid w:val="00467F3C"/>
    <w:rsid w:val="004700AB"/>
    <w:rsid w:val="0047012B"/>
    <w:rsid w:val="004728C2"/>
    <w:rsid w:val="004733D3"/>
    <w:rsid w:val="00473945"/>
    <w:rsid w:val="00475AED"/>
    <w:rsid w:val="00477358"/>
    <w:rsid w:val="00477E47"/>
    <w:rsid w:val="004809EB"/>
    <w:rsid w:val="00481869"/>
    <w:rsid w:val="00481968"/>
    <w:rsid w:val="00482274"/>
    <w:rsid w:val="00482675"/>
    <w:rsid w:val="0048324D"/>
    <w:rsid w:val="004837BE"/>
    <w:rsid w:val="00483B34"/>
    <w:rsid w:val="00484166"/>
    <w:rsid w:val="00485F54"/>
    <w:rsid w:val="00487315"/>
    <w:rsid w:val="00491763"/>
    <w:rsid w:val="00491D96"/>
    <w:rsid w:val="00491E40"/>
    <w:rsid w:val="004922E5"/>
    <w:rsid w:val="00492A1E"/>
    <w:rsid w:val="00494530"/>
    <w:rsid w:val="00494624"/>
    <w:rsid w:val="00494A5F"/>
    <w:rsid w:val="00495001"/>
    <w:rsid w:val="004956D1"/>
    <w:rsid w:val="0049597A"/>
    <w:rsid w:val="004976F9"/>
    <w:rsid w:val="004977CA"/>
    <w:rsid w:val="004977FD"/>
    <w:rsid w:val="004A0267"/>
    <w:rsid w:val="004A112E"/>
    <w:rsid w:val="004A2B7D"/>
    <w:rsid w:val="004A37F9"/>
    <w:rsid w:val="004A549A"/>
    <w:rsid w:val="004A605D"/>
    <w:rsid w:val="004A69D8"/>
    <w:rsid w:val="004A76F2"/>
    <w:rsid w:val="004B1FD6"/>
    <w:rsid w:val="004B27A9"/>
    <w:rsid w:val="004B463C"/>
    <w:rsid w:val="004B488C"/>
    <w:rsid w:val="004B4C84"/>
    <w:rsid w:val="004B4DED"/>
    <w:rsid w:val="004B505E"/>
    <w:rsid w:val="004B51E3"/>
    <w:rsid w:val="004B5467"/>
    <w:rsid w:val="004B6736"/>
    <w:rsid w:val="004B6B56"/>
    <w:rsid w:val="004B6ED7"/>
    <w:rsid w:val="004B78CE"/>
    <w:rsid w:val="004B7E42"/>
    <w:rsid w:val="004C12F8"/>
    <w:rsid w:val="004C2BEE"/>
    <w:rsid w:val="004C351C"/>
    <w:rsid w:val="004C4753"/>
    <w:rsid w:val="004C509C"/>
    <w:rsid w:val="004D025B"/>
    <w:rsid w:val="004D0866"/>
    <w:rsid w:val="004D0DD7"/>
    <w:rsid w:val="004D0EAD"/>
    <w:rsid w:val="004D1209"/>
    <w:rsid w:val="004D2ABE"/>
    <w:rsid w:val="004D34EB"/>
    <w:rsid w:val="004D3B6A"/>
    <w:rsid w:val="004D4247"/>
    <w:rsid w:val="004D4BD6"/>
    <w:rsid w:val="004D540F"/>
    <w:rsid w:val="004D6328"/>
    <w:rsid w:val="004D7237"/>
    <w:rsid w:val="004D794D"/>
    <w:rsid w:val="004D7FCB"/>
    <w:rsid w:val="004E0C05"/>
    <w:rsid w:val="004E1098"/>
    <w:rsid w:val="004E2BAD"/>
    <w:rsid w:val="004E3473"/>
    <w:rsid w:val="004E4D4E"/>
    <w:rsid w:val="004E5F03"/>
    <w:rsid w:val="004E618D"/>
    <w:rsid w:val="004E752E"/>
    <w:rsid w:val="004F0052"/>
    <w:rsid w:val="004F0460"/>
    <w:rsid w:val="004F1425"/>
    <w:rsid w:val="004F2BD3"/>
    <w:rsid w:val="004F3309"/>
    <w:rsid w:val="004F3E6D"/>
    <w:rsid w:val="004F4F17"/>
    <w:rsid w:val="004F6169"/>
    <w:rsid w:val="005012F7"/>
    <w:rsid w:val="00501AEF"/>
    <w:rsid w:val="00501B4F"/>
    <w:rsid w:val="005029BC"/>
    <w:rsid w:val="00502CA1"/>
    <w:rsid w:val="005034E3"/>
    <w:rsid w:val="0050669A"/>
    <w:rsid w:val="00506A2D"/>
    <w:rsid w:val="0050739A"/>
    <w:rsid w:val="0050760D"/>
    <w:rsid w:val="005100DC"/>
    <w:rsid w:val="005101D2"/>
    <w:rsid w:val="00511660"/>
    <w:rsid w:val="00511FFD"/>
    <w:rsid w:val="00512A0D"/>
    <w:rsid w:val="00515CE9"/>
    <w:rsid w:val="00515E4E"/>
    <w:rsid w:val="00517CCE"/>
    <w:rsid w:val="00517D83"/>
    <w:rsid w:val="00520706"/>
    <w:rsid w:val="00520746"/>
    <w:rsid w:val="005216F1"/>
    <w:rsid w:val="00521F97"/>
    <w:rsid w:val="005229A0"/>
    <w:rsid w:val="00522D2E"/>
    <w:rsid w:val="00522D50"/>
    <w:rsid w:val="0052426A"/>
    <w:rsid w:val="0052712A"/>
    <w:rsid w:val="00527D92"/>
    <w:rsid w:val="005307FD"/>
    <w:rsid w:val="00530B0B"/>
    <w:rsid w:val="00530F83"/>
    <w:rsid w:val="00531BAF"/>
    <w:rsid w:val="00532FBE"/>
    <w:rsid w:val="005333BF"/>
    <w:rsid w:val="0053355D"/>
    <w:rsid w:val="00533AC9"/>
    <w:rsid w:val="00534E5A"/>
    <w:rsid w:val="0053689C"/>
    <w:rsid w:val="00537781"/>
    <w:rsid w:val="00537C89"/>
    <w:rsid w:val="005409DB"/>
    <w:rsid w:val="00540C70"/>
    <w:rsid w:val="005419F7"/>
    <w:rsid w:val="005426C1"/>
    <w:rsid w:val="00542C62"/>
    <w:rsid w:val="00543F5F"/>
    <w:rsid w:val="005442F3"/>
    <w:rsid w:val="0054553E"/>
    <w:rsid w:val="00545698"/>
    <w:rsid w:val="00545745"/>
    <w:rsid w:val="00546149"/>
    <w:rsid w:val="005461D8"/>
    <w:rsid w:val="0055163A"/>
    <w:rsid w:val="00551696"/>
    <w:rsid w:val="00551A9E"/>
    <w:rsid w:val="00551C64"/>
    <w:rsid w:val="00554347"/>
    <w:rsid w:val="00554840"/>
    <w:rsid w:val="00554AEC"/>
    <w:rsid w:val="00555089"/>
    <w:rsid w:val="00555976"/>
    <w:rsid w:val="005565F1"/>
    <w:rsid w:val="00557E58"/>
    <w:rsid w:val="0056091D"/>
    <w:rsid w:val="00562259"/>
    <w:rsid w:val="005622A9"/>
    <w:rsid w:val="005655BD"/>
    <w:rsid w:val="00565F3C"/>
    <w:rsid w:val="00566997"/>
    <w:rsid w:val="00566B4E"/>
    <w:rsid w:val="005725D3"/>
    <w:rsid w:val="00573B46"/>
    <w:rsid w:val="00573C8F"/>
    <w:rsid w:val="00574014"/>
    <w:rsid w:val="005749AB"/>
    <w:rsid w:val="00576243"/>
    <w:rsid w:val="00576C5E"/>
    <w:rsid w:val="00577C17"/>
    <w:rsid w:val="00580957"/>
    <w:rsid w:val="00581336"/>
    <w:rsid w:val="00581F42"/>
    <w:rsid w:val="0058248B"/>
    <w:rsid w:val="005824FB"/>
    <w:rsid w:val="005827A7"/>
    <w:rsid w:val="00582D85"/>
    <w:rsid w:val="00584876"/>
    <w:rsid w:val="00585B39"/>
    <w:rsid w:val="00586041"/>
    <w:rsid w:val="00586955"/>
    <w:rsid w:val="005872CE"/>
    <w:rsid w:val="0058730F"/>
    <w:rsid w:val="005875F6"/>
    <w:rsid w:val="0058769A"/>
    <w:rsid w:val="0058797C"/>
    <w:rsid w:val="005905E2"/>
    <w:rsid w:val="00591B1C"/>
    <w:rsid w:val="005937C9"/>
    <w:rsid w:val="005955BA"/>
    <w:rsid w:val="0059598D"/>
    <w:rsid w:val="00596536"/>
    <w:rsid w:val="005A0443"/>
    <w:rsid w:val="005A0B59"/>
    <w:rsid w:val="005A0CA3"/>
    <w:rsid w:val="005A230F"/>
    <w:rsid w:val="005A245A"/>
    <w:rsid w:val="005A29DB"/>
    <w:rsid w:val="005A2C7B"/>
    <w:rsid w:val="005A328C"/>
    <w:rsid w:val="005A3AFA"/>
    <w:rsid w:val="005A3DA6"/>
    <w:rsid w:val="005A689F"/>
    <w:rsid w:val="005A7987"/>
    <w:rsid w:val="005B0966"/>
    <w:rsid w:val="005B0F9A"/>
    <w:rsid w:val="005B1A42"/>
    <w:rsid w:val="005B1D03"/>
    <w:rsid w:val="005B1D42"/>
    <w:rsid w:val="005B1DC2"/>
    <w:rsid w:val="005B46BD"/>
    <w:rsid w:val="005B4D4D"/>
    <w:rsid w:val="005B4DB1"/>
    <w:rsid w:val="005B6024"/>
    <w:rsid w:val="005B6D33"/>
    <w:rsid w:val="005C162E"/>
    <w:rsid w:val="005C1B19"/>
    <w:rsid w:val="005C1B88"/>
    <w:rsid w:val="005C25C7"/>
    <w:rsid w:val="005C26F3"/>
    <w:rsid w:val="005C319D"/>
    <w:rsid w:val="005C3259"/>
    <w:rsid w:val="005C379E"/>
    <w:rsid w:val="005C417A"/>
    <w:rsid w:val="005C5E4B"/>
    <w:rsid w:val="005C658D"/>
    <w:rsid w:val="005C77A2"/>
    <w:rsid w:val="005C7FA2"/>
    <w:rsid w:val="005D0F9E"/>
    <w:rsid w:val="005D1B82"/>
    <w:rsid w:val="005D22FC"/>
    <w:rsid w:val="005D2829"/>
    <w:rsid w:val="005D32E0"/>
    <w:rsid w:val="005D3D41"/>
    <w:rsid w:val="005D53CA"/>
    <w:rsid w:val="005D586B"/>
    <w:rsid w:val="005D736F"/>
    <w:rsid w:val="005E209A"/>
    <w:rsid w:val="005E4F70"/>
    <w:rsid w:val="005E593B"/>
    <w:rsid w:val="005E5C95"/>
    <w:rsid w:val="005E6192"/>
    <w:rsid w:val="005E6267"/>
    <w:rsid w:val="005E7457"/>
    <w:rsid w:val="005E7CE8"/>
    <w:rsid w:val="005F1282"/>
    <w:rsid w:val="005F162E"/>
    <w:rsid w:val="005F16C3"/>
    <w:rsid w:val="005F19DE"/>
    <w:rsid w:val="005F204E"/>
    <w:rsid w:val="005F328B"/>
    <w:rsid w:val="005F4644"/>
    <w:rsid w:val="005F5410"/>
    <w:rsid w:val="005F601B"/>
    <w:rsid w:val="005F6547"/>
    <w:rsid w:val="005F74F3"/>
    <w:rsid w:val="006011C3"/>
    <w:rsid w:val="0060161F"/>
    <w:rsid w:val="00601D7A"/>
    <w:rsid w:val="00601E1E"/>
    <w:rsid w:val="00602907"/>
    <w:rsid w:val="00604551"/>
    <w:rsid w:val="00604B7D"/>
    <w:rsid w:val="006055E3"/>
    <w:rsid w:val="00605A28"/>
    <w:rsid w:val="00606510"/>
    <w:rsid w:val="006065D3"/>
    <w:rsid w:val="00610319"/>
    <w:rsid w:val="00610BA9"/>
    <w:rsid w:val="00610DD1"/>
    <w:rsid w:val="00613604"/>
    <w:rsid w:val="0061399D"/>
    <w:rsid w:val="00614E98"/>
    <w:rsid w:val="0061587D"/>
    <w:rsid w:val="00617712"/>
    <w:rsid w:val="00620A89"/>
    <w:rsid w:val="00621F2A"/>
    <w:rsid w:val="0062205A"/>
    <w:rsid w:val="00622822"/>
    <w:rsid w:val="0062295C"/>
    <w:rsid w:val="006234BC"/>
    <w:rsid w:val="00623AD2"/>
    <w:rsid w:val="0062425B"/>
    <w:rsid w:val="00624EBB"/>
    <w:rsid w:val="00625197"/>
    <w:rsid w:val="00625729"/>
    <w:rsid w:val="006259BD"/>
    <w:rsid w:val="00626BCD"/>
    <w:rsid w:val="0062717C"/>
    <w:rsid w:val="00627814"/>
    <w:rsid w:val="00627B16"/>
    <w:rsid w:val="00632B51"/>
    <w:rsid w:val="00633021"/>
    <w:rsid w:val="00633CD9"/>
    <w:rsid w:val="00636962"/>
    <w:rsid w:val="00636EDC"/>
    <w:rsid w:val="00636EE3"/>
    <w:rsid w:val="006410D9"/>
    <w:rsid w:val="00641AD3"/>
    <w:rsid w:val="00641EE5"/>
    <w:rsid w:val="00641FDC"/>
    <w:rsid w:val="00644420"/>
    <w:rsid w:val="0064474B"/>
    <w:rsid w:val="00644C71"/>
    <w:rsid w:val="00645E1A"/>
    <w:rsid w:val="0064622D"/>
    <w:rsid w:val="006462FA"/>
    <w:rsid w:val="00650C82"/>
    <w:rsid w:val="006520A5"/>
    <w:rsid w:val="00653DE0"/>
    <w:rsid w:val="00655172"/>
    <w:rsid w:val="00656C79"/>
    <w:rsid w:val="00657169"/>
    <w:rsid w:val="00657446"/>
    <w:rsid w:val="0065748A"/>
    <w:rsid w:val="006575E3"/>
    <w:rsid w:val="00660744"/>
    <w:rsid w:val="00660AFC"/>
    <w:rsid w:val="00660EBB"/>
    <w:rsid w:val="00661021"/>
    <w:rsid w:val="00661ACD"/>
    <w:rsid w:val="00662890"/>
    <w:rsid w:val="00663629"/>
    <w:rsid w:val="00663CC5"/>
    <w:rsid w:val="00663D25"/>
    <w:rsid w:val="0066472A"/>
    <w:rsid w:val="00665F7D"/>
    <w:rsid w:val="00666A14"/>
    <w:rsid w:val="00670660"/>
    <w:rsid w:val="00670F73"/>
    <w:rsid w:val="00672298"/>
    <w:rsid w:val="00673822"/>
    <w:rsid w:val="00674A6D"/>
    <w:rsid w:val="00674AFC"/>
    <w:rsid w:val="00675032"/>
    <w:rsid w:val="00675C9E"/>
    <w:rsid w:val="00675EAD"/>
    <w:rsid w:val="0067610D"/>
    <w:rsid w:val="00676963"/>
    <w:rsid w:val="00677359"/>
    <w:rsid w:val="00677666"/>
    <w:rsid w:val="00682125"/>
    <w:rsid w:val="006830CD"/>
    <w:rsid w:val="00683165"/>
    <w:rsid w:val="0068435A"/>
    <w:rsid w:val="00684D69"/>
    <w:rsid w:val="00684E55"/>
    <w:rsid w:val="00686AF3"/>
    <w:rsid w:val="006928F3"/>
    <w:rsid w:val="00693A6A"/>
    <w:rsid w:val="00693B0E"/>
    <w:rsid w:val="006952F5"/>
    <w:rsid w:val="00695857"/>
    <w:rsid w:val="00695D76"/>
    <w:rsid w:val="00695FAD"/>
    <w:rsid w:val="006973EE"/>
    <w:rsid w:val="00697CEE"/>
    <w:rsid w:val="006A047B"/>
    <w:rsid w:val="006A0DB3"/>
    <w:rsid w:val="006A350C"/>
    <w:rsid w:val="006A4312"/>
    <w:rsid w:val="006A4857"/>
    <w:rsid w:val="006A5596"/>
    <w:rsid w:val="006A68D0"/>
    <w:rsid w:val="006A73FD"/>
    <w:rsid w:val="006A7706"/>
    <w:rsid w:val="006A7F51"/>
    <w:rsid w:val="006B1BC0"/>
    <w:rsid w:val="006B2087"/>
    <w:rsid w:val="006B3827"/>
    <w:rsid w:val="006B4620"/>
    <w:rsid w:val="006B4ED2"/>
    <w:rsid w:val="006B5EB3"/>
    <w:rsid w:val="006B6285"/>
    <w:rsid w:val="006B6E3B"/>
    <w:rsid w:val="006B7A41"/>
    <w:rsid w:val="006C047A"/>
    <w:rsid w:val="006C0ADC"/>
    <w:rsid w:val="006C11CE"/>
    <w:rsid w:val="006C1246"/>
    <w:rsid w:val="006C1B42"/>
    <w:rsid w:val="006C285C"/>
    <w:rsid w:val="006C3A53"/>
    <w:rsid w:val="006C56C9"/>
    <w:rsid w:val="006C5DA4"/>
    <w:rsid w:val="006C67D7"/>
    <w:rsid w:val="006C7D9A"/>
    <w:rsid w:val="006C7E82"/>
    <w:rsid w:val="006D144F"/>
    <w:rsid w:val="006D567B"/>
    <w:rsid w:val="006D72C7"/>
    <w:rsid w:val="006D771E"/>
    <w:rsid w:val="006E06C6"/>
    <w:rsid w:val="006E0B76"/>
    <w:rsid w:val="006E1437"/>
    <w:rsid w:val="006E1537"/>
    <w:rsid w:val="006E18DB"/>
    <w:rsid w:val="006E1B7C"/>
    <w:rsid w:val="006E1CF0"/>
    <w:rsid w:val="006E2BDC"/>
    <w:rsid w:val="006E2EB3"/>
    <w:rsid w:val="006E3EAB"/>
    <w:rsid w:val="006E4343"/>
    <w:rsid w:val="006E44F8"/>
    <w:rsid w:val="006E4A7F"/>
    <w:rsid w:val="006E4F98"/>
    <w:rsid w:val="006E521B"/>
    <w:rsid w:val="006E5BDD"/>
    <w:rsid w:val="006E798E"/>
    <w:rsid w:val="006F110C"/>
    <w:rsid w:val="006F30B4"/>
    <w:rsid w:val="006F31C3"/>
    <w:rsid w:val="006F3F8C"/>
    <w:rsid w:val="006F46C3"/>
    <w:rsid w:val="006F5377"/>
    <w:rsid w:val="006F6E12"/>
    <w:rsid w:val="006F75DD"/>
    <w:rsid w:val="007009AA"/>
    <w:rsid w:val="00701A84"/>
    <w:rsid w:val="00701F31"/>
    <w:rsid w:val="007026E3"/>
    <w:rsid w:val="007030E8"/>
    <w:rsid w:val="007036C3"/>
    <w:rsid w:val="007045BD"/>
    <w:rsid w:val="007051D4"/>
    <w:rsid w:val="00705859"/>
    <w:rsid w:val="00706041"/>
    <w:rsid w:val="007112CD"/>
    <w:rsid w:val="00711375"/>
    <w:rsid w:val="0071219E"/>
    <w:rsid w:val="00712398"/>
    <w:rsid w:val="007123AF"/>
    <w:rsid w:val="00712A96"/>
    <w:rsid w:val="00713C77"/>
    <w:rsid w:val="0071474D"/>
    <w:rsid w:val="00716280"/>
    <w:rsid w:val="00721056"/>
    <w:rsid w:val="00721F2B"/>
    <w:rsid w:val="00723914"/>
    <w:rsid w:val="00725B88"/>
    <w:rsid w:val="00725C94"/>
    <w:rsid w:val="00726A6C"/>
    <w:rsid w:val="00726B23"/>
    <w:rsid w:val="00726DB7"/>
    <w:rsid w:val="00727E29"/>
    <w:rsid w:val="00730DA6"/>
    <w:rsid w:val="0073129B"/>
    <w:rsid w:val="00732126"/>
    <w:rsid w:val="00732304"/>
    <w:rsid w:val="00733083"/>
    <w:rsid w:val="00733388"/>
    <w:rsid w:val="007342E5"/>
    <w:rsid w:val="007343B9"/>
    <w:rsid w:val="00734B58"/>
    <w:rsid w:val="00734C1B"/>
    <w:rsid w:val="00736CE8"/>
    <w:rsid w:val="007377D1"/>
    <w:rsid w:val="00741F09"/>
    <w:rsid w:val="00742B21"/>
    <w:rsid w:val="00743283"/>
    <w:rsid w:val="007433FD"/>
    <w:rsid w:val="0074397E"/>
    <w:rsid w:val="00744517"/>
    <w:rsid w:val="00745942"/>
    <w:rsid w:val="00746C98"/>
    <w:rsid w:val="00746DE7"/>
    <w:rsid w:val="00746F1A"/>
    <w:rsid w:val="00750137"/>
    <w:rsid w:val="0075115C"/>
    <w:rsid w:val="007525B7"/>
    <w:rsid w:val="00752B19"/>
    <w:rsid w:val="00752BB4"/>
    <w:rsid w:val="007549A9"/>
    <w:rsid w:val="00755157"/>
    <w:rsid w:val="00755C94"/>
    <w:rsid w:val="0075605F"/>
    <w:rsid w:val="0075687C"/>
    <w:rsid w:val="00760472"/>
    <w:rsid w:val="00761E12"/>
    <w:rsid w:val="00766147"/>
    <w:rsid w:val="00766DD4"/>
    <w:rsid w:val="00767246"/>
    <w:rsid w:val="00770518"/>
    <w:rsid w:val="0077087F"/>
    <w:rsid w:val="0077088B"/>
    <w:rsid w:val="00770FF1"/>
    <w:rsid w:val="00771F84"/>
    <w:rsid w:val="007724D2"/>
    <w:rsid w:val="00772E30"/>
    <w:rsid w:val="00776765"/>
    <w:rsid w:val="0077695C"/>
    <w:rsid w:val="007769FC"/>
    <w:rsid w:val="00780304"/>
    <w:rsid w:val="00780470"/>
    <w:rsid w:val="00780A56"/>
    <w:rsid w:val="00785BF9"/>
    <w:rsid w:val="00787DE0"/>
    <w:rsid w:val="00787E4F"/>
    <w:rsid w:val="007908B5"/>
    <w:rsid w:val="00790A94"/>
    <w:rsid w:val="007911B2"/>
    <w:rsid w:val="00793DAE"/>
    <w:rsid w:val="007946C2"/>
    <w:rsid w:val="007951BA"/>
    <w:rsid w:val="007965C5"/>
    <w:rsid w:val="007972F1"/>
    <w:rsid w:val="0079798B"/>
    <w:rsid w:val="00797ACE"/>
    <w:rsid w:val="007A08F7"/>
    <w:rsid w:val="007A0A41"/>
    <w:rsid w:val="007A1416"/>
    <w:rsid w:val="007A159F"/>
    <w:rsid w:val="007A1E5B"/>
    <w:rsid w:val="007A203B"/>
    <w:rsid w:val="007A36C9"/>
    <w:rsid w:val="007A4461"/>
    <w:rsid w:val="007A4CF9"/>
    <w:rsid w:val="007A4E3F"/>
    <w:rsid w:val="007A5188"/>
    <w:rsid w:val="007A6512"/>
    <w:rsid w:val="007A67FD"/>
    <w:rsid w:val="007B0CB2"/>
    <w:rsid w:val="007B239D"/>
    <w:rsid w:val="007B29E3"/>
    <w:rsid w:val="007B2B09"/>
    <w:rsid w:val="007B3449"/>
    <w:rsid w:val="007B3D71"/>
    <w:rsid w:val="007B4108"/>
    <w:rsid w:val="007B435F"/>
    <w:rsid w:val="007B5213"/>
    <w:rsid w:val="007B5790"/>
    <w:rsid w:val="007B5FDA"/>
    <w:rsid w:val="007B7DDF"/>
    <w:rsid w:val="007C07CC"/>
    <w:rsid w:val="007C1C47"/>
    <w:rsid w:val="007C1ED9"/>
    <w:rsid w:val="007C292F"/>
    <w:rsid w:val="007C2D30"/>
    <w:rsid w:val="007C3EA8"/>
    <w:rsid w:val="007C447B"/>
    <w:rsid w:val="007C4B61"/>
    <w:rsid w:val="007C793D"/>
    <w:rsid w:val="007D06C7"/>
    <w:rsid w:val="007D07A2"/>
    <w:rsid w:val="007D16DC"/>
    <w:rsid w:val="007D41F4"/>
    <w:rsid w:val="007D4C26"/>
    <w:rsid w:val="007D4EF4"/>
    <w:rsid w:val="007D5CBB"/>
    <w:rsid w:val="007D60C5"/>
    <w:rsid w:val="007D6572"/>
    <w:rsid w:val="007D7CAA"/>
    <w:rsid w:val="007E0563"/>
    <w:rsid w:val="007E6590"/>
    <w:rsid w:val="007E6CFA"/>
    <w:rsid w:val="007E6FB5"/>
    <w:rsid w:val="007E76B5"/>
    <w:rsid w:val="007E78FD"/>
    <w:rsid w:val="007F33A5"/>
    <w:rsid w:val="007F34D2"/>
    <w:rsid w:val="007F363B"/>
    <w:rsid w:val="007F407D"/>
    <w:rsid w:val="007F50C5"/>
    <w:rsid w:val="007F568B"/>
    <w:rsid w:val="007F5864"/>
    <w:rsid w:val="007F675C"/>
    <w:rsid w:val="007F6A96"/>
    <w:rsid w:val="00800AF7"/>
    <w:rsid w:val="00800F31"/>
    <w:rsid w:val="00801640"/>
    <w:rsid w:val="008016DA"/>
    <w:rsid w:val="00803860"/>
    <w:rsid w:val="00803D1B"/>
    <w:rsid w:val="00804854"/>
    <w:rsid w:val="00804C75"/>
    <w:rsid w:val="00804F04"/>
    <w:rsid w:val="00805A87"/>
    <w:rsid w:val="00805D01"/>
    <w:rsid w:val="0080724A"/>
    <w:rsid w:val="0081155D"/>
    <w:rsid w:val="00811567"/>
    <w:rsid w:val="00814074"/>
    <w:rsid w:val="008141AC"/>
    <w:rsid w:val="00814ACE"/>
    <w:rsid w:val="00815876"/>
    <w:rsid w:val="00815DE7"/>
    <w:rsid w:val="00816182"/>
    <w:rsid w:val="0081785A"/>
    <w:rsid w:val="008215A0"/>
    <w:rsid w:val="00822B05"/>
    <w:rsid w:val="00823971"/>
    <w:rsid w:val="00825170"/>
    <w:rsid w:val="00826534"/>
    <w:rsid w:val="00826784"/>
    <w:rsid w:val="00826C28"/>
    <w:rsid w:val="00827F93"/>
    <w:rsid w:val="0083003E"/>
    <w:rsid w:val="0083097F"/>
    <w:rsid w:val="008309E8"/>
    <w:rsid w:val="00830D14"/>
    <w:rsid w:val="008319EC"/>
    <w:rsid w:val="008321F0"/>
    <w:rsid w:val="00832B54"/>
    <w:rsid w:val="008331F8"/>
    <w:rsid w:val="00833E5B"/>
    <w:rsid w:val="00834D6E"/>
    <w:rsid w:val="0083513D"/>
    <w:rsid w:val="00835825"/>
    <w:rsid w:val="00836317"/>
    <w:rsid w:val="008376D6"/>
    <w:rsid w:val="00840D54"/>
    <w:rsid w:val="00840DB3"/>
    <w:rsid w:val="00840F0E"/>
    <w:rsid w:val="0084183E"/>
    <w:rsid w:val="00842D0A"/>
    <w:rsid w:val="0084316D"/>
    <w:rsid w:val="00844CF6"/>
    <w:rsid w:val="0084602F"/>
    <w:rsid w:val="00847378"/>
    <w:rsid w:val="00847755"/>
    <w:rsid w:val="00847E2F"/>
    <w:rsid w:val="008508EA"/>
    <w:rsid w:val="00851FB3"/>
    <w:rsid w:val="0085267C"/>
    <w:rsid w:val="008557AF"/>
    <w:rsid w:val="008567AE"/>
    <w:rsid w:val="00856C9B"/>
    <w:rsid w:val="008602E0"/>
    <w:rsid w:val="0086125C"/>
    <w:rsid w:val="008622F6"/>
    <w:rsid w:val="008625DD"/>
    <w:rsid w:val="008631FE"/>
    <w:rsid w:val="0086397B"/>
    <w:rsid w:val="008639BD"/>
    <w:rsid w:val="00863F1F"/>
    <w:rsid w:val="00863F6B"/>
    <w:rsid w:val="00865816"/>
    <w:rsid w:val="00865A18"/>
    <w:rsid w:val="00865A39"/>
    <w:rsid w:val="0086722C"/>
    <w:rsid w:val="008707EB"/>
    <w:rsid w:val="00871514"/>
    <w:rsid w:val="008719F7"/>
    <w:rsid w:val="00873DD8"/>
    <w:rsid w:val="00873E39"/>
    <w:rsid w:val="008748DD"/>
    <w:rsid w:val="0087661F"/>
    <w:rsid w:val="00877B50"/>
    <w:rsid w:val="008804FF"/>
    <w:rsid w:val="00880C01"/>
    <w:rsid w:val="00880C4E"/>
    <w:rsid w:val="0088112B"/>
    <w:rsid w:val="00881FBD"/>
    <w:rsid w:val="0088249A"/>
    <w:rsid w:val="00882933"/>
    <w:rsid w:val="00882A6E"/>
    <w:rsid w:val="00884568"/>
    <w:rsid w:val="008846D9"/>
    <w:rsid w:val="0088534C"/>
    <w:rsid w:val="00886D39"/>
    <w:rsid w:val="00891D32"/>
    <w:rsid w:val="00892B48"/>
    <w:rsid w:val="008932B4"/>
    <w:rsid w:val="008936E5"/>
    <w:rsid w:val="008940CB"/>
    <w:rsid w:val="008946EA"/>
    <w:rsid w:val="008948B6"/>
    <w:rsid w:val="008964D9"/>
    <w:rsid w:val="008A0C4A"/>
    <w:rsid w:val="008A215B"/>
    <w:rsid w:val="008A221E"/>
    <w:rsid w:val="008A3781"/>
    <w:rsid w:val="008A4584"/>
    <w:rsid w:val="008A4F8A"/>
    <w:rsid w:val="008A5600"/>
    <w:rsid w:val="008A6265"/>
    <w:rsid w:val="008A7791"/>
    <w:rsid w:val="008B128B"/>
    <w:rsid w:val="008B17F2"/>
    <w:rsid w:val="008B3246"/>
    <w:rsid w:val="008B3A0C"/>
    <w:rsid w:val="008B4958"/>
    <w:rsid w:val="008B6D1A"/>
    <w:rsid w:val="008B6D6F"/>
    <w:rsid w:val="008B779D"/>
    <w:rsid w:val="008B7B1E"/>
    <w:rsid w:val="008C11B1"/>
    <w:rsid w:val="008C42A4"/>
    <w:rsid w:val="008C451E"/>
    <w:rsid w:val="008C479F"/>
    <w:rsid w:val="008C4B94"/>
    <w:rsid w:val="008C4D93"/>
    <w:rsid w:val="008C4FBC"/>
    <w:rsid w:val="008C5D7B"/>
    <w:rsid w:val="008C5DE5"/>
    <w:rsid w:val="008C7832"/>
    <w:rsid w:val="008D03A1"/>
    <w:rsid w:val="008D0EA5"/>
    <w:rsid w:val="008D1879"/>
    <w:rsid w:val="008D2463"/>
    <w:rsid w:val="008D2B4F"/>
    <w:rsid w:val="008D41FB"/>
    <w:rsid w:val="008D43B6"/>
    <w:rsid w:val="008D4DCF"/>
    <w:rsid w:val="008D753E"/>
    <w:rsid w:val="008E0C18"/>
    <w:rsid w:val="008E1387"/>
    <w:rsid w:val="008E17F5"/>
    <w:rsid w:val="008E206A"/>
    <w:rsid w:val="008E2938"/>
    <w:rsid w:val="008E41E0"/>
    <w:rsid w:val="008E4AD8"/>
    <w:rsid w:val="008E5399"/>
    <w:rsid w:val="008E6632"/>
    <w:rsid w:val="008E6766"/>
    <w:rsid w:val="008F1370"/>
    <w:rsid w:val="008F20E6"/>
    <w:rsid w:val="008F28E8"/>
    <w:rsid w:val="008F2DB6"/>
    <w:rsid w:val="008F46B9"/>
    <w:rsid w:val="008F6AF6"/>
    <w:rsid w:val="008F6DF6"/>
    <w:rsid w:val="008F78BF"/>
    <w:rsid w:val="00900455"/>
    <w:rsid w:val="00900ABA"/>
    <w:rsid w:val="00900FA4"/>
    <w:rsid w:val="00900FFC"/>
    <w:rsid w:val="0090152F"/>
    <w:rsid w:val="00905AE6"/>
    <w:rsid w:val="00906163"/>
    <w:rsid w:val="009070F2"/>
    <w:rsid w:val="009102B1"/>
    <w:rsid w:val="009112D5"/>
    <w:rsid w:val="009117AF"/>
    <w:rsid w:val="00913A8F"/>
    <w:rsid w:val="00913BD8"/>
    <w:rsid w:val="00913DA9"/>
    <w:rsid w:val="00913FD1"/>
    <w:rsid w:val="0091476B"/>
    <w:rsid w:val="0091482E"/>
    <w:rsid w:val="00914D8C"/>
    <w:rsid w:val="009150E0"/>
    <w:rsid w:val="00915BD0"/>
    <w:rsid w:val="00916397"/>
    <w:rsid w:val="009165B6"/>
    <w:rsid w:val="00916BB9"/>
    <w:rsid w:val="00917280"/>
    <w:rsid w:val="0091764F"/>
    <w:rsid w:val="009218FD"/>
    <w:rsid w:val="00921EF2"/>
    <w:rsid w:val="00922D1D"/>
    <w:rsid w:val="00923A54"/>
    <w:rsid w:val="00924596"/>
    <w:rsid w:val="0092577B"/>
    <w:rsid w:val="00926831"/>
    <w:rsid w:val="00927B25"/>
    <w:rsid w:val="0093010D"/>
    <w:rsid w:val="00931126"/>
    <w:rsid w:val="009311B2"/>
    <w:rsid w:val="00931BBB"/>
    <w:rsid w:val="009336D5"/>
    <w:rsid w:val="009358E2"/>
    <w:rsid w:val="00936043"/>
    <w:rsid w:val="00936940"/>
    <w:rsid w:val="00936F8B"/>
    <w:rsid w:val="00937163"/>
    <w:rsid w:val="00940CBF"/>
    <w:rsid w:val="00940D5F"/>
    <w:rsid w:val="00940E75"/>
    <w:rsid w:val="00942BA3"/>
    <w:rsid w:val="00942FF5"/>
    <w:rsid w:val="00943B39"/>
    <w:rsid w:val="00943F58"/>
    <w:rsid w:val="0094443B"/>
    <w:rsid w:val="0094469F"/>
    <w:rsid w:val="0094561E"/>
    <w:rsid w:val="00946FE4"/>
    <w:rsid w:val="00947226"/>
    <w:rsid w:val="00947848"/>
    <w:rsid w:val="0094784E"/>
    <w:rsid w:val="009478B6"/>
    <w:rsid w:val="0094793B"/>
    <w:rsid w:val="00950795"/>
    <w:rsid w:val="00950A4D"/>
    <w:rsid w:val="009513DE"/>
    <w:rsid w:val="009522E0"/>
    <w:rsid w:val="009531D4"/>
    <w:rsid w:val="0095367A"/>
    <w:rsid w:val="00953D09"/>
    <w:rsid w:val="00954401"/>
    <w:rsid w:val="0095527C"/>
    <w:rsid w:val="00955FF7"/>
    <w:rsid w:val="00956336"/>
    <w:rsid w:val="00956DBA"/>
    <w:rsid w:val="00956DCC"/>
    <w:rsid w:val="0095717E"/>
    <w:rsid w:val="009571BE"/>
    <w:rsid w:val="00957D2A"/>
    <w:rsid w:val="0096197F"/>
    <w:rsid w:val="00964057"/>
    <w:rsid w:val="00964882"/>
    <w:rsid w:val="00964999"/>
    <w:rsid w:val="00964BFB"/>
    <w:rsid w:val="00965593"/>
    <w:rsid w:val="00967161"/>
    <w:rsid w:val="009678EF"/>
    <w:rsid w:val="00967A3B"/>
    <w:rsid w:val="009713A0"/>
    <w:rsid w:val="00972361"/>
    <w:rsid w:val="00972737"/>
    <w:rsid w:val="00972764"/>
    <w:rsid w:val="009727B4"/>
    <w:rsid w:val="00972D10"/>
    <w:rsid w:val="0097599B"/>
    <w:rsid w:val="009763A1"/>
    <w:rsid w:val="00976894"/>
    <w:rsid w:val="0098095B"/>
    <w:rsid w:val="00981293"/>
    <w:rsid w:val="009812B2"/>
    <w:rsid w:val="009816BB"/>
    <w:rsid w:val="0098332A"/>
    <w:rsid w:val="00983476"/>
    <w:rsid w:val="00984168"/>
    <w:rsid w:val="009841D2"/>
    <w:rsid w:val="009845A0"/>
    <w:rsid w:val="0098472D"/>
    <w:rsid w:val="0098473F"/>
    <w:rsid w:val="00984E29"/>
    <w:rsid w:val="0098548A"/>
    <w:rsid w:val="009857A5"/>
    <w:rsid w:val="00985B61"/>
    <w:rsid w:val="009864D2"/>
    <w:rsid w:val="00986EC3"/>
    <w:rsid w:val="009874CD"/>
    <w:rsid w:val="0098760F"/>
    <w:rsid w:val="00987946"/>
    <w:rsid w:val="00990D37"/>
    <w:rsid w:val="009914DB"/>
    <w:rsid w:val="00993DD3"/>
    <w:rsid w:val="00995C8F"/>
    <w:rsid w:val="0099765D"/>
    <w:rsid w:val="00997DBB"/>
    <w:rsid w:val="009A0419"/>
    <w:rsid w:val="009A21F7"/>
    <w:rsid w:val="009A24A1"/>
    <w:rsid w:val="009A6828"/>
    <w:rsid w:val="009A682E"/>
    <w:rsid w:val="009A77FB"/>
    <w:rsid w:val="009B005A"/>
    <w:rsid w:val="009B115E"/>
    <w:rsid w:val="009B29E3"/>
    <w:rsid w:val="009B46E3"/>
    <w:rsid w:val="009B53DD"/>
    <w:rsid w:val="009B54E6"/>
    <w:rsid w:val="009B57BD"/>
    <w:rsid w:val="009B5AC0"/>
    <w:rsid w:val="009B6A7A"/>
    <w:rsid w:val="009C0579"/>
    <w:rsid w:val="009C0DC1"/>
    <w:rsid w:val="009C2700"/>
    <w:rsid w:val="009C2F1C"/>
    <w:rsid w:val="009C390B"/>
    <w:rsid w:val="009C409D"/>
    <w:rsid w:val="009C42F0"/>
    <w:rsid w:val="009C54A4"/>
    <w:rsid w:val="009C5D2B"/>
    <w:rsid w:val="009C608D"/>
    <w:rsid w:val="009D0589"/>
    <w:rsid w:val="009D0A6C"/>
    <w:rsid w:val="009D0E76"/>
    <w:rsid w:val="009D0EB0"/>
    <w:rsid w:val="009D0F98"/>
    <w:rsid w:val="009D38D1"/>
    <w:rsid w:val="009D3F99"/>
    <w:rsid w:val="009E1407"/>
    <w:rsid w:val="009E20DB"/>
    <w:rsid w:val="009E280D"/>
    <w:rsid w:val="009E28DC"/>
    <w:rsid w:val="009E2C44"/>
    <w:rsid w:val="009E31DA"/>
    <w:rsid w:val="009E3CF4"/>
    <w:rsid w:val="009E3F4F"/>
    <w:rsid w:val="009E4354"/>
    <w:rsid w:val="009E4449"/>
    <w:rsid w:val="009E77CE"/>
    <w:rsid w:val="009F1AC6"/>
    <w:rsid w:val="009F39D9"/>
    <w:rsid w:val="009F3D52"/>
    <w:rsid w:val="009F46DE"/>
    <w:rsid w:val="009F58D6"/>
    <w:rsid w:val="009F5CFC"/>
    <w:rsid w:val="009F7053"/>
    <w:rsid w:val="00A00218"/>
    <w:rsid w:val="00A00586"/>
    <w:rsid w:val="00A00B02"/>
    <w:rsid w:val="00A01041"/>
    <w:rsid w:val="00A013E6"/>
    <w:rsid w:val="00A0204F"/>
    <w:rsid w:val="00A02DC3"/>
    <w:rsid w:val="00A03AF9"/>
    <w:rsid w:val="00A057B3"/>
    <w:rsid w:val="00A05978"/>
    <w:rsid w:val="00A059CF"/>
    <w:rsid w:val="00A064C0"/>
    <w:rsid w:val="00A067C0"/>
    <w:rsid w:val="00A07166"/>
    <w:rsid w:val="00A0759E"/>
    <w:rsid w:val="00A1079F"/>
    <w:rsid w:val="00A10A26"/>
    <w:rsid w:val="00A10D4C"/>
    <w:rsid w:val="00A12588"/>
    <w:rsid w:val="00A12E63"/>
    <w:rsid w:val="00A14067"/>
    <w:rsid w:val="00A14161"/>
    <w:rsid w:val="00A161A9"/>
    <w:rsid w:val="00A17C0C"/>
    <w:rsid w:val="00A20C87"/>
    <w:rsid w:val="00A214E6"/>
    <w:rsid w:val="00A21F26"/>
    <w:rsid w:val="00A236AA"/>
    <w:rsid w:val="00A239C4"/>
    <w:rsid w:val="00A24AE5"/>
    <w:rsid w:val="00A26987"/>
    <w:rsid w:val="00A27041"/>
    <w:rsid w:val="00A27544"/>
    <w:rsid w:val="00A27AD2"/>
    <w:rsid w:val="00A27FC5"/>
    <w:rsid w:val="00A31D81"/>
    <w:rsid w:val="00A31E31"/>
    <w:rsid w:val="00A31FBE"/>
    <w:rsid w:val="00A32FE4"/>
    <w:rsid w:val="00A33EF4"/>
    <w:rsid w:val="00A34367"/>
    <w:rsid w:val="00A355B3"/>
    <w:rsid w:val="00A3571C"/>
    <w:rsid w:val="00A37284"/>
    <w:rsid w:val="00A40975"/>
    <w:rsid w:val="00A40B09"/>
    <w:rsid w:val="00A40E53"/>
    <w:rsid w:val="00A41FD2"/>
    <w:rsid w:val="00A443E0"/>
    <w:rsid w:val="00A47F7A"/>
    <w:rsid w:val="00A51D94"/>
    <w:rsid w:val="00A51E2E"/>
    <w:rsid w:val="00A53C1E"/>
    <w:rsid w:val="00A53CEA"/>
    <w:rsid w:val="00A549E2"/>
    <w:rsid w:val="00A54A28"/>
    <w:rsid w:val="00A57970"/>
    <w:rsid w:val="00A57A63"/>
    <w:rsid w:val="00A6216F"/>
    <w:rsid w:val="00A62D74"/>
    <w:rsid w:val="00A64CF3"/>
    <w:rsid w:val="00A64CFB"/>
    <w:rsid w:val="00A660F9"/>
    <w:rsid w:val="00A7044F"/>
    <w:rsid w:val="00A7108D"/>
    <w:rsid w:val="00A710DF"/>
    <w:rsid w:val="00A71467"/>
    <w:rsid w:val="00A71821"/>
    <w:rsid w:val="00A71C6A"/>
    <w:rsid w:val="00A74B5E"/>
    <w:rsid w:val="00A752BC"/>
    <w:rsid w:val="00A75A0E"/>
    <w:rsid w:val="00A75AAB"/>
    <w:rsid w:val="00A76D8F"/>
    <w:rsid w:val="00A77068"/>
    <w:rsid w:val="00A77434"/>
    <w:rsid w:val="00A777D8"/>
    <w:rsid w:val="00A77C2A"/>
    <w:rsid w:val="00A802F6"/>
    <w:rsid w:val="00A80521"/>
    <w:rsid w:val="00A8150A"/>
    <w:rsid w:val="00A83315"/>
    <w:rsid w:val="00A83523"/>
    <w:rsid w:val="00A8366F"/>
    <w:rsid w:val="00A83DC5"/>
    <w:rsid w:val="00A83DE4"/>
    <w:rsid w:val="00A83FD8"/>
    <w:rsid w:val="00A8455C"/>
    <w:rsid w:val="00A84C2F"/>
    <w:rsid w:val="00A86BC1"/>
    <w:rsid w:val="00A909F4"/>
    <w:rsid w:val="00A90FFC"/>
    <w:rsid w:val="00A91A12"/>
    <w:rsid w:val="00A92362"/>
    <w:rsid w:val="00A92D0F"/>
    <w:rsid w:val="00A92DDF"/>
    <w:rsid w:val="00A93CEE"/>
    <w:rsid w:val="00A9490F"/>
    <w:rsid w:val="00A95DBF"/>
    <w:rsid w:val="00A97ECB"/>
    <w:rsid w:val="00AA0676"/>
    <w:rsid w:val="00AA273F"/>
    <w:rsid w:val="00AA5798"/>
    <w:rsid w:val="00AA6A61"/>
    <w:rsid w:val="00AA74C2"/>
    <w:rsid w:val="00AA77E6"/>
    <w:rsid w:val="00AA7D1C"/>
    <w:rsid w:val="00AB069B"/>
    <w:rsid w:val="00AB1247"/>
    <w:rsid w:val="00AB134A"/>
    <w:rsid w:val="00AB22FD"/>
    <w:rsid w:val="00AB249C"/>
    <w:rsid w:val="00AB2E17"/>
    <w:rsid w:val="00AB3141"/>
    <w:rsid w:val="00AB3F3C"/>
    <w:rsid w:val="00AB4DA8"/>
    <w:rsid w:val="00AB4FA9"/>
    <w:rsid w:val="00AB53F6"/>
    <w:rsid w:val="00AB5EF7"/>
    <w:rsid w:val="00AB609D"/>
    <w:rsid w:val="00AB66B8"/>
    <w:rsid w:val="00AB6EDE"/>
    <w:rsid w:val="00AB74F6"/>
    <w:rsid w:val="00AB7C45"/>
    <w:rsid w:val="00AC09B6"/>
    <w:rsid w:val="00AC12CA"/>
    <w:rsid w:val="00AC2268"/>
    <w:rsid w:val="00AC3363"/>
    <w:rsid w:val="00AC3B84"/>
    <w:rsid w:val="00AC3E69"/>
    <w:rsid w:val="00AC487F"/>
    <w:rsid w:val="00AC6253"/>
    <w:rsid w:val="00AC719F"/>
    <w:rsid w:val="00AD0E44"/>
    <w:rsid w:val="00AD4728"/>
    <w:rsid w:val="00AD4B19"/>
    <w:rsid w:val="00AD4C93"/>
    <w:rsid w:val="00AD5508"/>
    <w:rsid w:val="00AD746E"/>
    <w:rsid w:val="00AD75D8"/>
    <w:rsid w:val="00AD7CAC"/>
    <w:rsid w:val="00AD7DE4"/>
    <w:rsid w:val="00AE1A84"/>
    <w:rsid w:val="00AE2B32"/>
    <w:rsid w:val="00AE3D01"/>
    <w:rsid w:val="00AE4747"/>
    <w:rsid w:val="00AE4FC4"/>
    <w:rsid w:val="00AE5260"/>
    <w:rsid w:val="00AE5CF7"/>
    <w:rsid w:val="00AE5EAC"/>
    <w:rsid w:val="00AE67B6"/>
    <w:rsid w:val="00AE6861"/>
    <w:rsid w:val="00AE6902"/>
    <w:rsid w:val="00AE71CF"/>
    <w:rsid w:val="00AF0289"/>
    <w:rsid w:val="00AF08A4"/>
    <w:rsid w:val="00AF0D29"/>
    <w:rsid w:val="00AF17DC"/>
    <w:rsid w:val="00AF2F12"/>
    <w:rsid w:val="00AF3442"/>
    <w:rsid w:val="00AF3762"/>
    <w:rsid w:val="00AF49A0"/>
    <w:rsid w:val="00AF5D13"/>
    <w:rsid w:val="00AF6DD3"/>
    <w:rsid w:val="00AF7736"/>
    <w:rsid w:val="00AF782A"/>
    <w:rsid w:val="00AF7CFA"/>
    <w:rsid w:val="00B0104C"/>
    <w:rsid w:val="00B01A0B"/>
    <w:rsid w:val="00B01CD0"/>
    <w:rsid w:val="00B031A6"/>
    <w:rsid w:val="00B03B08"/>
    <w:rsid w:val="00B04B21"/>
    <w:rsid w:val="00B04DB9"/>
    <w:rsid w:val="00B05EB7"/>
    <w:rsid w:val="00B06086"/>
    <w:rsid w:val="00B0641E"/>
    <w:rsid w:val="00B07759"/>
    <w:rsid w:val="00B10AB8"/>
    <w:rsid w:val="00B128CB"/>
    <w:rsid w:val="00B12FB2"/>
    <w:rsid w:val="00B14A65"/>
    <w:rsid w:val="00B161CE"/>
    <w:rsid w:val="00B17226"/>
    <w:rsid w:val="00B1739F"/>
    <w:rsid w:val="00B2037B"/>
    <w:rsid w:val="00B20435"/>
    <w:rsid w:val="00B20689"/>
    <w:rsid w:val="00B216AE"/>
    <w:rsid w:val="00B2193F"/>
    <w:rsid w:val="00B22D70"/>
    <w:rsid w:val="00B253DD"/>
    <w:rsid w:val="00B258D8"/>
    <w:rsid w:val="00B25DE3"/>
    <w:rsid w:val="00B26048"/>
    <w:rsid w:val="00B27C5E"/>
    <w:rsid w:val="00B306D8"/>
    <w:rsid w:val="00B30F59"/>
    <w:rsid w:val="00B32120"/>
    <w:rsid w:val="00B3233C"/>
    <w:rsid w:val="00B34169"/>
    <w:rsid w:val="00B3442D"/>
    <w:rsid w:val="00B34D4C"/>
    <w:rsid w:val="00B34FC1"/>
    <w:rsid w:val="00B361FF"/>
    <w:rsid w:val="00B40AC5"/>
    <w:rsid w:val="00B40DB4"/>
    <w:rsid w:val="00B41E4A"/>
    <w:rsid w:val="00B41F6B"/>
    <w:rsid w:val="00B42C68"/>
    <w:rsid w:val="00B43529"/>
    <w:rsid w:val="00B45726"/>
    <w:rsid w:val="00B45828"/>
    <w:rsid w:val="00B46FEF"/>
    <w:rsid w:val="00B470E5"/>
    <w:rsid w:val="00B4722B"/>
    <w:rsid w:val="00B47646"/>
    <w:rsid w:val="00B47B86"/>
    <w:rsid w:val="00B50BCD"/>
    <w:rsid w:val="00B50E10"/>
    <w:rsid w:val="00B50E37"/>
    <w:rsid w:val="00B516BC"/>
    <w:rsid w:val="00B517BC"/>
    <w:rsid w:val="00B51807"/>
    <w:rsid w:val="00B51936"/>
    <w:rsid w:val="00B51D11"/>
    <w:rsid w:val="00B52066"/>
    <w:rsid w:val="00B52304"/>
    <w:rsid w:val="00B52358"/>
    <w:rsid w:val="00B53724"/>
    <w:rsid w:val="00B538C4"/>
    <w:rsid w:val="00B5565F"/>
    <w:rsid w:val="00B568D1"/>
    <w:rsid w:val="00B56F9E"/>
    <w:rsid w:val="00B57049"/>
    <w:rsid w:val="00B57DBB"/>
    <w:rsid w:val="00B6040F"/>
    <w:rsid w:val="00B60D18"/>
    <w:rsid w:val="00B60E79"/>
    <w:rsid w:val="00B6264C"/>
    <w:rsid w:val="00B63793"/>
    <w:rsid w:val="00B63C7B"/>
    <w:rsid w:val="00B65B8E"/>
    <w:rsid w:val="00B70939"/>
    <w:rsid w:val="00B70AB4"/>
    <w:rsid w:val="00B718FB"/>
    <w:rsid w:val="00B729FB"/>
    <w:rsid w:val="00B74242"/>
    <w:rsid w:val="00B752A8"/>
    <w:rsid w:val="00B754DD"/>
    <w:rsid w:val="00B756FD"/>
    <w:rsid w:val="00B759AD"/>
    <w:rsid w:val="00B76B0D"/>
    <w:rsid w:val="00B76EAC"/>
    <w:rsid w:val="00B77DCB"/>
    <w:rsid w:val="00B80B5A"/>
    <w:rsid w:val="00B82CF7"/>
    <w:rsid w:val="00B82E6C"/>
    <w:rsid w:val="00B8318E"/>
    <w:rsid w:val="00B83298"/>
    <w:rsid w:val="00B83E5B"/>
    <w:rsid w:val="00B840FF"/>
    <w:rsid w:val="00B84A8B"/>
    <w:rsid w:val="00B84AD5"/>
    <w:rsid w:val="00B84BA7"/>
    <w:rsid w:val="00B850F5"/>
    <w:rsid w:val="00B8570F"/>
    <w:rsid w:val="00B86E23"/>
    <w:rsid w:val="00B86F2F"/>
    <w:rsid w:val="00B87737"/>
    <w:rsid w:val="00B87855"/>
    <w:rsid w:val="00B8792A"/>
    <w:rsid w:val="00B87E24"/>
    <w:rsid w:val="00B916D6"/>
    <w:rsid w:val="00B91C97"/>
    <w:rsid w:val="00B923D8"/>
    <w:rsid w:val="00B924CB"/>
    <w:rsid w:val="00B92C19"/>
    <w:rsid w:val="00B94166"/>
    <w:rsid w:val="00B958DA"/>
    <w:rsid w:val="00B95D05"/>
    <w:rsid w:val="00B9606C"/>
    <w:rsid w:val="00B96D11"/>
    <w:rsid w:val="00B97AB6"/>
    <w:rsid w:val="00B97DF1"/>
    <w:rsid w:val="00B97E9D"/>
    <w:rsid w:val="00BA1742"/>
    <w:rsid w:val="00BA29E5"/>
    <w:rsid w:val="00BA2D2D"/>
    <w:rsid w:val="00BA35A1"/>
    <w:rsid w:val="00BA40DC"/>
    <w:rsid w:val="00BA4A15"/>
    <w:rsid w:val="00BA6A1E"/>
    <w:rsid w:val="00BA779B"/>
    <w:rsid w:val="00BB12EC"/>
    <w:rsid w:val="00BB14E3"/>
    <w:rsid w:val="00BB156E"/>
    <w:rsid w:val="00BB167E"/>
    <w:rsid w:val="00BB184C"/>
    <w:rsid w:val="00BB20AB"/>
    <w:rsid w:val="00BB4C07"/>
    <w:rsid w:val="00BB6955"/>
    <w:rsid w:val="00BC31D7"/>
    <w:rsid w:val="00BC475D"/>
    <w:rsid w:val="00BC5B66"/>
    <w:rsid w:val="00BC6182"/>
    <w:rsid w:val="00BC7BDB"/>
    <w:rsid w:val="00BD0888"/>
    <w:rsid w:val="00BD0E92"/>
    <w:rsid w:val="00BD16CC"/>
    <w:rsid w:val="00BD2382"/>
    <w:rsid w:val="00BD389F"/>
    <w:rsid w:val="00BD38A7"/>
    <w:rsid w:val="00BD3F81"/>
    <w:rsid w:val="00BD4251"/>
    <w:rsid w:val="00BD4CB1"/>
    <w:rsid w:val="00BD4D58"/>
    <w:rsid w:val="00BD4F10"/>
    <w:rsid w:val="00BD5130"/>
    <w:rsid w:val="00BD5685"/>
    <w:rsid w:val="00BD56F4"/>
    <w:rsid w:val="00BD58EC"/>
    <w:rsid w:val="00BD6AE4"/>
    <w:rsid w:val="00BD6C5E"/>
    <w:rsid w:val="00BD7122"/>
    <w:rsid w:val="00BD7527"/>
    <w:rsid w:val="00BD79C4"/>
    <w:rsid w:val="00BE0628"/>
    <w:rsid w:val="00BE11E1"/>
    <w:rsid w:val="00BE1564"/>
    <w:rsid w:val="00BE17E4"/>
    <w:rsid w:val="00BE1F3A"/>
    <w:rsid w:val="00BE1F7A"/>
    <w:rsid w:val="00BE40A3"/>
    <w:rsid w:val="00BE5002"/>
    <w:rsid w:val="00BE52C6"/>
    <w:rsid w:val="00BE6138"/>
    <w:rsid w:val="00BE6BE1"/>
    <w:rsid w:val="00BF1014"/>
    <w:rsid w:val="00BF1EA6"/>
    <w:rsid w:val="00BF1F32"/>
    <w:rsid w:val="00BF3487"/>
    <w:rsid w:val="00BF3C2B"/>
    <w:rsid w:val="00BF4EBD"/>
    <w:rsid w:val="00BF4F39"/>
    <w:rsid w:val="00BF5005"/>
    <w:rsid w:val="00BF6789"/>
    <w:rsid w:val="00BF71A8"/>
    <w:rsid w:val="00BF7CA8"/>
    <w:rsid w:val="00C000E6"/>
    <w:rsid w:val="00C007BC"/>
    <w:rsid w:val="00C018FE"/>
    <w:rsid w:val="00C02ECF"/>
    <w:rsid w:val="00C04D6B"/>
    <w:rsid w:val="00C04F57"/>
    <w:rsid w:val="00C06252"/>
    <w:rsid w:val="00C062CA"/>
    <w:rsid w:val="00C10A53"/>
    <w:rsid w:val="00C114E1"/>
    <w:rsid w:val="00C11B1A"/>
    <w:rsid w:val="00C12447"/>
    <w:rsid w:val="00C136A3"/>
    <w:rsid w:val="00C137B7"/>
    <w:rsid w:val="00C142D3"/>
    <w:rsid w:val="00C15196"/>
    <w:rsid w:val="00C1558A"/>
    <w:rsid w:val="00C15A17"/>
    <w:rsid w:val="00C16717"/>
    <w:rsid w:val="00C16E65"/>
    <w:rsid w:val="00C175E8"/>
    <w:rsid w:val="00C22324"/>
    <w:rsid w:val="00C23328"/>
    <w:rsid w:val="00C234AD"/>
    <w:rsid w:val="00C24458"/>
    <w:rsid w:val="00C2451E"/>
    <w:rsid w:val="00C24695"/>
    <w:rsid w:val="00C25167"/>
    <w:rsid w:val="00C26986"/>
    <w:rsid w:val="00C26BD7"/>
    <w:rsid w:val="00C273D4"/>
    <w:rsid w:val="00C27890"/>
    <w:rsid w:val="00C30FF5"/>
    <w:rsid w:val="00C33549"/>
    <w:rsid w:val="00C338AF"/>
    <w:rsid w:val="00C33ADF"/>
    <w:rsid w:val="00C36E71"/>
    <w:rsid w:val="00C36F9D"/>
    <w:rsid w:val="00C409F2"/>
    <w:rsid w:val="00C40EFF"/>
    <w:rsid w:val="00C426BD"/>
    <w:rsid w:val="00C427EF"/>
    <w:rsid w:val="00C4498C"/>
    <w:rsid w:val="00C455DC"/>
    <w:rsid w:val="00C46569"/>
    <w:rsid w:val="00C465CD"/>
    <w:rsid w:val="00C46AD6"/>
    <w:rsid w:val="00C473A5"/>
    <w:rsid w:val="00C47EFF"/>
    <w:rsid w:val="00C50F27"/>
    <w:rsid w:val="00C52432"/>
    <w:rsid w:val="00C53861"/>
    <w:rsid w:val="00C53AA6"/>
    <w:rsid w:val="00C53DCB"/>
    <w:rsid w:val="00C55458"/>
    <w:rsid w:val="00C55A31"/>
    <w:rsid w:val="00C55FDC"/>
    <w:rsid w:val="00C561A1"/>
    <w:rsid w:val="00C57185"/>
    <w:rsid w:val="00C575DC"/>
    <w:rsid w:val="00C60031"/>
    <w:rsid w:val="00C60374"/>
    <w:rsid w:val="00C60A20"/>
    <w:rsid w:val="00C61B39"/>
    <w:rsid w:val="00C650E2"/>
    <w:rsid w:val="00C656FD"/>
    <w:rsid w:val="00C65F10"/>
    <w:rsid w:val="00C66CD5"/>
    <w:rsid w:val="00C7157A"/>
    <w:rsid w:val="00C738A5"/>
    <w:rsid w:val="00C740CD"/>
    <w:rsid w:val="00C74CE6"/>
    <w:rsid w:val="00C750F1"/>
    <w:rsid w:val="00C75439"/>
    <w:rsid w:val="00C75CB4"/>
    <w:rsid w:val="00C75D0D"/>
    <w:rsid w:val="00C76152"/>
    <w:rsid w:val="00C77695"/>
    <w:rsid w:val="00C776FC"/>
    <w:rsid w:val="00C77D07"/>
    <w:rsid w:val="00C8014F"/>
    <w:rsid w:val="00C8145F"/>
    <w:rsid w:val="00C8182A"/>
    <w:rsid w:val="00C81ABC"/>
    <w:rsid w:val="00C8459E"/>
    <w:rsid w:val="00C85444"/>
    <w:rsid w:val="00C854C6"/>
    <w:rsid w:val="00C87499"/>
    <w:rsid w:val="00C87D83"/>
    <w:rsid w:val="00C913DA"/>
    <w:rsid w:val="00C91FE6"/>
    <w:rsid w:val="00C9312C"/>
    <w:rsid w:val="00C936C7"/>
    <w:rsid w:val="00C95151"/>
    <w:rsid w:val="00C97537"/>
    <w:rsid w:val="00C975F0"/>
    <w:rsid w:val="00C97B27"/>
    <w:rsid w:val="00C97FB4"/>
    <w:rsid w:val="00CA039A"/>
    <w:rsid w:val="00CA0A07"/>
    <w:rsid w:val="00CA1260"/>
    <w:rsid w:val="00CA2106"/>
    <w:rsid w:val="00CA4107"/>
    <w:rsid w:val="00CA4761"/>
    <w:rsid w:val="00CA54D2"/>
    <w:rsid w:val="00CA6029"/>
    <w:rsid w:val="00CB1CFE"/>
    <w:rsid w:val="00CB2000"/>
    <w:rsid w:val="00CB48A6"/>
    <w:rsid w:val="00CB621C"/>
    <w:rsid w:val="00CB6371"/>
    <w:rsid w:val="00CB684E"/>
    <w:rsid w:val="00CB74F5"/>
    <w:rsid w:val="00CC02F2"/>
    <w:rsid w:val="00CC10AF"/>
    <w:rsid w:val="00CC1569"/>
    <w:rsid w:val="00CC3289"/>
    <w:rsid w:val="00CC3746"/>
    <w:rsid w:val="00CC3C36"/>
    <w:rsid w:val="00CC4FF5"/>
    <w:rsid w:val="00CC5C32"/>
    <w:rsid w:val="00CC6621"/>
    <w:rsid w:val="00CC69FA"/>
    <w:rsid w:val="00CC6A46"/>
    <w:rsid w:val="00CC6B34"/>
    <w:rsid w:val="00CC7C07"/>
    <w:rsid w:val="00CD09B4"/>
    <w:rsid w:val="00CD0E2D"/>
    <w:rsid w:val="00CD14E9"/>
    <w:rsid w:val="00CD235A"/>
    <w:rsid w:val="00CD38C7"/>
    <w:rsid w:val="00CD4661"/>
    <w:rsid w:val="00CD5446"/>
    <w:rsid w:val="00CD6EE8"/>
    <w:rsid w:val="00CD737F"/>
    <w:rsid w:val="00CD7773"/>
    <w:rsid w:val="00CE211C"/>
    <w:rsid w:val="00CE2AE1"/>
    <w:rsid w:val="00CE363D"/>
    <w:rsid w:val="00CE3C51"/>
    <w:rsid w:val="00CE691B"/>
    <w:rsid w:val="00CE6C96"/>
    <w:rsid w:val="00CE78B9"/>
    <w:rsid w:val="00CE78DD"/>
    <w:rsid w:val="00CE78E4"/>
    <w:rsid w:val="00CE7E27"/>
    <w:rsid w:val="00CF0367"/>
    <w:rsid w:val="00CF0FFC"/>
    <w:rsid w:val="00CF1A27"/>
    <w:rsid w:val="00CF237E"/>
    <w:rsid w:val="00CF24BB"/>
    <w:rsid w:val="00CF48A1"/>
    <w:rsid w:val="00CF4CDC"/>
    <w:rsid w:val="00CF4D9F"/>
    <w:rsid w:val="00CF5CD9"/>
    <w:rsid w:val="00CF67F1"/>
    <w:rsid w:val="00CF73F2"/>
    <w:rsid w:val="00CF7486"/>
    <w:rsid w:val="00CF7772"/>
    <w:rsid w:val="00D00DAC"/>
    <w:rsid w:val="00D01E73"/>
    <w:rsid w:val="00D02EC1"/>
    <w:rsid w:val="00D0314D"/>
    <w:rsid w:val="00D03A85"/>
    <w:rsid w:val="00D04E4E"/>
    <w:rsid w:val="00D05D5C"/>
    <w:rsid w:val="00D05F0E"/>
    <w:rsid w:val="00D0693F"/>
    <w:rsid w:val="00D1028B"/>
    <w:rsid w:val="00D11074"/>
    <w:rsid w:val="00D12612"/>
    <w:rsid w:val="00D13DA8"/>
    <w:rsid w:val="00D13E49"/>
    <w:rsid w:val="00D14C32"/>
    <w:rsid w:val="00D164E8"/>
    <w:rsid w:val="00D17618"/>
    <w:rsid w:val="00D17F26"/>
    <w:rsid w:val="00D20931"/>
    <w:rsid w:val="00D2120A"/>
    <w:rsid w:val="00D21D38"/>
    <w:rsid w:val="00D24844"/>
    <w:rsid w:val="00D26006"/>
    <w:rsid w:val="00D2665C"/>
    <w:rsid w:val="00D30DE7"/>
    <w:rsid w:val="00D31A22"/>
    <w:rsid w:val="00D32320"/>
    <w:rsid w:val="00D32C1E"/>
    <w:rsid w:val="00D32CD6"/>
    <w:rsid w:val="00D355AF"/>
    <w:rsid w:val="00D367F7"/>
    <w:rsid w:val="00D37527"/>
    <w:rsid w:val="00D378B4"/>
    <w:rsid w:val="00D4185E"/>
    <w:rsid w:val="00D41BB6"/>
    <w:rsid w:val="00D4242F"/>
    <w:rsid w:val="00D424F4"/>
    <w:rsid w:val="00D42CA3"/>
    <w:rsid w:val="00D4316F"/>
    <w:rsid w:val="00D44563"/>
    <w:rsid w:val="00D5132E"/>
    <w:rsid w:val="00D532A0"/>
    <w:rsid w:val="00D5337D"/>
    <w:rsid w:val="00D53670"/>
    <w:rsid w:val="00D538D9"/>
    <w:rsid w:val="00D54455"/>
    <w:rsid w:val="00D55740"/>
    <w:rsid w:val="00D57DAA"/>
    <w:rsid w:val="00D57F85"/>
    <w:rsid w:val="00D613F7"/>
    <w:rsid w:val="00D6190A"/>
    <w:rsid w:val="00D61E00"/>
    <w:rsid w:val="00D61F1F"/>
    <w:rsid w:val="00D63500"/>
    <w:rsid w:val="00D63B31"/>
    <w:rsid w:val="00D640F5"/>
    <w:rsid w:val="00D6563F"/>
    <w:rsid w:val="00D661CF"/>
    <w:rsid w:val="00D66F5E"/>
    <w:rsid w:val="00D67254"/>
    <w:rsid w:val="00D6771B"/>
    <w:rsid w:val="00D67C13"/>
    <w:rsid w:val="00D67DC9"/>
    <w:rsid w:val="00D70137"/>
    <w:rsid w:val="00D70B9C"/>
    <w:rsid w:val="00D711AF"/>
    <w:rsid w:val="00D71664"/>
    <w:rsid w:val="00D7199F"/>
    <w:rsid w:val="00D71AF2"/>
    <w:rsid w:val="00D732FA"/>
    <w:rsid w:val="00D73671"/>
    <w:rsid w:val="00D74914"/>
    <w:rsid w:val="00D75633"/>
    <w:rsid w:val="00D75821"/>
    <w:rsid w:val="00D763A3"/>
    <w:rsid w:val="00D7651E"/>
    <w:rsid w:val="00D765FC"/>
    <w:rsid w:val="00D769A5"/>
    <w:rsid w:val="00D77DDB"/>
    <w:rsid w:val="00D80AC9"/>
    <w:rsid w:val="00D80CDC"/>
    <w:rsid w:val="00D821D1"/>
    <w:rsid w:val="00D8220D"/>
    <w:rsid w:val="00D8264B"/>
    <w:rsid w:val="00D827A7"/>
    <w:rsid w:val="00D82B53"/>
    <w:rsid w:val="00D83964"/>
    <w:rsid w:val="00D83D70"/>
    <w:rsid w:val="00D861CD"/>
    <w:rsid w:val="00D870B4"/>
    <w:rsid w:val="00D8763F"/>
    <w:rsid w:val="00D8767F"/>
    <w:rsid w:val="00D879E6"/>
    <w:rsid w:val="00D9028D"/>
    <w:rsid w:val="00D90DFF"/>
    <w:rsid w:val="00D90E2B"/>
    <w:rsid w:val="00D90E59"/>
    <w:rsid w:val="00D91990"/>
    <w:rsid w:val="00D91F21"/>
    <w:rsid w:val="00D92205"/>
    <w:rsid w:val="00D935CD"/>
    <w:rsid w:val="00D9377C"/>
    <w:rsid w:val="00D94273"/>
    <w:rsid w:val="00D944A0"/>
    <w:rsid w:val="00D946E9"/>
    <w:rsid w:val="00D9480A"/>
    <w:rsid w:val="00D95BB3"/>
    <w:rsid w:val="00D9680C"/>
    <w:rsid w:val="00D968A1"/>
    <w:rsid w:val="00D969B9"/>
    <w:rsid w:val="00D976DF"/>
    <w:rsid w:val="00DA1D6D"/>
    <w:rsid w:val="00DA3C2E"/>
    <w:rsid w:val="00DA3C81"/>
    <w:rsid w:val="00DA40A7"/>
    <w:rsid w:val="00DA47F3"/>
    <w:rsid w:val="00DA63B9"/>
    <w:rsid w:val="00DA7EB6"/>
    <w:rsid w:val="00DB1859"/>
    <w:rsid w:val="00DB2502"/>
    <w:rsid w:val="00DB3262"/>
    <w:rsid w:val="00DB442A"/>
    <w:rsid w:val="00DB45CC"/>
    <w:rsid w:val="00DB521C"/>
    <w:rsid w:val="00DB74BA"/>
    <w:rsid w:val="00DB7E05"/>
    <w:rsid w:val="00DB7E41"/>
    <w:rsid w:val="00DC01BD"/>
    <w:rsid w:val="00DC1BF6"/>
    <w:rsid w:val="00DC29ED"/>
    <w:rsid w:val="00DC3A4D"/>
    <w:rsid w:val="00DC4FA6"/>
    <w:rsid w:val="00DC500F"/>
    <w:rsid w:val="00DC76AE"/>
    <w:rsid w:val="00DD0B44"/>
    <w:rsid w:val="00DD1543"/>
    <w:rsid w:val="00DD230C"/>
    <w:rsid w:val="00DD2358"/>
    <w:rsid w:val="00DD3673"/>
    <w:rsid w:val="00DD48FD"/>
    <w:rsid w:val="00DD6663"/>
    <w:rsid w:val="00DD70E1"/>
    <w:rsid w:val="00DD7714"/>
    <w:rsid w:val="00DD7D1C"/>
    <w:rsid w:val="00DE0C34"/>
    <w:rsid w:val="00DE1006"/>
    <w:rsid w:val="00DE160D"/>
    <w:rsid w:val="00DE1B4B"/>
    <w:rsid w:val="00DE27A7"/>
    <w:rsid w:val="00DE2824"/>
    <w:rsid w:val="00DE2DF3"/>
    <w:rsid w:val="00DE2F53"/>
    <w:rsid w:val="00DE3A72"/>
    <w:rsid w:val="00DE3B31"/>
    <w:rsid w:val="00DE55B4"/>
    <w:rsid w:val="00DE6B22"/>
    <w:rsid w:val="00DE6EE9"/>
    <w:rsid w:val="00DE7014"/>
    <w:rsid w:val="00DE74C8"/>
    <w:rsid w:val="00DF02D8"/>
    <w:rsid w:val="00DF0541"/>
    <w:rsid w:val="00DF09BF"/>
    <w:rsid w:val="00DF291B"/>
    <w:rsid w:val="00DF736C"/>
    <w:rsid w:val="00DF7414"/>
    <w:rsid w:val="00E00B48"/>
    <w:rsid w:val="00E00C77"/>
    <w:rsid w:val="00E027DB"/>
    <w:rsid w:val="00E02DBA"/>
    <w:rsid w:val="00E030EE"/>
    <w:rsid w:val="00E03E8B"/>
    <w:rsid w:val="00E04FB3"/>
    <w:rsid w:val="00E05073"/>
    <w:rsid w:val="00E0723B"/>
    <w:rsid w:val="00E108C3"/>
    <w:rsid w:val="00E10B33"/>
    <w:rsid w:val="00E11C55"/>
    <w:rsid w:val="00E11F03"/>
    <w:rsid w:val="00E120B9"/>
    <w:rsid w:val="00E12705"/>
    <w:rsid w:val="00E12A19"/>
    <w:rsid w:val="00E1307E"/>
    <w:rsid w:val="00E133E9"/>
    <w:rsid w:val="00E13480"/>
    <w:rsid w:val="00E13758"/>
    <w:rsid w:val="00E13799"/>
    <w:rsid w:val="00E148F3"/>
    <w:rsid w:val="00E151DA"/>
    <w:rsid w:val="00E15382"/>
    <w:rsid w:val="00E16F7C"/>
    <w:rsid w:val="00E20944"/>
    <w:rsid w:val="00E21BC2"/>
    <w:rsid w:val="00E21E67"/>
    <w:rsid w:val="00E22239"/>
    <w:rsid w:val="00E223B0"/>
    <w:rsid w:val="00E224DE"/>
    <w:rsid w:val="00E238A2"/>
    <w:rsid w:val="00E23E12"/>
    <w:rsid w:val="00E24B7F"/>
    <w:rsid w:val="00E24E4A"/>
    <w:rsid w:val="00E25120"/>
    <w:rsid w:val="00E26A6B"/>
    <w:rsid w:val="00E27844"/>
    <w:rsid w:val="00E3243B"/>
    <w:rsid w:val="00E32E58"/>
    <w:rsid w:val="00E335D8"/>
    <w:rsid w:val="00E33707"/>
    <w:rsid w:val="00E33791"/>
    <w:rsid w:val="00E33837"/>
    <w:rsid w:val="00E338E0"/>
    <w:rsid w:val="00E33E35"/>
    <w:rsid w:val="00E34005"/>
    <w:rsid w:val="00E347FA"/>
    <w:rsid w:val="00E350D7"/>
    <w:rsid w:val="00E3512D"/>
    <w:rsid w:val="00E35B31"/>
    <w:rsid w:val="00E36C7B"/>
    <w:rsid w:val="00E36C84"/>
    <w:rsid w:val="00E413AB"/>
    <w:rsid w:val="00E4170E"/>
    <w:rsid w:val="00E41A9E"/>
    <w:rsid w:val="00E43274"/>
    <w:rsid w:val="00E4665E"/>
    <w:rsid w:val="00E46893"/>
    <w:rsid w:val="00E50AC1"/>
    <w:rsid w:val="00E516F4"/>
    <w:rsid w:val="00E52985"/>
    <w:rsid w:val="00E53F38"/>
    <w:rsid w:val="00E544D8"/>
    <w:rsid w:val="00E548E0"/>
    <w:rsid w:val="00E5508D"/>
    <w:rsid w:val="00E57028"/>
    <w:rsid w:val="00E60C82"/>
    <w:rsid w:val="00E61190"/>
    <w:rsid w:val="00E63282"/>
    <w:rsid w:val="00E63DBE"/>
    <w:rsid w:val="00E63FE9"/>
    <w:rsid w:val="00E64E71"/>
    <w:rsid w:val="00E65017"/>
    <w:rsid w:val="00E66EDF"/>
    <w:rsid w:val="00E6738C"/>
    <w:rsid w:val="00E673C4"/>
    <w:rsid w:val="00E678D3"/>
    <w:rsid w:val="00E70263"/>
    <w:rsid w:val="00E70644"/>
    <w:rsid w:val="00E7159D"/>
    <w:rsid w:val="00E72036"/>
    <w:rsid w:val="00E73E35"/>
    <w:rsid w:val="00E740D3"/>
    <w:rsid w:val="00E766BD"/>
    <w:rsid w:val="00E7776F"/>
    <w:rsid w:val="00E80553"/>
    <w:rsid w:val="00E807BA"/>
    <w:rsid w:val="00E80F7E"/>
    <w:rsid w:val="00E8164C"/>
    <w:rsid w:val="00E824B5"/>
    <w:rsid w:val="00E82B5F"/>
    <w:rsid w:val="00E82D3E"/>
    <w:rsid w:val="00E83210"/>
    <w:rsid w:val="00E83931"/>
    <w:rsid w:val="00E854D1"/>
    <w:rsid w:val="00E86C37"/>
    <w:rsid w:val="00E90D94"/>
    <w:rsid w:val="00E91219"/>
    <w:rsid w:val="00E91F69"/>
    <w:rsid w:val="00E92D69"/>
    <w:rsid w:val="00E92E2B"/>
    <w:rsid w:val="00E93B4E"/>
    <w:rsid w:val="00E945AD"/>
    <w:rsid w:val="00E95194"/>
    <w:rsid w:val="00E95A14"/>
    <w:rsid w:val="00E96F65"/>
    <w:rsid w:val="00E97C94"/>
    <w:rsid w:val="00EA099C"/>
    <w:rsid w:val="00EA10DE"/>
    <w:rsid w:val="00EA1FDA"/>
    <w:rsid w:val="00EA29E0"/>
    <w:rsid w:val="00EA3034"/>
    <w:rsid w:val="00EA49B8"/>
    <w:rsid w:val="00EA52D5"/>
    <w:rsid w:val="00EA5BBB"/>
    <w:rsid w:val="00EA5EC8"/>
    <w:rsid w:val="00EA6A83"/>
    <w:rsid w:val="00EB10A7"/>
    <w:rsid w:val="00EB2328"/>
    <w:rsid w:val="00EB2DE1"/>
    <w:rsid w:val="00EB33CE"/>
    <w:rsid w:val="00EB37FC"/>
    <w:rsid w:val="00EB4439"/>
    <w:rsid w:val="00EB48A2"/>
    <w:rsid w:val="00EB6634"/>
    <w:rsid w:val="00EB6DE7"/>
    <w:rsid w:val="00EB71F5"/>
    <w:rsid w:val="00EC0AE0"/>
    <w:rsid w:val="00EC0BB7"/>
    <w:rsid w:val="00EC3F00"/>
    <w:rsid w:val="00EC43AA"/>
    <w:rsid w:val="00EC6890"/>
    <w:rsid w:val="00EC72A4"/>
    <w:rsid w:val="00ED1D25"/>
    <w:rsid w:val="00ED694A"/>
    <w:rsid w:val="00ED6C13"/>
    <w:rsid w:val="00ED76D9"/>
    <w:rsid w:val="00ED7949"/>
    <w:rsid w:val="00EE0225"/>
    <w:rsid w:val="00EE0DDA"/>
    <w:rsid w:val="00EE2A51"/>
    <w:rsid w:val="00EE2F4D"/>
    <w:rsid w:val="00EE3F53"/>
    <w:rsid w:val="00EE4722"/>
    <w:rsid w:val="00EE4AD4"/>
    <w:rsid w:val="00EE5409"/>
    <w:rsid w:val="00EE5CAF"/>
    <w:rsid w:val="00EF4BA3"/>
    <w:rsid w:val="00EF590D"/>
    <w:rsid w:val="00EF6324"/>
    <w:rsid w:val="00EF71FF"/>
    <w:rsid w:val="00EF7CA9"/>
    <w:rsid w:val="00F00607"/>
    <w:rsid w:val="00F01F8C"/>
    <w:rsid w:val="00F02295"/>
    <w:rsid w:val="00F02850"/>
    <w:rsid w:val="00F02D08"/>
    <w:rsid w:val="00F046BE"/>
    <w:rsid w:val="00F060A4"/>
    <w:rsid w:val="00F060F2"/>
    <w:rsid w:val="00F06124"/>
    <w:rsid w:val="00F071F3"/>
    <w:rsid w:val="00F07523"/>
    <w:rsid w:val="00F07A75"/>
    <w:rsid w:val="00F10710"/>
    <w:rsid w:val="00F127F3"/>
    <w:rsid w:val="00F12BF7"/>
    <w:rsid w:val="00F12CBF"/>
    <w:rsid w:val="00F1326E"/>
    <w:rsid w:val="00F13626"/>
    <w:rsid w:val="00F155B4"/>
    <w:rsid w:val="00F15D39"/>
    <w:rsid w:val="00F16B10"/>
    <w:rsid w:val="00F2227B"/>
    <w:rsid w:val="00F22598"/>
    <w:rsid w:val="00F231AB"/>
    <w:rsid w:val="00F24BB1"/>
    <w:rsid w:val="00F27476"/>
    <w:rsid w:val="00F27C51"/>
    <w:rsid w:val="00F304EE"/>
    <w:rsid w:val="00F31887"/>
    <w:rsid w:val="00F31E20"/>
    <w:rsid w:val="00F331FA"/>
    <w:rsid w:val="00F341AE"/>
    <w:rsid w:val="00F34AA1"/>
    <w:rsid w:val="00F35671"/>
    <w:rsid w:val="00F35A86"/>
    <w:rsid w:val="00F35B7D"/>
    <w:rsid w:val="00F36FAB"/>
    <w:rsid w:val="00F370F1"/>
    <w:rsid w:val="00F3737E"/>
    <w:rsid w:val="00F37F90"/>
    <w:rsid w:val="00F400C4"/>
    <w:rsid w:val="00F40538"/>
    <w:rsid w:val="00F405D8"/>
    <w:rsid w:val="00F416BD"/>
    <w:rsid w:val="00F41CA3"/>
    <w:rsid w:val="00F41E90"/>
    <w:rsid w:val="00F43005"/>
    <w:rsid w:val="00F456C4"/>
    <w:rsid w:val="00F46B42"/>
    <w:rsid w:val="00F4710F"/>
    <w:rsid w:val="00F47F02"/>
    <w:rsid w:val="00F51932"/>
    <w:rsid w:val="00F52EF0"/>
    <w:rsid w:val="00F53A81"/>
    <w:rsid w:val="00F54426"/>
    <w:rsid w:val="00F54732"/>
    <w:rsid w:val="00F5644B"/>
    <w:rsid w:val="00F56D63"/>
    <w:rsid w:val="00F57D8D"/>
    <w:rsid w:val="00F60E88"/>
    <w:rsid w:val="00F60EA0"/>
    <w:rsid w:val="00F62568"/>
    <w:rsid w:val="00F63946"/>
    <w:rsid w:val="00F651D6"/>
    <w:rsid w:val="00F66AD8"/>
    <w:rsid w:val="00F725CC"/>
    <w:rsid w:val="00F72BA3"/>
    <w:rsid w:val="00F7329D"/>
    <w:rsid w:val="00F73AD7"/>
    <w:rsid w:val="00F73B29"/>
    <w:rsid w:val="00F73FB6"/>
    <w:rsid w:val="00F757F6"/>
    <w:rsid w:val="00F7595F"/>
    <w:rsid w:val="00F765D1"/>
    <w:rsid w:val="00F7741C"/>
    <w:rsid w:val="00F80B00"/>
    <w:rsid w:val="00F80C2E"/>
    <w:rsid w:val="00F80DB2"/>
    <w:rsid w:val="00F81097"/>
    <w:rsid w:val="00F8152D"/>
    <w:rsid w:val="00F823B7"/>
    <w:rsid w:val="00F82B69"/>
    <w:rsid w:val="00F84E09"/>
    <w:rsid w:val="00F85631"/>
    <w:rsid w:val="00F86321"/>
    <w:rsid w:val="00F86FC2"/>
    <w:rsid w:val="00F91188"/>
    <w:rsid w:val="00F914CB"/>
    <w:rsid w:val="00F91819"/>
    <w:rsid w:val="00F9546C"/>
    <w:rsid w:val="00F96CCD"/>
    <w:rsid w:val="00F96CF9"/>
    <w:rsid w:val="00F974A1"/>
    <w:rsid w:val="00F97B5E"/>
    <w:rsid w:val="00F97B72"/>
    <w:rsid w:val="00FA0C6D"/>
    <w:rsid w:val="00FA0CA0"/>
    <w:rsid w:val="00FA0F93"/>
    <w:rsid w:val="00FA10A8"/>
    <w:rsid w:val="00FA1111"/>
    <w:rsid w:val="00FA1427"/>
    <w:rsid w:val="00FA26C8"/>
    <w:rsid w:val="00FA2DB5"/>
    <w:rsid w:val="00FA32DD"/>
    <w:rsid w:val="00FA45BA"/>
    <w:rsid w:val="00FA4829"/>
    <w:rsid w:val="00FA4BED"/>
    <w:rsid w:val="00FA5296"/>
    <w:rsid w:val="00FA670E"/>
    <w:rsid w:val="00FA6C76"/>
    <w:rsid w:val="00FA7086"/>
    <w:rsid w:val="00FB0FB5"/>
    <w:rsid w:val="00FB184E"/>
    <w:rsid w:val="00FB1F93"/>
    <w:rsid w:val="00FB2A35"/>
    <w:rsid w:val="00FB324A"/>
    <w:rsid w:val="00FB3267"/>
    <w:rsid w:val="00FB48DF"/>
    <w:rsid w:val="00FB54DB"/>
    <w:rsid w:val="00FB5972"/>
    <w:rsid w:val="00FB632F"/>
    <w:rsid w:val="00FB748F"/>
    <w:rsid w:val="00FC0963"/>
    <w:rsid w:val="00FC2AB9"/>
    <w:rsid w:val="00FC369C"/>
    <w:rsid w:val="00FC3BAF"/>
    <w:rsid w:val="00FC5824"/>
    <w:rsid w:val="00FC5AFE"/>
    <w:rsid w:val="00FC5D22"/>
    <w:rsid w:val="00FC6002"/>
    <w:rsid w:val="00FD01BA"/>
    <w:rsid w:val="00FD0CA5"/>
    <w:rsid w:val="00FD17BA"/>
    <w:rsid w:val="00FD4012"/>
    <w:rsid w:val="00FD5A0C"/>
    <w:rsid w:val="00FD606E"/>
    <w:rsid w:val="00FD7B75"/>
    <w:rsid w:val="00FE1195"/>
    <w:rsid w:val="00FE1868"/>
    <w:rsid w:val="00FE1F9B"/>
    <w:rsid w:val="00FE20F3"/>
    <w:rsid w:val="00FE45E5"/>
    <w:rsid w:val="00FE4D45"/>
    <w:rsid w:val="00FE5279"/>
    <w:rsid w:val="00FE5412"/>
    <w:rsid w:val="00FE6874"/>
    <w:rsid w:val="00FE6ACC"/>
    <w:rsid w:val="00FE7064"/>
    <w:rsid w:val="00FE71EC"/>
    <w:rsid w:val="00FF0084"/>
    <w:rsid w:val="00FF05FE"/>
    <w:rsid w:val="00FF094D"/>
    <w:rsid w:val="00FF1F88"/>
    <w:rsid w:val="00FF3315"/>
    <w:rsid w:val="00FF3336"/>
    <w:rsid w:val="00FF4840"/>
    <w:rsid w:val="00FF4F25"/>
    <w:rsid w:val="00FF5A7C"/>
    <w:rsid w:val="00FF5F77"/>
    <w:rsid w:val="00FF6B57"/>
    <w:rsid w:val="00FF7F91"/>
    <w:rsid w:val="0107437C"/>
    <w:rsid w:val="01254ECA"/>
    <w:rsid w:val="013A1E5D"/>
    <w:rsid w:val="01B036EA"/>
    <w:rsid w:val="01DA2D06"/>
    <w:rsid w:val="0293726D"/>
    <w:rsid w:val="02B80216"/>
    <w:rsid w:val="02B850E0"/>
    <w:rsid w:val="02BA55A5"/>
    <w:rsid w:val="03130EE3"/>
    <w:rsid w:val="03187A90"/>
    <w:rsid w:val="032D2B4E"/>
    <w:rsid w:val="035B792A"/>
    <w:rsid w:val="03F2214E"/>
    <w:rsid w:val="042E5D0C"/>
    <w:rsid w:val="04C45905"/>
    <w:rsid w:val="04F55751"/>
    <w:rsid w:val="0573248A"/>
    <w:rsid w:val="06CE68DF"/>
    <w:rsid w:val="079C35FC"/>
    <w:rsid w:val="07DB0BF3"/>
    <w:rsid w:val="082171DA"/>
    <w:rsid w:val="08C53285"/>
    <w:rsid w:val="092A6705"/>
    <w:rsid w:val="09395F3E"/>
    <w:rsid w:val="0A694F0D"/>
    <w:rsid w:val="0B9A267C"/>
    <w:rsid w:val="0CA60FE3"/>
    <w:rsid w:val="0CF74215"/>
    <w:rsid w:val="0D2964EB"/>
    <w:rsid w:val="0D35413B"/>
    <w:rsid w:val="0D3F493B"/>
    <w:rsid w:val="0D510EE5"/>
    <w:rsid w:val="0D5D1C86"/>
    <w:rsid w:val="0E1135B8"/>
    <w:rsid w:val="0E8465F4"/>
    <w:rsid w:val="0E927B6D"/>
    <w:rsid w:val="0EB50EEF"/>
    <w:rsid w:val="0EDE4455"/>
    <w:rsid w:val="0EF22AE4"/>
    <w:rsid w:val="0F0F4736"/>
    <w:rsid w:val="0F4320BD"/>
    <w:rsid w:val="103320D0"/>
    <w:rsid w:val="107A50A7"/>
    <w:rsid w:val="10D82889"/>
    <w:rsid w:val="11313AFF"/>
    <w:rsid w:val="114E4E24"/>
    <w:rsid w:val="11567CCE"/>
    <w:rsid w:val="12515F59"/>
    <w:rsid w:val="12F42BCB"/>
    <w:rsid w:val="13332891"/>
    <w:rsid w:val="13BC6BE3"/>
    <w:rsid w:val="141C411B"/>
    <w:rsid w:val="148176FD"/>
    <w:rsid w:val="15B31457"/>
    <w:rsid w:val="16034057"/>
    <w:rsid w:val="16111176"/>
    <w:rsid w:val="16D46F0E"/>
    <w:rsid w:val="16E87423"/>
    <w:rsid w:val="17A54C03"/>
    <w:rsid w:val="19A33895"/>
    <w:rsid w:val="1A006D57"/>
    <w:rsid w:val="1CC35FBB"/>
    <w:rsid w:val="1DF37C19"/>
    <w:rsid w:val="1E5B61CE"/>
    <w:rsid w:val="1E820121"/>
    <w:rsid w:val="1E8967F2"/>
    <w:rsid w:val="1F330C9F"/>
    <w:rsid w:val="200911CE"/>
    <w:rsid w:val="21843F56"/>
    <w:rsid w:val="2200200E"/>
    <w:rsid w:val="224A51CD"/>
    <w:rsid w:val="22BF327D"/>
    <w:rsid w:val="233B239E"/>
    <w:rsid w:val="23C768B6"/>
    <w:rsid w:val="24595AE5"/>
    <w:rsid w:val="24963A82"/>
    <w:rsid w:val="24D3646B"/>
    <w:rsid w:val="24D43B61"/>
    <w:rsid w:val="24D773EC"/>
    <w:rsid w:val="25453918"/>
    <w:rsid w:val="25DE3B0A"/>
    <w:rsid w:val="2660783A"/>
    <w:rsid w:val="26861129"/>
    <w:rsid w:val="28086284"/>
    <w:rsid w:val="282A2387"/>
    <w:rsid w:val="286F7C76"/>
    <w:rsid w:val="289059BF"/>
    <w:rsid w:val="28A24F1B"/>
    <w:rsid w:val="28C332ED"/>
    <w:rsid w:val="29E00C91"/>
    <w:rsid w:val="2AD95CCC"/>
    <w:rsid w:val="2B080EDD"/>
    <w:rsid w:val="2B204686"/>
    <w:rsid w:val="2B34492F"/>
    <w:rsid w:val="2C1B7E68"/>
    <w:rsid w:val="2C334600"/>
    <w:rsid w:val="2C7874B1"/>
    <w:rsid w:val="2D442B46"/>
    <w:rsid w:val="2E5F4781"/>
    <w:rsid w:val="2F741EBF"/>
    <w:rsid w:val="2FE858D3"/>
    <w:rsid w:val="302B06D5"/>
    <w:rsid w:val="30782B12"/>
    <w:rsid w:val="30FB318D"/>
    <w:rsid w:val="31241BDB"/>
    <w:rsid w:val="31472444"/>
    <w:rsid w:val="31542911"/>
    <w:rsid w:val="31942F80"/>
    <w:rsid w:val="31BF654C"/>
    <w:rsid w:val="31DC5421"/>
    <w:rsid w:val="32AD5A98"/>
    <w:rsid w:val="32B34905"/>
    <w:rsid w:val="32CF0E49"/>
    <w:rsid w:val="32F0499C"/>
    <w:rsid w:val="336A405C"/>
    <w:rsid w:val="342D1890"/>
    <w:rsid w:val="3509137F"/>
    <w:rsid w:val="35125609"/>
    <w:rsid w:val="35341D68"/>
    <w:rsid w:val="35D030A4"/>
    <w:rsid w:val="36016248"/>
    <w:rsid w:val="364C317E"/>
    <w:rsid w:val="36F7289A"/>
    <w:rsid w:val="37D1071F"/>
    <w:rsid w:val="380926DD"/>
    <w:rsid w:val="38172D49"/>
    <w:rsid w:val="386C75FF"/>
    <w:rsid w:val="390C013F"/>
    <w:rsid w:val="39A93E39"/>
    <w:rsid w:val="3A611754"/>
    <w:rsid w:val="3B5419A7"/>
    <w:rsid w:val="3C853F1C"/>
    <w:rsid w:val="3CBD5B44"/>
    <w:rsid w:val="3CCD6091"/>
    <w:rsid w:val="3CCD6E91"/>
    <w:rsid w:val="3CF27791"/>
    <w:rsid w:val="3CFA45ED"/>
    <w:rsid w:val="3D460A34"/>
    <w:rsid w:val="3DDF2859"/>
    <w:rsid w:val="40AE33B4"/>
    <w:rsid w:val="418C7217"/>
    <w:rsid w:val="41A93EC6"/>
    <w:rsid w:val="425F11B5"/>
    <w:rsid w:val="426B589D"/>
    <w:rsid w:val="42F67A0B"/>
    <w:rsid w:val="43000B49"/>
    <w:rsid w:val="43286A88"/>
    <w:rsid w:val="434B0908"/>
    <w:rsid w:val="44065E25"/>
    <w:rsid w:val="44517D4A"/>
    <w:rsid w:val="446A581C"/>
    <w:rsid w:val="454D1E82"/>
    <w:rsid w:val="45856D49"/>
    <w:rsid w:val="45F52C70"/>
    <w:rsid w:val="46307AEF"/>
    <w:rsid w:val="464676A1"/>
    <w:rsid w:val="46A634F2"/>
    <w:rsid w:val="48510BD3"/>
    <w:rsid w:val="48F607C2"/>
    <w:rsid w:val="4A0E55F8"/>
    <w:rsid w:val="4AE02F6B"/>
    <w:rsid w:val="4C091B3D"/>
    <w:rsid w:val="4C441290"/>
    <w:rsid w:val="4CF35C20"/>
    <w:rsid w:val="4D787807"/>
    <w:rsid w:val="4E2E70D5"/>
    <w:rsid w:val="4E3E4542"/>
    <w:rsid w:val="4E9F661C"/>
    <w:rsid w:val="4F2B1E30"/>
    <w:rsid w:val="4F4449E8"/>
    <w:rsid w:val="4FA75A56"/>
    <w:rsid w:val="50654544"/>
    <w:rsid w:val="5125254A"/>
    <w:rsid w:val="51C2188B"/>
    <w:rsid w:val="52FA6CC9"/>
    <w:rsid w:val="537128EB"/>
    <w:rsid w:val="538D31E9"/>
    <w:rsid w:val="53BC3A52"/>
    <w:rsid w:val="55217F03"/>
    <w:rsid w:val="553045F8"/>
    <w:rsid w:val="55543D00"/>
    <w:rsid w:val="55A97372"/>
    <w:rsid w:val="55CA71B9"/>
    <w:rsid w:val="561741E7"/>
    <w:rsid w:val="56EB59B9"/>
    <w:rsid w:val="58240BF2"/>
    <w:rsid w:val="582D7E30"/>
    <w:rsid w:val="583A1153"/>
    <w:rsid w:val="58D942C0"/>
    <w:rsid w:val="594453FD"/>
    <w:rsid w:val="5A322B4A"/>
    <w:rsid w:val="5A4F06DB"/>
    <w:rsid w:val="5A9B5FA0"/>
    <w:rsid w:val="5B1909C7"/>
    <w:rsid w:val="5B4F7D05"/>
    <w:rsid w:val="5C4C698F"/>
    <w:rsid w:val="5DAB5B74"/>
    <w:rsid w:val="5EAB13CA"/>
    <w:rsid w:val="5EB44CDD"/>
    <w:rsid w:val="5EB81FFB"/>
    <w:rsid w:val="5F7B6651"/>
    <w:rsid w:val="5F944039"/>
    <w:rsid w:val="5F9C3975"/>
    <w:rsid w:val="5FF81F73"/>
    <w:rsid w:val="607F1367"/>
    <w:rsid w:val="60ED7350"/>
    <w:rsid w:val="60F6452F"/>
    <w:rsid w:val="60FC5E3D"/>
    <w:rsid w:val="61305953"/>
    <w:rsid w:val="61F63CD3"/>
    <w:rsid w:val="61F72785"/>
    <w:rsid w:val="62406DE0"/>
    <w:rsid w:val="626F3413"/>
    <w:rsid w:val="629765A9"/>
    <w:rsid w:val="64135E04"/>
    <w:rsid w:val="6477313A"/>
    <w:rsid w:val="648A69ED"/>
    <w:rsid w:val="64B67BE7"/>
    <w:rsid w:val="665D601E"/>
    <w:rsid w:val="669B4986"/>
    <w:rsid w:val="67717BBE"/>
    <w:rsid w:val="67E332A1"/>
    <w:rsid w:val="680C4BBE"/>
    <w:rsid w:val="685F3F6A"/>
    <w:rsid w:val="68717D68"/>
    <w:rsid w:val="68E563A4"/>
    <w:rsid w:val="693B4EA8"/>
    <w:rsid w:val="69CC731C"/>
    <w:rsid w:val="6A851B00"/>
    <w:rsid w:val="6AD51554"/>
    <w:rsid w:val="6B937D00"/>
    <w:rsid w:val="6C2361B3"/>
    <w:rsid w:val="6CCB00A5"/>
    <w:rsid w:val="6D27495E"/>
    <w:rsid w:val="6DEB5A94"/>
    <w:rsid w:val="6EAD7848"/>
    <w:rsid w:val="6EC679C7"/>
    <w:rsid w:val="6FC8087F"/>
    <w:rsid w:val="70D00FBA"/>
    <w:rsid w:val="715B1235"/>
    <w:rsid w:val="720F4108"/>
    <w:rsid w:val="72290770"/>
    <w:rsid w:val="737A5C66"/>
    <w:rsid w:val="74ED140B"/>
    <w:rsid w:val="75F479B7"/>
    <w:rsid w:val="762D2658"/>
    <w:rsid w:val="76472C11"/>
    <w:rsid w:val="76EE3581"/>
    <w:rsid w:val="770E6AAE"/>
    <w:rsid w:val="77264AC1"/>
    <w:rsid w:val="772F4EF0"/>
    <w:rsid w:val="77BC5572"/>
    <w:rsid w:val="78411E39"/>
    <w:rsid w:val="78E404CD"/>
    <w:rsid w:val="7AFB28FA"/>
    <w:rsid w:val="7B1562E1"/>
    <w:rsid w:val="7CD018B5"/>
    <w:rsid w:val="7CDE0391"/>
    <w:rsid w:val="7E18194B"/>
    <w:rsid w:val="7E9B3045"/>
    <w:rsid w:val="7EAB0C05"/>
    <w:rsid w:val="7EF46F04"/>
    <w:rsid w:val="7F63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6"/>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link w:val="57"/>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58"/>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0"/>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2"/>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3"/>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13">
    <w:name w:val="Normal Indent"/>
    <w:basedOn w:val="1"/>
    <w:next w:val="1"/>
    <w:link w:val="65"/>
    <w:qFormat/>
    <w:uiPriority w:val="0"/>
    <w:pPr>
      <w:ind w:firstLine="420"/>
    </w:pPr>
  </w:style>
  <w:style w:type="paragraph" w:styleId="14">
    <w:name w:val="index 5"/>
    <w:basedOn w:val="1"/>
    <w:next w:val="1"/>
    <w:qFormat/>
    <w:uiPriority w:val="0"/>
    <w:pPr>
      <w:ind w:left="1680"/>
    </w:pPr>
  </w:style>
  <w:style w:type="paragraph" w:styleId="15">
    <w:name w:val="Document Map"/>
    <w:basedOn w:val="1"/>
    <w:link w:val="66"/>
    <w:qFormat/>
    <w:uiPriority w:val="99"/>
    <w:rPr>
      <w:rFonts w:ascii="宋体"/>
      <w:sz w:val="18"/>
      <w:szCs w:val="18"/>
    </w:rPr>
  </w:style>
  <w:style w:type="paragraph" w:styleId="16">
    <w:name w:val="toa heading"/>
    <w:basedOn w:val="1"/>
    <w:next w:val="1"/>
    <w:qFormat/>
    <w:uiPriority w:val="0"/>
    <w:pPr>
      <w:spacing w:before="120"/>
    </w:pPr>
    <w:rPr>
      <w:rFonts w:ascii="Arial" w:hAnsi="Arial"/>
    </w:rPr>
  </w:style>
  <w:style w:type="paragraph" w:styleId="17">
    <w:name w:val="annotation text"/>
    <w:basedOn w:val="1"/>
    <w:link w:val="67"/>
    <w:qFormat/>
    <w:uiPriority w:val="0"/>
    <w:pPr>
      <w:jc w:val="left"/>
    </w:pPr>
    <w:rPr>
      <w:rFonts w:ascii="Times New Roman" w:hAnsi="Times New Roman"/>
      <w:szCs w:val="20"/>
    </w:rPr>
  </w:style>
  <w:style w:type="paragraph" w:styleId="18">
    <w:name w:val="Body Text 3"/>
    <w:basedOn w:val="1"/>
    <w:link w:val="68"/>
    <w:qFormat/>
    <w:uiPriority w:val="0"/>
    <w:rPr>
      <w:rFonts w:ascii="宋体"/>
      <w:sz w:val="24"/>
      <w:szCs w:val="20"/>
    </w:rPr>
  </w:style>
  <w:style w:type="paragraph" w:styleId="19">
    <w:name w:val="Body Text"/>
    <w:basedOn w:val="1"/>
    <w:next w:val="1"/>
    <w:link w:val="69"/>
    <w:unhideWhenUsed/>
    <w:qFormat/>
    <w:uiPriority w:val="0"/>
    <w:pPr>
      <w:spacing w:after="120"/>
    </w:pPr>
    <w:rPr>
      <w:rFonts w:ascii="Times New Roman" w:hAnsi="Times New Roman"/>
      <w:szCs w:val="20"/>
    </w:rPr>
  </w:style>
  <w:style w:type="paragraph" w:styleId="20">
    <w:name w:val="Body Text Indent"/>
    <w:basedOn w:val="1"/>
    <w:next w:val="21"/>
    <w:link w:val="55"/>
    <w:qFormat/>
    <w:uiPriority w:val="0"/>
    <w:pPr>
      <w:spacing w:after="120"/>
      <w:ind w:left="420" w:leftChars="200"/>
    </w:pPr>
    <w:rPr>
      <w:rFonts w:ascii="Times New Roman" w:hAnsi="Times New Roman"/>
      <w:szCs w:val="20"/>
    </w:rPr>
  </w:style>
  <w:style w:type="paragraph" w:styleId="21">
    <w:name w:val="envelope return"/>
    <w:basedOn w:val="1"/>
    <w:qFormat/>
    <w:uiPriority w:val="0"/>
    <w:pPr>
      <w:snapToGrid w:val="0"/>
    </w:pPr>
    <w:rPr>
      <w:rFonts w:ascii="Arial" w:hAnsi="Arial"/>
      <w:szCs w:val="24"/>
    </w:rPr>
  </w:style>
  <w:style w:type="paragraph" w:styleId="22">
    <w:name w:val="toc 5"/>
    <w:basedOn w:val="1"/>
    <w:next w:val="1"/>
    <w:qFormat/>
    <w:uiPriority w:val="39"/>
    <w:pPr>
      <w:ind w:left="800" w:leftChars="800"/>
    </w:pPr>
  </w:style>
  <w:style w:type="paragraph" w:styleId="23">
    <w:name w:val="toc 3"/>
    <w:basedOn w:val="1"/>
    <w:next w:val="1"/>
    <w:qFormat/>
    <w:uiPriority w:val="0"/>
    <w:pPr>
      <w:ind w:left="400" w:leftChars="400"/>
    </w:pPr>
  </w:style>
  <w:style w:type="paragraph" w:styleId="24">
    <w:name w:val="Plain Text"/>
    <w:basedOn w:val="1"/>
    <w:next w:val="1"/>
    <w:link w:val="70"/>
    <w:qFormat/>
    <w:uiPriority w:val="0"/>
    <w:rPr>
      <w:rFonts w:ascii="宋体"/>
    </w:rPr>
  </w:style>
  <w:style w:type="paragraph" w:styleId="25">
    <w:name w:val="toc 8"/>
    <w:basedOn w:val="1"/>
    <w:next w:val="1"/>
    <w:qFormat/>
    <w:uiPriority w:val="39"/>
    <w:pPr>
      <w:ind w:left="1400" w:leftChars="1400"/>
    </w:pPr>
  </w:style>
  <w:style w:type="paragraph" w:styleId="26">
    <w:name w:val="Date"/>
    <w:basedOn w:val="1"/>
    <w:next w:val="1"/>
    <w:link w:val="71"/>
    <w:qFormat/>
    <w:uiPriority w:val="0"/>
    <w:pPr>
      <w:ind w:left="2500" w:leftChars="2500"/>
    </w:pPr>
    <w:rPr>
      <w:rFonts w:ascii="Times New Roman" w:hAnsi="Times New Roman"/>
      <w:szCs w:val="20"/>
    </w:rPr>
  </w:style>
  <w:style w:type="paragraph" w:styleId="27">
    <w:name w:val="Body Text Indent 2"/>
    <w:basedOn w:val="1"/>
    <w:link w:val="72"/>
    <w:unhideWhenUsed/>
    <w:qFormat/>
    <w:uiPriority w:val="0"/>
    <w:pPr>
      <w:spacing w:after="120" w:line="480" w:lineRule="auto"/>
      <w:ind w:left="420" w:leftChars="200"/>
    </w:pPr>
  </w:style>
  <w:style w:type="paragraph" w:styleId="28">
    <w:name w:val="Balloon Text"/>
    <w:basedOn w:val="1"/>
    <w:link w:val="73"/>
    <w:qFormat/>
    <w:uiPriority w:val="0"/>
    <w:rPr>
      <w:rFonts w:ascii="Times New Roman" w:hAnsi="Times New Roman"/>
      <w:sz w:val="18"/>
      <w:szCs w:val="20"/>
    </w:rPr>
  </w:style>
  <w:style w:type="paragraph" w:styleId="29">
    <w:name w:val="footer"/>
    <w:basedOn w:val="1"/>
    <w:link w:val="74"/>
    <w:qFormat/>
    <w:uiPriority w:val="99"/>
    <w:pPr>
      <w:tabs>
        <w:tab w:val="center" w:pos="4153"/>
        <w:tab w:val="right" w:pos="8306"/>
      </w:tabs>
      <w:snapToGrid w:val="0"/>
      <w:jc w:val="left"/>
    </w:pPr>
    <w:rPr>
      <w:sz w:val="18"/>
    </w:rPr>
  </w:style>
  <w:style w:type="paragraph" w:styleId="30">
    <w:name w:val="header"/>
    <w:basedOn w:val="1"/>
    <w:link w:val="75"/>
    <w:qFormat/>
    <w:uiPriority w:val="99"/>
    <w:pPr>
      <w:tabs>
        <w:tab w:val="center" w:pos="4153"/>
        <w:tab w:val="right" w:pos="8306"/>
      </w:tabs>
      <w:snapToGrid w:val="0"/>
    </w:pPr>
    <w:rPr>
      <w:rFonts w:ascii="Times New Roman" w:hAnsi="Times New Roman"/>
      <w:sz w:val="18"/>
      <w:szCs w:val="20"/>
    </w:rPr>
  </w:style>
  <w:style w:type="paragraph" w:styleId="31">
    <w:name w:val="toc 1"/>
    <w:basedOn w:val="1"/>
    <w:next w:val="1"/>
    <w:qFormat/>
    <w:uiPriority w:val="0"/>
  </w:style>
  <w:style w:type="paragraph" w:styleId="32">
    <w:name w:val="toc 4"/>
    <w:basedOn w:val="1"/>
    <w:next w:val="1"/>
    <w:qFormat/>
    <w:uiPriority w:val="39"/>
    <w:pPr>
      <w:ind w:left="600" w:leftChars="600"/>
    </w:pPr>
  </w:style>
  <w:style w:type="paragraph" w:styleId="33">
    <w:name w:val="Subtitle"/>
    <w:basedOn w:val="1"/>
    <w:next w:val="1"/>
    <w:link w:val="76"/>
    <w:qFormat/>
    <w:uiPriority w:val="11"/>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qFormat/>
    <w:uiPriority w:val="39"/>
    <w:pPr>
      <w:ind w:left="1000" w:leftChars="1000"/>
    </w:pPr>
  </w:style>
  <w:style w:type="paragraph" w:styleId="35">
    <w:name w:val="List 5"/>
    <w:basedOn w:val="1"/>
    <w:qFormat/>
    <w:uiPriority w:val="0"/>
    <w:pPr>
      <w:spacing w:line="360" w:lineRule="auto"/>
      <w:ind w:left="2100" w:hanging="420"/>
      <w:jc w:val="left"/>
    </w:pPr>
    <w:rPr>
      <w:rFonts w:ascii="Times New Roman" w:hAnsi="Times New Roman"/>
      <w:sz w:val="24"/>
      <w:szCs w:val="20"/>
    </w:rPr>
  </w:style>
  <w:style w:type="paragraph" w:styleId="36">
    <w:name w:val="Body Text Indent 3"/>
    <w:basedOn w:val="1"/>
    <w:link w:val="77"/>
    <w:qFormat/>
    <w:uiPriority w:val="0"/>
    <w:pPr>
      <w:spacing w:after="120"/>
      <w:ind w:left="200" w:leftChars="200"/>
    </w:pPr>
    <w:rPr>
      <w:sz w:val="16"/>
      <w:szCs w:val="16"/>
    </w:rPr>
  </w:style>
  <w:style w:type="paragraph" w:styleId="37">
    <w:name w:val="toc 2"/>
    <w:basedOn w:val="1"/>
    <w:next w:val="1"/>
    <w:qFormat/>
    <w:uiPriority w:val="0"/>
    <w:pPr>
      <w:ind w:left="200" w:leftChars="200"/>
    </w:pPr>
  </w:style>
  <w:style w:type="paragraph" w:styleId="38">
    <w:name w:val="toc 9"/>
    <w:basedOn w:val="1"/>
    <w:next w:val="1"/>
    <w:qFormat/>
    <w:uiPriority w:val="39"/>
    <w:pPr>
      <w:ind w:left="1600" w:leftChars="1600"/>
    </w:pPr>
  </w:style>
  <w:style w:type="paragraph" w:styleId="39">
    <w:name w:val="Body Text 2"/>
    <w:basedOn w:val="1"/>
    <w:link w:val="78"/>
    <w:qFormat/>
    <w:uiPriority w:val="0"/>
    <w:pPr>
      <w:spacing w:after="120" w:line="480" w:lineRule="auto"/>
      <w:jc w:val="left"/>
    </w:pPr>
    <w:rPr>
      <w:rFonts w:ascii="Times New Roman" w:hAnsi="Times New Roman"/>
      <w:sz w:val="24"/>
      <w:szCs w:val="24"/>
    </w:rPr>
  </w:style>
  <w:style w:type="paragraph" w:styleId="40">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41">
    <w:name w:val="index 1"/>
    <w:basedOn w:val="1"/>
    <w:next w:val="1"/>
    <w:qFormat/>
    <w:uiPriority w:val="0"/>
    <w:pPr>
      <w:spacing w:line="220" w:lineRule="exact"/>
      <w:jc w:val="center"/>
    </w:pPr>
    <w:rPr>
      <w:rFonts w:ascii="仿宋_GB2312" w:hAnsi="Times New Roman" w:eastAsia="仿宋_GB2312"/>
      <w:szCs w:val="21"/>
    </w:rPr>
  </w:style>
  <w:style w:type="paragraph" w:styleId="42">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80"/>
    <w:qFormat/>
    <w:uiPriority w:val="0"/>
  </w:style>
  <w:style w:type="paragraph" w:styleId="44">
    <w:name w:val="Body Text First Indent"/>
    <w:basedOn w:val="19"/>
    <w:link w:val="81"/>
    <w:qFormat/>
    <w:uiPriority w:val="99"/>
    <w:pPr>
      <w:spacing w:line="312" w:lineRule="auto"/>
      <w:ind w:firstLine="420"/>
    </w:pPr>
    <w:rPr>
      <w:szCs w:val="24"/>
    </w:rPr>
  </w:style>
  <w:style w:type="paragraph" w:styleId="45">
    <w:name w:val="Body Text First Indent 2"/>
    <w:basedOn w:val="20"/>
    <w:qFormat/>
    <w:uiPriority w:val="0"/>
    <w:pPr>
      <w:ind w:firstLine="420"/>
    </w:pPr>
    <w:rPr>
      <w:sz w:val="20"/>
    </w:rPr>
  </w:style>
  <w:style w:type="table" w:styleId="47">
    <w:name w:val="Table Grid"/>
    <w:basedOn w:val="4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style>
  <w:style w:type="character" w:styleId="51">
    <w:name w:val="Emphasis"/>
    <w:qFormat/>
    <w:uiPriority w:val="20"/>
    <w:rPr>
      <w:i/>
      <w:iCs/>
    </w:rPr>
  </w:style>
  <w:style w:type="character" w:styleId="52">
    <w:name w:val="Hyperlink"/>
    <w:qFormat/>
    <w:uiPriority w:val="0"/>
    <w:rPr>
      <w:color w:val="0000FF"/>
      <w:u w:val="single"/>
    </w:rPr>
  </w:style>
  <w:style w:type="character" w:styleId="53">
    <w:name w:val="annotation reference"/>
    <w:qFormat/>
    <w:uiPriority w:val="0"/>
    <w:rPr>
      <w:sz w:val="21"/>
    </w:rPr>
  </w:style>
  <w:style w:type="character" w:styleId="54">
    <w:name w:val="footnote reference"/>
    <w:qFormat/>
    <w:uiPriority w:val="0"/>
    <w:rPr>
      <w:vertAlign w:val="superscript"/>
    </w:rPr>
  </w:style>
  <w:style w:type="character" w:customStyle="1" w:styleId="55">
    <w:name w:val="正文文本缩进 Char"/>
    <w:link w:val="20"/>
    <w:qFormat/>
    <w:uiPriority w:val="0"/>
    <w:rPr>
      <w:rFonts w:eastAsia="宋体"/>
      <w:kern w:val="2"/>
      <w:sz w:val="21"/>
    </w:rPr>
  </w:style>
  <w:style w:type="character" w:customStyle="1" w:styleId="56">
    <w:name w:val="标题 1 Char"/>
    <w:link w:val="3"/>
    <w:qFormat/>
    <w:uiPriority w:val="0"/>
    <w:rPr>
      <w:rFonts w:eastAsia="宋体"/>
      <w:b/>
      <w:kern w:val="44"/>
      <w:sz w:val="44"/>
    </w:rPr>
  </w:style>
  <w:style w:type="character" w:customStyle="1" w:styleId="57">
    <w:name w:val="标题 2 Char"/>
    <w:link w:val="2"/>
    <w:qFormat/>
    <w:uiPriority w:val="0"/>
    <w:rPr>
      <w:rFonts w:ascii="Arial" w:hAnsi="Arial" w:eastAsia="黑体"/>
      <w:b/>
      <w:kern w:val="2"/>
      <w:sz w:val="32"/>
    </w:rPr>
  </w:style>
  <w:style w:type="character" w:customStyle="1" w:styleId="58">
    <w:name w:val="标题 3 Char"/>
    <w:link w:val="4"/>
    <w:qFormat/>
    <w:uiPriority w:val="0"/>
    <w:rPr>
      <w:rFonts w:ascii="黑体" w:hAnsi="Calibri" w:eastAsia="黑体"/>
      <w:kern w:val="2"/>
      <w:sz w:val="28"/>
    </w:rPr>
  </w:style>
  <w:style w:type="character" w:customStyle="1" w:styleId="59">
    <w:name w:val="标题 4 Char"/>
    <w:link w:val="5"/>
    <w:qFormat/>
    <w:uiPriority w:val="0"/>
    <w:rPr>
      <w:rFonts w:ascii="Arial" w:hAnsi="Arial" w:eastAsia="黑体"/>
      <w:b/>
      <w:bCs/>
      <w:kern w:val="2"/>
      <w:sz w:val="28"/>
      <w:szCs w:val="28"/>
    </w:rPr>
  </w:style>
  <w:style w:type="character" w:customStyle="1" w:styleId="60">
    <w:name w:val="标题 5 Char"/>
    <w:link w:val="6"/>
    <w:semiHidden/>
    <w:qFormat/>
    <w:uiPriority w:val="9"/>
    <w:rPr>
      <w:rFonts w:eastAsia="宋体"/>
      <w:b/>
      <w:bCs/>
      <w:kern w:val="2"/>
      <w:sz w:val="28"/>
      <w:szCs w:val="28"/>
    </w:rPr>
  </w:style>
  <w:style w:type="character" w:customStyle="1" w:styleId="61">
    <w:name w:val="标题 6 Char"/>
    <w:link w:val="7"/>
    <w:qFormat/>
    <w:uiPriority w:val="0"/>
    <w:rPr>
      <w:rFonts w:ascii="Arial" w:hAnsi="Arial" w:eastAsia="黑体"/>
      <w:b/>
      <w:bCs/>
      <w:sz w:val="24"/>
    </w:rPr>
  </w:style>
  <w:style w:type="character" w:customStyle="1" w:styleId="62">
    <w:name w:val="标题 7 Char"/>
    <w:link w:val="8"/>
    <w:qFormat/>
    <w:uiPriority w:val="0"/>
    <w:rPr>
      <w:rFonts w:eastAsia="宋体"/>
      <w:b/>
      <w:bCs/>
      <w:sz w:val="24"/>
    </w:rPr>
  </w:style>
  <w:style w:type="character" w:customStyle="1" w:styleId="63">
    <w:name w:val="标题 8 Char"/>
    <w:link w:val="9"/>
    <w:qFormat/>
    <w:uiPriority w:val="0"/>
    <w:rPr>
      <w:rFonts w:ascii="Arial" w:hAnsi="Arial" w:eastAsia="黑体"/>
      <w:sz w:val="24"/>
    </w:rPr>
  </w:style>
  <w:style w:type="character" w:customStyle="1" w:styleId="64">
    <w:name w:val="标题 9 Char"/>
    <w:link w:val="10"/>
    <w:qFormat/>
    <w:uiPriority w:val="0"/>
    <w:rPr>
      <w:rFonts w:ascii="Arial" w:hAnsi="Arial" w:eastAsia="黑体"/>
      <w:sz w:val="21"/>
      <w:szCs w:val="21"/>
    </w:rPr>
  </w:style>
  <w:style w:type="character" w:customStyle="1" w:styleId="65">
    <w:name w:val="正文缩进 Char"/>
    <w:link w:val="13"/>
    <w:qFormat/>
    <w:uiPriority w:val="0"/>
    <w:rPr>
      <w:rFonts w:ascii="Calibri" w:hAnsi="Calibri" w:eastAsia="宋体"/>
      <w:kern w:val="2"/>
      <w:sz w:val="21"/>
      <w:szCs w:val="22"/>
    </w:rPr>
  </w:style>
  <w:style w:type="character" w:customStyle="1" w:styleId="66">
    <w:name w:val="文档结构图 Char"/>
    <w:link w:val="15"/>
    <w:qFormat/>
    <w:uiPriority w:val="99"/>
    <w:rPr>
      <w:rFonts w:ascii="宋体" w:hAnsi="Calibri" w:eastAsia="宋体" w:cs="宋体"/>
      <w:kern w:val="2"/>
      <w:sz w:val="18"/>
      <w:szCs w:val="18"/>
    </w:rPr>
  </w:style>
  <w:style w:type="character" w:customStyle="1" w:styleId="67">
    <w:name w:val="批注文字 Char2"/>
    <w:link w:val="17"/>
    <w:qFormat/>
    <w:uiPriority w:val="0"/>
    <w:rPr>
      <w:rFonts w:eastAsia="宋体"/>
      <w:kern w:val="2"/>
      <w:sz w:val="21"/>
    </w:rPr>
  </w:style>
  <w:style w:type="character" w:customStyle="1" w:styleId="68">
    <w:name w:val="正文文本 3 Char"/>
    <w:link w:val="18"/>
    <w:qFormat/>
    <w:uiPriority w:val="0"/>
    <w:rPr>
      <w:rFonts w:ascii="宋体" w:hAnsi="Calibri" w:eastAsia="宋体"/>
      <w:kern w:val="2"/>
      <w:sz w:val="24"/>
    </w:rPr>
  </w:style>
  <w:style w:type="character" w:customStyle="1" w:styleId="69">
    <w:name w:val="正文文本 Char1"/>
    <w:link w:val="19"/>
    <w:qFormat/>
    <w:uiPriority w:val="0"/>
    <w:rPr>
      <w:rFonts w:eastAsia="宋体"/>
      <w:kern w:val="2"/>
      <w:sz w:val="21"/>
    </w:rPr>
  </w:style>
  <w:style w:type="character" w:customStyle="1" w:styleId="70">
    <w:name w:val="纯文本 Char"/>
    <w:link w:val="24"/>
    <w:qFormat/>
    <w:uiPriority w:val="0"/>
    <w:rPr>
      <w:rFonts w:ascii="宋体" w:hAnsi="Calibri" w:eastAsia="宋体"/>
      <w:kern w:val="2"/>
      <w:sz w:val="21"/>
      <w:szCs w:val="22"/>
    </w:rPr>
  </w:style>
  <w:style w:type="character" w:customStyle="1" w:styleId="71">
    <w:name w:val="日期 Char"/>
    <w:link w:val="26"/>
    <w:qFormat/>
    <w:uiPriority w:val="0"/>
    <w:rPr>
      <w:rFonts w:eastAsia="宋体"/>
      <w:kern w:val="2"/>
      <w:sz w:val="21"/>
    </w:rPr>
  </w:style>
  <w:style w:type="character" w:customStyle="1" w:styleId="72">
    <w:name w:val="正文文本缩进 2 Char"/>
    <w:link w:val="27"/>
    <w:qFormat/>
    <w:uiPriority w:val="0"/>
    <w:rPr>
      <w:rFonts w:ascii="Calibri" w:hAnsi="Calibri" w:eastAsia="宋体"/>
      <w:kern w:val="2"/>
      <w:sz w:val="21"/>
      <w:szCs w:val="22"/>
    </w:rPr>
  </w:style>
  <w:style w:type="character" w:customStyle="1" w:styleId="73">
    <w:name w:val="批注框文本 Char"/>
    <w:link w:val="28"/>
    <w:qFormat/>
    <w:uiPriority w:val="0"/>
    <w:rPr>
      <w:rFonts w:eastAsia="宋体"/>
      <w:kern w:val="2"/>
      <w:sz w:val="18"/>
    </w:rPr>
  </w:style>
  <w:style w:type="character" w:customStyle="1" w:styleId="74">
    <w:name w:val="页脚 Char"/>
    <w:link w:val="29"/>
    <w:qFormat/>
    <w:uiPriority w:val="99"/>
    <w:rPr>
      <w:rFonts w:ascii="Calibri" w:hAnsi="Calibri" w:eastAsia="宋体"/>
      <w:kern w:val="2"/>
      <w:sz w:val="18"/>
      <w:szCs w:val="22"/>
    </w:rPr>
  </w:style>
  <w:style w:type="character" w:customStyle="1" w:styleId="75">
    <w:name w:val="页眉 Char"/>
    <w:link w:val="30"/>
    <w:qFormat/>
    <w:uiPriority w:val="99"/>
    <w:rPr>
      <w:rFonts w:eastAsia="宋体"/>
      <w:kern w:val="2"/>
      <w:sz w:val="18"/>
    </w:rPr>
  </w:style>
  <w:style w:type="character" w:customStyle="1" w:styleId="76">
    <w:name w:val="副标题 Char"/>
    <w:link w:val="33"/>
    <w:qFormat/>
    <w:uiPriority w:val="11"/>
    <w:rPr>
      <w:rFonts w:ascii="Calibri Light" w:hAnsi="Calibri Light" w:eastAsia="宋体" w:cs="Times New Roman"/>
      <w:b/>
      <w:bCs/>
      <w:kern w:val="28"/>
      <w:sz w:val="32"/>
      <w:szCs w:val="32"/>
    </w:rPr>
  </w:style>
  <w:style w:type="character" w:customStyle="1" w:styleId="77">
    <w:name w:val="正文文本缩进 3 Char"/>
    <w:link w:val="36"/>
    <w:qFormat/>
    <w:uiPriority w:val="0"/>
    <w:rPr>
      <w:rFonts w:ascii="Calibri" w:hAnsi="Calibri" w:eastAsia="宋体"/>
      <w:kern w:val="2"/>
      <w:sz w:val="16"/>
      <w:szCs w:val="16"/>
    </w:rPr>
  </w:style>
  <w:style w:type="character" w:customStyle="1" w:styleId="78">
    <w:name w:val="正文文本 2 Char"/>
    <w:link w:val="39"/>
    <w:qFormat/>
    <w:uiPriority w:val="0"/>
    <w:rPr>
      <w:rFonts w:eastAsia="宋体"/>
      <w:kern w:val="2"/>
      <w:sz w:val="24"/>
      <w:szCs w:val="24"/>
    </w:rPr>
  </w:style>
  <w:style w:type="character" w:customStyle="1" w:styleId="79">
    <w:name w:val="标题 Char"/>
    <w:link w:val="42"/>
    <w:qFormat/>
    <w:uiPriority w:val="0"/>
    <w:rPr>
      <w:rFonts w:ascii="Arial" w:hAnsi="Arial" w:eastAsia="宋体"/>
      <w:b/>
      <w:sz w:val="32"/>
    </w:rPr>
  </w:style>
  <w:style w:type="character" w:customStyle="1" w:styleId="80">
    <w:name w:val="批注主题 Char"/>
    <w:link w:val="43"/>
    <w:qFormat/>
    <w:uiPriority w:val="0"/>
    <w:rPr>
      <w:rFonts w:eastAsia="宋体"/>
      <w:kern w:val="2"/>
      <w:sz w:val="21"/>
    </w:rPr>
  </w:style>
  <w:style w:type="character" w:customStyle="1" w:styleId="81">
    <w:name w:val="正文首行缩进 Char"/>
    <w:link w:val="44"/>
    <w:qFormat/>
    <w:uiPriority w:val="99"/>
    <w:rPr>
      <w:rFonts w:eastAsia="宋体"/>
      <w:kern w:val="2"/>
      <w:sz w:val="21"/>
      <w:szCs w:val="24"/>
      <w:lang w:val="en-US" w:eastAsia="zh-CN" w:bidi="ar-SA"/>
    </w:rPr>
  </w:style>
  <w:style w:type="paragraph" w:customStyle="1" w:styleId="82">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83">
    <w:name w:val="style_kwd"/>
    <w:qFormat/>
    <w:uiPriority w:val="0"/>
  </w:style>
  <w:style w:type="character" w:customStyle="1" w:styleId="84">
    <w:name w:val="批注文字 Char1"/>
    <w:qFormat/>
    <w:uiPriority w:val="0"/>
    <w:rPr>
      <w:rFonts w:ascii="Times New Roman" w:hAnsi="Times New Roman" w:eastAsia="宋体" w:cs="Times New Roman"/>
      <w:sz w:val="20"/>
      <w:szCs w:val="20"/>
      <w:lang w:bidi="ar-SA"/>
    </w:rPr>
  </w:style>
  <w:style w:type="character" w:customStyle="1" w:styleId="85">
    <w:name w:val="Comment Text Char"/>
    <w:qFormat/>
    <w:uiPriority w:val="0"/>
  </w:style>
  <w:style w:type="paragraph" w:customStyle="1" w:styleId="86">
    <w:name w:val="修订1"/>
    <w:qFormat/>
    <w:uiPriority w:val="99"/>
    <w:rPr>
      <w:rFonts w:ascii="Times New Roman" w:hAnsi="Times New Roman" w:eastAsia="宋体" w:cs="Times New Roman"/>
      <w:kern w:val="2"/>
      <w:sz w:val="21"/>
      <w:lang w:val="en-US" w:eastAsia="zh-CN" w:bidi="ar-SA"/>
    </w:rPr>
  </w:style>
  <w:style w:type="paragraph" w:customStyle="1" w:styleId="87">
    <w:name w:val="_Style 23"/>
    <w:basedOn w:val="1"/>
    <w:qFormat/>
    <w:uiPriority w:val="0"/>
    <w:pPr>
      <w:widowControl/>
      <w:spacing w:after="160" w:line="240" w:lineRule="exact"/>
      <w:jc w:val="left"/>
    </w:pPr>
  </w:style>
  <w:style w:type="paragraph" w:customStyle="1" w:styleId="88">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89">
    <w:name w:val="font161"/>
    <w:qFormat/>
    <w:uiPriority w:val="0"/>
    <w:rPr>
      <w:b/>
      <w:bCs/>
      <w:sz w:val="32"/>
      <w:szCs w:val="32"/>
    </w:rPr>
  </w:style>
  <w:style w:type="character" w:customStyle="1" w:styleId="90">
    <w:name w:val="正文文本 Char"/>
    <w:qFormat/>
    <w:uiPriority w:val="0"/>
    <w:rPr>
      <w:rFonts w:eastAsia="宋体"/>
      <w:kern w:val="2"/>
      <w:sz w:val="21"/>
      <w:szCs w:val="24"/>
      <w:lang w:val="en-US" w:eastAsia="zh-CN" w:bidi="ar-SA"/>
    </w:rPr>
  </w:style>
  <w:style w:type="paragraph" w:customStyle="1" w:styleId="91">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2">
    <w:name w:val="Char"/>
    <w:basedOn w:val="1"/>
    <w:qFormat/>
    <w:uiPriority w:val="0"/>
    <w:pPr>
      <w:widowControl/>
      <w:spacing w:after="160" w:line="240" w:lineRule="exact"/>
      <w:jc w:val="left"/>
    </w:pPr>
    <w:rPr>
      <w:rFonts w:ascii="Verdana" w:hAnsi="Verdana"/>
      <w:kern w:val="0"/>
      <w:sz w:val="20"/>
      <w:szCs w:val="20"/>
      <w:lang w:eastAsia="en-US"/>
    </w:rPr>
  </w:style>
  <w:style w:type="paragraph" w:styleId="93">
    <w:name w:val="List Paragraph"/>
    <w:basedOn w:val="1"/>
    <w:qFormat/>
    <w:uiPriority w:val="34"/>
    <w:pPr>
      <w:ind w:firstLine="420" w:firstLineChars="200"/>
    </w:pPr>
  </w:style>
  <w:style w:type="character" w:customStyle="1" w:styleId="94">
    <w:name w:val="正文首行缩进 Char1"/>
    <w:qFormat/>
    <w:uiPriority w:val="99"/>
    <w:rPr>
      <w:rFonts w:eastAsia="宋体"/>
      <w:kern w:val="2"/>
      <w:sz w:val="21"/>
    </w:rPr>
  </w:style>
  <w:style w:type="paragraph" w:customStyle="1" w:styleId="95">
    <w:name w:val="我的正文"/>
    <w:basedOn w:val="1"/>
    <w:qFormat/>
    <w:uiPriority w:val="0"/>
    <w:rPr>
      <w:rFonts w:ascii="宋体" w:hAnsi="宋体"/>
      <w:sz w:val="24"/>
      <w:szCs w:val="24"/>
    </w:rPr>
  </w:style>
  <w:style w:type="paragraph" w:customStyle="1" w:styleId="9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rPr>
  </w:style>
  <w:style w:type="paragraph" w:customStyle="1" w:styleId="97">
    <w:name w:val="样式2"/>
    <w:basedOn w:val="4"/>
    <w:qFormat/>
    <w:uiPriority w:val="0"/>
    <w:pPr>
      <w:spacing w:line="415" w:lineRule="auto"/>
      <w:ind w:firstLine="137"/>
    </w:pPr>
    <w:rPr>
      <w:rFonts w:hAnsi="Times New Roman"/>
      <w:bCs/>
      <w:i/>
      <w:szCs w:val="28"/>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修订11"/>
    <w:qFormat/>
    <w:uiPriority w:val="0"/>
    <w:rPr>
      <w:rFonts w:ascii="Times New Roman" w:hAnsi="Times New Roman" w:eastAsia="宋体" w:cs="Times New Roman"/>
      <w:kern w:val="2"/>
      <w:sz w:val="21"/>
      <w:szCs w:val="24"/>
      <w:lang w:val="en-US" w:eastAsia="zh-CN" w:bidi="ar-SA"/>
    </w:rPr>
  </w:style>
  <w:style w:type="paragraph" w:customStyle="1" w:styleId="100">
    <w:name w:val="样式1"/>
    <w:basedOn w:val="1"/>
    <w:next w:val="5"/>
    <w:link w:val="101"/>
    <w:qFormat/>
    <w:uiPriority w:val="0"/>
    <w:pPr>
      <w:spacing w:line="360" w:lineRule="auto"/>
      <w:ind w:firstLine="420" w:firstLineChars="200"/>
    </w:pPr>
    <w:rPr>
      <w:rFonts w:ascii="宋体" w:hAnsi="宋体"/>
      <w:szCs w:val="21"/>
    </w:rPr>
  </w:style>
  <w:style w:type="character" w:customStyle="1" w:styleId="101">
    <w:name w:val="样式1 Char"/>
    <w:link w:val="100"/>
    <w:qFormat/>
    <w:uiPriority w:val="0"/>
    <w:rPr>
      <w:rFonts w:ascii="宋体" w:hAnsi="宋体" w:eastAsia="宋体"/>
      <w:kern w:val="2"/>
      <w:sz w:val="21"/>
      <w:szCs w:val="21"/>
    </w:rPr>
  </w:style>
  <w:style w:type="paragraph" w:customStyle="1" w:styleId="102">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4">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5">
    <w:name w:val="1"/>
    <w:basedOn w:val="1"/>
    <w:qFormat/>
    <w:uiPriority w:val="0"/>
    <w:rPr>
      <w:rFonts w:ascii="Times New Roman" w:hAnsi="Times New Roman"/>
      <w:szCs w:val="20"/>
    </w:rPr>
  </w:style>
  <w:style w:type="paragraph" w:customStyle="1" w:styleId="106">
    <w:name w:val="表格"/>
    <w:basedOn w:val="1"/>
    <w:qFormat/>
    <w:uiPriority w:val="0"/>
    <w:pPr>
      <w:jc w:val="center"/>
      <w:textAlignment w:val="center"/>
    </w:pPr>
    <w:rPr>
      <w:rFonts w:ascii="华文细黑" w:hAnsi="华文细黑"/>
      <w:kern w:val="0"/>
      <w:szCs w:val="20"/>
    </w:rPr>
  </w:style>
  <w:style w:type="paragraph" w:customStyle="1" w:styleId="107">
    <w:name w:val="修订2"/>
    <w:qFormat/>
    <w:uiPriority w:val="0"/>
    <w:rPr>
      <w:rFonts w:ascii="Times New Roman" w:hAnsi="Times New Roman" w:eastAsia="宋体" w:cs="Times New Roman"/>
      <w:kern w:val="2"/>
      <w:sz w:val="21"/>
      <w:szCs w:val="24"/>
      <w:lang w:val="en-US" w:eastAsia="zh-CN" w:bidi="ar-SA"/>
    </w:rPr>
  </w:style>
  <w:style w:type="paragraph" w:customStyle="1" w:styleId="10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9">
    <w:name w:val="Table Paragraph"/>
    <w:basedOn w:val="1"/>
    <w:unhideWhenUsed/>
    <w:qFormat/>
    <w:uiPriority w:val="99"/>
    <w:pPr>
      <w:widowControl/>
    </w:pPr>
    <w:rPr>
      <w:rFonts w:hint="eastAsia" w:ascii="Times New Roman" w:hAnsi="Times New Roman"/>
      <w:szCs w:val="20"/>
    </w:rPr>
  </w:style>
  <w:style w:type="paragraph" w:customStyle="1" w:styleId="110">
    <w:name w:val="表中"/>
    <w:basedOn w:val="1"/>
    <w:qFormat/>
    <w:uiPriority w:val="0"/>
    <w:pPr>
      <w:adjustRightInd w:val="0"/>
      <w:spacing w:line="360" w:lineRule="atLeast"/>
      <w:jc w:val="center"/>
      <w:textAlignment w:val="baseline"/>
    </w:pPr>
    <w:rPr>
      <w:rFonts w:ascii="Times New Roman" w:hAnsi="Times New Roman"/>
      <w:kern w:val="0"/>
      <w:szCs w:val="20"/>
    </w:rPr>
  </w:style>
  <w:style w:type="character" w:customStyle="1" w:styleId="111">
    <w:name w:val="文一 Char"/>
    <w:link w:val="112"/>
    <w:qFormat/>
    <w:locked/>
    <w:uiPriority w:val="0"/>
    <w:rPr>
      <w:spacing w:val="4"/>
      <w:sz w:val="24"/>
      <w:szCs w:val="24"/>
    </w:rPr>
  </w:style>
  <w:style w:type="paragraph" w:customStyle="1" w:styleId="112">
    <w:name w:val="文一"/>
    <w:basedOn w:val="1"/>
    <w:link w:val="11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3">
    <w:name w:val="文二"/>
    <w:basedOn w:val="1"/>
    <w:qFormat/>
    <w:uiPriority w:val="0"/>
    <w:pPr>
      <w:jc w:val="left"/>
    </w:pPr>
    <w:rPr>
      <w:rFonts w:ascii="宋体" w:hAnsi="宋体"/>
      <w:szCs w:val="21"/>
    </w:rPr>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115">
    <w:name w:val="文档结构图 字符"/>
    <w:qFormat/>
    <w:uiPriority w:val="99"/>
    <w:rPr>
      <w:kern w:val="2"/>
      <w:sz w:val="21"/>
      <w:szCs w:val="24"/>
      <w:shd w:val="clear" w:color="auto" w:fill="000080"/>
    </w:rPr>
  </w:style>
  <w:style w:type="character" w:customStyle="1" w:styleId="116">
    <w:name w:val="正文文本 3 字符"/>
    <w:qFormat/>
    <w:uiPriority w:val="0"/>
    <w:rPr>
      <w:kern w:val="2"/>
      <w:sz w:val="16"/>
      <w:szCs w:val="16"/>
    </w:rPr>
  </w:style>
  <w:style w:type="paragraph" w:customStyle="1" w:styleId="117">
    <w:name w:val="p0"/>
    <w:basedOn w:val="1"/>
    <w:qFormat/>
    <w:uiPriority w:val="0"/>
    <w:pPr>
      <w:widowControl/>
      <w:spacing w:line="360" w:lineRule="auto"/>
      <w:jc w:val="left"/>
    </w:pPr>
    <w:rPr>
      <w:rFonts w:ascii="Times New Roman" w:hAnsi="Times New Roman"/>
      <w:kern w:val="0"/>
      <w:sz w:val="24"/>
      <w:szCs w:val="21"/>
    </w:rPr>
  </w:style>
  <w:style w:type="paragraph" w:customStyle="1" w:styleId="118">
    <w:name w:val="目录文字"/>
    <w:basedOn w:val="1"/>
    <w:qFormat/>
    <w:uiPriority w:val="0"/>
    <w:pPr>
      <w:widowControl/>
      <w:spacing w:line="480" w:lineRule="auto"/>
      <w:jc w:val="left"/>
    </w:pPr>
    <w:rPr>
      <w:rFonts w:ascii="宋体" w:hAnsi="宋体"/>
      <w:kern w:val="0"/>
      <w:sz w:val="24"/>
      <w:szCs w:val="20"/>
    </w:rPr>
  </w:style>
  <w:style w:type="paragraph" w:customStyle="1" w:styleId="119">
    <w:name w:val="charchar20"/>
    <w:basedOn w:val="1"/>
    <w:qFormat/>
    <w:uiPriority w:val="0"/>
    <w:pPr>
      <w:widowControl/>
      <w:spacing w:after="160" w:line="240" w:lineRule="atLeast"/>
      <w:jc w:val="left"/>
    </w:pPr>
    <w:rPr>
      <w:rFonts w:ascii="Verdana" w:hAnsi="Verdana" w:cs="宋体"/>
      <w:kern w:val="0"/>
      <w:sz w:val="24"/>
      <w:szCs w:val="24"/>
    </w:rPr>
  </w:style>
  <w:style w:type="character" w:customStyle="1" w:styleId="120">
    <w:name w:val="纯文本 Char1"/>
    <w:semiHidden/>
    <w:qFormat/>
    <w:uiPriority w:val="99"/>
    <w:rPr>
      <w:rFonts w:ascii="宋体" w:hAnsi="Courier New" w:eastAsia="宋体" w:cs="Courier New"/>
      <w:szCs w:val="21"/>
    </w:rPr>
  </w:style>
  <w:style w:type="paragraph" w:customStyle="1" w:styleId="121">
    <w:name w:val="text"/>
    <w:basedOn w:val="1"/>
    <w:qFormat/>
    <w:uiPriority w:val="0"/>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122">
    <w:name w:val="自定义标题１"/>
    <w:basedOn w:val="4"/>
    <w:qFormat/>
    <w:uiPriority w:val="0"/>
    <w:pPr>
      <w:numPr>
        <w:ilvl w:val="0"/>
        <w:numId w:val="1"/>
      </w:numPr>
      <w:spacing w:before="100" w:beforeAutospacing="1" w:after="100" w:afterAutospacing="1" w:line="240" w:lineRule="auto"/>
      <w:ind w:firstLine="0" w:firstLineChars="0"/>
    </w:pPr>
    <w:rPr>
      <w:rFonts w:ascii="Times New Roman" w:hAnsi="Times New Roman" w:eastAsia="宋体"/>
      <w:bCs/>
      <w:sz w:val="24"/>
      <w:szCs w:val="32"/>
    </w:rPr>
  </w:style>
  <w:style w:type="paragraph" w:customStyle="1" w:styleId="123">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a"/>
    <w:basedOn w:val="1"/>
    <w:qFormat/>
    <w:uiPriority w:val="0"/>
    <w:pPr>
      <w:widowControl/>
      <w:spacing w:line="480" w:lineRule="auto"/>
      <w:jc w:val="left"/>
    </w:pPr>
    <w:rPr>
      <w:rFonts w:ascii="宋体" w:hAnsi="宋体" w:cs="宋体"/>
      <w:kern w:val="0"/>
      <w:sz w:val="24"/>
      <w:szCs w:val="24"/>
    </w:rPr>
  </w:style>
  <w:style w:type="paragraph" w:customStyle="1" w:styleId="125">
    <w:name w:val="charchar2"/>
    <w:basedOn w:val="1"/>
    <w:qFormat/>
    <w:uiPriority w:val="0"/>
    <w:pPr>
      <w:widowControl/>
      <w:spacing w:after="160" w:line="240" w:lineRule="atLeast"/>
      <w:jc w:val="left"/>
    </w:pPr>
    <w:rPr>
      <w:rFonts w:ascii="Verdana" w:hAnsi="Verdana" w:cs="宋体"/>
      <w:kern w:val="0"/>
      <w:sz w:val="24"/>
      <w:szCs w:val="24"/>
    </w:rPr>
  </w:style>
  <w:style w:type="paragraph" w:customStyle="1" w:styleId="126">
    <w:name w:val="副标题1"/>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customStyle="1" w:styleId="127">
    <w:name w:val="Char Char Char Char Char Char Char Char Char Char Char Char Char Char Char Char Char Char Char"/>
    <w:basedOn w:val="1"/>
    <w:qFormat/>
    <w:uiPriority w:val="0"/>
    <w:pPr>
      <w:widowControl/>
      <w:spacing w:after="160" w:line="240" w:lineRule="exact"/>
      <w:jc w:val="left"/>
    </w:pPr>
    <w:rPr>
      <w:rFonts w:ascii="宋体" w:hAnsi="宋体"/>
      <w:sz w:val="28"/>
      <w:szCs w:val="20"/>
    </w:rPr>
  </w:style>
  <w:style w:type="table" w:customStyle="1" w:styleId="128">
    <w:name w:val="网格型1"/>
    <w:basedOn w:val="4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副标题 Char1"/>
    <w:qFormat/>
    <w:uiPriority w:val="0"/>
    <w:rPr>
      <w:rFonts w:ascii="Cambria" w:hAnsi="Cambria" w:eastAsia="宋体" w:cs="Times New Roman"/>
      <w:b/>
      <w:bCs/>
      <w:kern w:val="28"/>
      <w:sz w:val="32"/>
      <w:szCs w:val="32"/>
    </w:rPr>
  </w:style>
  <w:style w:type="character" w:customStyle="1" w:styleId="130">
    <w:name w:val="批注文字 字符1"/>
    <w:qFormat/>
    <w:uiPriority w:val="0"/>
    <w:rPr>
      <w:kern w:val="2"/>
      <w:sz w:val="21"/>
      <w:szCs w:val="24"/>
    </w:rPr>
  </w:style>
  <w:style w:type="character" w:customStyle="1" w:styleId="131">
    <w:name w:val="批注文字 Char"/>
    <w:qFormat/>
    <w:uiPriority w:val="0"/>
    <w:rPr>
      <w:kern w:val="2"/>
      <w:sz w:val="21"/>
    </w:rPr>
  </w:style>
  <w:style w:type="paragraph" w:customStyle="1" w:styleId="132">
    <w:name w:val="字元 字元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133">
    <w:name w:val="章节二"/>
    <w:basedOn w:val="1"/>
    <w:next w:val="1"/>
    <w:qFormat/>
    <w:uiPriority w:val="0"/>
    <w:pPr>
      <w:topLinePunct/>
      <w:adjustRightInd w:val="0"/>
      <w:snapToGrid w:val="0"/>
      <w:spacing w:beforeLines="50" w:afterLines="50"/>
      <w:jc w:val="center"/>
      <w:outlineLvl w:val="1"/>
    </w:pPr>
    <w:rPr>
      <w:rFonts w:eastAsia="黑体" w:cs="Calibri"/>
      <w:b/>
      <w:spacing w:val="4"/>
      <w:kern w:val="0"/>
      <w:sz w:val="30"/>
      <w:szCs w:val="30"/>
    </w:rPr>
  </w:style>
  <w:style w:type="paragraph" w:customStyle="1" w:styleId="134">
    <w:name w:val="WPSOffice手动目录 1"/>
    <w:qFormat/>
    <w:uiPriority w:val="0"/>
    <w:rPr>
      <w:rFonts w:ascii="Times New Roman" w:hAnsi="Times New Roman" w:eastAsia="宋体" w:cs="Times New Roman"/>
      <w:lang w:val="en-US" w:eastAsia="zh-CN" w:bidi="ar-SA"/>
    </w:rPr>
  </w:style>
  <w:style w:type="paragraph" w:customStyle="1" w:styleId="135">
    <w:name w:val="正文文本 31"/>
    <w:basedOn w:val="1"/>
    <w:qFormat/>
    <w:uiPriority w:val="0"/>
    <w:rPr>
      <w:rFonts w:ascii="宋体"/>
      <w:sz w:val="24"/>
      <w:szCs w:val="20"/>
    </w:rPr>
  </w:style>
  <w:style w:type="paragraph" w:customStyle="1" w:styleId="136">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37">
    <w:name w:val="Revision"/>
    <w:unhideWhenUsed/>
    <w:qFormat/>
    <w:uiPriority w:val="99"/>
    <w:rPr>
      <w:rFonts w:ascii="Calibri" w:hAnsi="Calibri" w:eastAsia="宋体" w:cs="Times New Roman"/>
      <w:kern w:val="2"/>
      <w:sz w:val="21"/>
      <w:szCs w:val="22"/>
      <w:lang w:val="en-US" w:eastAsia="zh-CN" w:bidi="ar-SA"/>
    </w:rPr>
  </w:style>
  <w:style w:type="paragraph" w:customStyle="1" w:styleId="138">
    <w:name w:val="样式 宋体 行距: 1.5 倍行距"/>
    <w:basedOn w:val="1"/>
    <w:qFormat/>
    <w:uiPriority w:val="0"/>
    <w:pPr>
      <w:jc w:val="center"/>
    </w:pPr>
    <w:rPr>
      <w:b/>
    </w:rPr>
  </w:style>
  <w:style w:type="paragraph" w:styleId="139">
    <w:name w:val="No Spacing"/>
    <w:qFormat/>
    <w:uiPriority w:val="1"/>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57</Pages>
  <Words>20770</Words>
  <Characters>21873</Characters>
  <Lines>201</Lines>
  <Paragraphs>56</Paragraphs>
  <TotalTime>13</TotalTime>
  <ScaleCrop>false</ScaleCrop>
  <LinksUpToDate>false</LinksUpToDate>
  <CharactersWithSpaces>22350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2025-01-10T11:11:00Z</dcterms:created>
  <dc:creator>袁静</dc:creator>
  <cp:lastModifiedBy>Yam</cp:lastModifiedBy>
  <cp:lastPrinted>2025-01-16T09:10:00Z</cp:lastPrinted>
  <dcterms:modified xsi:type="dcterms:W3CDTF">2025-06-25T10:06:14Z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F295A54E60E14507B6ABC5D467020193_13</vt:lpwstr>
  </property>
  <property fmtid="{D5CDD505-2E9C-101B-9397-08002B2CF9AE}" pid="4" name="KSOTemplateDocerSaveRecord">
    <vt:lpwstr>eyJoZGlkIjoiMzEwNTM5NzYwMDRjMzkwZTVkZjY2ODkwMGIxNGU0OTUiLCJ1c2VySWQiOiIzNDY3NjExNTMifQ==</vt:lpwstr>
  </property>
</Properties>
</file>