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4E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jc w:val="center"/>
        <w:rPr>
          <w:rFonts w:hint="default" w:ascii="微软雅黑" w:hAnsi="微软雅黑" w:eastAsia="微软雅黑" w:cs="微软雅黑"/>
          <w:i w:val="0"/>
          <w:iCs w:val="0"/>
          <w:caps w:val="0"/>
          <w:color w:val="auto"/>
          <w:spacing w:val="0"/>
          <w:sz w:val="24"/>
          <w:szCs w:val="24"/>
          <w:u w:val="none"/>
          <w:lang w:val="en-US"/>
        </w:rPr>
      </w:pPr>
      <w:r>
        <w:rPr>
          <w:rStyle w:val="14"/>
          <w:rFonts w:hint="eastAsia" w:ascii="宋体" w:hAnsi="宋体" w:eastAsia="宋体" w:cs="宋体"/>
          <w:b/>
          <w:bCs/>
          <w:i w:val="0"/>
          <w:iCs w:val="0"/>
          <w:caps w:val="0"/>
          <w:color w:val="auto"/>
          <w:spacing w:val="0"/>
          <w:sz w:val="24"/>
          <w:szCs w:val="24"/>
          <w:u w:val="none"/>
          <w:shd w:val="clear" w:fill="FFFFFF"/>
          <w:lang w:eastAsia="zh-CN"/>
        </w:rPr>
        <w:t>“海上丝绸之路”·印象越秀国家AAAA旅游区配套基础设施建设项目——越秀区文物建筑活化利用项目(玉华中约、惠福东路)——中国劳动组合书记部南方分部旧址周边建筑及环境提升项目及青云书院湾区原创音乐传播基地布展及运营管理服务项目监理服务</w:t>
      </w:r>
      <w:r>
        <w:rPr>
          <w:rStyle w:val="14"/>
          <w:rFonts w:hint="eastAsia" w:ascii="宋体" w:hAnsi="宋体" w:eastAsia="宋体" w:cs="宋体"/>
          <w:b/>
          <w:bCs/>
          <w:i w:val="0"/>
          <w:iCs w:val="0"/>
          <w:caps w:val="0"/>
          <w:color w:val="auto"/>
          <w:spacing w:val="0"/>
          <w:sz w:val="24"/>
          <w:szCs w:val="24"/>
          <w:u w:val="none"/>
          <w:shd w:val="clear" w:fill="FFFFFF"/>
          <w:lang w:val="en-US" w:eastAsia="zh-CN"/>
        </w:rPr>
        <w:t>补充公告</w:t>
      </w:r>
    </w:p>
    <w:p w14:paraId="5A4255C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80"/>
        <w:jc w:val="both"/>
        <w:rPr>
          <w:rFonts w:hint="eastAsia" w:ascii="宋体" w:hAnsi="宋体" w:eastAsia="宋体" w:cs="宋体"/>
          <w:i w:val="0"/>
          <w:iCs w:val="0"/>
          <w:caps w:val="0"/>
          <w:color w:val="auto"/>
          <w:spacing w:val="0"/>
          <w:sz w:val="24"/>
          <w:szCs w:val="24"/>
          <w:u w:val="none"/>
          <w:shd w:val="clear" w:fill="FFFFFF"/>
          <w:lang w:eastAsia="zh-CN"/>
        </w:rPr>
      </w:pPr>
      <w:r>
        <w:rPr>
          <w:rFonts w:hint="eastAsia" w:ascii="宋体" w:hAnsi="宋体" w:eastAsia="宋体" w:cs="宋体"/>
          <w:i w:val="0"/>
          <w:iCs w:val="0"/>
          <w:caps w:val="0"/>
          <w:color w:val="auto"/>
          <w:spacing w:val="0"/>
          <w:sz w:val="24"/>
          <w:szCs w:val="24"/>
          <w:u w:val="none"/>
          <w:shd w:val="clear" w:fill="FFFFFF"/>
          <w:lang w:eastAsia="zh-CN"/>
        </w:rPr>
        <w:t>“海上丝绸之路”·印象越秀国家AAAA旅游区配套基础设施建设项目——越秀区文物建筑活化利用项目(玉华中约、惠福东路)——中国劳动组合书记部南方分部旧址周边建筑及环境提升项目及青云书院湾区原创音乐传播基地布展及运营管理服务项目监理服务（项目编号：JG2025-2576）已于202</w:t>
      </w:r>
      <w:r>
        <w:rPr>
          <w:rFonts w:hint="eastAsia" w:ascii="宋体" w:hAnsi="宋体" w:eastAsia="宋体" w:cs="宋体"/>
          <w:i w:val="0"/>
          <w:iCs w:val="0"/>
          <w:caps w:val="0"/>
          <w:color w:val="auto"/>
          <w:spacing w:val="0"/>
          <w:sz w:val="24"/>
          <w:szCs w:val="24"/>
          <w:u w:val="none"/>
          <w:shd w:val="clear" w:fill="FFFFFF"/>
          <w:lang w:val="en-US" w:eastAsia="zh-CN"/>
        </w:rPr>
        <w:t>5</w:t>
      </w:r>
      <w:r>
        <w:rPr>
          <w:rFonts w:hint="eastAsia" w:ascii="宋体" w:hAnsi="宋体" w:eastAsia="宋体" w:cs="宋体"/>
          <w:i w:val="0"/>
          <w:iCs w:val="0"/>
          <w:caps w:val="0"/>
          <w:color w:val="auto"/>
          <w:spacing w:val="0"/>
          <w:sz w:val="24"/>
          <w:szCs w:val="24"/>
          <w:u w:val="none"/>
          <w:shd w:val="clear" w:fill="FFFFFF"/>
          <w:lang w:eastAsia="zh-CN"/>
        </w:rPr>
        <w:t>年</w:t>
      </w:r>
      <w:r>
        <w:rPr>
          <w:rFonts w:hint="eastAsia" w:ascii="宋体" w:hAnsi="宋体" w:eastAsia="宋体" w:cs="宋体"/>
          <w:i w:val="0"/>
          <w:iCs w:val="0"/>
          <w:caps w:val="0"/>
          <w:color w:val="auto"/>
          <w:spacing w:val="0"/>
          <w:sz w:val="24"/>
          <w:szCs w:val="24"/>
          <w:u w:val="none"/>
          <w:shd w:val="clear" w:fill="FFFFFF"/>
          <w:lang w:val="en-US" w:eastAsia="zh-CN"/>
        </w:rPr>
        <w:t>6</w:t>
      </w:r>
      <w:r>
        <w:rPr>
          <w:rFonts w:hint="eastAsia" w:ascii="宋体" w:hAnsi="宋体" w:eastAsia="宋体" w:cs="宋体"/>
          <w:i w:val="0"/>
          <w:iCs w:val="0"/>
          <w:caps w:val="0"/>
          <w:color w:val="auto"/>
          <w:spacing w:val="0"/>
          <w:sz w:val="24"/>
          <w:szCs w:val="24"/>
          <w:u w:val="none"/>
          <w:shd w:val="clear" w:fill="FFFFFF"/>
          <w:lang w:eastAsia="zh-CN"/>
        </w:rPr>
        <w:t>月</w:t>
      </w:r>
      <w:r>
        <w:rPr>
          <w:rFonts w:hint="eastAsia" w:ascii="宋体" w:hAnsi="宋体" w:eastAsia="宋体" w:cs="宋体"/>
          <w:i w:val="0"/>
          <w:iCs w:val="0"/>
          <w:caps w:val="0"/>
          <w:color w:val="auto"/>
          <w:spacing w:val="0"/>
          <w:sz w:val="24"/>
          <w:szCs w:val="24"/>
          <w:u w:val="none"/>
          <w:shd w:val="clear" w:fill="FFFFFF"/>
          <w:lang w:val="en-US" w:eastAsia="zh-CN"/>
        </w:rPr>
        <w:t>10</w:t>
      </w:r>
      <w:r>
        <w:rPr>
          <w:rFonts w:hint="eastAsia" w:ascii="宋体" w:hAnsi="宋体" w:eastAsia="宋体" w:cs="宋体"/>
          <w:i w:val="0"/>
          <w:iCs w:val="0"/>
          <w:caps w:val="0"/>
          <w:color w:val="auto"/>
          <w:spacing w:val="0"/>
          <w:sz w:val="24"/>
          <w:szCs w:val="24"/>
          <w:u w:val="none"/>
          <w:shd w:val="clear" w:fill="FFFFFF"/>
          <w:lang w:eastAsia="zh-CN"/>
        </w:rPr>
        <w:t>日发布招标公告，现对原招标公告、招标文件、合同条款的相关内容作如下修改：</w:t>
      </w:r>
    </w:p>
    <w:p w14:paraId="20CA42F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142" w:right="0" w:firstLine="482"/>
        <w:jc w:val="both"/>
        <w:rPr>
          <w:rStyle w:val="14"/>
          <w:rFonts w:hint="eastAsia" w:ascii="宋体" w:hAnsi="宋体" w:eastAsia="宋体" w:cs="宋体"/>
          <w:b/>
          <w:bCs/>
          <w:i w:val="0"/>
          <w:iCs w:val="0"/>
          <w:caps w:val="0"/>
          <w:color w:val="auto"/>
          <w:spacing w:val="0"/>
          <w:sz w:val="24"/>
          <w:szCs w:val="24"/>
          <w:u w:val="none"/>
          <w:shd w:val="clear" w:fill="FFFFFF"/>
          <w:lang w:eastAsia="zh-CN"/>
        </w:rPr>
      </w:pPr>
      <w:r>
        <w:rPr>
          <w:rStyle w:val="14"/>
          <w:rFonts w:hint="eastAsia" w:ascii="宋体" w:hAnsi="宋体" w:eastAsia="宋体" w:cs="宋体"/>
          <w:b/>
          <w:bCs/>
          <w:i w:val="0"/>
          <w:iCs w:val="0"/>
          <w:caps w:val="0"/>
          <w:color w:val="auto"/>
          <w:spacing w:val="0"/>
          <w:sz w:val="24"/>
          <w:szCs w:val="24"/>
          <w:u w:val="none"/>
          <w:shd w:val="clear" w:fill="FFFFFF"/>
        </w:rPr>
        <w:t>一、</w:t>
      </w:r>
      <w:r>
        <w:rPr>
          <w:rStyle w:val="14"/>
          <w:rFonts w:hint="eastAsia" w:ascii="宋体" w:hAnsi="宋体" w:eastAsia="宋体" w:cs="宋体"/>
          <w:b/>
          <w:bCs/>
          <w:i w:val="0"/>
          <w:iCs w:val="0"/>
          <w:caps w:val="0"/>
          <w:color w:val="auto"/>
          <w:spacing w:val="0"/>
          <w:sz w:val="24"/>
          <w:szCs w:val="24"/>
          <w:u w:val="none"/>
          <w:shd w:val="clear" w:fill="FFFFFF"/>
          <w:lang w:eastAsia="zh-CN"/>
        </w:rPr>
        <w:t>将招标文件第三章 评标办法（综合评估法）《评标办法前附表》修改为：</w:t>
      </w:r>
    </w:p>
    <w:tbl>
      <w:tblPr>
        <w:tblStyle w:val="1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085"/>
        <w:gridCol w:w="975"/>
        <w:gridCol w:w="971"/>
        <w:gridCol w:w="5599"/>
      </w:tblGrid>
      <w:tr w14:paraId="01D9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894" w:type="dxa"/>
            <w:gridSpan w:val="2"/>
            <w:vAlign w:val="center"/>
          </w:tcPr>
          <w:p w14:paraId="1A828556">
            <w:pPr>
              <w:jc w:val="center"/>
              <w:rPr>
                <w:rFonts w:hint="eastAsia" w:ascii="宋体" w:hAnsi="宋体" w:cs="宋体"/>
                <w:b/>
                <w:bCs/>
                <w:color w:val="auto"/>
                <w:sz w:val="18"/>
                <w:szCs w:val="18"/>
              </w:rPr>
            </w:pPr>
            <w:r>
              <w:rPr>
                <w:rFonts w:hint="eastAsia" w:ascii="宋体" w:hAnsi="宋体" w:cs="宋体"/>
                <w:b/>
                <w:bCs/>
                <w:color w:val="auto"/>
                <w:sz w:val="18"/>
                <w:szCs w:val="18"/>
              </w:rPr>
              <w:t>条款号</w:t>
            </w:r>
          </w:p>
        </w:tc>
        <w:tc>
          <w:tcPr>
            <w:tcW w:w="1946" w:type="dxa"/>
            <w:gridSpan w:val="2"/>
            <w:tcMar>
              <w:top w:w="0" w:type="dxa"/>
              <w:left w:w="57" w:type="dxa"/>
              <w:bottom w:w="0" w:type="dxa"/>
              <w:right w:w="57" w:type="dxa"/>
            </w:tcMar>
            <w:vAlign w:val="center"/>
          </w:tcPr>
          <w:p w14:paraId="1C420265">
            <w:pPr>
              <w:jc w:val="center"/>
              <w:rPr>
                <w:rFonts w:hint="eastAsia" w:ascii="宋体" w:hAnsi="宋体" w:cs="宋体"/>
                <w:b/>
                <w:bCs/>
                <w:color w:val="auto"/>
                <w:sz w:val="18"/>
                <w:szCs w:val="18"/>
              </w:rPr>
            </w:pPr>
            <w:r>
              <w:rPr>
                <w:rFonts w:hint="eastAsia" w:ascii="宋体" w:hAnsi="宋体" w:cs="宋体"/>
                <w:b/>
                <w:bCs/>
                <w:color w:val="auto"/>
                <w:sz w:val="18"/>
                <w:szCs w:val="18"/>
              </w:rPr>
              <w:t>评审因素</w:t>
            </w:r>
          </w:p>
        </w:tc>
        <w:tc>
          <w:tcPr>
            <w:tcW w:w="5599" w:type="dxa"/>
            <w:tcMar>
              <w:top w:w="0" w:type="dxa"/>
              <w:left w:w="57" w:type="dxa"/>
              <w:bottom w:w="0" w:type="dxa"/>
              <w:right w:w="57" w:type="dxa"/>
            </w:tcMar>
            <w:vAlign w:val="center"/>
          </w:tcPr>
          <w:p w14:paraId="2B62A17A">
            <w:pPr>
              <w:jc w:val="center"/>
              <w:rPr>
                <w:rFonts w:hint="eastAsia" w:ascii="宋体" w:hAnsi="宋体" w:cs="宋体"/>
                <w:b/>
                <w:bCs/>
                <w:color w:val="auto"/>
                <w:sz w:val="18"/>
                <w:szCs w:val="18"/>
              </w:rPr>
            </w:pPr>
            <w:r>
              <w:rPr>
                <w:rFonts w:hint="eastAsia" w:ascii="宋体" w:hAnsi="宋体" w:cs="宋体"/>
                <w:b/>
                <w:bCs/>
                <w:color w:val="auto"/>
                <w:sz w:val="18"/>
                <w:szCs w:val="18"/>
              </w:rPr>
              <w:t>评审标准</w:t>
            </w:r>
          </w:p>
        </w:tc>
      </w:tr>
      <w:tr w14:paraId="7617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exact"/>
          <w:jc w:val="center"/>
        </w:trPr>
        <w:tc>
          <w:tcPr>
            <w:tcW w:w="809" w:type="dxa"/>
            <w:vAlign w:val="center"/>
          </w:tcPr>
          <w:p w14:paraId="13460A62">
            <w:pPr>
              <w:jc w:val="center"/>
              <w:rPr>
                <w:rFonts w:hint="eastAsia" w:ascii="宋体" w:hAnsi="宋体" w:cs="宋体"/>
                <w:b/>
                <w:bCs/>
                <w:color w:val="auto"/>
              </w:rPr>
            </w:pPr>
            <w:r>
              <w:rPr>
                <w:rFonts w:hint="eastAsia" w:ascii="宋体" w:hAnsi="宋体" w:cs="宋体"/>
                <w:b/>
                <w:bCs/>
                <w:color w:val="auto"/>
              </w:rPr>
              <w:t>1</w:t>
            </w:r>
          </w:p>
        </w:tc>
        <w:tc>
          <w:tcPr>
            <w:tcW w:w="1085" w:type="dxa"/>
            <w:vAlign w:val="center"/>
          </w:tcPr>
          <w:p w14:paraId="01090349">
            <w:pPr>
              <w:jc w:val="center"/>
              <w:rPr>
                <w:rFonts w:hint="eastAsia" w:ascii="宋体" w:hAnsi="宋体" w:cs="宋体"/>
                <w:color w:val="auto"/>
              </w:rPr>
            </w:pPr>
            <w:r>
              <w:rPr>
                <w:rFonts w:hint="eastAsia" w:ascii="宋体" w:hAnsi="宋体" w:cs="宋体"/>
                <w:color w:val="auto"/>
              </w:rPr>
              <w:t>评标方法</w:t>
            </w:r>
          </w:p>
        </w:tc>
        <w:tc>
          <w:tcPr>
            <w:tcW w:w="1946" w:type="dxa"/>
            <w:gridSpan w:val="2"/>
            <w:tcMar>
              <w:top w:w="0" w:type="dxa"/>
              <w:left w:w="57" w:type="dxa"/>
              <w:bottom w:w="0" w:type="dxa"/>
              <w:right w:w="57" w:type="dxa"/>
            </w:tcMar>
            <w:vAlign w:val="center"/>
          </w:tcPr>
          <w:p w14:paraId="51CFBC0B">
            <w:pPr>
              <w:jc w:val="center"/>
              <w:rPr>
                <w:rFonts w:hint="eastAsia" w:ascii="宋体" w:hAnsi="宋体" w:cs="宋体"/>
                <w:color w:val="auto"/>
              </w:rPr>
            </w:pPr>
            <w:r>
              <w:rPr>
                <w:rFonts w:hint="eastAsia" w:ascii="宋体" w:hAnsi="宋体" w:cs="宋体"/>
                <w:color w:val="auto"/>
              </w:rPr>
              <w:t>中标候选人排序方法</w:t>
            </w:r>
          </w:p>
        </w:tc>
        <w:tc>
          <w:tcPr>
            <w:tcW w:w="5599" w:type="dxa"/>
            <w:tcMar>
              <w:top w:w="0" w:type="dxa"/>
              <w:left w:w="57" w:type="dxa"/>
              <w:bottom w:w="0" w:type="dxa"/>
              <w:right w:w="57" w:type="dxa"/>
            </w:tcMar>
            <w:vAlign w:val="center"/>
          </w:tcPr>
          <w:p w14:paraId="296DD880">
            <w:pPr>
              <w:spacing w:line="240" w:lineRule="exact"/>
              <w:rPr>
                <w:rFonts w:hint="eastAsia" w:ascii="宋体" w:hAnsi="宋体" w:cs="宋体"/>
                <w:color w:val="auto"/>
              </w:rPr>
            </w:pPr>
            <w:r>
              <w:rPr>
                <w:rFonts w:hint="eastAsia" w:ascii="宋体" w:hAnsi="宋体" w:cs="宋体"/>
                <w:color w:val="auto"/>
              </w:rPr>
              <w:t>本次评标采用综合评估法。评标委员会对满足招标文件实质性要求的投标文件，按照本章第2.2 款规定的评分标准进行打分，并按得分由高到低顺序推荐前三名作为中标候选人。综合评分相等时，以投标报价低的优先；投标报价也相等的，以监理大纲得分高的优先；如果监理大纲得分也相等，由评标委员会采用记名投票方式，以得票多的优先。</w:t>
            </w:r>
          </w:p>
        </w:tc>
      </w:tr>
      <w:tr w14:paraId="52BB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09" w:type="dxa"/>
            <w:vMerge w:val="restart"/>
            <w:tcMar>
              <w:top w:w="0" w:type="dxa"/>
              <w:left w:w="57" w:type="dxa"/>
              <w:bottom w:w="0" w:type="dxa"/>
              <w:right w:w="57" w:type="dxa"/>
            </w:tcMar>
            <w:vAlign w:val="center"/>
          </w:tcPr>
          <w:p w14:paraId="7D6449A1">
            <w:pPr>
              <w:jc w:val="center"/>
              <w:rPr>
                <w:rFonts w:hint="eastAsia" w:ascii="宋体" w:hAnsi="宋体" w:cs="宋体"/>
                <w:color w:val="auto"/>
              </w:rPr>
            </w:pPr>
            <w:r>
              <w:rPr>
                <w:rFonts w:hint="eastAsia" w:ascii="宋体" w:hAnsi="宋体" w:cs="宋体"/>
                <w:color w:val="auto"/>
              </w:rPr>
              <w:t>2.1.1</w:t>
            </w:r>
          </w:p>
        </w:tc>
        <w:tc>
          <w:tcPr>
            <w:tcW w:w="1085" w:type="dxa"/>
            <w:vMerge w:val="restart"/>
            <w:tcMar>
              <w:top w:w="0" w:type="dxa"/>
              <w:left w:w="57" w:type="dxa"/>
              <w:bottom w:w="0" w:type="dxa"/>
              <w:right w:w="57" w:type="dxa"/>
            </w:tcMar>
            <w:vAlign w:val="center"/>
          </w:tcPr>
          <w:p w14:paraId="0B69A266">
            <w:pPr>
              <w:jc w:val="center"/>
              <w:rPr>
                <w:rFonts w:hint="eastAsia" w:ascii="宋体" w:hAnsi="宋体" w:cs="宋体"/>
                <w:color w:val="auto"/>
              </w:rPr>
            </w:pPr>
            <w:r>
              <w:rPr>
                <w:rFonts w:hint="eastAsia" w:ascii="宋体" w:hAnsi="宋体" w:cs="宋体"/>
                <w:color w:val="auto"/>
              </w:rPr>
              <w:t>形式评审标准</w:t>
            </w:r>
          </w:p>
        </w:tc>
        <w:tc>
          <w:tcPr>
            <w:tcW w:w="1946" w:type="dxa"/>
            <w:gridSpan w:val="2"/>
            <w:tcMar>
              <w:top w:w="0" w:type="dxa"/>
              <w:left w:w="57" w:type="dxa"/>
              <w:bottom w:w="0" w:type="dxa"/>
              <w:right w:w="57" w:type="dxa"/>
            </w:tcMar>
            <w:vAlign w:val="center"/>
          </w:tcPr>
          <w:p w14:paraId="6E87CEBC">
            <w:pPr>
              <w:rPr>
                <w:rFonts w:hint="eastAsia" w:ascii="宋体" w:hAnsi="宋体" w:cs="宋体"/>
                <w:color w:val="auto"/>
              </w:rPr>
            </w:pPr>
            <w:r>
              <w:rPr>
                <w:rFonts w:hint="eastAsia" w:ascii="宋体" w:hAnsi="宋体" w:cs="宋体"/>
                <w:color w:val="auto"/>
              </w:rPr>
              <w:t>投标人名称</w:t>
            </w:r>
          </w:p>
        </w:tc>
        <w:tc>
          <w:tcPr>
            <w:tcW w:w="5599" w:type="dxa"/>
            <w:vAlign w:val="center"/>
          </w:tcPr>
          <w:p w14:paraId="6B12FE87">
            <w:pPr>
              <w:spacing w:line="240" w:lineRule="exact"/>
              <w:rPr>
                <w:rFonts w:hint="eastAsia" w:ascii="宋体" w:hAnsi="宋体" w:cs="宋体"/>
                <w:color w:val="auto"/>
              </w:rPr>
            </w:pPr>
            <w:r>
              <w:rPr>
                <w:rFonts w:hint="eastAsia" w:ascii="宋体" w:hAnsi="宋体" w:cs="宋体"/>
                <w:color w:val="auto"/>
              </w:rPr>
              <w:t>与营业执照、资质证书一致，香港企业参加投标的，须在广东省住房和城乡建设主管部门备案且备案的业务范围满足本项目资质要求。</w:t>
            </w:r>
          </w:p>
        </w:tc>
      </w:tr>
      <w:tr w14:paraId="57E4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809" w:type="dxa"/>
            <w:vMerge w:val="continue"/>
            <w:tcMar>
              <w:top w:w="0" w:type="dxa"/>
              <w:left w:w="57" w:type="dxa"/>
              <w:bottom w:w="0" w:type="dxa"/>
              <w:right w:w="57" w:type="dxa"/>
            </w:tcMar>
            <w:vAlign w:val="center"/>
          </w:tcPr>
          <w:p w14:paraId="798BD6FB">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04C36102">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566D4D16">
            <w:pPr>
              <w:rPr>
                <w:rFonts w:hint="eastAsia" w:ascii="宋体" w:hAnsi="宋体" w:cs="宋体"/>
                <w:color w:val="auto"/>
              </w:rPr>
            </w:pPr>
            <w:r>
              <w:rPr>
                <w:rFonts w:hint="eastAsia" w:ascii="宋体" w:hAnsi="宋体" w:cs="宋体"/>
                <w:color w:val="auto"/>
              </w:rPr>
              <w:t>投标函及投标函附录签字盖章</w:t>
            </w:r>
          </w:p>
        </w:tc>
        <w:tc>
          <w:tcPr>
            <w:tcW w:w="5599" w:type="dxa"/>
            <w:vAlign w:val="center"/>
          </w:tcPr>
          <w:p w14:paraId="3A332A25">
            <w:pPr>
              <w:spacing w:line="240" w:lineRule="exact"/>
              <w:rPr>
                <w:rFonts w:hint="eastAsia" w:ascii="宋体" w:hAnsi="宋体" w:cs="宋体"/>
                <w:color w:val="auto"/>
              </w:rPr>
            </w:pPr>
            <w:r>
              <w:rPr>
                <w:rFonts w:hint="eastAsia" w:ascii="宋体" w:hAnsi="宋体" w:cs="宋体"/>
                <w:color w:val="auto"/>
              </w:rPr>
              <w:t>有法定代表人或其委托代理人签字（或盖章）并加盖单位电子印章。由法定代表人签字（或盖章）的，应附法定代表人身份证明书，由代理人签字或盖章的，应附授权委托书，身份证明或授权委托书应符合第六章“投标文件格式”的规定。</w:t>
            </w:r>
          </w:p>
        </w:tc>
      </w:tr>
      <w:tr w14:paraId="2C0A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809" w:type="dxa"/>
            <w:vMerge w:val="continue"/>
            <w:tcMar>
              <w:top w:w="0" w:type="dxa"/>
              <w:left w:w="57" w:type="dxa"/>
              <w:bottom w:w="0" w:type="dxa"/>
              <w:right w:w="57" w:type="dxa"/>
            </w:tcMar>
            <w:vAlign w:val="center"/>
          </w:tcPr>
          <w:p w14:paraId="7B2E7899">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40D58C61">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5B773662">
            <w:pPr>
              <w:rPr>
                <w:rFonts w:hint="eastAsia" w:ascii="宋体" w:hAnsi="宋体" w:cs="宋体"/>
                <w:color w:val="auto"/>
              </w:rPr>
            </w:pPr>
            <w:r>
              <w:rPr>
                <w:rFonts w:hint="eastAsia" w:ascii="宋体" w:hAnsi="宋体" w:cs="宋体"/>
                <w:color w:val="auto"/>
              </w:rPr>
              <w:t>投标文件格式</w:t>
            </w:r>
          </w:p>
        </w:tc>
        <w:tc>
          <w:tcPr>
            <w:tcW w:w="5599" w:type="dxa"/>
            <w:vAlign w:val="center"/>
          </w:tcPr>
          <w:p w14:paraId="076E42F1">
            <w:pPr>
              <w:rPr>
                <w:rFonts w:hint="eastAsia" w:ascii="宋体" w:hAnsi="宋体" w:cs="宋体"/>
                <w:color w:val="auto"/>
                <w:u w:val="single"/>
              </w:rPr>
            </w:pPr>
            <w:r>
              <w:rPr>
                <w:rFonts w:hint="eastAsia" w:ascii="宋体" w:hAnsi="宋体" w:cs="宋体"/>
                <w:color w:val="auto"/>
                <w:u w:val="single"/>
              </w:rPr>
              <w:t>符合第六章“投标文件格式”的规定。</w:t>
            </w:r>
          </w:p>
        </w:tc>
      </w:tr>
      <w:tr w14:paraId="6215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09" w:type="dxa"/>
            <w:vMerge w:val="continue"/>
            <w:tcMar>
              <w:top w:w="0" w:type="dxa"/>
              <w:left w:w="57" w:type="dxa"/>
              <w:bottom w:w="0" w:type="dxa"/>
              <w:right w:w="57" w:type="dxa"/>
            </w:tcMar>
            <w:vAlign w:val="center"/>
          </w:tcPr>
          <w:p w14:paraId="37B0BF78">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12AE433A">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4255B960">
            <w:pPr>
              <w:rPr>
                <w:rFonts w:hint="eastAsia" w:ascii="宋体" w:hAnsi="宋体" w:cs="宋体"/>
                <w:color w:val="auto"/>
              </w:rPr>
            </w:pPr>
            <w:r>
              <w:rPr>
                <w:rFonts w:hint="eastAsia" w:ascii="宋体" w:hAnsi="宋体" w:cs="宋体"/>
                <w:color w:val="auto"/>
              </w:rPr>
              <w:t>联合体投标人</w:t>
            </w:r>
          </w:p>
        </w:tc>
        <w:tc>
          <w:tcPr>
            <w:tcW w:w="5599" w:type="dxa"/>
            <w:vAlign w:val="center"/>
          </w:tcPr>
          <w:p w14:paraId="6DB55F47">
            <w:pPr>
              <w:rPr>
                <w:rFonts w:hint="eastAsia" w:ascii="宋体" w:hAnsi="宋体" w:cs="宋体"/>
                <w:color w:val="auto"/>
                <w:u w:val="single"/>
              </w:rPr>
            </w:pPr>
            <w:r>
              <w:rPr>
                <w:rFonts w:hint="eastAsia" w:ascii="宋体" w:hAnsi="宋体" w:cs="宋体"/>
                <w:color w:val="auto"/>
                <w:u w:val="single"/>
              </w:rPr>
              <w:t>接受联合体投标。符合第二章“投标人须知”第1.4.2项规定</w:t>
            </w:r>
          </w:p>
        </w:tc>
      </w:tr>
      <w:tr w14:paraId="7112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09" w:type="dxa"/>
            <w:vMerge w:val="continue"/>
            <w:tcMar>
              <w:top w:w="0" w:type="dxa"/>
              <w:left w:w="57" w:type="dxa"/>
              <w:bottom w:w="0" w:type="dxa"/>
              <w:right w:w="57" w:type="dxa"/>
            </w:tcMar>
            <w:vAlign w:val="center"/>
          </w:tcPr>
          <w:p w14:paraId="611E2F74">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5E0F5A4B">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E07D155">
            <w:pPr>
              <w:rPr>
                <w:rFonts w:hint="eastAsia" w:ascii="宋体" w:hAnsi="宋体" w:cs="宋体"/>
                <w:color w:val="auto"/>
              </w:rPr>
            </w:pPr>
            <w:r>
              <w:rPr>
                <w:rFonts w:hint="eastAsia" w:ascii="宋体" w:hAnsi="宋体" w:cs="宋体"/>
                <w:color w:val="auto"/>
              </w:rPr>
              <w:t>备选投标方案</w:t>
            </w:r>
          </w:p>
        </w:tc>
        <w:tc>
          <w:tcPr>
            <w:tcW w:w="5599" w:type="dxa"/>
            <w:vAlign w:val="center"/>
          </w:tcPr>
          <w:p w14:paraId="5CF65470">
            <w:pPr>
              <w:spacing w:line="240" w:lineRule="exact"/>
              <w:rPr>
                <w:rFonts w:hint="eastAsia" w:ascii="宋体" w:hAnsi="宋体" w:cs="宋体"/>
                <w:color w:val="auto"/>
              </w:rPr>
            </w:pPr>
            <w:r>
              <w:rPr>
                <w:rFonts w:hint="eastAsia" w:ascii="宋体" w:hAnsi="宋体" w:cs="宋体"/>
                <w:color w:val="auto"/>
              </w:rPr>
              <w:t>不接受备选投标方案。</w:t>
            </w:r>
          </w:p>
        </w:tc>
      </w:tr>
      <w:tr w14:paraId="3FF6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809" w:type="dxa"/>
            <w:vMerge w:val="continue"/>
            <w:tcMar>
              <w:top w:w="0" w:type="dxa"/>
              <w:left w:w="57" w:type="dxa"/>
              <w:bottom w:w="0" w:type="dxa"/>
              <w:right w:w="57" w:type="dxa"/>
            </w:tcMar>
            <w:vAlign w:val="center"/>
          </w:tcPr>
          <w:p w14:paraId="6159CF55">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4D73DE66">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7127C5D2">
            <w:pPr>
              <w:rPr>
                <w:rFonts w:hint="eastAsia" w:ascii="宋体" w:hAnsi="宋体" w:cs="宋体"/>
                <w:color w:val="auto"/>
              </w:rPr>
            </w:pPr>
            <w:r>
              <w:rPr>
                <w:rFonts w:hint="eastAsia" w:ascii="宋体" w:hAnsi="宋体" w:cs="宋体"/>
                <w:color w:val="auto"/>
              </w:rPr>
              <w:t>投标人机器码</w:t>
            </w:r>
          </w:p>
        </w:tc>
        <w:tc>
          <w:tcPr>
            <w:tcW w:w="5599" w:type="dxa"/>
            <w:vAlign w:val="center"/>
          </w:tcPr>
          <w:p w14:paraId="1DDCF02B">
            <w:pPr>
              <w:spacing w:line="240" w:lineRule="exact"/>
              <w:rPr>
                <w:rFonts w:hint="eastAsia" w:ascii="宋体" w:hAnsi="宋体" w:cs="宋体"/>
                <w:color w:val="auto"/>
              </w:rPr>
            </w:pPr>
            <w:r>
              <w:rPr>
                <w:rFonts w:hint="eastAsia" w:ascii="宋体" w:hAnsi="宋体" w:cs="宋体"/>
                <w:color w:val="auto"/>
              </w:rPr>
              <w:t>本项目不同投标人加密打包投标文件电脑机器特征码相同，视为不合格。(以广州交易集团有限公司（广州公共资源交易中心）评标系统的检索信息为准)。</w:t>
            </w:r>
          </w:p>
        </w:tc>
      </w:tr>
      <w:tr w14:paraId="5065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809" w:type="dxa"/>
            <w:vMerge w:val="restart"/>
            <w:tcMar>
              <w:top w:w="0" w:type="dxa"/>
              <w:left w:w="57" w:type="dxa"/>
              <w:bottom w:w="0" w:type="dxa"/>
              <w:right w:w="57" w:type="dxa"/>
            </w:tcMar>
            <w:vAlign w:val="center"/>
          </w:tcPr>
          <w:p w14:paraId="6A7017A1">
            <w:pPr>
              <w:jc w:val="center"/>
              <w:rPr>
                <w:rFonts w:hint="eastAsia" w:ascii="宋体" w:hAnsi="宋体" w:cs="宋体"/>
                <w:color w:val="auto"/>
              </w:rPr>
            </w:pPr>
            <w:r>
              <w:rPr>
                <w:rFonts w:hint="eastAsia" w:ascii="宋体" w:hAnsi="宋体" w:cs="宋体"/>
                <w:color w:val="auto"/>
              </w:rPr>
              <w:t>2.1.2</w:t>
            </w:r>
          </w:p>
        </w:tc>
        <w:tc>
          <w:tcPr>
            <w:tcW w:w="1085" w:type="dxa"/>
            <w:vMerge w:val="restart"/>
            <w:tcMar>
              <w:top w:w="0" w:type="dxa"/>
              <w:left w:w="57" w:type="dxa"/>
              <w:bottom w:w="0" w:type="dxa"/>
              <w:right w:w="57" w:type="dxa"/>
            </w:tcMar>
            <w:vAlign w:val="center"/>
          </w:tcPr>
          <w:p w14:paraId="6947606A">
            <w:pPr>
              <w:jc w:val="center"/>
              <w:rPr>
                <w:rFonts w:hint="eastAsia" w:ascii="宋体" w:hAnsi="宋体" w:cs="宋体"/>
                <w:color w:val="auto"/>
              </w:rPr>
            </w:pPr>
            <w:r>
              <w:rPr>
                <w:rFonts w:hint="eastAsia" w:ascii="宋体" w:hAnsi="宋体" w:cs="宋体"/>
                <w:color w:val="auto"/>
              </w:rPr>
              <w:t>资格评审</w:t>
            </w:r>
          </w:p>
          <w:p w14:paraId="724AB60B">
            <w:pPr>
              <w:jc w:val="center"/>
              <w:rPr>
                <w:rFonts w:hint="eastAsia" w:ascii="宋体" w:hAnsi="宋体" w:cs="宋体"/>
                <w:color w:val="auto"/>
              </w:rPr>
            </w:pPr>
            <w:r>
              <w:rPr>
                <w:rFonts w:hint="eastAsia" w:ascii="宋体" w:hAnsi="宋体" w:cs="宋体"/>
                <w:color w:val="auto"/>
              </w:rPr>
              <w:t>标    准</w:t>
            </w:r>
          </w:p>
        </w:tc>
        <w:tc>
          <w:tcPr>
            <w:tcW w:w="1946" w:type="dxa"/>
            <w:gridSpan w:val="2"/>
            <w:tcMar>
              <w:top w:w="0" w:type="dxa"/>
              <w:left w:w="57" w:type="dxa"/>
              <w:bottom w:w="0" w:type="dxa"/>
              <w:right w:w="57" w:type="dxa"/>
            </w:tcMar>
            <w:vAlign w:val="center"/>
          </w:tcPr>
          <w:p w14:paraId="3736C7A5">
            <w:pPr>
              <w:rPr>
                <w:rFonts w:hint="eastAsia" w:ascii="宋体" w:hAnsi="宋体" w:cs="宋体"/>
                <w:color w:val="auto"/>
              </w:rPr>
            </w:pPr>
            <w:r>
              <w:rPr>
                <w:rFonts w:hint="eastAsia" w:ascii="宋体" w:hAnsi="宋体" w:cs="宋体"/>
                <w:color w:val="auto"/>
              </w:rPr>
              <w:t>营业执照</w:t>
            </w:r>
          </w:p>
        </w:tc>
        <w:tc>
          <w:tcPr>
            <w:tcW w:w="5599" w:type="dxa"/>
            <w:vAlign w:val="center"/>
          </w:tcPr>
          <w:p w14:paraId="4B95E453">
            <w:pPr>
              <w:spacing w:line="240" w:lineRule="exact"/>
              <w:rPr>
                <w:rFonts w:hint="eastAsia" w:ascii="宋体" w:hAnsi="宋体" w:cs="宋体"/>
                <w:color w:val="auto"/>
              </w:rPr>
            </w:pPr>
            <w:r>
              <w:rPr>
                <w:rFonts w:hint="eastAsia" w:ascii="宋体" w:hAnsi="宋体" w:cs="宋体"/>
                <w:color w:val="auto"/>
              </w:rPr>
              <w:t>符合第二章“投标人须知”第3.5.1项规定</w:t>
            </w:r>
          </w:p>
        </w:tc>
      </w:tr>
      <w:tr w14:paraId="045F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09" w:type="dxa"/>
            <w:vMerge w:val="continue"/>
            <w:tcMar>
              <w:top w:w="0" w:type="dxa"/>
              <w:left w:w="57" w:type="dxa"/>
              <w:bottom w:w="0" w:type="dxa"/>
              <w:right w:w="57" w:type="dxa"/>
            </w:tcMar>
            <w:vAlign w:val="center"/>
          </w:tcPr>
          <w:p w14:paraId="538CBBD0">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590E0483">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9CFE94A">
            <w:pPr>
              <w:rPr>
                <w:rFonts w:hint="eastAsia" w:ascii="宋体" w:hAnsi="宋体" w:cs="宋体"/>
                <w:color w:val="auto"/>
              </w:rPr>
            </w:pPr>
            <w:r>
              <w:rPr>
                <w:rFonts w:hint="eastAsia" w:ascii="宋体" w:hAnsi="宋体" w:cs="宋体"/>
                <w:color w:val="auto"/>
              </w:rPr>
              <w:t>资质要求</w:t>
            </w:r>
          </w:p>
        </w:tc>
        <w:tc>
          <w:tcPr>
            <w:tcW w:w="5599" w:type="dxa"/>
            <w:vAlign w:val="center"/>
          </w:tcPr>
          <w:p w14:paraId="08356B3E">
            <w:pPr>
              <w:spacing w:line="240" w:lineRule="exact"/>
              <w:rPr>
                <w:rFonts w:hint="eastAsia" w:ascii="宋体" w:hAnsi="宋体" w:cs="宋体"/>
                <w:color w:val="auto"/>
              </w:rPr>
            </w:pPr>
            <w:r>
              <w:rPr>
                <w:rFonts w:hint="eastAsia" w:ascii="宋体" w:hAnsi="宋体" w:cs="宋体"/>
                <w:color w:val="auto"/>
              </w:rPr>
              <w:t>符合第二章“投标人须知”第 1.4.1 项规定</w:t>
            </w:r>
          </w:p>
        </w:tc>
      </w:tr>
      <w:tr w14:paraId="0B22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809" w:type="dxa"/>
            <w:vMerge w:val="continue"/>
            <w:tcMar>
              <w:top w:w="0" w:type="dxa"/>
              <w:left w:w="57" w:type="dxa"/>
              <w:bottom w:w="0" w:type="dxa"/>
              <w:right w:w="57" w:type="dxa"/>
            </w:tcMar>
            <w:vAlign w:val="center"/>
          </w:tcPr>
          <w:p w14:paraId="6B83281F">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21A70D3F">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20B3F797">
            <w:pPr>
              <w:rPr>
                <w:rFonts w:hint="eastAsia" w:ascii="宋体" w:hAnsi="宋体" w:cs="宋体"/>
                <w:color w:val="auto"/>
              </w:rPr>
            </w:pPr>
            <w:r>
              <w:rPr>
                <w:rFonts w:hint="eastAsia" w:ascii="宋体" w:hAnsi="宋体" w:cs="宋体"/>
                <w:strike/>
                <w:color w:val="auto"/>
              </w:rPr>
              <w:t>财务要求</w:t>
            </w:r>
          </w:p>
        </w:tc>
        <w:tc>
          <w:tcPr>
            <w:tcW w:w="5599" w:type="dxa"/>
            <w:vAlign w:val="center"/>
          </w:tcPr>
          <w:p w14:paraId="332E1D32">
            <w:pPr>
              <w:spacing w:line="240" w:lineRule="exact"/>
              <w:rPr>
                <w:rFonts w:hint="eastAsia" w:ascii="宋体" w:hAnsi="宋体" w:cs="宋体"/>
                <w:color w:val="auto"/>
              </w:rPr>
            </w:pPr>
            <w:r>
              <w:rPr>
                <w:rFonts w:hint="eastAsia" w:ascii="宋体" w:hAnsi="宋体" w:cs="宋体"/>
                <w:color w:val="auto"/>
              </w:rPr>
              <w:t>/</w:t>
            </w:r>
          </w:p>
        </w:tc>
      </w:tr>
      <w:tr w14:paraId="3CEF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809" w:type="dxa"/>
            <w:vMerge w:val="continue"/>
            <w:tcMar>
              <w:top w:w="0" w:type="dxa"/>
              <w:left w:w="57" w:type="dxa"/>
              <w:bottom w:w="0" w:type="dxa"/>
              <w:right w:w="57" w:type="dxa"/>
            </w:tcMar>
            <w:vAlign w:val="center"/>
          </w:tcPr>
          <w:p w14:paraId="509DDD62">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5342E5C5">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4875A95B">
            <w:pPr>
              <w:rPr>
                <w:rFonts w:hint="eastAsia" w:ascii="宋体" w:hAnsi="宋体" w:cs="宋体"/>
                <w:color w:val="auto"/>
              </w:rPr>
            </w:pPr>
            <w:r>
              <w:rPr>
                <w:rFonts w:hint="eastAsia" w:ascii="宋体" w:hAnsi="宋体" w:cs="宋体"/>
                <w:strike/>
                <w:color w:val="auto"/>
              </w:rPr>
              <w:t>业绩要求</w:t>
            </w:r>
          </w:p>
        </w:tc>
        <w:tc>
          <w:tcPr>
            <w:tcW w:w="5599" w:type="dxa"/>
            <w:vAlign w:val="center"/>
          </w:tcPr>
          <w:p w14:paraId="64EEEC63">
            <w:pPr>
              <w:spacing w:line="240" w:lineRule="exact"/>
              <w:rPr>
                <w:rFonts w:hint="eastAsia" w:ascii="宋体" w:hAnsi="宋体" w:cs="宋体"/>
                <w:color w:val="auto"/>
              </w:rPr>
            </w:pPr>
            <w:r>
              <w:rPr>
                <w:rFonts w:hint="eastAsia" w:ascii="宋体" w:hAnsi="宋体" w:cs="宋体"/>
                <w:color w:val="auto"/>
              </w:rPr>
              <w:t>/</w:t>
            </w:r>
          </w:p>
        </w:tc>
      </w:tr>
      <w:tr w14:paraId="1289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809" w:type="dxa"/>
            <w:vMerge w:val="continue"/>
            <w:tcMar>
              <w:top w:w="0" w:type="dxa"/>
              <w:left w:w="57" w:type="dxa"/>
              <w:bottom w:w="0" w:type="dxa"/>
              <w:right w:w="57" w:type="dxa"/>
            </w:tcMar>
            <w:vAlign w:val="center"/>
          </w:tcPr>
          <w:p w14:paraId="4946A127">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35A1317B">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3F40D22">
            <w:pPr>
              <w:rPr>
                <w:rFonts w:hint="eastAsia" w:ascii="宋体" w:hAnsi="宋体" w:cs="宋体"/>
                <w:color w:val="auto"/>
              </w:rPr>
            </w:pPr>
            <w:r>
              <w:rPr>
                <w:rFonts w:hint="eastAsia" w:ascii="宋体" w:hAnsi="宋体" w:cs="宋体"/>
                <w:strike/>
                <w:color w:val="auto"/>
              </w:rPr>
              <w:t>信誉要求</w:t>
            </w:r>
          </w:p>
        </w:tc>
        <w:tc>
          <w:tcPr>
            <w:tcW w:w="5599" w:type="dxa"/>
            <w:vAlign w:val="center"/>
          </w:tcPr>
          <w:p w14:paraId="44A895D6">
            <w:pPr>
              <w:spacing w:line="240" w:lineRule="exact"/>
              <w:rPr>
                <w:rFonts w:hint="eastAsia" w:ascii="宋体" w:hAnsi="宋体" w:cs="宋体"/>
                <w:color w:val="auto"/>
              </w:rPr>
            </w:pPr>
            <w:r>
              <w:rPr>
                <w:rFonts w:hint="eastAsia" w:ascii="宋体" w:hAnsi="宋体" w:cs="宋体"/>
                <w:color w:val="auto"/>
              </w:rPr>
              <w:t>/</w:t>
            </w:r>
          </w:p>
        </w:tc>
      </w:tr>
      <w:tr w14:paraId="61BE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809" w:type="dxa"/>
            <w:vMerge w:val="continue"/>
            <w:vAlign w:val="center"/>
          </w:tcPr>
          <w:p w14:paraId="2ED14082">
            <w:pPr>
              <w:widowControl/>
              <w:jc w:val="left"/>
              <w:rPr>
                <w:rFonts w:hint="eastAsia" w:ascii="宋体" w:hAnsi="宋体" w:cs="宋体"/>
                <w:color w:val="auto"/>
              </w:rPr>
            </w:pPr>
          </w:p>
        </w:tc>
        <w:tc>
          <w:tcPr>
            <w:tcW w:w="1085" w:type="dxa"/>
            <w:vMerge w:val="continue"/>
            <w:vAlign w:val="center"/>
          </w:tcPr>
          <w:p w14:paraId="2CA491C5">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4079048A">
            <w:pPr>
              <w:rPr>
                <w:rFonts w:hint="eastAsia" w:ascii="宋体" w:hAnsi="宋体" w:cs="宋体"/>
                <w:color w:val="auto"/>
              </w:rPr>
            </w:pPr>
            <w:r>
              <w:rPr>
                <w:rFonts w:hint="eastAsia" w:ascii="宋体" w:hAnsi="宋体" w:cs="宋体"/>
                <w:color w:val="auto"/>
              </w:rPr>
              <w:t>总监理工程师</w:t>
            </w:r>
          </w:p>
        </w:tc>
        <w:tc>
          <w:tcPr>
            <w:tcW w:w="5599" w:type="dxa"/>
            <w:vAlign w:val="center"/>
          </w:tcPr>
          <w:p w14:paraId="7DAFF107">
            <w:pPr>
              <w:spacing w:line="240" w:lineRule="exact"/>
              <w:rPr>
                <w:rFonts w:hint="eastAsia" w:ascii="宋体" w:hAnsi="宋体" w:cs="宋体"/>
                <w:color w:val="auto"/>
              </w:rPr>
            </w:pPr>
            <w:r>
              <w:rPr>
                <w:rFonts w:hint="eastAsia" w:ascii="宋体" w:hAnsi="宋体" w:cs="宋体"/>
                <w:color w:val="auto"/>
              </w:rPr>
              <w:t>符合第二章“投标人须知”第 1.4.1 项规定</w:t>
            </w:r>
          </w:p>
        </w:tc>
      </w:tr>
      <w:tr w14:paraId="1144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09" w:type="dxa"/>
            <w:vMerge w:val="continue"/>
            <w:vAlign w:val="center"/>
          </w:tcPr>
          <w:p w14:paraId="69A6D457">
            <w:pPr>
              <w:widowControl/>
              <w:jc w:val="left"/>
              <w:rPr>
                <w:rFonts w:hint="eastAsia" w:ascii="宋体" w:hAnsi="宋体" w:cs="宋体"/>
                <w:color w:val="auto"/>
              </w:rPr>
            </w:pPr>
          </w:p>
        </w:tc>
        <w:tc>
          <w:tcPr>
            <w:tcW w:w="1085" w:type="dxa"/>
            <w:vMerge w:val="continue"/>
            <w:vAlign w:val="center"/>
          </w:tcPr>
          <w:p w14:paraId="402CF1DC">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1747601D">
            <w:pPr>
              <w:rPr>
                <w:rFonts w:hint="eastAsia" w:ascii="宋体" w:hAnsi="宋体" w:cs="宋体"/>
                <w:strike/>
                <w:color w:val="auto"/>
              </w:rPr>
            </w:pPr>
            <w:r>
              <w:rPr>
                <w:rFonts w:hint="eastAsia" w:ascii="宋体" w:hAnsi="宋体" w:cs="宋体"/>
                <w:strike/>
                <w:color w:val="auto"/>
              </w:rPr>
              <w:t>其他主要人员</w:t>
            </w:r>
          </w:p>
        </w:tc>
        <w:tc>
          <w:tcPr>
            <w:tcW w:w="5599" w:type="dxa"/>
            <w:vAlign w:val="center"/>
          </w:tcPr>
          <w:p w14:paraId="283EEE30">
            <w:pPr>
              <w:spacing w:line="240" w:lineRule="exact"/>
              <w:rPr>
                <w:rFonts w:hint="eastAsia" w:ascii="宋体" w:hAnsi="宋体" w:cs="宋体"/>
                <w:color w:val="auto"/>
              </w:rPr>
            </w:pPr>
            <w:r>
              <w:rPr>
                <w:rFonts w:hint="eastAsia" w:ascii="宋体" w:hAnsi="宋体" w:cs="宋体"/>
                <w:color w:val="auto"/>
              </w:rPr>
              <w:t>/</w:t>
            </w:r>
          </w:p>
        </w:tc>
      </w:tr>
      <w:tr w14:paraId="2CA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09" w:type="dxa"/>
            <w:vMerge w:val="continue"/>
            <w:vAlign w:val="center"/>
          </w:tcPr>
          <w:p w14:paraId="06B11110">
            <w:pPr>
              <w:widowControl/>
              <w:jc w:val="left"/>
              <w:rPr>
                <w:rFonts w:hint="eastAsia" w:ascii="宋体" w:hAnsi="宋体" w:cs="宋体"/>
                <w:color w:val="auto"/>
              </w:rPr>
            </w:pPr>
          </w:p>
        </w:tc>
        <w:tc>
          <w:tcPr>
            <w:tcW w:w="1085" w:type="dxa"/>
            <w:vMerge w:val="continue"/>
            <w:vAlign w:val="center"/>
          </w:tcPr>
          <w:p w14:paraId="51E8458A">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56C097D9">
            <w:pPr>
              <w:rPr>
                <w:rFonts w:hint="eastAsia" w:ascii="宋体" w:hAnsi="宋体" w:cs="宋体"/>
                <w:strike/>
                <w:color w:val="auto"/>
              </w:rPr>
            </w:pPr>
            <w:r>
              <w:rPr>
                <w:rFonts w:hint="eastAsia" w:ascii="宋体" w:hAnsi="宋体" w:cs="宋体"/>
                <w:strike/>
                <w:color w:val="auto"/>
              </w:rPr>
              <w:t>试验检测仪器设备要求</w:t>
            </w:r>
          </w:p>
        </w:tc>
        <w:tc>
          <w:tcPr>
            <w:tcW w:w="5599" w:type="dxa"/>
            <w:vAlign w:val="center"/>
          </w:tcPr>
          <w:p w14:paraId="358E3C12">
            <w:pPr>
              <w:spacing w:line="240" w:lineRule="exact"/>
              <w:rPr>
                <w:rFonts w:hint="eastAsia" w:ascii="宋体" w:hAnsi="宋体" w:cs="宋体"/>
                <w:color w:val="auto"/>
              </w:rPr>
            </w:pPr>
            <w:r>
              <w:rPr>
                <w:rFonts w:hint="eastAsia" w:ascii="宋体" w:hAnsi="宋体" w:cs="宋体"/>
                <w:color w:val="auto"/>
              </w:rPr>
              <w:t>/</w:t>
            </w:r>
          </w:p>
        </w:tc>
      </w:tr>
      <w:tr w14:paraId="5E8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809" w:type="dxa"/>
            <w:vMerge w:val="continue"/>
            <w:vAlign w:val="center"/>
          </w:tcPr>
          <w:p w14:paraId="0F350D6D">
            <w:pPr>
              <w:widowControl/>
              <w:jc w:val="left"/>
              <w:rPr>
                <w:rFonts w:hint="eastAsia" w:ascii="宋体" w:hAnsi="宋体" w:cs="宋体"/>
                <w:color w:val="auto"/>
              </w:rPr>
            </w:pPr>
          </w:p>
        </w:tc>
        <w:tc>
          <w:tcPr>
            <w:tcW w:w="1085" w:type="dxa"/>
            <w:vMerge w:val="continue"/>
            <w:vAlign w:val="center"/>
          </w:tcPr>
          <w:p w14:paraId="0150C274">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124083EE">
            <w:pPr>
              <w:rPr>
                <w:rFonts w:hint="eastAsia" w:ascii="宋体" w:hAnsi="宋体" w:cs="宋体"/>
                <w:color w:val="auto"/>
              </w:rPr>
            </w:pPr>
            <w:r>
              <w:rPr>
                <w:rFonts w:hint="eastAsia" w:ascii="宋体" w:hAnsi="宋体" w:cs="宋体"/>
                <w:color w:val="auto"/>
              </w:rPr>
              <w:t>其他要求</w:t>
            </w:r>
          </w:p>
        </w:tc>
        <w:tc>
          <w:tcPr>
            <w:tcW w:w="5599" w:type="dxa"/>
            <w:vAlign w:val="center"/>
          </w:tcPr>
          <w:p w14:paraId="5012063F">
            <w:pPr>
              <w:spacing w:line="240" w:lineRule="exact"/>
              <w:rPr>
                <w:rFonts w:hint="eastAsia" w:ascii="宋体" w:hAnsi="宋体" w:cs="宋体"/>
                <w:color w:val="auto"/>
              </w:rPr>
            </w:pPr>
            <w:r>
              <w:rPr>
                <w:rFonts w:hint="eastAsia" w:ascii="宋体" w:hAnsi="宋体" w:cs="宋体"/>
                <w:color w:val="auto"/>
              </w:rPr>
              <w:t>符合第二章“投标人须知”第 1.4.1 项规定</w:t>
            </w:r>
          </w:p>
        </w:tc>
      </w:tr>
      <w:tr w14:paraId="11A1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809" w:type="dxa"/>
            <w:vMerge w:val="continue"/>
            <w:vAlign w:val="center"/>
          </w:tcPr>
          <w:p w14:paraId="6815D63D">
            <w:pPr>
              <w:widowControl/>
              <w:jc w:val="left"/>
              <w:rPr>
                <w:rFonts w:hint="eastAsia" w:ascii="宋体" w:hAnsi="宋体" w:cs="宋体"/>
                <w:color w:val="auto"/>
              </w:rPr>
            </w:pPr>
          </w:p>
        </w:tc>
        <w:tc>
          <w:tcPr>
            <w:tcW w:w="1085" w:type="dxa"/>
            <w:vMerge w:val="continue"/>
            <w:vAlign w:val="center"/>
          </w:tcPr>
          <w:p w14:paraId="28C8D148">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3B1178F2">
            <w:pPr>
              <w:rPr>
                <w:rFonts w:hint="eastAsia" w:ascii="宋体" w:hAnsi="宋体" w:cs="宋体"/>
                <w:color w:val="auto"/>
              </w:rPr>
            </w:pPr>
            <w:r>
              <w:rPr>
                <w:rFonts w:hint="eastAsia" w:ascii="宋体" w:hAnsi="宋体" w:cs="宋体"/>
                <w:color w:val="auto"/>
              </w:rPr>
              <w:t>联合体投标人</w:t>
            </w:r>
          </w:p>
        </w:tc>
        <w:tc>
          <w:tcPr>
            <w:tcW w:w="5599" w:type="dxa"/>
            <w:vAlign w:val="center"/>
          </w:tcPr>
          <w:p w14:paraId="2859A1D3">
            <w:pPr>
              <w:spacing w:line="240" w:lineRule="exact"/>
              <w:rPr>
                <w:rFonts w:hint="eastAsia" w:ascii="宋体" w:hAnsi="宋体" w:cs="宋体"/>
                <w:color w:val="auto"/>
              </w:rPr>
            </w:pPr>
            <w:r>
              <w:rPr>
                <w:rFonts w:hint="eastAsia" w:ascii="宋体" w:hAnsi="宋体" w:cs="宋体"/>
                <w:color w:val="auto"/>
              </w:rPr>
              <w:t>符合第二章“投标人须知”第 1.4.2 项规定</w:t>
            </w:r>
          </w:p>
        </w:tc>
      </w:tr>
      <w:tr w14:paraId="55F7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09" w:type="dxa"/>
            <w:vMerge w:val="continue"/>
            <w:vAlign w:val="center"/>
          </w:tcPr>
          <w:p w14:paraId="0A48B77F">
            <w:pPr>
              <w:widowControl/>
              <w:jc w:val="left"/>
              <w:rPr>
                <w:rFonts w:hint="eastAsia" w:ascii="宋体" w:hAnsi="宋体" w:cs="宋体"/>
                <w:color w:val="auto"/>
              </w:rPr>
            </w:pPr>
          </w:p>
        </w:tc>
        <w:tc>
          <w:tcPr>
            <w:tcW w:w="1085" w:type="dxa"/>
            <w:vMerge w:val="continue"/>
            <w:vAlign w:val="center"/>
          </w:tcPr>
          <w:p w14:paraId="22B43A70">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7732901C">
            <w:pPr>
              <w:spacing w:line="240" w:lineRule="atLeast"/>
              <w:rPr>
                <w:rFonts w:hint="eastAsia" w:ascii="宋体" w:hAnsi="宋体" w:cs="宋体"/>
                <w:color w:val="auto"/>
              </w:rPr>
            </w:pPr>
            <w:r>
              <w:rPr>
                <w:rFonts w:hint="eastAsia" w:ascii="宋体" w:hAnsi="宋体" w:cs="宋体"/>
                <w:color w:val="auto"/>
              </w:rPr>
              <w:t>不存在禁止投标的情形</w:t>
            </w:r>
          </w:p>
        </w:tc>
        <w:tc>
          <w:tcPr>
            <w:tcW w:w="5599" w:type="dxa"/>
            <w:vAlign w:val="center"/>
          </w:tcPr>
          <w:p w14:paraId="69CF6F91">
            <w:pPr>
              <w:spacing w:line="240" w:lineRule="exact"/>
              <w:rPr>
                <w:rFonts w:hint="eastAsia" w:ascii="宋体" w:hAnsi="宋体" w:cs="宋体"/>
                <w:color w:val="auto"/>
              </w:rPr>
            </w:pPr>
            <w:r>
              <w:rPr>
                <w:rFonts w:hint="eastAsia" w:ascii="宋体" w:hAnsi="宋体" w:cs="宋体"/>
                <w:color w:val="auto"/>
              </w:rPr>
              <w:t>不存在第二章“投标人须知”第 1.4.3 项规定的任何一种情形</w:t>
            </w:r>
          </w:p>
        </w:tc>
      </w:tr>
      <w:tr w14:paraId="298C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09" w:type="dxa"/>
            <w:vMerge w:val="restart"/>
            <w:tcMar>
              <w:top w:w="0" w:type="dxa"/>
              <w:left w:w="57" w:type="dxa"/>
              <w:bottom w:w="0" w:type="dxa"/>
              <w:right w:w="57" w:type="dxa"/>
            </w:tcMar>
            <w:vAlign w:val="center"/>
          </w:tcPr>
          <w:p w14:paraId="2398F7B2">
            <w:pPr>
              <w:jc w:val="center"/>
              <w:rPr>
                <w:rFonts w:hint="eastAsia" w:ascii="宋体" w:hAnsi="宋体" w:cs="宋体"/>
                <w:color w:val="auto"/>
              </w:rPr>
            </w:pPr>
            <w:r>
              <w:rPr>
                <w:rFonts w:hint="eastAsia" w:ascii="宋体" w:hAnsi="宋体" w:cs="宋体"/>
                <w:color w:val="auto"/>
              </w:rPr>
              <w:t>2.1.3</w:t>
            </w:r>
          </w:p>
        </w:tc>
        <w:tc>
          <w:tcPr>
            <w:tcW w:w="1085" w:type="dxa"/>
            <w:vMerge w:val="restart"/>
            <w:tcMar>
              <w:top w:w="0" w:type="dxa"/>
              <w:left w:w="57" w:type="dxa"/>
              <w:bottom w:w="0" w:type="dxa"/>
              <w:right w:w="57" w:type="dxa"/>
            </w:tcMar>
            <w:vAlign w:val="center"/>
          </w:tcPr>
          <w:p w14:paraId="3E632495">
            <w:pPr>
              <w:jc w:val="center"/>
              <w:rPr>
                <w:rFonts w:hint="eastAsia" w:ascii="宋体" w:hAnsi="宋体" w:cs="宋体"/>
                <w:color w:val="auto"/>
              </w:rPr>
            </w:pPr>
            <w:r>
              <w:rPr>
                <w:rFonts w:hint="eastAsia" w:ascii="宋体" w:hAnsi="宋体" w:cs="宋体"/>
                <w:color w:val="auto"/>
              </w:rPr>
              <w:t>响应性评审标准</w:t>
            </w:r>
          </w:p>
        </w:tc>
        <w:tc>
          <w:tcPr>
            <w:tcW w:w="1946" w:type="dxa"/>
            <w:gridSpan w:val="2"/>
            <w:tcMar>
              <w:top w:w="0" w:type="dxa"/>
              <w:left w:w="57" w:type="dxa"/>
              <w:bottom w:w="0" w:type="dxa"/>
              <w:right w:w="57" w:type="dxa"/>
            </w:tcMar>
            <w:vAlign w:val="center"/>
          </w:tcPr>
          <w:p w14:paraId="7C7F3574">
            <w:pPr>
              <w:rPr>
                <w:rFonts w:hint="eastAsia" w:ascii="宋体" w:hAnsi="宋体" w:cs="宋体"/>
                <w:color w:val="auto"/>
              </w:rPr>
            </w:pPr>
            <w:r>
              <w:rPr>
                <w:rFonts w:hint="eastAsia" w:ascii="宋体" w:hAnsi="宋体" w:cs="宋体"/>
                <w:color w:val="auto"/>
              </w:rPr>
              <w:t>投标文件</w:t>
            </w:r>
          </w:p>
        </w:tc>
        <w:tc>
          <w:tcPr>
            <w:tcW w:w="5599" w:type="dxa"/>
            <w:vAlign w:val="center"/>
          </w:tcPr>
          <w:p w14:paraId="37328E5D">
            <w:pPr>
              <w:rPr>
                <w:rFonts w:hint="eastAsia" w:ascii="宋体" w:hAnsi="宋体" w:cs="宋体"/>
                <w:color w:val="auto"/>
              </w:rPr>
            </w:pPr>
            <w:r>
              <w:rPr>
                <w:rFonts w:hint="eastAsia" w:ascii="宋体" w:hAnsi="宋体" w:cs="宋体"/>
                <w:color w:val="auto"/>
              </w:rPr>
              <w:t>投标文件所列投标人名称、总监理工程师与投标登记时一致；</w:t>
            </w:r>
          </w:p>
        </w:tc>
      </w:tr>
      <w:tr w14:paraId="5AE8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09" w:type="dxa"/>
            <w:vMerge w:val="continue"/>
            <w:tcMar>
              <w:top w:w="0" w:type="dxa"/>
              <w:left w:w="57" w:type="dxa"/>
              <w:bottom w:w="0" w:type="dxa"/>
              <w:right w:w="57" w:type="dxa"/>
            </w:tcMar>
            <w:vAlign w:val="center"/>
          </w:tcPr>
          <w:p w14:paraId="08D5D375">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0E1DDD70">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2AC4D26D">
            <w:pPr>
              <w:rPr>
                <w:rFonts w:hint="eastAsia" w:ascii="宋体" w:hAnsi="宋体" w:cs="宋体"/>
                <w:color w:val="auto"/>
              </w:rPr>
            </w:pPr>
            <w:r>
              <w:rPr>
                <w:rFonts w:hint="eastAsia" w:ascii="宋体" w:hAnsi="宋体" w:cs="宋体"/>
                <w:color w:val="auto"/>
              </w:rPr>
              <w:t>投标报价</w:t>
            </w:r>
          </w:p>
        </w:tc>
        <w:tc>
          <w:tcPr>
            <w:tcW w:w="5599" w:type="dxa"/>
            <w:vAlign w:val="center"/>
          </w:tcPr>
          <w:p w14:paraId="5BC9770A">
            <w:pPr>
              <w:spacing w:line="240" w:lineRule="exact"/>
              <w:rPr>
                <w:rFonts w:hint="eastAsia" w:ascii="宋体" w:hAnsi="宋体" w:cs="宋体"/>
                <w:color w:val="auto"/>
              </w:rPr>
            </w:pPr>
            <w:r>
              <w:rPr>
                <w:rFonts w:hint="eastAsia" w:ascii="宋体" w:hAnsi="宋体" w:cs="宋体"/>
                <w:color w:val="auto"/>
              </w:rPr>
              <w:t>符合第二章“投标人须知”第3.2款规定，对同一招标项目没有出现：两个或以上的投标报价且修正无依据。</w:t>
            </w:r>
          </w:p>
        </w:tc>
      </w:tr>
      <w:tr w14:paraId="49C5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809" w:type="dxa"/>
            <w:vMerge w:val="continue"/>
            <w:tcMar>
              <w:top w:w="0" w:type="dxa"/>
              <w:left w:w="57" w:type="dxa"/>
              <w:bottom w:w="0" w:type="dxa"/>
              <w:right w:w="57" w:type="dxa"/>
            </w:tcMar>
            <w:vAlign w:val="center"/>
          </w:tcPr>
          <w:p w14:paraId="276F5950">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75C2144C">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31919754">
            <w:pPr>
              <w:rPr>
                <w:rFonts w:hint="eastAsia" w:ascii="宋体" w:hAnsi="宋体" w:cs="宋体"/>
                <w:color w:val="auto"/>
              </w:rPr>
            </w:pPr>
            <w:r>
              <w:rPr>
                <w:rFonts w:hint="eastAsia" w:ascii="宋体" w:hAnsi="宋体" w:cs="宋体"/>
                <w:color w:val="auto"/>
              </w:rPr>
              <w:t>投标内容</w:t>
            </w:r>
          </w:p>
        </w:tc>
        <w:tc>
          <w:tcPr>
            <w:tcW w:w="5599" w:type="dxa"/>
            <w:vAlign w:val="center"/>
          </w:tcPr>
          <w:p w14:paraId="396744C3">
            <w:pPr>
              <w:spacing w:line="240" w:lineRule="exact"/>
              <w:rPr>
                <w:rFonts w:hint="eastAsia" w:ascii="宋体" w:hAnsi="宋体" w:cs="宋体"/>
                <w:color w:val="auto"/>
              </w:rPr>
            </w:pPr>
            <w:r>
              <w:rPr>
                <w:rFonts w:hint="eastAsia" w:ascii="宋体" w:hAnsi="宋体" w:cs="宋体"/>
                <w:color w:val="auto"/>
              </w:rPr>
              <w:t>符合第二章“投标人须知”第 1.3.1 项规定，投标文件按规定的格式填写，内容齐全或关键字迹清晰、容易辨认；</w:t>
            </w:r>
          </w:p>
        </w:tc>
      </w:tr>
      <w:tr w14:paraId="0F48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09" w:type="dxa"/>
            <w:vMerge w:val="continue"/>
            <w:tcMar>
              <w:top w:w="0" w:type="dxa"/>
              <w:left w:w="57" w:type="dxa"/>
              <w:bottom w:w="0" w:type="dxa"/>
              <w:right w:w="57" w:type="dxa"/>
            </w:tcMar>
            <w:vAlign w:val="center"/>
          </w:tcPr>
          <w:p w14:paraId="42417FF2">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65D63A88">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66906884">
            <w:pPr>
              <w:rPr>
                <w:rFonts w:hint="eastAsia" w:ascii="宋体" w:hAnsi="宋体" w:cs="宋体"/>
                <w:color w:val="auto"/>
              </w:rPr>
            </w:pPr>
            <w:r>
              <w:rPr>
                <w:rFonts w:hint="eastAsia" w:ascii="宋体" w:hAnsi="宋体" w:cs="宋体"/>
                <w:color w:val="auto"/>
              </w:rPr>
              <w:t>监理服务期限</w:t>
            </w:r>
          </w:p>
        </w:tc>
        <w:tc>
          <w:tcPr>
            <w:tcW w:w="5599" w:type="dxa"/>
            <w:vAlign w:val="center"/>
          </w:tcPr>
          <w:p w14:paraId="4D068C7C">
            <w:pPr>
              <w:spacing w:line="240" w:lineRule="exact"/>
              <w:rPr>
                <w:rFonts w:hint="eastAsia" w:ascii="宋体" w:hAnsi="宋体" w:cs="宋体"/>
                <w:color w:val="auto"/>
              </w:rPr>
            </w:pPr>
            <w:r>
              <w:rPr>
                <w:rFonts w:hint="eastAsia" w:ascii="宋体" w:hAnsi="宋体" w:cs="宋体"/>
                <w:color w:val="auto"/>
              </w:rPr>
              <w:t>符合第二章“投标人须知”第 1.3.2 项规定</w:t>
            </w:r>
          </w:p>
        </w:tc>
      </w:tr>
      <w:tr w14:paraId="3C66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09" w:type="dxa"/>
            <w:vMerge w:val="continue"/>
            <w:tcMar>
              <w:top w:w="0" w:type="dxa"/>
              <w:left w:w="57" w:type="dxa"/>
              <w:bottom w:w="0" w:type="dxa"/>
              <w:right w:w="57" w:type="dxa"/>
            </w:tcMar>
            <w:vAlign w:val="center"/>
          </w:tcPr>
          <w:p w14:paraId="62C6FFA3">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0749F273">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3AE6DE46">
            <w:pPr>
              <w:rPr>
                <w:rFonts w:hint="eastAsia" w:ascii="宋体" w:hAnsi="宋体" w:cs="宋体"/>
                <w:color w:val="auto"/>
              </w:rPr>
            </w:pPr>
            <w:r>
              <w:rPr>
                <w:rFonts w:hint="eastAsia" w:ascii="宋体" w:hAnsi="宋体" w:cs="宋体"/>
                <w:color w:val="auto"/>
              </w:rPr>
              <w:t>质量标准</w:t>
            </w:r>
          </w:p>
        </w:tc>
        <w:tc>
          <w:tcPr>
            <w:tcW w:w="5599" w:type="dxa"/>
            <w:vAlign w:val="center"/>
          </w:tcPr>
          <w:p w14:paraId="45E9FB9F">
            <w:pPr>
              <w:spacing w:line="240" w:lineRule="exact"/>
              <w:rPr>
                <w:rFonts w:hint="eastAsia" w:ascii="宋体" w:hAnsi="宋体" w:cs="宋体"/>
                <w:color w:val="auto"/>
              </w:rPr>
            </w:pPr>
            <w:r>
              <w:rPr>
                <w:rFonts w:hint="eastAsia" w:ascii="宋体" w:hAnsi="宋体" w:cs="宋体"/>
                <w:color w:val="auto"/>
              </w:rPr>
              <w:t>符合第二章“投标人须知”第 1.3.3 项规定</w:t>
            </w:r>
          </w:p>
        </w:tc>
      </w:tr>
      <w:tr w14:paraId="1A85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09" w:type="dxa"/>
            <w:vMerge w:val="continue"/>
            <w:tcMar>
              <w:top w:w="0" w:type="dxa"/>
              <w:left w:w="57" w:type="dxa"/>
              <w:bottom w:w="0" w:type="dxa"/>
              <w:right w:w="57" w:type="dxa"/>
            </w:tcMar>
            <w:vAlign w:val="center"/>
          </w:tcPr>
          <w:p w14:paraId="4FF63F74">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34ED317D">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A9054EA">
            <w:pPr>
              <w:rPr>
                <w:rFonts w:hint="eastAsia" w:ascii="宋体" w:hAnsi="宋体" w:cs="宋体"/>
                <w:color w:val="auto"/>
              </w:rPr>
            </w:pPr>
            <w:r>
              <w:rPr>
                <w:rFonts w:hint="eastAsia" w:ascii="宋体" w:hAnsi="宋体" w:cs="宋体"/>
                <w:color w:val="auto"/>
              </w:rPr>
              <w:t>投标有效期</w:t>
            </w:r>
          </w:p>
        </w:tc>
        <w:tc>
          <w:tcPr>
            <w:tcW w:w="5599" w:type="dxa"/>
            <w:vAlign w:val="center"/>
          </w:tcPr>
          <w:p w14:paraId="5E1659F1">
            <w:pPr>
              <w:spacing w:line="240" w:lineRule="exact"/>
              <w:rPr>
                <w:rFonts w:hint="eastAsia" w:ascii="宋体" w:hAnsi="宋体" w:cs="宋体"/>
                <w:color w:val="auto"/>
              </w:rPr>
            </w:pPr>
            <w:r>
              <w:rPr>
                <w:rFonts w:hint="eastAsia" w:ascii="宋体" w:hAnsi="宋体" w:cs="宋体"/>
                <w:color w:val="auto"/>
              </w:rPr>
              <w:t>符合第二章“投标人须知”第 3.3.1 项规定</w:t>
            </w:r>
          </w:p>
        </w:tc>
      </w:tr>
      <w:tr w14:paraId="7533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09" w:type="dxa"/>
            <w:vMerge w:val="continue"/>
            <w:tcMar>
              <w:top w:w="0" w:type="dxa"/>
              <w:left w:w="57" w:type="dxa"/>
              <w:bottom w:w="0" w:type="dxa"/>
              <w:right w:w="57" w:type="dxa"/>
            </w:tcMar>
            <w:vAlign w:val="center"/>
          </w:tcPr>
          <w:p w14:paraId="077162C3">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23E68545">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5D9364E8">
            <w:pPr>
              <w:rPr>
                <w:rFonts w:hint="eastAsia" w:ascii="宋体" w:hAnsi="宋体" w:cs="宋体"/>
                <w:strike/>
                <w:color w:val="auto"/>
              </w:rPr>
            </w:pPr>
            <w:r>
              <w:rPr>
                <w:rFonts w:hint="eastAsia" w:ascii="宋体" w:hAnsi="宋体" w:cs="宋体"/>
                <w:strike/>
                <w:color w:val="auto"/>
              </w:rPr>
              <w:t>投标保证金</w:t>
            </w:r>
          </w:p>
        </w:tc>
        <w:tc>
          <w:tcPr>
            <w:tcW w:w="5599" w:type="dxa"/>
            <w:vAlign w:val="center"/>
          </w:tcPr>
          <w:p w14:paraId="7A930500">
            <w:pPr>
              <w:spacing w:line="240" w:lineRule="exact"/>
              <w:rPr>
                <w:rFonts w:hint="eastAsia" w:ascii="宋体" w:hAnsi="宋体" w:cs="宋体"/>
                <w:strike/>
                <w:color w:val="auto"/>
              </w:rPr>
            </w:pPr>
            <w:r>
              <w:rPr>
                <w:rFonts w:hint="eastAsia" w:ascii="宋体" w:hAnsi="宋体" w:cs="宋体"/>
                <w:strike/>
                <w:color w:val="auto"/>
              </w:rPr>
              <w:t>符合第二章“投标人须知”第 3.4.1 项规定；</w:t>
            </w:r>
          </w:p>
        </w:tc>
      </w:tr>
      <w:tr w14:paraId="3FFC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09" w:type="dxa"/>
            <w:vMerge w:val="continue"/>
            <w:tcMar>
              <w:top w:w="0" w:type="dxa"/>
              <w:left w:w="57" w:type="dxa"/>
              <w:bottom w:w="0" w:type="dxa"/>
              <w:right w:w="57" w:type="dxa"/>
            </w:tcMar>
            <w:vAlign w:val="center"/>
          </w:tcPr>
          <w:p w14:paraId="5D66C6CF">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4AE5E11E">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6FFA27A5">
            <w:pPr>
              <w:autoSpaceDE w:val="0"/>
              <w:autoSpaceDN w:val="0"/>
              <w:spacing w:before="44"/>
              <w:ind w:left="-4" w:leftChars="-2"/>
              <w:jc w:val="left"/>
              <w:rPr>
                <w:rFonts w:hint="eastAsia" w:ascii="宋体" w:hAnsi="宋体" w:cs="宋体"/>
                <w:strike/>
                <w:color w:val="auto"/>
              </w:rPr>
            </w:pPr>
            <w:r>
              <w:rPr>
                <w:rFonts w:hint="eastAsia" w:ascii="宋体" w:hAnsi="宋体" w:cs="宋体"/>
                <w:color w:val="auto"/>
              </w:rPr>
              <w:t>串通投标情形</w:t>
            </w:r>
          </w:p>
        </w:tc>
        <w:tc>
          <w:tcPr>
            <w:tcW w:w="5599" w:type="dxa"/>
            <w:vAlign w:val="center"/>
          </w:tcPr>
          <w:p w14:paraId="6ACFC66C">
            <w:pPr>
              <w:autoSpaceDE w:val="0"/>
              <w:autoSpaceDN w:val="0"/>
              <w:adjustRightInd w:val="0"/>
              <w:snapToGrid w:val="0"/>
              <w:spacing w:line="276" w:lineRule="auto"/>
              <w:rPr>
                <w:rFonts w:hint="eastAsia" w:ascii="宋体" w:hAnsi="宋体" w:cs="宋体"/>
                <w:strike/>
                <w:color w:val="auto"/>
              </w:rPr>
            </w:pPr>
            <w:r>
              <w:rPr>
                <w:rFonts w:hint="eastAsia" w:ascii="宋体" w:hAnsi="宋体" w:cs="宋体"/>
                <w:color w:val="auto"/>
              </w:rPr>
              <w:t>投标人之间不存在《广东省实施&lt;中华人民共和国招标投标法&gt;办法》第十六条所禁止的情形的</w:t>
            </w:r>
          </w:p>
        </w:tc>
      </w:tr>
      <w:tr w14:paraId="2666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94" w:type="dxa"/>
            <w:gridSpan w:val="2"/>
            <w:tcMar>
              <w:top w:w="0" w:type="dxa"/>
              <w:left w:w="57" w:type="dxa"/>
              <w:bottom w:w="0" w:type="dxa"/>
              <w:right w:w="57" w:type="dxa"/>
            </w:tcMar>
            <w:vAlign w:val="center"/>
          </w:tcPr>
          <w:p w14:paraId="421410B3">
            <w:pPr>
              <w:jc w:val="center"/>
              <w:rPr>
                <w:rFonts w:hint="eastAsia" w:ascii="宋体" w:hAnsi="宋体" w:cs="宋体"/>
                <w:b/>
                <w:bCs/>
                <w:color w:val="auto"/>
                <w:sz w:val="18"/>
                <w:szCs w:val="18"/>
              </w:rPr>
            </w:pPr>
            <w:r>
              <w:rPr>
                <w:rFonts w:hint="eastAsia" w:ascii="宋体" w:hAnsi="宋体" w:cs="宋体"/>
                <w:b/>
                <w:bCs/>
                <w:color w:val="auto"/>
                <w:sz w:val="18"/>
                <w:szCs w:val="18"/>
              </w:rPr>
              <w:t>条款号</w:t>
            </w:r>
          </w:p>
        </w:tc>
        <w:tc>
          <w:tcPr>
            <w:tcW w:w="1946" w:type="dxa"/>
            <w:gridSpan w:val="2"/>
            <w:tcMar>
              <w:top w:w="0" w:type="dxa"/>
              <w:left w:w="57" w:type="dxa"/>
              <w:bottom w:w="0" w:type="dxa"/>
              <w:right w:w="57" w:type="dxa"/>
            </w:tcMar>
            <w:vAlign w:val="center"/>
          </w:tcPr>
          <w:p w14:paraId="16D173F4">
            <w:pPr>
              <w:jc w:val="center"/>
              <w:rPr>
                <w:rFonts w:hint="eastAsia" w:ascii="宋体" w:hAnsi="宋体" w:cs="宋体"/>
                <w:b/>
                <w:bCs/>
                <w:color w:val="auto"/>
                <w:sz w:val="18"/>
                <w:szCs w:val="18"/>
              </w:rPr>
            </w:pPr>
            <w:r>
              <w:rPr>
                <w:rFonts w:hint="eastAsia" w:ascii="宋体" w:hAnsi="宋体" w:cs="宋体"/>
                <w:b/>
                <w:bCs/>
                <w:color w:val="auto"/>
                <w:sz w:val="18"/>
                <w:szCs w:val="18"/>
              </w:rPr>
              <w:t>条款内容</w:t>
            </w:r>
          </w:p>
        </w:tc>
        <w:tc>
          <w:tcPr>
            <w:tcW w:w="5599" w:type="dxa"/>
            <w:vAlign w:val="center"/>
          </w:tcPr>
          <w:p w14:paraId="7C5A11B5">
            <w:pPr>
              <w:jc w:val="center"/>
              <w:rPr>
                <w:rFonts w:hint="eastAsia" w:ascii="宋体" w:hAnsi="宋体" w:cs="宋体"/>
                <w:b/>
                <w:bCs/>
                <w:color w:val="auto"/>
                <w:sz w:val="18"/>
                <w:szCs w:val="18"/>
                <w:u w:val="single"/>
              </w:rPr>
            </w:pPr>
            <w:r>
              <w:rPr>
                <w:rFonts w:hint="eastAsia" w:ascii="宋体" w:hAnsi="宋体" w:cs="宋体"/>
                <w:b/>
                <w:bCs/>
                <w:color w:val="auto"/>
                <w:sz w:val="18"/>
                <w:szCs w:val="18"/>
                <w:u w:val="single"/>
              </w:rPr>
              <w:t>编列内容</w:t>
            </w:r>
          </w:p>
        </w:tc>
      </w:tr>
      <w:tr w14:paraId="4527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894" w:type="dxa"/>
            <w:gridSpan w:val="2"/>
            <w:tcMar>
              <w:top w:w="0" w:type="dxa"/>
              <w:left w:w="57" w:type="dxa"/>
              <w:bottom w:w="0" w:type="dxa"/>
              <w:right w:w="57" w:type="dxa"/>
            </w:tcMar>
            <w:vAlign w:val="center"/>
          </w:tcPr>
          <w:p w14:paraId="3C52D3F5">
            <w:pPr>
              <w:jc w:val="center"/>
              <w:rPr>
                <w:rFonts w:hint="eastAsia" w:ascii="宋体" w:hAnsi="宋体" w:cs="宋体"/>
                <w:color w:val="auto"/>
                <w:sz w:val="18"/>
                <w:szCs w:val="18"/>
              </w:rPr>
            </w:pPr>
            <w:r>
              <w:rPr>
                <w:rFonts w:hint="eastAsia" w:ascii="宋体" w:hAnsi="宋体" w:cs="宋体"/>
                <w:color w:val="auto"/>
                <w:sz w:val="18"/>
                <w:szCs w:val="18"/>
              </w:rPr>
              <w:t>2.2.1</w:t>
            </w:r>
          </w:p>
        </w:tc>
        <w:tc>
          <w:tcPr>
            <w:tcW w:w="1946" w:type="dxa"/>
            <w:gridSpan w:val="2"/>
            <w:tcMar>
              <w:top w:w="0" w:type="dxa"/>
              <w:left w:w="57" w:type="dxa"/>
              <w:bottom w:w="0" w:type="dxa"/>
              <w:right w:w="57" w:type="dxa"/>
            </w:tcMar>
            <w:vAlign w:val="center"/>
          </w:tcPr>
          <w:p w14:paraId="509A34C5">
            <w:pPr>
              <w:spacing w:line="440" w:lineRule="exact"/>
              <w:jc w:val="center"/>
              <w:rPr>
                <w:rFonts w:hint="eastAsia" w:ascii="宋体" w:hAnsi="宋体" w:cs="宋体"/>
                <w:b/>
                <w:bCs/>
                <w:color w:val="auto"/>
              </w:rPr>
            </w:pPr>
            <w:r>
              <w:rPr>
                <w:rFonts w:hint="eastAsia" w:ascii="宋体" w:hAnsi="宋体" w:cs="宋体"/>
                <w:b/>
                <w:bCs/>
                <w:color w:val="auto"/>
              </w:rPr>
              <w:t>分值构成</w:t>
            </w:r>
          </w:p>
          <w:p w14:paraId="46E75071">
            <w:pPr>
              <w:spacing w:line="440" w:lineRule="exact"/>
              <w:jc w:val="center"/>
              <w:rPr>
                <w:rFonts w:hint="eastAsia" w:ascii="宋体" w:hAnsi="宋体" w:cs="宋体"/>
                <w:b/>
                <w:bCs/>
                <w:color w:val="auto"/>
              </w:rPr>
            </w:pPr>
            <w:r>
              <w:rPr>
                <w:rFonts w:hint="eastAsia" w:ascii="宋体" w:hAnsi="宋体" w:cs="宋体"/>
                <w:b/>
                <w:bCs/>
                <w:color w:val="auto"/>
              </w:rPr>
              <w:t xml:space="preserve">(总分100分) </w:t>
            </w:r>
          </w:p>
        </w:tc>
        <w:tc>
          <w:tcPr>
            <w:tcW w:w="5599" w:type="dxa"/>
            <w:vAlign w:val="center"/>
          </w:tcPr>
          <w:p w14:paraId="3305E7F4">
            <w:pPr>
              <w:jc w:val="left"/>
              <w:rPr>
                <w:rStyle w:val="58"/>
                <w:rFonts w:hint="eastAsia" w:ascii="宋体" w:hAnsi="宋体" w:cs="宋体"/>
                <w:color w:val="auto"/>
              </w:rPr>
            </w:pPr>
            <w:r>
              <w:rPr>
                <w:rStyle w:val="58"/>
                <w:rFonts w:hint="eastAsia" w:ascii="宋体" w:hAnsi="宋体" w:cs="宋体"/>
                <w:color w:val="auto"/>
              </w:rPr>
              <w:t>资信业绩部分：</w:t>
            </w:r>
            <w:r>
              <w:rPr>
                <w:rStyle w:val="58"/>
                <w:rFonts w:hint="eastAsia" w:ascii="宋体" w:hAnsi="宋体" w:cs="宋体"/>
                <w:b/>
                <w:bCs/>
                <w:color w:val="auto"/>
                <w:u w:val="single"/>
              </w:rPr>
              <w:t>45</w:t>
            </w:r>
            <w:r>
              <w:rPr>
                <w:rStyle w:val="58"/>
                <w:rFonts w:hint="eastAsia" w:ascii="宋体" w:hAnsi="宋体" w:cs="宋体"/>
                <w:b/>
                <w:bCs/>
                <w:color w:val="auto"/>
              </w:rPr>
              <w:t>分</w:t>
            </w:r>
          </w:p>
          <w:p w14:paraId="04A03A82">
            <w:pPr>
              <w:jc w:val="left"/>
              <w:rPr>
                <w:rStyle w:val="58"/>
                <w:rFonts w:hint="eastAsia" w:ascii="宋体" w:hAnsi="宋体" w:cs="宋体"/>
                <w:color w:val="auto"/>
              </w:rPr>
            </w:pPr>
            <w:r>
              <w:rPr>
                <w:rStyle w:val="58"/>
                <w:rFonts w:hint="eastAsia" w:ascii="宋体" w:hAnsi="宋体" w:cs="宋体"/>
                <w:color w:val="auto"/>
              </w:rPr>
              <w:t>监理大纲部分：</w:t>
            </w:r>
            <w:r>
              <w:rPr>
                <w:rStyle w:val="58"/>
                <w:rFonts w:hint="eastAsia" w:ascii="宋体" w:hAnsi="宋体" w:cs="宋体"/>
                <w:b/>
                <w:bCs/>
                <w:color w:val="auto"/>
                <w:u w:val="single"/>
              </w:rPr>
              <w:t>45</w:t>
            </w:r>
            <w:r>
              <w:rPr>
                <w:rStyle w:val="58"/>
                <w:rFonts w:hint="eastAsia" w:ascii="宋体" w:hAnsi="宋体" w:cs="宋体"/>
                <w:b/>
                <w:bCs/>
                <w:color w:val="auto"/>
              </w:rPr>
              <w:t>分</w:t>
            </w:r>
          </w:p>
          <w:p w14:paraId="11F14FEA">
            <w:pPr>
              <w:jc w:val="left"/>
              <w:rPr>
                <w:rStyle w:val="58"/>
                <w:rFonts w:hint="eastAsia" w:ascii="宋体" w:hAnsi="宋体" w:cs="宋体"/>
                <w:color w:val="auto"/>
              </w:rPr>
            </w:pPr>
            <w:r>
              <w:rPr>
                <w:rStyle w:val="58"/>
                <w:rFonts w:hint="eastAsia" w:ascii="宋体" w:hAnsi="宋体" w:cs="宋体"/>
                <w:color w:val="auto"/>
              </w:rPr>
              <w:t>投标报价：</w:t>
            </w:r>
            <w:r>
              <w:rPr>
                <w:rStyle w:val="58"/>
                <w:rFonts w:hint="eastAsia" w:ascii="宋体" w:hAnsi="宋体" w:cs="宋体"/>
                <w:b/>
                <w:bCs/>
                <w:color w:val="auto"/>
                <w:u w:val="single"/>
              </w:rPr>
              <w:t>10</w:t>
            </w:r>
            <w:r>
              <w:rPr>
                <w:rStyle w:val="58"/>
                <w:rFonts w:hint="eastAsia" w:ascii="宋体" w:hAnsi="宋体" w:cs="宋体"/>
                <w:b/>
                <w:bCs/>
                <w:color w:val="auto"/>
              </w:rPr>
              <w:t>分</w:t>
            </w:r>
          </w:p>
          <w:p w14:paraId="3FA0D0F7">
            <w:pPr>
              <w:jc w:val="left"/>
              <w:rPr>
                <w:color w:val="auto"/>
              </w:rPr>
            </w:pPr>
            <w:r>
              <w:rPr>
                <w:rStyle w:val="58"/>
                <w:rFonts w:hint="eastAsia" w:ascii="宋体" w:hAnsi="宋体" w:cs="宋体"/>
                <w:b/>
                <w:bCs/>
                <w:color w:val="auto"/>
              </w:rPr>
              <w:t>投标人得分＝</w:t>
            </w:r>
            <w:r>
              <w:rPr>
                <w:rStyle w:val="58"/>
                <w:rFonts w:hint="eastAsia" w:ascii="宋体" w:hAnsi="宋体" w:cs="宋体"/>
                <w:b/>
                <w:bCs/>
                <w:color w:val="auto"/>
                <w:u w:val="single"/>
              </w:rPr>
              <w:t>资信业绩部分+监理大纲部分+投标报价</w:t>
            </w:r>
          </w:p>
        </w:tc>
      </w:tr>
      <w:tr w14:paraId="17EC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1894" w:type="dxa"/>
            <w:gridSpan w:val="2"/>
            <w:tcMar>
              <w:top w:w="0" w:type="dxa"/>
              <w:left w:w="57" w:type="dxa"/>
              <w:bottom w:w="0" w:type="dxa"/>
              <w:right w:w="57" w:type="dxa"/>
            </w:tcMar>
            <w:vAlign w:val="center"/>
          </w:tcPr>
          <w:p w14:paraId="0C4FB848">
            <w:pPr>
              <w:jc w:val="center"/>
              <w:rPr>
                <w:rFonts w:hint="eastAsia" w:ascii="宋体" w:hAnsi="宋体" w:cs="宋体"/>
                <w:color w:val="auto"/>
                <w:sz w:val="18"/>
                <w:szCs w:val="18"/>
              </w:rPr>
            </w:pPr>
            <w:r>
              <w:rPr>
                <w:rFonts w:hint="eastAsia" w:ascii="宋体" w:hAnsi="宋体" w:cs="宋体"/>
                <w:color w:val="auto"/>
                <w:sz w:val="18"/>
                <w:szCs w:val="18"/>
              </w:rPr>
              <w:t>2.2.2</w:t>
            </w:r>
          </w:p>
        </w:tc>
        <w:tc>
          <w:tcPr>
            <w:tcW w:w="1946" w:type="dxa"/>
            <w:gridSpan w:val="2"/>
            <w:tcMar>
              <w:top w:w="0" w:type="dxa"/>
              <w:left w:w="57" w:type="dxa"/>
              <w:bottom w:w="0" w:type="dxa"/>
              <w:right w:w="57" w:type="dxa"/>
            </w:tcMar>
            <w:vAlign w:val="center"/>
          </w:tcPr>
          <w:p w14:paraId="695D558E">
            <w:pPr>
              <w:spacing w:line="440" w:lineRule="exact"/>
              <w:jc w:val="center"/>
              <w:rPr>
                <w:rFonts w:hint="eastAsia" w:ascii="宋体" w:hAnsi="宋体" w:cs="宋体"/>
                <w:b/>
                <w:bCs/>
                <w:color w:val="auto"/>
              </w:rPr>
            </w:pPr>
            <w:r>
              <w:rPr>
                <w:rFonts w:hint="eastAsia" w:ascii="宋体" w:hAnsi="宋体" w:cs="宋体"/>
                <w:b/>
                <w:bCs/>
                <w:color w:val="auto"/>
              </w:rPr>
              <w:t>评标基准价计算方法</w:t>
            </w:r>
          </w:p>
        </w:tc>
        <w:tc>
          <w:tcPr>
            <w:tcW w:w="5599" w:type="dxa"/>
            <w:vAlign w:val="center"/>
          </w:tcPr>
          <w:p w14:paraId="4D7D6015">
            <w:pPr>
              <w:jc w:val="left"/>
              <w:rPr>
                <w:rFonts w:hint="eastAsia" w:ascii="宋体" w:hAnsi="宋体" w:cs="宋体"/>
                <w:color w:val="auto"/>
                <w:szCs w:val="21"/>
              </w:rPr>
            </w:pPr>
            <w:r>
              <w:rPr>
                <w:rFonts w:hint="eastAsia" w:ascii="宋体" w:hAnsi="宋体" w:cs="宋体"/>
                <w:color w:val="auto"/>
                <w:szCs w:val="21"/>
              </w:rPr>
              <w:t>（1）当通过形式评审、资格评审、响应性评审且投标总报价处于计算评标基准价的有效投标价范围内的有效投标人大于5家时，去掉一个最高价和一个最低价，取余下有效报价的算术平均值作为报价基准价。（保留小数点后二位，第三位小数四舍五入）</w:t>
            </w:r>
          </w:p>
          <w:p w14:paraId="2A45A0C3">
            <w:pPr>
              <w:jc w:val="left"/>
              <w:rPr>
                <w:rFonts w:hint="eastAsia" w:ascii="宋体" w:hAnsi="宋体" w:cs="宋体"/>
                <w:color w:val="auto"/>
                <w:szCs w:val="21"/>
              </w:rPr>
            </w:pPr>
            <w:r>
              <w:rPr>
                <w:rFonts w:hint="eastAsia" w:ascii="宋体" w:hAnsi="宋体" w:cs="宋体"/>
                <w:color w:val="auto"/>
                <w:szCs w:val="21"/>
              </w:rPr>
              <w:t>（2）当通过形式评审、资格评审、响应性评审且投标总报价处于计算评标基准价的有效投标价范围内的有效投标人小于或等于5家时，取所有入围有效报价的算术平均值的作为报价基准价（保留小数点后二位，第三位小数四舍五入）</w:t>
            </w:r>
          </w:p>
          <w:p w14:paraId="3CA819A7">
            <w:pPr>
              <w:spacing w:line="320" w:lineRule="exact"/>
              <w:jc w:val="left"/>
              <w:rPr>
                <w:rFonts w:hint="eastAsia" w:ascii="宋体" w:hAnsi="宋体" w:cs="宋体"/>
                <w:color w:val="auto"/>
              </w:rPr>
            </w:pPr>
            <w:r>
              <w:rPr>
                <w:rFonts w:hint="eastAsia" w:ascii="宋体" w:hAnsi="宋体" w:cs="宋体"/>
                <w:color w:val="auto"/>
                <w:szCs w:val="21"/>
              </w:rPr>
              <w:t>（3）计算评标基准价的有效投标价范围为[最高投标限价×90%，最高投标限价]，超过此范围的投标总报价不参与评标基准价的计算。若当通过初步评审没有投标价位于[最高投标限价×90%，最高投标限价]区间的有效投标人，则取最高投标限价×90%作为评标基准价。用于计算评标基准价的投标总报价均为经算术复核后的投标总报价。</w:t>
            </w:r>
          </w:p>
        </w:tc>
      </w:tr>
      <w:tr w14:paraId="438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894" w:type="dxa"/>
            <w:gridSpan w:val="2"/>
            <w:tcMar>
              <w:top w:w="0" w:type="dxa"/>
              <w:left w:w="57" w:type="dxa"/>
              <w:bottom w:w="0" w:type="dxa"/>
              <w:right w:w="57" w:type="dxa"/>
            </w:tcMar>
            <w:vAlign w:val="center"/>
          </w:tcPr>
          <w:p w14:paraId="7920278F">
            <w:pPr>
              <w:jc w:val="center"/>
              <w:rPr>
                <w:rFonts w:hint="eastAsia" w:ascii="宋体" w:hAnsi="宋体" w:cs="宋体"/>
                <w:color w:val="auto"/>
                <w:sz w:val="18"/>
                <w:szCs w:val="18"/>
              </w:rPr>
            </w:pPr>
            <w:r>
              <w:rPr>
                <w:rFonts w:hint="eastAsia" w:ascii="宋体" w:hAnsi="宋体" w:cs="宋体"/>
                <w:color w:val="auto"/>
                <w:sz w:val="18"/>
                <w:szCs w:val="18"/>
              </w:rPr>
              <w:t>2.2.3</w:t>
            </w:r>
          </w:p>
        </w:tc>
        <w:tc>
          <w:tcPr>
            <w:tcW w:w="1946" w:type="dxa"/>
            <w:gridSpan w:val="2"/>
            <w:tcMar>
              <w:top w:w="0" w:type="dxa"/>
              <w:left w:w="57" w:type="dxa"/>
              <w:bottom w:w="0" w:type="dxa"/>
              <w:right w:w="57" w:type="dxa"/>
            </w:tcMar>
            <w:vAlign w:val="center"/>
          </w:tcPr>
          <w:p w14:paraId="619A8E96">
            <w:pPr>
              <w:spacing w:line="440" w:lineRule="exact"/>
              <w:jc w:val="center"/>
              <w:rPr>
                <w:rFonts w:hint="eastAsia" w:ascii="宋体" w:hAnsi="宋体" w:cs="宋体"/>
                <w:b/>
                <w:bCs/>
                <w:color w:val="auto"/>
              </w:rPr>
            </w:pPr>
            <w:r>
              <w:rPr>
                <w:rFonts w:hint="eastAsia" w:ascii="宋体" w:hAnsi="宋体" w:cs="宋体"/>
                <w:b/>
                <w:bCs/>
                <w:color w:val="auto"/>
              </w:rPr>
              <w:t>投标报价的偏差率</w:t>
            </w:r>
          </w:p>
          <w:p w14:paraId="015CF13B">
            <w:pPr>
              <w:spacing w:line="440" w:lineRule="exact"/>
              <w:jc w:val="center"/>
              <w:rPr>
                <w:rFonts w:hint="eastAsia" w:ascii="宋体" w:hAnsi="宋体" w:cs="宋体"/>
                <w:b/>
                <w:bCs/>
                <w:color w:val="auto"/>
              </w:rPr>
            </w:pPr>
            <w:r>
              <w:rPr>
                <w:rFonts w:hint="eastAsia" w:ascii="宋体" w:hAnsi="宋体" w:cs="宋体"/>
                <w:b/>
                <w:bCs/>
                <w:color w:val="auto"/>
              </w:rPr>
              <w:t>计算公式</w:t>
            </w:r>
          </w:p>
        </w:tc>
        <w:tc>
          <w:tcPr>
            <w:tcW w:w="5599" w:type="dxa"/>
            <w:vAlign w:val="center"/>
          </w:tcPr>
          <w:p w14:paraId="659F04A7">
            <w:pPr>
              <w:adjustRightInd w:val="0"/>
              <w:snapToGrid w:val="0"/>
              <w:spacing w:line="300" w:lineRule="auto"/>
              <w:ind w:left="42" w:leftChars="20" w:right="42" w:rightChars="20"/>
              <w:rPr>
                <w:rFonts w:hint="eastAsia" w:ascii="宋体" w:hAnsi="宋体" w:cs="宋体"/>
                <w:color w:val="auto"/>
              </w:rPr>
            </w:pPr>
            <w:r>
              <w:rPr>
                <w:rFonts w:hint="eastAsia" w:ascii="宋体" w:hAnsi="宋体" w:cs="宋体"/>
                <w:color w:val="auto"/>
              </w:rPr>
              <w:t>偏差率=100% × ︱（有效投标报价-评标基准价）︱/评标基准价（偏差率四舍五入保留2位小数，报价偏差率不足1%的，按直线内插法计算投标报价得分）</w:t>
            </w:r>
          </w:p>
          <w:p w14:paraId="2082588E">
            <w:pPr>
              <w:jc w:val="left"/>
              <w:rPr>
                <w:rFonts w:hint="eastAsia" w:ascii="宋体" w:hAnsi="宋体" w:cs="宋体"/>
                <w:b/>
                <w:bCs/>
                <w:color w:val="auto"/>
              </w:rPr>
            </w:pPr>
            <w:r>
              <w:rPr>
                <w:rFonts w:hint="eastAsia" w:ascii="宋体" w:hAnsi="宋体" w:cs="宋体"/>
                <w:color w:val="auto"/>
              </w:rPr>
              <w:t>注：有效投标报价为通过初步评审经算术错误修正后的核准报价（投标总报价）。</w:t>
            </w:r>
          </w:p>
        </w:tc>
      </w:tr>
      <w:tr w14:paraId="5A25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94" w:type="dxa"/>
            <w:gridSpan w:val="2"/>
            <w:tcMar>
              <w:top w:w="0" w:type="dxa"/>
              <w:left w:w="57" w:type="dxa"/>
              <w:bottom w:w="0" w:type="dxa"/>
              <w:right w:w="57" w:type="dxa"/>
            </w:tcMar>
            <w:vAlign w:val="center"/>
          </w:tcPr>
          <w:p w14:paraId="701D0340">
            <w:pPr>
              <w:jc w:val="center"/>
              <w:rPr>
                <w:rFonts w:hint="eastAsia" w:ascii="宋体" w:hAnsi="宋体" w:cs="宋体"/>
                <w:b/>
                <w:bCs/>
                <w:color w:val="auto"/>
                <w:sz w:val="18"/>
                <w:szCs w:val="18"/>
              </w:rPr>
            </w:pPr>
            <w:r>
              <w:rPr>
                <w:rFonts w:hint="eastAsia" w:ascii="宋体" w:hAnsi="宋体" w:cs="宋体"/>
                <w:b/>
                <w:bCs/>
                <w:color w:val="auto"/>
                <w:sz w:val="18"/>
                <w:szCs w:val="18"/>
              </w:rPr>
              <w:t>条款号</w:t>
            </w:r>
          </w:p>
        </w:tc>
        <w:tc>
          <w:tcPr>
            <w:tcW w:w="1946" w:type="dxa"/>
            <w:gridSpan w:val="2"/>
            <w:tcMar>
              <w:top w:w="0" w:type="dxa"/>
              <w:left w:w="57" w:type="dxa"/>
              <w:bottom w:w="0" w:type="dxa"/>
              <w:right w:w="57" w:type="dxa"/>
            </w:tcMar>
            <w:vAlign w:val="center"/>
          </w:tcPr>
          <w:p w14:paraId="2412A65D">
            <w:pPr>
              <w:jc w:val="center"/>
              <w:rPr>
                <w:rFonts w:hint="eastAsia" w:ascii="宋体" w:hAnsi="宋体" w:cs="宋体"/>
                <w:b/>
                <w:bCs/>
                <w:color w:val="auto"/>
                <w:sz w:val="18"/>
                <w:szCs w:val="18"/>
              </w:rPr>
            </w:pPr>
            <w:r>
              <w:rPr>
                <w:rFonts w:hint="eastAsia" w:ascii="宋体" w:hAnsi="宋体" w:cs="宋体"/>
                <w:b/>
                <w:bCs/>
                <w:color w:val="auto"/>
                <w:sz w:val="18"/>
                <w:szCs w:val="18"/>
              </w:rPr>
              <w:t>评分因素（偏差率）</w:t>
            </w:r>
          </w:p>
        </w:tc>
        <w:tc>
          <w:tcPr>
            <w:tcW w:w="5599" w:type="dxa"/>
            <w:vAlign w:val="center"/>
          </w:tcPr>
          <w:p w14:paraId="7A84F7DA">
            <w:pPr>
              <w:jc w:val="center"/>
              <w:rPr>
                <w:rFonts w:hint="eastAsia" w:ascii="宋体" w:hAnsi="宋体" w:cs="宋体"/>
                <w:b/>
                <w:bCs/>
                <w:color w:val="auto"/>
                <w:sz w:val="18"/>
                <w:szCs w:val="18"/>
              </w:rPr>
            </w:pPr>
            <w:r>
              <w:rPr>
                <w:rFonts w:hint="eastAsia" w:ascii="宋体" w:hAnsi="宋体" w:cs="宋体"/>
                <w:b/>
                <w:bCs/>
                <w:color w:val="auto"/>
                <w:sz w:val="18"/>
                <w:szCs w:val="18"/>
              </w:rPr>
              <w:t>评分标准</w:t>
            </w:r>
          </w:p>
        </w:tc>
      </w:tr>
      <w:tr w14:paraId="1D55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09" w:type="dxa"/>
            <w:vMerge w:val="restart"/>
            <w:tcMar>
              <w:top w:w="0" w:type="dxa"/>
              <w:left w:w="57" w:type="dxa"/>
              <w:bottom w:w="0" w:type="dxa"/>
              <w:right w:w="57" w:type="dxa"/>
            </w:tcMar>
            <w:vAlign w:val="center"/>
          </w:tcPr>
          <w:p w14:paraId="6685D801">
            <w:pPr>
              <w:ind w:right="-20"/>
              <w:jc w:val="center"/>
              <w:rPr>
                <w:rFonts w:hint="eastAsia" w:ascii="宋体" w:hAnsi="宋体" w:cs="宋体"/>
                <w:color w:val="auto"/>
                <w:sz w:val="18"/>
                <w:szCs w:val="18"/>
              </w:rPr>
            </w:pPr>
            <w:r>
              <w:rPr>
                <w:rFonts w:hint="eastAsia" w:ascii="宋体" w:hAnsi="宋体" w:cs="宋体"/>
                <w:color w:val="auto"/>
                <w:sz w:val="18"/>
                <w:szCs w:val="18"/>
              </w:rPr>
              <w:t>2.2.4</w:t>
            </w:r>
          </w:p>
          <w:p w14:paraId="37BC9B7F">
            <w:pPr>
              <w:spacing w:before="88"/>
              <w:ind w:left="181" w:right="-20"/>
              <w:jc w:val="left"/>
              <w:rPr>
                <w:rFonts w:hint="eastAsia" w:ascii="宋体" w:hAnsi="宋体" w:cs="宋体"/>
                <w:color w:val="auto"/>
                <w:sz w:val="18"/>
                <w:szCs w:val="18"/>
              </w:rPr>
            </w:pPr>
            <w:r>
              <w:rPr>
                <w:rFonts w:hint="eastAsia" w:ascii="宋体" w:hAnsi="宋体" w:cs="宋体"/>
                <w:color w:val="auto"/>
                <w:sz w:val="18"/>
                <w:szCs w:val="18"/>
              </w:rPr>
              <w:t>（1）</w:t>
            </w:r>
          </w:p>
        </w:tc>
        <w:tc>
          <w:tcPr>
            <w:tcW w:w="1085" w:type="dxa"/>
            <w:vMerge w:val="restart"/>
            <w:tcMar>
              <w:top w:w="0" w:type="dxa"/>
              <w:left w:w="57" w:type="dxa"/>
              <w:bottom w:w="0" w:type="dxa"/>
              <w:right w:w="57" w:type="dxa"/>
            </w:tcMar>
            <w:vAlign w:val="center"/>
          </w:tcPr>
          <w:p w14:paraId="59A617A6">
            <w:pPr>
              <w:jc w:val="center"/>
              <w:rPr>
                <w:rFonts w:hint="eastAsia" w:ascii="宋体" w:hAnsi="宋体" w:cs="宋体"/>
                <w:color w:val="auto"/>
              </w:rPr>
            </w:pPr>
            <w:r>
              <w:rPr>
                <w:rFonts w:hint="eastAsia" w:ascii="宋体" w:hAnsi="宋体" w:cs="宋体"/>
                <w:color w:val="auto"/>
              </w:rPr>
              <w:t>资信业绩评分标准</w:t>
            </w:r>
          </w:p>
          <w:p w14:paraId="53E62434">
            <w:pPr>
              <w:jc w:val="center"/>
              <w:rPr>
                <w:rFonts w:hint="eastAsia" w:ascii="宋体" w:hAnsi="宋体" w:cs="宋体"/>
                <w:color w:val="auto"/>
              </w:rPr>
            </w:pPr>
            <w:r>
              <w:rPr>
                <w:rFonts w:hint="eastAsia" w:ascii="宋体" w:hAnsi="宋体" w:cs="宋体"/>
                <w:color w:val="auto"/>
              </w:rPr>
              <w:t>（45分）</w:t>
            </w:r>
          </w:p>
        </w:tc>
        <w:tc>
          <w:tcPr>
            <w:tcW w:w="1946" w:type="dxa"/>
            <w:gridSpan w:val="2"/>
            <w:tcMar>
              <w:top w:w="0" w:type="dxa"/>
              <w:left w:w="57" w:type="dxa"/>
              <w:bottom w:w="0" w:type="dxa"/>
              <w:right w:w="57" w:type="dxa"/>
            </w:tcMar>
            <w:vAlign w:val="center"/>
          </w:tcPr>
          <w:p w14:paraId="3F07C41E">
            <w:pPr>
              <w:jc w:val="center"/>
              <w:rPr>
                <w:rFonts w:hint="eastAsia" w:ascii="宋体" w:hAnsi="宋体" w:cs="宋体"/>
                <w:color w:val="auto"/>
              </w:rPr>
            </w:pPr>
            <w:r>
              <w:rPr>
                <w:rFonts w:hint="eastAsia" w:ascii="宋体" w:hAnsi="宋体" w:cs="宋体"/>
                <w:color w:val="auto"/>
              </w:rPr>
              <w:t>类似项目业绩</w:t>
            </w:r>
          </w:p>
          <w:p w14:paraId="27FB9BF3">
            <w:pPr>
              <w:jc w:val="center"/>
              <w:rPr>
                <w:rFonts w:hint="eastAsia" w:ascii="宋体" w:hAnsi="宋体" w:cs="宋体"/>
                <w:color w:val="auto"/>
              </w:rPr>
            </w:pPr>
            <w:r>
              <w:rPr>
                <w:rFonts w:hint="eastAsia" w:ascii="宋体" w:hAnsi="宋体" w:cs="宋体"/>
                <w:color w:val="auto"/>
              </w:rPr>
              <w:t>（9分）</w:t>
            </w:r>
          </w:p>
        </w:tc>
        <w:tc>
          <w:tcPr>
            <w:tcW w:w="5599" w:type="dxa"/>
            <w:vAlign w:val="center"/>
          </w:tcPr>
          <w:p w14:paraId="7A9A8613">
            <w:pPr>
              <w:rPr>
                <w:rFonts w:hint="eastAsia" w:ascii="宋体" w:hAnsi="宋体" w:cs="宋体"/>
                <w:color w:val="auto"/>
              </w:rPr>
            </w:pPr>
            <w:r>
              <w:rPr>
                <w:rFonts w:hint="eastAsia" w:ascii="宋体" w:hAnsi="宋体" w:cs="宋体"/>
                <w:color w:val="auto"/>
              </w:rPr>
              <w:t>投标人自2022年1月1日至投标截止时间止，完成过质量合格的房屋建筑工程或文物保护工程监理业绩，每提供一项得3分,本项最高得9分。</w:t>
            </w:r>
          </w:p>
          <w:p w14:paraId="15168E13">
            <w:pPr>
              <w:rPr>
                <w:rFonts w:hint="eastAsia" w:ascii="宋体" w:hAnsi="宋体" w:cs="宋体"/>
                <w:color w:val="auto"/>
              </w:rPr>
            </w:pPr>
            <w:r>
              <w:rPr>
                <w:rFonts w:hint="eastAsia" w:ascii="宋体" w:hAnsi="宋体" w:cs="宋体"/>
                <w:color w:val="auto"/>
              </w:rPr>
              <w:t>注：须提供合同关键页原件扫描件、竣工验收证明文件【验收证明文件至少具有建设单位、设计、施工、监理】原件扫描件并加盖投标人电子印章，业绩时间以竣工验收证明材料日期为准。未按要求提供证明资料的或提供的证明材料不符合评审要求的，不得分。</w:t>
            </w:r>
          </w:p>
        </w:tc>
      </w:tr>
      <w:tr w14:paraId="4A5C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09" w:type="dxa"/>
            <w:vMerge w:val="continue"/>
            <w:tcMar>
              <w:top w:w="0" w:type="dxa"/>
              <w:left w:w="57" w:type="dxa"/>
              <w:bottom w:w="0" w:type="dxa"/>
              <w:right w:w="57" w:type="dxa"/>
            </w:tcMar>
            <w:vAlign w:val="center"/>
          </w:tcPr>
          <w:p w14:paraId="69FD07E7">
            <w:pPr>
              <w:spacing w:line="200" w:lineRule="exact"/>
              <w:jc w:val="left"/>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B2519FD">
            <w:pPr>
              <w:spacing w:before="5" w:line="100" w:lineRule="exact"/>
              <w:jc w:val="left"/>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4962B60F">
            <w:pPr>
              <w:jc w:val="center"/>
              <w:rPr>
                <w:rFonts w:hint="eastAsia" w:ascii="宋体" w:hAnsi="宋体" w:cs="宋体"/>
                <w:color w:val="auto"/>
              </w:rPr>
            </w:pPr>
            <w:r>
              <w:rPr>
                <w:rFonts w:hint="eastAsia" w:ascii="宋体" w:hAnsi="宋体" w:cs="宋体"/>
                <w:color w:val="auto"/>
              </w:rPr>
              <w:t>获奖情况</w:t>
            </w:r>
          </w:p>
          <w:p w14:paraId="6AEF2B4C">
            <w:pPr>
              <w:jc w:val="center"/>
              <w:rPr>
                <w:rFonts w:hint="eastAsia" w:ascii="宋体" w:hAnsi="宋体" w:cs="宋体"/>
                <w:color w:val="auto"/>
              </w:rPr>
            </w:pPr>
            <w:r>
              <w:rPr>
                <w:rFonts w:hint="eastAsia" w:ascii="宋体" w:hAnsi="宋体" w:cs="宋体"/>
                <w:color w:val="auto"/>
              </w:rPr>
              <w:t>（5分）</w:t>
            </w:r>
          </w:p>
        </w:tc>
        <w:tc>
          <w:tcPr>
            <w:tcW w:w="5599" w:type="dxa"/>
            <w:vAlign w:val="center"/>
          </w:tcPr>
          <w:p w14:paraId="745CF83E">
            <w:pPr>
              <w:rPr>
                <w:rFonts w:hint="eastAsia" w:ascii="宋体" w:hAnsi="宋体" w:cs="宋体"/>
                <w:color w:val="auto"/>
              </w:rPr>
            </w:pPr>
            <w:r>
              <w:rPr>
                <w:rFonts w:hint="eastAsia" w:ascii="宋体" w:hAnsi="宋体" w:cs="宋体"/>
                <w:color w:val="auto"/>
              </w:rPr>
              <w:t>投标人自2022年1月1日至投标截止时间止，监理的房屋建筑工程或文物保护工程获得过省级或以上奖项的得5分；获得过市级奖项的得2.5分；本项最高得5分。</w:t>
            </w:r>
          </w:p>
          <w:p w14:paraId="2DAC699F">
            <w:pPr>
              <w:rPr>
                <w:rFonts w:hint="eastAsia" w:ascii="宋体" w:hAnsi="宋体" w:cs="宋体"/>
                <w:color w:val="auto"/>
              </w:rPr>
            </w:pPr>
            <w:r>
              <w:rPr>
                <w:rFonts w:hint="eastAsia" w:ascii="宋体" w:hAnsi="宋体" w:cs="宋体"/>
                <w:color w:val="auto"/>
              </w:rPr>
              <w:t>注：①同一工程获得多个奖项的，按最高奖项计取，不重复累计。②需提供获奖证书复印件（或扫描件），并加盖投标人电子印章。③以投标人获奖证书为准，获奖时间以证书颁发日期为准。未按要求提供证明资料的或提供的证明材料不符合评审要求的，不得分。④</w:t>
            </w:r>
            <w:r>
              <w:rPr>
                <w:rFonts w:hint="eastAsia"/>
                <w:color w:val="auto"/>
              </w:rPr>
              <w:t>若颁发机构为协会，还需要提供组织在中国社会组织政务服务平台（网址：https://chinanpo.mca.gov.cn/）“全国社会组织信用信息公示平台”栏查询结果截图，证明其登记备案。</w:t>
            </w:r>
          </w:p>
        </w:tc>
      </w:tr>
      <w:tr w14:paraId="2030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9" w:type="dxa"/>
            <w:vMerge w:val="continue"/>
            <w:tcMar>
              <w:top w:w="0" w:type="dxa"/>
              <w:left w:w="57" w:type="dxa"/>
              <w:bottom w:w="0" w:type="dxa"/>
              <w:right w:w="57" w:type="dxa"/>
            </w:tcMar>
            <w:vAlign w:val="center"/>
          </w:tcPr>
          <w:p w14:paraId="632850B9">
            <w:pPr>
              <w:spacing w:line="200" w:lineRule="exact"/>
              <w:jc w:val="left"/>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1CADB5C8">
            <w:pPr>
              <w:spacing w:before="5" w:line="100" w:lineRule="exact"/>
              <w:jc w:val="left"/>
              <w:rPr>
                <w:rFonts w:hint="eastAsia" w:ascii="宋体" w:hAnsi="宋体" w:cs="宋体"/>
                <w:color w:val="auto"/>
                <w:sz w:val="18"/>
                <w:szCs w:val="18"/>
              </w:rPr>
            </w:pPr>
          </w:p>
        </w:tc>
        <w:tc>
          <w:tcPr>
            <w:tcW w:w="1946" w:type="dxa"/>
            <w:gridSpan w:val="2"/>
            <w:shd w:val="clear" w:color="auto" w:fill="FFFFFF"/>
            <w:tcMar>
              <w:top w:w="0" w:type="dxa"/>
              <w:left w:w="57" w:type="dxa"/>
              <w:bottom w:w="0" w:type="dxa"/>
              <w:right w:w="57" w:type="dxa"/>
            </w:tcMar>
            <w:vAlign w:val="center"/>
          </w:tcPr>
          <w:p w14:paraId="4F2374B3">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项目主要人员资历</w:t>
            </w:r>
          </w:p>
          <w:p w14:paraId="1E40D5F7">
            <w:pPr>
              <w:autoSpaceDE w:val="0"/>
              <w:autoSpaceDN w:val="0"/>
              <w:adjustRightInd w:val="0"/>
              <w:snapToGrid w:val="0"/>
              <w:spacing w:before="40" w:after="40"/>
              <w:ind w:left="32" w:right="32"/>
              <w:jc w:val="center"/>
              <w:rPr>
                <w:rFonts w:hint="eastAsia" w:ascii="宋体" w:hAnsi="宋体" w:cs="宋体"/>
                <w:color w:val="auto"/>
                <w:szCs w:val="21"/>
              </w:rPr>
            </w:pPr>
            <w:r>
              <w:rPr>
                <w:rFonts w:hint="eastAsia" w:ascii="宋体" w:hAnsi="宋体" w:cs="宋体"/>
                <w:bCs/>
                <w:color w:val="auto"/>
              </w:rPr>
              <w:t>（1</w:t>
            </w:r>
            <w:r>
              <w:rPr>
                <w:rFonts w:hint="eastAsia" w:ascii="宋体" w:hAnsi="宋体" w:cs="宋体"/>
                <w:bCs/>
                <w:color w:val="auto"/>
                <w:lang w:val="en-US" w:eastAsia="zh-CN"/>
              </w:rPr>
              <w:t>2</w:t>
            </w:r>
            <w:r>
              <w:rPr>
                <w:rFonts w:hint="eastAsia" w:ascii="宋体" w:hAnsi="宋体" w:cs="宋体"/>
                <w:bCs/>
                <w:color w:val="auto"/>
              </w:rPr>
              <w:t>分）</w:t>
            </w:r>
          </w:p>
        </w:tc>
        <w:tc>
          <w:tcPr>
            <w:tcW w:w="5599" w:type="dxa"/>
            <w:shd w:val="clear" w:color="auto" w:fill="FFFFFF"/>
            <w:vAlign w:val="center"/>
          </w:tcPr>
          <w:p w14:paraId="385D1D87">
            <w:pPr>
              <w:widowControl/>
              <w:jc w:val="left"/>
              <w:rPr>
                <w:color w:val="auto"/>
              </w:rPr>
            </w:pPr>
            <w:r>
              <w:rPr>
                <w:rFonts w:hint="eastAsia"/>
                <w:color w:val="auto"/>
              </w:rPr>
              <w:t>1.项目监理组织架构满足《项目监理部人员配置要求》，得5分，不满足的得0分。本小项最多得5分。</w:t>
            </w:r>
          </w:p>
          <w:p w14:paraId="674291BE">
            <w:pPr>
              <w:widowControl/>
              <w:jc w:val="left"/>
              <w:rPr>
                <w:color w:val="auto"/>
              </w:rPr>
            </w:pPr>
            <w:r>
              <w:rPr>
                <w:rFonts w:hint="eastAsia"/>
                <w:color w:val="auto"/>
              </w:rPr>
              <w:t>2.在满足《项目监理部人员配置要求》的基础上：</w:t>
            </w:r>
          </w:p>
          <w:p w14:paraId="7FDE0DB8">
            <w:pPr>
              <w:widowControl/>
              <w:jc w:val="left"/>
              <w:rPr>
                <w:color w:val="auto"/>
              </w:rPr>
            </w:pPr>
            <w:r>
              <w:rPr>
                <w:rFonts w:hint="eastAsia"/>
                <w:color w:val="auto"/>
              </w:rPr>
              <w:t>（1）房屋建筑工程专业监理工程师具有建筑工程相关专业中级（或以上）工程师职称，且具有房屋建筑专业监理工程师证的每人得2分，本小项最多得2分；</w:t>
            </w:r>
          </w:p>
          <w:p w14:paraId="3A8CE1AE">
            <w:pPr>
              <w:widowControl/>
              <w:jc w:val="left"/>
              <w:rPr>
                <w:color w:val="auto"/>
              </w:rPr>
            </w:pPr>
            <w:r>
              <w:rPr>
                <w:rFonts w:hint="eastAsia"/>
                <w:color w:val="auto"/>
              </w:rPr>
              <w:t>（2）文物专业监理工程师具有</w:t>
            </w:r>
            <w:r>
              <w:rPr>
                <w:rFonts w:hint="eastAsia"/>
                <w:color w:val="auto"/>
                <w:lang w:eastAsia="zh-CN"/>
              </w:rPr>
              <w:t>工程类</w:t>
            </w:r>
            <w:r>
              <w:rPr>
                <w:rFonts w:hint="eastAsia"/>
                <w:color w:val="auto"/>
              </w:rPr>
              <w:t>相关专业中级（或以上）工程师职称，且具有</w:t>
            </w:r>
            <w:r>
              <w:rPr>
                <w:rFonts w:hint="eastAsia"/>
                <w:color w:val="auto"/>
                <w:lang w:eastAsia="zh-CN"/>
              </w:rPr>
              <w:t>文物培训证书</w:t>
            </w:r>
            <w:r>
              <w:rPr>
                <w:rFonts w:hint="eastAsia"/>
                <w:color w:val="auto"/>
              </w:rPr>
              <w:t>的每人得</w:t>
            </w:r>
            <w:r>
              <w:rPr>
                <w:rFonts w:hint="eastAsia"/>
                <w:color w:val="auto"/>
                <w:lang w:val="en-US" w:eastAsia="zh-CN"/>
              </w:rPr>
              <w:t>3</w:t>
            </w:r>
            <w:r>
              <w:rPr>
                <w:rFonts w:hint="eastAsia"/>
                <w:color w:val="auto"/>
              </w:rPr>
              <w:t>分，本小项最多得</w:t>
            </w:r>
            <w:r>
              <w:rPr>
                <w:rFonts w:hint="eastAsia"/>
                <w:color w:val="auto"/>
                <w:lang w:val="en-US" w:eastAsia="zh-CN"/>
              </w:rPr>
              <w:t>3</w:t>
            </w:r>
            <w:r>
              <w:rPr>
                <w:rFonts w:hint="eastAsia"/>
                <w:color w:val="auto"/>
              </w:rPr>
              <w:t>分；</w:t>
            </w:r>
          </w:p>
          <w:p w14:paraId="04C15B09">
            <w:pPr>
              <w:widowControl/>
              <w:jc w:val="left"/>
              <w:rPr>
                <w:color w:val="auto"/>
              </w:rPr>
            </w:pPr>
            <w:r>
              <w:rPr>
                <w:rFonts w:hint="eastAsia"/>
                <w:color w:val="auto"/>
              </w:rPr>
              <w:t>（3）造价工程师具有工程造价相关专业高级或以上工程师职称，得2分，具有工程造价相关专业中级工程师职称，得1分；本小项最多得2分。</w:t>
            </w:r>
          </w:p>
          <w:p w14:paraId="31262A48">
            <w:pPr>
              <w:widowControl/>
              <w:jc w:val="left"/>
              <w:rPr>
                <w:color w:val="auto"/>
              </w:rPr>
            </w:pPr>
            <w:r>
              <w:rPr>
                <w:rFonts w:hint="eastAsia"/>
                <w:color w:val="auto"/>
              </w:rPr>
              <w:t>注：需同时提供职称证书、资格（或注册）证书、岗位证书及获奖证书等相关证明材料扫描件及投标截止时间前1个月（2025年5月）在本单位（含分公司，不含子公司）缴纳的社保证明。</w:t>
            </w:r>
          </w:p>
        </w:tc>
      </w:tr>
      <w:tr w14:paraId="20CE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9" w:type="dxa"/>
            <w:vMerge w:val="continue"/>
            <w:tcMar>
              <w:top w:w="0" w:type="dxa"/>
              <w:left w:w="57" w:type="dxa"/>
              <w:bottom w:w="0" w:type="dxa"/>
              <w:right w:w="57" w:type="dxa"/>
            </w:tcMar>
            <w:vAlign w:val="center"/>
          </w:tcPr>
          <w:p w14:paraId="0AD548C6">
            <w:pPr>
              <w:ind w:left="2082" w:right="2063"/>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33559737">
            <w:pPr>
              <w:ind w:left="2082" w:right="2063"/>
              <w:jc w:val="center"/>
              <w:rPr>
                <w:rFonts w:hint="eastAsia" w:ascii="宋体" w:hAnsi="宋体" w:cs="宋体"/>
                <w:color w:val="auto"/>
                <w:sz w:val="18"/>
                <w:szCs w:val="18"/>
              </w:rPr>
            </w:pPr>
          </w:p>
        </w:tc>
        <w:tc>
          <w:tcPr>
            <w:tcW w:w="1946" w:type="dxa"/>
            <w:gridSpan w:val="2"/>
            <w:shd w:val="clear" w:color="auto" w:fill="FFFFFF"/>
            <w:tcMar>
              <w:top w:w="0" w:type="dxa"/>
              <w:left w:w="57" w:type="dxa"/>
              <w:bottom w:w="0" w:type="dxa"/>
              <w:right w:w="57" w:type="dxa"/>
            </w:tcMar>
            <w:vAlign w:val="center"/>
          </w:tcPr>
          <w:p w14:paraId="7596F72A">
            <w:pPr>
              <w:snapToGrid w:val="0"/>
              <w:spacing w:line="400" w:lineRule="exact"/>
              <w:jc w:val="center"/>
              <w:rPr>
                <w:rFonts w:hint="eastAsia" w:ascii="宋体" w:hAnsi="宋体" w:cs="宋体"/>
                <w:color w:val="auto"/>
              </w:rPr>
            </w:pPr>
            <w:r>
              <w:rPr>
                <w:rFonts w:hint="eastAsia" w:ascii="宋体" w:hAnsi="宋体" w:cs="宋体"/>
                <w:color w:val="auto"/>
              </w:rPr>
              <w:t>企业创新能力</w:t>
            </w:r>
          </w:p>
          <w:p w14:paraId="3B94EC76">
            <w:pPr>
              <w:snapToGrid w:val="0"/>
              <w:spacing w:line="400" w:lineRule="exact"/>
              <w:jc w:val="center"/>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lang w:val="en-US" w:eastAsia="zh-CN"/>
              </w:rPr>
              <w:t>6</w:t>
            </w:r>
            <w:r>
              <w:rPr>
                <w:rFonts w:hint="eastAsia" w:ascii="宋体" w:hAnsi="宋体" w:cs="宋体"/>
                <w:color w:val="auto"/>
              </w:rPr>
              <w:t>分）</w:t>
            </w:r>
          </w:p>
        </w:tc>
        <w:tc>
          <w:tcPr>
            <w:tcW w:w="5599" w:type="dxa"/>
            <w:shd w:val="clear" w:color="auto" w:fill="FFFFFF"/>
            <w:vAlign w:val="center"/>
          </w:tcPr>
          <w:p w14:paraId="5B403B6A">
            <w:pPr>
              <w:rPr>
                <w:rFonts w:hint="eastAsia" w:ascii="宋体" w:hAnsi="宋体" w:cs="宋体"/>
                <w:color w:val="auto"/>
              </w:rPr>
            </w:pPr>
            <w:r>
              <w:rPr>
                <w:rFonts w:ascii="宋体" w:hAnsi="宋体" w:cs="宋体"/>
                <w:color w:val="auto"/>
              </w:rPr>
              <w:t>1.</w:t>
            </w:r>
            <w:r>
              <w:rPr>
                <w:rFonts w:hint="eastAsia" w:ascii="宋体" w:hAnsi="宋体" w:cs="宋体"/>
                <w:color w:val="auto"/>
              </w:rPr>
              <w:t>2022年1月1日至投标截止时间，曾获得</w:t>
            </w:r>
            <w:r>
              <w:rPr>
                <w:rStyle w:val="60"/>
                <w:rFonts w:hint="default"/>
                <w:color w:val="auto"/>
                <w:lang w:bidi="ar"/>
              </w:rPr>
              <w:t>市级</w:t>
            </w:r>
            <w:r>
              <w:rPr>
                <w:rStyle w:val="60"/>
                <w:color w:val="auto"/>
                <w:lang w:bidi="ar"/>
              </w:rPr>
              <w:t>（或以上）</w:t>
            </w:r>
            <w:r>
              <w:rPr>
                <w:rStyle w:val="60"/>
                <w:rFonts w:hint="default"/>
                <w:color w:val="auto"/>
                <w:lang w:bidi="ar"/>
              </w:rPr>
              <w:t>工程类科学技术奖，每个得</w:t>
            </w:r>
            <w:r>
              <w:rPr>
                <w:rStyle w:val="60"/>
                <w:color w:val="auto"/>
                <w:lang w:bidi="ar"/>
              </w:rPr>
              <w:t>4</w:t>
            </w:r>
            <w:r>
              <w:rPr>
                <w:rStyle w:val="60"/>
                <w:rFonts w:hint="default"/>
                <w:color w:val="auto"/>
                <w:lang w:bidi="ar"/>
              </w:rPr>
              <w:t>分；本项最多得12分。</w:t>
            </w:r>
          </w:p>
          <w:p w14:paraId="4FF3D58B">
            <w:pPr>
              <w:rPr>
                <w:rFonts w:cs="Arial"/>
                <w:color w:val="auto"/>
                <w:szCs w:val="21"/>
                <w:shd w:val="clear" w:color="auto" w:fill="FFFFFF"/>
                <w:lang w:val="zh-CN"/>
              </w:rPr>
            </w:pPr>
            <w:r>
              <w:rPr>
                <w:rFonts w:ascii="宋体" w:hAnsi="宋体" w:cs="宋体"/>
                <w:color w:val="auto"/>
              </w:rPr>
              <w:t>2.</w:t>
            </w:r>
            <w:r>
              <w:rPr>
                <w:rFonts w:hint="eastAsia" w:ascii="宋体" w:hAnsi="宋体" w:cs="宋体"/>
                <w:color w:val="auto"/>
              </w:rPr>
              <w:t>2022年1月1日</w:t>
            </w:r>
            <w:r>
              <w:rPr>
                <w:rFonts w:hint="eastAsia"/>
                <w:color w:val="auto"/>
                <w:szCs w:val="21"/>
                <w:lang w:val="zh-CN"/>
              </w:rPr>
              <w:t>至</w:t>
            </w:r>
            <w:r>
              <w:rPr>
                <w:rFonts w:hint="eastAsia"/>
                <w:color w:val="auto"/>
                <w:szCs w:val="21"/>
              </w:rPr>
              <w:t>投标截止时间</w:t>
            </w:r>
            <w:r>
              <w:rPr>
                <w:rFonts w:hint="eastAsia" w:cs="Arial"/>
                <w:color w:val="auto"/>
                <w:szCs w:val="21"/>
                <w:shd w:val="clear" w:color="auto" w:fill="FFFFFF"/>
                <w:lang w:val="zh-CN"/>
              </w:rPr>
              <w:t>，</w:t>
            </w:r>
            <w:r>
              <w:rPr>
                <w:rFonts w:hint="eastAsia" w:ascii="宋体" w:hAnsi="宋体" w:cs="宋体"/>
                <w:color w:val="auto"/>
              </w:rPr>
              <w:t>投标人具有有效期内的高新技术企业证书得</w:t>
            </w:r>
            <w:r>
              <w:rPr>
                <w:rFonts w:hint="eastAsia" w:ascii="宋体" w:hAnsi="宋体" w:cs="宋体"/>
                <w:color w:val="auto"/>
                <w:lang w:val="en-US" w:eastAsia="zh-CN"/>
              </w:rPr>
              <w:t>4</w:t>
            </w:r>
            <w:r>
              <w:rPr>
                <w:rFonts w:hint="eastAsia" w:ascii="宋体" w:hAnsi="宋体" w:cs="宋体"/>
                <w:color w:val="auto"/>
              </w:rPr>
              <w:t>分，没有不得分</w:t>
            </w:r>
            <w:r>
              <w:rPr>
                <w:rFonts w:hint="eastAsia" w:cs="Arial"/>
                <w:color w:val="auto"/>
                <w:szCs w:val="21"/>
                <w:shd w:val="clear" w:color="auto" w:fill="FFFFFF"/>
                <w:lang w:val="zh-CN"/>
              </w:rPr>
              <w:t>。</w:t>
            </w:r>
          </w:p>
          <w:p w14:paraId="585421FE">
            <w:pPr>
              <w:rPr>
                <w:color w:val="auto"/>
              </w:rPr>
            </w:pPr>
            <w:r>
              <w:rPr>
                <w:rFonts w:hint="eastAsia" w:cs="Arial"/>
                <w:color w:val="auto"/>
                <w:szCs w:val="21"/>
                <w:shd w:val="clear" w:color="auto" w:fill="FFFFFF"/>
                <w:lang w:val="zh-CN"/>
              </w:rPr>
              <w:t>注：</w:t>
            </w:r>
            <w:r>
              <w:rPr>
                <w:rFonts w:hint="eastAsia" w:ascii="宋体" w:hAnsi="宋体" w:cs="宋体"/>
                <w:color w:val="auto"/>
              </w:rPr>
              <w:t>①</w:t>
            </w:r>
            <w:r>
              <w:rPr>
                <w:color w:val="auto"/>
              </w:rPr>
              <w:t>工程类科学技术奖</w:t>
            </w:r>
            <w:r>
              <w:rPr>
                <w:rFonts w:hint="eastAsia"/>
                <w:color w:val="auto"/>
              </w:rPr>
              <w:t>：国家级证书须为中华人民共和国国务院颁发或国家级行业协会（或学会）颁发的“科学技术进步奖或科技进步奖或科学技术奖”，省级</w:t>
            </w:r>
            <w:r>
              <w:rPr>
                <w:color w:val="auto"/>
              </w:rPr>
              <w:t>（或以上）</w:t>
            </w:r>
            <w:r>
              <w:rPr>
                <w:rFonts w:hint="eastAsia"/>
                <w:color w:val="auto"/>
              </w:rPr>
              <w:t>证书须为省级</w:t>
            </w:r>
            <w:r>
              <w:rPr>
                <w:color w:val="auto"/>
              </w:rPr>
              <w:t>（或以上）</w:t>
            </w:r>
            <w:r>
              <w:rPr>
                <w:rFonts w:hint="eastAsia"/>
                <w:color w:val="auto"/>
              </w:rPr>
              <w:t>人民政府颁发或省级</w:t>
            </w:r>
            <w:r>
              <w:rPr>
                <w:color w:val="auto"/>
              </w:rPr>
              <w:t>（或以上）</w:t>
            </w:r>
            <w:r>
              <w:rPr>
                <w:rFonts w:hint="eastAsia"/>
                <w:color w:val="auto"/>
              </w:rPr>
              <w:t>行业协会（或学会）颁发的“科学技术进步奖或科技进步奖或科学技术奖”。若颁发机构为行业协会（或学会），还需要提供组织在中国社会组织政务服务平台（网址：https://chinanpo.mca.gov.cn/）“全国社会组织信用信息公示平台”栏查询结果截图，证明其登记备案。投标人须提供获奖证书原件扫描件，时间以证书的颁发时间为准，只计算投标人自身（不含投标人的子公司或分公司），获奖单位名称须与投标人单位名称一致。</w:t>
            </w:r>
          </w:p>
          <w:p w14:paraId="2EA8E7B7">
            <w:pPr>
              <w:rPr>
                <w:rFonts w:hint="eastAsia" w:ascii="宋体" w:hAnsi="宋体" w:cs="宋体"/>
                <w:color w:val="auto"/>
                <w:szCs w:val="21"/>
              </w:rPr>
            </w:pPr>
            <w:r>
              <w:rPr>
                <w:rFonts w:hint="eastAsia" w:ascii="宋体" w:hAnsi="宋体" w:cs="宋体"/>
                <w:color w:val="auto"/>
              </w:rPr>
              <w:t>②高新技术企业</w:t>
            </w:r>
            <w:r>
              <w:rPr>
                <w:rFonts w:hint="eastAsia" w:cs="Arial"/>
                <w:color w:val="auto"/>
                <w:szCs w:val="21"/>
                <w:shd w:val="clear" w:color="auto" w:fill="FFFFFF"/>
                <w:lang w:val="zh-CN"/>
              </w:rPr>
              <w:t>需提供相关证书扫描件，时间以证书时间为准。不提供不得分。</w:t>
            </w:r>
          </w:p>
        </w:tc>
      </w:tr>
      <w:tr w14:paraId="6840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09" w:type="dxa"/>
            <w:vMerge w:val="continue"/>
            <w:tcMar>
              <w:top w:w="0" w:type="dxa"/>
              <w:left w:w="57" w:type="dxa"/>
              <w:bottom w:w="0" w:type="dxa"/>
              <w:right w:w="57" w:type="dxa"/>
            </w:tcMar>
            <w:vAlign w:val="center"/>
          </w:tcPr>
          <w:p w14:paraId="1CE8BAC5">
            <w:pPr>
              <w:ind w:left="2082" w:right="2063"/>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751E8CA">
            <w:pPr>
              <w:ind w:left="2082" w:right="2063"/>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C5C6354">
            <w:pPr>
              <w:jc w:val="center"/>
              <w:rPr>
                <w:rFonts w:hint="eastAsia" w:ascii="宋体" w:hAnsi="宋体" w:cs="宋体"/>
                <w:color w:val="auto"/>
              </w:rPr>
            </w:pPr>
            <w:r>
              <w:rPr>
                <w:rFonts w:hint="eastAsia" w:ascii="宋体" w:hAnsi="宋体" w:cs="宋体"/>
                <w:color w:val="auto"/>
              </w:rPr>
              <w:t>管理体系认证</w:t>
            </w:r>
          </w:p>
          <w:p w14:paraId="4F5B4E1A">
            <w:pPr>
              <w:jc w:val="center"/>
              <w:rPr>
                <w:rFonts w:hint="eastAsia" w:ascii="宋体" w:hAnsi="宋体" w:cs="宋体"/>
                <w:color w:val="auto"/>
              </w:rPr>
            </w:pPr>
            <w:r>
              <w:rPr>
                <w:rFonts w:hint="eastAsia" w:ascii="宋体" w:hAnsi="宋体" w:cs="宋体"/>
                <w:color w:val="auto"/>
              </w:rPr>
              <w:t>（3分）</w:t>
            </w:r>
          </w:p>
        </w:tc>
        <w:tc>
          <w:tcPr>
            <w:tcW w:w="5599" w:type="dxa"/>
            <w:vAlign w:val="center"/>
          </w:tcPr>
          <w:p w14:paraId="7CD02B4F">
            <w:pPr>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具有有效的质量管理体系认证证书、环境管理体系认证证书、职业健康安全管理体系认证证书，每个得1分，无或其他不得分。本项最多得3分。</w:t>
            </w:r>
          </w:p>
          <w:p w14:paraId="591A7D2B">
            <w:pPr>
              <w:jc w:val="left"/>
              <w:rPr>
                <w:rFonts w:hint="eastAsia" w:ascii="宋体" w:hAnsi="宋体" w:cs="宋体"/>
                <w:color w:val="auto"/>
              </w:rPr>
            </w:pPr>
            <w:r>
              <w:rPr>
                <w:rFonts w:hint="eastAsia" w:ascii="宋体" w:hAnsi="宋体" w:cs="宋体"/>
                <w:bCs/>
                <w:color w:val="auto"/>
              </w:rPr>
              <w:t>注：需同时提供认证证书扫描件，</w:t>
            </w:r>
            <w:r>
              <w:rPr>
                <w:rFonts w:hint="eastAsia" w:ascii="宋体" w:hAnsi="宋体" w:cs="宋体"/>
                <w:color w:val="auto"/>
              </w:rPr>
              <w:t>证书须在有效期内，</w:t>
            </w:r>
            <w:r>
              <w:rPr>
                <w:rFonts w:hint="eastAsia" w:ascii="宋体" w:hAnsi="宋体" w:cs="宋体"/>
                <w:bCs/>
                <w:color w:val="auto"/>
              </w:rPr>
              <w:t>无提供不得分。</w:t>
            </w:r>
          </w:p>
        </w:tc>
      </w:tr>
      <w:tr w14:paraId="43D1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restart"/>
            <w:tcMar>
              <w:top w:w="0" w:type="dxa"/>
              <w:left w:w="57" w:type="dxa"/>
              <w:bottom w:w="0" w:type="dxa"/>
              <w:right w:w="57" w:type="dxa"/>
            </w:tcMar>
            <w:vAlign w:val="center"/>
          </w:tcPr>
          <w:p w14:paraId="17ADC9A4">
            <w:pPr>
              <w:spacing w:line="200" w:lineRule="exact"/>
              <w:jc w:val="left"/>
              <w:rPr>
                <w:rFonts w:hint="eastAsia" w:ascii="宋体" w:hAnsi="宋体" w:cs="宋体"/>
                <w:color w:val="auto"/>
                <w:sz w:val="18"/>
                <w:szCs w:val="18"/>
              </w:rPr>
            </w:pPr>
          </w:p>
          <w:p w14:paraId="011D64C9">
            <w:pPr>
              <w:spacing w:line="200" w:lineRule="exact"/>
              <w:jc w:val="left"/>
              <w:rPr>
                <w:rFonts w:hint="eastAsia" w:ascii="宋体" w:hAnsi="宋体" w:cs="宋体"/>
                <w:color w:val="auto"/>
                <w:sz w:val="18"/>
                <w:szCs w:val="18"/>
              </w:rPr>
            </w:pPr>
          </w:p>
          <w:p w14:paraId="5FB01C14">
            <w:pPr>
              <w:spacing w:line="200" w:lineRule="exact"/>
              <w:jc w:val="left"/>
              <w:rPr>
                <w:rFonts w:hint="eastAsia" w:ascii="宋体" w:hAnsi="宋体" w:cs="宋体"/>
                <w:color w:val="auto"/>
                <w:sz w:val="18"/>
                <w:szCs w:val="18"/>
              </w:rPr>
            </w:pPr>
          </w:p>
          <w:p w14:paraId="023219CA">
            <w:pPr>
              <w:spacing w:line="200" w:lineRule="exact"/>
              <w:jc w:val="left"/>
              <w:rPr>
                <w:rFonts w:hint="eastAsia" w:ascii="宋体" w:hAnsi="宋体" w:cs="宋体"/>
                <w:color w:val="auto"/>
                <w:sz w:val="18"/>
                <w:szCs w:val="18"/>
              </w:rPr>
            </w:pPr>
          </w:p>
          <w:p w14:paraId="57141640">
            <w:pPr>
              <w:spacing w:line="200" w:lineRule="exact"/>
              <w:jc w:val="left"/>
              <w:rPr>
                <w:rFonts w:hint="eastAsia" w:ascii="宋体" w:hAnsi="宋体" w:cs="宋体"/>
                <w:color w:val="auto"/>
                <w:sz w:val="18"/>
                <w:szCs w:val="18"/>
              </w:rPr>
            </w:pPr>
          </w:p>
          <w:p w14:paraId="38A6741D">
            <w:pPr>
              <w:spacing w:line="200" w:lineRule="exact"/>
              <w:jc w:val="left"/>
              <w:rPr>
                <w:rFonts w:hint="eastAsia" w:ascii="宋体" w:hAnsi="宋体" w:cs="宋体"/>
                <w:color w:val="auto"/>
                <w:sz w:val="18"/>
                <w:szCs w:val="18"/>
              </w:rPr>
            </w:pPr>
          </w:p>
          <w:p w14:paraId="64C1455D">
            <w:pPr>
              <w:spacing w:line="200" w:lineRule="exact"/>
              <w:jc w:val="left"/>
              <w:rPr>
                <w:rFonts w:hint="eastAsia" w:ascii="宋体" w:hAnsi="宋体" w:cs="宋体"/>
                <w:color w:val="auto"/>
                <w:sz w:val="18"/>
                <w:szCs w:val="18"/>
              </w:rPr>
            </w:pPr>
          </w:p>
          <w:p w14:paraId="658EEFE7">
            <w:pPr>
              <w:spacing w:line="200" w:lineRule="exact"/>
              <w:jc w:val="left"/>
              <w:rPr>
                <w:rFonts w:hint="eastAsia" w:ascii="宋体" w:hAnsi="宋体" w:cs="宋体"/>
                <w:color w:val="auto"/>
                <w:sz w:val="18"/>
                <w:szCs w:val="18"/>
              </w:rPr>
            </w:pPr>
          </w:p>
          <w:p w14:paraId="37965912">
            <w:pPr>
              <w:spacing w:line="200" w:lineRule="exact"/>
              <w:jc w:val="left"/>
              <w:rPr>
                <w:rFonts w:hint="eastAsia" w:ascii="宋体" w:hAnsi="宋体" w:cs="宋体"/>
                <w:color w:val="auto"/>
                <w:sz w:val="18"/>
                <w:szCs w:val="18"/>
              </w:rPr>
            </w:pPr>
          </w:p>
          <w:p w14:paraId="1DE3CD73">
            <w:pPr>
              <w:spacing w:before="3" w:line="280" w:lineRule="exact"/>
              <w:jc w:val="left"/>
              <w:rPr>
                <w:rFonts w:hint="eastAsia" w:ascii="宋体" w:hAnsi="宋体" w:cs="宋体"/>
                <w:color w:val="auto"/>
                <w:sz w:val="18"/>
                <w:szCs w:val="18"/>
              </w:rPr>
            </w:pPr>
          </w:p>
          <w:p w14:paraId="474D7A50">
            <w:pPr>
              <w:ind w:left="234" w:right="-20"/>
              <w:jc w:val="left"/>
              <w:rPr>
                <w:rFonts w:hint="eastAsia" w:ascii="宋体" w:hAnsi="宋体" w:cs="宋体"/>
                <w:color w:val="auto"/>
                <w:sz w:val="18"/>
                <w:szCs w:val="18"/>
              </w:rPr>
            </w:pPr>
            <w:r>
              <w:rPr>
                <w:rFonts w:hint="eastAsia" w:ascii="宋体" w:hAnsi="宋体" w:cs="宋体"/>
                <w:color w:val="auto"/>
                <w:sz w:val="18"/>
                <w:szCs w:val="18"/>
              </w:rPr>
              <w:t>2.2.4</w:t>
            </w:r>
          </w:p>
          <w:p w14:paraId="025A181F">
            <w:pPr>
              <w:spacing w:before="86"/>
              <w:ind w:left="181" w:right="-20"/>
              <w:jc w:val="left"/>
              <w:rPr>
                <w:rFonts w:hint="eastAsia" w:ascii="宋体" w:hAnsi="宋体" w:cs="宋体"/>
                <w:color w:val="auto"/>
                <w:sz w:val="18"/>
                <w:szCs w:val="18"/>
              </w:rPr>
            </w:pPr>
            <w:r>
              <w:rPr>
                <w:rFonts w:hint="eastAsia" w:ascii="宋体" w:hAnsi="宋体" w:cs="宋体"/>
                <w:color w:val="auto"/>
                <w:sz w:val="18"/>
                <w:szCs w:val="18"/>
              </w:rPr>
              <w:t>（2）</w:t>
            </w:r>
          </w:p>
        </w:tc>
        <w:tc>
          <w:tcPr>
            <w:tcW w:w="1085" w:type="dxa"/>
            <w:vMerge w:val="restart"/>
            <w:tcMar>
              <w:top w:w="0" w:type="dxa"/>
              <w:left w:w="57" w:type="dxa"/>
              <w:bottom w:w="0" w:type="dxa"/>
              <w:right w:w="57" w:type="dxa"/>
            </w:tcMar>
            <w:vAlign w:val="center"/>
          </w:tcPr>
          <w:p w14:paraId="555C148F">
            <w:pPr>
              <w:spacing w:before="1" w:line="170" w:lineRule="exact"/>
              <w:jc w:val="left"/>
              <w:rPr>
                <w:rFonts w:hint="eastAsia" w:ascii="宋体" w:hAnsi="宋体" w:cs="宋体"/>
                <w:color w:val="auto"/>
                <w:sz w:val="18"/>
                <w:szCs w:val="18"/>
              </w:rPr>
            </w:pPr>
          </w:p>
          <w:p w14:paraId="488D8DBD">
            <w:pPr>
              <w:spacing w:line="200" w:lineRule="exact"/>
              <w:jc w:val="left"/>
              <w:rPr>
                <w:rFonts w:hint="eastAsia" w:ascii="宋体" w:hAnsi="宋体" w:cs="宋体"/>
                <w:color w:val="auto"/>
                <w:sz w:val="18"/>
                <w:szCs w:val="18"/>
              </w:rPr>
            </w:pPr>
          </w:p>
          <w:p w14:paraId="798369B1">
            <w:pPr>
              <w:spacing w:line="200" w:lineRule="exact"/>
              <w:jc w:val="left"/>
              <w:rPr>
                <w:rFonts w:hint="eastAsia" w:ascii="宋体" w:hAnsi="宋体" w:cs="宋体"/>
                <w:color w:val="auto"/>
                <w:sz w:val="18"/>
                <w:szCs w:val="18"/>
              </w:rPr>
            </w:pPr>
          </w:p>
          <w:p w14:paraId="417AA9EE">
            <w:pPr>
              <w:spacing w:line="200" w:lineRule="exact"/>
              <w:jc w:val="left"/>
              <w:rPr>
                <w:rFonts w:hint="eastAsia" w:ascii="宋体" w:hAnsi="宋体" w:cs="宋体"/>
                <w:color w:val="auto"/>
                <w:sz w:val="18"/>
                <w:szCs w:val="18"/>
              </w:rPr>
            </w:pPr>
          </w:p>
          <w:p w14:paraId="19D5E867">
            <w:pPr>
              <w:spacing w:line="200" w:lineRule="exact"/>
              <w:jc w:val="left"/>
              <w:rPr>
                <w:rFonts w:hint="eastAsia" w:ascii="宋体" w:hAnsi="宋体" w:cs="宋体"/>
                <w:color w:val="auto"/>
                <w:sz w:val="18"/>
                <w:szCs w:val="18"/>
              </w:rPr>
            </w:pPr>
          </w:p>
          <w:p w14:paraId="3E418232">
            <w:pPr>
              <w:spacing w:line="200" w:lineRule="exact"/>
              <w:jc w:val="left"/>
              <w:rPr>
                <w:rFonts w:hint="eastAsia" w:ascii="宋体" w:hAnsi="宋体" w:cs="宋体"/>
                <w:color w:val="auto"/>
                <w:sz w:val="18"/>
                <w:szCs w:val="18"/>
              </w:rPr>
            </w:pPr>
          </w:p>
          <w:p w14:paraId="722C9CA4">
            <w:pPr>
              <w:spacing w:line="200" w:lineRule="exact"/>
              <w:jc w:val="left"/>
              <w:rPr>
                <w:rFonts w:hint="eastAsia" w:ascii="宋体" w:hAnsi="宋体" w:cs="宋体"/>
                <w:color w:val="auto"/>
                <w:sz w:val="18"/>
                <w:szCs w:val="18"/>
              </w:rPr>
            </w:pPr>
          </w:p>
          <w:p w14:paraId="34822FAC">
            <w:pPr>
              <w:spacing w:line="200" w:lineRule="exact"/>
              <w:jc w:val="left"/>
              <w:rPr>
                <w:rFonts w:hint="eastAsia" w:ascii="宋体" w:hAnsi="宋体" w:cs="宋体"/>
                <w:color w:val="auto"/>
                <w:sz w:val="18"/>
                <w:szCs w:val="18"/>
              </w:rPr>
            </w:pPr>
          </w:p>
          <w:p w14:paraId="016BA923">
            <w:pPr>
              <w:spacing w:line="200" w:lineRule="exact"/>
              <w:jc w:val="left"/>
              <w:rPr>
                <w:rFonts w:hint="eastAsia" w:ascii="宋体" w:hAnsi="宋体" w:cs="宋体"/>
                <w:color w:val="auto"/>
                <w:sz w:val="18"/>
                <w:szCs w:val="18"/>
              </w:rPr>
            </w:pPr>
          </w:p>
          <w:p w14:paraId="1A445A6A">
            <w:pPr>
              <w:spacing w:line="200" w:lineRule="exact"/>
              <w:jc w:val="left"/>
              <w:rPr>
                <w:rFonts w:hint="eastAsia" w:ascii="宋体" w:hAnsi="宋体" w:cs="宋体"/>
                <w:color w:val="auto"/>
                <w:sz w:val="18"/>
                <w:szCs w:val="18"/>
              </w:rPr>
            </w:pPr>
          </w:p>
          <w:p w14:paraId="4B4D5EEA">
            <w:pPr>
              <w:jc w:val="center"/>
              <w:rPr>
                <w:rFonts w:hint="eastAsia" w:ascii="宋体" w:hAnsi="宋体" w:cs="宋体"/>
                <w:color w:val="auto"/>
              </w:rPr>
            </w:pPr>
            <w:r>
              <w:rPr>
                <w:rFonts w:hint="eastAsia" w:ascii="宋体" w:hAnsi="宋体" w:cs="宋体"/>
                <w:color w:val="auto"/>
              </w:rPr>
              <w:t>监理大纲评分标准</w:t>
            </w:r>
          </w:p>
          <w:p w14:paraId="723F0425">
            <w:pPr>
              <w:spacing w:line="292" w:lineRule="auto"/>
              <w:ind w:left="136" w:right="59"/>
              <w:jc w:val="left"/>
              <w:rPr>
                <w:rFonts w:hint="eastAsia" w:ascii="宋体" w:hAnsi="宋体" w:cs="宋体"/>
                <w:color w:val="auto"/>
                <w:sz w:val="18"/>
                <w:szCs w:val="18"/>
              </w:rPr>
            </w:pPr>
            <w:r>
              <w:rPr>
                <w:rFonts w:hint="eastAsia" w:ascii="宋体" w:hAnsi="宋体" w:cs="宋体"/>
                <w:color w:val="auto"/>
              </w:rPr>
              <w:t>（45分）</w:t>
            </w:r>
          </w:p>
        </w:tc>
        <w:tc>
          <w:tcPr>
            <w:tcW w:w="975" w:type="dxa"/>
            <w:vMerge w:val="restart"/>
            <w:tcMar>
              <w:top w:w="0" w:type="dxa"/>
              <w:left w:w="57" w:type="dxa"/>
              <w:bottom w:w="0" w:type="dxa"/>
              <w:right w:w="57" w:type="dxa"/>
            </w:tcMar>
            <w:vAlign w:val="center"/>
          </w:tcPr>
          <w:p w14:paraId="768EEC62">
            <w:pPr>
              <w:jc w:val="center"/>
              <w:rPr>
                <w:rFonts w:hint="eastAsia" w:ascii="宋体" w:hAnsi="宋体" w:cs="宋体"/>
                <w:color w:val="auto"/>
              </w:rPr>
            </w:pPr>
            <w:r>
              <w:rPr>
                <w:rFonts w:hint="eastAsia" w:ascii="宋体" w:hAnsi="宋体" w:cs="宋体"/>
                <w:color w:val="auto"/>
              </w:rPr>
              <w:t>质量、进度、造价、安全、环保监理措施</w:t>
            </w:r>
          </w:p>
          <w:p w14:paraId="640F6FFF">
            <w:pPr>
              <w:jc w:val="center"/>
              <w:rPr>
                <w:rFonts w:hint="eastAsia" w:ascii="宋体" w:hAnsi="宋体" w:cs="宋体"/>
                <w:color w:val="auto"/>
              </w:rPr>
            </w:pPr>
            <w:r>
              <w:rPr>
                <w:rFonts w:hint="eastAsia" w:ascii="宋体" w:hAnsi="宋体" w:cs="宋体"/>
                <w:color w:val="auto"/>
              </w:rPr>
              <w:t>（20分）</w:t>
            </w:r>
          </w:p>
        </w:tc>
        <w:tc>
          <w:tcPr>
            <w:tcW w:w="971" w:type="dxa"/>
            <w:vAlign w:val="center"/>
          </w:tcPr>
          <w:p w14:paraId="3F488857">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质量控制措施</w:t>
            </w:r>
          </w:p>
          <w:p w14:paraId="5CA3515D">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（5分）</w:t>
            </w:r>
          </w:p>
        </w:tc>
        <w:tc>
          <w:tcPr>
            <w:tcW w:w="5599" w:type="dxa"/>
            <w:vAlign w:val="center"/>
          </w:tcPr>
          <w:p w14:paraId="00753BE0">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要求目标明确、方法合理可行、措施具体、针对性强。</w:t>
            </w:r>
          </w:p>
          <w:p w14:paraId="2C86A0BF">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优得5分；良得3分；一般得1分；差或无措施不得分。</w:t>
            </w:r>
          </w:p>
        </w:tc>
      </w:tr>
      <w:tr w14:paraId="493D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9" w:type="dxa"/>
            <w:vMerge w:val="continue"/>
            <w:tcMar>
              <w:top w:w="0" w:type="dxa"/>
              <w:left w:w="57" w:type="dxa"/>
              <w:bottom w:w="0" w:type="dxa"/>
              <w:right w:w="57" w:type="dxa"/>
            </w:tcMar>
            <w:vAlign w:val="center"/>
          </w:tcPr>
          <w:p w14:paraId="57E2466B">
            <w:pPr>
              <w:spacing w:line="174" w:lineRule="exact"/>
              <w:ind w:left="2090" w:right="2065"/>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1EB46744">
            <w:pPr>
              <w:spacing w:line="174" w:lineRule="exact"/>
              <w:ind w:left="2090" w:right="2065"/>
              <w:jc w:val="center"/>
              <w:rPr>
                <w:rFonts w:hint="eastAsia" w:ascii="宋体" w:hAnsi="宋体" w:cs="宋体"/>
                <w:color w:val="auto"/>
                <w:sz w:val="18"/>
                <w:szCs w:val="18"/>
              </w:rPr>
            </w:pPr>
          </w:p>
        </w:tc>
        <w:tc>
          <w:tcPr>
            <w:tcW w:w="975" w:type="dxa"/>
            <w:vMerge w:val="continue"/>
            <w:tcMar>
              <w:top w:w="0" w:type="dxa"/>
              <w:left w:w="57" w:type="dxa"/>
              <w:bottom w:w="0" w:type="dxa"/>
              <w:right w:w="57" w:type="dxa"/>
            </w:tcMar>
            <w:vAlign w:val="center"/>
          </w:tcPr>
          <w:p w14:paraId="09EA60DE">
            <w:pPr>
              <w:jc w:val="center"/>
              <w:rPr>
                <w:rFonts w:hint="eastAsia" w:ascii="宋体" w:hAnsi="宋体" w:cs="宋体"/>
                <w:color w:val="auto"/>
              </w:rPr>
            </w:pPr>
          </w:p>
        </w:tc>
        <w:tc>
          <w:tcPr>
            <w:tcW w:w="971" w:type="dxa"/>
            <w:vAlign w:val="center"/>
          </w:tcPr>
          <w:p w14:paraId="7F92CADC">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进度控制措施</w:t>
            </w:r>
          </w:p>
          <w:p w14:paraId="3D7D4C30">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（5分）</w:t>
            </w:r>
          </w:p>
        </w:tc>
        <w:tc>
          <w:tcPr>
            <w:tcW w:w="5599" w:type="dxa"/>
            <w:vAlign w:val="center"/>
          </w:tcPr>
          <w:p w14:paraId="0AE0A76E">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要求目标明确、方法合理可行、措施具体、针对性强。</w:t>
            </w:r>
          </w:p>
          <w:p w14:paraId="6783E034">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优得5分；良得3分；一般得1分；差或无措施不得分。</w:t>
            </w:r>
          </w:p>
        </w:tc>
      </w:tr>
      <w:tr w14:paraId="731E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09" w:type="dxa"/>
            <w:vMerge w:val="continue"/>
            <w:tcMar>
              <w:top w:w="0" w:type="dxa"/>
              <w:left w:w="57" w:type="dxa"/>
              <w:bottom w:w="0" w:type="dxa"/>
              <w:right w:w="57" w:type="dxa"/>
            </w:tcMar>
            <w:vAlign w:val="center"/>
          </w:tcPr>
          <w:p w14:paraId="495D9864">
            <w:pPr>
              <w:ind w:left="2080" w:right="2055"/>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6AC1F67">
            <w:pPr>
              <w:ind w:left="2080" w:right="2055"/>
              <w:jc w:val="center"/>
              <w:rPr>
                <w:rFonts w:hint="eastAsia" w:ascii="宋体" w:hAnsi="宋体" w:cs="宋体"/>
                <w:color w:val="auto"/>
                <w:sz w:val="18"/>
                <w:szCs w:val="18"/>
              </w:rPr>
            </w:pPr>
          </w:p>
        </w:tc>
        <w:tc>
          <w:tcPr>
            <w:tcW w:w="975" w:type="dxa"/>
            <w:vMerge w:val="continue"/>
            <w:tcMar>
              <w:top w:w="0" w:type="dxa"/>
              <w:left w:w="57" w:type="dxa"/>
              <w:bottom w:w="0" w:type="dxa"/>
              <w:right w:w="57" w:type="dxa"/>
            </w:tcMar>
            <w:vAlign w:val="center"/>
          </w:tcPr>
          <w:p w14:paraId="343D7B8D">
            <w:pPr>
              <w:jc w:val="center"/>
              <w:rPr>
                <w:rFonts w:hint="eastAsia" w:ascii="宋体" w:hAnsi="宋体" w:cs="宋体"/>
                <w:color w:val="auto"/>
              </w:rPr>
            </w:pPr>
          </w:p>
        </w:tc>
        <w:tc>
          <w:tcPr>
            <w:tcW w:w="971" w:type="dxa"/>
            <w:vAlign w:val="center"/>
          </w:tcPr>
          <w:p w14:paraId="35B98E7D">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造价控制措施</w:t>
            </w:r>
          </w:p>
          <w:p w14:paraId="2A9C2914">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（5分）</w:t>
            </w:r>
          </w:p>
        </w:tc>
        <w:tc>
          <w:tcPr>
            <w:tcW w:w="5599" w:type="dxa"/>
            <w:vAlign w:val="center"/>
          </w:tcPr>
          <w:p w14:paraId="43E0ABAC">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要求目标明确、方法合理可行、措施具体、针对性强。</w:t>
            </w:r>
          </w:p>
          <w:p w14:paraId="1D26C34C">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优得5分；良得3分；一般得1分；差或无措施不得分。</w:t>
            </w:r>
          </w:p>
        </w:tc>
      </w:tr>
      <w:tr w14:paraId="1BB5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09" w:type="dxa"/>
            <w:vMerge w:val="continue"/>
            <w:tcMar>
              <w:top w:w="0" w:type="dxa"/>
              <w:left w:w="57" w:type="dxa"/>
              <w:bottom w:w="0" w:type="dxa"/>
              <w:right w:w="57" w:type="dxa"/>
            </w:tcMar>
            <w:vAlign w:val="center"/>
          </w:tcPr>
          <w:p w14:paraId="0701F84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719D6B1D">
            <w:pPr>
              <w:ind w:left="2085" w:right="2060"/>
              <w:jc w:val="center"/>
              <w:rPr>
                <w:rFonts w:hint="eastAsia" w:ascii="宋体" w:hAnsi="宋体" w:cs="宋体"/>
                <w:color w:val="auto"/>
                <w:sz w:val="18"/>
                <w:szCs w:val="18"/>
              </w:rPr>
            </w:pPr>
          </w:p>
        </w:tc>
        <w:tc>
          <w:tcPr>
            <w:tcW w:w="975" w:type="dxa"/>
            <w:vMerge w:val="continue"/>
            <w:tcMar>
              <w:top w:w="0" w:type="dxa"/>
              <w:left w:w="57" w:type="dxa"/>
              <w:bottom w:w="0" w:type="dxa"/>
              <w:right w:w="57" w:type="dxa"/>
            </w:tcMar>
            <w:vAlign w:val="center"/>
          </w:tcPr>
          <w:p w14:paraId="3F233CC2">
            <w:pPr>
              <w:jc w:val="center"/>
              <w:rPr>
                <w:rFonts w:hint="eastAsia" w:ascii="宋体" w:hAnsi="宋体" w:cs="宋体"/>
                <w:color w:val="auto"/>
              </w:rPr>
            </w:pPr>
          </w:p>
        </w:tc>
        <w:tc>
          <w:tcPr>
            <w:tcW w:w="971" w:type="dxa"/>
            <w:vAlign w:val="center"/>
          </w:tcPr>
          <w:p w14:paraId="45DEB6D1">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安全、环保控制措施（5分）</w:t>
            </w:r>
          </w:p>
        </w:tc>
        <w:tc>
          <w:tcPr>
            <w:tcW w:w="5599" w:type="dxa"/>
            <w:vAlign w:val="center"/>
          </w:tcPr>
          <w:p w14:paraId="0C184FB0">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控制措施优得5分；良得3分；一般得1分；差或无措施不得分。</w:t>
            </w:r>
          </w:p>
        </w:tc>
      </w:tr>
      <w:tr w14:paraId="4688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9" w:type="dxa"/>
            <w:vMerge w:val="continue"/>
            <w:tcMar>
              <w:top w:w="0" w:type="dxa"/>
              <w:left w:w="57" w:type="dxa"/>
              <w:bottom w:w="0" w:type="dxa"/>
              <w:right w:w="57" w:type="dxa"/>
            </w:tcMar>
            <w:vAlign w:val="center"/>
          </w:tcPr>
          <w:p w14:paraId="2852D921">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0D608C73">
            <w:pPr>
              <w:ind w:left="2085" w:right="2060"/>
              <w:jc w:val="center"/>
              <w:rPr>
                <w:rFonts w:hint="eastAsia" w:ascii="宋体" w:hAnsi="宋体" w:cs="宋体"/>
                <w:color w:val="auto"/>
                <w:sz w:val="18"/>
                <w:szCs w:val="18"/>
              </w:rPr>
            </w:pPr>
          </w:p>
        </w:tc>
        <w:tc>
          <w:tcPr>
            <w:tcW w:w="1946" w:type="dxa"/>
            <w:gridSpan w:val="2"/>
            <w:shd w:val="clear" w:color="auto" w:fill="FFFFFF"/>
            <w:tcMar>
              <w:top w:w="0" w:type="dxa"/>
              <w:left w:w="57" w:type="dxa"/>
              <w:bottom w:w="0" w:type="dxa"/>
              <w:right w:w="57" w:type="dxa"/>
            </w:tcMar>
            <w:vAlign w:val="center"/>
          </w:tcPr>
          <w:p w14:paraId="4BF8D9DD">
            <w:pPr>
              <w:snapToGrid w:val="0"/>
              <w:spacing w:line="400" w:lineRule="exact"/>
              <w:jc w:val="center"/>
              <w:rPr>
                <w:rFonts w:hint="eastAsia" w:ascii="宋体" w:hAnsi="宋体" w:cs="宋体"/>
                <w:color w:val="auto"/>
              </w:rPr>
            </w:pPr>
            <w:r>
              <w:rPr>
                <w:rFonts w:hint="eastAsia" w:ascii="宋体" w:hAnsi="宋体" w:cs="宋体"/>
                <w:color w:val="auto"/>
              </w:rPr>
              <w:t>监理工作程序</w:t>
            </w:r>
          </w:p>
          <w:p w14:paraId="24CAD512">
            <w:pPr>
              <w:snapToGrid w:val="0"/>
              <w:spacing w:line="400" w:lineRule="exact"/>
              <w:jc w:val="center"/>
              <w:rPr>
                <w:rFonts w:hint="eastAsia" w:ascii="宋体" w:hAnsi="宋体" w:cs="宋体"/>
                <w:color w:val="auto"/>
                <w:szCs w:val="21"/>
              </w:rPr>
            </w:pPr>
            <w:r>
              <w:rPr>
                <w:rFonts w:hint="eastAsia" w:ascii="宋体" w:hAnsi="宋体" w:cs="宋体"/>
                <w:color w:val="auto"/>
              </w:rPr>
              <w:t>（4分）</w:t>
            </w:r>
          </w:p>
        </w:tc>
        <w:tc>
          <w:tcPr>
            <w:tcW w:w="5599" w:type="dxa"/>
            <w:shd w:val="clear" w:color="auto" w:fill="FFFFFF"/>
            <w:vAlign w:val="center"/>
          </w:tcPr>
          <w:p w14:paraId="145CC897">
            <w:pPr>
              <w:snapToGrid w:val="0"/>
              <w:spacing w:line="400" w:lineRule="exact"/>
              <w:rPr>
                <w:rFonts w:hint="eastAsia" w:ascii="宋体" w:hAnsi="宋体" w:cs="宋体"/>
                <w:color w:val="auto"/>
                <w:szCs w:val="21"/>
              </w:rPr>
            </w:pPr>
            <w:r>
              <w:rPr>
                <w:rFonts w:hint="eastAsia" w:ascii="宋体" w:hAnsi="宋体" w:cs="宋体"/>
                <w:color w:val="auto"/>
              </w:rPr>
              <w:t>有清晰的工作流程图、工作准则。方案为优得4分；良得2分；一般得1分；不提供得0分。</w:t>
            </w:r>
          </w:p>
        </w:tc>
      </w:tr>
      <w:tr w14:paraId="788C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9" w:type="dxa"/>
            <w:vMerge w:val="continue"/>
            <w:tcMar>
              <w:top w:w="0" w:type="dxa"/>
              <w:left w:w="57" w:type="dxa"/>
              <w:bottom w:w="0" w:type="dxa"/>
              <w:right w:w="57" w:type="dxa"/>
            </w:tcMar>
            <w:vAlign w:val="center"/>
          </w:tcPr>
          <w:p w14:paraId="6D5D72B7">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3506D2F0">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61D70FC9">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合同管理、信息管理方案（4分）</w:t>
            </w:r>
          </w:p>
        </w:tc>
        <w:tc>
          <w:tcPr>
            <w:tcW w:w="5599" w:type="dxa"/>
            <w:vAlign w:val="center"/>
          </w:tcPr>
          <w:p w14:paraId="1285809E">
            <w:pPr>
              <w:widowControl/>
              <w:autoSpaceDE w:val="0"/>
              <w:autoSpaceDN w:val="0"/>
              <w:adjustRightInd w:val="0"/>
              <w:snapToGrid w:val="0"/>
              <w:spacing w:before="40" w:after="40"/>
              <w:ind w:left="32" w:right="32"/>
              <w:rPr>
                <w:rFonts w:hint="eastAsia" w:ascii="宋体" w:hAnsi="宋体" w:cs="宋体"/>
                <w:color w:val="auto"/>
              </w:rPr>
            </w:pPr>
            <w:r>
              <w:rPr>
                <w:rFonts w:hint="eastAsia" w:ascii="宋体" w:hAnsi="宋体" w:cs="宋体"/>
                <w:color w:val="auto"/>
              </w:rPr>
              <w:t>管理方法合理有效、针对性强、措施具体。</w:t>
            </w:r>
          </w:p>
          <w:p w14:paraId="26A3E4C6">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优得4分；良得2分；一般得1分；差或无方案不得分。</w:t>
            </w:r>
          </w:p>
        </w:tc>
      </w:tr>
      <w:tr w14:paraId="706D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9" w:type="dxa"/>
            <w:vMerge w:val="continue"/>
            <w:tcMar>
              <w:top w:w="0" w:type="dxa"/>
              <w:left w:w="57" w:type="dxa"/>
              <w:bottom w:w="0" w:type="dxa"/>
              <w:right w:w="57" w:type="dxa"/>
            </w:tcMar>
            <w:vAlign w:val="center"/>
          </w:tcPr>
          <w:p w14:paraId="36F2FF1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32FEA99">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047A4A3">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color w:val="auto"/>
              </w:rPr>
              <w:t>组织协调内容及措施</w:t>
            </w:r>
            <w:r>
              <w:rPr>
                <w:rFonts w:hint="eastAsia" w:ascii="宋体" w:hAnsi="宋体" w:cs="宋体"/>
                <w:bCs/>
                <w:color w:val="auto"/>
              </w:rPr>
              <w:t>（4分）</w:t>
            </w:r>
          </w:p>
        </w:tc>
        <w:tc>
          <w:tcPr>
            <w:tcW w:w="5599" w:type="dxa"/>
            <w:vAlign w:val="center"/>
          </w:tcPr>
          <w:p w14:paraId="5783A567">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协调方法清晰合理、</w:t>
            </w:r>
            <w:r>
              <w:rPr>
                <w:rFonts w:hint="eastAsia" w:ascii="宋体" w:hAnsi="宋体" w:cs="宋体"/>
                <w:color w:val="auto"/>
              </w:rPr>
              <w:t>针对性强、</w:t>
            </w:r>
            <w:r>
              <w:rPr>
                <w:rFonts w:hint="eastAsia" w:ascii="宋体" w:hAnsi="宋体" w:cs="宋体"/>
                <w:bCs/>
                <w:color w:val="auto"/>
              </w:rPr>
              <w:t>有具体措施,优得4分；良得2分；一般得1分；差或无措施不得分。</w:t>
            </w:r>
          </w:p>
        </w:tc>
      </w:tr>
      <w:tr w14:paraId="60D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9" w:type="dxa"/>
            <w:vMerge w:val="continue"/>
            <w:tcMar>
              <w:top w:w="0" w:type="dxa"/>
              <w:left w:w="57" w:type="dxa"/>
              <w:bottom w:w="0" w:type="dxa"/>
              <w:right w:w="57" w:type="dxa"/>
            </w:tcMar>
            <w:vAlign w:val="center"/>
          </w:tcPr>
          <w:p w14:paraId="2D96C58A">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0C2508F1">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3D4B5CF">
            <w:pPr>
              <w:snapToGrid w:val="0"/>
              <w:jc w:val="center"/>
              <w:rPr>
                <w:rFonts w:hint="eastAsia" w:ascii="宋体" w:hAnsi="宋体" w:cs="宋体"/>
                <w:color w:val="auto"/>
              </w:rPr>
            </w:pPr>
            <w:r>
              <w:rPr>
                <w:rFonts w:hint="eastAsia" w:ascii="宋体" w:hAnsi="宋体" w:cs="宋体"/>
                <w:color w:val="auto"/>
              </w:rPr>
              <w:t>重点难点监控措施</w:t>
            </w:r>
          </w:p>
          <w:p w14:paraId="124F78C7">
            <w:pPr>
              <w:snapToGrid w:val="0"/>
              <w:jc w:val="center"/>
              <w:rPr>
                <w:rFonts w:hint="eastAsia" w:ascii="宋体" w:hAnsi="宋体" w:cs="宋体"/>
                <w:bCs/>
                <w:color w:val="auto"/>
              </w:rPr>
            </w:pPr>
            <w:r>
              <w:rPr>
                <w:rFonts w:hint="eastAsia" w:ascii="宋体" w:hAnsi="宋体" w:cs="宋体"/>
                <w:color w:val="auto"/>
              </w:rPr>
              <w:t>（4分）</w:t>
            </w:r>
          </w:p>
        </w:tc>
        <w:tc>
          <w:tcPr>
            <w:tcW w:w="5599" w:type="dxa"/>
            <w:vAlign w:val="center"/>
          </w:tcPr>
          <w:p w14:paraId="0DD93513">
            <w:pPr>
              <w:snapToGrid w:val="0"/>
              <w:rPr>
                <w:rFonts w:hint="eastAsia" w:ascii="宋体" w:hAnsi="宋体" w:cs="宋体"/>
                <w:bCs/>
                <w:color w:val="auto"/>
              </w:rPr>
            </w:pPr>
            <w:r>
              <w:rPr>
                <w:rFonts w:hint="eastAsia" w:ascii="宋体" w:hAnsi="宋体" w:cs="宋体"/>
                <w:color w:val="auto"/>
              </w:rPr>
              <w:t>要求针对性强、措施具体、可操作。优得4分；良得2分；一般得1分；差或无措施不得分。</w:t>
            </w:r>
          </w:p>
        </w:tc>
      </w:tr>
      <w:tr w14:paraId="1FEC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09" w:type="dxa"/>
            <w:vMerge w:val="continue"/>
            <w:tcMar>
              <w:top w:w="0" w:type="dxa"/>
              <w:left w:w="57" w:type="dxa"/>
              <w:bottom w:w="0" w:type="dxa"/>
              <w:right w:w="57" w:type="dxa"/>
            </w:tcMar>
            <w:vAlign w:val="center"/>
          </w:tcPr>
          <w:p w14:paraId="06CD018D">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01C12783">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6A158349">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合理化建议</w:t>
            </w:r>
          </w:p>
          <w:p w14:paraId="565A784A">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（3分）</w:t>
            </w:r>
          </w:p>
        </w:tc>
        <w:tc>
          <w:tcPr>
            <w:tcW w:w="5599" w:type="dxa"/>
            <w:vAlign w:val="center"/>
          </w:tcPr>
          <w:p w14:paraId="67C58785">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对本项目施工提出具有科学、合理、可行及具体措施的建议。优得3分；良得2分；一般得1分；</w:t>
            </w:r>
            <w:r>
              <w:rPr>
                <w:rFonts w:hint="eastAsia" w:ascii="宋体" w:hAnsi="宋体" w:cs="宋体"/>
                <w:color w:val="auto"/>
              </w:rPr>
              <w:t>无建议或建议不可行的不得分。</w:t>
            </w:r>
          </w:p>
        </w:tc>
      </w:tr>
      <w:tr w14:paraId="1004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9" w:type="dxa"/>
            <w:vMerge w:val="continue"/>
            <w:tcMar>
              <w:top w:w="0" w:type="dxa"/>
              <w:left w:w="57" w:type="dxa"/>
              <w:bottom w:w="0" w:type="dxa"/>
              <w:right w:w="57" w:type="dxa"/>
            </w:tcMar>
            <w:vAlign w:val="center"/>
          </w:tcPr>
          <w:p w14:paraId="607DDCE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578F6BF8">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342DE6D5">
            <w:pPr>
              <w:snapToGrid w:val="0"/>
              <w:jc w:val="center"/>
              <w:rPr>
                <w:rFonts w:hint="eastAsia" w:ascii="宋体" w:hAnsi="宋体" w:cs="宋体"/>
                <w:color w:val="auto"/>
              </w:rPr>
            </w:pPr>
            <w:r>
              <w:rPr>
                <w:rFonts w:hint="eastAsia" w:ascii="宋体" w:hAnsi="宋体" w:cs="宋体"/>
                <w:color w:val="auto"/>
              </w:rPr>
              <w:t>工程进度款、工程结算的管理（3分）</w:t>
            </w:r>
          </w:p>
        </w:tc>
        <w:tc>
          <w:tcPr>
            <w:tcW w:w="5599" w:type="dxa"/>
            <w:vAlign w:val="center"/>
          </w:tcPr>
          <w:p w14:paraId="5FFD35C5">
            <w:pPr>
              <w:snapToGrid w:val="0"/>
              <w:ind w:left="1"/>
              <w:rPr>
                <w:rFonts w:hint="eastAsia" w:ascii="宋体" w:hAnsi="宋体" w:cs="宋体"/>
                <w:color w:val="auto"/>
              </w:rPr>
            </w:pPr>
            <w:r>
              <w:rPr>
                <w:rFonts w:hint="eastAsia" w:ascii="宋体" w:hAnsi="宋体" w:cs="宋体"/>
                <w:color w:val="auto"/>
              </w:rPr>
              <w:t>管理方法合理有效、有具体措施。优得3分；一般得1分；差或无管理方法和措施不得分。</w:t>
            </w:r>
          </w:p>
        </w:tc>
      </w:tr>
      <w:tr w14:paraId="486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9" w:type="dxa"/>
            <w:vMerge w:val="continue"/>
            <w:tcMar>
              <w:top w:w="0" w:type="dxa"/>
              <w:left w:w="57" w:type="dxa"/>
              <w:bottom w:w="0" w:type="dxa"/>
              <w:right w:w="57" w:type="dxa"/>
            </w:tcMar>
            <w:vAlign w:val="center"/>
          </w:tcPr>
          <w:p w14:paraId="1EDAACD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46247C02">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0B62768">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会议制度（3分）</w:t>
            </w:r>
          </w:p>
        </w:tc>
        <w:tc>
          <w:tcPr>
            <w:tcW w:w="5599" w:type="dxa"/>
            <w:vAlign w:val="center"/>
          </w:tcPr>
          <w:p w14:paraId="6712699D">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建立完善的工地会议制度。</w:t>
            </w:r>
            <w:r>
              <w:rPr>
                <w:rFonts w:hint="eastAsia" w:ascii="宋体" w:hAnsi="宋体" w:cs="宋体"/>
                <w:color w:val="auto"/>
              </w:rPr>
              <w:t>满足要求得3分；基本满足要求得1分；不满足要求或无不得分。</w:t>
            </w:r>
          </w:p>
        </w:tc>
      </w:tr>
      <w:tr w14:paraId="55C0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09" w:type="dxa"/>
            <w:tcMar>
              <w:top w:w="0" w:type="dxa"/>
              <w:left w:w="57" w:type="dxa"/>
              <w:bottom w:w="0" w:type="dxa"/>
              <w:right w:w="57" w:type="dxa"/>
            </w:tcMar>
            <w:vAlign w:val="center"/>
          </w:tcPr>
          <w:p w14:paraId="3F55DDAF">
            <w:pPr>
              <w:spacing w:line="340" w:lineRule="exact"/>
              <w:jc w:val="center"/>
              <w:rPr>
                <w:rFonts w:hint="eastAsia" w:ascii="宋体" w:hAnsi="宋体" w:cs="宋体"/>
                <w:color w:val="auto"/>
                <w:sz w:val="18"/>
                <w:szCs w:val="18"/>
              </w:rPr>
            </w:pPr>
            <w:r>
              <w:rPr>
                <w:rFonts w:hint="eastAsia" w:ascii="宋体" w:hAnsi="宋体" w:cs="宋体"/>
                <w:color w:val="auto"/>
                <w:sz w:val="18"/>
                <w:szCs w:val="18"/>
              </w:rPr>
              <w:t>2.2.4</w:t>
            </w:r>
          </w:p>
          <w:p w14:paraId="5C26604F">
            <w:pPr>
              <w:spacing w:line="340" w:lineRule="exact"/>
              <w:jc w:val="center"/>
              <w:rPr>
                <w:rFonts w:hint="eastAsia" w:ascii="宋体" w:hAnsi="宋体" w:cs="宋体"/>
                <w:color w:val="auto"/>
                <w:sz w:val="18"/>
                <w:szCs w:val="18"/>
              </w:rPr>
            </w:pPr>
            <w:r>
              <w:rPr>
                <w:rFonts w:hint="eastAsia" w:ascii="宋体" w:hAnsi="宋体" w:cs="宋体"/>
                <w:color w:val="auto"/>
                <w:sz w:val="18"/>
                <w:szCs w:val="18"/>
              </w:rPr>
              <w:t>（3）</w:t>
            </w:r>
          </w:p>
        </w:tc>
        <w:tc>
          <w:tcPr>
            <w:tcW w:w="1085" w:type="dxa"/>
            <w:tcMar>
              <w:top w:w="0" w:type="dxa"/>
              <w:left w:w="57" w:type="dxa"/>
              <w:bottom w:w="0" w:type="dxa"/>
              <w:right w:w="57" w:type="dxa"/>
            </w:tcMar>
            <w:vAlign w:val="center"/>
          </w:tcPr>
          <w:p w14:paraId="47499974">
            <w:pPr>
              <w:snapToGrid w:val="0"/>
              <w:jc w:val="center"/>
              <w:rPr>
                <w:rStyle w:val="58"/>
                <w:rFonts w:hint="eastAsia" w:ascii="宋体" w:hAnsi="宋体" w:cs="宋体"/>
                <w:color w:val="auto"/>
              </w:rPr>
            </w:pPr>
            <w:r>
              <w:rPr>
                <w:rStyle w:val="58"/>
                <w:rFonts w:hint="eastAsia" w:ascii="宋体" w:hAnsi="宋体" w:cs="宋体"/>
                <w:color w:val="auto"/>
              </w:rPr>
              <w:t>投标报价评分标准（10分）</w:t>
            </w:r>
          </w:p>
        </w:tc>
        <w:tc>
          <w:tcPr>
            <w:tcW w:w="1946" w:type="dxa"/>
            <w:gridSpan w:val="2"/>
            <w:tcMar>
              <w:top w:w="0" w:type="dxa"/>
              <w:left w:w="57" w:type="dxa"/>
              <w:bottom w:w="0" w:type="dxa"/>
              <w:right w:w="57" w:type="dxa"/>
            </w:tcMar>
            <w:vAlign w:val="center"/>
          </w:tcPr>
          <w:p w14:paraId="6D90E06A">
            <w:pPr>
              <w:pStyle w:val="61"/>
              <w:spacing w:before="14"/>
              <w:ind w:left="-102" w:leftChars="-49" w:hanging="1"/>
              <w:jc w:val="center"/>
              <w:rPr>
                <w:rFonts w:hint="eastAsia" w:ascii="宋体" w:hAnsi="宋体" w:cs="宋体"/>
                <w:color w:val="auto"/>
              </w:rPr>
            </w:pPr>
            <w:r>
              <w:rPr>
                <w:rStyle w:val="58"/>
                <w:rFonts w:hint="eastAsia" w:ascii="宋体" w:hAnsi="宋体" w:cs="宋体"/>
                <w:color w:val="auto"/>
              </w:rPr>
              <w:t>报价得分</w:t>
            </w:r>
          </w:p>
        </w:tc>
        <w:tc>
          <w:tcPr>
            <w:tcW w:w="5599" w:type="dxa"/>
            <w:vAlign w:val="center"/>
          </w:tcPr>
          <w:p w14:paraId="69FE2436">
            <w:pPr>
              <w:rPr>
                <w:rFonts w:hint="eastAsia" w:ascii="宋体" w:hAnsi="宋体" w:cs="宋体"/>
                <w:color w:val="auto"/>
                <w:sz w:val="18"/>
                <w:szCs w:val="18"/>
              </w:rPr>
            </w:pPr>
            <w:r>
              <w:rPr>
                <w:rStyle w:val="58"/>
                <w:rFonts w:hint="eastAsia" w:ascii="宋体" w:hAnsi="宋体" w:cs="宋体"/>
                <w:color w:val="auto"/>
              </w:rPr>
              <w:t>以</w:t>
            </w:r>
            <w:bookmarkStart w:id="0" w:name="OLE_LINK1"/>
            <w:r>
              <w:rPr>
                <w:rStyle w:val="58"/>
                <w:rFonts w:hint="eastAsia" w:ascii="宋体" w:hAnsi="宋体" w:cs="宋体"/>
                <w:color w:val="auto"/>
              </w:rPr>
              <w:t>评标基准价</w:t>
            </w:r>
            <w:bookmarkEnd w:id="0"/>
            <w:r>
              <w:rPr>
                <w:rStyle w:val="58"/>
                <w:rFonts w:hint="eastAsia" w:ascii="宋体" w:hAnsi="宋体" w:cs="宋体"/>
                <w:color w:val="auto"/>
              </w:rPr>
              <w:t>作为计算各有效投标价得分的基础，当有效投标报价等于评标基准价时得10分；投标有效报价与评标基准价之差，每上偏1%扣1.5分，每下偏1%扣1.0分，</w:t>
            </w:r>
            <w:r>
              <w:rPr>
                <w:rFonts w:hint="eastAsia" w:ascii="宋体" w:hAnsi="宋体" w:cs="宋体"/>
                <w:color w:val="auto"/>
              </w:rPr>
              <w:t>最多扣10分。</w:t>
            </w:r>
            <w:r>
              <w:rPr>
                <w:rStyle w:val="58"/>
                <w:rFonts w:hint="eastAsia" w:ascii="宋体" w:hAnsi="宋体" w:cs="宋体"/>
                <w:b/>
                <w:bCs/>
                <w:color w:val="auto"/>
              </w:rPr>
              <w:t>根据第一章投标须知前附表第11项规定实施经济标评审优惠政策（如有）。</w:t>
            </w:r>
            <w:r>
              <w:rPr>
                <w:rFonts w:hint="eastAsia" w:ascii="宋体" w:hAnsi="宋体" w:cs="宋体"/>
                <w:color w:val="auto"/>
              </w:rPr>
              <w:t>（评分如出现小数点，则保留小数点后两位，第三位四舍五入）。</w:t>
            </w:r>
          </w:p>
        </w:tc>
      </w:tr>
    </w:tbl>
    <w:p w14:paraId="51F136A1">
      <w:pPr>
        <w:spacing w:line="276" w:lineRule="auto"/>
        <w:jc w:val="left"/>
        <w:rPr>
          <w:rFonts w:hint="eastAsia" w:ascii="宋体" w:hAnsi="宋体" w:cs="宋体"/>
          <w:b/>
          <w:bCs/>
          <w:color w:val="auto"/>
        </w:rPr>
      </w:pPr>
      <w:r>
        <w:rPr>
          <w:rFonts w:hint="eastAsia" w:ascii="宋体" w:hAnsi="宋体" w:cs="宋体"/>
          <w:b/>
          <w:bCs/>
          <w:color w:val="auto"/>
        </w:rPr>
        <w:t>说明：</w:t>
      </w:r>
    </w:p>
    <w:p w14:paraId="2DC9981B">
      <w:pPr>
        <w:spacing w:line="360" w:lineRule="auto"/>
        <w:ind w:firstLine="424" w:firstLineChars="202"/>
        <w:rPr>
          <w:rFonts w:hint="eastAsia" w:ascii="宋体" w:hAnsi="宋体" w:cs="宋体"/>
          <w:color w:val="auto"/>
        </w:rPr>
      </w:pPr>
      <w:r>
        <w:rPr>
          <w:rFonts w:hint="eastAsia" w:ascii="宋体" w:hAnsi="宋体" w:cs="宋体"/>
          <w:color w:val="auto"/>
        </w:rPr>
        <w:t>1、评分如出现小数点，则保留小数点后两位，第三位四舍五入。</w:t>
      </w:r>
    </w:p>
    <w:p w14:paraId="29DD0094">
      <w:pPr>
        <w:spacing w:line="360" w:lineRule="auto"/>
        <w:ind w:firstLine="424" w:firstLineChars="202"/>
        <w:rPr>
          <w:rFonts w:hint="eastAsia" w:ascii="宋体" w:hAnsi="宋体" w:cs="宋体"/>
          <w:color w:val="auto"/>
        </w:rPr>
      </w:pPr>
      <w:r>
        <w:rPr>
          <w:rFonts w:hint="eastAsia" w:ascii="宋体" w:hAnsi="宋体" w:cs="宋体"/>
          <w:color w:val="auto"/>
        </w:rPr>
        <w:t>2、投标人的综合得分为各评委评分汇总的算术平均值（分数出现小数点时，保留小数点后二位，第三位小数四舍五入）。</w:t>
      </w:r>
    </w:p>
    <w:p w14:paraId="07437404">
      <w:pPr>
        <w:widowControl w:val="0"/>
        <w:spacing w:after="120"/>
        <w:ind w:firstLine="420"/>
        <w:jc w:val="left"/>
        <w:rPr>
          <w:rStyle w:val="14"/>
          <w:rFonts w:hint="eastAsia" w:ascii="宋体" w:hAnsi="宋体" w:eastAsia="宋体" w:cs="宋体"/>
          <w:b/>
          <w:bCs/>
          <w:i w:val="0"/>
          <w:iCs w:val="0"/>
          <w:caps w:val="0"/>
          <w:color w:val="auto"/>
          <w:spacing w:val="0"/>
          <w:sz w:val="24"/>
          <w:szCs w:val="24"/>
          <w:u w:val="none"/>
          <w:shd w:val="clear" w:fill="FFFFFF"/>
          <w:lang w:val="en-US" w:eastAsia="zh-CN"/>
        </w:rPr>
      </w:pPr>
      <w:r>
        <w:rPr>
          <w:rStyle w:val="14"/>
          <w:rFonts w:hint="eastAsia" w:ascii="宋体" w:hAnsi="宋体" w:eastAsia="宋体" w:cs="宋体"/>
          <w:b/>
          <w:bCs/>
          <w:i w:val="0"/>
          <w:iCs w:val="0"/>
          <w:caps w:val="0"/>
          <w:color w:val="auto"/>
          <w:spacing w:val="0"/>
          <w:sz w:val="24"/>
          <w:szCs w:val="24"/>
          <w:u w:val="none"/>
          <w:shd w:val="clear" w:fill="FFFFFF"/>
          <w:lang w:eastAsia="zh-CN"/>
        </w:rPr>
        <w:t>二、将招标文件第五章 委托人要求《项目监理部人员配置要求》修改为：</w:t>
      </w:r>
    </w:p>
    <w:tbl>
      <w:tblPr>
        <w:tblStyle w:val="12"/>
        <w:tblW w:w="5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57"/>
        <w:gridCol w:w="1317"/>
        <w:gridCol w:w="1930"/>
        <w:gridCol w:w="4506"/>
      </w:tblGrid>
      <w:tr w14:paraId="15E2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7698922">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序号</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66BEB40B">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岗位</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3D0DE9E8">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人员数量要求</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D32FF0">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持证上岗要求</w:t>
            </w:r>
          </w:p>
        </w:tc>
      </w:tr>
      <w:tr w14:paraId="1658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DF93F34">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1DFA8F4D">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总监理工程师</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3058358B">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AF4A8">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按招标公告资格要求；</w:t>
            </w:r>
          </w:p>
        </w:tc>
      </w:tr>
      <w:tr w14:paraId="1CC9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0CE53A2">
            <w:pPr>
              <w:adjustRightInd w:val="0"/>
              <w:snapToGrid w:val="0"/>
              <w:spacing w:line="320" w:lineRule="exact"/>
              <w:jc w:val="center"/>
              <w:rPr>
                <w:rFonts w:hint="eastAsia" w:ascii="宋体" w:hAnsi="宋体" w:cs="宋体"/>
                <w:color w:val="auto"/>
                <w:szCs w:val="21"/>
              </w:rPr>
            </w:pPr>
            <w:r>
              <w:rPr>
                <w:rFonts w:ascii="宋体" w:hAnsi="宋体" w:cs="宋体"/>
                <w:color w:val="auto"/>
                <w:szCs w:val="21"/>
              </w:rPr>
              <w:t>2</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666B56AD">
            <w:pPr>
              <w:spacing w:line="320" w:lineRule="exact"/>
              <w:jc w:val="center"/>
              <w:rPr>
                <w:rFonts w:hint="eastAsia" w:ascii="宋体" w:hAnsi="宋体" w:cs="宋体"/>
                <w:color w:val="auto"/>
              </w:rPr>
            </w:pPr>
            <w:r>
              <w:rPr>
                <w:rFonts w:hint="eastAsia" w:ascii="宋体" w:hAnsi="宋体" w:cs="宋体"/>
                <w:color w:val="auto"/>
              </w:rPr>
              <w:t>总监理工程师代表</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3EE9091C">
            <w:pPr>
              <w:adjustRightInd w:val="0"/>
              <w:snapToGrid w:val="0"/>
              <w:spacing w:line="320" w:lineRule="exact"/>
              <w:jc w:val="center"/>
              <w:rPr>
                <w:rFonts w:hint="eastAsia" w:ascii="宋体" w:hAnsi="宋体" w:cs="宋体"/>
                <w:color w:val="auto"/>
                <w:szCs w:val="21"/>
              </w:rPr>
            </w:pPr>
            <w:r>
              <w:rPr>
                <w:rFonts w:ascii="宋体" w:hAnsi="宋体" w:cs="宋体"/>
                <w:color w:val="auto"/>
                <w:szCs w:val="21"/>
              </w:rPr>
              <w:t>1名</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0F3DFC">
            <w:pPr>
              <w:adjustRightInd w:val="0"/>
              <w:snapToGrid w:val="0"/>
              <w:spacing w:line="320" w:lineRule="exact"/>
              <w:jc w:val="left"/>
              <w:rPr>
                <w:rFonts w:hint="eastAsia" w:ascii="宋体" w:hAnsi="宋体" w:cs="宋体"/>
                <w:color w:val="auto"/>
              </w:rPr>
            </w:pPr>
            <w:r>
              <w:rPr>
                <w:rFonts w:hint="eastAsia" w:ascii="宋体" w:hAnsi="宋体" w:cs="宋体"/>
                <w:color w:val="auto"/>
                <w:szCs w:val="21"/>
              </w:rPr>
              <w:t>持有省级或以上专业监理工程师上岗证或培训证或持有注册监理工程师证书，专业为房屋建筑工程相关专业。</w:t>
            </w:r>
          </w:p>
        </w:tc>
      </w:tr>
      <w:tr w14:paraId="11D0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C0A4EFF">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3</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32859528">
            <w:pPr>
              <w:spacing w:line="320" w:lineRule="exact"/>
              <w:jc w:val="center"/>
              <w:rPr>
                <w:rFonts w:hint="eastAsia" w:ascii="宋体" w:hAnsi="宋体" w:cs="宋体"/>
                <w:color w:val="auto"/>
              </w:rPr>
            </w:pPr>
            <w:r>
              <w:rPr>
                <w:rFonts w:hint="eastAsia" w:ascii="宋体" w:hAnsi="宋体" w:cs="宋体"/>
                <w:color w:val="auto"/>
                <w:szCs w:val="21"/>
              </w:rPr>
              <w:t>专业监理工程师</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49B7F792">
            <w:pPr>
              <w:spacing w:line="276" w:lineRule="auto"/>
              <w:rPr>
                <w:rFonts w:hint="eastAsia" w:ascii="宋体" w:hAnsi="宋体" w:cs="宋体"/>
                <w:color w:val="auto"/>
                <w:szCs w:val="21"/>
              </w:rPr>
            </w:pPr>
            <w:r>
              <w:rPr>
                <w:rFonts w:hint="eastAsia" w:ascii="宋体" w:hAnsi="宋体" w:cs="宋体"/>
                <w:color w:val="auto"/>
                <w:szCs w:val="21"/>
              </w:rPr>
              <w:t>不少于</w:t>
            </w:r>
            <w:r>
              <w:rPr>
                <w:rFonts w:hint="eastAsia" w:ascii="宋体" w:hAnsi="宋体" w:cs="宋体"/>
                <w:color w:val="auto"/>
                <w:szCs w:val="21"/>
                <w:lang w:val="en-US" w:eastAsia="zh-CN"/>
              </w:rPr>
              <w:t>4</w:t>
            </w:r>
            <w:r>
              <w:rPr>
                <w:rFonts w:hint="eastAsia" w:ascii="宋体" w:hAnsi="宋体" w:cs="宋体"/>
                <w:color w:val="auto"/>
                <w:szCs w:val="21"/>
              </w:rPr>
              <w:t>名</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14:paraId="31A1864A">
            <w:pPr>
              <w:spacing w:line="276" w:lineRule="auto"/>
              <w:rPr>
                <w:rFonts w:hint="eastAsia" w:ascii="宋体" w:hAnsi="宋体" w:cs="宋体"/>
                <w:color w:val="auto"/>
                <w:szCs w:val="21"/>
              </w:rPr>
            </w:pPr>
            <w:r>
              <w:rPr>
                <w:rFonts w:hint="eastAsia" w:ascii="宋体" w:hAnsi="宋体" w:cs="宋体"/>
                <w:color w:val="auto"/>
                <w:szCs w:val="21"/>
              </w:rPr>
              <w:t>房建专业1名</w:t>
            </w:r>
          </w:p>
          <w:p w14:paraId="1CA98E17">
            <w:pPr>
              <w:spacing w:line="276" w:lineRule="auto"/>
              <w:rPr>
                <w:rFonts w:hint="eastAsia" w:ascii="宋体" w:hAnsi="宋体" w:cs="宋体"/>
                <w:color w:val="auto"/>
                <w:szCs w:val="21"/>
              </w:rPr>
            </w:pPr>
            <w:r>
              <w:rPr>
                <w:rFonts w:hint="eastAsia" w:ascii="宋体" w:hAnsi="宋体" w:cs="宋体"/>
                <w:color w:val="auto"/>
                <w:szCs w:val="21"/>
              </w:rPr>
              <w:t>市政专业1名</w:t>
            </w:r>
          </w:p>
          <w:p w14:paraId="7927ED66">
            <w:pPr>
              <w:spacing w:line="276" w:lineRule="auto"/>
              <w:rPr>
                <w:rFonts w:hint="eastAsia" w:ascii="宋体" w:hAnsi="宋体" w:cs="宋体"/>
                <w:color w:val="auto"/>
                <w:szCs w:val="21"/>
              </w:rPr>
            </w:pPr>
            <w:r>
              <w:rPr>
                <w:rFonts w:hint="eastAsia" w:ascii="宋体" w:hAnsi="宋体" w:cs="宋体"/>
                <w:color w:val="auto"/>
                <w:szCs w:val="21"/>
              </w:rPr>
              <w:t>机电安装专业1名</w:t>
            </w:r>
          </w:p>
          <w:p w14:paraId="470C34D1">
            <w:pPr>
              <w:pStyle w:val="7"/>
              <w:rPr>
                <w:color w:val="auto"/>
              </w:rPr>
            </w:pPr>
            <w:r>
              <w:rPr>
                <w:rFonts w:hint="eastAsia" w:ascii="宋体" w:hAnsi="宋体" w:cs="宋体"/>
                <w:color w:val="auto"/>
                <w:szCs w:val="21"/>
              </w:rPr>
              <w:t>文物专业1名</w:t>
            </w:r>
          </w:p>
        </w:tc>
        <w:tc>
          <w:tcPr>
            <w:tcW w:w="2374" w:type="pct"/>
            <w:tcBorders>
              <w:top w:val="single" w:color="auto" w:sz="4" w:space="0"/>
              <w:left w:val="single" w:color="auto" w:sz="4" w:space="0"/>
              <w:bottom w:val="single" w:color="auto" w:sz="4" w:space="0"/>
              <w:right w:val="single" w:color="auto" w:sz="4" w:space="0"/>
            </w:tcBorders>
            <w:shd w:val="clear" w:color="auto" w:fill="auto"/>
            <w:vAlign w:val="center"/>
          </w:tcPr>
          <w:p w14:paraId="0BCB5034">
            <w:pPr>
              <w:spacing w:line="276" w:lineRule="auto"/>
              <w:rPr>
                <w:color w:val="auto"/>
              </w:rPr>
            </w:pPr>
            <w:r>
              <w:rPr>
                <w:rFonts w:hint="eastAsia"/>
                <w:color w:val="auto"/>
              </w:rPr>
              <w:t>持有省级或以上相应专业监理工程师上岗证或培训证或持有注册监理工程师证书；文物专业持有文物培训证</w:t>
            </w:r>
            <w:r>
              <w:rPr>
                <w:rFonts w:hint="eastAsia"/>
                <w:color w:val="auto"/>
                <w:lang w:eastAsia="zh-CN"/>
              </w:rPr>
              <w:t>书</w:t>
            </w:r>
            <w:r>
              <w:rPr>
                <w:rFonts w:hint="eastAsia"/>
                <w:color w:val="auto"/>
              </w:rPr>
              <w:t>，相应专业</w:t>
            </w:r>
            <w:r>
              <w:rPr>
                <w:rFonts w:hint="eastAsia"/>
                <w:color w:val="auto"/>
                <w:lang w:eastAsia="zh-CN"/>
              </w:rPr>
              <w:t>的</w:t>
            </w:r>
            <w:r>
              <w:rPr>
                <w:rFonts w:hint="eastAsia"/>
                <w:color w:val="auto"/>
              </w:rPr>
              <w:t>上岗证或注册监理工程师证书或职称证或毕业证上所列的相关专业</w:t>
            </w:r>
            <w:r>
              <w:rPr>
                <w:rFonts w:hint="eastAsia" w:ascii="宋体" w:hAnsi="宋体" w:cs="宋体"/>
                <w:color w:val="auto"/>
                <w:lang w:val="zh-CN"/>
              </w:rPr>
              <w:t>（含相近专业）</w:t>
            </w:r>
            <w:r>
              <w:rPr>
                <w:rFonts w:hint="eastAsia"/>
                <w:color w:val="auto"/>
              </w:rPr>
              <w:t>为准。</w:t>
            </w:r>
          </w:p>
        </w:tc>
      </w:tr>
      <w:tr w14:paraId="6912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9097CCA">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4</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4C0509CE">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造价工程师</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7855F50E">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71665">
            <w:pPr>
              <w:adjustRightInd w:val="0"/>
              <w:snapToGrid w:val="0"/>
              <w:spacing w:line="320" w:lineRule="exact"/>
              <w:jc w:val="left"/>
              <w:rPr>
                <w:rFonts w:hint="eastAsia" w:ascii="宋体" w:hAnsi="宋体" w:cs="宋体"/>
                <w:color w:val="auto"/>
                <w:szCs w:val="21"/>
              </w:rPr>
            </w:pPr>
            <w:r>
              <w:rPr>
                <w:rFonts w:hint="eastAsia" w:ascii="宋体" w:hAnsi="宋体" w:cs="宋体"/>
                <w:color w:val="auto"/>
                <w:szCs w:val="21"/>
              </w:rPr>
              <w:t>具有有效期内的二级（或以上）注册造价工程师证书（</w:t>
            </w:r>
            <w:r>
              <w:rPr>
                <w:rFonts w:hint="eastAsia" w:ascii="宋体" w:hAnsi="宋体" w:cs="宋体"/>
                <w:bCs/>
                <w:color w:val="auto"/>
                <w:kern w:val="44"/>
                <w:szCs w:val="21"/>
                <w:lang w:bidi="ar"/>
              </w:rPr>
              <w:t>注：根据原人事部、原建设部发布的《造价工程师执业资格制度暂行规定》（人发〔1996〕77号）取得的造价工程师执业资格，并经注册且在有效期内的注册造价工程师等同于注册一级造价工程师。</w:t>
            </w:r>
            <w:r>
              <w:rPr>
                <w:rFonts w:hint="eastAsia" w:ascii="宋体" w:hAnsi="宋体" w:cs="宋体"/>
                <w:color w:val="auto"/>
                <w:szCs w:val="21"/>
              </w:rPr>
              <w:t>）</w:t>
            </w:r>
          </w:p>
        </w:tc>
      </w:tr>
      <w:tr w14:paraId="5E21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45C3089">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5</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2FBEAE65">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安全监理员</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41351C21">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84E3BF">
            <w:pPr>
              <w:adjustRightInd w:val="0"/>
              <w:snapToGrid w:val="0"/>
              <w:spacing w:line="320" w:lineRule="exact"/>
              <w:jc w:val="left"/>
              <w:rPr>
                <w:rFonts w:hint="eastAsia" w:ascii="宋体" w:hAnsi="宋体" w:cs="宋体"/>
                <w:color w:val="auto"/>
                <w:szCs w:val="21"/>
              </w:rPr>
            </w:pPr>
            <w:r>
              <w:rPr>
                <w:rFonts w:hint="eastAsia" w:ascii="宋体" w:hAnsi="宋体" w:cs="宋体"/>
                <w:color w:val="auto"/>
                <w:szCs w:val="21"/>
              </w:rPr>
              <w:t>具备安全监理员上岗证或培训证或注册安全工程师证书，专业为房屋建筑工程相关专业。</w:t>
            </w:r>
          </w:p>
        </w:tc>
      </w:tr>
      <w:tr w14:paraId="7E96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7A7CBA1">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6</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5B3BBC66">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监理员</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1DB777E3">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7F0959">
            <w:pPr>
              <w:adjustRightInd w:val="0"/>
              <w:snapToGrid w:val="0"/>
              <w:spacing w:line="320" w:lineRule="exact"/>
              <w:jc w:val="left"/>
              <w:rPr>
                <w:rFonts w:hint="eastAsia" w:ascii="宋体" w:hAnsi="宋体" w:cs="宋体"/>
                <w:color w:val="auto"/>
                <w:szCs w:val="21"/>
              </w:rPr>
            </w:pPr>
            <w:r>
              <w:rPr>
                <w:rFonts w:hint="eastAsia" w:ascii="宋体" w:hAnsi="宋体" w:cs="宋体"/>
                <w:color w:val="auto"/>
                <w:szCs w:val="21"/>
              </w:rPr>
              <w:t>具备监理员或专业监理工程师上岗证或培训证或持有注册监理工程师证书，专业为房屋建筑工程相关专业。</w:t>
            </w:r>
          </w:p>
        </w:tc>
      </w:tr>
      <w:tr w14:paraId="340D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7E9E667">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7</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1338EEF0">
            <w:pPr>
              <w:adjustRightInd w:val="0"/>
              <w:snapToGrid w:val="0"/>
              <w:jc w:val="center"/>
              <w:rPr>
                <w:rFonts w:hint="eastAsia" w:ascii="宋体" w:hAnsi="宋体" w:cs="宋体"/>
                <w:color w:val="auto"/>
                <w:szCs w:val="21"/>
              </w:rPr>
            </w:pPr>
            <w:r>
              <w:rPr>
                <w:rFonts w:hint="eastAsia" w:ascii="宋体" w:hAnsi="宋体" w:cs="宋体"/>
                <w:bCs/>
                <w:color w:val="auto"/>
                <w:kern w:val="44"/>
                <w:szCs w:val="21"/>
                <w:lang w:bidi="ar"/>
              </w:rPr>
              <w:t>资料管理员</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0A3327C9">
            <w:pPr>
              <w:adjustRightInd w:val="0"/>
              <w:snapToGrid w:val="0"/>
              <w:jc w:val="center"/>
              <w:rPr>
                <w:rFonts w:hint="eastAsia" w:ascii="宋体" w:hAnsi="宋体" w:cs="宋体"/>
                <w:color w:val="auto"/>
                <w:szCs w:val="21"/>
              </w:rPr>
            </w:pPr>
            <w:r>
              <w:rPr>
                <w:rFonts w:hint="eastAsia" w:ascii="宋体" w:hAnsi="宋体" w:cs="宋体"/>
                <w:color w:val="auto"/>
                <w:szCs w:val="21"/>
              </w:rPr>
              <w:t>1名</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89FF24">
            <w:pPr>
              <w:adjustRightInd w:val="0"/>
              <w:snapToGrid w:val="0"/>
              <w:rPr>
                <w:rFonts w:hint="eastAsia" w:ascii="宋体" w:hAnsi="宋体" w:cs="宋体"/>
                <w:color w:val="auto"/>
                <w:szCs w:val="21"/>
              </w:rPr>
            </w:pPr>
            <w:r>
              <w:rPr>
                <w:rFonts w:hint="eastAsia" w:ascii="宋体" w:hAnsi="宋体" w:cs="宋体"/>
                <w:color w:val="auto"/>
                <w:szCs w:val="21"/>
              </w:rPr>
              <w:t>大专或以上学历。</w:t>
            </w:r>
          </w:p>
        </w:tc>
      </w:tr>
      <w:tr w14:paraId="6107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8217230">
            <w:pPr>
              <w:adjustRightInd w:val="0"/>
              <w:snapToGrid w:val="0"/>
              <w:spacing w:line="320" w:lineRule="exact"/>
              <w:jc w:val="center"/>
              <w:rPr>
                <w:rFonts w:hint="eastAsia" w:ascii="宋体" w:hAnsi="宋体" w:cs="宋体"/>
                <w:color w:val="auto"/>
                <w:szCs w:val="21"/>
              </w:rPr>
            </w:pP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56264B8A">
            <w:pPr>
              <w:adjustRightInd w:val="0"/>
              <w:snapToGrid w:val="0"/>
              <w:jc w:val="center"/>
              <w:rPr>
                <w:rFonts w:hint="eastAsia" w:ascii="宋体" w:hAnsi="宋体" w:cs="宋体"/>
                <w:bCs/>
                <w:color w:val="auto"/>
                <w:kern w:val="44"/>
                <w:szCs w:val="21"/>
                <w:lang w:bidi="ar"/>
              </w:rPr>
            </w:pPr>
            <w:r>
              <w:rPr>
                <w:rFonts w:hint="eastAsia" w:ascii="宋体" w:hAnsi="宋体" w:cs="宋体"/>
                <w:bCs/>
                <w:color w:val="auto"/>
                <w:kern w:val="44"/>
                <w:szCs w:val="21"/>
                <w:lang w:bidi="ar"/>
              </w:rPr>
              <w:t>合计</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162CDE81">
            <w:pPr>
              <w:adjustRightInd w:val="0"/>
              <w:snapToGrid w:val="0"/>
              <w:jc w:val="center"/>
              <w:rPr>
                <w:rFonts w:hint="eastAsia" w:ascii="宋体" w:hAnsi="宋体" w:cs="宋体"/>
                <w:color w:val="auto"/>
                <w:szCs w:val="21"/>
              </w:rPr>
            </w:pPr>
            <w:r>
              <w:rPr>
                <w:rFonts w:hint="eastAsia" w:ascii="宋体" w:hAnsi="宋体" w:cs="宋体"/>
                <w:color w:val="auto"/>
                <w:szCs w:val="21"/>
              </w:rPr>
              <w:t>9</w:t>
            </w:r>
          </w:p>
        </w:tc>
        <w:tc>
          <w:tcPr>
            <w:tcW w:w="3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60A785">
            <w:pPr>
              <w:adjustRightInd w:val="0"/>
              <w:snapToGrid w:val="0"/>
              <w:rPr>
                <w:rFonts w:hint="eastAsia" w:ascii="宋体" w:hAnsi="宋体" w:cs="宋体"/>
                <w:color w:val="auto"/>
                <w:szCs w:val="21"/>
              </w:rPr>
            </w:pPr>
          </w:p>
        </w:tc>
      </w:tr>
    </w:tbl>
    <w:p w14:paraId="77550621">
      <w:pPr>
        <w:pStyle w:val="11"/>
        <w:rPr>
          <w:rFonts w:hint="eastAsia" w:ascii="宋体" w:hAnsi="宋体"/>
          <w:color w:val="auto"/>
        </w:rPr>
      </w:pPr>
      <w:r>
        <w:rPr>
          <w:rFonts w:hint="eastAsia" w:ascii="宋体" w:hAnsi="宋体"/>
          <w:color w:val="auto"/>
        </w:rPr>
        <w:t>注：1、有效的注册造价工程师指根据原人事部、原建设部发布的《造价工程师执业资格制度暂行规定》（人发〔1996〕77号）取得的造价工程师执业资格，并经注册且在有效期内；有效的注册一级造价工程师资格或有效的注册二级造价工程师资格指根据住房城乡建设部、交通运输部、水利部、人力资源社会保障部发布的《造价工程师职业资格制度规定》、《造价工程师职业资格考试实施办法》（建人〔2018〕]67号）取得的一级造价工程师执业资格或二级造价工程师执业资格，并经注册且在有效期内。</w:t>
      </w:r>
    </w:p>
    <w:p w14:paraId="13D918DA">
      <w:pPr>
        <w:spacing w:line="360" w:lineRule="auto"/>
        <w:ind w:firstLine="420" w:firstLineChars="200"/>
        <w:rPr>
          <w:rFonts w:hint="eastAsia" w:ascii="宋体" w:hAnsi="宋体" w:cs="宋体"/>
          <w:color w:val="auto"/>
        </w:rPr>
      </w:pPr>
      <w:r>
        <w:rPr>
          <w:rFonts w:hint="eastAsia" w:ascii="宋体" w:hAnsi="宋体" w:cs="宋体"/>
          <w:color w:val="auto"/>
        </w:rPr>
        <w:t>2、表中所列人员配备为最低限度要求，中标单位可根据实际工作需要及时投入相关人员，所有监理人员均须身体健康。</w:t>
      </w:r>
    </w:p>
    <w:p w14:paraId="0A9B163A">
      <w:pPr>
        <w:spacing w:line="360" w:lineRule="auto"/>
        <w:ind w:firstLine="420" w:firstLineChars="200"/>
        <w:rPr>
          <w:rFonts w:hint="eastAsia" w:ascii="宋体" w:hAnsi="宋体" w:cs="宋体"/>
          <w:color w:val="auto"/>
        </w:rPr>
      </w:pPr>
      <w:r>
        <w:rPr>
          <w:rFonts w:hint="eastAsia" w:ascii="宋体" w:hAnsi="宋体" w:cs="宋体"/>
          <w:color w:val="auto"/>
        </w:rPr>
        <w:t>3、本表不作为形式评审、资格评审、响应性评审的审查依据，只作为综合评分表中的评审依据。</w:t>
      </w:r>
    </w:p>
    <w:p w14:paraId="7AB056EE">
      <w:pPr>
        <w:numPr>
          <w:ilvl w:val="255"/>
          <w:numId w:val="0"/>
        </w:numPr>
        <w:tabs>
          <w:tab w:val="left" w:pos="0"/>
        </w:tabs>
        <w:spacing w:line="360" w:lineRule="auto"/>
        <w:ind w:firstLine="420" w:firstLineChars="200"/>
        <w:rPr>
          <w:rFonts w:hint="eastAsia" w:ascii="宋体" w:hAnsi="宋体" w:cs="宋体"/>
          <w:b/>
          <w:bCs/>
          <w:color w:val="auto"/>
          <w:sz w:val="24"/>
          <w:szCs w:val="24"/>
        </w:rPr>
      </w:pPr>
      <w:r>
        <w:rPr>
          <w:rFonts w:hint="eastAsia" w:ascii="宋体" w:hAnsi="宋体" w:cs="宋体"/>
          <w:color w:val="auto"/>
        </w:rPr>
        <w:t>4、上述所列人员如为香港专业人士，按照《广东省住房和城乡建设厅关于印发香港工程建设咨询企业和专业人士在粤港澳大湾区内地城市开业执业试点管理暂行办法的通知》（粤建规范〔2020〕1号，详见链接：http://zfcxjst.gd.gov.cn/xxgk/wjtz/content/post_3137220.html）要求，须提供在广东省住房和城乡建设主管部门备案且备案的资格满足本项目相应岗位资格要求的证明材料。</w:t>
      </w:r>
    </w:p>
    <w:p w14:paraId="6B57270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auto"/>
          <w:spacing w:val="0"/>
          <w:sz w:val="24"/>
          <w:szCs w:val="24"/>
          <w:u w:val="none"/>
        </w:rPr>
      </w:pPr>
      <w:r>
        <w:rPr>
          <w:rStyle w:val="14"/>
          <w:rFonts w:hint="eastAsia" w:ascii="宋体" w:hAnsi="宋体" w:eastAsia="宋体" w:cs="宋体"/>
          <w:b/>
          <w:bCs/>
          <w:i w:val="0"/>
          <w:iCs w:val="0"/>
          <w:caps w:val="0"/>
          <w:color w:val="auto"/>
          <w:spacing w:val="0"/>
          <w:sz w:val="24"/>
          <w:szCs w:val="24"/>
          <w:u w:val="none"/>
          <w:shd w:val="clear" w:fill="FFFFFF"/>
          <w:lang w:val="en-US" w:eastAsia="zh-CN"/>
        </w:rPr>
        <w:t>三</w:t>
      </w:r>
      <w:r>
        <w:rPr>
          <w:rStyle w:val="14"/>
          <w:rFonts w:hint="eastAsia" w:ascii="宋体" w:hAnsi="宋体" w:eastAsia="宋体" w:cs="宋体"/>
          <w:b/>
          <w:bCs/>
          <w:i w:val="0"/>
          <w:iCs w:val="0"/>
          <w:caps w:val="0"/>
          <w:color w:val="auto"/>
          <w:spacing w:val="0"/>
          <w:sz w:val="24"/>
          <w:szCs w:val="24"/>
          <w:u w:val="none"/>
          <w:shd w:val="clear" w:fill="FFFFFF"/>
        </w:rPr>
        <w:t>、本招标项目的招标文件、电子招标文件GZZB以本次补充公告发布的为准，详见本补充公告附件。</w:t>
      </w:r>
    </w:p>
    <w:p w14:paraId="762EC6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auto"/>
          <w:spacing w:val="0"/>
          <w:sz w:val="24"/>
          <w:szCs w:val="24"/>
          <w:u w:val="none"/>
        </w:rPr>
      </w:pPr>
      <w:r>
        <w:rPr>
          <w:rStyle w:val="14"/>
          <w:rFonts w:hint="eastAsia" w:ascii="宋体" w:hAnsi="宋体" w:eastAsia="宋体" w:cs="宋体"/>
          <w:b/>
          <w:bCs/>
          <w:i w:val="0"/>
          <w:iCs w:val="0"/>
          <w:caps w:val="0"/>
          <w:color w:val="auto"/>
          <w:spacing w:val="0"/>
          <w:sz w:val="24"/>
          <w:szCs w:val="24"/>
          <w:u w:val="none"/>
          <w:shd w:val="clear" w:fill="FFFFFF"/>
          <w:lang w:val="en-US" w:eastAsia="zh-CN"/>
        </w:rPr>
        <w:t>四</w:t>
      </w:r>
      <w:r>
        <w:rPr>
          <w:rStyle w:val="14"/>
          <w:rFonts w:hint="eastAsia" w:ascii="宋体" w:hAnsi="宋体" w:eastAsia="宋体" w:cs="宋体"/>
          <w:b/>
          <w:bCs/>
          <w:i w:val="0"/>
          <w:iCs w:val="0"/>
          <w:caps w:val="0"/>
          <w:color w:val="auto"/>
          <w:spacing w:val="0"/>
          <w:sz w:val="24"/>
          <w:szCs w:val="24"/>
          <w:u w:val="none"/>
          <w:shd w:val="clear" w:fill="FFFFFF"/>
        </w:rPr>
        <w:t>、本项目对原定的招标投标日程安排作相应调整，请各投标人密切留意广州交易集团有限公司（广州公共资源交易中心）公布本项目的日程安排，投标人可登录广州交易集团有限公司（广州公共资源交易中心）网站首页，点击“交易业务”专栏中的“建设工程”的“项目查询(日程安排、答疑纪要)”，输入项目编号或项目名称查询最新信息。</w:t>
      </w:r>
      <w:bookmarkStart w:id="1" w:name="_GoBack"/>
      <w:bookmarkEnd w:id="1"/>
    </w:p>
    <w:p w14:paraId="18D023C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auto"/>
          <w:spacing w:val="0"/>
          <w:sz w:val="24"/>
          <w:szCs w:val="24"/>
          <w:u w:val="none"/>
        </w:rPr>
      </w:pPr>
      <w:r>
        <w:rPr>
          <w:rStyle w:val="14"/>
          <w:rFonts w:hint="eastAsia" w:ascii="宋体" w:hAnsi="宋体" w:eastAsia="宋体" w:cs="宋体"/>
          <w:b/>
          <w:bCs/>
          <w:i w:val="0"/>
          <w:iCs w:val="0"/>
          <w:caps w:val="0"/>
          <w:color w:val="auto"/>
          <w:spacing w:val="0"/>
          <w:sz w:val="24"/>
          <w:szCs w:val="24"/>
          <w:u w:val="none"/>
          <w:shd w:val="clear" w:fill="FFFFFF"/>
          <w:lang w:val="en-US" w:eastAsia="zh-CN"/>
        </w:rPr>
        <w:t>五</w:t>
      </w:r>
      <w:r>
        <w:rPr>
          <w:rStyle w:val="14"/>
          <w:rFonts w:hint="eastAsia" w:ascii="宋体" w:hAnsi="宋体" w:eastAsia="宋体" w:cs="宋体"/>
          <w:b/>
          <w:bCs/>
          <w:i w:val="0"/>
          <w:iCs w:val="0"/>
          <w:caps w:val="0"/>
          <w:color w:val="auto"/>
          <w:spacing w:val="0"/>
          <w:sz w:val="24"/>
          <w:szCs w:val="24"/>
          <w:u w:val="none"/>
          <w:shd w:val="clear" w:fill="FFFFFF"/>
        </w:rPr>
        <w:t>、招标公告和招标文件其它内容不变。本补充公告与原招标公告、招标文件不一致的以本补充公告为准。</w:t>
      </w:r>
    </w:p>
    <w:p w14:paraId="6439CB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line="360" w:lineRule="atLeast"/>
        <w:ind w:left="0" w:right="0" w:firstLine="422"/>
        <w:jc w:val="both"/>
        <w:rPr>
          <w:rFonts w:hint="eastAsia" w:ascii="微软雅黑" w:hAnsi="微软雅黑" w:eastAsia="微软雅黑" w:cs="微软雅黑"/>
          <w:i w:val="0"/>
          <w:iCs w:val="0"/>
          <w:caps w:val="0"/>
          <w:color w:val="auto"/>
          <w:spacing w:val="0"/>
          <w:sz w:val="24"/>
          <w:szCs w:val="24"/>
          <w:u w:val="none"/>
        </w:rPr>
      </w:pPr>
      <w:r>
        <w:rPr>
          <w:rStyle w:val="14"/>
          <w:rFonts w:hint="eastAsia" w:ascii="宋体" w:hAnsi="宋体" w:eastAsia="宋体" w:cs="宋体"/>
          <w:b/>
          <w:bCs/>
          <w:i w:val="0"/>
          <w:iCs w:val="0"/>
          <w:caps w:val="0"/>
          <w:color w:val="auto"/>
          <w:spacing w:val="0"/>
          <w:sz w:val="24"/>
          <w:szCs w:val="24"/>
          <w:u w:val="none"/>
          <w:shd w:val="clear" w:fill="FFFFFF"/>
        </w:rPr>
        <w:t> </w:t>
      </w:r>
    </w:p>
    <w:p w14:paraId="490FD1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00" w:afterAutospacing="0" w:line="360" w:lineRule="atLeast"/>
        <w:ind w:left="0" w:right="0" w:firstLine="0"/>
        <w:jc w:val="right"/>
        <w:rPr>
          <w:rStyle w:val="14"/>
          <w:rFonts w:hint="default" w:ascii="宋体" w:hAnsi="宋体" w:eastAsia="宋体" w:cs="宋体"/>
          <w:b/>
          <w:bCs/>
          <w:i w:val="0"/>
          <w:iCs w:val="0"/>
          <w:caps w:val="0"/>
          <w:color w:val="auto"/>
          <w:spacing w:val="0"/>
          <w:sz w:val="24"/>
          <w:szCs w:val="24"/>
          <w:u w:val="none"/>
          <w:shd w:val="clear" w:fill="FFFFFF"/>
          <w:lang w:val="en-US" w:eastAsia="zh-CN"/>
        </w:rPr>
      </w:pPr>
      <w:r>
        <w:rPr>
          <w:rStyle w:val="14"/>
          <w:rFonts w:hint="eastAsia" w:ascii="宋体" w:hAnsi="宋体" w:eastAsia="宋体" w:cs="宋体"/>
          <w:b/>
          <w:bCs/>
          <w:i w:val="0"/>
          <w:iCs w:val="0"/>
          <w:caps w:val="0"/>
          <w:color w:val="auto"/>
          <w:spacing w:val="0"/>
          <w:sz w:val="24"/>
          <w:szCs w:val="24"/>
          <w:u w:val="none"/>
          <w:shd w:val="clear" w:fill="FFFFFF"/>
        </w:rPr>
        <w:t>招标人名称：广州市越秀区文化广电旅游体育局</w:t>
      </w:r>
    </w:p>
    <w:p w14:paraId="381B35B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00" w:afterAutospacing="0" w:line="360" w:lineRule="atLeast"/>
        <w:ind w:left="0" w:right="0" w:firstLine="0"/>
        <w:jc w:val="right"/>
        <w:rPr>
          <w:rStyle w:val="14"/>
          <w:rFonts w:hint="eastAsia" w:ascii="宋体" w:hAnsi="宋体" w:eastAsia="宋体" w:cs="宋体"/>
          <w:b/>
          <w:bCs/>
          <w:i w:val="0"/>
          <w:iCs w:val="0"/>
          <w:caps w:val="0"/>
          <w:color w:val="auto"/>
          <w:spacing w:val="0"/>
          <w:sz w:val="24"/>
          <w:szCs w:val="24"/>
          <w:u w:val="none"/>
          <w:shd w:val="clear" w:fill="FFFFFF"/>
          <w:lang w:eastAsia="zh-CN"/>
        </w:rPr>
      </w:pPr>
      <w:r>
        <w:rPr>
          <w:rStyle w:val="14"/>
          <w:rFonts w:hint="eastAsia" w:ascii="宋体" w:hAnsi="宋体" w:eastAsia="宋体" w:cs="宋体"/>
          <w:b/>
          <w:bCs/>
          <w:i w:val="0"/>
          <w:iCs w:val="0"/>
          <w:caps w:val="0"/>
          <w:color w:val="auto"/>
          <w:spacing w:val="0"/>
          <w:sz w:val="24"/>
          <w:szCs w:val="24"/>
          <w:u w:val="none"/>
          <w:shd w:val="clear" w:fill="FFFFFF"/>
        </w:rPr>
        <w:t>招标代理名称：广东华工工程建设监理有限公司</w:t>
      </w:r>
    </w:p>
    <w:p w14:paraId="58D94E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00" w:afterAutospacing="0" w:line="360" w:lineRule="atLeast"/>
        <w:ind w:left="0" w:right="0" w:firstLine="0"/>
        <w:jc w:val="right"/>
        <w:rPr>
          <w:rFonts w:hint="eastAsia" w:ascii="微软雅黑" w:hAnsi="微软雅黑" w:eastAsia="微软雅黑" w:cs="微软雅黑"/>
          <w:i w:val="0"/>
          <w:iCs w:val="0"/>
          <w:caps w:val="0"/>
          <w:color w:val="auto"/>
          <w:spacing w:val="0"/>
          <w:sz w:val="24"/>
          <w:szCs w:val="24"/>
          <w:u w:val="none"/>
        </w:rPr>
      </w:pPr>
      <w:r>
        <w:rPr>
          <w:rStyle w:val="14"/>
          <w:rFonts w:hint="eastAsia" w:ascii="宋体" w:hAnsi="宋体" w:eastAsia="宋体" w:cs="宋体"/>
          <w:b/>
          <w:bCs/>
          <w:i w:val="0"/>
          <w:iCs w:val="0"/>
          <w:caps w:val="0"/>
          <w:color w:val="auto"/>
          <w:spacing w:val="0"/>
          <w:sz w:val="24"/>
          <w:szCs w:val="24"/>
          <w:u w:val="none"/>
          <w:shd w:val="clear" w:fill="FFFFFF"/>
        </w:rPr>
        <w:t>202</w:t>
      </w:r>
      <w:r>
        <w:rPr>
          <w:rStyle w:val="14"/>
          <w:rFonts w:hint="eastAsia" w:ascii="宋体" w:hAnsi="宋体" w:eastAsia="宋体" w:cs="宋体"/>
          <w:b/>
          <w:bCs/>
          <w:i w:val="0"/>
          <w:iCs w:val="0"/>
          <w:caps w:val="0"/>
          <w:color w:val="auto"/>
          <w:spacing w:val="0"/>
          <w:sz w:val="24"/>
          <w:szCs w:val="24"/>
          <w:u w:val="none"/>
          <w:shd w:val="clear" w:fill="FFFFFF"/>
          <w:lang w:val="en-US" w:eastAsia="zh-CN"/>
        </w:rPr>
        <w:t>5</w:t>
      </w:r>
      <w:r>
        <w:rPr>
          <w:rStyle w:val="14"/>
          <w:rFonts w:hint="eastAsia" w:ascii="宋体" w:hAnsi="宋体" w:eastAsia="宋体" w:cs="宋体"/>
          <w:b/>
          <w:bCs/>
          <w:i w:val="0"/>
          <w:iCs w:val="0"/>
          <w:caps w:val="0"/>
          <w:color w:val="auto"/>
          <w:spacing w:val="0"/>
          <w:sz w:val="24"/>
          <w:szCs w:val="24"/>
          <w:u w:val="none"/>
          <w:shd w:val="clear" w:fill="FFFFFF"/>
        </w:rPr>
        <w:t>年</w:t>
      </w:r>
      <w:r>
        <w:rPr>
          <w:rStyle w:val="14"/>
          <w:rFonts w:hint="eastAsia" w:ascii="宋体" w:hAnsi="宋体" w:eastAsia="宋体" w:cs="宋体"/>
          <w:b/>
          <w:bCs/>
          <w:i w:val="0"/>
          <w:iCs w:val="0"/>
          <w:caps w:val="0"/>
          <w:color w:val="auto"/>
          <w:spacing w:val="0"/>
          <w:sz w:val="24"/>
          <w:szCs w:val="24"/>
          <w:u w:val="none"/>
          <w:shd w:val="clear" w:fill="FFFFFF"/>
          <w:lang w:val="en-US" w:eastAsia="zh-CN"/>
        </w:rPr>
        <w:t xml:space="preserve">   </w:t>
      </w:r>
      <w:r>
        <w:rPr>
          <w:rStyle w:val="14"/>
          <w:rFonts w:hint="eastAsia" w:ascii="宋体" w:hAnsi="宋体" w:eastAsia="宋体" w:cs="宋体"/>
          <w:b/>
          <w:bCs/>
          <w:i w:val="0"/>
          <w:iCs w:val="0"/>
          <w:caps w:val="0"/>
          <w:color w:val="auto"/>
          <w:spacing w:val="0"/>
          <w:sz w:val="24"/>
          <w:szCs w:val="24"/>
          <w:u w:val="none"/>
          <w:shd w:val="clear" w:fill="FFFFFF"/>
        </w:rPr>
        <w:t>月</w:t>
      </w:r>
      <w:r>
        <w:rPr>
          <w:rStyle w:val="14"/>
          <w:rFonts w:hint="eastAsia" w:ascii="宋体" w:hAnsi="宋体" w:eastAsia="宋体" w:cs="宋体"/>
          <w:b/>
          <w:bCs/>
          <w:i w:val="0"/>
          <w:iCs w:val="0"/>
          <w:caps w:val="0"/>
          <w:color w:val="auto"/>
          <w:spacing w:val="0"/>
          <w:sz w:val="24"/>
          <w:szCs w:val="24"/>
          <w:u w:val="none"/>
          <w:shd w:val="clear" w:fill="FFFFFF"/>
          <w:lang w:val="en-US" w:eastAsia="zh-CN"/>
        </w:rPr>
        <w:t xml:space="preserve">   </w:t>
      </w:r>
      <w:r>
        <w:rPr>
          <w:rStyle w:val="14"/>
          <w:rFonts w:hint="eastAsia" w:ascii="宋体" w:hAnsi="宋体" w:eastAsia="宋体" w:cs="宋体"/>
          <w:b/>
          <w:bCs/>
          <w:i w:val="0"/>
          <w:iCs w:val="0"/>
          <w:caps w:val="0"/>
          <w:color w:val="auto"/>
          <w:spacing w:val="0"/>
          <w:sz w:val="24"/>
          <w:szCs w:val="24"/>
          <w:u w:val="none"/>
          <w:shd w:val="clear" w:fill="FFFFFF"/>
        </w:rPr>
        <w:t>日</w:t>
      </w:r>
    </w:p>
    <w:p w14:paraId="3468A88E">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92D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B797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2B797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2M3MzI2NmQ1MWM1NWM2NjZiYmVlOWUwNzZlNTkifQ=="/>
  </w:docVars>
  <w:rsids>
    <w:rsidRoot w:val="00000000"/>
    <w:rsid w:val="02110FC0"/>
    <w:rsid w:val="041E5538"/>
    <w:rsid w:val="04310856"/>
    <w:rsid w:val="06EF18C7"/>
    <w:rsid w:val="07A7198A"/>
    <w:rsid w:val="07F55DE2"/>
    <w:rsid w:val="09F85314"/>
    <w:rsid w:val="0BE809F6"/>
    <w:rsid w:val="13544785"/>
    <w:rsid w:val="143E5145"/>
    <w:rsid w:val="1D6F214D"/>
    <w:rsid w:val="1E031EB3"/>
    <w:rsid w:val="223C6612"/>
    <w:rsid w:val="23134F51"/>
    <w:rsid w:val="244618B9"/>
    <w:rsid w:val="2ADD21D8"/>
    <w:rsid w:val="2C9E7D7B"/>
    <w:rsid w:val="2FF43F1C"/>
    <w:rsid w:val="34A67E27"/>
    <w:rsid w:val="386121DB"/>
    <w:rsid w:val="38674F17"/>
    <w:rsid w:val="3BB87C00"/>
    <w:rsid w:val="44B9194D"/>
    <w:rsid w:val="5B9201F2"/>
    <w:rsid w:val="67FC27E2"/>
    <w:rsid w:val="6CE732E3"/>
    <w:rsid w:val="6FA650B0"/>
    <w:rsid w:val="722F007F"/>
    <w:rsid w:val="750371CF"/>
    <w:rsid w:val="78351AC4"/>
    <w:rsid w:val="7C27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autoRedefine/>
    <w:qFormat/>
    <w:uiPriority w:val="0"/>
    <w:pPr>
      <w:jc w:val="left"/>
    </w:pPr>
  </w:style>
  <w:style w:type="paragraph" w:styleId="4">
    <w:name w:val="Body Text"/>
    <w:basedOn w:val="1"/>
    <w:next w:val="1"/>
    <w:autoRedefine/>
    <w:unhideWhenUsed/>
    <w:qFormat/>
    <w:uiPriority w:val="99"/>
    <w:pPr>
      <w:spacing w:after="120"/>
    </w:pPr>
    <w:rPr>
      <w:rFonts w:ascii="Calibri" w:hAnsi="Calibri"/>
      <w:kern w:val="0"/>
      <w:sz w:val="20"/>
      <w:szCs w:val="20"/>
    </w:rPr>
  </w:style>
  <w:style w:type="paragraph" w:styleId="5">
    <w:name w:val="Body Text Indent"/>
    <w:basedOn w:val="1"/>
    <w:qFormat/>
    <w:uiPriority w:val="0"/>
    <w:pPr>
      <w:ind w:firstLine="560" w:firstLineChars="200"/>
    </w:pPr>
    <w:rPr>
      <w:rFonts w:ascii="Times New Roman" w:hAnsi="Times New Roman"/>
      <w:kern w:val="0"/>
      <w:sz w:val="28"/>
      <w:szCs w:val="24"/>
    </w:rPr>
  </w:style>
  <w:style w:type="paragraph" w:styleId="6">
    <w:name w:val="Plain Text"/>
    <w:basedOn w:val="1"/>
    <w:next w:val="1"/>
    <w:autoRedefine/>
    <w:qFormat/>
    <w:uiPriority w:val="0"/>
    <w:rPr>
      <w:rFonts w:hAnsi="Courier New"/>
      <w:kern w:val="0"/>
      <w:sz w:val="2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420"/>
    </w:pPr>
    <w:rPr>
      <w:rFonts w:ascii="Times New Roman" w:hAnsi="Times New Roman"/>
    </w:rPr>
  </w:style>
  <w:style w:type="paragraph" w:styleId="11">
    <w:name w:val="Body Text First Indent 2"/>
    <w:basedOn w:val="5"/>
    <w:qFormat/>
    <w:uiPriority w:val="0"/>
    <w:pPr>
      <w:spacing w:line="420" w:lineRule="exact"/>
      <w:ind w:firstLine="0" w:firstLineChars="0"/>
      <w:jc w:val="left"/>
    </w:pPr>
    <w:rPr>
      <w:rFonts w:ascii="Calibri" w:hAnsi="Courier New" w:cs="宋体"/>
      <w:color w:val="4874CB" w:themeColor="accent1"/>
      <w:kern w:val="2"/>
      <w:sz w:val="21"/>
      <w:szCs w:val="22"/>
      <w14:textFill>
        <w14:solidFill>
          <w14:schemeClr w14:val="accent1"/>
        </w14:solidFill>
      </w14:textFill>
    </w:rPr>
  </w:style>
  <w:style w:type="character" w:styleId="14">
    <w:name w:val="Strong"/>
    <w:basedOn w:val="13"/>
    <w:qFormat/>
    <w:uiPriority w:val="0"/>
    <w:rPr>
      <w:b/>
      <w:bCs/>
    </w:rPr>
  </w:style>
  <w:style w:type="character" w:styleId="15">
    <w:name w:val="FollowedHyperlink"/>
    <w:basedOn w:val="13"/>
    <w:qFormat/>
    <w:uiPriority w:val="0"/>
    <w:rPr>
      <w:rFonts w:ascii="微软雅黑" w:hAnsi="微软雅黑" w:eastAsia="微软雅黑" w:cs="微软雅黑"/>
      <w:color w:val="337AB7"/>
      <w:u w:val="none"/>
    </w:rPr>
  </w:style>
  <w:style w:type="character" w:styleId="16">
    <w:name w:val="HTML Definition"/>
    <w:basedOn w:val="13"/>
    <w:qFormat/>
    <w:uiPriority w:val="0"/>
    <w:rPr>
      <w:i/>
      <w:iCs/>
    </w:rPr>
  </w:style>
  <w:style w:type="character" w:styleId="17">
    <w:name w:val="Hyperlink"/>
    <w:basedOn w:val="13"/>
    <w:qFormat/>
    <w:uiPriority w:val="0"/>
    <w:rPr>
      <w:color w:val="0000FF"/>
      <w:u w:val="single"/>
    </w:rPr>
  </w:style>
  <w:style w:type="character" w:styleId="18">
    <w:name w:val="HTML Code"/>
    <w:basedOn w:val="13"/>
    <w:qFormat/>
    <w:uiPriority w:val="0"/>
    <w:rPr>
      <w:rFonts w:ascii="Consolas" w:hAnsi="Consolas" w:eastAsia="Consolas" w:cs="Consolas"/>
      <w:color w:val="C7254E"/>
      <w:sz w:val="21"/>
      <w:szCs w:val="21"/>
      <w:bdr w:val="single" w:color="E1E1E1" w:sz="4" w:space="0"/>
      <w:shd w:val="clear" w:fill="F9F2F4"/>
    </w:rPr>
  </w:style>
  <w:style w:type="character" w:styleId="19">
    <w:name w:val="HTML Keyboard"/>
    <w:basedOn w:val="13"/>
    <w:qFormat/>
    <w:uiPriority w:val="0"/>
    <w:rPr>
      <w:rFonts w:hint="default" w:ascii="Consolas" w:hAnsi="Consolas" w:eastAsia="Consolas" w:cs="Consolas"/>
      <w:color w:val="FFFFFF"/>
      <w:sz w:val="21"/>
      <w:szCs w:val="21"/>
      <w:shd w:val="clear" w:fill="333333"/>
    </w:rPr>
  </w:style>
  <w:style w:type="character" w:styleId="20">
    <w:name w:val="HTML Sample"/>
    <w:basedOn w:val="13"/>
    <w:qFormat/>
    <w:uiPriority w:val="0"/>
    <w:rPr>
      <w:rFonts w:hint="default" w:ascii="Consolas" w:hAnsi="Consolas" w:eastAsia="Consolas" w:cs="Consolas"/>
      <w:sz w:val="21"/>
      <w:szCs w:val="21"/>
    </w:rPr>
  </w:style>
  <w:style w:type="character" w:customStyle="1" w:styleId="21">
    <w:name w:val="codemirror-selectedtext"/>
    <w:basedOn w:val="13"/>
    <w:qFormat/>
    <w:uiPriority w:val="0"/>
  </w:style>
  <w:style w:type="character" w:customStyle="1" w:styleId="22">
    <w:name w:val="required[data-v-5a92749f]"/>
    <w:basedOn w:val="13"/>
    <w:qFormat/>
    <w:uiPriority w:val="0"/>
  </w:style>
  <w:style w:type="character" w:customStyle="1" w:styleId="23">
    <w:name w:val="tabname[data-v-06965123]"/>
    <w:basedOn w:val="13"/>
    <w:qFormat/>
    <w:uiPriority w:val="0"/>
  </w:style>
  <w:style w:type="character" w:customStyle="1" w:styleId="24">
    <w:name w:val="cm-atom"/>
    <w:basedOn w:val="13"/>
    <w:qFormat/>
    <w:uiPriority w:val="0"/>
    <w:rPr>
      <w:color w:val="F4C20B"/>
    </w:rPr>
  </w:style>
  <w:style w:type="character" w:customStyle="1" w:styleId="25">
    <w:name w:val="hover3"/>
    <w:basedOn w:val="13"/>
    <w:qFormat/>
    <w:uiPriority w:val="0"/>
    <w:rPr>
      <w:color w:val="3D89FA"/>
      <w:bdr w:val="single" w:color="3D89FA" w:sz="6" w:space="0"/>
    </w:rPr>
  </w:style>
  <w:style w:type="character" w:customStyle="1" w:styleId="26">
    <w:name w:val="hover4"/>
    <w:basedOn w:val="13"/>
    <w:qFormat/>
    <w:uiPriority w:val="0"/>
    <w:rPr>
      <w:color w:val="C0C4CC"/>
    </w:rPr>
  </w:style>
  <w:style w:type="character" w:customStyle="1" w:styleId="27">
    <w:name w:val="codemirror-matchingbracket"/>
    <w:basedOn w:val="13"/>
    <w:qFormat/>
    <w:uiPriority w:val="0"/>
    <w:rPr>
      <w:color w:val="00BB00"/>
    </w:rPr>
  </w:style>
  <w:style w:type="character" w:customStyle="1" w:styleId="28">
    <w:name w:val="cm-tag2"/>
    <w:basedOn w:val="13"/>
    <w:qFormat/>
    <w:uiPriority w:val="0"/>
    <w:rPr>
      <w:color w:val="7BD827"/>
    </w:rPr>
  </w:style>
  <w:style w:type="character" w:customStyle="1" w:styleId="29">
    <w:name w:val="cm-special"/>
    <w:basedOn w:val="13"/>
    <w:qFormat/>
    <w:uiPriority w:val="0"/>
    <w:rPr>
      <w:color w:val="FF9D00"/>
    </w:rPr>
  </w:style>
  <w:style w:type="character" w:customStyle="1" w:styleId="30">
    <w:name w:val="cm-string"/>
    <w:basedOn w:val="13"/>
    <w:qFormat/>
    <w:uiPriority w:val="0"/>
    <w:rPr>
      <w:color w:val="F08047"/>
    </w:rPr>
  </w:style>
  <w:style w:type="character" w:customStyle="1" w:styleId="31">
    <w:name w:val="cm-string1"/>
    <w:basedOn w:val="13"/>
    <w:qFormat/>
    <w:uiPriority w:val="0"/>
    <w:rPr>
      <w:color w:val="F08047"/>
    </w:rPr>
  </w:style>
  <w:style w:type="character" w:customStyle="1" w:styleId="32">
    <w:name w:val="cm-builtin2"/>
    <w:basedOn w:val="13"/>
    <w:qFormat/>
    <w:uiPriority w:val="0"/>
    <w:rPr>
      <w:color w:val="FF9D00"/>
    </w:rPr>
  </w:style>
  <w:style w:type="character" w:customStyle="1" w:styleId="33">
    <w:name w:val="cm-meta"/>
    <w:basedOn w:val="13"/>
    <w:qFormat/>
    <w:uiPriority w:val="0"/>
    <w:rPr>
      <w:color w:val="FF00FF"/>
    </w:rPr>
  </w:style>
  <w:style w:type="character" w:customStyle="1" w:styleId="34">
    <w:name w:val="checkbox[data-v-fe0f198c]"/>
    <w:basedOn w:val="13"/>
    <w:autoRedefine/>
    <w:qFormat/>
    <w:uiPriority w:val="0"/>
    <w:rPr>
      <w:bdr w:val="single" w:color="DDDDDD" w:sz="6" w:space="0"/>
    </w:rPr>
  </w:style>
  <w:style w:type="character" w:customStyle="1" w:styleId="35">
    <w:name w:val="not([class*=suffix])"/>
    <w:basedOn w:val="13"/>
    <w:qFormat/>
    <w:uiPriority w:val="0"/>
    <w:rPr>
      <w:sz w:val="19"/>
      <w:szCs w:val="19"/>
    </w:rPr>
  </w:style>
  <w:style w:type="character" w:customStyle="1" w:styleId="36">
    <w:name w:val="not([class*=suffix])1"/>
    <w:basedOn w:val="13"/>
    <w:qFormat/>
    <w:uiPriority w:val="0"/>
  </w:style>
  <w:style w:type="character" w:customStyle="1" w:styleId="37">
    <w:name w:val="tip[data-v-6cd4468b]"/>
    <w:basedOn w:val="13"/>
    <w:autoRedefine/>
    <w:qFormat/>
    <w:uiPriority w:val="0"/>
    <w:rPr>
      <w:color w:val="0056B1"/>
    </w:rPr>
  </w:style>
  <w:style w:type="character" w:customStyle="1" w:styleId="38">
    <w:name w:val="num[data-v-014b66c3]"/>
    <w:basedOn w:val="13"/>
    <w:qFormat/>
    <w:uiPriority w:val="0"/>
    <w:rPr>
      <w:color w:val="0052CC"/>
      <w:sz w:val="30"/>
      <w:szCs w:val="30"/>
    </w:rPr>
  </w:style>
  <w:style w:type="character" w:customStyle="1" w:styleId="39">
    <w:name w:val="num[data-v-014b66c3]1"/>
    <w:basedOn w:val="13"/>
    <w:qFormat/>
    <w:uiPriority w:val="0"/>
    <w:rPr>
      <w:color w:val="95E68A"/>
      <w:sz w:val="30"/>
      <w:szCs w:val="30"/>
    </w:rPr>
  </w:style>
  <w:style w:type="character" w:customStyle="1" w:styleId="40">
    <w:name w:val="num[data-v-014b66c3]2"/>
    <w:basedOn w:val="13"/>
    <w:autoRedefine/>
    <w:qFormat/>
    <w:uiPriority w:val="0"/>
    <w:rPr>
      <w:color w:val="54A8FF"/>
      <w:sz w:val="30"/>
      <w:szCs w:val="30"/>
    </w:rPr>
  </w:style>
  <w:style w:type="character" w:customStyle="1" w:styleId="41">
    <w:name w:val="cm-keyword2"/>
    <w:basedOn w:val="13"/>
    <w:qFormat/>
    <w:uiPriority w:val="0"/>
    <w:rPr>
      <w:color w:val="FF00FF"/>
    </w:rPr>
  </w:style>
  <w:style w:type="character" w:customStyle="1" w:styleId="42">
    <w:name w:val="cm-attribute2"/>
    <w:basedOn w:val="13"/>
    <w:qFormat/>
    <w:uiPriority w:val="0"/>
    <w:rPr>
      <w:color w:val="82C6E0"/>
    </w:rPr>
  </w:style>
  <w:style w:type="character" w:customStyle="1" w:styleId="43">
    <w:name w:val="cm-def2"/>
    <w:basedOn w:val="13"/>
    <w:autoRedefine/>
    <w:qFormat/>
    <w:uiPriority w:val="0"/>
    <w:rPr>
      <w:color w:val="FFFFFF"/>
    </w:rPr>
  </w:style>
  <w:style w:type="character" w:customStyle="1" w:styleId="44">
    <w:name w:val="cm-variable-32"/>
    <w:basedOn w:val="13"/>
    <w:qFormat/>
    <w:uiPriority w:val="0"/>
    <w:rPr>
      <w:color w:val="FFFFFF"/>
    </w:rPr>
  </w:style>
  <w:style w:type="character" w:customStyle="1" w:styleId="45">
    <w:name w:val="cm-variable-2"/>
    <w:basedOn w:val="13"/>
    <w:qFormat/>
    <w:uiPriority w:val="0"/>
    <w:rPr>
      <w:color w:val="7BD827"/>
      <w:shd w:val="clear" w:fill="1F4661"/>
    </w:rPr>
  </w:style>
  <w:style w:type="character" w:customStyle="1" w:styleId="46">
    <w:name w:val="before1"/>
    <w:basedOn w:val="13"/>
    <w:autoRedefine/>
    <w:qFormat/>
    <w:uiPriority w:val="0"/>
    <w:rPr>
      <w:bdr w:val="single" w:color="FFFFFF" w:sz="6" w:space="0"/>
    </w:rPr>
  </w:style>
  <w:style w:type="character" w:customStyle="1" w:styleId="47">
    <w:name w:val="codemirror-nonmatchingbracket"/>
    <w:basedOn w:val="13"/>
    <w:qFormat/>
    <w:uiPriority w:val="0"/>
    <w:rPr>
      <w:color w:val="AA2222"/>
    </w:rPr>
  </w:style>
  <w:style w:type="character" w:customStyle="1" w:styleId="48">
    <w:name w:val="cm-number2"/>
    <w:basedOn w:val="13"/>
    <w:qFormat/>
    <w:uiPriority w:val="0"/>
    <w:rPr>
      <w:color w:val="82C6E0"/>
    </w:rPr>
  </w:style>
  <w:style w:type="character" w:customStyle="1" w:styleId="49">
    <w:name w:val="cm-bracket2"/>
    <w:basedOn w:val="13"/>
    <w:autoRedefine/>
    <w:qFormat/>
    <w:uiPriority w:val="0"/>
    <w:rPr>
      <w:color w:val="FF00FF"/>
    </w:rPr>
  </w:style>
  <w:style w:type="character" w:customStyle="1" w:styleId="50">
    <w:name w:val="cm-comment2"/>
    <w:basedOn w:val="13"/>
    <w:qFormat/>
    <w:uiPriority w:val="0"/>
    <w:rPr>
      <w:i/>
      <w:iCs/>
      <w:color w:val="999999"/>
    </w:rPr>
  </w:style>
  <w:style w:type="character" w:customStyle="1" w:styleId="51">
    <w:name w:val="cm-type2"/>
    <w:basedOn w:val="13"/>
    <w:qFormat/>
    <w:uiPriority w:val="0"/>
    <w:rPr>
      <w:color w:val="FFFFFF"/>
    </w:rPr>
  </w:style>
  <w:style w:type="character" w:customStyle="1" w:styleId="52">
    <w:name w:val="cm-link3"/>
    <w:basedOn w:val="13"/>
    <w:autoRedefine/>
    <w:qFormat/>
    <w:uiPriority w:val="0"/>
    <w:rPr>
      <w:color w:val="F4C20B"/>
    </w:rPr>
  </w:style>
  <w:style w:type="character" w:customStyle="1" w:styleId="53">
    <w:name w:val="cm-error2"/>
    <w:basedOn w:val="13"/>
    <w:qFormat/>
    <w:uiPriority w:val="0"/>
    <w:rPr>
      <w:color w:val="AF2018"/>
    </w:rPr>
  </w:style>
  <w:style w:type="character" w:customStyle="1" w:styleId="54">
    <w:name w:val="underline[data-v-06965123]"/>
    <w:basedOn w:val="13"/>
    <w:qFormat/>
    <w:uiPriority w:val="0"/>
  </w:style>
  <w:style w:type="character" w:customStyle="1" w:styleId="55">
    <w:name w:val="active1"/>
    <w:basedOn w:val="13"/>
    <w:autoRedefine/>
    <w:qFormat/>
    <w:uiPriority w:val="0"/>
    <w:rPr>
      <w:color w:val="C0C4CC"/>
    </w:rPr>
  </w:style>
  <w:style w:type="character" w:customStyle="1" w:styleId="56">
    <w:name w:val="title24"/>
    <w:basedOn w:val="13"/>
    <w:qFormat/>
    <w:uiPriority w:val="0"/>
  </w:style>
  <w:style w:type="character" w:customStyle="1" w:styleId="57">
    <w:name w:val="username"/>
    <w:basedOn w:val="13"/>
    <w:qFormat/>
    <w:uiPriority w:val="0"/>
  </w:style>
  <w:style w:type="character" w:customStyle="1" w:styleId="58">
    <w:name w:val="NormalCharacter"/>
    <w:autoRedefine/>
    <w:qFormat/>
    <w:uiPriority w:val="0"/>
  </w:style>
  <w:style w:type="paragraph" w:customStyle="1" w:styleId="59">
    <w:name w:val="正文 New New"/>
    <w:qFormat/>
    <w:uiPriority w:val="0"/>
    <w:pPr>
      <w:widowControl w:val="0"/>
      <w:jc w:val="both"/>
    </w:pPr>
    <w:rPr>
      <w:rFonts w:ascii="Calibri" w:hAnsi="Calibri" w:eastAsia="楷体_GB2312" w:cs="Times New Roman"/>
      <w:lang w:val="en-US" w:eastAsia="zh-CN" w:bidi="ar-SA"/>
    </w:rPr>
  </w:style>
  <w:style w:type="character" w:customStyle="1" w:styleId="60">
    <w:name w:val="font01"/>
    <w:qFormat/>
    <w:uiPriority w:val="0"/>
    <w:rPr>
      <w:rFonts w:hint="eastAsia" w:ascii="宋体" w:hAnsi="宋体" w:eastAsia="宋体" w:cs="宋体"/>
      <w:color w:val="000000"/>
      <w:sz w:val="21"/>
      <w:szCs w:val="21"/>
      <w:u w:val="none"/>
    </w:rPr>
  </w:style>
  <w:style w:type="paragraph" w:customStyle="1" w:styleId="61">
    <w:name w:val="UserStyle_2"/>
    <w:basedOn w:val="1"/>
    <w:qFormat/>
    <w:uiPriority w:val="99"/>
    <w:pPr>
      <w:widowControl/>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4167</Words>
  <Characters>4384</Characters>
  <Lines>0</Lines>
  <Paragraphs>0</Paragraphs>
  <TotalTime>2</TotalTime>
  <ScaleCrop>false</ScaleCrop>
  <LinksUpToDate>false</LinksUpToDate>
  <CharactersWithSpaces>4414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2023-11-02T10:16:00Z</dcterms:created>
  <dc:creator>Administrator</dc:creator>
  <cp:lastModifiedBy>宇</cp:lastModifiedBy>
  <dcterms:modified xsi:type="dcterms:W3CDTF">2025-06-23T06:19:50Z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AC0B5141DD654A7187C20CB08FF08D9A_13</vt:lpwstr>
  </property>
  <property fmtid="{D5CDD505-2E9C-101B-9397-08002B2CF9AE}" pid="4" name="KSOTemplateDocerSaveRecord">
    <vt:lpwstr>eyJoZGlkIjoiOWE3M2Q0NDdlZTJkNjM1ODMwYjMzZWEwNjcwNWYxNzgiLCJ1c2VySWQiOiIzNjQ2MTIxMzUifQ==</vt:lpwstr>
  </property>
</Properties>
</file>