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2799E7">
      <w:pPr>
        <w:spacing w:line="360" w:lineRule="auto"/>
        <w:ind w:firstLine="723" w:firstLineChars="200"/>
        <w:jc w:val="center"/>
        <w:rPr>
          <w:rFonts w:hint="eastAsia" w:ascii="仿宋_GB2312" w:hAnsi="宋体" w:eastAsia="仿宋_GB2312" w:cs="Times New Roman"/>
          <w:b/>
          <w:color w:val="000000"/>
          <w:sz w:val="36"/>
          <w:szCs w:val="36"/>
          <w:highlight w:val="none"/>
        </w:rPr>
      </w:pPr>
    </w:p>
    <w:p w14:paraId="22DB980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 w:hAnsi="仿宋" w:eastAsia="仿宋" w:cs="仿宋"/>
          <w:b/>
          <w:bCs w:val="0"/>
          <w:sz w:val="36"/>
          <w:szCs w:val="36"/>
          <w:highlight w:val="none"/>
        </w:rPr>
      </w:pPr>
      <w:bookmarkStart w:id="0" w:name="_Toc530"/>
      <w:r>
        <w:rPr>
          <w:rFonts w:hint="eastAsia" w:ascii="仿宋" w:hAnsi="仿宋" w:eastAsia="仿宋" w:cs="仿宋"/>
          <w:b/>
          <w:bCs w:val="0"/>
          <w:sz w:val="44"/>
          <w:szCs w:val="44"/>
          <w:highlight w:val="none"/>
        </w:rPr>
        <w:t>石井河海军桥至拦河枢纽段一河两岸水环境提升工程施工监理</w:t>
      </w:r>
    </w:p>
    <w:p w14:paraId="3251F414">
      <w:pPr>
        <w:jc w:val="center"/>
        <w:rPr>
          <w:rFonts w:hint="eastAsia"/>
          <w:b/>
          <w:bCs w:val="0"/>
          <w:highlight w:val="none"/>
        </w:rPr>
      </w:pPr>
    </w:p>
    <w:p w14:paraId="1752D7FA">
      <w:pPr>
        <w:jc w:val="center"/>
        <w:rPr>
          <w:rFonts w:hint="default"/>
          <w:b/>
          <w:bCs w:val="0"/>
          <w:sz w:val="44"/>
          <w:szCs w:val="44"/>
          <w:highlight w:val="none"/>
        </w:rPr>
      </w:pPr>
    </w:p>
    <w:p w14:paraId="026BF033">
      <w:pPr>
        <w:jc w:val="center"/>
        <w:rPr>
          <w:rFonts w:hint="default"/>
          <w:b/>
          <w:bCs w:val="0"/>
          <w:sz w:val="44"/>
          <w:szCs w:val="44"/>
          <w:highlight w:val="none"/>
        </w:rPr>
      </w:pPr>
    </w:p>
    <w:p w14:paraId="10AB8EF9">
      <w:pPr>
        <w:jc w:val="center"/>
        <w:rPr>
          <w:rFonts w:hint="eastAsia" w:ascii="仿宋" w:hAnsi="仿宋" w:eastAsia="仿宋" w:cs="仿宋"/>
          <w:b/>
          <w:bCs w:val="0"/>
          <w:sz w:val="44"/>
          <w:szCs w:val="44"/>
          <w:highlight w:val="none"/>
        </w:rPr>
      </w:pPr>
    </w:p>
    <w:p w14:paraId="2076C82B">
      <w:pPr>
        <w:jc w:val="center"/>
        <w:rPr>
          <w:rFonts w:hint="eastAsia" w:ascii="仿宋" w:hAnsi="仿宋" w:eastAsia="仿宋" w:cs="仿宋"/>
          <w:b/>
          <w:bCs w:val="0"/>
          <w:sz w:val="44"/>
          <w:szCs w:val="44"/>
          <w:highlight w:val="none"/>
        </w:rPr>
      </w:pPr>
    </w:p>
    <w:p w14:paraId="16FFDC4F">
      <w:pPr>
        <w:jc w:val="center"/>
        <w:rPr>
          <w:rFonts w:hint="eastAsia" w:ascii="仿宋" w:hAnsi="仿宋" w:eastAsia="仿宋" w:cs="仿宋"/>
          <w:b/>
          <w:bCs w:val="0"/>
          <w:sz w:val="44"/>
          <w:szCs w:val="44"/>
          <w:highlight w:val="none"/>
        </w:rPr>
      </w:pPr>
    </w:p>
    <w:p w14:paraId="39459AA6">
      <w:pPr>
        <w:jc w:val="center"/>
        <w:rPr>
          <w:rFonts w:hint="eastAsia" w:ascii="方正小标宋简体" w:hAnsi="方正小标宋简体" w:eastAsia="方正小标宋简体" w:cs="方正小标宋简体"/>
          <w:b w:val="0"/>
          <w:bCs/>
          <w:color w:val="auto"/>
          <w:sz w:val="84"/>
          <w:szCs w:val="84"/>
          <w:highlight w:val="none"/>
        </w:rPr>
      </w:pPr>
      <w:r>
        <w:rPr>
          <w:rFonts w:hint="eastAsia" w:ascii="仿宋" w:hAnsi="仿宋" w:eastAsia="仿宋" w:cs="仿宋"/>
          <w:b/>
          <w:bCs w:val="0"/>
          <w:sz w:val="44"/>
          <w:szCs w:val="44"/>
          <w:highlight w:val="none"/>
        </w:rPr>
        <w:t>招标文件</w:t>
      </w:r>
    </w:p>
    <w:p w14:paraId="1ADC1FAA">
      <w:pPr>
        <w:jc w:val="center"/>
        <w:rPr>
          <w:rFonts w:hint="eastAsia" w:ascii="仿宋" w:hAnsi="仿宋" w:eastAsia="仿宋" w:cs="仿宋"/>
          <w:b/>
          <w:bCs w:val="0"/>
          <w:sz w:val="36"/>
          <w:szCs w:val="36"/>
          <w:highlight w:val="none"/>
        </w:rPr>
      </w:pPr>
    </w:p>
    <w:p w14:paraId="7645FA01">
      <w:pPr>
        <w:jc w:val="center"/>
        <w:rPr>
          <w:rFonts w:hint="eastAsia" w:ascii="仿宋" w:hAnsi="仿宋" w:eastAsia="仿宋" w:cs="仿宋"/>
          <w:b/>
          <w:bCs w:val="0"/>
          <w:sz w:val="36"/>
          <w:szCs w:val="36"/>
          <w:highlight w:val="none"/>
        </w:rPr>
      </w:pPr>
    </w:p>
    <w:p w14:paraId="58B7D521">
      <w:pPr>
        <w:pStyle w:val="26"/>
        <w:rPr>
          <w:rFonts w:hint="eastAsia"/>
          <w:b/>
          <w:bCs w:val="0"/>
          <w:highlight w:val="none"/>
        </w:rPr>
      </w:pPr>
    </w:p>
    <w:p w14:paraId="3C9FCEC7">
      <w:pPr>
        <w:pStyle w:val="26"/>
        <w:rPr>
          <w:rFonts w:hint="eastAsia"/>
          <w:b/>
          <w:bCs w:val="0"/>
          <w:highlight w:val="none"/>
        </w:rPr>
      </w:pPr>
    </w:p>
    <w:p w14:paraId="2B2FDC9F">
      <w:pPr>
        <w:pStyle w:val="26"/>
        <w:rPr>
          <w:rFonts w:hint="eastAsia"/>
          <w:b/>
          <w:bCs w:val="0"/>
          <w:highlight w:val="none"/>
        </w:rPr>
      </w:pPr>
    </w:p>
    <w:p w14:paraId="44E176AE">
      <w:pPr>
        <w:pStyle w:val="26"/>
        <w:rPr>
          <w:rFonts w:hint="eastAsia"/>
          <w:b/>
          <w:bCs w:val="0"/>
          <w:highlight w:val="none"/>
        </w:rPr>
      </w:pPr>
    </w:p>
    <w:p w14:paraId="3D32E3D5">
      <w:pPr>
        <w:pStyle w:val="26"/>
        <w:rPr>
          <w:rFonts w:hint="eastAsia"/>
          <w:b/>
          <w:bCs w:val="0"/>
          <w:highlight w:val="none"/>
        </w:rPr>
      </w:pPr>
    </w:p>
    <w:p w14:paraId="47206A9A">
      <w:pPr>
        <w:pStyle w:val="26"/>
        <w:rPr>
          <w:rFonts w:hint="eastAsia"/>
          <w:b/>
          <w:bCs w:val="0"/>
          <w:highlight w:val="none"/>
        </w:rPr>
      </w:pPr>
    </w:p>
    <w:p w14:paraId="08632057">
      <w:pPr>
        <w:pStyle w:val="26"/>
        <w:rPr>
          <w:rFonts w:hint="eastAsia"/>
          <w:b/>
          <w:bCs w:val="0"/>
          <w:highlight w:val="none"/>
        </w:rPr>
      </w:pPr>
    </w:p>
    <w:p w14:paraId="6E25A5BF">
      <w:pPr>
        <w:jc w:val="center"/>
        <w:rPr>
          <w:rFonts w:hint="eastAsia"/>
          <w:b/>
          <w:bCs w:val="0"/>
          <w:highlight w:val="none"/>
        </w:rPr>
      </w:pPr>
    </w:p>
    <w:p w14:paraId="4BAFF59A">
      <w:pPr>
        <w:jc w:val="center"/>
        <w:rPr>
          <w:rFonts w:hint="eastAsia"/>
          <w:b/>
          <w:bCs w:val="0"/>
          <w:highlight w:val="none"/>
        </w:rPr>
      </w:pPr>
    </w:p>
    <w:p w14:paraId="621BA560">
      <w:pPr>
        <w:jc w:val="center"/>
        <w:rPr>
          <w:rFonts w:hint="eastAsia"/>
          <w:b/>
          <w:bCs w:val="0"/>
          <w:highlight w:val="none"/>
        </w:rPr>
      </w:pPr>
    </w:p>
    <w:p w14:paraId="10A7D2B9">
      <w:pPr>
        <w:jc w:val="center"/>
        <w:rPr>
          <w:rFonts w:hint="eastAsia"/>
          <w:b/>
          <w:bCs w:val="0"/>
          <w:highlight w:val="none"/>
        </w:rPr>
      </w:pPr>
    </w:p>
    <w:p w14:paraId="73D760DD">
      <w:pPr>
        <w:jc w:val="center"/>
        <w:rPr>
          <w:rFonts w:hint="eastAsia" w:ascii="仿宋" w:hAnsi="仿宋" w:eastAsia="仿宋" w:cs="仿宋"/>
          <w:b/>
          <w:bCs w:val="0"/>
          <w:sz w:val="36"/>
          <w:szCs w:val="36"/>
          <w:highlight w:val="none"/>
        </w:rPr>
      </w:pPr>
      <w:r>
        <w:rPr>
          <w:rFonts w:hint="eastAsia" w:ascii="仿宋" w:hAnsi="仿宋" w:eastAsia="仿宋" w:cs="仿宋"/>
          <w:b/>
          <w:bCs w:val="0"/>
          <w:sz w:val="36"/>
          <w:szCs w:val="36"/>
          <w:highlight w:val="none"/>
        </w:rPr>
        <w:t>招 标 人：广州市白云区水务工程建设管理中心</w:t>
      </w:r>
    </w:p>
    <w:p w14:paraId="59471606">
      <w:pPr>
        <w:jc w:val="center"/>
        <w:rPr>
          <w:rFonts w:hint="eastAsia" w:ascii="仿宋" w:hAnsi="仿宋" w:eastAsia="仿宋" w:cs="仿宋"/>
          <w:b/>
          <w:bCs w:val="0"/>
          <w:sz w:val="36"/>
          <w:szCs w:val="36"/>
          <w:highlight w:val="none"/>
        </w:rPr>
      </w:pPr>
      <w:r>
        <w:rPr>
          <w:rFonts w:hint="eastAsia" w:ascii="仿宋" w:hAnsi="仿宋" w:eastAsia="仿宋" w:cs="仿宋"/>
          <w:b/>
          <w:bCs w:val="0"/>
          <w:sz w:val="36"/>
          <w:szCs w:val="36"/>
          <w:highlight w:val="none"/>
        </w:rPr>
        <w:t>招标代理</w:t>
      </w:r>
      <w:r>
        <w:rPr>
          <w:rFonts w:hint="eastAsia" w:ascii="仿宋" w:hAnsi="仿宋" w:eastAsia="仿宋" w:cs="仿宋"/>
          <w:b/>
          <w:bCs w:val="0"/>
          <w:sz w:val="36"/>
          <w:szCs w:val="36"/>
          <w:highlight w:val="none"/>
          <w:lang w:val="en-US" w:eastAsia="zh-CN"/>
        </w:rPr>
        <w:t>机构</w:t>
      </w:r>
      <w:r>
        <w:rPr>
          <w:rFonts w:hint="eastAsia" w:ascii="仿宋" w:hAnsi="仿宋" w:eastAsia="仿宋" w:cs="仿宋"/>
          <w:b/>
          <w:bCs w:val="0"/>
          <w:sz w:val="36"/>
          <w:szCs w:val="36"/>
          <w:highlight w:val="none"/>
        </w:rPr>
        <w:t>：广东河海工程咨询有限公司</w:t>
      </w:r>
    </w:p>
    <w:p w14:paraId="23A888F3">
      <w:pPr>
        <w:jc w:val="center"/>
        <w:rPr>
          <w:rFonts w:hint="eastAsia" w:ascii="仿宋" w:hAnsi="仿宋" w:eastAsia="仿宋" w:cs="仿宋"/>
          <w:b/>
          <w:bCs w:val="0"/>
          <w:sz w:val="36"/>
          <w:szCs w:val="36"/>
          <w:highlight w:val="none"/>
        </w:rPr>
      </w:pPr>
    </w:p>
    <w:p w14:paraId="30CADC76">
      <w:pPr>
        <w:jc w:val="center"/>
        <w:rPr>
          <w:rFonts w:hint="eastAsia" w:ascii="仿宋" w:hAnsi="仿宋" w:eastAsia="仿宋" w:cs="仿宋"/>
          <w:b/>
          <w:bCs w:val="0"/>
          <w:sz w:val="36"/>
          <w:szCs w:val="36"/>
          <w:highlight w:val="none"/>
        </w:rPr>
      </w:pPr>
      <w:r>
        <w:rPr>
          <w:rFonts w:hint="eastAsia" w:ascii="仿宋" w:hAnsi="仿宋" w:eastAsia="仿宋" w:cs="仿宋"/>
          <w:b/>
          <w:bCs w:val="0"/>
          <w:sz w:val="36"/>
          <w:szCs w:val="36"/>
          <w:highlight w:val="none"/>
          <w:lang w:eastAsia="zh-CN"/>
        </w:rPr>
        <w:t>二〇二</w:t>
      </w:r>
      <w:r>
        <w:rPr>
          <w:rFonts w:hint="eastAsia" w:ascii="仿宋" w:hAnsi="仿宋" w:eastAsia="仿宋" w:cs="仿宋"/>
          <w:b/>
          <w:bCs w:val="0"/>
          <w:sz w:val="36"/>
          <w:szCs w:val="36"/>
          <w:highlight w:val="none"/>
          <w:lang w:val="en-US" w:eastAsia="zh-CN"/>
        </w:rPr>
        <w:t>五</w:t>
      </w:r>
      <w:r>
        <w:rPr>
          <w:rFonts w:hint="eastAsia" w:ascii="仿宋" w:hAnsi="仿宋" w:eastAsia="仿宋" w:cs="仿宋"/>
          <w:b/>
          <w:bCs w:val="0"/>
          <w:sz w:val="36"/>
          <w:szCs w:val="36"/>
          <w:highlight w:val="none"/>
          <w:lang w:eastAsia="zh-CN"/>
        </w:rPr>
        <w:t>年</w:t>
      </w:r>
      <w:r>
        <w:rPr>
          <w:rFonts w:hint="eastAsia" w:ascii="仿宋" w:hAnsi="仿宋" w:eastAsia="仿宋" w:cs="仿宋"/>
          <w:b/>
          <w:bCs w:val="0"/>
          <w:sz w:val="36"/>
          <w:szCs w:val="36"/>
          <w:highlight w:val="none"/>
          <w:lang w:val="en-US" w:eastAsia="zh-CN"/>
        </w:rPr>
        <w:t>六</w:t>
      </w:r>
      <w:r>
        <w:rPr>
          <w:rFonts w:hint="eastAsia" w:ascii="仿宋" w:hAnsi="仿宋" w:eastAsia="仿宋" w:cs="仿宋"/>
          <w:b/>
          <w:bCs w:val="0"/>
          <w:sz w:val="36"/>
          <w:szCs w:val="36"/>
          <w:highlight w:val="none"/>
          <w:lang w:eastAsia="zh-CN"/>
        </w:rPr>
        <w:t>月</w:t>
      </w:r>
    </w:p>
    <w:bookmarkEnd w:id="0"/>
    <w:p w14:paraId="4F6E7BD2">
      <w:pPr>
        <w:rPr>
          <w:rFonts w:hint="default"/>
          <w:color w:val="auto"/>
          <w:sz w:val="24"/>
          <w:szCs w:val="24"/>
          <w:highlight w:val="none"/>
        </w:rPr>
        <w:sectPr>
          <w:type w:val="continuous"/>
          <w:pgSz w:w="11905" w:h="16838"/>
          <w:pgMar w:top="1417" w:right="1417" w:bottom="1417" w:left="1417" w:header="720" w:footer="720" w:gutter="0"/>
          <w:lnNumType w:countBy="0" w:distance="360"/>
          <w:cols w:space="720" w:num="1"/>
        </w:sectPr>
      </w:pPr>
    </w:p>
    <w:p w14:paraId="28EECC0A">
      <w:pPr>
        <w:rPr>
          <w:rFonts w:hint="default"/>
          <w:color w:val="auto"/>
          <w:sz w:val="24"/>
          <w:szCs w:val="24"/>
          <w:highlight w:val="none"/>
        </w:rPr>
        <w:sectPr>
          <w:pgSz w:w="11905" w:h="16838"/>
          <w:pgMar w:top="1417" w:right="1417" w:bottom="1417" w:left="1417" w:header="720" w:footer="720" w:gutter="0"/>
          <w:lnNumType w:countBy="0" w:distance="360"/>
          <w:cols w:space="720" w:num="1"/>
        </w:sectPr>
      </w:pPr>
    </w:p>
    <w:p w14:paraId="6258746B">
      <w:pPr>
        <w:rPr>
          <w:rFonts w:hint="default"/>
          <w:color w:val="auto"/>
          <w:sz w:val="24"/>
          <w:szCs w:val="24"/>
          <w:highlight w:val="none"/>
        </w:rPr>
      </w:pPr>
    </w:p>
    <w:sdt>
      <w:sdtPr>
        <w:rPr>
          <w:rFonts w:hint="eastAsia" w:ascii="宋体" w:hAnsi="宋体" w:eastAsia="宋体" w:cs="宋体"/>
          <w:color w:val="auto"/>
          <w:sz w:val="24"/>
          <w:szCs w:val="24"/>
          <w:highlight w:val="none"/>
        </w:rPr>
        <w:id w:val="147452449"/>
        <w15:color w:val="DBDBDB"/>
        <w:docPartObj>
          <w:docPartGallery w:val="Table of Contents"/>
          <w:docPartUnique/>
        </w:docPartObj>
      </w:sdtPr>
      <w:sdtEndPr>
        <w:rPr>
          <w:rFonts w:hint="eastAsia" w:ascii="宋体" w:hAnsi="宋体" w:eastAsia="宋体" w:cs="宋体"/>
          <w:color w:val="auto"/>
          <w:sz w:val="24"/>
          <w:szCs w:val="24"/>
          <w:highlight w:val="none"/>
          <w:lang w:eastAsia="zh-CN"/>
        </w:rPr>
      </w:sdtEndPr>
      <w:sdtContent>
        <w:p w14:paraId="7E61C8E5">
          <w:pPr>
            <w:spacing w:before="0" w:beforeLines="0" w:after="0" w:afterLines="0" w:line="360" w:lineRule="auto"/>
            <w:ind w:left="0" w:leftChars="0" w:right="0" w:rightChars="0" w:firstLine="0" w:firstLineChars="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目</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录</w:t>
          </w:r>
        </w:p>
        <w:p w14:paraId="395B0A91">
          <w:pPr>
            <w:pStyle w:val="18"/>
            <w:keepNext w:val="0"/>
            <w:keepLines w:val="0"/>
            <w:pageBreakBefore w:val="0"/>
            <w:widowControl w:val="0"/>
            <w:tabs>
              <w:tab w:val="right" w:leader="dot" w:pos="9071"/>
            </w:tabs>
            <w:wordWrap/>
            <w:topLinePunct w:val="0"/>
            <w:autoSpaceDE w:val="0"/>
            <w:autoSpaceDN w:val="0"/>
            <w:bidi w:val="0"/>
            <w:adjustRightInd w:val="0"/>
            <w:snapToGrid/>
            <w:spacing w:line="360" w:lineRule="auto"/>
            <w:textAlignment w:val="auto"/>
            <w:rPr>
              <w:rFonts w:hint="eastAsia" w:ascii="宋体" w:hAnsi="宋体" w:eastAsia="宋体" w:cs="宋体"/>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TOC \o "1-3" \h \u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Cs w:val="24"/>
              <w:highlight w:val="none"/>
              <w:lang w:eastAsia="zh-CN"/>
            </w:rPr>
            <w:fldChar w:fldCharType="begin"/>
          </w:r>
          <w:r>
            <w:rPr>
              <w:rFonts w:hint="eastAsia" w:ascii="宋体" w:hAnsi="宋体" w:eastAsia="宋体" w:cs="宋体"/>
              <w:szCs w:val="24"/>
              <w:highlight w:val="none"/>
              <w:lang w:eastAsia="zh-CN"/>
            </w:rPr>
            <w:instrText xml:space="preserve"> HYPERLINK \l _Toc31759 </w:instrText>
          </w:r>
          <w:r>
            <w:rPr>
              <w:rFonts w:hint="eastAsia" w:ascii="宋体" w:hAnsi="宋体" w:eastAsia="宋体" w:cs="宋体"/>
              <w:szCs w:val="24"/>
              <w:highlight w:val="none"/>
              <w:lang w:eastAsia="zh-CN"/>
            </w:rPr>
            <w:fldChar w:fldCharType="separate"/>
          </w:r>
          <w:r>
            <w:rPr>
              <w:rFonts w:hint="eastAsia" w:ascii="宋体" w:hAnsi="宋体" w:eastAsia="宋体" w:cs="宋体"/>
              <w:szCs w:val="52"/>
              <w:highlight w:val="none"/>
            </w:rPr>
            <w:t>第一卷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_Toc31759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color w:val="auto"/>
              <w:szCs w:val="24"/>
              <w:highlight w:val="none"/>
              <w:lang w:eastAsia="zh-CN"/>
            </w:rPr>
            <w:fldChar w:fldCharType="end"/>
          </w:r>
        </w:p>
        <w:p w14:paraId="0B44FA25">
          <w:pPr>
            <w:pStyle w:val="18"/>
            <w:keepNext w:val="0"/>
            <w:keepLines w:val="0"/>
            <w:pageBreakBefore w:val="0"/>
            <w:widowControl w:val="0"/>
            <w:tabs>
              <w:tab w:val="right" w:leader="dot" w:pos="9071"/>
            </w:tabs>
            <w:wordWrap/>
            <w:topLinePunct w:val="0"/>
            <w:autoSpaceDE w:val="0"/>
            <w:autoSpaceDN w:val="0"/>
            <w:bidi w:val="0"/>
            <w:adjustRightInd w:val="0"/>
            <w:snapToGrid/>
            <w:spacing w:line="360" w:lineRule="auto"/>
            <w:textAlignment w:val="auto"/>
            <w:rPr>
              <w:rFonts w:hint="eastAsia" w:ascii="宋体" w:hAnsi="宋体" w:eastAsia="宋体" w:cs="宋体"/>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szCs w:val="24"/>
              <w:highlight w:val="none"/>
              <w:lang w:eastAsia="zh-CN"/>
            </w:rPr>
            <w:instrText xml:space="preserve"> HYPERLINK \l _Toc10150 </w:instrText>
          </w:r>
          <w:r>
            <w:rPr>
              <w:rFonts w:hint="eastAsia" w:ascii="宋体" w:hAnsi="宋体" w:eastAsia="宋体" w:cs="宋体"/>
              <w:szCs w:val="24"/>
              <w:highlight w:val="none"/>
              <w:lang w:eastAsia="zh-CN"/>
            </w:rPr>
            <w:fldChar w:fldCharType="separate"/>
          </w:r>
          <w:r>
            <w:rPr>
              <w:rFonts w:hint="eastAsia" w:ascii="宋体" w:hAnsi="宋体" w:eastAsia="宋体" w:cs="宋体"/>
              <w:szCs w:val="24"/>
              <w:highlight w:val="none"/>
            </w:rPr>
            <w:t>第一章</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招标公告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_Toc10150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color w:val="auto"/>
              <w:szCs w:val="24"/>
              <w:highlight w:val="none"/>
              <w:lang w:eastAsia="zh-CN"/>
            </w:rPr>
            <w:fldChar w:fldCharType="end"/>
          </w:r>
        </w:p>
        <w:p w14:paraId="56CA58DB">
          <w:pPr>
            <w:pStyle w:val="18"/>
            <w:keepNext w:val="0"/>
            <w:keepLines w:val="0"/>
            <w:pageBreakBefore w:val="0"/>
            <w:widowControl w:val="0"/>
            <w:tabs>
              <w:tab w:val="right" w:leader="dot" w:pos="9071"/>
            </w:tabs>
            <w:wordWrap/>
            <w:topLinePunct w:val="0"/>
            <w:autoSpaceDE w:val="0"/>
            <w:autoSpaceDN w:val="0"/>
            <w:bidi w:val="0"/>
            <w:adjustRightInd w:val="0"/>
            <w:snapToGrid/>
            <w:spacing w:line="360" w:lineRule="auto"/>
            <w:textAlignment w:val="auto"/>
            <w:rPr>
              <w:rFonts w:hint="eastAsia" w:ascii="宋体" w:hAnsi="宋体" w:eastAsia="宋体" w:cs="宋体"/>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szCs w:val="24"/>
              <w:highlight w:val="none"/>
              <w:lang w:eastAsia="zh-CN"/>
            </w:rPr>
            <w:instrText xml:space="preserve"> HYPERLINK \l _Toc31983 </w:instrText>
          </w:r>
          <w:r>
            <w:rPr>
              <w:rFonts w:hint="eastAsia" w:ascii="宋体" w:hAnsi="宋体" w:eastAsia="宋体" w:cs="宋体"/>
              <w:szCs w:val="24"/>
              <w:highlight w:val="none"/>
              <w:lang w:eastAsia="zh-CN"/>
            </w:rPr>
            <w:fldChar w:fldCharType="separate"/>
          </w:r>
          <w:r>
            <w:rPr>
              <w:rFonts w:hint="eastAsia" w:ascii="宋体" w:hAnsi="宋体" w:eastAsia="宋体" w:cs="宋体"/>
              <w:szCs w:val="24"/>
              <w:highlight w:val="none"/>
            </w:rPr>
            <w:t>第二章</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投标人须知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_Toc31983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color w:val="auto"/>
              <w:szCs w:val="24"/>
              <w:highlight w:val="none"/>
              <w:lang w:eastAsia="zh-CN"/>
            </w:rPr>
            <w:fldChar w:fldCharType="end"/>
          </w:r>
        </w:p>
        <w:p w14:paraId="0975D63A">
          <w:pPr>
            <w:pStyle w:val="18"/>
            <w:keepNext w:val="0"/>
            <w:keepLines w:val="0"/>
            <w:pageBreakBefore w:val="0"/>
            <w:widowControl w:val="0"/>
            <w:tabs>
              <w:tab w:val="right" w:leader="dot" w:pos="9071"/>
            </w:tabs>
            <w:wordWrap/>
            <w:topLinePunct w:val="0"/>
            <w:autoSpaceDE w:val="0"/>
            <w:autoSpaceDN w:val="0"/>
            <w:bidi w:val="0"/>
            <w:adjustRightInd w:val="0"/>
            <w:snapToGrid/>
            <w:spacing w:line="360" w:lineRule="auto"/>
            <w:textAlignment w:val="auto"/>
            <w:rPr>
              <w:rFonts w:hint="eastAsia" w:ascii="宋体" w:hAnsi="宋体" w:eastAsia="宋体" w:cs="宋体"/>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szCs w:val="24"/>
              <w:highlight w:val="none"/>
              <w:lang w:eastAsia="zh-CN"/>
            </w:rPr>
            <w:instrText xml:space="preserve"> HYPERLINK \l _Toc15680 </w:instrText>
          </w:r>
          <w:r>
            <w:rPr>
              <w:rFonts w:hint="eastAsia" w:ascii="宋体" w:hAnsi="宋体" w:eastAsia="宋体" w:cs="宋体"/>
              <w:szCs w:val="24"/>
              <w:highlight w:val="none"/>
              <w:lang w:eastAsia="zh-CN"/>
            </w:rPr>
            <w:fldChar w:fldCharType="separate"/>
          </w:r>
          <w:r>
            <w:rPr>
              <w:rFonts w:hint="eastAsia" w:ascii="宋体" w:hAnsi="宋体" w:eastAsia="宋体" w:cs="宋体"/>
              <w:szCs w:val="24"/>
              <w:highlight w:val="none"/>
            </w:rPr>
            <w:t>第三章</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评标办法（综合评估法）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_Toc15680 \h </w:instrText>
          </w:r>
          <w:r>
            <w:rPr>
              <w:rFonts w:hint="eastAsia" w:ascii="宋体" w:hAnsi="宋体" w:eastAsia="宋体" w:cs="宋体"/>
              <w:highlight w:val="none"/>
            </w:rPr>
            <w:fldChar w:fldCharType="separate"/>
          </w:r>
          <w:r>
            <w:rPr>
              <w:rFonts w:hint="eastAsia" w:ascii="宋体" w:hAnsi="宋体" w:eastAsia="宋体" w:cs="宋体"/>
              <w:highlight w:val="none"/>
            </w:rPr>
            <w:t>33</w:t>
          </w:r>
          <w:r>
            <w:rPr>
              <w:rFonts w:hint="eastAsia" w:ascii="宋体" w:hAnsi="宋体" w:eastAsia="宋体" w:cs="宋体"/>
              <w:highlight w:val="none"/>
            </w:rPr>
            <w:fldChar w:fldCharType="end"/>
          </w:r>
          <w:r>
            <w:rPr>
              <w:rFonts w:hint="eastAsia" w:ascii="宋体" w:hAnsi="宋体" w:eastAsia="宋体" w:cs="宋体"/>
              <w:color w:val="auto"/>
              <w:szCs w:val="24"/>
              <w:highlight w:val="none"/>
              <w:lang w:eastAsia="zh-CN"/>
            </w:rPr>
            <w:fldChar w:fldCharType="end"/>
          </w:r>
        </w:p>
        <w:p w14:paraId="7576C649">
          <w:pPr>
            <w:pStyle w:val="18"/>
            <w:keepNext w:val="0"/>
            <w:keepLines w:val="0"/>
            <w:pageBreakBefore w:val="0"/>
            <w:widowControl w:val="0"/>
            <w:tabs>
              <w:tab w:val="right" w:leader="dot" w:pos="9071"/>
            </w:tabs>
            <w:wordWrap/>
            <w:topLinePunct w:val="0"/>
            <w:autoSpaceDE w:val="0"/>
            <w:autoSpaceDN w:val="0"/>
            <w:bidi w:val="0"/>
            <w:adjustRightInd w:val="0"/>
            <w:snapToGrid/>
            <w:spacing w:line="360" w:lineRule="auto"/>
            <w:textAlignment w:val="auto"/>
            <w:rPr>
              <w:rFonts w:hint="eastAsia" w:ascii="宋体" w:hAnsi="宋体" w:eastAsia="宋体" w:cs="宋体"/>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szCs w:val="24"/>
              <w:highlight w:val="none"/>
              <w:lang w:eastAsia="zh-CN"/>
            </w:rPr>
            <w:instrText xml:space="preserve"> HYPERLINK \l _Toc8602 </w:instrText>
          </w:r>
          <w:r>
            <w:rPr>
              <w:rFonts w:hint="eastAsia" w:ascii="宋体" w:hAnsi="宋体" w:eastAsia="宋体" w:cs="宋体"/>
              <w:szCs w:val="24"/>
              <w:highlight w:val="none"/>
              <w:lang w:eastAsia="zh-CN"/>
            </w:rPr>
            <w:fldChar w:fldCharType="separate"/>
          </w:r>
          <w:r>
            <w:rPr>
              <w:rFonts w:hint="eastAsia" w:ascii="宋体" w:hAnsi="宋体" w:eastAsia="宋体" w:cs="宋体"/>
              <w:szCs w:val="24"/>
              <w:highlight w:val="none"/>
            </w:rPr>
            <w:t>第四章</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合同条款及格式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_Toc8602 \h </w:instrText>
          </w:r>
          <w:r>
            <w:rPr>
              <w:rFonts w:hint="eastAsia" w:ascii="宋体" w:hAnsi="宋体" w:eastAsia="宋体" w:cs="宋体"/>
              <w:highlight w:val="none"/>
            </w:rPr>
            <w:fldChar w:fldCharType="separate"/>
          </w:r>
          <w:r>
            <w:rPr>
              <w:rFonts w:hint="eastAsia" w:ascii="宋体" w:hAnsi="宋体" w:eastAsia="宋体" w:cs="宋体"/>
              <w:highlight w:val="none"/>
            </w:rPr>
            <w:t>43</w:t>
          </w:r>
          <w:r>
            <w:rPr>
              <w:rFonts w:hint="eastAsia" w:ascii="宋体" w:hAnsi="宋体" w:eastAsia="宋体" w:cs="宋体"/>
              <w:highlight w:val="none"/>
            </w:rPr>
            <w:fldChar w:fldCharType="end"/>
          </w:r>
          <w:r>
            <w:rPr>
              <w:rFonts w:hint="eastAsia" w:ascii="宋体" w:hAnsi="宋体" w:eastAsia="宋体" w:cs="宋体"/>
              <w:color w:val="auto"/>
              <w:szCs w:val="24"/>
              <w:highlight w:val="none"/>
              <w:lang w:eastAsia="zh-CN"/>
            </w:rPr>
            <w:fldChar w:fldCharType="end"/>
          </w:r>
        </w:p>
        <w:p w14:paraId="29A4A2CF">
          <w:pPr>
            <w:pStyle w:val="18"/>
            <w:keepNext w:val="0"/>
            <w:keepLines w:val="0"/>
            <w:pageBreakBefore w:val="0"/>
            <w:widowControl w:val="0"/>
            <w:tabs>
              <w:tab w:val="right" w:leader="dot" w:pos="9071"/>
            </w:tabs>
            <w:wordWrap/>
            <w:topLinePunct w:val="0"/>
            <w:autoSpaceDE w:val="0"/>
            <w:autoSpaceDN w:val="0"/>
            <w:bidi w:val="0"/>
            <w:adjustRightInd w:val="0"/>
            <w:snapToGrid/>
            <w:spacing w:line="360" w:lineRule="auto"/>
            <w:textAlignment w:val="auto"/>
            <w:rPr>
              <w:rFonts w:hint="eastAsia" w:ascii="宋体" w:hAnsi="宋体" w:eastAsia="宋体" w:cs="宋体"/>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szCs w:val="24"/>
              <w:highlight w:val="none"/>
              <w:lang w:eastAsia="zh-CN"/>
            </w:rPr>
            <w:instrText xml:space="preserve"> HYPERLINK \l _Toc6775 </w:instrText>
          </w:r>
          <w:r>
            <w:rPr>
              <w:rFonts w:hint="eastAsia" w:ascii="宋体" w:hAnsi="宋体" w:eastAsia="宋体" w:cs="宋体"/>
              <w:szCs w:val="24"/>
              <w:highlight w:val="none"/>
              <w:lang w:eastAsia="zh-CN"/>
            </w:rPr>
            <w:fldChar w:fldCharType="separate"/>
          </w:r>
          <w:r>
            <w:rPr>
              <w:rFonts w:hint="eastAsia" w:ascii="宋体" w:hAnsi="宋体" w:eastAsia="宋体" w:cs="宋体"/>
              <w:szCs w:val="52"/>
              <w:highlight w:val="none"/>
            </w:rPr>
            <w:t>第二卷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_Toc6775 \h </w:instrText>
          </w:r>
          <w:r>
            <w:rPr>
              <w:rFonts w:hint="eastAsia" w:ascii="宋体" w:hAnsi="宋体" w:eastAsia="宋体" w:cs="宋体"/>
              <w:highlight w:val="none"/>
            </w:rPr>
            <w:fldChar w:fldCharType="separate"/>
          </w:r>
          <w:r>
            <w:rPr>
              <w:rFonts w:hint="eastAsia" w:ascii="宋体" w:hAnsi="宋体" w:eastAsia="宋体" w:cs="宋体"/>
              <w:highlight w:val="none"/>
            </w:rPr>
            <w:t>44</w:t>
          </w:r>
          <w:r>
            <w:rPr>
              <w:rFonts w:hint="eastAsia" w:ascii="宋体" w:hAnsi="宋体" w:eastAsia="宋体" w:cs="宋体"/>
              <w:highlight w:val="none"/>
            </w:rPr>
            <w:fldChar w:fldCharType="end"/>
          </w:r>
          <w:r>
            <w:rPr>
              <w:rFonts w:hint="eastAsia" w:ascii="宋体" w:hAnsi="宋体" w:eastAsia="宋体" w:cs="宋体"/>
              <w:color w:val="auto"/>
              <w:szCs w:val="24"/>
              <w:highlight w:val="none"/>
              <w:lang w:eastAsia="zh-CN"/>
            </w:rPr>
            <w:fldChar w:fldCharType="end"/>
          </w:r>
        </w:p>
        <w:p w14:paraId="0AF493BD">
          <w:pPr>
            <w:pStyle w:val="18"/>
            <w:keepNext w:val="0"/>
            <w:keepLines w:val="0"/>
            <w:pageBreakBefore w:val="0"/>
            <w:widowControl w:val="0"/>
            <w:tabs>
              <w:tab w:val="right" w:leader="dot" w:pos="9071"/>
            </w:tabs>
            <w:wordWrap/>
            <w:topLinePunct w:val="0"/>
            <w:autoSpaceDE w:val="0"/>
            <w:autoSpaceDN w:val="0"/>
            <w:bidi w:val="0"/>
            <w:adjustRightInd w:val="0"/>
            <w:snapToGrid/>
            <w:spacing w:line="360" w:lineRule="auto"/>
            <w:textAlignment w:val="auto"/>
            <w:rPr>
              <w:rFonts w:hint="eastAsia" w:ascii="宋体" w:hAnsi="宋体" w:eastAsia="宋体" w:cs="宋体"/>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szCs w:val="24"/>
              <w:highlight w:val="none"/>
              <w:lang w:eastAsia="zh-CN"/>
            </w:rPr>
            <w:instrText xml:space="preserve"> HYPERLINK \l _Toc31665 </w:instrText>
          </w:r>
          <w:r>
            <w:rPr>
              <w:rFonts w:hint="eastAsia" w:ascii="宋体" w:hAnsi="宋体" w:eastAsia="宋体" w:cs="宋体"/>
              <w:szCs w:val="24"/>
              <w:highlight w:val="none"/>
              <w:lang w:eastAsia="zh-CN"/>
            </w:rPr>
            <w:fldChar w:fldCharType="separate"/>
          </w:r>
          <w:r>
            <w:rPr>
              <w:rFonts w:hint="eastAsia" w:ascii="宋体" w:hAnsi="宋体" w:eastAsia="宋体" w:cs="宋体"/>
              <w:szCs w:val="24"/>
              <w:highlight w:val="none"/>
            </w:rPr>
            <w:t>第五章</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委托人要求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_Toc31665 \h </w:instrText>
          </w:r>
          <w:r>
            <w:rPr>
              <w:rFonts w:hint="eastAsia" w:ascii="宋体" w:hAnsi="宋体" w:eastAsia="宋体" w:cs="宋体"/>
              <w:highlight w:val="none"/>
            </w:rPr>
            <w:fldChar w:fldCharType="separate"/>
          </w:r>
          <w:r>
            <w:rPr>
              <w:rFonts w:hint="eastAsia" w:ascii="宋体" w:hAnsi="宋体" w:eastAsia="宋体" w:cs="宋体"/>
              <w:highlight w:val="none"/>
            </w:rPr>
            <w:t>45</w:t>
          </w:r>
          <w:r>
            <w:rPr>
              <w:rFonts w:hint="eastAsia" w:ascii="宋体" w:hAnsi="宋体" w:eastAsia="宋体" w:cs="宋体"/>
              <w:highlight w:val="none"/>
            </w:rPr>
            <w:fldChar w:fldCharType="end"/>
          </w:r>
          <w:r>
            <w:rPr>
              <w:rFonts w:hint="eastAsia" w:ascii="宋体" w:hAnsi="宋体" w:eastAsia="宋体" w:cs="宋体"/>
              <w:color w:val="auto"/>
              <w:szCs w:val="24"/>
              <w:highlight w:val="none"/>
              <w:lang w:eastAsia="zh-CN"/>
            </w:rPr>
            <w:fldChar w:fldCharType="end"/>
          </w:r>
        </w:p>
        <w:p w14:paraId="285E18F1">
          <w:pPr>
            <w:pStyle w:val="18"/>
            <w:keepNext w:val="0"/>
            <w:keepLines w:val="0"/>
            <w:pageBreakBefore w:val="0"/>
            <w:widowControl w:val="0"/>
            <w:tabs>
              <w:tab w:val="right" w:leader="dot" w:pos="9071"/>
            </w:tabs>
            <w:wordWrap/>
            <w:topLinePunct w:val="0"/>
            <w:autoSpaceDE w:val="0"/>
            <w:autoSpaceDN w:val="0"/>
            <w:bidi w:val="0"/>
            <w:adjustRightInd w:val="0"/>
            <w:snapToGrid/>
            <w:spacing w:line="360" w:lineRule="auto"/>
            <w:textAlignment w:val="auto"/>
            <w:rPr>
              <w:rFonts w:hint="eastAsia" w:ascii="宋体" w:hAnsi="宋体" w:eastAsia="宋体" w:cs="宋体"/>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szCs w:val="24"/>
              <w:highlight w:val="none"/>
              <w:lang w:eastAsia="zh-CN"/>
            </w:rPr>
            <w:instrText xml:space="preserve"> HYPERLINK \l _Toc24601 </w:instrText>
          </w:r>
          <w:r>
            <w:rPr>
              <w:rFonts w:hint="eastAsia" w:ascii="宋体" w:hAnsi="宋体" w:eastAsia="宋体" w:cs="宋体"/>
              <w:szCs w:val="24"/>
              <w:highlight w:val="none"/>
              <w:lang w:eastAsia="zh-CN"/>
            </w:rPr>
            <w:fldChar w:fldCharType="separate"/>
          </w:r>
          <w:r>
            <w:rPr>
              <w:rFonts w:hint="eastAsia" w:ascii="宋体" w:hAnsi="宋体" w:eastAsia="宋体" w:cs="宋体"/>
              <w:szCs w:val="52"/>
              <w:highlight w:val="none"/>
            </w:rPr>
            <w:t>第三卷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_Toc24601 \h </w:instrText>
          </w:r>
          <w:r>
            <w:rPr>
              <w:rFonts w:hint="eastAsia" w:ascii="宋体" w:hAnsi="宋体" w:eastAsia="宋体" w:cs="宋体"/>
              <w:highlight w:val="none"/>
            </w:rPr>
            <w:fldChar w:fldCharType="separate"/>
          </w:r>
          <w:r>
            <w:rPr>
              <w:rFonts w:hint="eastAsia" w:ascii="宋体" w:hAnsi="宋体" w:eastAsia="宋体" w:cs="宋体"/>
              <w:highlight w:val="none"/>
            </w:rPr>
            <w:t>49</w:t>
          </w:r>
          <w:r>
            <w:rPr>
              <w:rFonts w:hint="eastAsia" w:ascii="宋体" w:hAnsi="宋体" w:eastAsia="宋体" w:cs="宋体"/>
              <w:highlight w:val="none"/>
            </w:rPr>
            <w:fldChar w:fldCharType="end"/>
          </w:r>
          <w:r>
            <w:rPr>
              <w:rFonts w:hint="eastAsia" w:ascii="宋体" w:hAnsi="宋体" w:eastAsia="宋体" w:cs="宋体"/>
              <w:color w:val="auto"/>
              <w:szCs w:val="24"/>
              <w:highlight w:val="none"/>
              <w:lang w:eastAsia="zh-CN"/>
            </w:rPr>
            <w:fldChar w:fldCharType="end"/>
          </w:r>
        </w:p>
        <w:p w14:paraId="4FBCA790">
          <w:pPr>
            <w:pStyle w:val="18"/>
            <w:keepNext w:val="0"/>
            <w:keepLines w:val="0"/>
            <w:pageBreakBefore w:val="0"/>
            <w:widowControl w:val="0"/>
            <w:tabs>
              <w:tab w:val="right" w:leader="dot" w:pos="9071"/>
            </w:tabs>
            <w:wordWrap/>
            <w:topLinePunct w:val="0"/>
            <w:autoSpaceDE w:val="0"/>
            <w:autoSpaceDN w:val="0"/>
            <w:bidi w:val="0"/>
            <w:adjustRightInd w:val="0"/>
            <w:snapToGrid/>
            <w:spacing w:line="360" w:lineRule="auto"/>
            <w:textAlignment w:val="auto"/>
            <w:rPr>
              <w:rFonts w:hint="eastAsia" w:ascii="宋体" w:hAnsi="宋体" w:eastAsia="宋体" w:cs="宋体"/>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szCs w:val="24"/>
              <w:highlight w:val="none"/>
              <w:lang w:eastAsia="zh-CN"/>
            </w:rPr>
            <w:instrText xml:space="preserve"> HYPERLINK \l _Toc21625 </w:instrText>
          </w:r>
          <w:r>
            <w:rPr>
              <w:rFonts w:hint="eastAsia" w:ascii="宋体" w:hAnsi="宋体" w:eastAsia="宋体" w:cs="宋体"/>
              <w:szCs w:val="24"/>
              <w:highlight w:val="none"/>
              <w:lang w:eastAsia="zh-CN"/>
            </w:rPr>
            <w:fldChar w:fldCharType="separate"/>
          </w:r>
          <w:r>
            <w:rPr>
              <w:rFonts w:hint="eastAsia" w:ascii="宋体" w:hAnsi="宋体" w:eastAsia="宋体" w:cs="宋体"/>
              <w:szCs w:val="24"/>
              <w:highlight w:val="none"/>
            </w:rPr>
            <w:t>第六章</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投标文件格式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_Toc21625 \h </w:instrText>
          </w:r>
          <w:r>
            <w:rPr>
              <w:rFonts w:hint="eastAsia" w:ascii="宋体" w:hAnsi="宋体" w:eastAsia="宋体" w:cs="宋体"/>
              <w:highlight w:val="none"/>
            </w:rPr>
            <w:fldChar w:fldCharType="separate"/>
          </w:r>
          <w:r>
            <w:rPr>
              <w:rFonts w:hint="eastAsia" w:ascii="宋体" w:hAnsi="宋体" w:eastAsia="宋体" w:cs="宋体"/>
              <w:highlight w:val="none"/>
            </w:rPr>
            <w:t>50</w:t>
          </w:r>
          <w:r>
            <w:rPr>
              <w:rFonts w:hint="eastAsia" w:ascii="宋体" w:hAnsi="宋体" w:eastAsia="宋体" w:cs="宋体"/>
              <w:highlight w:val="none"/>
            </w:rPr>
            <w:fldChar w:fldCharType="end"/>
          </w:r>
          <w:r>
            <w:rPr>
              <w:rFonts w:hint="eastAsia" w:ascii="宋体" w:hAnsi="宋体" w:eastAsia="宋体" w:cs="宋体"/>
              <w:color w:val="auto"/>
              <w:szCs w:val="24"/>
              <w:highlight w:val="none"/>
              <w:lang w:eastAsia="zh-CN"/>
            </w:rPr>
            <w:fldChar w:fldCharType="end"/>
          </w:r>
        </w:p>
        <w:p w14:paraId="68FFED4F">
          <w:pPr>
            <w:pStyle w:val="18"/>
            <w:keepNext w:val="0"/>
            <w:keepLines w:val="0"/>
            <w:pageBreakBefore w:val="0"/>
            <w:widowControl w:val="0"/>
            <w:tabs>
              <w:tab w:val="right" w:leader="dot" w:pos="9071"/>
            </w:tabs>
            <w:wordWrap/>
            <w:topLinePunct w:val="0"/>
            <w:autoSpaceDE w:val="0"/>
            <w:autoSpaceDN w:val="0"/>
            <w:bidi w:val="0"/>
            <w:adjustRightInd w:val="0"/>
            <w:snapToGrid/>
            <w:spacing w:line="360" w:lineRule="auto"/>
            <w:textAlignment w:val="auto"/>
            <w:rPr>
              <w:rFonts w:hint="eastAsia" w:ascii="宋体" w:hAnsi="宋体" w:eastAsia="宋体" w:cs="宋体"/>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szCs w:val="24"/>
              <w:highlight w:val="none"/>
              <w:lang w:eastAsia="zh-CN"/>
            </w:rPr>
            <w:instrText xml:space="preserve"> HYPERLINK \l _Toc10684 </w:instrText>
          </w:r>
          <w:r>
            <w:rPr>
              <w:rFonts w:hint="eastAsia" w:ascii="宋体" w:hAnsi="宋体" w:eastAsia="宋体" w:cs="宋体"/>
              <w:szCs w:val="24"/>
              <w:highlight w:val="none"/>
              <w:lang w:eastAsia="zh-CN"/>
            </w:rPr>
            <w:fldChar w:fldCharType="separate"/>
          </w:r>
          <w:r>
            <w:rPr>
              <w:rFonts w:hint="eastAsia" w:ascii="宋体" w:hAnsi="宋体" w:eastAsia="宋体" w:cs="宋体"/>
              <w:szCs w:val="44"/>
              <w:highlight w:val="none"/>
              <w:lang w:val="en-US" w:eastAsia="zh-CN"/>
            </w:rPr>
            <w:t xml:space="preserve">第七章 </w:t>
          </w:r>
          <w:r>
            <w:rPr>
              <w:rFonts w:hint="eastAsia" w:ascii="宋体" w:hAnsi="宋体" w:eastAsia="宋体" w:cs="宋体"/>
              <w:szCs w:val="44"/>
              <w:highlight w:val="none"/>
            </w:rPr>
            <w:t>投标人须知前附表规定的其他资料。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_Toc10684 \h </w:instrText>
          </w:r>
          <w:r>
            <w:rPr>
              <w:rFonts w:hint="eastAsia" w:ascii="宋体" w:hAnsi="宋体" w:eastAsia="宋体" w:cs="宋体"/>
              <w:highlight w:val="none"/>
            </w:rPr>
            <w:fldChar w:fldCharType="separate"/>
          </w:r>
          <w:r>
            <w:rPr>
              <w:rFonts w:hint="eastAsia" w:ascii="宋体" w:hAnsi="宋体" w:eastAsia="宋体" w:cs="宋体"/>
              <w:highlight w:val="none"/>
            </w:rPr>
            <w:t>75</w:t>
          </w:r>
          <w:r>
            <w:rPr>
              <w:rFonts w:hint="eastAsia" w:ascii="宋体" w:hAnsi="宋体" w:eastAsia="宋体" w:cs="宋体"/>
              <w:highlight w:val="none"/>
            </w:rPr>
            <w:fldChar w:fldCharType="end"/>
          </w:r>
          <w:r>
            <w:rPr>
              <w:rFonts w:hint="eastAsia" w:ascii="宋体" w:hAnsi="宋体" w:eastAsia="宋体" w:cs="宋体"/>
              <w:color w:val="auto"/>
              <w:szCs w:val="24"/>
              <w:highlight w:val="none"/>
              <w:lang w:eastAsia="zh-CN"/>
            </w:rPr>
            <w:fldChar w:fldCharType="end"/>
          </w:r>
        </w:p>
        <w:p w14:paraId="095AD686">
          <w:pPr>
            <w:pStyle w:val="18"/>
            <w:keepNext w:val="0"/>
            <w:keepLines w:val="0"/>
            <w:pageBreakBefore w:val="0"/>
            <w:widowControl w:val="0"/>
            <w:tabs>
              <w:tab w:val="right" w:leader="dot" w:pos="9071"/>
            </w:tabs>
            <w:wordWrap/>
            <w:topLinePunct w:val="0"/>
            <w:autoSpaceDE w:val="0"/>
            <w:autoSpaceDN w:val="0"/>
            <w:bidi w:val="0"/>
            <w:adjustRightInd w:val="0"/>
            <w:snapToGrid/>
            <w:spacing w:line="360" w:lineRule="auto"/>
            <w:textAlignment w:val="auto"/>
            <w:rPr>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szCs w:val="24"/>
              <w:highlight w:val="none"/>
              <w:lang w:eastAsia="zh-CN"/>
            </w:rPr>
            <w:instrText xml:space="preserve"> HYPERLINK \l _Toc12023 </w:instrText>
          </w:r>
          <w:r>
            <w:rPr>
              <w:rFonts w:hint="eastAsia" w:ascii="宋体" w:hAnsi="宋体" w:eastAsia="宋体" w:cs="宋体"/>
              <w:szCs w:val="24"/>
              <w:highlight w:val="none"/>
              <w:lang w:eastAsia="zh-CN"/>
            </w:rPr>
            <w:fldChar w:fldCharType="separate"/>
          </w:r>
          <w:r>
            <w:rPr>
              <w:rFonts w:hint="eastAsia" w:ascii="宋体" w:hAnsi="宋体" w:eastAsia="宋体" w:cs="宋体"/>
              <w:szCs w:val="44"/>
              <w:highlight w:val="none"/>
              <w:lang w:val="en-US" w:eastAsia="zh-CN"/>
            </w:rPr>
            <w:t>第八章 否决性条款汇总</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_Toc12023 \h </w:instrText>
          </w:r>
          <w:r>
            <w:rPr>
              <w:rFonts w:hint="eastAsia" w:ascii="宋体" w:hAnsi="宋体" w:eastAsia="宋体" w:cs="宋体"/>
              <w:highlight w:val="none"/>
            </w:rPr>
            <w:fldChar w:fldCharType="separate"/>
          </w:r>
          <w:r>
            <w:rPr>
              <w:rFonts w:hint="eastAsia" w:ascii="宋体" w:hAnsi="宋体" w:eastAsia="宋体" w:cs="宋体"/>
              <w:highlight w:val="none"/>
            </w:rPr>
            <w:t>76</w:t>
          </w:r>
          <w:r>
            <w:rPr>
              <w:rFonts w:hint="eastAsia" w:ascii="宋体" w:hAnsi="宋体" w:eastAsia="宋体" w:cs="宋体"/>
              <w:highlight w:val="none"/>
            </w:rPr>
            <w:fldChar w:fldCharType="end"/>
          </w:r>
          <w:r>
            <w:rPr>
              <w:rFonts w:hint="eastAsia" w:ascii="宋体" w:hAnsi="宋体" w:eastAsia="宋体" w:cs="宋体"/>
              <w:color w:val="auto"/>
              <w:szCs w:val="24"/>
              <w:highlight w:val="none"/>
              <w:lang w:eastAsia="zh-CN"/>
            </w:rPr>
            <w:fldChar w:fldCharType="end"/>
          </w:r>
        </w:p>
        <w:p w14:paraId="2BF0143A">
          <w:pPr>
            <w:pStyle w:val="11"/>
            <w:keepNext w:val="0"/>
            <w:keepLines w:val="0"/>
            <w:pageBreakBefore w:val="0"/>
            <w:widowControl w:val="0"/>
            <w:tabs>
              <w:tab w:val="right" w:leader="dot" w:pos="8714"/>
            </w:tabs>
            <w:kinsoku w:val="0"/>
            <w:wordWrap/>
            <w:overflowPunct w:val="0"/>
            <w:topLinePunct w:val="0"/>
            <w:autoSpaceDE w:val="0"/>
            <w:autoSpaceDN w:val="0"/>
            <w:bidi w:val="0"/>
            <w:adjustRightInd w:val="0"/>
            <w:snapToGrid/>
            <w:spacing w:line="360" w:lineRule="auto"/>
            <w:ind w:lef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Cs w:val="24"/>
              <w:highlight w:val="none"/>
              <w:lang w:eastAsia="zh-CN"/>
            </w:rPr>
            <w:fldChar w:fldCharType="end"/>
          </w:r>
        </w:p>
      </w:sdtContent>
    </w:sdt>
    <w:p w14:paraId="411D2655">
      <w:pPr>
        <w:pStyle w:val="40"/>
        <w:keepNext w:val="0"/>
        <w:keepLines w:val="0"/>
        <w:pageBreakBefore w:val="0"/>
        <w:widowControl/>
        <w:tabs>
          <w:tab w:val="right" w:leader="dot" w:pos="9071"/>
        </w:tabs>
        <w:kinsoku/>
        <w:wordWrap/>
        <w:overflowPunct/>
        <w:topLinePunct w:val="0"/>
        <w:autoSpaceDE/>
        <w:autoSpaceDN/>
        <w:bidi w:val="0"/>
        <w:adjustRightInd/>
        <w:snapToGrid/>
        <w:ind w:left="720" w:leftChars="300"/>
        <w:textAlignment w:val="auto"/>
        <w:rPr>
          <w:rFonts w:hint="eastAsia" w:ascii="宋体" w:hAnsi="宋体" w:eastAsia="宋体" w:cs="宋体"/>
          <w:color w:val="auto"/>
          <w:sz w:val="24"/>
          <w:szCs w:val="24"/>
          <w:highlight w:val="none"/>
          <w:lang w:eastAsia="zh-CN"/>
        </w:rPr>
      </w:pPr>
    </w:p>
    <w:p w14:paraId="21C8573B">
      <w:pPr>
        <w:pStyle w:val="11"/>
        <w:tabs>
          <w:tab w:val="right" w:leader="dot" w:pos="8714"/>
        </w:tabs>
        <w:kinsoku w:val="0"/>
        <w:overflowPunct w:val="0"/>
        <w:spacing w:line="288" w:lineRule="exact"/>
        <w:ind w:left="0"/>
        <w:jc w:val="center"/>
        <w:rPr>
          <w:rFonts w:hint="default" w:hAnsi="Calibri"/>
          <w:color w:val="auto"/>
          <w:sz w:val="21"/>
          <w:szCs w:val="24"/>
          <w:highlight w:val="none"/>
          <w:lang w:eastAsia="zh-CN"/>
        </w:rPr>
        <w:sectPr>
          <w:pgSz w:w="11905" w:h="16838"/>
          <w:pgMar w:top="1417" w:right="1417" w:bottom="1417" w:left="1417" w:header="720" w:footer="720" w:gutter="0"/>
          <w:lnNumType w:countBy="0" w:distance="360"/>
          <w:cols w:space="720" w:num="1"/>
        </w:sectPr>
      </w:pPr>
    </w:p>
    <w:p w14:paraId="2F0327D8">
      <w:pPr>
        <w:pStyle w:val="11"/>
        <w:tabs>
          <w:tab w:val="right" w:leader="dot" w:pos="8714"/>
        </w:tabs>
        <w:kinsoku w:val="0"/>
        <w:overflowPunct w:val="0"/>
        <w:spacing w:line="288" w:lineRule="exact"/>
        <w:ind w:left="0"/>
        <w:jc w:val="center"/>
        <w:rPr>
          <w:rFonts w:hint="default" w:hAnsi="Calibri"/>
          <w:color w:val="auto"/>
          <w:sz w:val="21"/>
          <w:szCs w:val="24"/>
          <w:highlight w:val="none"/>
          <w:lang w:eastAsia="zh-CN"/>
        </w:rPr>
        <w:sectPr>
          <w:pgSz w:w="11905" w:h="16838"/>
          <w:pgMar w:top="1417" w:right="1417" w:bottom="1417" w:left="1417" w:header="720" w:footer="720" w:gutter="0"/>
          <w:lnNumType w:countBy="0" w:distance="360"/>
          <w:cols w:space="720" w:num="1"/>
        </w:sectPr>
      </w:pPr>
    </w:p>
    <w:p w14:paraId="04E7EE6D">
      <w:pPr>
        <w:pStyle w:val="2"/>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z w:val="52"/>
          <w:szCs w:val="52"/>
          <w:highlight w:val="none"/>
        </w:rPr>
      </w:pPr>
      <w:bookmarkStart w:id="1" w:name="bookmark0"/>
      <w:bookmarkEnd w:id="1"/>
      <w:bookmarkStart w:id="2" w:name="_Toc31759"/>
      <w:r>
        <w:rPr>
          <w:rFonts w:hint="eastAsia"/>
          <w:color w:val="auto"/>
          <w:sz w:val="52"/>
          <w:szCs w:val="52"/>
          <w:highlight w:val="none"/>
        </w:rPr>
        <w:t>第一卷</w:t>
      </w:r>
      <w:bookmarkEnd w:id="2"/>
    </w:p>
    <w:p w14:paraId="3CF64BD6">
      <w:pPr>
        <w:pStyle w:val="2"/>
        <w:keepNext w:val="0"/>
        <w:keepLines w:val="0"/>
        <w:pageBreakBefore w:val="0"/>
        <w:widowControl w:val="0"/>
        <w:kinsoku w:val="0"/>
        <w:wordWrap/>
        <w:overflowPunct w:val="0"/>
        <w:topLinePunct w:val="0"/>
        <w:autoSpaceDE w:val="0"/>
        <w:autoSpaceDN w:val="0"/>
        <w:bidi w:val="0"/>
        <w:adjustRightInd w:val="0"/>
        <w:snapToGrid/>
        <w:spacing w:before="0" w:beforeLines="2200"/>
        <w:ind w:left="6" w:right="1"/>
        <w:textAlignment w:val="auto"/>
        <w:outlineLvl w:val="9"/>
        <w:rPr>
          <w:rFonts w:hint="eastAsia"/>
          <w:b w:val="0"/>
          <w:color w:val="auto"/>
          <w:sz w:val="44"/>
          <w:szCs w:val="24"/>
          <w:highlight w:val="none"/>
        </w:rPr>
        <w:sectPr>
          <w:footerReference r:id="rId3" w:type="default"/>
          <w:pgSz w:w="11905" w:h="16838"/>
          <w:pgMar w:top="1417" w:right="1417" w:bottom="1417" w:left="1417" w:header="720" w:footer="720" w:gutter="0"/>
          <w:lnNumType w:countBy="0" w:distance="360"/>
          <w:pgNumType w:fmt="decimal" w:start="1"/>
          <w:cols w:space="720" w:num="1"/>
        </w:sectPr>
      </w:pPr>
    </w:p>
    <w:p w14:paraId="0C7C1A52">
      <w:pPr>
        <w:pStyle w:val="3"/>
        <w:outlineLvl w:val="0"/>
        <w:rPr>
          <w:rFonts w:hint="default" w:cs="宋体"/>
          <w:color w:val="auto"/>
          <w:sz w:val="44"/>
          <w:szCs w:val="24"/>
          <w:highlight w:val="none"/>
        </w:rPr>
      </w:pPr>
      <w:bookmarkStart w:id="3" w:name="bookmark1"/>
      <w:bookmarkEnd w:id="3"/>
      <w:bookmarkStart w:id="4" w:name="_Toc10150"/>
      <w:r>
        <w:rPr>
          <w:rFonts w:hint="default" w:cs="宋体"/>
          <w:color w:val="auto"/>
          <w:sz w:val="44"/>
          <w:szCs w:val="24"/>
          <w:highlight w:val="none"/>
        </w:rPr>
        <w:t>第一章</w:t>
      </w:r>
      <w:r>
        <w:rPr>
          <w:rFonts w:hint="default" w:cs="宋体"/>
          <w:color w:val="auto"/>
          <w:sz w:val="44"/>
          <w:szCs w:val="24"/>
          <w:highlight w:val="none"/>
          <w:lang w:val="en-US" w:eastAsia="zh-CN"/>
        </w:rPr>
        <w:t xml:space="preserve"> </w:t>
      </w:r>
      <w:r>
        <w:rPr>
          <w:rFonts w:hint="default" w:cs="宋体"/>
          <w:color w:val="auto"/>
          <w:sz w:val="44"/>
          <w:szCs w:val="24"/>
          <w:highlight w:val="none"/>
        </w:rPr>
        <w:t>招标公告</w:t>
      </w:r>
      <w:bookmarkEnd w:id="4"/>
    </w:p>
    <w:p w14:paraId="753DC480">
      <w:pPr>
        <w:pStyle w:val="11"/>
        <w:kinsoku w:val="0"/>
        <w:overflowPunct w:val="0"/>
        <w:ind w:left="0"/>
        <w:rPr>
          <w:rFonts w:hint="default"/>
          <w:color w:val="auto"/>
          <w:sz w:val="20"/>
          <w:szCs w:val="24"/>
          <w:highlight w:val="none"/>
        </w:rPr>
      </w:pPr>
    </w:p>
    <w:p w14:paraId="03E2CF11">
      <w:pPr>
        <w:pStyle w:val="4"/>
        <w:keepNext w:val="0"/>
        <w:keepLines w:val="0"/>
        <w:pageBreakBefore w:val="0"/>
        <w:wordWrap/>
        <w:bidi w:val="0"/>
        <w:spacing w:line="360" w:lineRule="auto"/>
        <w:textAlignment w:val="auto"/>
        <w:outlineLvl w:val="1"/>
        <w:rPr>
          <w:rFonts w:hint="eastAsia" w:ascii="Microsoft JhengHei" w:eastAsia="Microsoft JhengHei"/>
          <w:b w:val="0"/>
          <w:color w:val="auto"/>
          <w:sz w:val="24"/>
          <w:szCs w:val="24"/>
          <w:highlight w:val="none"/>
        </w:rPr>
      </w:pPr>
      <w:bookmarkStart w:id="5" w:name="bookmark2"/>
      <w:bookmarkEnd w:id="5"/>
      <w:bookmarkStart w:id="6" w:name="_Toc5169"/>
      <w:bookmarkStart w:id="7" w:name="_Toc19923"/>
      <w:r>
        <w:rPr>
          <w:rFonts w:hint="default" w:cs="宋体"/>
          <w:color w:val="auto"/>
          <w:sz w:val="24"/>
          <w:szCs w:val="24"/>
          <w:highlight w:val="none"/>
        </w:rPr>
        <w:t>1.招标条件</w:t>
      </w:r>
      <w:bookmarkEnd w:id="6"/>
      <w:bookmarkEnd w:id="7"/>
    </w:p>
    <w:p w14:paraId="0B94EDC9">
      <w:pPr>
        <w:pStyle w:val="11"/>
        <w:keepNext w:val="0"/>
        <w:keepLines w:val="0"/>
        <w:pageBreakBefore w:val="0"/>
        <w:tabs>
          <w:tab w:val="left" w:pos="1343"/>
          <w:tab w:val="left" w:pos="2697"/>
          <w:tab w:val="left" w:pos="3264"/>
          <w:tab w:val="left" w:pos="4896"/>
          <w:tab w:val="left" w:pos="6005"/>
          <w:tab w:val="left" w:pos="7085"/>
          <w:tab w:val="left" w:pos="7498"/>
        </w:tabs>
        <w:kinsoku w:val="0"/>
        <w:wordWrap/>
        <w:overflowPunct w:val="0"/>
        <w:bidi w:val="0"/>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rPr>
        <w:t>石井河海军桥至拦河枢纽段一河两岸水环境提升工程</w:t>
      </w:r>
      <w:r>
        <w:rPr>
          <w:rFonts w:hint="eastAsia" w:ascii="宋体" w:hAnsi="宋体" w:eastAsia="宋体" w:cs="宋体"/>
          <w:color w:val="auto"/>
          <w:spacing w:val="-1"/>
          <w:sz w:val="24"/>
          <w:szCs w:val="24"/>
          <w:highlight w:val="none"/>
        </w:rPr>
        <w:t>已由</w:t>
      </w:r>
      <w:r>
        <w:rPr>
          <w:rFonts w:hint="eastAsia" w:cs="宋体"/>
          <w:color w:val="auto"/>
          <w:spacing w:val="-1"/>
          <w:sz w:val="24"/>
          <w:szCs w:val="24"/>
          <w:highlight w:val="none"/>
          <w:u w:val="single"/>
          <w:lang w:val="en-US" w:eastAsia="zh-CN"/>
        </w:rPr>
        <w:t>广州市白云区发展和改革局</w:t>
      </w:r>
      <w:r>
        <w:rPr>
          <w:rFonts w:hint="eastAsia" w:ascii="宋体" w:hAnsi="宋体" w:eastAsia="宋体" w:cs="宋体"/>
          <w:color w:val="auto"/>
          <w:spacing w:val="-5"/>
          <w:sz w:val="24"/>
          <w:szCs w:val="24"/>
          <w:highlight w:val="none"/>
        </w:rPr>
        <w:t>以</w:t>
      </w:r>
      <w:r>
        <w:rPr>
          <w:rFonts w:hint="eastAsia" w:ascii="宋体" w:hAnsi="宋体" w:eastAsia="宋体" w:cs="宋体"/>
          <w:color w:val="auto"/>
          <w:spacing w:val="-5"/>
          <w:sz w:val="24"/>
          <w:szCs w:val="24"/>
          <w:highlight w:val="none"/>
          <w:u w:val="single"/>
          <w:lang w:val="en-US" w:eastAsia="zh-CN"/>
        </w:rPr>
        <w:t>穗白发改投批【2025】32号文</w:t>
      </w:r>
      <w:r>
        <w:rPr>
          <w:rFonts w:hint="eastAsia" w:ascii="宋体" w:hAnsi="宋体" w:eastAsia="宋体" w:cs="宋体"/>
          <w:color w:val="auto"/>
          <w:spacing w:val="-4"/>
          <w:sz w:val="24"/>
          <w:szCs w:val="24"/>
          <w:highlight w:val="none"/>
        </w:rPr>
        <w:t>批准建设，项目业主为</w:t>
      </w:r>
      <w:r>
        <w:rPr>
          <w:rFonts w:hint="eastAsia" w:ascii="宋体" w:hAnsi="宋体" w:eastAsia="宋体" w:cs="宋体"/>
          <w:color w:val="auto"/>
          <w:spacing w:val="-4"/>
          <w:sz w:val="24"/>
          <w:szCs w:val="24"/>
          <w:highlight w:val="none"/>
          <w:u w:val="single"/>
          <w:lang w:val="en-US" w:eastAsia="zh-CN"/>
        </w:rPr>
        <w:t>广州市白云区水务工程建设管理中心</w:t>
      </w:r>
      <w:r>
        <w:rPr>
          <w:rFonts w:hint="eastAsia" w:ascii="宋体" w:hAnsi="宋体" w:eastAsia="宋体" w:cs="宋体"/>
          <w:color w:val="auto"/>
          <w:spacing w:val="-4"/>
          <w:sz w:val="24"/>
          <w:szCs w:val="24"/>
          <w:highlight w:val="none"/>
        </w:rPr>
        <w:t>，建设资金来</w:t>
      </w:r>
      <w:r>
        <w:rPr>
          <w:rFonts w:hint="eastAsia" w:ascii="宋体" w:hAnsi="宋体" w:eastAsia="宋体" w:cs="宋体"/>
          <w:color w:val="auto"/>
          <w:spacing w:val="-97"/>
          <w:sz w:val="24"/>
          <w:szCs w:val="24"/>
          <w:highlight w:val="none"/>
        </w:rPr>
        <w:t xml:space="preserve"> </w:t>
      </w:r>
      <w:r>
        <w:rPr>
          <w:rFonts w:hint="eastAsia" w:ascii="宋体" w:hAnsi="宋体" w:eastAsia="宋体" w:cs="宋体"/>
          <w:color w:val="auto"/>
          <w:spacing w:val="-1"/>
          <w:sz w:val="24"/>
          <w:szCs w:val="24"/>
          <w:highlight w:val="none"/>
        </w:rPr>
        <w:t>自</w:t>
      </w:r>
      <w:r>
        <w:rPr>
          <w:rFonts w:hint="eastAsia" w:ascii="宋体" w:hAnsi="宋体" w:eastAsia="宋体" w:cs="宋体"/>
          <w:color w:val="auto"/>
          <w:spacing w:val="-1"/>
          <w:sz w:val="24"/>
          <w:szCs w:val="24"/>
          <w:highlight w:val="none"/>
          <w:u w:val="single"/>
          <w:lang w:val="en-US" w:eastAsia="zh-CN"/>
        </w:rPr>
        <w:t>区财政资金</w:t>
      </w:r>
      <w:r>
        <w:rPr>
          <w:rFonts w:hint="eastAsia" w:ascii="宋体" w:hAnsi="宋体" w:eastAsia="宋体" w:cs="宋体"/>
          <w:color w:val="auto"/>
          <w:spacing w:val="-12"/>
          <w:sz w:val="24"/>
          <w:szCs w:val="24"/>
          <w:highlight w:val="none"/>
        </w:rPr>
        <w:t>，出资比例为</w:t>
      </w:r>
      <w:r>
        <w:rPr>
          <w:rFonts w:hint="eastAsia" w:ascii="宋体" w:hAnsi="宋体" w:eastAsia="宋体" w:cs="宋体"/>
          <w:color w:val="auto"/>
          <w:spacing w:val="-12"/>
          <w:sz w:val="24"/>
          <w:szCs w:val="24"/>
          <w:highlight w:val="none"/>
          <w:u w:val="single"/>
          <w:lang w:val="en-US" w:eastAsia="zh-CN"/>
        </w:rPr>
        <w:t>100%</w:t>
      </w:r>
      <w:r>
        <w:rPr>
          <w:rFonts w:hint="eastAsia" w:ascii="宋体" w:hAnsi="宋体" w:eastAsia="宋体" w:cs="宋体"/>
          <w:color w:val="auto"/>
          <w:spacing w:val="-6"/>
          <w:sz w:val="24"/>
          <w:szCs w:val="24"/>
          <w:highlight w:val="none"/>
        </w:rPr>
        <w:t>，招标人为</w:t>
      </w:r>
      <w:r>
        <w:rPr>
          <w:rFonts w:hint="eastAsia" w:ascii="宋体" w:hAnsi="宋体" w:eastAsia="宋体" w:cs="宋体"/>
          <w:color w:val="auto"/>
          <w:spacing w:val="-6"/>
          <w:sz w:val="24"/>
          <w:szCs w:val="24"/>
          <w:highlight w:val="none"/>
          <w:u w:val="single"/>
        </w:rPr>
        <w:t>广州市白云区水务工程建设管理中心</w:t>
      </w:r>
      <w:r>
        <w:rPr>
          <w:rFonts w:hint="eastAsia" w:ascii="宋体" w:hAnsi="宋体" w:eastAsia="宋体" w:cs="宋体"/>
          <w:color w:val="auto"/>
          <w:spacing w:val="-4"/>
          <w:sz w:val="24"/>
          <w:szCs w:val="24"/>
          <w:highlight w:val="none"/>
        </w:rPr>
        <w:t>。项目已具备招标</w:t>
      </w:r>
      <w:r>
        <w:rPr>
          <w:rFonts w:hint="eastAsia" w:ascii="宋体" w:hAnsi="宋体" w:eastAsia="宋体" w:cs="宋体"/>
          <w:color w:val="auto"/>
          <w:spacing w:val="-95"/>
          <w:sz w:val="24"/>
          <w:szCs w:val="24"/>
          <w:highlight w:val="none"/>
        </w:rPr>
        <w:t xml:space="preserve"> </w:t>
      </w:r>
      <w:r>
        <w:rPr>
          <w:rFonts w:hint="eastAsia" w:ascii="宋体" w:hAnsi="宋体" w:eastAsia="宋体" w:cs="宋体"/>
          <w:color w:val="auto"/>
          <w:sz w:val="24"/>
          <w:szCs w:val="24"/>
          <w:highlight w:val="none"/>
        </w:rPr>
        <w:t>条件，现对该项目的监理进行公开招标。</w:t>
      </w:r>
    </w:p>
    <w:p w14:paraId="514AB503">
      <w:pPr>
        <w:pStyle w:val="4"/>
        <w:keepNext w:val="0"/>
        <w:keepLines w:val="0"/>
        <w:pageBreakBefore w:val="0"/>
        <w:wordWrap/>
        <w:bidi w:val="0"/>
        <w:spacing w:line="360" w:lineRule="auto"/>
        <w:textAlignment w:val="auto"/>
        <w:outlineLvl w:val="1"/>
        <w:rPr>
          <w:rFonts w:hint="default" w:cs="宋体"/>
          <w:color w:val="auto"/>
          <w:sz w:val="24"/>
          <w:szCs w:val="24"/>
          <w:highlight w:val="none"/>
        </w:rPr>
      </w:pPr>
      <w:bookmarkStart w:id="8" w:name="bookmark3"/>
      <w:bookmarkEnd w:id="8"/>
      <w:bookmarkStart w:id="9" w:name="_Toc9699"/>
      <w:bookmarkStart w:id="10" w:name="_Toc32523"/>
      <w:r>
        <w:rPr>
          <w:rFonts w:hint="default" w:cs="宋体"/>
          <w:color w:val="auto"/>
          <w:sz w:val="24"/>
          <w:szCs w:val="24"/>
          <w:highlight w:val="none"/>
        </w:rPr>
        <w:t>2.项目概况与招标范围</w:t>
      </w:r>
      <w:bookmarkEnd w:id="9"/>
      <w:bookmarkEnd w:id="10"/>
    </w:p>
    <w:p w14:paraId="141B2B0D">
      <w:pPr>
        <w:keepNext w:val="0"/>
        <w:keepLines w:val="0"/>
        <w:pageBreakBefore w:val="0"/>
        <w:tabs>
          <w:tab w:val="left" w:pos="7513"/>
        </w:tabs>
        <w:wordWrap/>
        <w:bidi w:val="0"/>
        <w:spacing w:line="360" w:lineRule="auto"/>
        <w:ind w:firstLine="240" w:firstLineChars="100"/>
        <w:textAlignment w:val="auto"/>
        <w:outlineLvl w:val="2"/>
        <w:rPr>
          <w:rFonts w:hint="default" w:ascii="宋体" w:hAnsi="宋体" w:eastAsia="宋体"/>
          <w:color w:val="auto"/>
          <w:sz w:val="24"/>
          <w:szCs w:val="24"/>
          <w:highlight w:val="none"/>
        </w:rPr>
      </w:pPr>
      <w:bookmarkStart w:id="11" w:name="_Toc11676"/>
      <w:bookmarkStart w:id="12" w:name="_Toc20255"/>
      <w:bookmarkStart w:id="13" w:name="_Toc17345"/>
      <w:r>
        <w:rPr>
          <w:rFonts w:hint="default" w:ascii="宋体" w:hAnsi="宋体" w:eastAsia="宋体"/>
          <w:color w:val="auto"/>
          <w:sz w:val="24"/>
          <w:szCs w:val="24"/>
          <w:highlight w:val="none"/>
        </w:rPr>
        <w:t>2.1</w:t>
      </w:r>
      <w:r>
        <w:rPr>
          <w:rFonts w:hint="eastAsia" w:ascii="宋体" w:hAnsi="宋体"/>
          <w:color w:val="auto"/>
          <w:sz w:val="24"/>
          <w:szCs w:val="24"/>
          <w:highlight w:val="none"/>
          <w:lang w:val="en-US" w:eastAsia="zh-CN"/>
        </w:rPr>
        <w:t xml:space="preserve"> </w:t>
      </w:r>
      <w:r>
        <w:rPr>
          <w:rFonts w:hint="default" w:ascii="宋体" w:hAnsi="宋体" w:eastAsia="宋体"/>
          <w:color w:val="auto"/>
          <w:sz w:val="24"/>
          <w:szCs w:val="24"/>
          <w:highlight w:val="none"/>
        </w:rPr>
        <w:t>招标项目概况</w:t>
      </w:r>
      <w:bookmarkEnd w:id="11"/>
      <w:bookmarkEnd w:id="12"/>
      <w:bookmarkEnd w:id="13"/>
    </w:p>
    <w:p w14:paraId="27706848">
      <w:pPr>
        <w:keepNext w:val="0"/>
        <w:keepLines w:val="0"/>
        <w:pageBreakBefore w:val="0"/>
        <w:tabs>
          <w:tab w:val="left" w:pos="7513"/>
        </w:tabs>
        <w:wordWrap/>
        <w:bidi w:val="0"/>
        <w:spacing w:line="360" w:lineRule="auto"/>
        <w:ind w:firstLine="480" w:firstLineChars="200"/>
        <w:textAlignment w:val="auto"/>
        <w:rPr>
          <w:rFonts w:hint="default" w:ascii="宋体" w:hAnsi="宋体" w:eastAsia="宋体" w:cs="宋体"/>
          <w:color w:val="auto"/>
          <w:sz w:val="24"/>
          <w:szCs w:val="24"/>
          <w:highlight w:val="none"/>
          <w:lang w:eastAsia="zh-CN"/>
        </w:rPr>
      </w:pPr>
      <w:r>
        <w:rPr>
          <w:rFonts w:hint="default" w:ascii="宋体" w:hAnsi="宋体" w:eastAsia="宋体"/>
          <w:color w:val="auto"/>
          <w:sz w:val="24"/>
          <w:szCs w:val="24"/>
          <w:highlight w:val="none"/>
        </w:rPr>
        <w:t>2.1.1招标项目名称：</w:t>
      </w:r>
      <w:r>
        <w:rPr>
          <w:rFonts w:hint="default" w:ascii="宋体" w:hAnsi="宋体" w:eastAsia="宋体"/>
          <w:color w:val="auto"/>
          <w:sz w:val="24"/>
          <w:szCs w:val="24"/>
          <w:highlight w:val="none"/>
          <w:u w:val="single"/>
          <w:lang w:val="en-US" w:eastAsia="zh-CN"/>
        </w:rPr>
        <w:t>石井河海军桥至拦河枢纽段一河两岸水环境提升工程施工监理</w:t>
      </w:r>
      <w:r>
        <w:rPr>
          <w:rFonts w:hint="default" w:ascii="宋体" w:hAnsi="宋体" w:eastAsia="宋体"/>
          <w:color w:val="auto"/>
          <w:sz w:val="24"/>
          <w:szCs w:val="24"/>
          <w:highlight w:val="none"/>
          <w:lang w:val="en-US" w:eastAsia="zh-CN"/>
        </w:rPr>
        <w:t xml:space="preserve"> </w:t>
      </w:r>
    </w:p>
    <w:p w14:paraId="555CBC05">
      <w:pPr>
        <w:keepNext w:val="0"/>
        <w:keepLines w:val="0"/>
        <w:pageBreakBefore w:val="0"/>
        <w:tabs>
          <w:tab w:val="left" w:pos="7513"/>
        </w:tabs>
        <w:wordWrap/>
        <w:bidi w:val="0"/>
        <w:spacing w:line="360" w:lineRule="auto"/>
        <w:ind w:firstLine="424" w:firstLineChars="177"/>
        <w:textAlignment w:val="auto"/>
        <w:rPr>
          <w:rFonts w:hint="default" w:ascii="宋体" w:hAnsi="宋体" w:eastAsia="宋体" w:cs="宋体"/>
          <w:color w:val="auto"/>
          <w:sz w:val="24"/>
          <w:szCs w:val="24"/>
          <w:highlight w:val="none"/>
          <w:lang w:eastAsia="zh-CN"/>
        </w:rPr>
      </w:pPr>
      <w:r>
        <w:rPr>
          <w:rFonts w:hint="default" w:ascii="宋体" w:hAnsi="宋体" w:eastAsia="宋体"/>
          <w:color w:val="auto"/>
          <w:sz w:val="24"/>
          <w:szCs w:val="24"/>
          <w:highlight w:val="none"/>
        </w:rPr>
        <w:t>2.1.2工程建设地点：</w:t>
      </w:r>
      <w:r>
        <w:rPr>
          <w:rFonts w:hint="eastAsia" w:ascii="宋体" w:hAnsi="宋体"/>
          <w:color w:val="auto"/>
          <w:sz w:val="24"/>
          <w:szCs w:val="24"/>
          <w:highlight w:val="none"/>
          <w:u w:val="single"/>
          <w:lang w:val="en-US" w:eastAsia="zh-CN"/>
        </w:rPr>
        <w:t>广州市白云区松洲街、同德街、石井街、白云湖街</w:t>
      </w:r>
    </w:p>
    <w:p w14:paraId="61510E31">
      <w:pPr>
        <w:keepNext w:val="0"/>
        <w:keepLines w:val="0"/>
        <w:pageBreakBefore w:val="0"/>
        <w:tabs>
          <w:tab w:val="left" w:pos="7513"/>
        </w:tabs>
        <w:wordWrap/>
        <w:bidi w:val="0"/>
        <w:spacing w:line="360" w:lineRule="auto"/>
        <w:ind w:firstLine="424" w:firstLineChars="177"/>
        <w:jc w:val="both"/>
        <w:textAlignment w:val="auto"/>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rPr>
        <w:t>2.1.3工程建设规模</w:t>
      </w:r>
      <w:r>
        <w:rPr>
          <w:rFonts w:hint="default" w:ascii="宋体" w:hAnsi="Times New Roman" w:eastAsia="宋体"/>
          <w:color w:val="auto"/>
          <w:sz w:val="24"/>
          <w:szCs w:val="24"/>
          <w:highlight w:val="none"/>
        </w:rPr>
        <w:t>：</w:t>
      </w:r>
      <w:r>
        <w:rPr>
          <w:rFonts w:hint="eastAsia" w:ascii="宋体" w:hAnsi="宋体" w:cs="宋体"/>
          <w:color w:val="auto"/>
          <w:sz w:val="24"/>
          <w:szCs w:val="24"/>
          <w:highlight w:val="none"/>
          <w:u w:val="single"/>
          <w:lang w:val="en-US" w:eastAsia="zh-CN"/>
        </w:rPr>
        <w:t>本工程位于松洲街、同德街、石井街、白云湖街，工程范围包括石井河拦河枢纽至海军桥段实测桩号K0+650-K7+650段一河两岸水环境提升建设，总整治长度约7000米。对石井河实测桩号K0+650-K7+650段进行河道整治、河道两岸现状挡土墙清洗及勾缝、破损挡土墙、栏杆修复及改造、巡河通道修复改造、驳岸靠船亲水平台修复及改造等。包含龙腾广场、风采洲头等10处重要节点改造，主要建设内容为打造驳岸景观、改造广场空间、优化公园林下绿地、打造滨水节点、打造水情科普公园等；4处断点贯通；14千米巡河通道建设；6座新建人行桥、8座靠船亲水平台改造、5处水闸修缮等。河口段抵御二百年一遇外江洪潮水位，石井河内涌堤围防洪标准为 20 年一遇；排涝标准为 20 年一遇 24 小时暴雨不成灾；河涌堤防级别为4级，主要建筑物级别为4级；通航标准按航道等级Ⅶ。本项目估算总投资为38203.07万元。</w:t>
      </w:r>
    </w:p>
    <w:p w14:paraId="5F690075">
      <w:pPr>
        <w:keepNext w:val="0"/>
        <w:keepLines w:val="0"/>
        <w:pageBreakBefore w:val="0"/>
        <w:tabs>
          <w:tab w:val="left" w:pos="7513"/>
        </w:tabs>
        <w:wordWrap/>
        <w:bidi w:val="0"/>
        <w:spacing w:line="360" w:lineRule="auto"/>
        <w:ind w:firstLine="240" w:firstLineChars="100"/>
        <w:textAlignment w:val="auto"/>
        <w:outlineLvl w:val="2"/>
        <w:rPr>
          <w:rFonts w:hint="default" w:ascii="宋体" w:hAnsi="宋体" w:eastAsia="宋体"/>
          <w:color w:val="auto"/>
          <w:sz w:val="24"/>
          <w:szCs w:val="24"/>
          <w:highlight w:val="none"/>
        </w:rPr>
      </w:pPr>
      <w:bookmarkStart w:id="14" w:name="_Toc22442"/>
      <w:bookmarkStart w:id="15" w:name="_Toc13481"/>
      <w:bookmarkStart w:id="16" w:name="_Toc22253"/>
      <w:r>
        <w:rPr>
          <w:rFonts w:hint="default" w:ascii="宋体" w:hAnsi="宋体" w:eastAsia="宋体"/>
          <w:color w:val="auto"/>
          <w:sz w:val="24"/>
          <w:szCs w:val="24"/>
          <w:highlight w:val="none"/>
        </w:rPr>
        <w:t>2.2</w:t>
      </w:r>
      <w:r>
        <w:rPr>
          <w:rFonts w:hint="eastAsia" w:ascii="宋体" w:hAnsi="宋体"/>
          <w:color w:val="auto"/>
          <w:sz w:val="24"/>
          <w:szCs w:val="24"/>
          <w:highlight w:val="none"/>
          <w:lang w:val="en-US" w:eastAsia="zh-CN"/>
        </w:rPr>
        <w:t xml:space="preserve"> </w:t>
      </w:r>
      <w:r>
        <w:rPr>
          <w:rFonts w:hint="default" w:ascii="宋体" w:hAnsi="宋体" w:eastAsia="宋体"/>
          <w:color w:val="auto"/>
          <w:sz w:val="24"/>
          <w:szCs w:val="24"/>
          <w:highlight w:val="none"/>
        </w:rPr>
        <w:t>招标范围</w:t>
      </w:r>
      <w:bookmarkEnd w:id="14"/>
      <w:bookmarkEnd w:id="15"/>
      <w:bookmarkEnd w:id="16"/>
    </w:p>
    <w:p w14:paraId="54C601A1">
      <w:pPr>
        <w:keepNext w:val="0"/>
        <w:keepLines w:val="0"/>
        <w:pageBreakBefore w:val="0"/>
        <w:tabs>
          <w:tab w:val="left" w:pos="7513"/>
        </w:tabs>
        <w:wordWrap/>
        <w:bidi w:val="0"/>
        <w:spacing w:line="360" w:lineRule="auto"/>
        <w:ind w:firstLine="480" w:firstLineChars="200"/>
        <w:textAlignment w:val="auto"/>
        <w:rPr>
          <w:rFonts w:hint="default" w:ascii="宋体" w:hAnsi="宋体" w:eastAsia="宋体" w:cs="宋体"/>
          <w:color w:val="auto"/>
          <w:sz w:val="24"/>
          <w:szCs w:val="24"/>
          <w:highlight w:val="none"/>
          <w:lang w:val="en-US"/>
        </w:rPr>
      </w:pPr>
      <w:r>
        <w:rPr>
          <w:rFonts w:hint="default" w:ascii="宋体" w:hAnsi="宋体" w:eastAsia="宋体"/>
          <w:color w:val="auto"/>
          <w:sz w:val="24"/>
          <w:szCs w:val="24"/>
          <w:highlight w:val="none"/>
        </w:rPr>
        <w:t>2.2.1</w:t>
      </w:r>
      <w:r>
        <w:rPr>
          <w:rFonts w:hint="default" w:ascii="宋体" w:hAnsi="Times New Roman" w:eastAsia="宋体"/>
          <w:color w:val="auto"/>
          <w:sz w:val="24"/>
          <w:szCs w:val="24"/>
          <w:highlight w:val="none"/>
        </w:rPr>
        <w:t>标段划分：</w:t>
      </w:r>
      <w:r>
        <w:rPr>
          <w:rFonts w:hint="default"/>
          <w:color w:val="auto"/>
          <w:sz w:val="24"/>
          <w:szCs w:val="24"/>
          <w:highlight w:val="none"/>
          <w:u w:val="single"/>
          <w:lang w:val="en-US" w:eastAsia="zh-CN"/>
        </w:rPr>
        <w:t>本工程划分为1个标段</w:t>
      </w:r>
      <w:r>
        <w:rPr>
          <w:rFonts w:hint="eastAsia"/>
          <w:color w:val="auto"/>
          <w:sz w:val="24"/>
          <w:szCs w:val="24"/>
          <w:highlight w:val="none"/>
          <w:u w:val="single"/>
          <w:lang w:val="en-US" w:eastAsia="zh-CN"/>
        </w:rPr>
        <w:t>。</w:t>
      </w:r>
      <w:r>
        <w:rPr>
          <w:rFonts w:hint="default"/>
          <w:color w:val="auto"/>
          <w:sz w:val="24"/>
          <w:szCs w:val="24"/>
          <w:highlight w:val="none"/>
          <w:lang w:val="en-US" w:eastAsia="zh-CN"/>
        </w:rPr>
        <w:t xml:space="preserve">     </w:t>
      </w:r>
    </w:p>
    <w:p w14:paraId="2A412D14">
      <w:pPr>
        <w:keepNext w:val="0"/>
        <w:keepLines w:val="0"/>
        <w:pageBreakBefore w:val="0"/>
        <w:tabs>
          <w:tab w:val="left" w:pos="7513"/>
        </w:tabs>
        <w:wordWrap/>
        <w:bidi w:val="0"/>
        <w:spacing w:line="360" w:lineRule="auto"/>
        <w:ind w:firstLine="480" w:firstLineChars="200"/>
        <w:textAlignment w:val="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2.2.2监理范围：</w:t>
      </w:r>
      <w:r>
        <w:rPr>
          <w:rFonts w:hint="default" w:ascii="宋体" w:hAnsi="宋体" w:eastAsia="宋体"/>
          <w:color w:val="auto"/>
          <w:sz w:val="24"/>
          <w:szCs w:val="24"/>
          <w:highlight w:val="none"/>
          <w:u w:val="single"/>
          <w:lang w:val="en-US" w:eastAsia="zh-CN"/>
        </w:rPr>
        <w:t>本项目全过程各专业监理，监理内容包括但不限于以下内容：协助招标人做好开工前准备工作、负责工程计量审查、工程进度款审核、工程进度计划审查、工程施工质量监督、工程施工安全监督、审核竣工资料和工程结算工作，做好施工、保修阶段监理应做的各项工作；监督、管理建设工程合同的履行，以及协调委托人和工程建设有关各方的工作关系，变更预算、新增单价询价、预（结）算、竣工图审核等工作。（具体内容详见工程施工图纸）。</w:t>
      </w:r>
      <w:r>
        <w:rPr>
          <w:rFonts w:hint="default" w:ascii="宋体" w:hAnsi="宋体" w:eastAsia="宋体"/>
          <w:color w:val="auto"/>
          <w:sz w:val="24"/>
          <w:szCs w:val="24"/>
          <w:highlight w:val="none"/>
          <w:lang w:val="en-US" w:eastAsia="zh-CN"/>
        </w:rPr>
        <w:t xml:space="preserve">                 </w:t>
      </w:r>
    </w:p>
    <w:p w14:paraId="7A2D64F6">
      <w:pPr>
        <w:keepNext w:val="0"/>
        <w:keepLines w:val="0"/>
        <w:pageBreakBefore w:val="0"/>
        <w:tabs>
          <w:tab w:val="left" w:pos="7513"/>
        </w:tabs>
        <w:wordWrap/>
        <w:bidi w:val="0"/>
        <w:spacing w:line="360" w:lineRule="auto"/>
        <w:ind w:firstLine="480" w:firstLineChars="200"/>
        <w:textAlignment w:val="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2.2.3监理服务期：</w:t>
      </w:r>
      <w:r>
        <w:rPr>
          <w:rFonts w:hint="default" w:ascii="宋体" w:hAnsi="宋体" w:eastAsia="宋体"/>
          <w:color w:val="auto"/>
          <w:sz w:val="24"/>
          <w:szCs w:val="24"/>
          <w:highlight w:val="none"/>
          <w:u w:val="single"/>
          <w:lang w:val="en-US" w:eastAsia="zh-CN"/>
        </w:rPr>
        <w:t>包括工程施工准备阶段的监理工期、工程施工阶段的监理工期、工程保修阶段和竣工结算期的监理工期之和。</w:t>
      </w:r>
      <w:r>
        <w:rPr>
          <w:rFonts w:hint="default" w:ascii="宋体" w:hAnsi="宋体" w:eastAsia="宋体"/>
          <w:color w:val="auto"/>
          <w:sz w:val="24"/>
          <w:szCs w:val="24"/>
          <w:highlight w:val="none"/>
          <w:lang w:val="en-US" w:eastAsia="zh-CN"/>
        </w:rPr>
        <w:t xml:space="preserve">                </w:t>
      </w:r>
    </w:p>
    <w:p w14:paraId="0F3B7F51">
      <w:pPr>
        <w:keepNext w:val="0"/>
        <w:keepLines w:val="0"/>
        <w:pageBreakBefore w:val="0"/>
        <w:tabs>
          <w:tab w:val="left" w:pos="7513"/>
        </w:tabs>
        <w:wordWrap/>
        <w:bidi w:val="0"/>
        <w:spacing w:line="360" w:lineRule="auto"/>
        <w:ind w:firstLine="480" w:firstLineChars="200"/>
        <w:textAlignment w:val="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2.2.4监理服务最高投标限价：</w:t>
      </w:r>
      <w:bookmarkStart w:id="17" w:name="OLE_LINK1"/>
      <w:r>
        <w:rPr>
          <w:rFonts w:hint="eastAsia" w:ascii="宋体" w:hAnsi="宋体"/>
          <w:color w:val="auto"/>
          <w:sz w:val="24"/>
          <w:szCs w:val="24"/>
          <w:highlight w:val="none"/>
          <w:u w:val="single"/>
          <w:lang w:val="en-US" w:eastAsia="zh-CN"/>
        </w:rPr>
        <w:t>4589350.32</w:t>
      </w:r>
      <w:r>
        <w:rPr>
          <w:rFonts w:hint="default" w:ascii="宋体" w:hAnsi="宋体" w:eastAsia="宋体"/>
          <w:color w:val="auto"/>
          <w:sz w:val="24"/>
          <w:szCs w:val="24"/>
          <w:highlight w:val="none"/>
          <w:u w:val="single"/>
          <w:lang w:val="en-US" w:eastAsia="zh-CN"/>
        </w:rPr>
        <w:t>元</w:t>
      </w:r>
      <w:r>
        <w:rPr>
          <w:rFonts w:hint="eastAsia" w:ascii="宋体" w:hAnsi="宋体"/>
          <w:color w:val="auto"/>
          <w:sz w:val="24"/>
          <w:szCs w:val="24"/>
          <w:highlight w:val="none"/>
          <w:u w:val="single"/>
          <w:lang w:val="en-US" w:eastAsia="zh-CN"/>
        </w:rPr>
        <w:t>。</w:t>
      </w:r>
      <w:r>
        <w:rPr>
          <w:rFonts w:hint="default" w:ascii="宋体" w:hAnsi="宋体" w:eastAsia="宋体" w:cs="宋体"/>
          <w:color w:val="auto"/>
          <w:sz w:val="24"/>
          <w:szCs w:val="24"/>
          <w:highlight w:val="none"/>
          <w:lang w:val="en-US" w:eastAsia="zh-CN" w:bidi="ar"/>
        </w:rPr>
        <w:t xml:space="preserve">       </w:t>
      </w:r>
      <w:bookmarkEnd w:id="17"/>
    </w:p>
    <w:p w14:paraId="1AAAA8E9">
      <w:pPr>
        <w:keepNext w:val="0"/>
        <w:keepLines w:val="0"/>
        <w:pageBreakBefore w:val="0"/>
        <w:wordWrap/>
        <w:bidi w:val="0"/>
        <w:spacing w:line="360" w:lineRule="auto"/>
        <w:ind w:firstLine="537" w:firstLineChars="224"/>
        <w:textAlignment w:val="auto"/>
        <w:rPr>
          <w:rFonts w:hint="eastAsia" w:ascii="仿宋" w:hAnsi="仿宋" w:eastAsia="仿宋" w:cs="仿宋"/>
          <w:i w:val="0"/>
          <w:iCs w:val="0"/>
          <w:color w:val="auto"/>
          <w:spacing w:val="-16"/>
          <w:sz w:val="21"/>
          <w:szCs w:val="24"/>
          <w:highlight w:val="none"/>
        </w:rPr>
      </w:pPr>
      <w:r>
        <w:rPr>
          <w:rFonts w:hint="eastAsia" w:ascii="仿宋" w:hAnsi="仿宋" w:eastAsia="仿宋" w:cs="仿宋"/>
          <w:i w:val="0"/>
          <w:iCs w:val="0"/>
          <w:color w:val="auto"/>
          <w:sz w:val="24"/>
          <w:szCs w:val="24"/>
          <w:highlight w:val="none"/>
        </w:rPr>
        <w:t>注：两个或两个以上标段的，应明确允许兼中或不兼中时，明确对</w:t>
      </w:r>
      <w:r>
        <w:rPr>
          <w:rFonts w:hint="eastAsia" w:ascii="仿宋" w:hAnsi="仿宋" w:eastAsia="仿宋" w:cs="仿宋"/>
          <w:i w:val="0"/>
          <w:iCs w:val="0"/>
          <w:color w:val="auto"/>
          <w:sz w:val="24"/>
          <w:szCs w:val="24"/>
          <w:highlight w:val="none"/>
          <w:lang w:val="en-US" w:eastAsia="zh-CN"/>
        </w:rPr>
        <w:t>总监理工程师</w:t>
      </w:r>
      <w:r>
        <w:rPr>
          <w:rFonts w:hint="eastAsia" w:ascii="仿宋" w:hAnsi="仿宋" w:eastAsia="仿宋" w:cs="仿宋"/>
          <w:i w:val="0"/>
          <w:iCs w:val="0"/>
          <w:color w:val="auto"/>
          <w:sz w:val="24"/>
          <w:szCs w:val="24"/>
          <w:highlight w:val="none"/>
        </w:rPr>
        <w:t>的数量要求。对于包含两个或两个以上专业的招标项目，应分别明确各专业对应的招标内容、规模和最高投标限价的专业组成费用。</w:t>
      </w:r>
    </w:p>
    <w:p w14:paraId="498C9B5B">
      <w:pPr>
        <w:pStyle w:val="4"/>
        <w:keepNext w:val="0"/>
        <w:keepLines w:val="0"/>
        <w:pageBreakBefore w:val="0"/>
        <w:wordWrap/>
        <w:bidi w:val="0"/>
        <w:spacing w:line="360" w:lineRule="auto"/>
        <w:textAlignment w:val="auto"/>
        <w:outlineLvl w:val="1"/>
        <w:rPr>
          <w:rFonts w:hint="default" w:cs="宋体"/>
          <w:b w:val="0"/>
          <w:i/>
          <w:color w:val="auto"/>
          <w:sz w:val="21"/>
          <w:szCs w:val="21"/>
          <w:highlight w:val="none"/>
          <w:lang w:val="en-US" w:eastAsia="zh-CN"/>
        </w:rPr>
      </w:pPr>
      <w:bookmarkStart w:id="18" w:name="bookmark4"/>
      <w:bookmarkEnd w:id="18"/>
      <w:bookmarkStart w:id="19" w:name="_Toc770"/>
      <w:bookmarkStart w:id="20" w:name="_Toc6545"/>
      <w:r>
        <w:rPr>
          <w:rFonts w:hint="default" w:cs="宋体"/>
          <w:color w:val="auto"/>
          <w:sz w:val="24"/>
          <w:szCs w:val="24"/>
          <w:highlight w:val="none"/>
        </w:rPr>
        <w:t>3.投标人资格要求</w:t>
      </w:r>
      <w:bookmarkEnd w:id="19"/>
      <w:bookmarkEnd w:id="20"/>
    </w:p>
    <w:p w14:paraId="2D698215">
      <w:pPr>
        <w:keepNext w:val="0"/>
        <w:keepLines w:val="0"/>
        <w:pageBreakBefore w:val="0"/>
        <w:tabs>
          <w:tab w:val="left" w:pos="7513"/>
        </w:tabs>
        <w:wordWrap/>
        <w:bidi w:val="0"/>
        <w:spacing w:line="360" w:lineRule="auto"/>
        <w:ind w:firstLine="480" w:firstLineChars="200"/>
        <w:textAlignment w:val="auto"/>
        <w:outlineLvl w:val="2"/>
        <w:rPr>
          <w:rFonts w:hint="default" w:ascii="宋体" w:hAnsi="宋体" w:eastAsia="宋体" w:cs="宋体"/>
          <w:color w:val="auto"/>
          <w:sz w:val="24"/>
          <w:szCs w:val="24"/>
          <w:highlight w:val="none"/>
          <w:lang w:val="en-US" w:eastAsia="zh-CN"/>
        </w:rPr>
      </w:pPr>
      <w:bookmarkStart w:id="21" w:name="_Toc31968"/>
      <w:bookmarkStart w:id="22" w:name="_Toc15591"/>
      <w:bookmarkStart w:id="23" w:name="_Toc31217"/>
      <w:r>
        <w:rPr>
          <w:rFonts w:hint="default" w:ascii="宋体" w:hAnsi="宋体" w:eastAsia="宋体" w:cs="宋体"/>
          <w:color w:val="auto"/>
          <w:sz w:val="24"/>
          <w:szCs w:val="24"/>
          <w:highlight w:val="none"/>
          <w:lang w:val="en-US" w:eastAsia="zh-CN"/>
        </w:rPr>
        <w:t xml:space="preserve">3.1 </w:t>
      </w:r>
      <w:r>
        <w:rPr>
          <w:rFonts w:hint="default" w:ascii="宋体" w:hAnsi="宋体" w:eastAsia="宋体" w:cs="Times New Roman"/>
          <w:color w:val="auto"/>
          <w:sz w:val="24"/>
          <w:szCs w:val="24"/>
          <w:highlight w:val="none"/>
          <w:lang w:val="en-US" w:eastAsia="zh-CN"/>
        </w:rPr>
        <w:t>投标人参加投标的意思表达清楚，投标人代表被授权有效</w:t>
      </w:r>
      <w:r>
        <w:rPr>
          <w:rFonts w:hint="default" w:ascii="宋体" w:hAnsi="宋体" w:eastAsia="宋体" w:cs="宋体"/>
          <w:color w:val="auto"/>
          <w:sz w:val="24"/>
          <w:szCs w:val="24"/>
          <w:highlight w:val="none"/>
          <w:lang w:val="en-US" w:eastAsia="zh-CN"/>
        </w:rPr>
        <w:t>。</w:t>
      </w:r>
      <w:bookmarkEnd w:id="21"/>
      <w:bookmarkEnd w:id="22"/>
      <w:bookmarkEnd w:id="23"/>
    </w:p>
    <w:p w14:paraId="4198112B">
      <w:pPr>
        <w:keepNext w:val="0"/>
        <w:keepLines w:val="0"/>
        <w:pageBreakBefore w:val="0"/>
        <w:tabs>
          <w:tab w:val="left" w:pos="7513"/>
        </w:tabs>
        <w:wordWrap/>
        <w:bidi w:val="0"/>
        <w:spacing w:line="360" w:lineRule="auto"/>
        <w:ind w:firstLine="480" w:firstLineChars="200"/>
        <w:textAlignment w:val="auto"/>
        <w:rPr>
          <w:rFonts w:hint="default" w:ascii="宋体" w:hAnsi="宋体" w:eastAsia="宋体" w:cs="Times New Roman"/>
          <w:color w:val="C00000"/>
          <w:sz w:val="24"/>
          <w:szCs w:val="24"/>
          <w:highlight w:val="none"/>
          <w:lang w:val="en-US" w:eastAsia="zh-CN"/>
        </w:rPr>
      </w:pPr>
      <w:r>
        <w:rPr>
          <w:rFonts w:hint="default" w:ascii="宋体" w:hAnsi="宋体" w:eastAsia="宋体" w:cs="宋体"/>
          <w:color w:val="auto"/>
          <w:sz w:val="24"/>
          <w:szCs w:val="24"/>
          <w:highlight w:val="none"/>
          <w:lang w:val="en-US" w:eastAsia="zh-CN"/>
        </w:rPr>
        <w:t xml:space="preserve">3.2 </w:t>
      </w:r>
      <w:r>
        <w:rPr>
          <w:rFonts w:ascii="宋体" w:hAnsi="宋体" w:eastAsia="宋体" w:cs="Times New Roman"/>
          <w:color w:val="auto"/>
          <w:sz w:val="24"/>
          <w:szCs w:val="24"/>
          <w:highlight w:val="none"/>
          <w:lang w:val="en-US" w:eastAsia="zh-CN"/>
        </w:rPr>
        <w:t>投标人是法人或其他组织，按国家法律经营</w:t>
      </w:r>
      <w:r>
        <w:rPr>
          <w:rFonts w:hint="default" w:ascii="宋体" w:hAnsi="宋体" w:eastAsia="宋体" w:cs="Times New Roman"/>
          <w:color w:val="auto"/>
          <w:sz w:val="24"/>
          <w:szCs w:val="24"/>
          <w:highlight w:val="none"/>
          <w:lang w:val="en-US" w:eastAsia="zh-CN"/>
        </w:rPr>
        <w:t>。</w:t>
      </w:r>
    </w:p>
    <w:p w14:paraId="4A7FFBC7">
      <w:pPr>
        <w:keepNext w:val="0"/>
        <w:keepLines w:val="0"/>
        <w:pageBreakBefore w:val="0"/>
        <w:tabs>
          <w:tab w:val="left" w:pos="7513"/>
        </w:tabs>
        <w:wordWrap/>
        <w:bidi w:val="0"/>
        <w:spacing w:line="360" w:lineRule="auto"/>
        <w:ind w:firstLine="480" w:firstLineChars="200"/>
        <w:textAlignment w:val="auto"/>
        <w:outlineLvl w:val="2"/>
        <w:rPr>
          <w:rFonts w:hint="eastAsia" w:ascii="宋体" w:hAnsi="宋体" w:cs="Times New Roman"/>
          <w:color w:val="auto"/>
          <w:sz w:val="24"/>
          <w:szCs w:val="24"/>
          <w:highlight w:val="none"/>
          <w:lang w:val="en-US" w:eastAsia="zh-CN"/>
        </w:rPr>
      </w:pPr>
      <w:bookmarkStart w:id="24" w:name="_Toc25809"/>
      <w:bookmarkStart w:id="25" w:name="_Toc29253"/>
      <w:bookmarkStart w:id="26" w:name="_Toc9121"/>
      <w:r>
        <w:rPr>
          <w:rFonts w:hint="default" w:ascii="宋体" w:hAnsi="宋体" w:eastAsia="宋体" w:cs="宋体"/>
          <w:color w:val="auto"/>
          <w:sz w:val="24"/>
          <w:szCs w:val="24"/>
          <w:highlight w:val="none"/>
          <w:lang w:val="en-US" w:eastAsia="zh-CN"/>
        </w:rPr>
        <w:t xml:space="preserve">3.3 </w:t>
      </w:r>
      <w:r>
        <w:rPr>
          <w:rFonts w:hint="default" w:ascii="宋体" w:hAnsi="宋体" w:eastAsia="宋体" w:cs="Times New Roman"/>
          <w:color w:val="auto"/>
          <w:sz w:val="24"/>
          <w:szCs w:val="24"/>
          <w:highlight w:val="none"/>
          <w:lang w:val="en-US" w:eastAsia="zh-CN"/>
        </w:rPr>
        <w:t>本次招标要求投标人</w:t>
      </w:r>
      <w:r>
        <w:rPr>
          <w:rFonts w:hint="default" w:ascii="宋体" w:hAnsi="宋体" w:eastAsia="宋体" w:cs="Times New Roman"/>
          <w:color w:val="auto"/>
          <w:sz w:val="24"/>
          <w:szCs w:val="24"/>
          <w:highlight w:val="none"/>
        </w:rPr>
        <w:t>须</w:t>
      </w:r>
      <w:r>
        <w:rPr>
          <w:rFonts w:hint="default" w:ascii="宋体" w:hAnsi="宋体" w:eastAsia="宋体" w:cs="Times New Roman"/>
          <w:color w:val="auto"/>
          <w:sz w:val="24"/>
          <w:szCs w:val="24"/>
          <w:highlight w:val="none"/>
          <w:lang w:val="en-US" w:eastAsia="zh-CN"/>
        </w:rPr>
        <w:t>具备</w:t>
      </w:r>
      <w:r>
        <w:rPr>
          <w:rFonts w:hint="eastAsia" w:ascii="宋体" w:hAnsi="宋体" w:cs="Times New Roman"/>
          <w:color w:val="auto"/>
          <w:sz w:val="24"/>
          <w:szCs w:val="24"/>
          <w:highlight w:val="none"/>
          <w:lang w:val="en-US" w:eastAsia="zh-CN"/>
        </w:rPr>
        <w:t>以下资质：</w:t>
      </w:r>
    </w:p>
    <w:p w14:paraId="7DD0C4C1">
      <w:pPr>
        <w:keepNext w:val="0"/>
        <w:keepLines w:val="0"/>
        <w:pageBreakBefore w:val="0"/>
        <w:tabs>
          <w:tab w:val="left" w:pos="7513"/>
        </w:tabs>
        <w:wordWrap/>
        <w:bidi w:val="0"/>
        <w:spacing w:line="360" w:lineRule="auto"/>
        <w:ind w:firstLine="480" w:firstLineChars="200"/>
        <w:jc w:val="both"/>
        <w:textAlignment w:val="auto"/>
        <w:outlineLvl w:val="2"/>
        <w:rPr>
          <w:rFonts w:hint="eastAsia" w:ascii="宋体" w:hAnsi="宋体" w:cs="Times New Roman"/>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①</w:t>
      </w:r>
      <w:r>
        <w:rPr>
          <w:rFonts w:hint="default" w:ascii="宋体" w:hAnsi="宋体" w:eastAsia="宋体" w:cs="Times New Roman"/>
          <w:color w:val="auto"/>
          <w:sz w:val="24"/>
          <w:szCs w:val="24"/>
          <w:highlight w:val="none"/>
          <w:u w:val="single"/>
          <w:lang w:val="en-US" w:eastAsia="zh-CN"/>
        </w:rPr>
        <w:t>水利部颁发的水利工程施工监理</w:t>
      </w:r>
      <w:r>
        <w:rPr>
          <w:rFonts w:hint="eastAsia" w:ascii="宋体" w:hAnsi="宋体" w:cs="Times New Roman"/>
          <w:color w:val="auto"/>
          <w:sz w:val="24"/>
          <w:szCs w:val="24"/>
          <w:highlight w:val="none"/>
          <w:u w:val="single"/>
          <w:lang w:val="en-US" w:eastAsia="zh-CN"/>
        </w:rPr>
        <w:t>乙</w:t>
      </w:r>
      <w:r>
        <w:rPr>
          <w:rFonts w:hint="default" w:ascii="宋体" w:hAnsi="宋体" w:eastAsia="宋体" w:cs="Times New Roman"/>
          <w:color w:val="auto"/>
          <w:sz w:val="24"/>
          <w:szCs w:val="24"/>
          <w:highlight w:val="none"/>
          <w:u w:val="single"/>
          <w:lang w:val="en-US" w:eastAsia="zh-CN"/>
        </w:rPr>
        <w:t>级</w:t>
      </w:r>
      <w:r>
        <w:rPr>
          <w:rFonts w:hint="eastAsia" w:ascii="宋体" w:hAnsi="宋体" w:cs="Times New Roman"/>
          <w:color w:val="auto"/>
          <w:sz w:val="24"/>
          <w:szCs w:val="24"/>
          <w:highlight w:val="none"/>
          <w:u w:val="single"/>
          <w:lang w:val="en-US" w:eastAsia="zh-CN"/>
        </w:rPr>
        <w:t>（或以上）</w:t>
      </w:r>
      <w:r>
        <w:rPr>
          <w:rFonts w:hint="default" w:ascii="宋体" w:hAnsi="宋体" w:eastAsia="宋体" w:cs="Times New Roman"/>
          <w:color w:val="auto"/>
          <w:sz w:val="24"/>
          <w:szCs w:val="24"/>
          <w:highlight w:val="none"/>
          <w:u w:val="single"/>
          <w:lang w:val="en-US" w:eastAsia="zh-CN"/>
        </w:rPr>
        <w:t>级别</w:t>
      </w:r>
      <w:r>
        <w:rPr>
          <w:rFonts w:hint="eastAsia" w:ascii="宋体" w:hAnsi="宋体" w:cs="Times New Roman"/>
          <w:color w:val="auto"/>
          <w:sz w:val="24"/>
          <w:szCs w:val="24"/>
          <w:highlight w:val="none"/>
          <w:u w:val="single"/>
          <w:lang w:val="en-US" w:eastAsia="zh-CN"/>
        </w:rPr>
        <w:t>资质；</w:t>
      </w:r>
    </w:p>
    <w:p w14:paraId="5AB6D1A4">
      <w:pPr>
        <w:keepNext w:val="0"/>
        <w:keepLines w:val="0"/>
        <w:pageBreakBefore w:val="0"/>
        <w:tabs>
          <w:tab w:val="left" w:pos="7513"/>
        </w:tabs>
        <w:wordWrap/>
        <w:bidi w:val="0"/>
        <w:spacing w:line="360" w:lineRule="auto"/>
        <w:ind w:firstLine="480" w:firstLineChars="200"/>
        <w:jc w:val="both"/>
        <w:textAlignment w:val="auto"/>
        <w:outlineLvl w:val="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w:t>
      </w:r>
      <w:r>
        <w:rPr>
          <w:rFonts w:hint="eastAsia" w:ascii="宋体" w:hAnsi="宋体" w:cs="Times New Roman"/>
          <w:color w:val="auto"/>
          <w:sz w:val="24"/>
          <w:szCs w:val="24"/>
          <w:highlight w:val="none"/>
          <w:u w:val="single"/>
          <w:lang w:val="en-US" w:eastAsia="zh-CN"/>
        </w:rPr>
        <w:t>建设行政部门颁发的工程监理综合资质或市政公用工程监理甲级</w:t>
      </w:r>
      <w:r>
        <w:rPr>
          <w:rFonts w:hint="default" w:ascii="宋体" w:hAnsi="宋体" w:eastAsia="宋体" w:cs="Times New Roman"/>
          <w:color w:val="auto"/>
          <w:sz w:val="24"/>
          <w:szCs w:val="24"/>
          <w:highlight w:val="none"/>
          <w:lang w:val="en-US" w:eastAsia="zh-CN"/>
        </w:rPr>
        <w:t>资质。</w:t>
      </w:r>
      <w:bookmarkEnd w:id="24"/>
      <w:bookmarkEnd w:id="25"/>
      <w:bookmarkEnd w:id="26"/>
    </w:p>
    <w:p w14:paraId="77EAD281">
      <w:pPr>
        <w:keepNext w:val="0"/>
        <w:keepLines w:val="0"/>
        <w:pageBreakBefore w:val="0"/>
        <w:tabs>
          <w:tab w:val="left" w:pos="7513"/>
        </w:tabs>
        <w:wordWrap/>
        <w:bidi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根据《水利部关于开展水利工程建设监理单位资质行政许可有关工作的公告》（中华人民共和国水利部公告2021年第9号）的要求，投标人应按规定办理资质证书延期或换发的相关手续。资质电子证书按《水利部关于实行水利工程建设监理单位和甲级质量检测单位资质电子证书的公告》（中华人民共和国水利部公告2022年第9号）执行。资质证书有效期按《水利部关于水利工程建设监理单位和水利工程甲级质量检测单位资质等级证书延期的公告》（中华人民共和国水利部公告2023年第9号）规定执行。（2）工程监理企业资质证书有效期按《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广东省住房和城乡建设厅关于建设工程企业资质延续有关事项的通知》（粤建许函〔2023〕820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做好有关建设工程企业资质证书换领工作的通知》（粤建许函〔2024〕124号）等相关文件执行。（3）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14:paraId="1C1E8A49">
      <w:pPr>
        <w:keepNext w:val="0"/>
        <w:keepLines w:val="0"/>
        <w:pageBreakBefore w:val="0"/>
        <w:wordWrap/>
        <w:bidi w:val="0"/>
        <w:spacing w:line="360" w:lineRule="auto"/>
        <w:ind w:firstLine="480" w:firstLineChars="200"/>
        <w:textAlignment w:val="auto"/>
        <w:rPr>
          <w:rFonts w:hint="default" w:ascii="宋体" w:hAnsi="宋体" w:eastAsia="宋体"/>
          <w:color w:val="auto"/>
          <w:sz w:val="24"/>
          <w:szCs w:val="24"/>
          <w:highlight w:val="none"/>
        </w:rPr>
      </w:pPr>
      <w:r>
        <w:rPr>
          <w:rFonts w:hint="default" w:ascii="宋体" w:hAnsi="宋体" w:eastAsia="宋体" w:cs="宋体"/>
          <w:color w:val="auto"/>
          <w:sz w:val="24"/>
          <w:szCs w:val="24"/>
          <w:highlight w:val="none"/>
          <w:lang w:val="en-US" w:eastAsia="zh-CN"/>
        </w:rPr>
        <w:t xml:space="preserve">3.4 </w:t>
      </w:r>
      <w:r>
        <w:rPr>
          <w:rFonts w:hint="default" w:ascii="宋体" w:hAnsi="宋体" w:eastAsia="宋体" w:cs="Times New Roman"/>
          <w:color w:val="auto"/>
          <w:sz w:val="24"/>
          <w:szCs w:val="24"/>
          <w:highlight w:val="none"/>
        </w:rPr>
        <w:t>拟派总监理</w:t>
      </w:r>
      <w:r>
        <w:rPr>
          <w:rFonts w:hint="default" w:ascii="宋体" w:hAnsi="宋体" w:eastAsia="宋体"/>
          <w:color w:val="auto"/>
          <w:sz w:val="24"/>
          <w:szCs w:val="24"/>
          <w:highlight w:val="none"/>
        </w:rPr>
        <w:t>工程师须具</w:t>
      </w:r>
      <w:r>
        <w:rPr>
          <w:rFonts w:hint="default" w:ascii="宋体" w:hAnsi="宋体" w:eastAsia="宋体"/>
          <w:color w:val="auto"/>
          <w:sz w:val="24"/>
          <w:szCs w:val="24"/>
          <w:highlight w:val="none"/>
          <w:lang w:eastAsia="zh-CN"/>
        </w:rPr>
        <w:t>备</w:t>
      </w:r>
      <w:r>
        <w:rPr>
          <w:rFonts w:hint="default" w:ascii="宋体" w:hAnsi="宋体" w:eastAsia="宋体"/>
          <w:color w:val="auto"/>
          <w:sz w:val="24"/>
          <w:szCs w:val="24"/>
          <w:highlight w:val="none"/>
          <w:u w:val="single"/>
          <w:lang w:val="en-US" w:eastAsia="zh-CN"/>
        </w:rPr>
        <w:t>水利类专业高级工程师（或以上）职称，持有有效的水利部颁发的中华人民共和国监理工程师注册证书（注册专业为水利工程施工监理）或中国水利工程协会颁发的水利工程建设监理工程师资格证书（其专业为水工建筑，执业单位为本投标单位）。</w:t>
      </w:r>
    </w:p>
    <w:p w14:paraId="12A91F3C">
      <w:pPr>
        <w:keepNext w:val="0"/>
        <w:keepLines w:val="0"/>
        <w:pageBreakBefore w:val="0"/>
        <w:tabs>
          <w:tab w:val="left" w:pos="7513"/>
        </w:tabs>
        <w:wordWrap/>
        <w:bidi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注：若拟委派的项目负责人（</w:t>
      </w:r>
      <w:r>
        <w:rPr>
          <w:rFonts w:hint="eastAsia" w:ascii="仿宋" w:hAnsi="仿宋" w:eastAsia="仿宋" w:cs="仿宋"/>
          <w:color w:val="auto"/>
          <w:sz w:val="24"/>
          <w:szCs w:val="24"/>
          <w:highlight w:val="none"/>
        </w:rPr>
        <w:t>总监理工程师</w:t>
      </w:r>
      <w:r>
        <w:rPr>
          <w:rFonts w:hint="eastAsia" w:ascii="仿宋" w:hAnsi="仿宋" w:eastAsia="仿宋" w:cs="仿宋"/>
          <w:color w:val="auto"/>
          <w:sz w:val="24"/>
          <w:szCs w:val="24"/>
          <w:highlight w:val="none"/>
          <w:lang w:val="en-US" w:eastAsia="zh-CN"/>
        </w:rPr>
        <w:t>）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71102C83">
      <w:pPr>
        <w:keepNext w:val="0"/>
        <w:keepLines w:val="0"/>
        <w:pageBreakBefore w:val="0"/>
        <w:widowControl/>
        <w:tabs>
          <w:tab w:val="left" w:pos="7513"/>
        </w:tabs>
        <w:wordWrap/>
        <w:bidi w:val="0"/>
        <w:snapToGrid/>
        <w:spacing w:line="360" w:lineRule="auto"/>
        <w:ind w:right="0" w:rightChars="0" w:firstLine="480" w:firstLineChars="200"/>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3.</w:t>
      </w:r>
      <w:r>
        <w:rPr>
          <w:rFonts w:hint="eastAsia" w:ascii="宋体" w:hAnsi="宋体" w:cs="宋体"/>
          <w:color w:val="auto"/>
          <w:sz w:val="24"/>
          <w:szCs w:val="24"/>
          <w:highlight w:val="none"/>
          <w:u w:val="none"/>
          <w:lang w:val="en-US" w:eastAsia="zh-CN"/>
        </w:rPr>
        <w:t>5</w:t>
      </w:r>
      <w:r>
        <w:rPr>
          <w:rFonts w:hint="default" w:ascii="宋体" w:hAnsi="宋体" w:eastAsia="宋体" w:cs="宋体"/>
          <w:color w:val="auto"/>
          <w:sz w:val="24"/>
          <w:szCs w:val="24"/>
          <w:highlight w:val="none"/>
          <w:u w:val="none"/>
          <w:lang w:val="en-US" w:eastAsia="zh-CN"/>
        </w:rPr>
        <w:t xml:space="preserve"> </w:t>
      </w:r>
      <w:r>
        <w:rPr>
          <w:rFonts w:hint="default" w:ascii="宋体" w:hAnsi="宋体" w:eastAsia="宋体" w:cs="宋体"/>
          <w:color w:val="auto"/>
          <w:sz w:val="24"/>
          <w:szCs w:val="21"/>
          <w:highlight w:val="none"/>
          <w:u w:val="none"/>
        </w:rPr>
        <w:t>投标人已按</w:t>
      </w:r>
      <w:r>
        <w:rPr>
          <w:rFonts w:hint="default" w:ascii="宋体" w:hAnsi="宋体" w:eastAsia="宋体" w:cs="宋体"/>
          <w:color w:val="auto"/>
          <w:sz w:val="24"/>
          <w:szCs w:val="21"/>
          <w:highlight w:val="none"/>
          <w:u w:val="none"/>
          <w:lang w:eastAsia="zh-CN"/>
        </w:rPr>
        <w:t>规定格式</w:t>
      </w:r>
      <w:r>
        <w:rPr>
          <w:rFonts w:hint="default" w:ascii="宋体" w:hAnsi="宋体" w:eastAsia="宋体" w:cs="宋体"/>
          <w:color w:val="auto"/>
          <w:sz w:val="24"/>
          <w:szCs w:val="21"/>
          <w:highlight w:val="none"/>
          <w:u w:val="none"/>
        </w:rPr>
        <w:t>签署盖章《投标人声明》</w:t>
      </w:r>
      <w:r>
        <w:rPr>
          <w:rFonts w:hint="default" w:ascii="宋体" w:hAnsi="宋体" w:eastAsia="宋体" w:cs="宋体"/>
          <w:color w:val="auto"/>
          <w:sz w:val="24"/>
          <w:szCs w:val="21"/>
          <w:highlight w:val="none"/>
          <w:u w:val="none"/>
          <w:lang w:eastAsia="zh-CN"/>
        </w:rPr>
        <w:t>（格式见招标文件第六章投标文件格式）</w:t>
      </w:r>
      <w:r>
        <w:rPr>
          <w:rFonts w:hint="default" w:ascii="宋体" w:hAnsi="宋体" w:eastAsia="宋体" w:cs="宋体"/>
          <w:color w:val="auto"/>
          <w:sz w:val="24"/>
          <w:szCs w:val="24"/>
          <w:highlight w:val="none"/>
          <w:u w:val="none"/>
        </w:rPr>
        <w:t>，且总监理工程师</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技术负责人</w:t>
      </w:r>
      <w:r>
        <w:rPr>
          <w:rFonts w:hint="default" w:ascii="宋体" w:hAnsi="宋体" w:eastAsia="宋体" w:cs="宋体"/>
          <w:color w:val="auto"/>
          <w:sz w:val="24"/>
          <w:szCs w:val="24"/>
          <w:highlight w:val="none"/>
          <w:u w:val="none"/>
          <w:lang w:eastAsia="zh-CN"/>
        </w:rPr>
        <w:t>已</w:t>
      </w:r>
      <w:r>
        <w:rPr>
          <w:rFonts w:hint="default" w:ascii="宋体" w:hAnsi="宋体" w:eastAsia="宋体" w:cs="宋体"/>
          <w:color w:val="auto"/>
          <w:sz w:val="24"/>
          <w:szCs w:val="24"/>
          <w:highlight w:val="none"/>
          <w:u w:val="none"/>
        </w:rPr>
        <w:t>签字确认</w:t>
      </w:r>
      <w:r>
        <w:rPr>
          <w:rFonts w:hint="default" w:ascii="宋体" w:hAnsi="宋体" w:eastAsia="宋体" w:cs="宋体"/>
          <w:color w:val="auto"/>
          <w:sz w:val="24"/>
          <w:szCs w:val="24"/>
          <w:highlight w:val="none"/>
          <w:u w:val="none"/>
          <w:lang w:eastAsia="zh-CN"/>
        </w:rPr>
        <w:t>。</w:t>
      </w:r>
    </w:p>
    <w:p w14:paraId="099CC4B8">
      <w:pPr>
        <w:keepNext w:val="0"/>
        <w:keepLines w:val="0"/>
        <w:pageBreakBefore w:val="0"/>
        <w:wordWrap/>
        <w:bidi w:val="0"/>
        <w:snapToGrid w:val="0"/>
        <w:spacing w:line="360" w:lineRule="auto"/>
        <w:ind w:firstLine="480" w:firstLineChars="200"/>
        <w:textAlignment w:val="auto"/>
        <w:rPr>
          <w:rFonts w:hint="default" w:ascii="宋体" w:hAnsi="宋体" w:eastAsia="宋体" w:cs="Times New Roman"/>
          <w:color w:val="auto"/>
          <w:sz w:val="24"/>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6 </w:t>
      </w:r>
      <w:r>
        <w:rPr>
          <w:rFonts w:hint="default" w:ascii="宋体" w:hAnsi="宋体" w:eastAsia="宋体" w:cs="Times New Roman"/>
          <w:color w:val="auto"/>
          <w:sz w:val="24"/>
          <w:szCs w:val="24"/>
          <w:highlight w:val="none"/>
        </w:rPr>
        <w:t>投标人未被列入“在一定期限内依法取消参加依法必须进行招标的项目的投标资格”，具体名单以递交投标文件截止时间“信用广州”公布的“黑名单”为准。</w:t>
      </w:r>
    </w:p>
    <w:p w14:paraId="437D29FE">
      <w:pPr>
        <w:pStyle w:val="31"/>
        <w:keepNext w:val="0"/>
        <w:keepLines w:val="0"/>
        <w:pageBreakBefore w:val="0"/>
        <w:wordWrap/>
        <w:bidi w:val="0"/>
        <w:spacing w:before="0" w:after="0" w:line="360" w:lineRule="auto"/>
        <w:ind w:firstLine="540"/>
        <w:textAlignment w:val="auto"/>
        <w:rPr>
          <w:rFonts w:hint="default"/>
          <w:color w:val="auto"/>
          <w:sz w:val="24"/>
          <w:szCs w:val="24"/>
          <w:highlight w:val="none"/>
          <w:lang w:val="en-US" w:eastAsia="zh-CN"/>
        </w:rPr>
      </w:pPr>
      <w:r>
        <w:rPr>
          <w:rFonts w:hint="default" w:ascii="宋体" w:hAnsi="宋体" w:eastAsia="宋体" w:cs="Times New Roman"/>
          <w:color w:val="auto"/>
          <w:sz w:val="24"/>
          <w:szCs w:val="24"/>
          <w:highlight w:val="none"/>
        </w:rPr>
        <w:t>注：《全国失信惩戒措施清单基础清单》（2024版）</w:t>
      </w:r>
      <w:r>
        <w:rPr>
          <w:rFonts w:hint="eastAsia" w:ascii="仿宋" w:hAnsi="仿宋" w:eastAsia="仿宋" w:cs="仿宋"/>
          <w:color w:val="auto"/>
          <w:sz w:val="24"/>
          <w:szCs w:val="24"/>
          <w:highlight w:val="none"/>
        </w:rPr>
        <w:t>。</w:t>
      </w:r>
    </w:p>
    <w:p w14:paraId="53CB50CE">
      <w:pPr>
        <w:tabs>
          <w:tab w:val="left" w:pos="7513"/>
        </w:tabs>
        <w:spacing w:line="360" w:lineRule="auto"/>
        <w:ind w:firstLine="480" w:firstLineChars="200"/>
        <w:rPr>
          <w:rFonts w:hint="default" w:ascii="宋体" w:hAnsi="Times New Roman" w:eastAsia="宋体" w:cs="宋体"/>
          <w:color w:val="auto"/>
          <w:spacing w:val="6"/>
          <w:sz w:val="24"/>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CN"/>
        </w:rPr>
        <w:t xml:space="preserve"> </w:t>
      </w:r>
      <w:r>
        <w:rPr>
          <w:rFonts w:hint="default" w:ascii="宋体" w:hAnsi="宋体" w:eastAsia="宋体" w:cs="宋体"/>
          <w:color w:val="auto"/>
          <w:spacing w:val="7"/>
          <w:sz w:val="24"/>
          <w:szCs w:val="24"/>
          <w:highlight w:val="none"/>
        </w:rPr>
        <w:t>本次</w:t>
      </w:r>
      <w:r>
        <w:rPr>
          <w:rFonts w:hint="default" w:ascii="宋体" w:hAnsi="Times New Roman" w:eastAsia="宋体" w:cs="宋体"/>
          <w:color w:val="auto"/>
          <w:spacing w:val="7"/>
          <w:sz w:val="24"/>
          <w:szCs w:val="24"/>
          <w:highlight w:val="none"/>
        </w:rPr>
        <w:t>招标</w:t>
      </w:r>
      <w:r>
        <w:rPr>
          <w:rFonts w:hint="eastAsia" w:ascii="宋体" w:cs="宋体"/>
          <w:color w:val="auto"/>
          <w:spacing w:val="7"/>
          <w:sz w:val="24"/>
          <w:szCs w:val="24"/>
          <w:highlight w:val="none"/>
          <w:u w:val="single"/>
          <w:lang w:val="en-US" w:eastAsia="zh-CN"/>
        </w:rPr>
        <w:t>接受</w:t>
      </w:r>
      <w:r>
        <w:rPr>
          <w:rFonts w:hint="default" w:ascii="宋体" w:hAnsi="Times New Roman" w:eastAsia="宋体" w:cs="宋体"/>
          <w:color w:val="auto"/>
          <w:spacing w:val="6"/>
          <w:sz w:val="24"/>
          <w:szCs w:val="24"/>
          <w:highlight w:val="none"/>
        </w:rPr>
        <w:t>联合体投标。</w:t>
      </w:r>
      <w:bookmarkStart w:id="366" w:name="_GoBack"/>
      <w:bookmarkEnd w:id="366"/>
    </w:p>
    <w:p w14:paraId="03B47529">
      <w:pPr>
        <w:tabs>
          <w:tab w:val="left" w:pos="7513"/>
        </w:tabs>
        <w:spacing w:line="360" w:lineRule="auto"/>
        <w:ind w:firstLine="504" w:firstLineChars="200"/>
        <w:rPr>
          <w:rFonts w:hint="default" w:ascii="宋体" w:cs="宋体"/>
          <w:color w:val="auto"/>
          <w:spacing w:val="6"/>
          <w:highlight w:val="none"/>
        </w:rPr>
      </w:pPr>
      <w:r>
        <w:rPr>
          <w:rFonts w:hint="default" w:ascii="宋体" w:cs="宋体"/>
          <w:color w:val="auto"/>
          <w:spacing w:val="6"/>
          <w:highlight w:val="none"/>
        </w:rPr>
        <w:t>如投标人组成联合体，应</w:t>
      </w:r>
      <w:r>
        <w:rPr>
          <w:rFonts w:hint="eastAsia" w:ascii="宋体" w:cs="宋体"/>
          <w:color w:val="auto"/>
          <w:spacing w:val="6"/>
          <w:highlight w:val="none"/>
          <w:lang w:val="en-US" w:eastAsia="zh-CN"/>
        </w:rPr>
        <w:t>以水利工程施工监理资质为</w:t>
      </w:r>
      <w:r>
        <w:rPr>
          <w:rFonts w:hint="default" w:ascii="宋体" w:cs="宋体"/>
          <w:color w:val="auto"/>
          <w:spacing w:val="6"/>
          <w:highlight w:val="none"/>
        </w:rPr>
        <w:t>联合体主办方，并签订联合体工作协议。投标人拟任本工程</w:t>
      </w:r>
      <w:r>
        <w:rPr>
          <w:rFonts w:hint="eastAsia" w:ascii="宋体" w:cs="宋体"/>
          <w:color w:val="auto"/>
          <w:spacing w:val="6"/>
          <w:highlight w:val="none"/>
          <w:lang w:val="en-US" w:eastAsia="zh-CN"/>
        </w:rPr>
        <w:t>总监理工程师</w:t>
      </w:r>
      <w:r>
        <w:rPr>
          <w:rFonts w:hint="default" w:ascii="宋体" w:cs="宋体"/>
          <w:color w:val="auto"/>
          <w:spacing w:val="6"/>
          <w:highlight w:val="none"/>
        </w:rPr>
        <w:t>应为联合体主办方正式员工。联合体工作协议应明确约定各方拟承担的工作和责任。</w:t>
      </w:r>
    </w:p>
    <w:p w14:paraId="61A30384">
      <w:pPr>
        <w:tabs>
          <w:tab w:val="left" w:pos="7513"/>
        </w:tabs>
        <w:spacing w:line="360" w:lineRule="auto"/>
        <w:ind w:firstLine="504" w:firstLineChars="200"/>
        <w:rPr>
          <w:rFonts w:hint="default" w:ascii="宋体" w:cs="宋体"/>
          <w:color w:val="auto"/>
          <w:spacing w:val="6"/>
          <w:highlight w:val="none"/>
        </w:rPr>
      </w:pPr>
      <w:r>
        <w:rPr>
          <w:rFonts w:hint="default" w:ascii="宋体" w:cs="宋体"/>
          <w:color w:val="auto"/>
          <w:spacing w:val="6"/>
          <w:highlight w:val="none"/>
        </w:rPr>
        <w:t>（1）组成联合体承接按资质标准划分为同一类工程的投标人，资质等级按类别就低计算，其人员、资金、机械设备等资源性指标可合并计算。</w:t>
      </w:r>
    </w:p>
    <w:p w14:paraId="5F31C134">
      <w:pPr>
        <w:tabs>
          <w:tab w:val="left" w:pos="7513"/>
        </w:tabs>
        <w:spacing w:line="360" w:lineRule="auto"/>
        <w:ind w:firstLine="504" w:firstLineChars="200"/>
        <w:rPr>
          <w:rFonts w:hint="default" w:ascii="宋体" w:cs="宋体"/>
          <w:color w:val="auto"/>
          <w:spacing w:val="6"/>
          <w:highlight w:val="none"/>
        </w:rPr>
      </w:pPr>
      <w:r>
        <w:rPr>
          <w:rFonts w:hint="default" w:ascii="宋体" w:cs="宋体"/>
          <w:color w:val="auto"/>
          <w:spacing w:val="6"/>
          <w:highlight w:val="none"/>
        </w:rPr>
        <w:t>（2）组成联合体承接按资质标准划分为多类工程的投标人，应在联合体协议中明确承接每一类工程的成员单位。</w:t>
      </w:r>
    </w:p>
    <w:p w14:paraId="736335EB">
      <w:pPr>
        <w:tabs>
          <w:tab w:val="left" w:pos="7513"/>
        </w:tabs>
        <w:spacing w:line="360" w:lineRule="auto"/>
        <w:ind w:firstLine="504" w:firstLineChars="200"/>
        <w:rPr>
          <w:rFonts w:hint="default"/>
          <w:highlight w:val="none"/>
        </w:rPr>
      </w:pPr>
      <w:r>
        <w:rPr>
          <w:rFonts w:hint="default" w:ascii="宋体" w:cs="宋体"/>
          <w:color w:val="auto"/>
          <w:spacing w:val="6"/>
          <w:highlight w:val="none"/>
        </w:rPr>
        <w:t>（3）联合体组成单位数量不得超过2家。在投标过程中联合体不允许发生联合体成员变更的情形，否则其投标资格将被取消。</w:t>
      </w:r>
    </w:p>
    <w:p w14:paraId="5DAE7611">
      <w:pPr>
        <w:pStyle w:val="4"/>
        <w:keepNext w:val="0"/>
        <w:keepLines w:val="0"/>
        <w:pageBreakBefore w:val="0"/>
        <w:wordWrap/>
        <w:bidi w:val="0"/>
        <w:spacing w:line="360" w:lineRule="auto"/>
        <w:textAlignment w:val="auto"/>
        <w:outlineLvl w:val="1"/>
        <w:rPr>
          <w:rFonts w:hint="default" w:cs="宋体"/>
          <w:color w:val="auto"/>
          <w:sz w:val="24"/>
          <w:szCs w:val="24"/>
          <w:highlight w:val="none"/>
        </w:rPr>
      </w:pPr>
      <w:bookmarkStart w:id="27" w:name="bookmark5"/>
      <w:bookmarkEnd w:id="27"/>
      <w:bookmarkStart w:id="28" w:name="_Toc31806"/>
      <w:bookmarkStart w:id="29" w:name="_Toc9484"/>
      <w:r>
        <w:rPr>
          <w:rFonts w:hint="default" w:cs="宋体"/>
          <w:color w:val="auto"/>
          <w:sz w:val="24"/>
          <w:szCs w:val="24"/>
          <w:highlight w:val="none"/>
        </w:rPr>
        <w:t>4.招标文件的获取</w:t>
      </w:r>
      <w:bookmarkEnd w:id="28"/>
      <w:bookmarkEnd w:id="29"/>
    </w:p>
    <w:p w14:paraId="71364BE5">
      <w:pPr>
        <w:keepNext w:val="0"/>
        <w:keepLines w:val="0"/>
        <w:pageBreakBefore w:val="0"/>
        <w:widowControl/>
        <w:wordWrap/>
        <w:topLinePunct/>
        <w:autoSpaceDE/>
        <w:autoSpaceDN/>
        <w:bidi w:val="0"/>
        <w:adjustRightInd/>
        <w:snapToGrid w:val="0"/>
        <w:spacing w:line="360" w:lineRule="auto"/>
        <w:ind w:firstLine="471" w:firstLineChars="198"/>
        <w:textAlignment w:val="auto"/>
        <w:rPr>
          <w:rFonts w:hint="default" w:ascii="宋体" w:hAnsi="宋体" w:eastAsia="宋体" w:cs="宋体"/>
          <w:color w:val="auto"/>
          <w:sz w:val="24"/>
          <w:szCs w:val="24"/>
          <w:highlight w:val="none"/>
        </w:rPr>
      </w:pPr>
      <w:r>
        <w:rPr>
          <w:rFonts w:hint="default" w:ascii="宋体" w:hAnsi="宋体" w:eastAsia="宋体" w:cs="宋体"/>
          <w:color w:val="auto"/>
          <w:spacing w:val="-1"/>
          <w:sz w:val="24"/>
          <w:szCs w:val="24"/>
          <w:highlight w:val="none"/>
          <w:lang w:val="en-US" w:eastAsia="zh-CN"/>
        </w:rPr>
        <w:t>4</w:t>
      </w:r>
      <w:r>
        <w:rPr>
          <w:rFonts w:hint="default" w:ascii="宋体" w:hAnsi="宋体" w:eastAsia="宋体" w:cs="宋体"/>
          <w:color w:val="auto"/>
          <w:spacing w:val="-1"/>
          <w:sz w:val="24"/>
          <w:szCs w:val="24"/>
          <w:highlight w:val="none"/>
        </w:rPr>
        <w:t xml:space="preserve">.1 </w:t>
      </w:r>
      <w:r>
        <w:rPr>
          <w:rFonts w:hint="default" w:ascii="宋体" w:hAnsi="宋体" w:eastAsia="宋体" w:cs="宋体"/>
          <w:color w:val="auto"/>
          <w:sz w:val="24"/>
          <w:szCs w:val="24"/>
          <w:highlight w:val="none"/>
        </w:rPr>
        <w:t>发布招标公告</w:t>
      </w:r>
      <w:r>
        <w:rPr>
          <w:rFonts w:hint="default" w:ascii="宋体" w:hAnsi="宋体" w:eastAsia="宋体" w:cs="宋体"/>
          <w:color w:val="auto"/>
          <w:sz w:val="24"/>
          <w:szCs w:val="24"/>
          <w:highlight w:val="none"/>
          <w:lang w:val="en-US" w:eastAsia="zh-CN"/>
        </w:rPr>
        <w:t>的</w:t>
      </w:r>
      <w:r>
        <w:rPr>
          <w:rFonts w:hint="default" w:ascii="宋体" w:hAnsi="宋体" w:eastAsia="宋体" w:cs="宋体"/>
          <w:color w:val="auto"/>
          <w:sz w:val="24"/>
          <w:szCs w:val="24"/>
          <w:highlight w:val="none"/>
        </w:rPr>
        <w:t>时间：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日至</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 xml:space="preserve">日 </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时</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分</w:t>
      </w:r>
      <w:r>
        <w:rPr>
          <w:rFonts w:hint="default" w:ascii="宋体" w:hAnsi="宋体" w:eastAsia="宋体" w:cs="宋体"/>
          <w:color w:val="auto"/>
          <w:sz w:val="24"/>
          <w:szCs w:val="24"/>
          <w:highlight w:val="none"/>
          <w:lang w:eastAsia="zh-CN"/>
        </w:rPr>
        <w:t>（北京时间，下同），凡有意参加投标者，请登录</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网站下载电子招标文件。</w:t>
      </w:r>
    </w:p>
    <w:p w14:paraId="50405C8C">
      <w:pPr>
        <w:keepNext w:val="0"/>
        <w:keepLines w:val="0"/>
        <w:pageBreakBefore w:val="0"/>
        <w:widowControl/>
        <w:wordWrap/>
        <w:topLinePunct/>
        <w:autoSpaceDE/>
        <w:autoSpaceDN/>
        <w:bidi w:val="0"/>
        <w:adjustRightInd/>
        <w:snapToGrid w:val="0"/>
        <w:spacing w:line="360" w:lineRule="auto"/>
        <w:ind w:left="480" w:left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注：发布招标公告的时间为招标公告发出之日起至递交投标文件截止时间止。</w:t>
      </w:r>
    </w:p>
    <w:p w14:paraId="62929909">
      <w:pPr>
        <w:keepNext w:val="0"/>
        <w:keepLines w:val="0"/>
        <w:pageBreakBefore w:val="0"/>
        <w:widowControl/>
        <w:wordWrap/>
        <w:topLinePunct/>
        <w:autoSpaceDE/>
        <w:autoSpaceDN/>
        <w:bidi w:val="0"/>
        <w:adjustRightInd/>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rPr>
        <w:t>.2 本项目招标文件随招标公告一并在</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网站交易平台</w:t>
      </w:r>
      <w:r>
        <w:rPr>
          <w:rFonts w:hint="default" w:ascii="宋体" w:hAnsi="宋体" w:eastAsia="宋体" w:cs="宋体"/>
          <w:color w:val="auto"/>
          <w:sz w:val="24"/>
          <w:szCs w:val="24"/>
          <w:highlight w:val="none"/>
        </w:rPr>
        <w:t>发布</w:t>
      </w:r>
      <w:r>
        <w:rPr>
          <w:rFonts w:hint="default" w:ascii="宋体" w:hAnsi="宋体" w:eastAsia="宋体" w:cs="宋体"/>
          <w:color w:val="auto"/>
          <w:sz w:val="24"/>
          <w:szCs w:val="24"/>
          <w:highlight w:val="none"/>
          <w:lang w:eastAsia="zh-CN"/>
        </w:rPr>
        <w:t>。招标文件一经在交易平台发布，视为发出给投标人，招标文件</w:t>
      </w:r>
      <w:r>
        <w:rPr>
          <w:rFonts w:hint="default" w:ascii="宋体" w:hAnsi="宋体" w:eastAsia="宋体" w:cs="宋体"/>
          <w:color w:val="auto"/>
          <w:sz w:val="24"/>
          <w:szCs w:val="24"/>
          <w:highlight w:val="none"/>
        </w:rPr>
        <w:t>由投标人自行</w:t>
      </w:r>
      <w:r>
        <w:rPr>
          <w:rFonts w:hint="default" w:ascii="宋体" w:hAnsi="宋体" w:eastAsia="宋体" w:cs="宋体"/>
          <w:color w:val="auto"/>
          <w:sz w:val="24"/>
          <w:szCs w:val="24"/>
          <w:highlight w:val="none"/>
          <w:lang w:eastAsia="zh-CN"/>
        </w:rPr>
        <w:t>在交易平台</w:t>
      </w:r>
      <w:r>
        <w:rPr>
          <w:rFonts w:hint="default" w:ascii="宋体" w:hAnsi="宋体" w:eastAsia="宋体" w:cs="宋体"/>
          <w:color w:val="auto"/>
          <w:sz w:val="24"/>
          <w:szCs w:val="24"/>
          <w:highlight w:val="none"/>
        </w:rPr>
        <w:t>下载。</w:t>
      </w:r>
    </w:p>
    <w:p w14:paraId="6023C28F">
      <w:pPr>
        <w:keepNext w:val="0"/>
        <w:keepLines w:val="0"/>
        <w:pageBreakBefore w:val="0"/>
        <w:widowControl/>
        <w:wordWrap/>
        <w:topLinePunct/>
        <w:autoSpaceDE/>
        <w:autoSpaceDN/>
        <w:bidi w:val="0"/>
        <w:adjustRightInd/>
        <w:snapToGrid w:val="0"/>
        <w:spacing w:line="360" w:lineRule="auto"/>
        <w:ind w:firstLine="480" w:firstLineChars="200"/>
        <w:textAlignment w:val="auto"/>
        <w:outlineLvl w:val="2"/>
        <w:rPr>
          <w:rFonts w:hint="default" w:ascii="宋体" w:hAnsi="宋体" w:eastAsia="宋体" w:cs="宋体"/>
          <w:color w:val="auto"/>
          <w:sz w:val="24"/>
          <w:szCs w:val="24"/>
          <w:highlight w:val="none"/>
        </w:rPr>
      </w:pPr>
      <w:bookmarkStart w:id="30" w:name="_Toc31143"/>
      <w:bookmarkStart w:id="31" w:name="_Toc24583"/>
      <w:bookmarkStart w:id="32" w:name="_Toc31577"/>
      <w:r>
        <w:rPr>
          <w:rFonts w:hint="default"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rPr>
        <w:t>.</w:t>
      </w:r>
      <w:r>
        <w:rPr>
          <w:rFonts w:hint="default"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rPr>
        <w:t xml:space="preserve"> 本项目</w:t>
      </w:r>
      <w:r>
        <w:rPr>
          <w:rFonts w:hint="default" w:ascii="宋体" w:hAnsi="宋体" w:eastAsia="宋体" w:cs="宋体"/>
          <w:color w:val="auto"/>
          <w:sz w:val="24"/>
          <w:szCs w:val="24"/>
          <w:highlight w:val="none"/>
          <w:lang w:eastAsia="zh-CN"/>
        </w:rPr>
        <w:t>采用资格后审方式</w:t>
      </w:r>
      <w:r>
        <w:rPr>
          <w:rFonts w:hint="default" w:ascii="宋体" w:hAnsi="宋体" w:eastAsia="宋体" w:cs="宋体"/>
          <w:color w:val="auto"/>
          <w:sz w:val="24"/>
          <w:szCs w:val="24"/>
          <w:highlight w:val="none"/>
        </w:rPr>
        <w:t>。</w:t>
      </w:r>
      <w:bookmarkEnd w:id="30"/>
      <w:bookmarkEnd w:id="31"/>
      <w:bookmarkEnd w:id="32"/>
    </w:p>
    <w:p w14:paraId="43BBEBE9">
      <w:pPr>
        <w:pStyle w:val="4"/>
        <w:keepNext w:val="0"/>
        <w:keepLines w:val="0"/>
        <w:pageBreakBefore w:val="0"/>
        <w:wordWrap/>
        <w:bidi w:val="0"/>
        <w:spacing w:line="360" w:lineRule="auto"/>
        <w:textAlignment w:val="auto"/>
        <w:outlineLvl w:val="1"/>
        <w:rPr>
          <w:rFonts w:hint="default" w:cs="宋体"/>
          <w:color w:val="auto"/>
          <w:sz w:val="24"/>
          <w:szCs w:val="24"/>
          <w:highlight w:val="none"/>
        </w:rPr>
      </w:pPr>
      <w:bookmarkStart w:id="33" w:name="bookmark6"/>
      <w:bookmarkEnd w:id="33"/>
      <w:bookmarkStart w:id="34" w:name="_Toc8907"/>
      <w:bookmarkStart w:id="35" w:name="_Toc20629"/>
      <w:r>
        <w:rPr>
          <w:rFonts w:hint="default" w:cs="宋体"/>
          <w:color w:val="auto"/>
          <w:sz w:val="24"/>
          <w:szCs w:val="24"/>
          <w:highlight w:val="none"/>
        </w:rPr>
        <w:t>5.投标文件的递交</w:t>
      </w:r>
      <w:bookmarkEnd w:id="34"/>
      <w:bookmarkEnd w:id="35"/>
    </w:p>
    <w:p w14:paraId="52971F90">
      <w:pPr>
        <w:keepNext w:val="0"/>
        <w:keepLines w:val="0"/>
        <w:pageBreakBefore w:val="0"/>
        <w:widowControl/>
        <w:wordWrap/>
        <w:topLinePunct/>
        <w:autoSpaceDE/>
        <w:autoSpaceDN/>
        <w:bidi w:val="0"/>
        <w:adjustRightInd/>
        <w:snapToGrid w:val="0"/>
        <w:spacing w:line="360" w:lineRule="auto"/>
        <w:ind w:firstLine="480" w:firstLineChars="200"/>
        <w:textAlignment w:val="auto"/>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5.1</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eastAsia="zh-CN"/>
        </w:rPr>
        <w:t>投标</w:t>
      </w:r>
      <w:r>
        <w:rPr>
          <w:rFonts w:hint="default" w:ascii="宋体" w:hAnsi="宋体" w:eastAsia="宋体" w:cs="宋体"/>
          <w:color w:val="auto"/>
          <w:sz w:val="24"/>
          <w:szCs w:val="24"/>
          <w:highlight w:val="none"/>
        </w:rPr>
        <w:t>截止时间</w:t>
      </w:r>
      <w:r>
        <w:rPr>
          <w:rFonts w:hint="default" w:ascii="宋体" w:hAnsi="宋体" w:eastAsia="宋体" w:cs="宋体"/>
          <w:color w:val="auto"/>
          <w:sz w:val="24"/>
          <w:szCs w:val="24"/>
          <w:highlight w:val="none"/>
          <w:lang w:eastAsia="zh-CN"/>
        </w:rPr>
        <w:t>为</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时</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分</w:t>
      </w:r>
      <w:r>
        <w:rPr>
          <w:rFonts w:hint="default"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w:t>
      </w:r>
      <w:r>
        <w:rPr>
          <w:rFonts w:hint="default" w:ascii="宋体" w:hAnsi="宋体" w:eastAsia="宋体" w:cs="宋体"/>
          <w:color w:val="auto"/>
          <w:sz w:val="24"/>
          <w:szCs w:val="24"/>
          <w:highlight w:val="none"/>
          <w:lang w:eastAsia="zh-CN"/>
        </w:rPr>
        <w:t>应在截止时间前</w:t>
      </w:r>
      <w:r>
        <w:rPr>
          <w:rFonts w:hint="default" w:ascii="宋体" w:hAnsi="宋体" w:eastAsia="宋体" w:cs="宋体"/>
          <w:color w:val="auto"/>
          <w:sz w:val="24"/>
          <w:szCs w:val="24"/>
          <w:highlight w:val="none"/>
        </w:rPr>
        <w:t>通过</w:t>
      </w:r>
      <w:r>
        <w:rPr>
          <w:rFonts w:hint="eastAsia" w:ascii="宋体" w:hAnsi="宋体" w:cs="宋体"/>
          <w:color w:val="auto"/>
          <w:sz w:val="24"/>
          <w:szCs w:val="24"/>
          <w:highlight w:val="none"/>
          <w:lang w:val="en-US" w:eastAsia="zh-CN"/>
        </w:rPr>
        <w:t>广州交易集团有限公司（广州公共资源交易中心）</w:t>
      </w:r>
      <w:r>
        <w:rPr>
          <w:rFonts w:hint="default" w:ascii="宋体" w:hAnsi="宋体" w:eastAsia="宋体" w:cs="宋体"/>
          <w:color w:val="auto"/>
          <w:sz w:val="24"/>
          <w:szCs w:val="24"/>
          <w:highlight w:val="none"/>
          <w:lang w:val="en-US" w:eastAsia="zh-CN"/>
        </w:rPr>
        <w:t>网站</w:t>
      </w:r>
      <w:r>
        <w:rPr>
          <w:rFonts w:hint="default" w:ascii="宋体" w:hAnsi="宋体" w:eastAsia="宋体" w:cs="宋体"/>
          <w:color w:val="auto"/>
          <w:sz w:val="24"/>
          <w:szCs w:val="24"/>
          <w:highlight w:val="none"/>
        </w:rPr>
        <w:t>交易平台递交电子投标文件。</w:t>
      </w:r>
      <w:r>
        <w:rPr>
          <w:rFonts w:hint="default" w:ascii="宋体" w:hAnsi="宋体" w:eastAsia="宋体" w:cs="宋体"/>
          <w:color w:val="auto"/>
          <w:sz w:val="24"/>
          <w:szCs w:val="24"/>
          <w:highlight w:val="none"/>
          <w:lang w:eastAsia="zh-CN"/>
        </w:rPr>
        <w:t>投标人</w:t>
      </w:r>
      <w:r>
        <w:rPr>
          <w:rFonts w:hint="default" w:ascii="宋体" w:hAnsi="宋体" w:eastAsia="宋体" w:cs="宋体"/>
          <w:color w:val="auto"/>
          <w:sz w:val="24"/>
          <w:szCs w:val="24"/>
          <w:highlight w:val="none"/>
        </w:rPr>
        <w:t>完成</w:t>
      </w:r>
      <w:r>
        <w:rPr>
          <w:rFonts w:hint="default" w:ascii="宋体" w:hAnsi="宋体" w:eastAsia="宋体" w:cs="宋体"/>
          <w:color w:val="auto"/>
          <w:sz w:val="24"/>
          <w:szCs w:val="24"/>
          <w:highlight w:val="none"/>
          <w:lang w:eastAsia="zh-CN"/>
        </w:rPr>
        <w:t>电子</w:t>
      </w:r>
      <w:r>
        <w:rPr>
          <w:rFonts w:hint="default" w:ascii="宋体" w:hAnsi="宋体" w:eastAsia="宋体" w:cs="宋体"/>
          <w:color w:val="auto"/>
          <w:sz w:val="24"/>
          <w:szCs w:val="24"/>
          <w:highlight w:val="none"/>
        </w:rPr>
        <w:t>投标文件上传</w:t>
      </w:r>
      <w:r>
        <w:rPr>
          <w:rFonts w:hint="default" w:ascii="宋体" w:hAnsi="宋体" w:eastAsia="宋体" w:cs="宋体"/>
          <w:color w:val="auto"/>
          <w:sz w:val="24"/>
          <w:szCs w:val="24"/>
          <w:highlight w:val="none"/>
          <w:lang w:eastAsia="zh-CN"/>
        </w:rPr>
        <w:t>后</w:t>
      </w:r>
      <w:r>
        <w:rPr>
          <w:rFonts w:hint="default" w:ascii="宋体" w:hAnsi="宋体" w:eastAsia="宋体" w:cs="宋体"/>
          <w:color w:val="auto"/>
          <w:sz w:val="24"/>
          <w:szCs w:val="24"/>
          <w:highlight w:val="none"/>
        </w:rPr>
        <w:t>，</w:t>
      </w:r>
      <w:r>
        <w:rPr>
          <w:rFonts w:hint="default" w:ascii="宋体" w:hAnsi="宋体" w:eastAsia="宋体" w:cs="宋体"/>
          <w:color w:val="auto"/>
          <w:sz w:val="24"/>
          <w:szCs w:val="24"/>
          <w:highlight w:val="none"/>
          <w:lang w:eastAsia="zh-CN"/>
        </w:rPr>
        <w:t>交易平台即时向投标人发出递交</w:t>
      </w:r>
      <w:r>
        <w:rPr>
          <w:rFonts w:hint="default" w:ascii="宋体" w:hAnsi="宋体" w:eastAsia="宋体" w:cs="宋体"/>
          <w:color w:val="auto"/>
          <w:sz w:val="24"/>
          <w:szCs w:val="24"/>
          <w:highlight w:val="none"/>
        </w:rPr>
        <w:t>回执</w:t>
      </w:r>
      <w:r>
        <w:rPr>
          <w:rFonts w:hint="default" w:ascii="宋体" w:hAnsi="宋体" w:eastAsia="宋体" w:cs="宋体"/>
          <w:color w:val="auto"/>
          <w:sz w:val="24"/>
          <w:szCs w:val="24"/>
          <w:highlight w:val="none"/>
          <w:lang w:eastAsia="zh-CN"/>
        </w:rPr>
        <w:t>通知。递交时间以递交回执通知载明的传输完成时间为准。</w:t>
      </w:r>
    </w:p>
    <w:p w14:paraId="3C9BDA1A">
      <w:pPr>
        <w:keepNext w:val="0"/>
        <w:keepLines w:val="0"/>
        <w:pageBreakBefore w:val="0"/>
        <w:widowControl/>
        <w:wordWrap/>
        <w:topLinePunct/>
        <w:autoSpaceDE/>
        <w:autoSpaceDN/>
        <w:bidi w:val="0"/>
        <w:adjustRightInd/>
        <w:snapToGrid w:val="0"/>
        <w:spacing w:line="360" w:lineRule="auto"/>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在投标截止时间后半小时内，投标人通过</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w:t>
      </w:r>
      <w:r>
        <w:rPr>
          <w:rFonts w:hint="default" w:ascii="宋体" w:hAnsi="宋体" w:eastAsia="宋体" w:cs="宋体"/>
          <w:color w:val="auto"/>
          <w:sz w:val="24"/>
          <w:szCs w:val="24"/>
          <w:highlight w:val="none"/>
        </w:rPr>
        <w:t>对已递交的电子投标文件进行解密。</w:t>
      </w:r>
    </w:p>
    <w:p w14:paraId="610604A3">
      <w:pPr>
        <w:keepNext w:val="0"/>
        <w:keepLines w:val="0"/>
        <w:pageBreakBefore w:val="0"/>
        <w:widowControl/>
        <w:wordWrap/>
        <w:topLinePunct/>
        <w:autoSpaceDE/>
        <w:autoSpaceDN/>
        <w:bidi w:val="0"/>
        <w:adjustRightInd/>
        <w:snapToGrid w:val="0"/>
        <w:spacing w:line="360" w:lineRule="auto"/>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递交投标文件备用</w:t>
      </w:r>
      <w:r>
        <w:rPr>
          <w:rFonts w:hint="eastAsia" w:ascii="宋体" w:hAnsi="宋体" w:cs="宋体"/>
          <w:color w:val="auto"/>
          <w:sz w:val="24"/>
          <w:szCs w:val="24"/>
          <w:highlight w:val="none"/>
          <w:lang w:val="en-US" w:eastAsia="zh-CN"/>
        </w:rPr>
        <w:t>光</w:t>
      </w:r>
      <w:r>
        <w:rPr>
          <w:rFonts w:hint="default" w:ascii="宋体" w:hAnsi="宋体" w:eastAsia="宋体" w:cs="宋体"/>
          <w:color w:val="auto"/>
          <w:sz w:val="24"/>
          <w:szCs w:val="24"/>
          <w:highlight w:val="none"/>
        </w:rPr>
        <w:t>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U盘</w:t>
      </w:r>
      <w:r>
        <w:rPr>
          <w:rFonts w:hint="eastAsia" w:ascii="宋体" w:hAnsi="宋体" w:cs="宋体"/>
          <w:color w:val="auto"/>
          <w:sz w:val="24"/>
          <w:szCs w:val="24"/>
          <w:highlight w:val="none"/>
          <w:lang w:eastAsia="zh-CN"/>
        </w:rPr>
        <w:t>）</w:t>
      </w:r>
      <w:r>
        <w:rPr>
          <w:rFonts w:hint="default" w:ascii="宋体" w:hAnsi="宋体" w:eastAsia="宋体" w:cs="宋体"/>
          <w:color w:val="auto"/>
          <w:sz w:val="24"/>
          <w:szCs w:val="24"/>
          <w:highlight w:val="none"/>
        </w:rPr>
        <w:t>时间：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时</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分至</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时</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分，地点：广州公共资源交易中心第</w:t>
      </w:r>
      <w:r>
        <w:rPr>
          <w:rFonts w:hint="eastAsia" w:ascii="宋体" w:hAnsi="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开标室。</w:t>
      </w:r>
    </w:p>
    <w:p w14:paraId="1323844C">
      <w:pPr>
        <w:keepNext w:val="0"/>
        <w:keepLines w:val="0"/>
        <w:pageBreakBefore w:val="0"/>
        <w:widowControl/>
        <w:wordWrap/>
        <w:topLinePunct/>
        <w:autoSpaceDE/>
        <w:autoSpaceDN/>
        <w:bidi w:val="0"/>
        <w:adjustRightInd/>
        <w:snapToGrid w:val="0"/>
        <w:spacing w:line="360" w:lineRule="auto"/>
        <w:ind w:firstLine="480" w:firstLineChars="200"/>
        <w:textAlignment w:val="auto"/>
        <w:rPr>
          <w:rFonts w:hint="default"/>
          <w:highlight w:val="none"/>
        </w:rPr>
      </w:pPr>
      <w:r>
        <w:rPr>
          <w:rFonts w:hint="default" w:ascii="宋体" w:hAnsi="宋体" w:eastAsia="宋体" w:cs="宋体"/>
          <w:color w:val="auto"/>
          <w:sz w:val="24"/>
          <w:szCs w:val="24"/>
          <w:highlight w:val="none"/>
        </w:rPr>
        <w:t>注：递交备用电子U盘时须提交法定代表人身份证明及授权委托书（非法定代表人递交时）原件。</w:t>
      </w:r>
    </w:p>
    <w:p w14:paraId="2AECFC55">
      <w:pPr>
        <w:keepNext w:val="0"/>
        <w:keepLines w:val="0"/>
        <w:pageBreakBefore w:val="0"/>
        <w:widowControl/>
        <w:wordWrap/>
        <w:topLinePunct/>
        <w:autoSpaceDE/>
        <w:autoSpaceDN/>
        <w:bidi w:val="0"/>
        <w:adjustRightInd/>
        <w:snapToGrid w:val="0"/>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5.2</w:t>
      </w:r>
      <w:r>
        <w:rPr>
          <w:rFonts w:hint="eastAsia" w:ascii="宋体" w:hAnsi="宋体" w:cs="宋体"/>
          <w:color w:val="auto"/>
          <w:sz w:val="24"/>
          <w:szCs w:val="24"/>
          <w:highlight w:val="none"/>
          <w:lang w:val="en-US" w:eastAsia="zh-CN"/>
        </w:rPr>
        <w:t xml:space="preserve"> 投标登记前，投标人须在广州交易集团有限公司（广州公共资源交易中心）企业库已办理企业信息登记及拟担任本工程总监理工程师须是本单位在企业库中的在册人员。</w:t>
      </w:r>
      <w:r>
        <w:rPr>
          <w:rFonts w:hint="default" w:ascii="宋体" w:hAnsi="宋体" w:eastAsia="宋体" w:cs="宋体"/>
          <w:color w:val="auto"/>
          <w:sz w:val="24"/>
          <w:szCs w:val="24"/>
          <w:highlight w:val="none"/>
        </w:rPr>
        <w:t>投标人应在递交投标文件截止时间前，登录</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rPr>
        <w:t>网站交易平台办理网上投标登记手续；</w:t>
      </w:r>
      <w:r>
        <w:rPr>
          <w:rFonts w:hint="default" w:ascii="宋体" w:hAnsi="宋体" w:eastAsia="宋体"/>
          <w:color w:val="auto"/>
          <w:sz w:val="24"/>
          <w:szCs w:val="24"/>
          <w:highlight w:val="none"/>
          <w:lang w:eastAsia="zh-CN"/>
        </w:rPr>
        <w:t>按照</w:t>
      </w:r>
      <w:r>
        <w:rPr>
          <w:rFonts w:hint="eastAsia" w:ascii="宋体" w:hAnsi="宋体"/>
          <w:color w:val="auto"/>
          <w:sz w:val="24"/>
          <w:szCs w:val="24"/>
          <w:highlight w:val="none"/>
          <w:lang w:eastAsia="zh-CN"/>
        </w:rPr>
        <w:t>广州交易集团有限公司（广州公共资源交易中心）</w:t>
      </w:r>
      <w:r>
        <w:rPr>
          <w:rFonts w:hint="default" w:ascii="宋体" w:hAnsi="宋体" w:eastAsia="宋体"/>
          <w:color w:val="auto"/>
          <w:sz w:val="24"/>
          <w:szCs w:val="24"/>
          <w:highlight w:val="none"/>
          <w:lang w:eastAsia="zh-CN"/>
        </w:rPr>
        <w:t>网站关于全流程电子化项目的相关指南进行操作。</w:t>
      </w:r>
    </w:p>
    <w:p w14:paraId="5D1C2E93">
      <w:pPr>
        <w:keepNext w:val="0"/>
        <w:keepLines w:val="0"/>
        <w:pageBreakBefore w:val="0"/>
        <w:widowControl/>
        <w:wordWrap/>
        <w:topLinePunct/>
        <w:autoSpaceDE/>
        <w:autoSpaceDN/>
        <w:bidi w:val="0"/>
        <w:adjustRightInd/>
        <w:snapToGrid w:val="0"/>
        <w:spacing w:line="360" w:lineRule="auto"/>
        <w:ind w:left="480" w:leftChars="200"/>
        <w:jc w:val="both"/>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5.3</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开标</w:t>
      </w:r>
      <w:r>
        <w:rPr>
          <w:rFonts w:hint="default" w:ascii="宋体" w:hAnsi="宋体" w:eastAsia="宋体" w:cs="宋体"/>
          <w:color w:val="auto"/>
          <w:sz w:val="24"/>
          <w:szCs w:val="24"/>
          <w:highlight w:val="none"/>
          <w:lang w:eastAsia="zh-CN"/>
        </w:rPr>
        <w:t>开始</w:t>
      </w:r>
      <w:r>
        <w:rPr>
          <w:rFonts w:hint="default" w:ascii="宋体" w:hAnsi="宋体" w:eastAsia="宋体" w:cs="宋体"/>
          <w:color w:val="auto"/>
          <w:sz w:val="24"/>
          <w:szCs w:val="24"/>
          <w:highlight w:val="none"/>
        </w:rPr>
        <w:t>时间：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时</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 xml:space="preserve">分。    </w:t>
      </w:r>
    </w:p>
    <w:p w14:paraId="5F6CA93C">
      <w:pPr>
        <w:keepNext w:val="0"/>
        <w:keepLines w:val="0"/>
        <w:pageBreakBefore w:val="0"/>
        <w:widowControl/>
        <w:wordWrap/>
        <w:topLinePunct/>
        <w:autoSpaceDE/>
        <w:autoSpaceDN/>
        <w:bidi w:val="0"/>
        <w:adjustRightInd/>
        <w:snapToGrid w:val="0"/>
        <w:spacing w:line="360" w:lineRule="auto"/>
        <w:ind w:firstLine="480" w:firstLineChars="200"/>
        <w:jc w:val="both"/>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5.4</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6E7AFD36">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5.5 逾期送达的电子投标文件，</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w:t>
      </w:r>
      <w:r>
        <w:rPr>
          <w:rFonts w:hint="default" w:ascii="宋体" w:hAnsi="宋体" w:eastAsia="宋体" w:cs="宋体"/>
          <w:color w:val="auto"/>
          <w:sz w:val="24"/>
          <w:szCs w:val="24"/>
          <w:highlight w:val="none"/>
          <w:lang w:val="en-US" w:eastAsia="zh-CN"/>
        </w:rPr>
        <w:t>交易平台将予以拒收。</w:t>
      </w:r>
    </w:p>
    <w:p w14:paraId="707D05B6">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both"/>
        <w:textAlignment w:val="auto"/>
        <w:rPr>
          <w:rFonts w:hint="default" w:ascii="宋体" w:hAnsi="宋体" w:eastAsia="宋体" w:cs="宋体"/>
          <w:color w:val="auto"/>
          <w:w w:val="100"/>
          <w:sz w:val="24"/>
          <w:szCs w:val="24"/>
          <w:highlight w:val="none"/>
          <w:lang w:val="en-US" w:eastAsia="zh-CN"/>
        </w:rPr>
      </w:pPr>
      <w:r>
        <w:rPr>
          <w:rFonts w:hint="default" w:ascii="宋体" w:hAnsi="宋体" w:eastAsia="宋体" w:cs="宋体"/>
          <w:color w:val="auto"/>
          <w:w w:val="100"/>
          <w:sz w:val="24"/>
          <w:szCs w:val="24"/>
          <w:highlight w:val="none"/>
          <w:lang w:val="en-US" w:eastAsia="zh-CN"/>
        </w:rPr>
        <w:t>5.6</w:t>
      </w:r>
      <w:r>
        <w:rPr>
          <w:rFonts w:hint="eastAsia" w:ascii="宋体" w:hAnsi="宋体" w:cs="宋体"/>
          <w:color w:val="auto"/>
          <w:w w:val="100"/>
          <w:sz w:val="24"/>
          <w:szCs w:val="24"/>
          <w:highlight w:val="none"/>
          <w:lang w:val="en-US" w:eastAsia="zh-CN"/>
        </w:rPr>
        <w:t xml:space="preserve"> </w:t>
      </w:r>
      <w:r>
        <w:rPr>
          <w:rFonts w:hint="default" w:ascii="宋体" w:hAnsi="宋体" w:eastAsia="宋体" w:cs="宋体"/>
          <w:color w:val="auto"/>
          <w:w w:val="100"/>
          <w:sz w:val="24"/>
          <w:szCs w:val="24"/>
          <w:highlight w:val="none"/>
          <w:lang w:val="en-US" w:eastAsia="zh-CN"/>
        </w:rPr>
        <w:t>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14:paraId="7570E09C">
      <w:pPr>
        <w:pStyle w:val="4"/>
        <w:keepNext w:val="0"/>
        <w:keepLines w:val="0"/>
        <w:pageBreakBefore w:val="0"/>
        <w:wordWrap/>
        <w:bidi w:val="0"/>
        <w:spacing w:line="360" w:lineRule="auto"/>
        <w:textAlignment w:val="auto"/>
        <w:outlineLvl w:val="1"/>
        <w:rPr>
          <w:rFonts w:hint="default"/>
          <w:color w:val="auto"/>
          <w:sz w:val="24"/>
          <w:szCs w:val="24"/>
          <w:highlight w:val="none"/>
        </w:rPr>
      </w:pPr>
      <w:bookmarkStart w:id="36" w:name="bookmark7"/>
      <w:bookmarkEnd w:id="36"/>
      <w:bookmarkStart w:id="37" w:name="_Toc15859"/>
      <w:bookmarkStart w:id="38" w:name="_Toc2075"/>
      <w:r>
        <w:rPr>
          <w:rFonts w:hint="default"/>
          <w:color w:val="auto"/>
          <w:sz w:val="24"/>
          <w:szCs w:val="24"/>
          <w:highlight w:val="none"/>
        </w:rPr>
        <w:t>6.发布公告的媒介</w:t>
      </w:r>
      <w:bookmarkEnd w:id="37"/>
      <w:bookmarkEnd w:id="38"/>
    </w:p>
    <w:p w14:paraId="3C210E93">
      <w:pPr>
        <w:keepNext w:val="0"/>
        <w:keepLines w:val="0"/>
        <w:pageBreakBefore w:val="0"/>
        <w:wordWrap/>
        <w:bidi w:val="0"/>
        <w:snapToGrid w:val="0"/>
        <w:spacing w:line="360" w:lineRule="auto"/>
        <w:ind w:firstLine="240" w:firstLineChars="100"/>
        <w:jc w:val="both"/>
        <w:textAlignment w:val="auto"/>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本次招标公告同时在</w:t>
      </w:r>
      <w:r>
        <w:rPr>
          <w:rFonts w:hint="eastAsia" w:ascii="宋体" w:hAnsi="宋体" w:cs="Times New Roman"/>
          <w:color w:val="auto"/>
          <w:sz w:val="24"/>
          <w:szCs w:val="24"/>
          <w:highlight w:val="none"/>
          <w:lang w:eastAsia="zh-CN"/>
        </w:rPr>
        <w:t>广州交易集团有限公司（广州公共资源交易中心）</w:t>
      </w:r>
      <w:r>
        <w:rPr>
          <w:rFonts w:hint="default" w:ascii="宋体" w:hAnsi="宋体" w:eastAsia="宋体" w:cs="Times New Roman"/>
          <w:color w:val="auto"/>
          <w:sz w:val="24"/>
          <w:szCs w:val="24"/>
          <w:highlight w:val="none"/>
        </w:rPr>
        <w:t>网（网址：http://www.gzggzy.cn）、广东省招标投标监管网（网址：http://zbtb.gd.gov.cn/）</w:t>
      </w:r>
      <w:r>
        <w:rPr>
          <w:rFonts w:hint="eastAsia" w:ascii="宋体" w:hAnsi="宋体" w:cs="Times New Roman"/>
          <w:color w:val="auto"/>
          <w:sz w:val="24"/>
          <w:szCs w:val="24"/>
          <w:highlight w:val="none"/>
          <w:lang w:eastAsia="zh-CN"/>
        </w:rPr>
        <w:t>、</w:t>
      </w:r>
      <w:r>
        <w:rPr>
          <w:rFonts w:hint="default" w:ascii="宋体" w:hAnsi="宋体" w:eastAsia="宋体" w:cs="Times New Roman"/>
          <w:color w:val="auto"/>
          <w:sz w:val="24"/>
          <w:szCs w:val="24"/>
          <w:highlight w:val="none"/>
        </w:rPr>
        <w:t>中国招标投标公共服务平台（网址：http://www.cebpubservice.com/）</w:t>
      </w:r>
      <w:r>
        <w:rPr>
          <w:rFonts w:hint="eastAsia" w:ascii="宋体" w:hAnsi="宋体" w:cs="Times New Roman"/>
          <w:color w:val="auto"/>
          <w:sz w:val="24"/>
          <w:szCs w:val="24"/>
          <w:highlight w:val="none"/>
          <w:lang w:val="en-US" w:eastAsia="zh-CN"/>
        </w:rPr>
        <w:t>和广州市白云区人民政府门户网站（https://www.by.gov.cn/）</w:t>
      </w:r>
      <w:r>
        <w:rPr>
          <w:rFonts w:hint="default" w:ascii="宋体" w:hAnsi="宋体" w:eastAsia="宋体" w:cs="Times New Roman"/>
          <w:color w:val="auto"/>
          <w:sz w:val="24"/>
          <w:szCs w:val="24"/>
          <w:highlight w:val="none"/>
        </w:rPr>
        <w:t>发布，本公告的修改、补充，在</w:t>
      </w:r>
      <w:r>
        <w:rPr>
          <w:rFonts w:hint="eastAsia" w:ascii="宋体" w:hAnsi="宋体" w:cs="Times New Roman"/>
          <w:color w:val="auto"/>
          <w:sz w:val="24"/>
          <w:szCs w:val="24"/>
          <w:highlight w:val="none"/>
          <w:lang w:eastAsia="zh-CN"/>
        </w:rPr>
        <w:t>广州交易集团有限公司（广州公共资源交易中心）</w:t>
      </w:r>
      <w:r>
        <w:rPr>
          <w:rFonts w:hint="default" w:ascii="宋体" w:hAnsi="宋体" w:eastAsia="宋体" w:cs="Times New Roman"/>
          <w:color w:val="auto"/>
          <w:sz w:val="24"/>
          <w:szCs w:val="24"/>
          <w:highlight w:val="none"/>
        </w:rPr>
        <w:t>网站上发布。</w:t>
      </w:r>
    </w:p>
    <w:p w14:paraId="24CCF688">
      <w:pPr>
        <w:pStyle w:val="4"/>
        <w:keepNext w:val="0"/>
        <w:keepLines w:val="0"/>
        <w:pageBreakBefore w:val="0"/>
        <w:wordWrap/>
        <w:bidi w:val="0"/>
        <w:spacing w:line="360" w:lineRule="auto"/>
        <w:textAlignment w:val="auto"/>
        <w:outlineLvl w:val="1"/>
        <w:rPr>
          <w:rFonts w:ascii="宋体" w:hAnsi="宋体" w:eastAsia="宋体"/>
          <w:color w:val="auto"/>
          <w:highlight w:val="none"/>
          <w:lang w:val="en-US" w:eastAsia="zh-CN"/>
        </w:rPr>
      </w:pPr>
      <w:bookmarkStart w:id="39" w:name="bookmark8"/>
      <w:bookmarkEnd w:id="39"/>
      <w:bookmarkStart w:id="40" w:name="_Toc15590"/>
      <w:bookmarkStart w:id="41" w:name="_Toc12025"/>
      <w:bookmarkStart w:id="42" w:name="_Toc29700"/>
      <w:r>
        <w:rPr>
          <w:rFonts w:hint="eastAsia"/>
          <w:color w:val="auto"/>
          <w:highlight w:val="none"/>
          <w:lang w:val="en-US" w:eastAsia="zh-CN"/>
        </w:rPr>
        <w:t>7</w:t>
      </w:r>
      <w:r>
        <w:rPr>
          <w:rFonts w:hint="default" w:ascii="宋体" w:hAnsi="宋体" w:eastAsia="宋体"/>
          <w:color w:val="auto"/>
          <w:highlight w:val="none"/>
          <w:lang w:val="en-US" w:eastAsia="zh-CN"/>
        </w:rPr>
        <w:t>.疑问、异议、投诉处理</w:t>
      </w:r>
      <w:bookmarkEnd w:id="40"/>
      <w:bookmarkEnd w:id="41"/>
    </w:p>
    <w:p w14:paraId="5C4D8AE7">
      <w:pPr>
        <w:keepNext w:val="0"/>
        <w:keepLines w:val="0"/>
        <w:pageBreakBefore w:val="0"/>
        <w:numPr>
          <w:ilvl w:val="0"/>
          <w:numId w:val="0"/>
        </w:numPr>
        <w:wordWrap/>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36435643">
      <w:pPr>
        <w:keepNext w:val="0"/>
        <w:keepLines w:val="0"/>
        <w:pageBreakBefore w:val="0"/>
        <w:numPr>
          <w:ilvl w:val="0"/>
          <w:numId w:val="0"/>
        </w:numPr>
        <w:wordWrap/>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021448C7">
      <w:pPr>
        <w:keepNext w:val="0"/>
        <w:keepLines w:val="0"/>
        <w:pageBreakBefore w:val="0"/>
        <w:numPr>
          <w:ilvl w:val="0"/>
          <w:numId w:val="0"/>
        </w:numPr>
        <w:wordWrap/>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3588C5E3">
      <w:pPr>
        <w:keepNext w:val="0"/>
        <w:keepLines w:val="0"/>
        <w:pageBreakBefore w:val="0"/>
        <w:numPr>
          <w:ilvl w:val="0"/>
          <w:numId w:val="0"/>
        </w:numPr>
        <w:wordWrap/>
        <w:bidi w:val="0"/>
        <w:spacing w:line="360" w:lineRule="auto"/>
        <w:ind w:left="0" w:leftChars="0" w:firstLine="480" w:firstLineChars="200"/>
        <w:textAlignment w:val="auto"/>
        <w:rPr>
          <w:rFonts w:hint="eastAsia"/>
          <w:color w:val="auto"/>
          <w:sz w:val="24"/>
          <w:highlight w:val="none"/>
          <w:lang w:val="en-US" w:eastAsia="zh-CN"/>
        </w:rPr>
      </w:pPr>
      <w:r>
        <w:rPr>
          <w:rFonts w:hint="eastAsia" w:ascii="宋体" w:hAnsi="宋体" w:eastAsia="宋体" w:cs="宋体"/>
          <w:color w:val="auto"/>
          <w:sz w:val="24"/>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w:t>
      </w:r>
      <w:r>
        <w:rPr>
          <w:rFonts w:hint="eastAsia"/>
          <w:color w:val="auto"/>
          <w:sz w:val="24"/>
          <w:highlight w:val="none"/>
          <w:lang w:val="en-US" w:eastAsia="zh-CN"/>
        </w:rPr>
        <w:t>程企业信息库及诚信评价管理系统。</w:t>
      </w:r>
    </w:p>
    <w:p w14:paraId="4C133943">
      <w:pPr>
        <w:keepNext w:val="0"/>
        <w:keepLines w:val="0"/>
        <w:pageBreakBefore w:val="0"/>
        <w:numPr>
          <w:ilvl w:val="0"/>
          <w:numId w:val="0"/>
        </w:numPr>
        <w:wordWrap/>
        <w:bidi w:val="0"/>
        <w:spacing w:line="360" w:lineRule="auto"/>
        <w:ind w:left="0" w:leftChars="0"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84F18BE">
      <w:pPr>
        <w:pStyle w:val="4"/>
        <w:keepNext w:val="0"/>
        <w:keepLines w:val="0"/>
        <w:pageBreakBefore w:val="0"/>
        <w:wordWrap/>
        <w:bidi w:val="0"/>
        <w:spacing w:line="360" w:lineRule="auto"/>
        <w:textAlignment w:val="auto"/>
        <w:outlineLvl w:val="1"/>
        <w:rPr>
          <w:rFonts w:hint="default"/>
          <w:color w:val="auto"/>
          <w:sz w:val="24"/>
          <w:szCs w:val="24"/>
          <w:highlight w:val="none"/>
          <w:lang w:val="en-US" w:eastAsia="zh-CN"/>
        </w:rPr>
      </w:pPr>
      <w:bookmarkStart w:id="43" w:name="_Toc26527"/>
      <w:r>
        <w:rPr>
          <w:rFonts w:hint="eastAsia"/>
          <w:color w:val="auto"/>
          <w:sz w:val="24"/>
          <w:szCs w:val="24"/>
          <w:highlight w:val="none"/>
          <w:lang w:val="en-US" w:eastAsia="zh-CN"/>
        </w:rPr>
        <w:t>8</w:t>
      </w:r>
      <w:r>
        <w:rPr>
          <w:rFonts w:hint="default"/>
          <w:color w:val="auto"/>
          <w:sz w:val="24"/>
          <w:szCs w:val="24"/>
          <w:highlight w:val="none"/>
        </w:rPr>
        <w:t>.</w:t>
      </w:r>
      <w:r>
        <w:rPr>
          <w:rFonts w:hint="eastAsia" w:ascii="宋体" w:hAnsi="宋体" w:eastAsia="宋体" w:cs="宋体"/>
          <w:b w:val="0"/>
          <w:bCs w:val="0"/>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42"/>
      <w:bookmarkEnd w:id="43"/>
    </w:p>
    <w:p w14:paraId="05EC096F">
      <w:pPr>
        <w:pStyle w:val="4"/>
        <w:keepNext w:val="0"/>
        <w:keepLines w:val="0"/>
        <w:pageBreakBefore w:val="0"/>
        <w:wordWrap/>
        <w:bidi w:val="0"/>
        <w:spacing w:line="360" w:lineRule="auto"/>
        <w:textAlignment w:val="auto"/>
        <w:outlineLvl w:val="1"/>
        <w:rPr>
          <w:rFonts w:hint="eastAsia" w:ascii="Microsoft JhengHei" w:hAnsi="Microsoft JhengHei" w:eastAsia="Microsoft JhengHei"/>
          <w:b w:val="0"/>
          <w:color w:val="auto"/>
          <w:sz w:val="19"/>
          <w:szCs w:val="24"/>
          <w:highlight w:val="none"/>
        </w:rPr>
      </w:pPr>
      <w:bookmarkStart w:id="44" w:name="_Toc14999"/>
      <w:bookmarkStart w:id="45" w:name="_Toc20179"/>
      <w:r>
        <w:rPr>
          <w:rFonts w:hint="eastAsia"/>
          <w:color w:val="auto"/>
          <w:sz w:val="24"/>
          <w:szCs w:val="24"/>
          <w:highlight w:val="none"/>
          <w:lang w:val="en-US" w:eastAsia="zh-CN"/>
        </w:rPr>
        <w:t>9</w:t>
      </w:r>
      <w:r>
        <w:rPr>
          <w:rFonts w:hint="default"/>
          <w:color w:val="auto"/>
          <w:sz w:val="24"/>
          <w:szCs w:val="24"/>
          <w:highlight w:val="none"/>
        </w:rPr>
        <w:t>.联系方式</w:t>
      </w:r>
      <w:bookmarkEnd w:id="44"/>
      <w:bookmarkEnd w:id="45"/>
    </w:p>
    <w:p w14:paraId="4B78E56B">
      <w:pPr>
        <w:keepNext w:val="0"/>
        <w:keepLines w:val="0"/>
        <w:pageBreakBefore w:val="0"/>
        <w:wordWrap/>
        <w:bidi w:val="0"/>
        <w:spacing w:line="360" w:lineRule="auto"/>
        <w:ind w:firstLine="0" w:firstLineChars="0"/>
        <w:textAlignment w:val="auto"/>
        <w:rPr>
          <w:rFonts w:ascii="宋体"/>
          <w:color w:val="auto"/>
          <w:sz w:val="24"/>
          <w:highlight w:val="none"/>
          <w:u w:val="single"/>
        </w:rPr>
      </w:pPr>
      <w:r>
        <w:rPr>
          <w:rFonts w:hint="eastAsia" w:ascii="宋体" w:hAnsi="宋体"/>
          <w:color w:val="auto"/>
          <w:sz w:val="24"/>
          <w:highlight w:val="none"/>
        </w:rPr>
        <w:t>招标单位：广州市白云区水务工程建设管理中心</w:t>
      </w:r>
    </w:p>
    <w:p w14:paraId="17E16ACA">
      <w:pPr>
        <w:keepNext w:val="0"/>
        <w:keepLines w:val="0"/>
        <w:pageBreakBefore w:val="0"/>
        <w:wordWrap/>
        <w:bidi w:val="0"/>
        <w:spacing w:line="360" w:lineRule="auto"/>
        <w:ind w:firstLine="0" w:firstLineChars="0"/>
        <w:textAlignment w:val="auto"/>
        <w:rPr>
          <w:rFonts w:ascii="宋体"/>
          <w:color w:val="auto"/>
          <w:sz w:val="24"/>
          <w:highlight w:val="none"/>
          <w:u w:val="single"/>
        </w:rPr>
      </w:pPr>
      <w:r>
        <w:rPr>
          <w:rFonts w:hint="eastAsia" w:ascii="宋体" w:hAnsi="宋体"/>
          <w:color w:val="auto"/>
          <w:sz w:val="24"/>
          <w:highlight w:val="none"/>
        </w:rPr>
        <w:t>联系人：周工</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联系电话：020-31925207</w:t>
      </w:r>
    </w:p>
    <w:p w14:paraId="22FB730D">
      <w:pPr>
        <w:keepNext w:val="0"/>
        <w:keepLines w:val="0"/>
        <w:pageBreakBefore w:val="0"/>
        <w:wordWrap/>
        <w:bidi w:val="0"/>
        <w:spacing w:line="360" w:lineRule="auto"/>
        <w:ind w:firstLine="0" w:firstLineChars="0"/>
        <w:textAlignment w:val="auto"/>
        <w:rPr>
          <w:rFonts w:ascii="宋体"/>
          <w:color w:val="auto"/>
          <w:sz w:val="24"/>
          <w:highlight w:val="none"/>
          <w:u w:val="single"/>
        </w:rPr>
      </w:pPr>
      <w:r>
        <w:rPr>
          <w:rFonts w:hint="eastAsia" w:ascii="宋体" w:hAnsi="宋体"/>
          <w:color w:val="auto"/>
          <w:sz w:val="24"/>
          <w:highlight w:val="none"/>
        </w:rPr>
        <w:t>招标代理机构：广东河海工程咨询有限公司</w:t>
      </w:r>
    </w:p>
    <w:p w14:paraId="597E973B">
      <w:pPr>
        <w:keepNext w:val="0"/>
        <w:keepLines w:val="0"/>
        <w:pageBreakBefore w:val="0"/>
        <w:wordWrap/>
        <w:bidi w:val="0"/>
        <w:spacing w:line="360" w:lineRule="auto"/>
        <w:ind w:firstLine="0" w:firstLineChars="0"/>
        <w:textAlignment w:val="auto"/>
        <w:rPr>
          <w:rFonts w:hint="default" w:ascii="宋体" w:eastAsia="宋体"/>
          <w:color w:val="auto"/>
          <w:sz w:val="24"/>
          <w:highlight w:val="none"/>
          <w:u w:val="single"/>
          <w:lang w:val="en-US" w:eastAsia="zh-CN"/>
        </w:rPr>
      </w:pPr>
      <w:r>
        <w:rPr>
          <w:rFonts w:hint="eastAsia" w:ascii="宋体" w:hAnsi="宋体"/>
          <w:color w:val="auto"/>
          <w:sz w:val="24"/>
          <w:highlight w:val="none"/>
        </w:rPr>
        <w:t>联系人：</w:t>
      </w:r>
      <w:r>
        <w:rPr>
          <w:rFonts w:hint="eastAsia" w:ascii="宋体" w:hAnsi="宋体"/>
          <w:color w:val="auto"/>
          <w:sz w:val="24"/>
          <w:highlight w:val="none"/>
          <w:lang w:val="en-US" w:eastAsia="zh-CN"/>
        </w:rPr>
        <w:t xml:space="preserve">蔡工             </w:t>
      </w:r>
      <w:r>
        <w:rPr>
          <w:rFonts w:hint="eastAsia" w:ascii="宋体" w:hAnsi="宋体"/>
          <w:color w:val="auto"/>
          <w:sz w:val="24"/>
          <w:highlight w:val="none"/>
        </w:rPr>
        <w:t>联系电话：</w:t>
      </w:r>
      <w:r>
        <w:rPr>
          <w:rFonts w:hint="eastAsia" w:ascii="宋体" w:hAnsi="宋体"/>
          <w:color w:val="auto"/>
          <w:sz w:val="24"/>
          <w:highlight w:val="none"/>
          <w:lang w:val="en-US" w:eastAsia="zh-CN"/>
        </w:rPr>
        <w:t>020-38937330</w:t>
      </w:r>
    </w:p>
    <w:p w14:paraId="6D470D90">
      <w:pPr>
        <w:keepNext w:val="0"/>
        <w:keepLines w:val="0"/>
        <w:pageBreakBefore w:val="0"/>
        <w:wordWrap/>
        <w:bidi w:val="0"/>
        <w:spacing w:line="360" w:lineRule="auto"/>
        <w:ind w:firstLine="0" w:firstLineChars="0"/>
        <w:textAlignment w:val="auto"/>
        <w:rPr>
          <w:rFonts w:ascii="宋体"/>
          <w:color w:val="auto"/>
          <w:sz w:val="24"/>
          <w:highlight w:val="none"/>
        </w:rPr>
      </w:pPr>
      <w:r>
        <w:rPr>
          <w:rFonts w:hint="eastAsia" w:ascii="宋体" w:hAnsi="宋体"/>
          <w:color w:val="auto"/>
          <w:sz w:val="24"/>
          <w:highlight w:val="none"/>
        </w:rPr>
        <w:t>招标监督机构：广州市白云区水务局</w:t>
      </w:r>
    </w:p>
    <w:p w14:paraId="0D771EF7">
      <w:pPr>
        <w:keepNext w:val="0"/>
        <w:keepLines w:val="0"/>
        <w:pageBreakBefore w:val="0"/>
        <w:wordWrap/>
        <w:bidi w:val="0"/>
        <w:spacing w:line="360" w:lineRule="auto"/>
        <w:ind w:firstLine="0" w:firstLineChars="0"/>
        <w:textAlignment w:val="auto"/>
        <w:rPr>
          <w:rFonts w:hint="default" w:eastAsia="宋体"/>
          <w:color w:val="auto"/>
          <w:sz w:val="24"/>
          <w:szCs w:val="21"/>
          <w:highlight w:val="none"/>
          <w:lang w:val="en-US" w:eastAsia="zh-CN"/>
        </w:rPr>
      </w:pPr>
      <w:r>
        <w:rPr>
          <w:rFonts w:hint="eastAsia" w:ascii="宋体" w:hAnsi="宋体"/>
          <w:color w:val="auto"/>
          <w:sz w:val="24"/>
          <w:highlight w:val="none"/>
        </w:rPr>
        <w:t>监督电话：</w:t>
      </w:r>
      <w:r>
        <w:rPr>
          <w:rFonts w:hint="eastAsia" w:ascii="宋体" w:hAnsi="宋体"/>
          <w:color w:val="auto"/>
          <w:sz w:val="24"/>
          <w:highlight w:val="none"/>
          <w:lang w:val="en-US" w:eastAsia="zh-CN"/>
        </w:rPr>
        <w:t>020-36501911</w:t>
      </w:r>
    </w:p>
    <w:p w14:paraId="58FAB6EE">
      <w:pPr>
        <w:keepNext w:val="0"/>
        <w:keepLines w:val="0"/>
        <w:pageBreakBefore w:val="0"/>
        <w:wordWrap/>
        <w:bidi w:val="0"/>
        <w:spacing w:line="360" w:lineRule="auto"/>
        <w:jc w:val="right"/>
        <w:textAlignment w:val="auto"/>
        <w:rPr>
          <w:rFonts w:hint="eastAsia" w:ascii="宋体" w:hAnsi="宋体"/>
          <w:color w:val="auto"/>
          <w:sz w:val="24"/>
          <w:highlight w:val="none"/>
        </w:rPr>
      </w:pPr>
    </w:p>
    <w:p w14:paraId="0431E839">
      <w:pPr>
        <w:spacing w:line="480" w:lineRule="auto"/>
        <w:jc w:val="center"/>
        <w:rPr>
          <w:rFonts w:hint="default" w:ascii="宋体" w:hAnsi="宋体" w:eastAsia="宋体" w:cs="宋体"/>
          <w:color w:val="auto"/>
          <w:sz w:val="24"/>
          <w:szCs w:val="24"/>
          <w:highlight w:val="none"/>
        </w:rPr>
      </w:pPr>
    </w:p>
    <w:p w14:paraId="010FACCC">
      <w:pPr>
        <w:pStyle w:val="11"/>
        <w:tabs>
          <w:tab w:val="left" w:pos="5880"/>
          <w:tab w:val="left" w:pos="6826"/>
          <w:tab w:val="left" w:pos="7769"/>
        </w:tabs>
        <w:kinsoku w:val="0"/>
        <w:overflowPunct w:val="0"/>
        <w:spacing w:before="198" w:line="360" w:lineRule="auto"/>
        <w:ind w:left="5146" w:right="113"/>
        <w:rPr>
          <w:rFonts w:hint="default"/>
          <w:color w:val="auto"/>
          <w:sz w:val="24"/>
          <w:szCs w:val="24"/>
          <w:highlight w:val="none"/>
        </w:rPr>
      </w:pPr>
    </w:p>
    <w:p w14:paraId="2075D6C1">
      <w:pPr>
        <w:pStyle w:val="11"/>
        <w:tabs>
          <w:tab w:val="left" w:pos="5880"/>
          <w:tab w:val="left" w:pos="6826"/>
          <w:tab w:val="left" w:pos="7769"/>
        </w:tabs>
        <w:kinsoku w:val="0"/>
        <w:overflowPunct w:val="0"/>
        <w:spacing w:before="198" w:line="360" w:lineRule="auto"/>
        <w:ind w:left="5146" w:right="113"/>
        <w:rPr>
          <w:rFonts w:hint="default"/>
          <w:color w:val="auto"/>
          <w:sz w:val="24"/>
          <w:szCs w:val="24"/>
          <w:highlight w:val="none"/>
        </w:rPr>
        <w:sectPr>
          <w:pgSz w:w="11905" w:h="16838"/>
          <w:pgMar w:top="1417" w:right="1417" w:bottom="1417" w:left="1417" w:header="720" w:footer="720" w:gutter="0"/>
          <w:lnNumType w:countBy="0" w:distance="360"/>
          <w:pgNumType w:fmt="decimal"/>
          <w:cols w:space="720" w:num="1"/>
        </w:sectPr>
      </w:pPr>
    </w:p>
    <w:p w14:paraId="65D2CD81">
      <w:pPr>
        <w:pStyle w:val="3"/>
        <w:outlineLvl w:val="0"/>
        <w:rPr>
          <w:rFonts w:hint="eastAsia" w:ascii="Microsoft JhengHei" w:hAnsi="Microsoft JhengHei" w:eastAsia="Microsoft JhengHei"/>
          <w:b w:val="0"/>
          <w:color w:val="auto"/>
          <w:sz w:val="57"/>
          <w:szCs w:val="24"/>
          <w:highlight w:val="none"/>
        </w:rPr>
      </w:pPr>
      <w:bookmarkStart w:id="46" w:name="bookmark9"/>
      <w:bookmarkEnd w:id="46"/>
      <w:bookmarkStart w:id="47" w:name="bookmark18"/>
      <w:bookmarkEnd w:id="47"/>
      <w:bookmarkStart w:id="48" w:name="_Toc31983"/>
      <w:r>
        <w:rPr>
          <w:rFonts w:hint="default" w:cs="宋体"/>
          <w:color w:val="auto"/>
          <w:sz w:val="44"/>
          <w:szCs w:val="24"/>
          <w:highlight w:val="none"/>
        </w:rPr>
        <w:t>第二章</w:t>
      </w:r>
      <w:r>
        <w:rPr>
          <w:rFonts w:hint="default" w:cs="宋体"/>
          <w:color w:val="auto"/>
          <w:sz w:val="44"/>
          <w:szCs w:val="24"/>
          <w:highlight w:val="none"/>
          <w:lang w:val="en-US" w:eastAsia="zh-CN"/>
        </w:rPr>
        <w:t xml:space="preserve"> </w:t>
      </w:r>
      <w:r>
        <w:rPr>
          <w:rFonts w:hint="default" w:cs="宋体"/>
          <w:color w:val="auto"/>
          <w:sz w:val="44"/>
          <w:szCs w:val="24"/>
          <w:highlight w:val="none"/>
        </w:rPr>
        <w:t>投标人须知</w:t>
      </w:r>
      <w:bookmarkEnd w:id="48"/>
    </w:p>
    <w:p w14:paraId="0C75A5CF">
      <w:pPr>
        <w:pStyle w:val="4"/>
        <w:kinsoku w:val="0"/>
        <w:overflowPunct w:val="0"/>
        <w:ind w:left="220"/>
        <w:jc w:val="center"/>
        <w:outlineLvl w:val="1"/>
        <w:rPr>
          <w:rFonts w:hint="eastAsia" w:ascii="Microsoft JhengHei" w:hAnsi="Microsoft JhengHei" w:eastAsia="Microsoft JhengHei"/>
          <w:b w:val="0"/>
          <w:color w:val="auto"/>
          <w:sz w:val="20"/>
          <w:szCs w:val="24"/>
          <w:highlight w:val="none"/>
        </w:rPr>
      </w:pPr>
      <w:bookmarkStart w:id="49" w:name="bookmark19"/>
      <w:bookmarkEnd w:id="49"/>
      <w:bookmarkStart w:id="50" w:name="_Toc13371"/>
      <w:bookmarkStart w:id="51" w:name="_Toc8684"/>
      <w:r>
        <w:rPr>
          <w:rFonts w:hint="default"/>
          <w:color w:val="auto"/>
          <w:sz w:val="32"/>
          <w:szCs w:val="24"/>
          <w:highlight w:val="none"/>
        </w:rPr>
        <w:t>投标人须知前附表</w:t>
      </w:r>
      <w:bookmarkEnd w:id="50"/>
      <w:bookmarkEnd w:id="51"/>
    </w:p>
    <w:tbl>
      <w:tblPr>
        <w:tblStyle w:val="2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607"/>
        <w:gridCol w:w="5463"/>
      </w:tblGrid>
      <w:tr w14:paraId="182F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BA8FE5">
            <w:pPr>
              <w:pStyle w:val="29"/>
              <w:kinsoku w:val="0"/>
              <w:overflowPunct w:val="0"/>
              <w:spacing w:before="41"/>
              <w:jc w:val="center"/>
              <w:rPr>
                <w:rFonts w:hint="eastAsia" w:ascii="宋体" w:hAnsi="宋体" w:eastAsia="宋体" w:cs="宋体"/>
                <w:color w:val="auto"/>
                <w:sz w:val="21"/>
                <w:szCs w:val="24"/>
                <w:highlight w:val="none"/>
              </w:rPr>
            </w:pPr>
            <w:r>
              <w:rPr>
                <w:rFonts w:hint="eastAsia" w:ascii="宋体" w:hAnsi="宋体" w:eastAsia="宋体" w:cs="宋体"/>
                <w:b/>
                <w:color w:val="auto"/>
                <w:sz w:val="21"/>
                <w:szCs w:val="21"/>
                <w:highlight w:val="none"/>
              </w:rPr>
              <w:t>条款号</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52874">
            <w:pPr>
              <w:pStyle w:val="29"/>
              <w:kinsoku w:val="0"/>
              <w:overflowPunct w:val="0"/>
              <w:spacing w:before="41"/>
              <w:jc w:val="center"/>
              <w:rPr>
                <w:rFonts w:hint="eastAsia" w:ascii="宋体" w:hAnsi="宋体" w:eastAsia="宋体" w:cs="宋体"/>
                <w:color w:val="auto"/>
                <w:sz w:val="21"/>
                <w:szCs w:val="24"/>
                <w:highlight w:val="none"/>
              </w:rPr>
            </w:pPr>
            <w:r>
              <w:rPr>
                <w:rFonts w:hint="eastAsia" w:ascii="宋体" w:hAnsi="宋体" w:eastAsia="宋体" w:cs="宋体"/>
                <w:b/>
                <w:color w:val="auto"/>
                <w:sz w:val="21"/>
                <w:szCs w:val="21"/>
                <w:highlight w:val="none"/>
              </w:rPr>
              <w:t>条款名称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E4C383">
            <w:pPr>
              <w:pStyle w:val="29"/>
              <w:kinsoku w:val="0"/>
              <w:overflowPunct w:val="0"/>
              <w:spacing w:before="41"/>
              <w:jc w:val="center"/>
              <w:rPr>
                <w:rFonts w:hint="eastAsia" w:ascii="宋体" w:hAnsi="宋体" w:eastAsia="宋体" w:cs="宋体"/>
                <w:color w:val="auto"/>
                <w:sz w:val="21"/>
                <w:szCs w:val="24"/>
                <w:highlight w:val="none"/>
              </w:rPr>
            </w:pPr>
            <w:r>
              <w:rPr>
                <w:rFonts w:hint="eastAsia" w:ascii="宋体" w:hAnsi="宋体" w:eastAsia="宋体" w:cs="宋体"/>
                <w:b/>
                <w:color w:val="auto"/>
                <w:sz w:val="21"/>
                <w:szCs w:val="21"/>
                <w:highlight w:val="none"/>
              </w:rPr>
              <w:t>编列内容</w:t>
            </w:r>
          </w:p>
        </w:tc>
      </w:tr>
      <w:tr w14:paraId="6398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4DA37A">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4468C6">
            <w:pPr>
              <w:pStyle w:val="29"/>
              <w:kinsoku w:val="0"/>
              <w:overflowPunct w:val="0"/>
              <w:spacing w:line="36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339509">
            <w:pPr>
              <w:pStyle w:val="29"/>
              <w:kinsoku w:val="0"/>
              <w:overflowPunct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名称：广州市白云区水务工程建设管理中心 </w:t>
            </w:r>
          </w:p>
          <w:p w14:paraId="202D59EB">
            <w:pPr>
              <w:pStyle w:val="29"/>
              <w:kinsoku w:val="0"/>
              <w:overflowPunct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地址：广州市白云区大金钟路19号金景大厦</w:t>
            </w:r>
          </w:p>
          <w:p w14:paraId="554500B2">
            <w:pPr>
              <w:pStyle w:val="29"/>
              <w:kinsoku w:val="0"/>
              <w:overflowPunct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联系人：周工</w:t>
            </w:r>
          </w:p>
          <w:p w14:paraId="18729D0F">
            <w:pPr>
              <w:pStyle w:val="29"/>
              <w:kinsoku w:val="0"/>
              <w:overflowPunct w:val="0"/>
              <w:adjustRightInd/>
              <w:spacing w:line="36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lang w:val="en-US" w:eastAsia="zh-CN"/>
              </w:rPr>
              <w:t>电话：020-31925207</w:t>
            </w:r>
          </w:p>
        </w:tc>
      </w:tr>
      <w:tr w14:paraId="7C3D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6B115B">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DD8A3A">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招标代理机构</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74B19F">
            <w:pPr>
              <w:pStyle w:val="29"/>
              <w:kinsoku w:val="0"/>
              <w:overflowPunct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4"/>
                <w:highlight w:val="none"/>
              </w:rPr>
              <w:t>名称：</w:t>
            </w:r>
            <w:r>
              <w:rPr>
                <w:rFonts w:hint="eastAsia" w:ascii="宋体" w:hAnsi="宋体" w:eastAsia="宋体" w:cs="宋体"/>
                <w:color w:val="auto"/>
                <w:spacing w:val="-102"/>
                <w:sz w:val="21"/>
                <w:szCs w:val="24"/>
                <w:highlight w:val="none"/>
              </w:rPr>
              <w:t xml:space="preserve"> </w:t>
            </w:r>
            <w:r>
              <w:rPr>
                <w:rFonts w:hint="eastAsia" w:ascii="宋体" w:hAnsi="宋体" w:eastAsia="宋体" w:cs="宋体"/>
                <w:color w:val="auto"/>
                <w:sz w:val="21"/>
                <w:szCs w:val="21"/>
                <w:highlight w:val="none"/>
                <w:lang w:val="en-US" w:eastAsia="zh-CN"/>
              </w:rPr>
              <w:t>广东河海工程咨询有限公司</w:t>
            </w:r>
          </w:p>
          <w:p w14:paraId="4032C680">
            <w:pPr>
              <w:pStyle w:val="29"/>
              <w:kinsoku w:val="0"/>
              <w:overflowPunct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地址：广州市天河区天寿路101号3楼</w:t>
            </w:r>
          </w:p>
          <w:p w14:paraId="7FF7A420">
            <w:pPr>
              <w:pStyle w:val="29"/>
              <w:kinsoku w:val="0"/>
              <w:overflowPunct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联系人：蔡工</w:t>
            </w:r>
          </w:p>
          <w:p w14:paraId="2EE082FB">
            <w:pPr>
              <w:pStyle w:val="29"/>
              <w:kinsoku w:val="0"/>
              <w:overflowPunct w:val="0"/>
              <w:adjustRightInd/>
              <w:spacing w:line="36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lang w:val="en-US" w:eastAsia="zh-CN"/>
              </w:rPr>
              <w:t>电话：020-38937330</w:t>
            </w:r>
          </w:p>
        </w:tc>
      </w:tr>
      <w:tr w14:paraId="251B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CC2729">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9F565E">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招标项目名称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F74724">
            <w:pPr>
              <w:jc w:val="both"/>
              <w:rPr>
                <w:rFonts w:hint="eastAsia" w:ascii="宋体" w:hAnsi="宋体" w:eastAsia="宋体" w:cs="宋体"/>
                <w:color w:val="auto"/>
                <w:sz w:val="21"/>
                <w:szCs w:val="24"/>
                <w:highlight w:val="none"/>
              </w:rPr>
            </w:pPr>
            <w:r>
              <w:rPr>
                <w:rFonts w:hint="eastAsia" w:ascii="宋体" w:hAnsi="宋体" w:cs="宋体"/>
                <w:color w:val="auto"/>
                <w:sz w:val="21"/>
                <w:highlight w:val="none"/>
              </w:rPr>
              <w:t>石井河海军桥至拦河枢纽段一河两岸水环境提升工程</w:t>
            </w:r>
            <w:r>
              <w:rPr>
                <w:rFonts w:hint="eastAsia" w:ascii="宋体" w:hAnsi="宋体" w:eastAsia="宋体" w:cs="宋体"/>
                <w:color w:val="auto"/>
                <w:sz w:val="21"/>
                <w:szCs w:val="24"/>
                <w:highlight w:val="none"/>
              </w:rPr>
              <w:t>施工监理</w:t>
            </w:r>
          </w:p>
        </w:tc>
      </w:tr>
      <w:tr w14:paraId="7DAE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816775">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D9AB35">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项目建设地点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2185B5">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广州市白云区松洲街、同德街、石井街、白云湖街</w:t>
            </w:r>
          </w:p>
        </w:tc>
      </w:tr>
      <w:tr w14:paraId="1FAA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07683C">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1.1.6</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4B496">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项目建设规模</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8976ED">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本工程位于松洲街、同德街、石井街、白云湖街，工程范围包括石井河拦河枢纽至海军桥段实测桩号K0+650-K7+650段一河两岸水环境提升建设，总整治长度约7000米。对石井河实测桩号K0+650-K7+650段进行河道整治、河道两岸现状挡土墙清洗及勾缝、破损挡土墙、栏杆修复及改造、巡河通道修复改造、驳岸靠船亲水平台修复及改造等。包含龙腾广场、风采洲头等10处重要节点改造，主要建设内容为打造驳岸景观、改造广场空间、优化公园林下绿地、打造滨水节点、打造水情科普公园等；4处断点贯通；14千米巡河通道建设；6座新建人行桥、8座靠船亲水平台改造、5处水闸修缮等。河口段抵御二百年一遇外江洪潮水位，石井河内涌堤围防洪标准为 20 年一遇；排涝标准为 20 年一遇 24 小时暴雨不成灾；河涌堤防级别为4级，主要建筑物级别为4级；通航标准按航道等级Ⅶ。本项目估算总投资为38203.07万元。</w:t>
            </w:r>
          </w:p>
        </w:tc>
      </w:tr>
      <w:tr w14:paraId="42C3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54306F">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1.1.7</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6B09B5">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工程项目施工预计开工日期和建设周期</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CA2952">
            <w:pPr>
              <w:jc w:val="both"/>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工程项目施工预计开工日期：</w:t>
            </w:r>
            <w:r>
              <w:rPr>
                <w:rFonts w:hint="eastAsia" w:ascii="宋体" w:hAnsi="宋体" w:cs="宋体"/>
                <w:color w:val="auto"/>
                <w:sz w:val="21"/>
                <w:szCs w:val="24"/>
                <w:highlight w:val="none"/>
                <w:u w:val="single"/>
                <w:lang w:val="en-US" w:eastAsia="zh-CN"/>
              </w:rPr>
              <w:t>/</w:t>
            </w:r>
          </w:p>
          <w:p w14:paraId="205A394F">
            <w:pPr>
              <w:jc w:val="both"/>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计划施工工期：</w:t>
            </w:r>
            <w:r>
              <w:rPr>
                <w:rFonts w:hint="eastAsia" w:ascii="宋体" w:hAnsi="宋体" w:cs="宋体"/>
                <w:color w:val="auto"/>
                <w:sz w:val="21"/>
                <w:szCs w:val="24"/>
                <w:highlight w:val="none"/>
                <w:u w:val="single"/>
                <w:lang w:val="en-US" w:eastAsia="zh-CN"/>
              </w:rPr>
              <w:t>12个月（365日历天）</w:t>
            </w:r>
          </w:p>
        </w:tc>
      </w:tr>
      <w:tr w14:paraId="1EA7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CB717">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1.1.8</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B8DED">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建筑安装工程费/工程概算</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CA91EC">
            <w:pPr>
              <w:jc w:val="both"/>
              <w:rPr>
                <w:rFonts w:hint="default" w:ascii="宋体" w:hAnsi="宋体" w:eastAsia="宋体" w:cs="宋体"/>
                <w:color w:val="auto"/>
                <w:sz w:val="21"/>
                <w:szCs w:val="24"/>
                <w:highlight w:val="none"/>
                <w:lang w:val="en-US" w:eastAsia="zh-CN"/>
              </w:rPr>
            </w:pPr>
            <w:r>
              <w:rPr>
                <w:rFonts w:hint="eastAsia" w:ascii="宋体" w:hAnsi="宋体" w:cs="宋体"/>
                <w:color w:val="auto"/>
                <w:sz w:val="21"/>
                <w:szCs w:val="24"/>
                <w:highlight w:val="none"/>
                <w:lang w:val="en-US" w:eastAsia="zh-CN"/>
              </w:rPr>
              <w:t>29471.18</w:t>
            </w:r>
            <w:r>
              <w:rPr>
                <w:rFonts w:hint="eastAsia" w:ascii="宋体" w:hAnsi="宋体" w:eastAsia="宋体" w:cs="宋体"/>
                <w:color w:val="auto"/>
                <w:sz w:val="21"/>
                <w:szCs w:val="24"/>
                <w:highlight w:val="none"/>
                <w:lang w:val="en-US" w:eastAsia="zh-CN"/>
              </w:rPr>
              <w:t>万元</w:t>
            </w:r>
            <w:r>
              <w:rPr>
                <w:rFonts w:hint="eastAsia" w:ascii="宋体" w:hAnsi="宋体" w:cs="宋体"/>
                <w:color w:val="auto"/>
                <w:sz w:val="21"/>
                <w:szCs w:val="24"/>
                <w:highlight w:val="none"/>
                <w:lang w:val="en-US" w:eastAsia="zh-CN"/>
              </w:rPr>
              <w:t>/</w:t>
            </w:r>
            <w:r>
              <w:rPr>
                <w:rFonts w:hint="eastAsia" w:ascii="宋体" w:hAnsi="宋体" w:eastAsia="宋体" w:cs="宋体"/>
                <w:color w:val="auto"/>
                <w:sz w:val="21"/>
                <w:szCs w:val="24"/>
                <w:highlight w:val="none"/>
              </w:rPr>
              <w:t>38203.07万元</w:t>
            </w:r>
          </w:p>
        </w:tc>
      </w:tr>
      <w:tr w14:paraId="174F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A9A14A">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446C29">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资金来源及比例</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3B322B">
            <w:pPr>
              <w:jc w:val="both"/>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区财政资金</w:t>
            </w:r>
            <w:r>
              <w:rPr>
                <w:rFonts w:hint="eastAsia" w:ascii="宋体" w:hAnsi="宋体" w:cs="宋体"/>
                <w:color w:val="auto"/>
                <w:sz w:val="21"/>
                <w:szCs w:val="24"/>
                <w:highlight w:val="none"/>
                <w:lang w:val="en-US" w:eastAsia="zh-CN"/>
              </w:rPr>
              <w:t>/100%</w:t>
            </w:r>
          </w:p>
        </w:tc>
      </w:tr>
      <w:tr w14:paraId="5B21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9E9B57">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D2339A">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资金落实情况</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B53AF3">
            <w:pPr>
              <w:jc w:val="both"/>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已落实</w:t>
            </w:r>
          </w:p>
        </w:tc>
      </w:tr>
      <w:tr w14:paraId="53F1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5967C">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546712">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招标范围</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50C0B">
            <w:pPr>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详见招标公告</w:t>
            </w:r>
          </w:p>
        </w:tc>
      </w:tr>
      <w:tr w14:paraId="5D79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2B2609">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2F7DC6">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监理服务期限</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1C66B1">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包括工程施工准备阶段的监理工期、工程施工阶段的监理工期、工程保修阶段和竣工结算期的监理工期之和。</w:t>
            </w:r>
          </w:p>
        </w:tc>
      </w:tr>
      <w:tr w14:paraId="4209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70F1DF">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1.3.3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7DD593">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质量标准</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B311F5">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符合《建筑工程施工质量验收统一标准》（GB50300-2013）的合格标准。</w:t>
            </w:r>
          </w:p>
        </w:tc>
      </w:tr>
      <w:tr w14:paraId="54F8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92F075">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5F3444">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投标人资质条件、能力、信誉</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F3343E">
            <w:pPr>
              <w:pStyle w:val="29"/>
              <w:kinsoku w:val="0"/>
              <w:overflowPunct w:val="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详见本项目招标公告。</w:t>
            </w:r>
          </w:p>
        </w:tc>
      </w:tr>
      <w:tr w14:paraId="20B8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EE4390">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1.4.2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8D8B20">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是否接受联合体投标</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4AB36C">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不接受</w:t>
            </w:r>
          </w:p>
          <w:p w14:paraId="5D0BB6BE">
            <w:pPr>
              <w:pStyle w:val="29"/>
              <w:kinsoku w:val="0"/>
              <w:overflowPunct w:val="0"/>
              <w:jc w:val="both"/>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接受，应满足下列要求：</w:t>
            </w:r>
            <w:r>
              <w:rPr>
                <w:rFonts w:hint="eastAsia" w:ascii="宋体" w:hAnsi="宋体" w:cs="宋体"/>
                <w:color w:val="auto"/>
                <w:sz w:val="21"/>
                <w:szCs w:val="24"/>
                <w:highlight w:val="none"/>
                <w:lang w:val="en-US" w:eastAsia="zh-CN"/>
              </w:rPr>
              <w:t>详见招标公告</w:t>
            </w:r>
          </w:p>
        </w:tc>
      </w:tr>
      <w:tr w14:paraId="0D9E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F98C5E">
            <w:pPr>
              <w:pStyle w:val="29"/>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1.4.3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437C92">
            <w:pPr>
              <w:pStyle w:val="29"/>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投标人不得存在的其他情形</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DF1F46">
            <w:pPr>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w:t>
            </w:r>
          </w:p>
        </w:tc>
      </w:tr>
      <w:tr w14:paraId="6D68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DF168">
            <w:pPr>
              <w:pStyle w:val="29"/>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1.9.1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BBC70A">
            <w:pPr>
              <w:pStyle w:val="29"/>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踏勘现场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9D743E">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招标人不集中组织，由投标人自行踏勘；</w:t>
            </w:r>
          </w:p>
          <w:p w14:paraId="234DDF56">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时间：自___年__月__日起具备现场踏勘条件；</w:t>
            </w:r>
          </w:p>
          <w:p w14:paraId="6E847AB3">
            <w:pPr>
              <w:pStyle w:val="29"/>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现场详细地点：___________________；</w:t>
            </w:r>
          </w:p>
        </w:tc>
      </w:tr>
      <w:tr w14:paraId="0C78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DF7089">
            <w:pPr>
              <w:spacing w:before="60" w:line="18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4"/>
                <w:sz w:val="21"/>
                <w:szCs w:val="21"/>
                <w:highlight w:val="none"/>
              </w:rPr>
              <w:t>.10.1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720EF1">
            <w:pPr>
              <w:spacing w:before="68" w:line="217"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top"/>
          </w:tcPr>
          <w:p w14:paraId="3606A42C">
            <w:pPr>
              <w:pStyle w:val="10"/>
              <w:spacing w:before="62" w:beforeLines="20" w:after="62" w:afterLines="20"/>
              <w:ind w:left="48" w:leftChars="20" w:right="48"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p w14:paraId="430CA731">
            <w:pPr>
              <w:spacing w:before="62" w:beforeLines="20" w:after="62" w:afterLines="20"/>
              <w:ind w:left="48" w:leftChars="20" w:right="48"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召开，召开时间：</w:t>
            </w:r>
          </w:p>
          <w:p w14:paraId="3DA9805C">
            <w:pPr>
              <w:spacing w:before="173"/>
              <w:ind w:right="50" w:firstLine="840" w:firstLineChars="400"/>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召开地点：</w:t>
            </w:r>
          </w:p>
        </w:tc>
      </w:tr>
      <w:tr w14:paraId="51C2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D3C00C0">
            <w:pPr>
              <w:spacing w:before="60" w:line="186" w:lineRule="auto"/>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1.10.2</w:t>
            </w:r>
          </w:p>
        </w:tc>
        <w:tc>
          <w:tcPr>
            <w:tcW w:w="26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B3FC481">
            <w:pPr>
              <w:spacing w:before="68" w:line="217" w:lineRule="auto"/>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投标人在投标预备会前提出问题</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81E5F">
            <w:pPr>
              <w:autoSpaceDE/>
              <w:autoSpaceDN/>
              <w:adjustRightInd/>
              <w:spacing w:before="63" w:beforeLines="20" w:after="63" w:afterLines="20"/>
              <w:ind w:left="48" w:leftChars="20" w:right="48" w:rightChars="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 xml:space="preserve"> /</w:t>
            </w:r>
          </w:p>
        </w:tc>
      </w:tr>
      <w:tr w14:paraId="32DB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E9DECA1">
            <w:pPr>
              <w:pStyle w:val="29"/>
              <w:kinsoku w:val="0"/>
              <w:overflowPunct w:val="0"/>
              <w:jc w:val="center"/>
              <w:rPr>
                <w:rFonts w:hint="eastAsia" w:ascii="宋体" w:hAnsi="宋体" w:eastAsia="宋体" w:cs="宋体"/>
                <w:color w:val="auto"/>
                <w:sz w:val="21"/>
                <w:szCs w:val="24"/>
                <w:highlight w:val="none"/>
              </w:rPr>
            </w:pPr>
          </w:p>
        </w:tc>
        <w:tc>
          <w:tcPr>
            <w:tcW w:w="26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2FCA21">
            <w:pPr>
              <w:pStyle w:val="29"/>
              <w:kinsoku w:val="0"/>
              <w:overflowPunct w:val="0"/>
              <w:jc w:val="both"/>
              <w:rPr>
                <w:rFonts w:hint="eastAsia" w:ascii="宋体" w:hAnsi="宋体" w:eastAsia="宋体" w:cs="宋体"/>
                <w:color w:val="auto"/>
                <w:sz w:val="21"/>
                <w:szCs w:val="24"/>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F3D58A">
            <w:pPr>
              <w:autoSpaceDE/>
              <w:autoSpaceDN/>
              <w:adjustRightInd/>
              <w:spacing w:before="63" w:beforeLines="20" w:after="63" w:afterLines="20"/>
              <w:ind w:left="48" w:leftChars="20" w:right="48" w:rightChars="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形式：</w:t>
            </w:r>
            <w:r>
              <w:rPr>
                <w:rFonts w:hint="eastAsia" w:ascii="宋体" w:hAnsi="宋体" w:eastAsia="宋体" w:cs="宋体"/>
                <w:color w:val="auto"/>
                <w:sz w:val="21"/>
                <w:szCs w:val="21"/>
                <w:highlight w:val="none"/>
                <w:lang w:val="en-US" w:eastAsia="zh-CN"/>
              </w:rPr>
              <w:t xml:space="preserve"> /</w:t>
            </w:r>
          </w:p>
        </w:tc>
      </w:tr>
      <w:tr w14:paraId="43C4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1741AD">
            <w:pPr>
              <w:spacing w:before="62" w:beforeLines="20" w:after="62" w:afterLines="20"/>
              <w:ind w:left="48" w:leftChars="20" w:right="48" w:rightChars="2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pacing w:val="-5"/>
                <w:sz w:val="21"/>
                <w:szCs w:val="21"/>
                <w:highlight w:val="none"/>
              </w:rPr>
              <w:t>1.10.3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D72D71">
            <w:pPr>
              <w:spacing w:before="62" w:beforeLines="20" w:after="62" w:afterLines="20"/>
              <w:ind w:left="48" w:leftChars="20" w:right="48" w:rightChars="20"/>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招标文件澄清发出的形式</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FAE5E3">
            <w:pPr>
              <w:autoSpaceDE/>
              <w:autoSpaceDN/>
              <w:adjustRightInd/>
              <w:spacing w:before="63" w:beforeLines="20" w:after="63" w:afterLines="20"/>
              <w:ind w:right="48" w:rightChars="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4597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0815B">
            <w:pPr>
              <w:pStyle w:val="29"/>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002B5C">
            <w:pPr>
              <w:pStyle w:val="29"/>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实质性要求和条件</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B57F7">
            <w:pPr>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w:t>
            </w:r>
          </w:p>
        </w:tc>
      </w:tr>
      <w:tr w14:paraId="7D3D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7E2F90">
            <w:pPr>
              <w:pStyle w:val="29"/>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1.12.3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C8C10B">
            <w:pPr>
              <w:pStyle w:val="29"/>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偏差</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7FFAE4">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不允许</w:t>
            </w:r>
          </w:p>
          <w:p w14:paraId="41CDF52D">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允许，偏差范围：</w:t>
            </w:r>
          </w:p>
          <w:p w14:paraId="1D97593D">
            <w:pPr>
              <w:pStyle w:val="29"/>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偏差幅度：</w:t>
            </w:r>
          </w:p>
        </w:tc>
      </w:tr>
      <w:tr w14:paraId="420D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5932DB">
            <w:pPr>
              <w:pStyle w:val="29"/>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FF5279">
            <w:pPr>
              <w:pStyle w:val="29"/>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构成招标文件的其他资料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11BB5C">
            <w:pPr>
              <w:jc w:val="both"/>
              <w:rPr>
                <w:rFonts w:hint="default"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57B0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683C1">
            <w:pPr>
              <w:spacing w:before="60" w:line="186" w:lineRule="auto"/>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7B2B27">
            <w:pPr>
              <w:spacing w:before="69" w:line="220" w:lineRule="auto"/>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招标答疑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top"/>
          </w:tcPr>
          <w:p w14:paraId="0DBB96C7">
            <w:pPr>
              <w:spacing w:before="156" w:beforeLines="50"/>
              <w:ind w:left="113" w:leftChars="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疑问提交时间：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时前；</w:t>
            </w:r>
          </w:p>
          <w:p w14:paraId="30D5C21D">
            <w:pPr>
              <w:spacing w:before="156" w:beforeLines="50"/>
              <w:ind w:left="113" w:leftChars="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形式：投标人的疑问通过</w:t>
            </w:r>
            <w:r>
              <w:rPr>
                <w:rFonts w:hint="eastAsia" w:ascii="宋体" w:hAnsi="宋体" w:eastAsia="宋体" w:cs="宋体"/>
                <w:color w:val="auto"/>
                <w:sz w:val="21"/>
                <w:szCs w:val="21"/>
                <w:highlight w:val="none"/>
                <w:lang w:eastAsia="zh-CN"/>
              </w:rPr>
              <w:t>广州交易集团有限公司（广州公共资源交易中心）网站</w:t>
            </w:r>
            <w:r>
              <w:rPr>
                <w:rFonts w:hint="eastAsia" w:ascii="宋体" w:hAnsi="宋体" w:eastAsia="宋体" w:cs="宋体"/>
                <w:color w:val="auto"/>
                <w:sz w:val="21"/>
                <w:szCs w:val="21"/>
                <w:highlight w:val="none"/>
              </w:rPr>
              <w:t>提交。</w:t>
            </w:r>
          </w:p>
          <w:p w14:paraId="3559C422">
            <w:pPr>
              <w:spacing w:before="156" w:beforeLines="50"/>
              <w:ind w:left="113" w:leftChars="47"/>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具体要求：按照</w:t>
            </w:r>
            <w:r>
              <w:rPr>
                <w:rFonts w:hint="eastAsia" w:ascii="宋体" w:hAnsi="宋体" w:eastAsia="宋体" w:cs="宋体"/>
                <w:color w:val="auto"/>
                <w:sz w:val="21"/>
                <w:szCs w:val="21"/>
                <w:highlight w:val="none"/>
                <w:lang w:eastAsia="zh-CN"/>
              </w:rPr>
              <w:t>广州交易集团有限公司（广州公共资源交易中心）网站</w:t>
            </w:r>
            <w:r>
              <w:rPr>
                <w:rFonts w:hint="eastAsia" w:ascii="宋体" w:hAnsi="宋体" w:eastAsia="宋体" w:cs="宋体"/>
                <w:color w:val="auto"/>
                <w:sz w:val="21"/>
                <w:szCs w:val="21"/>
                <w:highlight w:val="none"/>
              </w:rPr>
              <w:t>关于全流程电子化项目的相关指南进行操作，提问一律不得署名。</w:t>
            </w:r>
          </w:p>
        </w:tc>
      </w:tr>
      <w:tr w14:paraId="0D6D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B71068">
            <w:pPr>
              <w:spacing w:before="209" w:line="186" w:lineRule="auto"/>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999D2">
            <w:pPr>
              <w:spacing w:before="170" w:line="220" w:lineRule="auto"/>
              <w:jc w:val="both"/>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招标文件</w:t>
            </w:r>
            <w:r>
              <w:rPr>
                <w:rFonts w:hint="eastAsia" w:ascii="宋体" w:hAnsi="宋体" w:eastAsia="宋体" w:cs="宋体"/>
                <w:color w:val="auto"/>
                <w:spacing w:val="-1"/>
                <w:sz w:val="21"/>
                <w:szCs w:val="21"/>
                <w:highlight w:val="none"/>
                <w:lang w:eastAsia="zh-CN"/>
              </w:rPr>
              <w:t>的澄清和</w:t>
            </w:r>
            <w:r>
              <w:rPr>
                <w:rFonts w:hint="eastAsia" w:ascii="宋体" w:hAnsi="宋体" w:eastAsia="宋体" w:cs="宋体"/>
                <w:color w:val="auto"/>
                <w:spacing w:val="-1"/>
                <w:sz w:val="21"/>
                <w:szCs w:val="21"/>
                <w:highlight w:val="none"/>
              </w:rPr>
              <w:t>修改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C5EE8A">
            <w:pPr>
              <w:ind w:left="91" w:leftChars="38"/>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招标文件的修改期限：在投标截止时间</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15</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rPr>
              <w:t>天前</w:t>
            </w:r>
          </w:p>
        </w:tc>
      </w:tr>
      <w:tr w14:paraId="7882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9544BD">
            <w:pPr>
              <w:pStyle w:val="29"/>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97EECD">
            <w:pPr>
              <w:pStyle w:val="29"/>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构成投标文件的其他资料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85AC0">
            <w:pPr>
              <w:ind w:left="0" w:leftChars="0" w:firstLine="0" w:firstLineChars="0"/>
              <w:jc w:val="both"/>
              <w:rPr>
                <w:rFonts w:hint="eastAsia" w:ascii="宋体" w:hAnsi="宋体" w:eastAsia="宋体" w:cs="宋体"/>
                <w:b/>
                <w:color w:val="auto"/>
                <w:sz w:val="21"/>
                <w:szCs w:val="21"/>
                <w:highlight w:val="none"/>
              </w:rPr>
            </w:pPr>
            <w:r>
              <w:rPr>
                <w:rFonts w:hint="eastAsia" w:ascii="宋体" w:hAnsi="宋体" w:eastAsia="宋体" w:cs="宋体"/>
                <w:color w:val="auto"/>
                <w:spacing w:val="-1"/>
                <w:sz w:val="21"/>
                <w:szCs w:val="21"/>
                <w:highlight w:val="none"/>
                <w:lang w:val="en-US" w:eastAsia="zh-CN"/>
              </w:rPr>
              <w:t>满足本项目评审要求的其他资料。</w:t>
            </w:r>
          </w:p>
        </w:tc>
      </w:tr>
      <w:tr w14:paraId="565D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F609A6">
            <w:pPr>
              <w:pStyle w:val="29"/>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4EAD0A">
            <w:pPr>
              <w:pStyle w:val="29"/>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增值税税金的计算方法</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893684">
            <w:pPr>
              <w:jc w:val="both"/>
              <w:rPr>
                <w:rFonts w:hint="eastAsia" w:ascii="宋体" w:hAnsi="宋体" w:eastAsia="宋体" w:cs="宋体"/>
                <w:b/>
                <w:color w:val="auto"/>
                <w:sz w:val="21"/>
                <w:szCs w:val="21"/>
                <w:highlight w:val="none"/>
              </w:rPr>
            </w:pPr>
            <w:r>
              <w:rPr>
                <w:rFonts w:hint="eastAsia" w:ascii="宋体" w:hAnsi="宋体" w:eastAsia="宋体" w:cs="宋体"/>
                <w:color w:val="auto"/>
                <w:spacing w:val="-1"/>
                <w:sz w:val="21"/>
                <w:szCs w:val="21"/>
                <w:highlight w:val="none"/>
                <w:lang w:val="en-US" w:eastAsia="zh-CN"/>
              </w:rPr>
              <w:t>一般计税方法。</w:t>
            </w:r>
          </w:p>
        </w:tc>
      </w:tr>
      <w:tr w14:paraId="0219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9D4F41">
            <w:pPr>
              <w:pStyle w:val="29"/>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E22F55">
            <w:pPr>
              <w:pStyle w:val="29"/>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报价方式</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CD0DA3">
            <w:pPr>
              <w:spacing w:before="156" w:beforeLines="50"/>
              <w:ind w:left="113" w:leftChars="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投标报价实行“最高投标限价”下浮报价，投标仅需在“最高投标限价”T的基础上，选取合适的下浮率B，按以下公式计算投标报价J：J= T×（1-B）。投标人报价下浮率B值，应精确至小数点后3位数。</w:t>
            </w:r>
          </w:p>
        </w:tc>
      </w:tr>
      <w:tr w14:paraId="7C6C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5923FE">
            <w:pPr>
              <w:pStyle w:val="29"/>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16B799">
            <w:pPr>
              <w:pStyle w:val="29"/>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最高投标限价</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6BD162">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无</w:t>
            </w:r>
          </w:p>
          <w:p w14:paraId="5E2DDBA1">
            <w:pPr>
              <w:pStyle w:val="29"/>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有，最高投标限价</w:t>
            </w:r>
            <w:r>
              <w:rPr>
                <w:rFonts w:hint="eastAsia" w:ascii="宋体" w:hAnsi="宋体" w:eastAsia="宋体" w:cs="宋体"/>
                <w:color w:val="auto"/>
                <w:sz w:val="24"/>
                <w:szCs w:val="24"/>
                <w:highlight w:val="none"/>
              </w:rPr>
              <w:t>：</w:t>
            </w:r>
            <w:r>
              <w:rPr>
                <w:rFonts w:hint="eastAsia" w:ascii="宋体" w:hAnsi="宋体" w:cs="宋体"/>
                <w:color w:val="auto"/>
                <w:sz w:val="21"/>
                <w:szCs w:val="21"/>
                <w:highlight w:val="none"/>
                <w:u w:val="single"/>
                <w:shd w:val="clear" w:color="auto" w:fill="FFFFFF"/>
                <w:lang w:val="en-US" w:eastAsia="zh-CN"/>
              </w:rPr>
              <w:t>4589350.32元</w:t>
            </w:r>
            <w:r>
              <w:rPr>
                <w:rFonts w:hint="eastAsia" w:ascii="宋体" w:hAnsi="宋体" w:eastAsia="宋体" w:cs="宋体"/>
                <w:color w:val="auto"/>
                <w:sz w:val="21"/>
                <w:szCs w:val="21"/>
                <w:highlight w:val="none"/>
                <w:u w:val="single"/>
                <w:lang w:val="en-US" w:eastAsia="zh-CN"/>
              </w:rPr>
              <w:t>。</w:t>
            </w:r>
          </w:p>
        </w:tc>
      </w:tr>
      <w:tr w14:paraId="392C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A87402">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3.2.5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A7532">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投标报价的其他要求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B01AA0">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1、投标报价应包括投标人中标后为完成合同规定的全部工作需支付的一切费用，并充分考虑国家或地方政府的法律法规、政策、规范等的调整及物价变动的风险，但不包括合同规定的监理报酬调整。</w:t>
            </w:r>
          </w:p>
          <w:p w14:paraId="44528035">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监理费结算价按审定的建安工程费结算价及需监理的各项服务结算价之和为计费基数参照国家发展改革委、建设部关于印发《建设工程监理与相关服务收费管理规定》的通知（发改价格[2007]670号）规定的计价方式和计价标准结合中标下浮率计算；监理费结算价的计算方法、计算公式、监理报酬的支付，见监理合同专用条款第四十八条。</w:t>
            </w:r>
          </w:p>
        </w:tc>
      </w:tr>
      <w:tr w14:paraId="663C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3240C9">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FBCA4F">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投标有效期</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29491">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u w:val="single"/>
                <w:lang w:val="en-US" w:eastAsia="zh-CN"/>
              </w:rPr>
              <w:t>90</w:t>
            </w:r>
            <w:r>
              <w:rPr>
                <w:rFonts w:hint="eastAsia" w:ascii="宋体" w:hAnsi="宋体" w:eastAsia="宋体" w:cs="宋体"/>
                <w:color w:val="auto"/>
                <w:sz w:val="21"/>
                <w:szCs w:val="24"/>
                <w:highlight w:val="none"/>
              </w:rPr>
              <w:t>日历天（从投标截止之日计起）</w:t>
            </w:r>
          </w:p>
        </w:tc>
      </w:tr>
      <w:tr w14:paraId="2CE2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23DC9E">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B3D4B9">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投标保证金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3BC5C8">
            <w:pPr>
              <w:spacing w:before="139"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是否要</w:t>
            </w:r>
            <w:r>
              <w:rPr>
                <w:rFonts w:hint="eastAsia" w:ascii="宋体" w:hAnsi="宋体" w:eastAsia="宋体" w:cs="宋体"/>
                <w:color w:val="auto"/>
                <w:spacing w:val="-5"/>
                <w:sz w:val="21"/>
                <w:szCs w:val="21"/>
                <w:highlight w:val="none"/>
              </w:rPr>
              <w:t>求</w:t>
            </w:r>
            <w:r>
              <w:rPr>
                <w:rFonts w:hint="eastAsia" w:ascii="宋体" w:hAnsi="宋体" w:eastAsia="宋体" w:cs="宋体"/>
                <w:color w:val="auto"/>
                <w:spacing w:val="-3"/>
                <w:sz w:val="21"/>
                <w:szCs w:val="21"/>
                <w:highlight w:val="none"/>
              </w:rPr>
              <w:t>投标人递交投标保证金：</w:t>
            </w:r>
          </w:p>
          <w:p w14:paraId="26DC1231">
            <w:pPr>
              <w:pStyle w:val="29"/>
              <w:kinsoku w:val="0"/>
              <w:overflowPunct w:val="0"/>
              <w:ind w:firstLine="198" w:firstLineChars="100"/>
              <w:jc w:val="both"/>
              <w:rPr>
                <w:rFonts w:hint="eastAsia" w:ascii="宋体" w:hAnsi="宋体" w:eastAsia="宋体" w:cs="宋体"/>
                <w:color w:val="auto"/>
                <w:spacing w:val="-6"/>
                <w:sz w:val="21"/>
                <w:szCs w:val="21"/>
                <w:highlight w:val="none"/>
              </w:rPr>
            </w:pPr>
          </w:p>
          <w:p w14:paraId="79A1BF4F">
            <w:pPr>
              <w:pStyle w:val="29"/>
              <w:kinsoku w:val="0"/>
              <w:overflowPunct w:val="0"/>
              <w:ind w:firstLine="198" w:firstLineChars="100"/>
              <w:jc w:val="both"/>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3"/>
                <w:sz w:val="21"/>
                <w:szCs w:val="21"/>
                <w:highlight w:val="none"/>
              </w:rPr>
              <w:t>不要求</w:t>
            </w:r>
          </w:p>
          <w:p w14:paraId="203B1516">
            <w:pPr>
              <w:spacing w:before="147" w:line="248" w:lineRule="auto"/>
              <w:ind w:right="1461" w:firstLine="196"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sym w:font="Wingdings 2" w:char="00A3"/>
            </w:r>
            <w:r>
              <w:rPr>
                <w:rFonts w:hint="eastAsia" w:ascii="宋体" w:hAnsi="宋体" w:eastAsia="宋体" w:cs="宋体"/>
                <w:color w:val="auto"/>
                <w:spacing w:val="-5"/>
                <w:sz w:val="21"/>
                <w:szCs w:val="21"/>
                <w:highlight w:val="none"/>
              </w:rPr>
              <w:t>要求，投标保证金的形式：</w:t>
            </w:r>
            <w:r>
              <w:rPr>
                <w:rFonts w:hint="eastAsia" w:ascii="宋体" w:hAnsi="宋体" w:eastAsia="宋体" w:cs="宋体"/>
                <w:color w:val="auto"/>
                <w:sz w:val="21"/>
                <w:szCs w:val="21"/>
                <w:highlight w:val="none"/>
              </w:rPr>
              <w:t xml:space="preserve"> </w:t>
            </w:r>
          </w:p>
          <w:p w14:paraId="3D01661D">
            <w:pPr>
              <w:spacing w:before="147" w:line="248" w:lineRule="auto"/>
              <w:ind w:right="1461" w:firstLine="1116" w:firstLineChars="600"/>
              <w:rPr>
                <w:rFonts w:hint="eastAsia" w:ascii="宋体" w:hAnsi="宋体" w:eastAsia="宋体" w:cs="宋体"/>
                <w:color w:val="auto"/>
                <w:sz w:val="21"/>
                <w:szCs w:val="24"/>
                <w:highlight w:val="none"/>
              </w:rPr>
            </w:pPr>
            <w:r>
              <w:rPr>
                <w:rFonts w:hint="eastAsia" w:ascii="宋体" w:hAnsi="宋体" w:eastAsia="宋体" w:cs="宋体"/>
                <w:color w:val="auto"/>
                <w:spacing w:val="-12"/>
                <w:sz w:val="21"/>
                <w:szCs w:val="21"/>
                <w:highlight w:val="none"/>
              </w:rPr>
              <w:t>投</w:t>
            </w:r>
            <w:r>
              <w:rPr>
                <w:rFonts w:hint="eastAsia" w:ascii="宋体" w:hAnsi="宋体" w:eastAsia="宋体" w:cs="宋体"/>
                <w:color w:val="auto"/>
                <w:spacing w:val="-6"/>
                <w:sz w:val="21"/>
                <w:szCs w:val="21"/>
                <w:highlight w:val="none"/>
              </w:rPr>
              <w:t>标保证金的金额：</w:t>
            </w:r>
          </w:p>
        </w:tc>
      </w:tr>
      <w:tr w14:paraId="7189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45E2A9">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8B3042">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资格审查资料的特殊要求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43A3B8">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无</w:t>
            </w:r>
          </w:p>
          <w:p w14:paraId="4E9F4A7B">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有，具体要求：</w:t>
            </w:r>
          </w:p>
        </w:tc>
      </w:tr>
      <w:tr w14:paraId="1E44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33402">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3.5.3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778561">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近年完成的类似项目情况的时间要求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C79129">
            <w:pPr>
              <w:pStyle w:val="29"/>
              <w:tabs>
                <w:tab w:val="left" w:pos="799"/>
                <w:tab w:val="left" w:pos="1569"/>
                <w:tab w:val="left" w:pos="2340"/>
              </w:tabs>
              <w:kinsoku w:val="0"/>
              <w:overflowPunct w:val="0"/>
              <w:jc w:val="both"/>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u w:val="single"/>
                <w:lang w:val="en-US" w:eastAsia="zh-CN"/>
              </w:rPr>
              <w:t>/</w:t>
            </w:r>
            <w:r>
              <w:rPr>
                <w:rFonts w:hint="eastAsia" w:ascii="宋体" w:hAnsi="宋体" w:eastAsia="宋体" w:cs="宋体"/>
                <w:color w:val="auto"/>
                <w:sz w:val="21"/>
                <w:szCs w:val="24"/>
                <w:highlight w:val="none"/>
              </w:rPr>
              <w:t>年</w:t>
            </w:r>
            <w:r>
              <w:rPr>
                <w:rFonts w:hint="eastAsia" w:ascii="宋体" w:hAnsi="宋体" w:cs="宋体"/>
                <w:color w:val="auto"/>
                <w:sz w:val="21"/>
                <w:szCs w:val="24"/>
                <w:highlight w:val="none"/>
                <w:u w:val="single"/>
                <w:lang w:val="en-US" w:eastAsia="zh-CN"/>
              </w:rPr>
              <w:t>/</w:t>
            </w:r>
            <w:r>
              <w:rPr>
                <w:rFonts w:hint="eastAsia" w:ascii="宋体" w:hAnsi="宋体" w:eastAsia="宋体" w:cs="宋体"/>
                <w:color w:val="auto"/>
                <w:sz w:val="21"/>
                <w:szCs w:val="24"/>
                <w:highlight w:val="none"/>
              </w:rPr>
              <w:t>月</w:t>
            </w:r>
            <w:r>
              <w:rPr>
                <w:rFonts w:hint="eastAsia" w:ascii="宋体" w:hAnsi="宋体" w:cs="宋体"/>
                <w:color w:val="auto"/>
                <w:sz w:val="21"/>
                <w:szCs w:val="24"/>
                <w:highlight w:val="none"/>
                <w:u w:val="single"/>
                <w:lang w:val="en-US" w:eastAsia="zh-CN"/>
              </w:rPr>
              <w:t>/</w:t>
            </w:r>
            <w:r>
              <w:rPr>
                <w:rFonts w:hint="eastAsia" w:ascii="宋体" w:hAnsi="宋体" w:eastAsia="宋体" w:cs="宋体"/>
                <w:color w:val="auto"/>
                <w:sz w:val="21"/>
                <w:szCs w:val="24"/>
                <w:highlight w:val="none"/>
              </w:rPr>
              <w:t>日至</w:t>
            </w:r>
            <w:r>
              <w:rPr>
                <w:rFonts w:hint="eastAsia" w:ascii="宋体" w:hAnsi="宋体" w:eastAsia="宋体" w:cs="宋体"/>
                <w:color w:val="auto"/>
                <w:sz w:val="21"/>
                <w:szCs w:val="24"/>
                <w:highlight w:val="none"/>
                <w:lang w:eastAsia="zh-CN"/>
              </w:rPr>
              <w:t>今</w:t>
            </w:r>
          </w:p>
        </w:tc>
      </w:tr>
      <w:tr w14:paraId="43CF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2A0124">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9B13EB">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是否允许递交备选投标方案</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B95B4">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不允许</w:t>
            </w:r>
          </w:p>
          <w:p w14:paraId="7A0B6A94">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允许</w:t>
            </w:r>
          </w:p>
        </w:tc>
      </w:tr>
      <w:tr w14:paraId="6F54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4C31CA">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3.7.3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583EEB">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投标文件签字或盖章要求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000AEE">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投标文件格式规定需个人签字的，应签字或签章后扫描上传</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4"/>
                <w:highlight w:val="none"/>
                <w:lang w:val="en-US" w:eastAsia="zh-CN" w:bidi="ar-SA"/>
              </w:rPr>
              <w:t>可靠的电子签名与手写签名或者盖章具有同等的法律效力</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sz w:val="21"/>
                <w:szCs w:val="24"/>
                <w:highlight w:val="none"/>
              </w:rPr>
              <w:t>。投标文件格式规定盖单位公章的页面必须盖单位公章（公章与电子公章具有相同法律效力）</w:t>
            </w:r>
          </w:p>
        </w:tc>
      </w:tr>
      <w:tr w14:paraId="1157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29BAF4">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4.2.1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A08C00">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投标截止时间</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F53B9C">
            <w:pPr>
              <w:spacing w:before="62" w:beforeLines="20" w:after="62" w:afterLines="20"/>
              <w:ind w:left="48" w:leftChars="20" w:right="48" w:rightChars="2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投标截止时间：</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年</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月</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日</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时</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分</w:t>
            </w:r>
            <w:r>
              <w:rPr>
                <w:rFonts w:hint="eastAsia" w:ascii="宋体" w:hAnsi="宋体" w:eastAsia="宋体" w:cs="宋体"/>
                <w:color w:val="auto"/>
                <w:sz w:val="21"/>
                <w:szCs w:val="24"/>
                <w:highlight w:val="none"/>
                <w:lang w:eastAsia="zh-CN"/>
              </w:rPr>
              <w:t>（北京时间）</w:t>
            </w:r>
          </w:p>
        </w:tc>
      </w:tr>
      <w:tr w14:paraId="4987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BA7B0A">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5.1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3E92A3">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开标时间和地点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CE99A">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开标时间：同投标截止时间</w:t>
            </w:r>
          </w:p>
          <w:p w14:paraId="28E6B808">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开标室</w:t>
            </w:r>
          </w:p>
          <w:p w14:paraId="26763F21">
            <w:pPr>
              <w:keepNext w:val="0"/>
              <w:keepLines w:val="0"/>
              <w:pageBreakBefore w:val="0"/>
              <w:widowControl w:val="0"/>
              <w:kinsoku/>
              <w:wordWrap/>
              <w:overflowPunct/>
              <w:topLinePunct w:val="0"/>
              <w:autoSpaceDE w:val="0"/>
              <w:autoSpaceDN w:val="0"/>
              <w:bidi w:val="0"/>
              <w:adjustRightInd w:val="0"/>
              <w:snapToGrid/>
              <w:spacing w:line="240" w:lineRule="auto"/>
              <w:ind w:left="0" w:leftChars="0" w:hanging="10" w:firstLineChars="0"/>
              <w:contextualSpacing/>
              <w:jc w:val="both"/>
              <w:textAlignment w:val="auto"/>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lang w:val="en-US" w:eastAsia="zh-CN"/>
              </w:rPr>
              <w:t>3</w:t>
            </w:r>
            <w:r>
              <w:rPr>
                <w:rFonts w:hint="eastAsia" w:ascii="宋体" w:hAnsi="宋体" w:eastAsia="宋体" w:cs="宋体"/>
                <w:color w:val="auto"/>
                <w:sz w:val="21"/>
                <w:szCs w:val="18"/>
                <w:highlight w:val="none"/>
              </w:rPr>
              <w:t>、递交投标文件备用光盘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U盘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18"/>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18"/>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18"/>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18"/>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18"/>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18"/>
                <w:highlight w:val="none"/>
              </w:rPr>
              <w:t>分至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18"/>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18"/>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18"/>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18"/>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18"/>
                <w:highlight w:val="none"/>
              </w:rPr>
              <w:t>分；递交地点：</w:t>
            </w:r>
            <w:r>
              <w:rPr>
                <w:rFonts w:hint="eastAsia" w:ascii="宋体" w:hAnsi="宋体" w:eastAsia="宋体" w:cs="宋体"/>
                <w:color w:val="auto"/>
                <w:sz w:val="21"/>
                <w:szCs w:val="18"/>
                <w:highlight w:val="none"/>
                <w:u w:val="single"/>
                <w:lang w:val="en-US" w:eastAsia="zh-CN"/>
              </w:rPr>
              <w:t>广州公共资源交易中心   开标室</w:t>
            </w:r>
            <w:r>
              <w:rPr>
                <w:rFonts w:hint="eastAsia" w:ascii="宋体" w:hAnsi="宋体" w:eastAsia="宋体" w:cs="宋体"/>
                <w:color w:val="auto"/>
                <w:sz w:val="21"/>
                <w:szCs w:val="18"/>
                <w:highlight w:val="none"/>
              </w:rPr>
              <w:t>。</w:t>
            </w:r>
          </w:p>
          <w:p w14:paraId="09353DF9">
            <w:pPr>
              <w:keepNext w:val="0"/>
              <w:keepLines w:val="0"/>
              <w:pageBreakBefore w:val="0"/>
              <w:widowControl w:val="0"/>
              <w:kinsoku/>
              <w:wordWrap/>
              <w:overflowPunct/>
              <w:topLinePunct w:val="0"/>
              <w:autoSpaceDE w:val="0"/>
              <w:autoSpaceDN w:val="0"/>
              <w:bidi w:val="0"/>
              <w:adjustRightInd w:val="0"/>
              <w:snapToGrid/>
              <w:spacing w:line="240" w:lineRule="auto"/>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、提交投标文件光盘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U盘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备用</w:t>
            </w:r>
          </w:p>
          <w:p w14:paraId="40F0C9F4">
            <w:pPr>
              <w:keepNext w:val="0"/>
              <w:keepLines w:val="0"/>
              <w:pageBreakBefore w:val="0"/>
              <w:widowControl w:val="0"/>
              <w:kinsoku/>
              <w:wordWrap/>
              <w:overflowPunct/>
              <w:topLinePunct w:val="0"/>
              <w:autoSpaceDE w:val="0"/>
              <w:autoSpaceDN w:val="0"/>
              <w:bidi w:val="0"/>
              <w:adjustRightInd w:val="0"/>
              <w:snapToGrid/>
              <w:spacing w:line="240" w:lineRule="auto"/>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投标人可制作非加密的电子投标文件（PDF 格式）刻入光盘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U盘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1份，在投标须知前附表规定的时间、地点提交备用。刻录好的投标文件光盘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U盘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密封在密封袋中，并在封口处加盖投标人单位公章。密封袋上应写明项目名称和招标人名称。递交的光盘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U盘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不得加密。光盘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U盘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无法读取或导入的，则视为未提交备用投标文件光盘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U盘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。如果投标人没有按规定通过交易平台网上递交电子投标文件的，不再读取提交的光盘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U盘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。投标人也可不提交备用光盘。</w:t>
            </w:r>
          </w:p>
          <w:p w14:paraId="652CDB7F">
            <w:pPr>
              <w:keepNext w:val="0"/>
              <w:keepLines w:val="0"/>
              <w:pageBreakBefore w:val="0"/>
              <w:widowControl w:val="0"/>
              <w:kinsoku/>
              <w:wordWrap/>
              <w:overflowPunct/>
              <w:topLinePunct w:val="0"/>
              <w:autoSpaceDE w:val="0"/>
              <w:autoSpaceDN w:val="0"/>
              <w:bidi w:val="0"/>
              <w:adjustRightInd w:val="0"/>
              <w:snapToGrid/>
              <w:spacing w:line="240" w:lineRule="auto"/>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、补救方案</w:t>
            </w:r>
          </w:p>
          <w:p w14:paraId="5D9B405C">
            <w:pPr>
              <w:keepNext w:val="0"/>
              <w:keepLines w:val="0"/>
              <w:pageBreakBefore w:val="0"/>
              <w:widowControl w:val="0"/>
              <w:kinsoku/>
              <w:wordWrap/>
              <w:overflowPunct/>
              <w:topLinePunct w:val="0"/>
              <w:autoSpaceDE w:val="0"/>
              <w:autoSpaceDN w:val="0"/>
              <w:bidi w:val="0"/>
              <w:adjustRightInd w:val="0"/>
              <w:snapToGrid/>
              <w:spacing w:line="240" w:lineRule="auto"/>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（1）投标文件解密失败的补救方案：</w:t>
            </w:r>
          </w:p>
          <w:p w14:paraId="2C8F1ED8">
            <w:pPr>
              <w:keepNext w:val="0"/>
              <w:keepLines w:val="0"/>
              <w:pageBreakBefore w:val="0"/>
              <w:widowControl w:val="0"/>
              <w:kinsoku/>
              <w:wordWrap/>
              <w:overflowPunct/>
              <w:topLinePunct w:val="0"/>
              <w:autoSpaceDE w:val="0"/>
              <w:autoSpaceDN w:val="0"/>
              <w:bidi w:val="0"/>
              <w:adjustRightInd w:val="0"/>
              <w:snapToGrid/>
              <w:spacing w:line="240" w:lineRule="auto"/>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在规定时间内，因投标人之外原因(指网络瘫痪、服务器损坏、交易系统故障短期无法恢复)导致的电子投标文件解密失败，在开标现场读取光盘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U盘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内容，继续开标程序。评标委员会对其投标文件的评审以光盘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U盘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内容为准。因投标人之外原因解密失败且未递交电子光盘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U盘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的，视为撤回投标文件。</w:t>
            </w:r>
          </w:p>
          <w:p w14:paraId="62F6DFB2">
            <w:pPr>
              <w:keepNext w:val="0"/>
              <w:keepLines w:val="0"/>
              <w:pageBreakBefore w:val="0"/>
              <w:widowControl w:val="0"/>
              <w:kinsoku/>
              <w:wordWrap/>
              <w:overflowPunct/>
              <w:topLinePunct w:val="0"/>
              <w:autoSpaceDE w:val="0"/>
              <w:autoSpaceDN w:val="0"/>
              <w:bidi w:val="0"/>
              <w:adjustRightInd w:val="0"/>
              <w:snapToGrid/>
              <w:spacing w:line="240" w:lineRule="auto"/>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（2）评标时突发情况的补救方案</w:t>
            </w:r>
          </w:p>
          <w:p w14:paraId="2B599720">
            <w:pPr>
              <w:keepNext w:val="0"/>
              <w:keepLines w:val="0"/>
              <w:pageBreakBefore w:val="0"/>
              <w:widowControl w:val="0"/>
              <w:kinsoku/>
              <w:wordWrap/>
              <w:overflowPunct/>
              <w:topLinePunct w:val="0"/>
              <w:autoSpaceDE w:val="0"/>
              <w:autoSpaceDN w:val="0"/>
              <w:bidi w:val="0"/>
              <w:adjustRightInd w:val="0"/>
              <w:snapToGrid/>
              <w:spacing w:line="240" w:lineRule="auto"/>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若遇不可抗力发生（指网络瘫痪、服务器损坏、交易系统故障短期无法恢复等因素），由评标委员会开启投标人递交的全部投标文件光盘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U盘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，并按光盘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U盘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内容进行评审。</w:t>
            </w:r>
          </w:p>
          <w:p w14:paraId="35ABE134">
            <w:pPr>
              <w:keepNext w:val="0"/>
              <w:keepLines w:val="0"/>
              <w:pageBreakBefore w:val="0"/>
              <w:widowControl w:val="0"/>
              <w:kinsoku/>
              <w:wordWrap/>
              <w:overflowPunct/>
              <w:topLinePunct w:val="0"/>
              <w:autoSpaceDE w:val="0"/>
              <w:autoSpaceDN w:val="0"/>
              <w:bidi w:val="0"/>
              <w:adjustRightInd w:val="0"/>
              <w:snapToGrid/>
              <w:spacing w:line="240" w:lineRule="auto"/>
              <w:contextualSpacing/>
              <w:jc w:val="both"/>
              <w:textAlignment w:val="auto"/>
              <w:rPr>
                <w:rFonts w:hint="eastAsia" w:ascii="宋体" w:hAnsi="宋体" w:eastAsia="宋体" w:cs="宋体"/>
                <w:bCs w:val="0"/>
                <w:color w:val="auto"/>
                <w:kern w:val="2"/>
                <w:sz w:val="21"/>
                <w:szCs w:val="21"/>
                <w:highlight w:val="none"/>
              </w:rPr>
            </w:pPr>
            <w:r>
              <w:rPr>
                <w:rFonts w:hint="eastAsia" w:ascii="宋体" w:hAnsi="宋体" w:eastAsia="宋体" w:cs="宋体"/>
                <w:color w:val="auto"/>
                <w:sz w:val="21"/>
                <w:szCs w:val="21"/>
                <w:highlight w:val="none"/>
              </w:rPr>
              <w:t>（3）除发生上述情况外，开标评标均以投标人通过交易平台网上递交的电子投标文件为准。</w:t>
            </w:r>
          </w:p>
          <w:p w14:paraId="53280656">
            <w:pPr>
              <w:keepNext w:val="0"/>
              <w:keepLines w:val="0"/>
              <w:pageBreakBefore w:val="0"/>
              <w:widowControl w:val="0"/>
              <w:kinsoku/>
              <w:wordWrap/>
              <w:overflowPunct/>
              <w:topLinePunct w:val="0"/>
              <w:autoSpaceDE w:val="0"/>
              <w:autoSpaceDN w:val="0"/>
              <w:bidi w:val="0"/>
              <w:adjustRightInd w:val="0"/>
              <w:snapToGrid/>
              <w:spacing w:line="240" w:lineRule="auto"/>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kern w:val="2"/>
                <w:sz w:val="21"/>
                <w:szCs w:val="21"/>
                <w:highlight w:val="none"/>
              </w:rPr>
              <w:t>开标时，投标人代表有权参加现场开标或</w:t>
            </w:r>
            <w:r>
              <w:rPr>
                <w:rFonts w:hint="eastAsia" w:ascii="宋体" w:hAnsi="宋体" w:eastAsia="宋体" w:cs="宋体"/>
                <w:b w:val="0"/>
                <w:bCs w:val="0"/>
                <w:color w:val="auto"/>
                <w:kern w:val="2"/>
                <w:sz w:val="21"/>
                <w:szCs w:val="21"/>
                <w:highlight w:val="none"/>
              </w:rPr>
              <w:t>在线开标</w:t>
            </w:r>
            <w:r>
              <w:rPr>
                <w:rFonts w:hint="eastAsia" w:ascii="宋体" w:hAnsi="宋体" w:eastAsia="宋体" w:cs="宋体"/>
                <w:bCs w:val="0"/>
                <w:color w:val="auto"/>
                <w:kern w:val="2"/>
                <w:sz w:val="21"/>
                <w:szCs w:val="21"/>
                <w:highlight w:val="none"/>
              </w:rPr>
              <w:t>，也可以自主决定不参加开标</w:t>
            </w:r>
            <w:r>
              <w:rPr>
                <w:rFonts w:hint="eastAsia" w:ascii="宋体" w:hAnsi="宋体" w:eastAsia="宋体" w:cs="宋体"/>
                <w:bCs w:val="0"/>
                <w:color w:val="auto"/>
                <w:kern w:val="2"/>
                <w:sz w:val="21"/>
                <w:szCs w:val="21"/>
                <w:highlight w:val="none"/>
                <w:lang w:eastAsia="zh-CN"/>
              </w:rPr>
              <w:t>，</w:t>
            </w:r>
            <w:r>
              <w:rPr>
                <w:rFonts w:hint="eastAsia" w:ascii="宋体" w:hAnsi="宋体" w:eastAsia="宋体" w:cs="宋体"/>
                <w:color w:val="auto"/>
                <w:sz w:val="21"/>
                <w:szCs w:val="21"/>
                <w:highlight w:val="none"/>
                <w:lang w:eastAsia="zh-CN"/>
              </w:rPr>
              <w:t>投标人选择参加在线开标的，具体按照交易平台相关指南进行操作。</w:t>
            </w:r>
          </w:p>
          <w:p w14:paraId="14080FE2">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、上述时间及地点是否有改变，请密切留意</w:t>
            </w:r>
            <w:r>
              <w:rPr>
                <w:rFonts w:hint="eastAsia" w:ascii="宋体" w:hAnsi="宋体" w:eastAsia="宋体" w:cs="宋体"/>
                <w:color w:val="auto"/>
                <w:sz w:val="21"/>
                <w:szCs w:val="21"/>
                <w:highlight w:val="none"/>
                <w:lang w:eastAsia="zh-CN"/>
              </w:rPr>
              <w:t>补充公告或</w:t>
            </w:r>
            <w:r>
              <w:rPr>
                <w:rFonts w:hint="eastAsia" w:ascii="宋体" w:hAnsi="宋体" w:eastAsia="宋体" w:cs="宋体"/>
                <w:color w:val="auto"/>
                <w:sz w:val="21"/>
                <w:szCs w:val="21"/>
                <w:highlight w:val="none"/>
              </w:rPr>
              <w:t>招标答疑纪要的相关信息。</w:t>
            </w:r>
          </w:p>
        </w:tc>
      </w:tr>
      <w:tr w14:paraId="7318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85AC5">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C8258F">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评标委员会的组建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52D0D2">
            <w:pPr>
              <w:pStyle w:val="29"/>
              <w:tabs>
                <w:tab w:val="left" w:pos="2309"/>
                <w:tab w:val="left" w:pos="3826"/>
              </w:tabs>
              <w:kinsoku w:val="0"/>
              <w:overflowPunct w:val="0"/>
              <w:spacing w:line="440" w:lineRule="atLeast"/>
              <w:jc w:val="both"/>
              <w:rPr>
                <w:rFonts w:hint="eastAsia" w:ascii="宋体" w:hAnsi="宋体" w:eastAsia="宋体" w:cs="宋体"/>
                <w:color w:val="auto"/>
                <w:spacing w:val="-2"/>
                <w:sz w:val="21"/>
                <w:szCs w:val="24"/>
                <w:highlight w:val="none"/>
              </w:rPr>
            </w:pPr>
            <w:r>
              <w:rPr>
                <w:rFonts w:hint="eastAsia" w:ascii="宋体" w:hAnsi="宋体" w:eastAsia="宋体" w:cs="宋体"/>
                <w:color w:val="auto"/>
                <w:spacing w:val="-2"/>
                <w:sz w:val="21"/>
                <w:szCs w:val="24"/>
                <w:highlight w:val="none"/>
              </w:rPr>
              <w:t>评标委员会构成：由招标人依法组建。</w:t>
            </w:r>
          </w:p>
          <w:p w14:paraId="0B9841A4">
            <w:pPr>
              <w:pStyle w:val="29"/>
              <w:tabs>
                <w:tab w:val="left" w:pos="2309"/>
                <w:tab w:val="left" w:pos="3826"/>
              </w:tabs>
              <w:kinsoku w:val="0"/>
              <w:overflowPunct w:val="0"/>
              <w:spacing w:line="440" w:lineRule="atLeast"/>
              <w:jc w:val="both"/>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4"/>
                <w:highlight w:val="none"/>
              </w:rPr>
              <w:t>评标专家确定方式：除招标人代表外，其余专家均从广东省综合评标评审专家库中随机抽取。</w:t>
            </w:r>
          </w:p>
        </w:tc>
      </w:tr>
      <w:tr w14:paraId="5004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D075EE">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6917D4">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评标委员会推荐中标候选人的人数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985590">
            <w:pPr>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3人</w:t>
            </w:r>
          </w:p>
        </w:tc>
      </w:tr>
      <w:tr w14:paraId="4D60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F0488A">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7FA203">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中标候选人公示媒介及期限</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F99122">
            <w:pPr>
              <w:spacing w:before="171"/>
              <w:ind w:left="4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公</w:t>
            </w:r>
            <w:r>
              <w:rPr>
                <w:rFonts w:hint="eastAsia" w:ascii="宋体" w:hAnsi="宋体" w:eastAsia="宋体" w:cs="宋体"/>
                <w:color w:val="auto"/>
                <w:spacing w:val="-10"/>
                <w:sz w:val="21"/>
                <w:szCs w:val="21"/>
                <w:highlight w:val="none"/>
              </w:rPr>
              <w:t>示媒介：</w:t>
            </w:r>
            <w:r>
              <w:rPr>
                <w:rFonts w:hint="eastAsia" w:ascii="宋体" w:hAnsi="宋体" w:eastAsia="宋体" w:cs="宋体"/>
                <w:color w:val="auto"/>
                <w:sz w:val="21"/>
                <w:szCs w:val="21"/>
                <w:highlight w:val="none"/>
                <w:lang w:val="zh-CN"/>
              </w:rPr>
              <w:t>广州交易集团有限公司（广州公共资源交易中心）网和广东省招标投标监管网</w:t>
            </w:r>
          </w:p>
          <w:p w14:paraId="5295232D">
            <w:pPr>
              <w:pStyle w:val="29"/>
              <w:tabs>
                <w:tab w:val="left" w:pos="2100"/>
              </w:tabs>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pacing w:val="-8"/>
                <w:sz w:val="21"/>
                <w:szCs w:val="21"/>
                <w:highlight w:val="none"/>
              </w:rPr>
              <w:t>公示期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lang w:eastAsia="zh-CN"/>
              </w:rPr>
              <w:t>不少于</w:t>
            </w:r>
            <w:r>
              <w:rPr>
                <w:rFonts w:hint="eastAsia" w:ascii="宋体" w:hAnsi="宋体" w:eastAsia="宋体" w:cs="宋体"/>
                <w:color w:val="auto"/>
                <w:spacing w:val="-4"/>
                <w:sz w:val="21"/>
                <w:szCs w:val="21"/>
                <w:highlight w:val="none"/>
                <w:u w:val="single" w:color="auto"/>
                <w:lang w:val="en-US" w:eastAsia="zh-CN"/>
              </w:rPr>
              <w:t>3</w:t>
            </w:r>
            <w:r>
              <w:rPr>
                <w:rFonts w:hint="eastAsia" w:ascii="宋体" w:hAnsi="宋体" w:eastAsia="宋体" w:cs="宋体"/>
                <w:color w:val="auto"/>
                <w:spacing w:val="-4"/>
                <w:sz w:val="21"/>
                <w:szCs w:val="21"/>
                <w:highlight w:val="none"/>
              </w:rPr>
              <w:t>日</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最后一天应为工作日</w:t>
            </w:r>
            <w:r>
              <w:rPr>
                <w:rFonts w:hint="eastAsia" w:ascii="宋体" w:hAnsi="宋体" w:eastAsia="宋体" w:cs="宋体"/>
                <w:color w:val="auto"/>
                <w:spacing w:val="-5"/>
                <w:sz w:val="21"/>
                <w:szCs w:val="21"/>
                <w:highlight w:val="none"/>
                <w:lang w:eastAsia="zh-CN"/>
              </w:rPr>
              <w:t>）</w:t>
            </w:r>
          </w:p>
        </w:tc>
      </w:tr>
      <w:tr w14:paraId="3045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5D0DFA">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E8697A">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是否授权评标委员会确定中标人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E83C1E">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是</w:t>
            </w:r>
          </w:p>
          <w:p w14:paraId="582EF9A8">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否</w:t>
            </w:r>
          </w:p>
        </w:tc>
      </w:tr>
      <w:tr w14:paraId="3AFF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000DDF">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9CFB06">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履约保证金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39D07">
            <w:pPr>
              <w:pStyle w:val="29"/>
              <w:kinsoku w:val="0"/>
              <w:overflowPunct w:val="0"/>
              <w:spacing w:line="36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是否要求中标人提交履约保证金：</w:t>
            </w:r>
          </w:p>
          <w:p w14:paraId="4C7DAE51">
            <w:pPr>
              <w:pStyle w:val="29"/>
              <w:kinsoku w:val="0"/>
              <w:overflowPunct w:val="0"/>
              <w:spacing w:line="36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不要求</w:t>
            </w:r>
          </w:p>
          <w:p w14:paraId="30403745">
            <w:pPr>
              <w:pStyle w:val="29"/>
              <w:kinsoku w:val="0"/>
              <w:overflowPunct w:val="0"/>
              <w:spacing w:line="36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要求，履约保证金的形式：</w:t>
            </w:r>
          </w:p>
          <w:p w14:paraId="7F74E915">
            <w:pPr>
              <w:pStyle w:val="29"/>
              <w:kinsoku w:val="0"/>
              <w:overflowPunct w:val="0"/>
              <w:spacing w:line="360" w:lineRule="auto"/>
              <w:ind w:firstLine="840" w:firstLineChars="40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履约保证金的金额：</w:t>
            </w:r>
          </w:p>
          <w:p w14:paraId="72957619">
            <w:pPr>
              <w:pStyle w:val="29"/>
              <w:kinsoku w:val="0"/>
              <w:overflowPunct w:val="0"/>
              <w:jc w:val="both"/>
              <w:rPr>
                <w:rFonts w:hint="eastAsia" w:ascii="宋体" w:hAnsi="宋体" w:eastAsia="宋体" w:cs="宋体"/>
                <w:color w:val="auto"/>
                <w:sz w:val="21"/>
                <w:szCs w:val="24"/>
                <w:highlight w:val="none"/>
              </w:rPr>
            </w:pPr>
          </w:p>
        </w:tc>
      </w:tr>
      <w:tr w14:paraId="2809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3AF23F">
            <w:pPr>
              <w:pStyle w:val="29"/>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10</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3989E9">
            <w:pPr>
              <w:pStyle w:val="29"/>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需要补充的其他内容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22D4A6">
            <w:pPr>
              <w:numPr>
                <w:ilvl w:val="0"/>
                <w:numId w:val="0"/>
              </w:numPr>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1、中标人必须按照招标代理的通知及时地向广州公共资源交易中心缴纳交易服务费、向广州公共资源交易中心索取发票，并在取得发票后及时告知招标代理。（该交易服务费为中标金额的0.09%，具体收费标准投标人可以在广州公共资源交易中心网站查阅，如有变更以广州公共资源交易中心最新发布的标准为准）。</w:t>
            </w:r>
          </w:p>
          <w:p w14:paraId="0DCFA3D4">
            <w:pPr>
              <w:numPr>
                <w:ilvl w:val="0"/>
                <w:numId w:val="0"/>
              </w:numPr>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2、投标人通过本项目的资格审查或成为本项目中标候选人，须同意并授招标人将其响应招标文件资格能力条件（资质、营业执照等证书名称、等级、编号，人员、业绩）、投标文件商务部分（报价清单、技术方案等涉及商业秘密的内容除外）等资料进行公示。</w:t>
            </w:r>
          </w:p>
          <w:p w14:paraId="16B37A93">
            <w:pPr>
              <w:numPr>
                <w:ilvl w:val="0"/>
                <w:numId w:val="0"/>
              </w:numPr>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3、中标人在领取中标通知书前，须按招标人要求向招标人提供盖章的纸质版投标文件（内容与交易平台网上递交的电子投标文件一致）3套及电子文件光盘一份。</w:t>
            </w:r>
          </w:p>
          <w:p w14:paraId="5A2D0D6D">
            <w:pPr>
              <w:numPr>
                <w:ilvl w:val="0"/>
                <w:numId w:val="0"/>
              </w:numPr>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4、投标报价评审优惠政策</w:t>
            </w:r>
          </w:p>
          <w:p w14:paraId="1B55FDC5">
            <w:pPr>
              <w:numPr>
                <w:ilvl w:val="0"/>
                <w:numId w:val="0"/>
              </w:numPr>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本招标项目属于建筑业。</w:t>
            </w:r>
          </w:p>
          <w:p w14:paraId="6727699E">
            <w:pPr>
              <w:numPr>
                <w:ilvl w:val="0"/>
                <w:numId w:val="0"/>
              </w:numPr>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□本招标项目不执行投标报价评审优惠政策</w:t>
            </w:r>
          </w:p>
          <w:p w14:paraId="1AFB2436">
            <w:pPr>
              <w:numPr>
                <w:ilvl w:val="0"/>
                <w:numId w:val="0"/>
              </w:numPr>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☑本招标项目执行投标报价评审优惠政策</w:t>
            </w:r>
          </w:p>
          <w:p w14:paraId="738B73FC">
            <w:pPr>
              <w:numPr>
                <w:ilvl w:val="0"/>
                <w:numId w:val="0"/>
              </w:numPr>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注：（1）符合投标报价评审优惠政策条件的，应当执行该政策；不符合投标报价评审优惠政策条件的，不得执行该政策。（2）财政性资金是指纳入预算管理的资金，以财政性资金作为还款来源的借贷资金，视同财政性资金。（3）若本招标项目执行投标报价评审优惠政策，当投标人为大中型企业与小微企业组成联合体或大中型企业向一家或者多家小微企业分包的，其《联合体工作协议》或《分包意向协议》约定小微企业的合同份额占到合同总金额30%以上的。</w:t>
            </w:r>
          </w:p>
          <w:p w14:paraId="1B7EBB43">
            <w:pPr>
              <w:numPr>
                <w:ilvl w:val="0"/>
                <w:numId w:val="0"/>
              </w:numPr>
              <w:jc w:val="both"/>
              <w:rPr>
                <w:rFonts w:hint="eastAsia" w:ascii="宋体" w:hAnsi="宋体" w:eastAsia="宋体" w:cs="宋体"/>
                <w:color w:val="auto"/>
                <w:sz w:val="21"/>
                <w:szCs w:val="24"/>
                <w:highlight w:val="none"/>
                <w:lang w:val="en-US" w:eastAsia="zh-CN"/>
              </w:rPr>
            </w:pPr>
            <w:r>
              <w:rPr>
                <w:rFonts w:hint="eastAsia" w:ascii="宋体" w:hAnsi="宋体" w:cs="宋体"/>
                <w:color w:val="auto"/>
                <w:sz w:val="21"/>
                <w:szCs w:val="24"/>
                <w:highlight w:val="none"/>
                <w:lang w:val="en-US" w:eastAsia="zh-CN"/>
              </w:rPr>
              <w:t>4</w:t>
            </w:r>
            <w:r>
              <w:rPr>
                <w:rFonts w:hint="eastAsia" w:ascii="宋体" w:hAnsi="宋体" w:eastAsia="宋体" w:cs="宋体"/>
                <w:color w:val="auto"/>
                <w:sz w:val="21"/>
                <w:szCs w:val="24"/>
                <w:highlight w:val="none"/>
                <w:lang w:val="en-US" w:eastAsia="zh-CN"/>
              </w:rPr>
              <w:t>.1、根据《广东省政府采购促进中小企业发展实施细则（试行）》（粤财采购〔2022〕10号）、广州市财政局 广州市工业和信息化局转发广东省财政厅 广东省发展和改革委员会 广东省工业和信息化厅 广东省地方金融监督管理局关于印发《广东省政府采购促进中小企业发展实施细则（试行）》的通知穗财采〔2023〕8号要求，对符合《政府采购促进中小企业发展管理办法》（财库〔2020〕46号）的投标人，给予相应的价格评审优惠。</w:t>
            </w:r>
          </w:p>
          <w:p w14:paraId="690EF47C">
            <w:pPr>
              <w:numPr>
                <w:ilvl w:val="0"/>
                <w:numId w:val="0"/>
              </w:numPr>
              <w:jc w:val="both"/>
              <w:rPr>
                <w:rFonts w:hint="eastAsia" w:ascii="宋体" w:hAnsi="宋体" w:eastAsia="宋体" w:cs="宋体"/>
                <w:color w:val="auto"/>
                <w:sz w:val="21"/>
                <w:szCs w:val="24"/>
                <w:highlight w:val="none"/>
                <w:lang w:val="en-US" w:eastAsia="zh-CN"/>
              </w:rPr>
            </w:pPr>
            <w:r>
              <w:rPr>
                <w:rFonts w:hint="eastAsia" w:ascii="宋体" w:hAnsi="宋体" w:cs="宋体"/>
                <w:color w:val="auto"/>
                <w:sz w:val="21"/>
                <w:szCs w:val="24"/>
                <w:highlight w:val="none"/>
                <w:lang w:val="en-US" w:eastAsia="zh-CN"/>
              </w:rPr>
              <w:t>4</w:t>
            </w:r>
            <w:r>
              <w:rPr>
                <w:rFonts w:hint="eastAsia" w:ascii="宋体" w:hAnsi="宋体" w:eastAsia="宋体" w:cs="宋体"/>
                <w:color w:val="auto"/>
                <w:sz w:val="21"/>
                <w:szCs w:val="24"/>
                <w:highlight w:val="none"/>
                <w:lang w:val="en-US" w:eastAsia="zh-CN"/>
              </w:rPr>
              <w:t>.2、本招标项目评标计算投标报价得分时，对小微企业投标的，在采用原报价进行评分的基础上增加其价格得分的5%作为其投标报价得分；对大中型企业与小微企业组成联合体或者允许大中型企业向一家或者多家小微企业分包（其《联合体工作协议》或《分包意向协议》）的，在采用原报价进行评分的基础上增加其价格得分的2%作为其投标报价得分。若原报价已满分，仍可突破满分上限继续享受加分优惠，以实际计算结果作为最终投标报价得分。</w:t>
            </w:r>
          </w:p>
          <w:p w14:paraId="23EF9C2C">
            <w:pPr>
              <w:numPr>
                <w:ilvl w:val="0"/>
                <w:numId w:val="0"/>
              </w:numPr>
              <w:jc w:val="both"/>
              <w:rPr>
                <w:rFonts w:hint="eastAsia" w:ascii="宋体" w:hAnsi="宋体" w:eastAsia="宋体" w:cs="宋体"/>
                <w:color w:val="auto"/>
                <w:sz w:val="21"/>
                <w:szCs w:val="24"/>
                <w:highlight w:val="none"/>
                <w:lang w:val="en-US" w:eastAsia="zh-CN"/>
              </w:rPr>
            </w:pPr>
            <w:r>
              <w:rPr>
                <w:rFonts w:hint="eastAsia" w:ascii="宋体" w:hAnsi="宋体" w:cs="宋体"/>
                <w:color w:val="auto"/>
                <w:sz w:val="21"/>
                <w:szCs w:val="24"/>
                <w:highlight w:val="none"/>
                <w:lang w:val="en-US" w:eastAsia="zh-CN"/>
              </w:rPr>
              <w:t>4</w:t>
            </w:r>
            <w:r>
              <w:rPr>
                <w:rFonts w:hint="eastAsia" w:ascii="宋体" w:hAnsi="宋体" w:eastAsia="宋体" w:cs="宋体"/>
                <w:color w:val="auto"/>
                <w:sz w:val="21"/>
                <w:szCs w:val="24"/>
                <w:highlight w:val="none"/>
                <w:lang w:val="en-US" w:eastAsia="zh-CN"/>
              </w:rPr>
              <w:t>.3、投标人应按《政府采购促进中小企业发展管理办法》（财库〔2020〕46号）规定出具《中小企业声明函》、《分包意向协议》（格式详见第八章投标文件格式），否则不得享受相关价格评审优惠。投标人填写《中小企业声明函》、《分包意向协议》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59F3A75C">
            <w:pPr>
              <w:numPr>
                <w:ilvl w:val="0"/>
                <w:numId w:val="0"/>
              </w:numPr>
              <w:jc w:val="both"/>
              <w:rPr>
                <w:rFonts w:hint="eastAsia" w:ascii="宋体" w:hAnsi="宋体" w:eastAsia="宋体" w:cs="宋体"/>
                <w:color w:val="auto"/>
                <w:sz w:val="21"/>
                <w:szCs w:val="24"/>
                <w:highlight w:val="none"/>
                <w:lang w:val="en-US" w:eastAsia="zh-CN"/>
              </w:rPr>
            </w:pPr>
            <w:r>
              <w:rPr>
                <w:rFonts w:hint="eastAsia" w:ascii="宋体" w:hAnsi="宋体" w:cs="宋体"/>
                <w:color w:val="auto"/>
                <w:sz w:val="21"/>
                <w:szCs w:val="24"/>
                <w:highlight w:val="none"/>
                <w:lang w:val="en-US" w:eastAsia="zh-CN"/>
              </w:rPr>
              <w:t>4</w:t>
            </w:r>
            <w:r>
              <w:rPr>
                <w:rFonts w:hint="eastAsia" w:ascii="宋体" w:hAnsi="宋体" w:eastAsia="宋体" w:cs="宋体"/>
                <w:color w:val="auto"/>
                <w:sz w:val="21"/>
                <w:szCs w:val="24"/>
                <w:highlight w:val="none"/>
                <w:lang w:val="en-US" w:eastAsia="zh-CN"/>
              </w:rPr>
              <w:t>.4、小微企业划分标准按照《工业和信息化部 国家统计局 国家发展和改革委员会 财政部关于印发中小企业划型标准规定的通知》（工信部联企业〔2011〕300号）执行。</w:t>
            </w:r>
          </w:p>
          <w:p w14:paraId="2D78FD76">
            <w:pPr>
              <w:numPr>
                <w:ilvl w:val="0"/>
                <w:numId w:val="0"/>
              </w:numPr>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2）组成联合体或者接受分包合同的小微企业与联合体内其他企业、分包企业之间存在直接控股、管理关系的，不享受价格评分优惠。（3）公示期间如有异议、投诉的，被异议、投诉单位需提供注册登记所在地的县级以上人民政府中小企业主管部门认定函。（4）规定享受扶持政策获得承包合同的，小微企业不得将合同分包给大中型企业，中型企业不得将合同分包给大型企业。（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bl>
    <w:p w14:paraId="256D6791">
      <w:pPr>
        <w:pStyle w:val="4"/>
        <w:outlineLvl w:val="9"/>
        <w:rPr>
          <w:rFonts w:hint="default" w:cs="宋体"/>
          <w:color w:val="auto"/>
          <w:sz w:val="24"/>
          <w:szCs w:val="24"/>
          <w:highlight w:val="none"/>
        </w:rPr>
        <w:sectPr>
          <w:footerReference r:id="rId4" w:type="default"/>
          <w:pgSz w:w="11905" w:h="16838"/>
          <w:pgMar w:top="1417" w:right="1417" w:bottom="1417" w:left="1417" w:header="992" w:footer="992" w:gutter="0"/>
          <w:lnNumType w:countBy="0" w:distance="360"/>
          <w:pgNumType w:fmt="decimal"/>
          <w:cols w:space="720" w:num="1"/>
        </w:sectPr>
      </w:pPr>
      <w:bookmarkStart w:id="52" w:name="bookmark20"/>
      <w:bookmarkEnd w:id="52"/>
    </w:p>
    <w:p w14:paraId="11E0E6D0">
      <w:pPr>
        <w:pStyle w:val="4"/>
        <w:jc w:val="center"/>
        <w:rPr>
          <w:rFonts w:hint="default"/>
          <w:color w:val="auto"/>
          <w:sz w:val="32"/>
          <w:szCs w:val="24"/>
          <w:highlight w:val="none"/>
        </w:rPr>
      </w:pPr>
      <w:bookmarkStart w:id="53" w:name="_Toc262229161"/>
      <w:bookmarkStart w:id="54" w:name="_Toc32198"/>
      <w:bookmarkStart w:id="55" w:name="_Toc17451623"/>
      <w:bookmarkStart w:id="56" w:name="_Toc17451578"/>
      <w:bookmarkStart w:id="57" w:name="_Toc17556931"/>
      <w:bookmarkStart w:id="58" w:name="_Toc17451101"/>
      <w:bookmarkStart w:id="59" w:name="_Toc17556876"/>
      <w:bookmarkStart w:id="60" w:name="_Toc7788"/>
      <w:bookmarkStart w:id="61" w:name="_Toc17454871"/>
      <w:bookmarkStart w:id="62" w:name="_Toc17452664"/>
      <w:bookmarkStart w:id="63" w:name="_Toc17454922"/>
      <w:r>
        <w:rPr>
          <w:rFonts w:hint="default"/>
          <w:color w:val="auto"/>
          <w:sz w:val="32"/>
          <w:szCs w:val="24"/>
          <w:highlight w:val="none"/>
        </w:rPr>
        <w:t>投标须知修改表</w:t>
      </w:r>
      <w:bookmarkEnd w:id="53"/>
      <w:bookmarkEnd w:id="54"/>
      <w:bookmarkEnd w:id="55"/>
      <w:bookmarkEnd w:id="56"/>
      <w:bookmarkEnd w:id="57"/>
      <w:bookmarkEnd w:id="58"/>
      <w:bookmarkEnd w:id="59"/>
      <w:bookmarkEnd w:id="60"/>
      <w:bookmarkEnd w:id="61"/>
      <w:bookmarkEnd w:id="62"/>
      <w:bookmarkEnd w:id="63"/>
    </w:p>
    <w:p w14:paraId="71CB0DCD">
      <w:pPr>
        <w:pStyle w:val="21"/>
        <w:spacing w:line="360" w:lineRule="auto"/>
        <w:rPr>
          <w:rFonts w:hint="default" w:ascii="宋体" w:hAnsi="宋体" w:eastAsia="宋体"/>
          <w:b/>
          <w:color w:val="auto"/>
          <w:sz w:val="24"/>
          <w:szCs w:val="24"/>
          <w:highlight w:val="none"/>
          <w:lang w:eastAsia="zh-CN"/>
        </w:rPr>
      </w:pPr>
      <w:r>
        <w:rPr>
          <w:rFonts w:hint="default" w:ascii="宋体" w:hAnsi="宋体" w:eastAsia="宋体"/>
          <w:b/>
          <w:color w:val="auto"/>
          <w:sz w:val="24"/>
          <w:szCs w:val="24"/>
          <w:highlight w:val="none"/>
        </w:rPr>
        <w:t>本投标须知使</w:t>
      </w:r>
      <w:r>
        <w:rPr>
          <w:rFonts w:hint="default" w:ascii="宋体" w:hAnsi="宋体" w:eastAsia="宋体" w:cs="Times New Roman"/>
          <w:b/>
          <w:color w:val="auto"/>
          <w:sz w:val="24"/>
          <w:szCs w:val="24"/>
          <w:highlight w:val="none"/>
        </w:rPr>
        <w:t>用</w:t>
      </w:r>
      <w:r>
        <w:rPr>
          <w:rFonts w:hint="eastAsia" w:ascii="宋体" w:hAnsi="宋体" w:eastAsia="宋体" w:cs="Times New Roman"/>
          <w:b/>
          <w:color w:val="auto"/>
          <w:sz w:val="24"/>
          <w:szCs w:val="24"/>
          <w:highlight w:val="none"/>
          <w:lang w:eastAsia="zh-CN"/>
        </w:rPr>
        <w:t>SWZB2024-06</w:t>
      </w:r>
      <w:r>
        <w:rPr>
          <w:rFonts w:hint="default" w:ascii="宋体" w:hAnsi="宋体" w:eastAsia="宋体" w:cs="Times New Roman"/>
          <w:b/>
          <w:color w:val="auto"/>
          <w:sz w:val="24"/>
          <w:szCs w:val="24"/>
          <w:highlight w:val="none"/>
        </w:rPr>
        <w:t>招标</w:t>
      </w:r>
      <w:r>
        <w:rPr>
          <w:rFonts w:hint="default" w:ascii="宋体" w:hAnsi="宋体" w:eastAsia="宋体"/>
          <w:b/>
          <w:color w:val="auto"/>
          <w:sz w:val="24"/>
          <w:szCs w:val="24"/>
          <w:highlight w:val="none"/>
        </w:rPr>
        <w:t>文件范本的投标须知通用条款，与该通用条款不同之处，均在本表中列明，并以现文为准，原文不再有效。</w:t>
      </w:r>
    </w:p>
    <w:p w14:paraId="3D8BA9D5">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2.1 招标文件的组成</w:t>
      </w:r>
      <w:r>
        <w:rPr>
          <w:rFonts w:hint="default" w:ascii="宋体" w:hAnsi="宋体" w:eastAsia="宋体"/>
          <w:color w:val="auto"/>
          <w:sz w:val="24"/>
          <w:szCs w:val="24"/>
          <w:highlight w:val="none"/>
        </w:rPr>
        <w:t xml:space="preserve">             修改类型：增加</w:t>
      </w:r>
    </w:p>
    <w:p w14:paraId="335CA879">
      <w:pPr>
        <w:keepNext w:val="0"/>
        <w:keepLines w:val="0"/>
        <w:pageBreakBefore w:val="0"/>
        <w:widowControl w:val="0"/>
        <w:pBdr>
          <w:bottom w:val="single" w:color="auto" w:sz="6" w:space="1"/>
        </w:pBdr>
        <w:kinsoku/>
        <w:wordWrap/>
        <w:overflowPunct/>
        <w:topLinePunct w:val="0"/>
        <w:autoSpaceDE w:val="0"/>
        <w:autoSpaceDN w:val="0"/>
        <w:bidi w:val="0"/>
        <w:adjustRightInd w:val="0"/>
        <w:snapToGrid/>
        <w:spacing w:line="240" w:lineRule="auto"/>
        <w:ind w:firstLine="537" w:firstLineChars="224"/>
        <w:textAlignment w:val="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w:t>
      </w:r>
    </w:p>
    <w:p w14:paraId="3A5566E1">
      <w:pPr>
        <w:keepNext w:val="0"/>
        <w:keepLines w:val="0"/>
        <w:pageBreakBefore w:val="0"/>
        <w:widowControl w:val="0"/>
        <w:pBdr>
          <w:bottom w:val="single" w:color="auto" w:sz="6" w:space="1"/>
        </w:pBdr>
        <w:kinsoku/>
        <w:wordWrap/>
        <w:overflowPunct/>
        <w:topLinePunct w:val="0"/>
        <w:autoSpaceDE w:val="0"/>
        <w:autoSpaceDN w:val="0"/>
        <w:bidi w:val="0"/>
        <w:adjustRightInd w:val="0"/>
        <w:snapToGrid/>
        <w:spacing w:line="240" w:lineRule="auto"/>
        <w:ind w:firstLine="537" w:firstLineChars="224"/>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（1）招标公告；</w:t>
      </w:r>
    </w:p>
    <w:p w14:paraId="40CBB0EB">
      <w:pPr>
        <w:keepNext w:val="0"/>
        <w:keepLines w:val="0"/>
        <w:pageBreakBefore w:val="0"/>
        <w:widowControl w:val="0"/>
        <w:pBdr>
          <w:bottom w:val="single" w:color="auto" w:sz="6" w:space="1"/>
        </w:pBdr>
        <w:kinsoku/>
        <w:wordWrap/>
        <w:overflowPunct/>
        <w:topLinePunct w:val="0"/>
        <w:autoSpaceDE w:val="0"/>
        <w:autoSpaceDN w:val="0"/>
        <w:bidi w:val="0"/>
        <w:adjustRightInd w:val="0"/>
        <w:snapToGrid/>
        <w:spacing w:line="240" w:lineRule="auto"/>
        <w:ind w:firstLine="537" w:firstLineChars="224"/>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（2）投标人须知；</w:t>
      </w:r>
    </w:p>
    <w:p w14:paraId="3B2C52BD">
      <w:pPr>
        <w:keepNext w:val="0"/>
        <w:keepLines w:val="0"/>
        <w:pageBreakBefore w:val="0"/>
        <w:widowControl w:val="0"/>
        <w:pBdr>
          <w:bottom w:val="single" w:color="auto" w:sz="6" w:space="1"/>
        </w:pBdr>
        <w:kinsoku/>
        <w:wordWrap/>
        <w:overflowPunct/>
        <w:topLinePunct w:val="0"/>
        <w:autoSpaceDE w:val="0"/>
        <w:autoSpaceDN w:val="0"/>
        <w:bidi w:val="0"/>
        <w:adjustRightInd w:val="0"/>
        <w:snapToGrid/>
        <w:spacing w:line="240" w:lineRule="auto"/>
        <w:ind w:firstLine="537" w:firstLineChars="224"/>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（3）评标办法；</w:t>
      </w:r>
    </w:p>
    <w:p w14:paraId="7F215F33">
      <w:pPr>
        <w:keepNext w:val="0"/>
        <w:keepLines w:val="0"/>
        <w:pageBreakBefore w:val="0"/>
        <w:widowControl w:val="0"/>
        <w:pBdr>
          <w:bottom w:val="single" w:color="auto" w:sz="6" w:space="1"/>
        </w:pBdr>
        <w:kinsoku/>
        <w:wordWrap/>
        <w:overflowPunct/>
        <w:topLinePunct w:val="0"/>
        <w:autoSpaceDE w:val="0"/>
        <w:autoSpaceDN w:val="0"/>
        <w:bidi w:val="0"/>
        <w:adjustRightInd w:val="0"/>
        <w:snapToGrid/>
        <w:spacing w:line="240" w:lineRule="auto"/>
        <w:ind w:firstLine="537" w:firstLineChars="224"/>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（4）合同条款及格式；</w:t>
      </w:r>
    </w:p>
    <w:p w14:paraId="7038E3D0">
      <w:pPr>
        <w:keepNext w:val="0"/>
        <w:keepLines w:val="0"/>
        <w:pageBreakBefore w:val="0"/>
        <w:widowControl w:val="0"/>
        <w:pBdr>
          <w:bottom w:val="single" w:color="auto" w:sz="6" w:space="1"/>
        </w:pBdr>
        <w:kinsoku/>
        <w:wordWrap/>
        <w:overflowPunct/>
        <w:topLinePunct w:val="0"/>
        <w:autoSpaceDE w:val="0"/>
        <w:autoSpaceDN w:val="0"/>
        <w:bidi w:val="0"/>
        <w:adjustRightInd w:val="0"/>
        <w:snapToGrid/>
        <w:spacing w:line="240" w:lineRule="auto"/>
        <w:ind w:firstLine="537" w:firstLineChars="224"/>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（5）委托人要求；</w:t>
      </w:r>
    </w:p>
    <w:p w14:paraId="295E84FA">
      <w:pPr>
        <w:keepNext w:val="0"/>
        <w:keepLines w:val="0"/>
        <w:pageBreakBefore w:val="0"/>
        <w:widowControl w:val="0"/>
        <w:pBdr>
          <w:bottom w:val="single" w:color="auto" w:sz="6" w:space="1"/>
        </w:pBdr>
        <w:kinsoku/>
        <w:wordWrap/>
        <w:overflowPunct/>
        <w:topLinePunct w:val="0"/>
        <w:autoSpaceDE w:val="0"/>
        <w:autoSpaceDN w:val="0"/>
        <w:bidi w:val="0"/>
        <w:adjustRightInd w:val="0"/>
        <w:snapToGrid/>
        <w:spacing w:line="240" w:lineRule="auto"/>
        <w:ind w:firstLine="537" w:firstLineChars="224"/>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（6）投标文件格式；</w:t>
      </w:r>
    </w:p>
    <w:p w14:paraId="7F370956">
      <w:pPr>
        <w:keepNext w:val="0"/>
        <w:keepLines w:val="0"/>
        <w:pageBreakBefore w:val="0"/>
        <w:widowControl w:val="0"/>
        <w:pBdr>
          <w:bottom w:val="single" w:color="auto" w:sz="6" w:space="1"/>
        </w:pBdr>
        <w:kinsoku/>
        <w:wordWrap/>
        <w:overflowPunct/>
        <w:topLinePunct w:val="0"/>
        <w:autoSpaceDE w:val="0"/>
        <w:autoSpaceDN w:val="0"/>
        <w:bidi w:val="0"/>
        <w:adjustRightInd w:val="0"/>
        <w:snapToGrid/>
        <w:spacing w:line="240" w:lineRule="auto"/>
        <w:ind w:firstLine="537" w:firstLineChars="224"/>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（7）投标人须知前附表规定的其他资料；</w:t>
      </w:r>
    </w:p>
    <w:p w14:paraId="1257B880">
      <w:pPr>
        <w:keepNext w:val="0"/>
        <w:keepLines w:val="0"/>
        <w:pageBreakBefore w:val="0"/>
        <w:widowControl w:val="0"/>
        <w:pBdr>
          <w:bottom w:val="single" w:color="auto" w:sz="6" w:space="1"/>
        </w:pBdr>
        <w:kinsoku/>
        <w:wordWrap/>
        <w:overflowPunct/>
        <w:topLinePunct w:val="0"/>
        <w:autoSpaceDE w:val="0"/>
        <w:autoSpaceDN w:val="0"/>
        <w:bidi w:val="0"/>
        <w:adjustRightInd w:val="0"/>
        <w:snapToGrid/>
        <w:spacing w:line="240" w:lineRule="auto"/>
        <w:ind w:firstLine="537" w:firstLineChars="224"/>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否决性条款汇总。</w:t>
      </w:r>
    </w:p>
    <w:p w14:paraId="3CF99057">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 xml:space="preserve">1.4.1           </w:t>
      </w:r>
      <w:r>
        <w:rPr>
          <w:rFonts w:hint="default" w:ascii="宋体" w:hAnsi="宋体" w:eastAsia="宋体"/>
          <w:color w:val="auto"/>
          <w:sz w:val="24"/>
          <w:szCs w:val="24"/>
          <w:highlight w:val="none"/>
        </w:rPr>
        <w:t xml:space="preserve">      修改类型：删除</w:t>
      </w:r>
    </w:p>
    <w:p w14:paraId="13004BDF">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ascii="宋体" w:hAnsi="宋体" w:eastAsia="宋体"/>
          <w:color w:val="auto"/>
          <w:sz w:val="24"/>
          <w:szCs w:val="24"/>
          <w:highlight w:val="none"/>
        </w:rPr>
        <w:t>原文：</w:t>
      </w:r>
      <w:r>
        <w:rPr>
          <w:rFonts w:hint="default" w:cs="Times New Roman"/>
          <w:color w:val="auto"/>
          <w:sz w:val="24"/>
          <w:szCs w:val="24"/>
          <w:highlight w:val="none"/>
        </w:rPr>
        <w:t>（2）财务要求：见投标人须知前附表；</w:t>
      </w:r>
    </w:p>
    <w:p w14:paraId="39F7AAA1">
      <w:pPr>
        <w:pStyle w:val="11"/>
        <w:numPr>
          <w:ilvl w:val="0"/>
          <w:numId w:val="0"/>
        </w:numPr>
        <w:tabs>
          <w:tab w:val="left" w:pos="1343"/>
          <w:tab w:val="left" w:pos="2697"/>
          <w:tab w:val="left" w:pos="3264"/>
          <w:tab w:val="left" w:pos="4896"/>
          <w:tab w:val="left" w:pos="6005"/>
          <w:tab w:val="left" w:pos="7085"/>
          <w:tab w:val="left" w:pos="7498"/>
        </w:tabs>
        <w:kinsoku w:val="0"/>
        <w:overflowPunct w:val="0"/>
        <w:spacing w:line="350" w:lineRule="auto"/>
        <w:ind w:left="100" w:leftChars="0" w:right="211" w:rightChars="0" w:firstLine="1135" w:firstLineChars="473"/>
        <w:jc w:val="both"/>
        <w:rPr>
          <w:rFonts w:hint="default" w:cs="Times New Roman"/>
          <w:color w:val="auto"/>
          <w:sz w:val="24"/>
          <w:szCs w:val="24"/>
          <w:highlight w:val="none"/>
        </w:rPr>
      </w:pPr>
      <w:r>
        <w:rPr>
          <w:rFonts w:hint="default" w:ascii="宋体" w:hAnsi="宋体" w:eastAsia="宋体" w:cs="Times New Roman"/>
          <w:color w:val="auto"/>
          <w:sz w:val="24"/>
          <w:szCs w:val="24"/>
          <w:highlight w:val="none"/>
        </w:rPr>
        <w:t>（3）</w:t>
      </w:r>
      <w:r>
        <w:rPr>
          <w:rFonts w:hint="default" w:cs="Times New Roman"/>
          <w:color w:val="auto"/>
          <w:sz w:val="24"/>
          <w:szCs w:val="24"/>
          <w:highlight w:val="none"/>
        </w:rPr>
        <w:t>业绩要求：见投标人须知前附表；</w:t>
      </w:r>
    </w:p>
    <w:p w14:paraId="3494BD5C">
      <w:pPr>
        <w:pStyle w:val="11"/>
        <w:numPr>
          <w:ilvl w:val="0"/>
          <w:numId w:val="0"/>
        </w:numPr>
        <w:tabs>
          <w:tab w:val="left" w:pos="1343"/>
          <w:tab w:val="left" w:pos="2697"/>
          <w:tab w:val="left" w:pos="3264"/>
          <w:tab w:val="left" w:pos="4896"/>
          <w:tab w:val="left" w:pos="6005"/>
          <w:tab w:val="left" w:pos="7085"/>
          <w:tab w:val="left" w:pos="7498"/>
        </w:tabs>
        <w:kinsoku w:val="0"/>
        <w:overflowPunct w:val="0"/>
        <w:spacing w:line="350" w:lineRule="auto"/>
        <w:ind w:left="100" w:leftChars="0" w:right="211" w:rightChars="0" w:firstLine="1135" w:firstLineChars="473"/>
        <w:jc w:val="both"/>
        <w:rPr>
          <w:rFonts w:hint="default" w:cs="Times New Roman"/>
          <w:color w:val="auto"/>
          <w:sz w:val="24"/>
          <w:szCs w:val="24"/>
          <w:highlight w:val="none"/>
        </w:rPr>
      </w:pPr>
      <w:r>
        <w:rPr>
          <w:rFonts w:hint="default" w:cs="Times New Roman"/>
          <w:color w:val="auto"/>
          <w:sz w:val="24"/>
          <w:szCs w:val="24"/>
          <w:highlight w:val="none"/>
        </w:rPr>
        <w:t>（4）信誉要求：见投标人须知前附表；</w:t>
      </w:r>
    </w:p>
    <w:p w14:paraId="3F5A08BB">
      <w:pPr>
        <w:pStyle w:val="11"/>
        <w:numPr>
          <w:ilvl w:val="0"/>
          <w:numId w:val="0"/>
        </w:numPr>
        <w:tabs>
          <w:tab w:val="left" w:pos="1343"/>
          <w:tab w:val="left" w:pos="2697"/>
          <w:tab w:val="left" w:pos="3264"/>
          <w:tab w:val="left" w:pos="4896"/>
          <w:tab w:val="left" w:pos="6005"/>
          <w:tab w:val="left" w:pos="7085"/>
          <w:tab w:val="left" w:pos="7498"/>
        </w:tabs>
        <w:kinsoku w:val="0"/>
        <w:overflowPunct w:val="0"/>
        <w:spacing w:line="350" w:lineRule="auto"/>
        <w:ind w:left="100" w:leftChars="0" w:right="211" w:rightChars="0" w:firstLine="1135" w:firstLineChars="473"/>
        <w:jc w:val="both"/>
        <w:rPr>
          <w:rFonts w:hint="default" w:cs="Times New Roman"/>
          <w:color w:val="auto"/>
          <w:sz w:val="24"/>
          <w:szCs w:val="24"/>
          <w:highlight w:val="none"/>
        </w:rPr>
      </w:pPr>
      <w:r>
        <w:rPr>
          <w:rFonts w:hint="default" w:cs="Times New Roman"/>
          <w:color w:val="auto"/>
          <w:sz w:val="24"/>
          <w:szCs w:val="24"/>
          <w:highlight w:val="none"/>
        </w:rPr>
        <w:t>（6）其他主要人员要求：见投标人须知前附表。</w:t>
      </w:r>
    </w:p>
    <w:p w14:paraId="4CA97396">
      <w:pPr>
        <w:pStyle w:val="11"/>
        <w:numPr>
          <w:ilvl w:val="0"/>
          <w:numId w:val="0"/>
        </w:numPr>
        <w:tabs>
          <w:tab w:val="left" w:pos="1343"/>
          <w:tab w:val="left" w:pos="2697"/>
          <w:tab w:val="left" w:pos="3264"/>
          <w:tab w:val="left" w:pos="4896"/>
          <w:tab w:val="left" w:pos="6005"/>
          <w:tab w:val="left" w:pos="7085"/>
          <w:tab w:val="left" w:pos="7498"/>
        </w:tabs>
        <w:kinsoku w:val="0"/>
        <w:overflowPunct w:val="0"/>
        <w:spacing w:line="350" w:lineRule="auto"/>
        <w:ind w:left="100" w:leftChars="0" w:right="211" w:rightChars="0" w:firstLine="1135" w:firstLineChars="473"/>
        <w:jc w:val="both"/>
        <w:rPr>
          <w:rFonts w:hint="default" w:cs="Times New Roman"/>
          <w:color w:val="auto"/>
          <w:sz w:val="24"/>
          <w:szCs w:val="24"/>
          <w:highlight w:val="none"/>
        </w:rPr>
      </w:pPr>
      <w:r>
        <w:rPr>
          <w:rFonts w:hint="default" w:cs="Times New Roman"/>
          <w:color w:val="auto"/>
          <w:sz w:val="24"/>
          <w:szCs w:val="24"/>
          <w:highlight w:val="none"/>
        </w:rPr>
        <w:t>（7）试验检测仪器设备要求：见投标人须知前附表。</w:t>
      </w:r>
    </w:p>
    <w:p w14:paraId="56EEB512">
      <w:pPr>
        <w:pStyle w:val="11"/>
        <w:numPr>
          <w:ilvl w:val="0"/>
          <w:numId w:val="0"/>
        </w:numPr>
        <w:tabs>
          <w:tab w:val="left" w:pos="1343"/>
          <w:tab w:val="left" w:pos="2697"/>
          <w:tab w:val="left" w:pos="3264"/>
          <w:tab w:val="left" w:pos="4896"/>
          <w:tab w:val="left" w:pos="6005"/>
          <w:tab w:val="left" w:pos="7085"/>
          <w:tab w:val="left" w:pos="7498"/>
        </w:tabs>
        <w:kinsoku w:val="0"/>
        <w:overflowPunct w:val="0"/>
        <w:spacing w:line="350" w:lineRule="auto"/>
        <w:ind w:right="211" w:rightChars="0" w:firstLine="480" w:firstLineChars="200"/>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 xml:space="preserve">3.4.1 、3.4.2、3.4.3、3.4.4    </w:t>
      </w:r>
      <w:r>
        <w:rPr>
          <w:rFonts w:hint="default" w:ascii="宋体" w:hAnsi="宋体" w:eastAsia="宋体"/>
          <w:color w:val="auto"/>
          <w:sz w:val="24"/>
          <w:szCs w:val="24"/>
          <w:highlight w:val="none"/>
        </w:rPr>
        <w:t>修改类型：删除</w:t>
      </w:r>
    </w:p>
    <w:p w14:paraId="121021B4">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ascii="宋体" w:hAnsi="宋体" w:eastAsia="宋体"/>
          <w:color w:val="auto"/>
          <w:sz w:val="24"/>
          <w:szCs w:val="24"/>
          <w:highlight w:val="none"/>
        </w:rPr>
        <w:t>原文：</w:t>
      </w:r>
      <w:r>
        <w:rPr>
          <w:rFonts w:hint="default" w:cs="Times New Roman"/>
          <w:color w:val="auto"/>
          <w:sz w:val="24"/>
          <w:szCs w:val="24"/>
          <w:highlight w:val="none"/>
        </w:rPr>
        <w:t>3.4.1 投标人应按投标须知前附表规定的金额和时间递交投标保证金。招标人应当允许投标人自主选择现金、银行保函、保证保险、专业工程担保公司担保等方式缴纳投标保证金。</w:t>
      </w:r>
      <w:r>
        <w:rPr>
          <w:rFonts w:hint="default" w:cs="Times New Roman"/>
          <w:color w:val="auto"/>
          <w:sz w:val="24"/>
          <w:szCs w:val="24"/>
          <w:highlight w:val="none"/>
          <w:lang w:eastAsia="zh-CN"/>
        </w:rPr>
        <w:t>采用现金或者支票形式提交的，投标保证金须从投标人的银行基本账户转出。</w:t>
      </w:r>
      <w:r>
        <w:rPr>
          <w:rFonts w:hint="default" w:cs="Times New Roman"/>
          <w:color w:val="auto"/>
          <w:sz w:val="24"/>
          <w:szCs w:val="24"/>
          <w:highlight w:val="none"/>
        </w:rPr>
        <w:t>联合体投标的，其投标</w:t>
      </w:r>
      <w:r>
        <w:rPr>
          <w:rFonts w:hint="default" w:cs="Times New Roman"/>
          <w:color w:val="auto"/>
          <w:sz w:val="24"/>
          <w:szCs w:val="24"/>
          <w:highlight w:val="none"/>
          <w:lang w:eastAsia="zh-CN"/>
        </w:rPr>
        <w:t>保证金</w:t>
      </w:r>
      <w:r>
        <w:rPr>
          <w:rFonts w:hint="default" w:cs="Times New Roman"/>
          <w:color w:val="auto"/>
          <w:sz w:val="24"/>
          <w:szCs w:val="24"/>
          <w:highlight w:val="none"/>
        </w:rPr>
        <w:t>可以由</w:t>
      </w:r>
      <w:r>
        <w:rPr>
          <w:rFonts w:hint="default" w:cs="Times New Roman"/>
          <w:color w:val="auto"/>
          <w:sz w:val="24"/>
          <w:szCs w:val="24"/>
          <w:highlight w:val="none"/>
          <w:lang w:eastAsia="zh-CN"/>
        </w:rPr>
        <w:t>主办方</w:t>
      </w:r>
      <w:r>
        <w:rPr>
          <w:rFonts w:hint="default" w:cs="Times New Roman"/>
          <w:color w:val="auto"/>
          <w:sz w:val="24"/>
          <w:szCs w:val="24"/>
          <w:highlight w:val="none"/>
        </w:rPr>
        <w:t>递交，并应符合投标人须知前附表的规定</w:t>
      </w:r>
      <w:r>
        <w:rPr>
          <w:rFonts w:hint="default" w:cs="Times New Roman"/>
          <w:color w:val="auto"/>
          <w:sz w:val="24"/>
          <w:szCs w:val="24"/>
          <w:highlight w:val="none"/>
          <w:lang w:eastAsia="zh-CN"/>
        </w:rPr>
        <w:t>。</w:t>
      </w:r>
    </w:p>
    <w:p w14:paraId="0D778721">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 xml:space="preserve">3.4.2 </w:t>
      </w:r>
      <w:r>
        <w:rPr>
          <w:rFonts w:hint="default" w:cs="Times New Roman"/>
          <w:color w:val="auto"/>
          <w:sz w:val="24"/>
          <w:szCs w:val="24"/>
          <w:highlight w:val="none"/>
          <w:lang w:eastAsia="zh-CN"/>
        </w:rPr>
        <w:t>开标时投标人没有按</w:t>
      </w:r>
      <w:r>
        <w:rPr>
          <w:rFonts w:hint="default" w:cs="Times New Roman"/>
          <w:color w:val="auto"/>
          <w:sz w:val="24"/>
          <w:szCs w:val="24"/>
          <w:highlight w:val="none"/>
        </w:rPr>
        <w:t>要求提交投标保证金的，</w:t>
      </w:r>
      <w:r>
        <w:rPr>
          <w:rFonts w:hint="default" w:cs="Times New Roman"/>
          <w:color w:val="auto"/>
          <w:sz w:val="24"/>
          <w:szCs w:val="24"/>
          <w:highlight w:val="none"/>
          <w:lang w:eastAsia="zh-CN"/>
        </w:rPr>
        <w:t>其投标文件将被否决</w:t>
      </w:r>
      <w:r>
        <w:rPr>
          <w:rFonts w:hint="default" w:cs="Times New Roman"/>
          <w:color w:val="auto"/>
          <w:sz w:val="24"/>
          <w:szCs w:val="24"/>
          <w:highlight w:val="none"/>
        </w:rPr>
        <w:t>。</w:t>
      </w:r>
    </w:p>
    <w:p w14:paraId="37B81F3E">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3.4.3 中标候选人以外的投标人的投标保证金将尽快退还，最迟不超过中标通知书发出之日起五日内</w:t>
      </w:r>
      <w:r>
        <w:rPr>
          <w:rFonts w:hint="default" w:cs="Times New Roman"/>
          <w:color w:val="auto"/>
          <w:sz w:val="24"/>
          <w:szCs w:val="24"/>
          <w:highlight w:val="none"/>
          <w:lang w:eastAsia="zh-CN"/>
        </w:rPr>
        <w:t>；</w:t>
      </w:r>
      <w:r>
        <w:rPr>
          <w:rFonts w:hint="default" w:cs="Times New Roman"/>
          <w:color w:val="auto"/>
          <w:sz w:val="24"/>
          <w:szCs w:val="24"/>
          <w:highlight w:val="none"/>
        </w:rPr>
        <w:t>中标人和其他中标候选人的投标保证金，在书面合同订立之日起五日内予以退还。</w:t>
      </w:r>
    </w:p>
    <w:p w14:paraId="15233D7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3.4.4 有下列情形之一的，投标保证金将不予退还：</w:t>
      </w:r>
    </w:p>
    <w:p w14:paraId="4EC1579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1</w:t>
      </w:r>
      <w:r>
        <w:rPr>
          <w:rFonts w:hint="default" w:cs="Times New Roman"/>
          <w:color w:val="auto"/>
          <w:sz w:val="24"/>
          <w:szCs w:val="24"/>
          <w:highlight w:val="none"/>
        </w:rPr>
        <w:t>)投标人在规定的投标有效期内撤</w:t>
      </w:r>
      <w:r>
        <w:rPr>
          <w:rFonts w:hint="default" w:cs="Times New Roman"/>
          <w:color w:val="auto"/>
          <w:sz w:val="24"/>
          <w:szCs w:val="24"/>
          <w:highlight w:val="none"/>
          <w:lang w:eastAsia="zh-CN"/>
        </w:rPr>
        <w:t>销</w:t>
      </w:r>
      <w:r>
        <w:rPr>
          <w:rFonts w:hint="default" w:cs="Times New Roman"/>
          <w:color w:val="auto"/>
          <w:sz w:val="24"/>
          <w:szCs w:val="24"/>
          <w:highlight w:val="none"/>
        </w:rPr>
        <w:t>其投标文件；</w:t>
      </w:r>
    </w:p>
    <w:p w14:paraId="2E80DD3D">
      <w:pPr>
        <w:keepNext w:val="0"/>
        <w:keepLines w:val="0"/>
        <w:pageBreakBefore w:val="0"/>
        <w:widowControl w:val="0"/>
        <w:pBdr>
          <w:bottom w:val="single" w:color="auto" w:sz="6" w:space="1"/>
        </w:pBdr>
        <w:kinsoku/>
        <w:wordWrap/>
        <w:overflowPunct/>
        <w:topLinePunct w:val="0"/>
        <w:autoSpaceDE w:val="0"/>
        <w:autoSpaceDN w:val="0"/>
        <w:bidi w:val="0"/>
        <w:adjustRightInd w:val="0"/>
        <w:snapToGrid/>
        <w:spacing w:line="240" w:lineRule="auto"/>
        <w:ind w:firstLine="537" w:firstLineChars="224"/>
        <w:textAlignment w:val="auto"/>
        <w:rPr>
          <w:rFonts w:hint="default" w:ascii="宋体" w:hAnsi="宋体" w:eastAsia="宋体"/>
          <w:color w:val="auto"/>
          <w:sz w:val="24"/>
          <w:szCs w:val="24"/>
          <w:highlight w:val="none"/>
        </w:rPr>
      </w:pPr>
      <w:r>
        <w:rPr>
          <w:rFonts w:hint="default" w:ascii="宋体" w:hAnsi="宋体" w:eastAsia="宋体" w:cs="Times New Roman"/>
          <w:color w:val="auto"/>
          <w:sz w:val="24"/>
          <w:szCs w:val="24"/>
          <w:highlight w:val="none"/>
        </w:rPr>
        <w:t>(</w:t>
      </w:r>
      <w:r>
        <w:rPr>
          <w:rFonts w:hint="eastAsia" w:ascii="宋体" w:hAnsi="宋体" w:cs="Times New Roman"/>
          <w:color w:val="auto"/>
          <w:sz w:val="24"/>
          <w:szCs w:val="24"/>
          <w:highlight w:val="none"/>
          <w:lang w:val="en-US" w:eastAsia="zh-CN"/>
        </w:rPr>
        <w:t>2</w:t>
      </w:r>
      <w:r>
        <w:rPr>
          <w:rFonts w:hint="default" w:ascii="宋体" w:hAnsi="宋体" w:eastAsia="宋体" w:cs="Times New Roman"/>
          <w:color w:val="auto"/>
          <w:sz w:val="24"/>
          <w:szCs w:val="24"/>
          <w:highlight w:val="none"/>
        </w:rPr>
        <w:t>)中</w:t>
      </w:r>
      <w:r>
        <w:rPr>
          <w:rFonts w:hint="default" w:cs="Times New Roman"/>
          <w:color w:val="auto"/>
          <w:sz w:val="24"/>
          <w:szCs w:val="24"/>
          <w:highlight w:val="none"/>
        </w:rPr>
        <w:t>标人在收到中标通知书后，无正当理由不与招标人订立合同，在签订合同时向招标人提出附加条件，或者不按照招标文件要求提交履约保证金</w:t>
      </w:r>
      <w:r>
        <w:rPr>
          <w:rFonts w:hint="default" w:cs="Times New Roman"/>
          <w:color w:val="auto"/>
          <w:sz w:val="24"/>
          <w:szCs w:val="24"/>
          <w:highlight w:val="none"/>
          <w:lang w:eastAsia="zh-CN"/>
        </w:rPr>
        <w:t>。</w:t>
      </w:r>
    </w:p>
    <w:p w14:paraId="3C2DD374">
      <w:pPr>
        <w:keepNext w:val="0"/>
        <w:keepLines w:val="0"/>
        <w:pageBreakBefore w:val="0"/>
        <w:widowControl w:val="0"/>
        <w:pBdr>
          <w:bottom w:val="single" w:color="auto" w:sz="6" w:space="1"/>
        </w:pBdr>
        <w:kinsoku/>
        <w:wordWrap/>
        <w:overflowPunct/>
        <w:topLinePunct w:val="0"/>
        <w:autoSpaceDE w:val="0"/>
        <w:autoSpaceDN w:val="0"/>
        <w:bidi w:val="0"/>
        <w:adjustRightInd w:val="0"/>
        <w:snapToGrid/>
        <w:spacing w:line="240" w:lineRule="auto"/>
        <w:ind w:firstLine="537" w:firstLineChars="224"/>
        <w:textAlignment w:val="auto"/>
        <w:rPr>
          <w:rFonts w:hint="default" w:ascii="宋体" w:hAnsi="宋体" w:eastAsia="宋体"/>
          <w:color w:val="auto"/>
          <w:sz w:val="24"/>
          <w:szCs w:val="24"/>
          <w:highlight w:val="none"/>
        </w:rPr>
      </w:pPr>
    </w:p>
    <w:p w14:paraId="3390D3D6">
      <w:pPr>
        <w:keepNext w:val="0"/>
        <w:keepLines w:val="0"/>
        <w:pageBreakBefore w:val="0"/>
        <w:widowControl w:val="0"/>
        <w:pBdr>
          <w:bottom w:val="single" w:color="auto" w:sz="6" w:space="1"/>
        </w:pBdr>
        <w:kinsoku/>
        <w:wordWrap/>
        <w:overflowPunct/>
        <w:topLinePunct w:val="0"/>
        <w:autoSpaceDE w:val="0"/>
        <w:autoSpaceDN w:val="0"/>
        <w:bidi w:val="0"/>
        <w:adjustRightInd w:val="0"/>
        <w:snapToGrid/>
        <w:spacing w:line="240" w:lineRule="auto"/>
        <w:ind w:firstLine="480" w:firstLineChars="200"/>
        <w:textAlignment w:val="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 xml:space="preserve">3.5.2                </w:t>
      </w:r>
      <w:r>
        <w:rPr>
          <w:rFonts w:hint="default" w:ascii="宋体" w:hAnsi="宋体" w:eastAsia="宋体"/>
          <w:color w:val="auto"/>
          <w:sz w:val="24"/>
          <w:szCs w:val="24"/>
          <w:highlight w:val="none"/>
        </w:rPr>
        <w:t xml:space="preserve"> 修改类型：删除</w:t>
      </w:r>
    </w:p>
    <w:p w14:paraId="4357D5B4">
      <w:pPr>
        <w:keepNext w:val="0"/>
        <w:keepLines w:val="0"/>
        <w:pageBreakBefore w:val="0"/>
        <w:widowControl w:val="0"/>
        <w:pBdr>
          <w:bottom w:val="single" w:color="auto" w:sz="6" w:space="1"/>
        </w:pBdr>
        <w:kinsoku/>
        <w:wordWrap/>
        <w:overflowPunct/>
        <w:topLinePunct w:val="0"/>
        <w:autoSpaceDE w:val="0"/>
        <w:autoSpaceDN w:val="0"/>
        <w:bidi w:val="0"/>
        <w:adjustRightInd w:val="0"/>
        <w:snapToGrid/>
        <w:spacing w:line="240" w:lineRule="auto"/>
        <w:ind w:firstLine="537" w:firstLineChars="224"/>
        <w:textAlignment w:val="auto"/>
        <w:rPr>
          <w:rFonts w:hint="default" w:ascii="宋体" w:hAnsi="宋体" w:eastAsia="宋体"/>
          <w:color w:val="auto"/>
          <w:sz w:val="24"/>
          <w:szCs w:val="24"/>
          <w:highlight w:val="none"/>
        </w:rPr>
      </w:pPr>
    </w:p>
    <w:p w14:paraId="1194048C">
      <w:pPr>
        <w:keepNext w:val="0"/>
        <w:keepLines w:val="0"/>
        <w:pageBreakBefore w:val="0"/>
        <w:widowControl w:val="0"/>
        <w:pBdr>
          <w:bottom w:val="single" w:color="auto" w:sz="6" w:space="1"/>
        </w:pBdr>
        <w:kinsoku/>
        <w:wordWrap/>
        <w:overflowPunct/>
        <w:topLinePunct w:val="0"/>
        <w:autoSpaceDE w:val="0"/>
        <w:autoSpaceDN w:val="0"/>
        <w:bidi w:val="0"/>
        <w:adjustRightInd w:val="0"/>
        <w:snapToGrid/>
        <w:spacing w:line="240" w:lineRule="auto"/>
        <w:ind w:firstLine="537" w:firstLineChars="224"/>
        <w:textAlignment w:val="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原文：“近年完成的类似监理项目情况表”应附中标通知书和（或）合同协议书、委托人出具的证明文件；具体时间要求见投标人须知前附表，每张表格只填写一个项目，并标明序号。</w:t>
      </w:r>
    </w:p>
    <w:p w14:paraId="0783E025">
      <w:pPr>
        <w:keepNext w:val="0"/>
        <w:keepLines w:val="0"/>
        <w:pageBreakBefore w:val="0"/>
        <w:widowControl w:val="0"/>
        <w:pBdr>
          <w:bottom w:val="single" w:color="auto" w:sz="6" w:space="1"/>
        </w:pBdr>
        <w:kinsoku/>
        <w:wordWrap/>
        <w:overflowPunct/>
        <w:topLinePunct w:val="0"/>
        <w:autoSpaceDE w:val="0"/>
        <w:autoSpaceDN w:val="0"/>
        <w:bidi w:val="0"/>
        <w:adjustRightInd w:val="0"/>
        <w:snapToGrid/>
        <w:spacing w:line="240" w:lineRule="auto"/>
        <w:ind w:firstLine="537" w:firstLineChars="224"/>
        <w:textAlignment w:val="auto"/>
        <w:rPr>
          <w:rFonts w:hint="default" w:ascii="宋体" w:hAnsi="宋体" w:eastAsia="宋体"/>
          <w:color w:val="auto"/>
          <w:sz w:val="24"/>
          <w:szCs w:val="24"/>
          <w:highlight w:val="none"/>
        </w:rPr>
      </w:pPr>
    </w:p>
    <w:p w14:paraId="5D390CCF">
      <w:pPr>
        <w:keepNext w:val="0"/>
        <w:keepLines w:val="0"/>
        <w:pageBreakBefore w:val="0"/>
        <w:widowControl w:val="0"/>
        <w:pBdr>
          <w:bottom w:val="single" w:color="auto" w:sz="6" w:space="1"/>
        </w:pBdr>
        <w:kinsoku/>
        <w:wordWrap/>
        <w:overflowPunct/>
        <w:topLinePunct w:val="0"/>
        <w:autoSpaceDE w:val="0"/>
        <w:autoSpaceDN w:val="0"/>
        <w:bidi w:val="0"/>
        <w:adjustRightInd w:val="0"/>
        <w:snapToGrid/>
        <w:spacing w:line="240" w:lineRule="auto"/>
        <w:ind w:firstLine="537" w:firstLineChars="224"/>
        <w:textAlignment w:val="auto"/>
        <w:rPr>
          <w:rFonts w:hint="eastAsia" w:ascii="宋体" w:hAnsi="宋体"/>
          <w:color w:val="auto"/>
          <w:sz w:val="24"/>
          <w:szCs w:val="24"/>
          <w:highlight w:val="none"/>
          <w:lang w:val="en-US" w:eastAsia="zh-CN"/>
        </w:rPr>
      </w:pPr>
    </w:p>
    <w:p w14:paraId="67A56C1D">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3.3.3</w:t>
      </w:r>
      <w:r>
        <w:rPr>
          <w:rFonts w:hint="default" w:ascii="宋体" w:hAnsi="宋体" w:eastAsia="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default" w:ascii="宋体" w:hAnsi="宋体" w:eastAsia="宋体"/>
          <w:color w:val="auto"/>
          <w:sz w:val="24"/>
          <w:szCs w:val="24"/>
          <w:highlight w:val="none"/>
        </w:rPr>
        <w:t>修改类型：修改</w:t>
      </w:r>
    </w:p>
    <w:p w14:paraId="5FDCB88D">
      <w:pPr>
        <w:keepNext w:val="0"/>
        <w:keepLines w:val="0"/>
        <w:pageBreakBefore w:val="0"/>
        <w:widowControl w:val="0"/>
        <w:kinsoku/>
        <w:wordWrap/>
        <w:overflowPunct/>
        <w:topLinePunct w:val="0"/>
        <w:autoSpaceDE w:val="0"/>
        <w:autoSpaceDN w:val="0"/>
        <w:bidi w:val="0"/>
        <w:adjustRightInd w:val="0"/>
        <w:snapToGrid/>
        <w:spacing w:line="240" w:lineRule="auto"/>
        <w:ind w:firstLine="537" w:firstLineChars="224"/>
        <w:textAlignment w:val="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 及以现金或者支票形式递交的投标保证金的银行同期存款利息。</w:t>
      </w:r>
    </w:p>
    <w:p w14:paraId="3A89E65C">
      <w:pPr>
        <w:keepNext w:val="0"/>
        <w:keepLines w:val="0"/>
        <w:pageBreakBefore w:val="0"/>
        <w:widowControl w:val="0"/>
        <w:kinsoku/>
        <w:wordWrap/>
        <w:overflowPunct/>
        <w:topLinePunct w:val="0"/>
        <w:autoSpaceDE w:val="0"/>
        <w:autoSpaceDN w:val="0"/>
        <w:bidi w:val="0"/>
        <w:adjustRightInd w:val="0"/>
        <w:snapToGrid/>
        <w:spacing w:line="240" w:lineRule="auto"/>
        <w:ind w:firstLine="537" w:firstLineChars="224"/>
        <w:textAlignment w:val="auto"/>
        <w:rPr>
          <w:rFonts w:hint="default" w:ascii="宋体" w:hAnsi="宋体" w:eastAsia="宋体"/>
          <w:color w:val="auto"/>
          <w:sz w:val="24"/>
          <w:szCs w:val="24"/>
          <w:highlight w:val="none"/>
        </w:rPr>
      </w:pPr>
    </w:p>
    <w:p w14:paraId="14087B03">
      <w:pPr>
        <w:keepNext w:val="0"/>
        <w:keepLines w:val="0"/>
        <w:pageBreakBefore w:val="0"/>
        <w:widowControl w:val="0"/>
        <w:kinsoku/>
        <w:wordWrap/>
        <w:overflowPunct/>
        <w:topLinePunct w:val="0"/>
        <w:autoSpaceDE w:val="0"/>
        <w:autoSpaceDN w:val="0"/>
        <w:bidi w:val="0"/>
        <w:adjustRightInd w:val="0"/>
        <w:snapToGrid/>
        <w:spacing w:line="240" w:lineRule="auto"/>
        <w:ind w:firstLine="537" w:firstLineChars="224"/>
        <w:jc w:val="both"/>
        <w:textAlignment w:val="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现文：出现特殊情况需要延长投标有效期的，招标人以书面形式通知所有投标人延长投标有效期。投标人应予以书面答复，同意延长的，不得要求或被允许修改其投标文件；投标人拒绝延长的，其投标失效。</w:t>
      </w:r>
    </w:p>
    <w:p w14:paraId="3749F07F">
      <w:pPr>
        <w:spacing w:line="480" w:lineRule="auto"/>
        <w:ind w:firstLine="537" w:firstLineChars="224"/>
        <w:rPr>
          <w:rFonts w:hint="default" w:ascii="宋体" w:hAnsi="宋体" w:eastAsia="宋体"/>
          <w:color w:val="auto"/>
          <w:sz w:val="24"/>
          <w:szCs w:val="24"/>
          <w:highlight w:val="none"/>
        </w:rPr>
      </w:pPr>
    </w:p>
    <w:p w14:paraId="5E511416">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7.6.2</w:t>
      </w:r>
      <w:r>
        <w:rPr>
          <w:rFonts w:hint="default" w:ascii="宋体" w:hAnsi="宋体" w:eastAsia="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default" w:ascii="宋体" w:hAnsi="宋体" w:eastAsia="宋体"/>
          <w:color w:val="auto"/>
          <w:sz w:val="24"/>
          <w:szCs w:val="24"/>
          <w:highlight w:val="none"/>
        </w:rPr>
        <w:t>修改类型：修改</w:t>
      </w:r>
    </w:p>
    <w:p w14:paraId="35625FFD">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原文：中标人不能按本章第 7.6.1 项要求提交履约保证金的，视为放弃中标，其投标保证金不予退还，给招标人造成的损失超过投标保证金数额的，中标人还应当对超过部分予以赔偿。</w:t>
      </w:r>
    </w:p>
    <w:p w14:paraId="0AB5B294">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现文：中标人不能按本章第 7.6.1 项要求提交履约保证金的，视为放弃中标，给招标人造成的损失的，中标人还应当予以赔偿。</w:t>
      </w:r>
    </w:p>
    <w:p w14:paraId="09C591BC">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7.7.1</w:t>
      </w:r>
      <w:r>
        <w:rPr>
          <w:rFonts w:hint="default" w:ascii="宋体" w:hAnsi="宋体" w:eastAsia="宋体"/>
          <w:color w:val="auto"/>
          <w:sz w:val="24"/>
          <w:szCs w:val="24"/>
          <w:highlight w:val="none"/>
        </w:rPr>
        <w:t xml:space="preserve">             修改类型：修改</w:t>
      </w:r>
    </w:p>
    <w:p w14:paraId="0C2F8F9F">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招标人和中标人应当在中标通知书发出之日起30日内，根据招标文件和中标人的投标文件订立书面合同，并通过电子交易系统与中标人在线签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41C89877">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招标人和中标人应当在中标通知书发出之日起30日内，根据招标文件和中标人的投标文件订立书面合同，并通过电子交易系统与中标人在线签订合同。中标人无正当理由拒签合同，在签订合同时向招标人提出附加条件，或者不按照招标文件要求提交履约保证金的，招标人有权取消其中标资格；给招标人造成的损失的，中标人还应当予以赔偿。</w:t>
      </w:r>
    </w:p>
    <w:p w14:paraId="1AB69ACF">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7.7.2</w:t>
      </w:r>
      <w:r>
        <w:rPr>
          <w:rFonts w:hint="default" w:ascii="宋体" w:hAnsi="宋体" w:eastAsia="宋体"/>
          <w:color w:val="auto"/>
          <w:sz w:val="24"/>
          <w:szCs w:val="24"/>
          <w:highlight w:val="none"/>
        </w:rPr>
        <w:t xml:space="preserve">             修改类型：修改</w:t>
      </w:r>
    </w:p>
    <w:p w14:paraId="2E276FED">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原文：发出中标通知书后，招标人无正当理由拒签合同，或者在签订合同时向中标人提出附加条件的，招标人向中标人退还投标保证金；给中标人造成损失的，还应当赔偿损失。</w:t>
      </w:r>
    </w:p>
    <w:p w14:paraId="56D1CDF0">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现文：发出中标通知书后，招标人无正当理由拒签合同，或者在签订合同时向中标人提出附加条件的，给中标人造成损失的，应当赔偿损失。</w:t>
      </w:r>
    </w:p>
    <w:p w14:paraId="51AAB63A">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 xml:space="preserve"> </w:t>
      </w:r>
    </w:p>
    <w:p w14:paraId="237D485C">
      <w:pPr>
        <w:pBdr>
          <w:bottom w:val="single" w:color="auto" w:sz="6" w:space="1"/>
        </w:pBdr>
        <w:spacing w:line="480" w:lineRule="auto"/>
        <w:rPr>
          <w:rFonts w:hint="default" w:ascii="宋体" w:hAnsi="宋体" w:eastAsia="宋体"/>
          <w:color w:val="auto"/>
          <w:sz w:val="24"/>
          <w:szCs w:val="24"/>
          <w:highlight w:val="none"/>
        </w:rPr>
      </w:pPr>
    </w:p>
    <w:p w14:paraId="356E6998">
      <w:pPr>
        <w:spacing w:line="360" w:lineRule="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注：以上修改，仅限于本范本中有可供选择条款的情形。</w:t>
      </w:r>
    </w:p>
    <w:p w14:paraId="3CB406D8">
      <w:pPr>
        <w:spacing w:line="360" w:lineRule="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（以下无正文）</w:t>
      </w:r>
    </w:p>
    <w:p w14:paraId="6A23A342">
      <w:pPr>
        <w:pStyle w:val="4"/>
        <w:outlineLvl w:val="9"/>
        <w:rPr>
          <w:rFonts w:hint="default" w:cs="宋体"/>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085544FA">
      <w:pPr>
        <w:pStyle w:val="4"/>
        <w:outlineLvl w:val="1"/>
        <w:rPr>
          <w:rFonts w:hint="default" w:cs="宋体"/>
          <w:b w:val="0"/>
          <w:color w:val="auto"/>
          <w:sz w:val="24"/>
          <w:szCs w:val="24"/>
          <w:highlight w:val="none"/>
        </w:rPr>
      </w:pPr>
      <w:bookmarkStart w:id="64" w:name="_Toc19907"/>
      <w:bookmarkStart w:id="65" w:name="_Toc16248"/>
      <w:r>
        <w:rPr>
          <w:rFonts w:hint="default" w:cs="宋体"/>
          <w:color w:val="auto"/>
          <w:sz w:val="24"/>
          <w:szCs w:val="24"/>
          <w:highlight w:val="none"/>
        </w:rPr>
        <w:t>1.总则</w:t>
      </w:r>
      <w:bookmarkEnd w:id="64"/>
      <w:bookmarkEnd w:id="65"/>
    </w:p>
    <w:p w14:paraId="5C534F46">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66" w:name="bookmark21"/>
      <w:bookmarkEnd w:id="66"/>
      <w:bookmarkStart w:id="67" w:name="_Toc13038"/>
      <w:bookmarkStart w:id="68" w:name="_Toc21335"/>
      <w:r>
        <w:rPr>
          <w:rFonts w:hint="default" w:cs="Times New Roman"/>
          <w:color w:val="auto"/>
          <w:sz w:val="24"/>
          <w:szCs w:val="24"/>
          <w:highlight w:val="none"/>
        </w:rPr>
        <w:t>1.1 招标项目概况</w:t>
      </w:r>
      <w:bookmarkEnd w:id="67"/>
      <w:bookmarkEnd w:id="68"/>
    </w:p>
    <w:p w14:paraId="7FF11C62">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1.1.1 根据《中华人民共和国招标投标法》、《中华人民共和国招标投标法实施条例》等有关法律法规和规章的规定，本招标项目已具备招标条件，现对监理进行招标。</w:t>
      </w:r>
    </w:p>
    <w:p w14:paraId="54662CA6">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1.1.2 招标人：见投标人须知前附表。</w:t>
      </w:r>
    </w:p>
    <w:p w14:paraId="370E384A">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1.1.3 招标代理机构：见投标人须知前附表。</w:t>
      </w:r>
    </w:p>
    <w:p w14:paraId="3E11427F">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1.1.4 招标项目名称：见投标人须知前附表。</w:t>
      </w:r>
    </w:p>
    <w:p w14:paraId="51B1CD01">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1.1.5 项目建设地点：见投标人须知前附表。</w:t>
      </w:r>
    </w:p>
    <w:p w14:paraId="4EDE109D">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1.1.6 项目建设规模：见投标人须知前附表。</w:t>
      </w:r>
    </w:p>
    <w:p w14:paraId="58EB92E7">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1.1.7 工程项目施工预计开工日期和建设周期：见投标人须知前附表。</w:t>
      </w:r>
    </w:p>
    <w:p w14:paraId="2DF13F9B">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1.1.8 建筑安装工程费/工程概算：见投标人须知前附表。</w:t>
      </w:r>
    </w:p>
    <w:p w14:paraId="43D4BC0D">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69" w:name="bookmark22"/>
      <w:bookmarkEnd w:id="69"/>
      <w:bookmarkStart w:id="70" w:name="_Toc17099"/>
      <w:bookmarkStart w:id="71" w:name="_Toc13067"/>
      <w:r>
        <w:rPr>
          <w:rFonts w:hint="default" w:cs="Times New Roman"/>
          <w:color w:val="auto"/>
          <w:sz w:val="24"/>
          <w:szCs w:val="24"/>
          <w:highlight w:val="none"/>
        </w:rPr>
        <w:t>1.2 招标项目的资金来源和落实情况</w:t>
      </w:r>
      <w:bookmarkEnd w:id="70"/>
      <w:bookmarkEnd w:id="71"/>
    </w:p>
    <w:p w14:paraId="2FE8CAAF">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1.2.1 资金来源及比例：见投标人须知前附表。</w:t>
      </w:r>
    </w:p>
    <w:p w14:paraId="4943722C">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1.2.2 资金落实情况：见投标人须知前附表。</w:t>
      </w:r>
    </w:p>
    <w:p w14:paraId="0E030EEF">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72" w:name="bookmark23"/>
      <w:bookmarkEnd w:id="72"/>
      <w:bookmarkStart w:id="73" w:name="_Toc4457"/>
      <w:bookmarkStart w:id="74" w:name="_Toc18506"/>
      <w:r>
        <w:rPr>
          <w:rFonts w:hint="default" w:cs="Times New Roman"/>
          <w:color w:val="auto"/>
          <w:sz w:val="24"/>
          <w:szCs w:val="24"/>
          <w:highlight w:val="none"/>
        </w:rPr>
        <w:t>1.3 招标范围、监理服务期限和质量标准</w:t>
      </w:r>
      <w:bookmarkEnd w:id="73"/>
      <w:bookmarkEnd w:id="74"/>
    </w:p>
    <w:p w14:paraId="1617F9D6">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1.3.1 招标范围：见投标人须知前附表。</w:t>
      </w:r>
    </w:p>
    <w:p w14:paraId="6FCF9B9E">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1.3.2 监理服务期限：见投标人须知前附表。</w:t>
      </w:r>
    </w:p>
    <w:p w14:paraId="4F981F14">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1.3.3 质量标准：见投标人须知前附表。</w:t>
      </w:r>
    </w:p>
    <w:p w14:paraId="390E73CA">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75" w:name="bookmark24"/>
      <w:bookmarkEnd w:id="75"/>
      <w:bookmarkStart w:id="76" w:name="_Toc13328"/>
      <w:bookmarkStart w:id="77" w:name="_Toc6782"/>
      <w:r>
        <w:rPr>
          <w:rFonts w:hint="default" w:cs="Times New Roman"/>
          <w:color w:val="auto"/>
          <w:sz w:val="24"/>
          <w:szCs w:val="24"/>
          <w:highlight w:val="none"/>
        </w:rPr>
        <w:t>1.4 投标人资格要求</w:t>
      </w:r>
      <w:bookmarkEnd w:id="76"/>
      <w:bookmarkEnd w:id="77"/>
    </w:p>
    <w:p w14:paraId="3CED6337">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1.4.1 投标人应具备承担本招标项目资质条件、能力和信誉：</w:t>
      </w:r>
    </w:p>
    <w:p w14:paraId="07D8A173">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（1）资质要求：见投标人须知前附表；</w:t>
      </w:r>
    </w:p>
    <w:p w14:paraId="094CBCAF">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（2）财务要求：见投标人须知前附表；</w:t>
      </w:r>
    </w:p>
    <w:p w14:paraId="42ACA27E">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（3）业绩要求：见投标人须知前附表；</w:t>
      </w:r>
    </w:p>
    <w:p w14:paraId="0F551ED0">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（4）信誉要求：见投标人须知前附表；</w:t>
      </w:r>
    </w:p>
    <w:p w14:paraId="12FBE542">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（5）总监理工程师的资格要求：应当具备工程注册监理工程师执业资格，具体要求见投标人须知前附表；</w:t>
      </w:r>
    </w:p>
    <w:p w14:paraId="70E7383D">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（6）其他主要人员要求：见投标人须知前附表。</w:t>
      </w:r>
    </w:p>
    <w:p w14:paraId="39995A5D">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（7）试验检测仪器设备要求：见投标人须知前附表。</w:t>
      </w:r>
    </w:p>
    <w:p w14:paraId="2B2BBD90">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（8）其他要求：见投标人须知前附表。需要提交的相关证明材料见本章第 3.5 款的规定。</w:t>
      </w:r>
    </w:p>
    <w:p w14:paraId="633CE351">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1.4.2 投标人须知前附表规定接受联合体投标的，联合体除应符合本章第 1.4.1 项和投标人须知前附表的要求外，还应遵守以下规定：</w:t>
      </w:r>
    </w:p>
    <w:p w14:paraId="0D19492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（1）联合体各方应按招标文件提供的格式签订联合体协议书，明确联合体</w:t>
      </w:r>
      <w:r>
        <w:rPr>
          <w:rFonts w:hint="default"/>
          <w:color w:val="auto"/>
          <w:spacing w:val="-2"/>
          <w:sz w:val="24"/>
          <w:szCs w:val="24"/>
          <w:highlight w:val="none"/>
          <w:lang w:eastAsia="zh-CN"/>
        </w:rPr>
        <w:t>主办方</w:t>
      </w:r>
      <w:r>
        <w:rPr>
          <w:rFonts w:hint="default" w:cs="Times New Roman"/>
          <w:color w:val="auto"/>
          <w:sz w:val="24"/>
          <w:szCs w:val="24"/>
          <w:highlight w:val="none"/>
        </w:rPr>
        <w:t>和各方权利义务，并承诺就中标项目向招标人承担连带责任；</w:t>
      </w:r>
    </w:p>
    <w:p w14:paraId="234B108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（2）由同一专业的单位组成的联合体，按照资质等级较低的单位确定资质等级；</w:t>
      </w:r>
    </w:p>
    <w:p w14:paraId="72A03762">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（3）联合体各方不得再以自己名义单独或参加其他联合体在本招标项目中投标，否则各相关投标均无效。</w:t>
      </w:r>
    </w:p>
    <w:p w14:paraId="6907676D">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1.4.3 投标人不得存在下列情形之一：</w:t>
      </w:r>
    </w:p>
    <w:p w14:paraId="29932E34">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（1）为招标人不具有独立法人资格的附属机构（单位）；</w:t>
      </w:r>
    </w:p>
    <w:p w14:paraId="5C14617F">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（2）与招标人存在利害关系且可能影响招标公正性；</w:t>
      </w:r>
    </w:p>
    <w:p w14:paraId="6BD6A351">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（3）与本招标项目的其他投标人为同一个单位负责人；</w:t>
      </w:r>
    </w:p>
    <w:p w14:paraId="596E6B65">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（4）与本招标项目的其他投标人存在控股、管理关系；</w:t>
      </w:r>
    </w:p>
    <w:p w14:paraId="3A4639B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（5）为本招标项目的代建人；</w:t>
      </w:r>
    </w:p>
    <w:p w14:paraId="6A20CBB6">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（6）为本招标项目的招标代理机构；</w:t>
      </w:r>
    </w:p>
    <w:p w14:paraId="6870994F">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（7）与本招标项目的代建人或招标代理机构同为一个法定代表人；</w:t>
      </w:r>
    </w:p>
    <w:p w14:paraId="5FBA8055">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（8）与本招标项目的代建人或招标代理机构存在控股或参股关系；</w:t>
      </w:r>
    </w:p>
    <w:p w14:paraId="7C5E86E0">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（9）与本招标项目的检测机构、建设、施工单位以及建筑材料、建筑构配件和设备供应商有隶属关系或者其他利害关系；</w:t>
      </w:r>
    </w:p>
    <w:p w14:paraId="4B5AD3C5">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（10）被依法暂停或者取消投标资格；</w:t>
      </w:r>
    </w:p>
    <w:p w14:paraId="64951D04">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（11）被依法暂停或取消投标资格的；</w:t>
      </w:r>
      <w:r>
        <w:rPr>
          <w:rFonts w:hint="eastAsia" w:cs="Times New Roman"/>
          <w:color w:val="auto"/>
          <w:sz w:val="24"/>
          <w:szCs w:val="24"/>
          <w:highlight w:val="none"/>
          <w:lang w:val="en-US" w:eastAsia="zh-CN"/>
        </w:rPr>
        <w:t>(</w:t>
      </w:r>
      <w:r>
        <w:rPr>
          <w:rFonts w:hint="default" w:cs="Times New Roman"/>
          <w:color w:val="auto"/>
          <w:sz w:val="24"/>
          <w:szCs w:val="24"/>
          <w:highlight w:val="non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cs="Times New Roman"/>
          <w:color w:val="auto"/>
          <w:sz w:val="24"/>
          <w:szCs w:val="24"/>
          <w:highlight w:val="none"/>
          <w:lang w:val="en-US" w:eastAsia="zh-CN"/>
        </w:rPr>
        <w:t>)</w:t>
      </w:r>
      <w:r>
        <w:rPr>
          <w:rFonts w:hint="default" w:cs="Times New Roman"/>
          <w:color w:val="auto"/>
          <w:sz w:val="24"/>
          <w:szCs w:val="24"/>
          <w:highlight w:val="none"/>
        </w:rPr>
        <w:t>；</w:t>
      </w:r>
    </w:p>
    <w:p w14:paraId="2A5E3B2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14:paraId="4DF87727">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（13）进入清算程序，或被宣布破产，或其他丧失履约能力的情形；</w:t>
      </w:r>
    </w:p>
    <w:p w14:paraId="5E34610F">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C8C7C81">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w:t>
      </w:r>
      <w:r>
        <w:rPr>
          <w:rFonts w:hint="eastAsia" w:cs="Times New Roman"/>
          <w:color w:val="auto"/>
          <w:sz w:val="24"/>
          <w:szCs w:val="24"/>
          <w:highlight w:val="none"/>
          <w:lang w:val="en-US" w:eastAsia="zh-CN"/>
        </w:rPr>
        <w:t>5</w:t>
      </w:r>
      <w:r>
        <w:rPr>
          <w:rFonts w:hint="default" w:cs="Times New Roman"/>
          <w:color w:val="auto"/>
          <w:sz w:val="24"/>
          <w:szCs w:val="24"/>
          <w:highlight w:val="none"/>
        </w:rPr>
        <w:t>）法律法规规定的其他情形。</w:t>
      </w:r>
    </w:p>
    <w:p w14:paraId="2DDEF62F">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78" w:name="bookmark25"/>
      <w:bookmarkEnd w:id="78"/>
      <w:bookmarkStart w:id="79" w:name="_Toc13821"/>
      <w:bookmarkStart w:id="80" w:name="_Toc12360"/>
      <w:r>
        <w:rPr>
          <w:rFonts w:hint="default" w:cs="Times New Roman"/>
          <w:color w:val="auto"/>
          <w:sz w:val="24"/>
          <w:szCs w:val="24"/>
          <w:highlight w:val="none"/>
        </w:rPr>
        <w:t>1.5 费用承担</w:t>
      </w:r>
      <w:bookmarkEnd w:id="79"/>
      <w:bookmarkEnd w:id="80"/>
    </w:p>
    <w:p w14:paraId="1AA3098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投标人准备和参加投标活动发生的费用自理。</w:t>
      </w:r>
    </w:p>
    <w:p w14:paraId="0F9DBE2E">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81" w:name="bookmark26"/>
      <w:bookmarkEnd w:id="81"/>
      <w:bookmarkStart w:id="82" w:name="_Toc5467"/>
      <w:bookmarkStart w:id="83" w:name="_Toc8195"/>
      <w:r>
        <w:rPr>
          <w:rFonts w:hint="default" w:cs="Times New Roman"/>
          <w:color w:val="auto"/>
          <w:sz w:val="24"/>
          <w:szCs w:val="24"/>
          <w:highlight w:val="none"/>
        </w:rPr>
        <w:t>1.6 保密</w:t>
      </w:r>
      <w:bookmarkEnd w:id="82"/>
      <w:bookmarkEnd w:id="83"/>
    </w:p>
    <w:p w14:paraId="086241DF">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参与招标投标活动的各方应对招标文件和投标文件中的商业和技术等秘密保密，否则应承 担相应的法律责任。</w:t>
      </w:r>
    </w:p>
    <w:p w14:paraId="6FB5C881">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84" w:name="bookmark27"/>
      <w:bookmarkEnd w:id="84"/>
      <w:bookmarkStart w:id="85" w:name="_Toc12511"/>
      <w:bookmarkStart w:id="86" w:name="_Toc26912"/>
      <w:r>
        <w:rPr>
          <w:rFonts w:hint="default" w:cs="Times New Roman"/>
          <w:color w:val="auto"/>
          <w:sz w:val="24"/>
          <w:szCs w:val="24"/>
          <w:highlight w:val="none"/>
        </w:rPr>
        <w:t>1.7 语言文字</w:t>
      </w:r>
      <w:bookmarkEnd w:id="85"/>
      <w:bookmarkEnd w:id="86"/>
    </w:p>
    <w:p w14:paraId="4D0C272F">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招标投标文件使用的语言文字为中文。专用术语使用外文的，应附有中文注释。</w:t>
      </w:r>
    </w:p>
    <w:p w14:paraId="226EA111">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87" w:name="bookmark28"/>
      <w:bookmarkEnd w:id="87"/>
      <w:bookmarkStart w:id="88" w:name="_Toc16868"/>
      <w:bookmarkStart w:id="89" w:name="_Toc30360"/>
      <w:r>
        <w:rPr>
          <w:rFonts w:hint="default" w:cs="Times New Roman"/>
          <w:color w:val="auto"/>
          <w:sz w:val="24"/>
          <w:szCs w:val="24"/>
          <w:highlight w:val="none"/>
        </w:rPr>
        <w:t>1.8 计量单位</w:t>
      </w:r>
      <w:bookmarkEnd w:id="88"/>
      <w:bookmarkEnd w:id="89"/>
    </w:p>
    <w:p w14:paraId="5AAC2711">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所有计量均采用中华人民共和国法定计量单位。</w:t>
      </w:r>
    </w:p>
    <w:p w14:paraId="1B263E0A">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90" w:name="bookmark29"/>
      <w:bookmarkEnd w:id="90"/>
      <w:bookmarkStart w:id="91" w:name="_Toc32334"/>
      <w:bookmarkStart w:id="92" w:name="_Toc13105"/>
      <w:r>
        <w:rPr>
          <w:rFonts w:hint="default" w:cs="Times New Roman"/>
          <w:color w:val="auto"/>
          <w:sz w:val="24"/>
          <w:szCs w:val="24"/>
          <w:highlight w:val="none"/>
        </w:rPr>
        <w:t>1.9 踏勘现场</w:t>
      </w:r>
      <w:bookmarkEnd w:id="91"/>
      <w:bookmarkEnd w:id="92"/>
    </w:p>
    <w:p w14:paraId="76A20D7D">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1.9.1 投标人须知前附表规定组织踏勘现场的，招标人按投标人须知前附表规定的时间、地 点组织投标人踏勘项目现场。部分投标人未按时参加踏勘现场的，不影响踏勘现场的正常进行。</w:t>
      </w:r>
    </w:p>
    <w:p w14:paraId="3477912D">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1.9.2 投标人踏勘现场发生的费用自理。</w:t>
      </w:r>
    </w:p>
    <w:p w14:paraId="41742679">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1.9.3 除招标人的原因外，投标人自行负责在踏勘现场中所发生的人员伤亡和财产损失。</w:t>
      </w:r>
    </w:p>
    <w:p w14:paraId="7FEFEE83">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1.9.4 招标人在踏勘现场中介绍的工程场地和相关的周边环境情况，供投标人在编制投标文 件时参考，招标人不对投标人据此作出的判断和决策负责。</w:t>
      </w:r>
    </w:p>
    <w:p w14:paraId="6A00E020">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93" w:name="bookmark30"/>
      <w:bookmarkEnd w:id="93"/>
      <w:bookmarkStart w:id="94" w:name="_Toc12293"/>
      <w:bookmarkStart w:id="95" w:name="_Toc27682"/>
      <w:r>
        <w:rPr>
          <w:rFonts w:hint="default" w:cs="Times New Roman"/>
          <w:color w:val="auto"/>
          <w:sz w:val="24"/>
          <w:szCs w:val="24"/>
          <w:highlight w:val="none"/>
        </w:rPr>
        <w:t>1.10 投标预备会</w:t>
      </w:r>
      <w:bookmarkEnd w:id="94"/>
      <w:bookmarkEnd w:id="95"/>
    </w:p>
    <w:p w14:paraId="67EBCEEA">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default" w:cs="Times New Roman"/>
          <w:color w:val="auto"/>
          <w:sz w:val="24"/>
          <w:szCs w:val="24"/>
          <w:highlight w:val="none"/>
        </w:rPr>
      </w:pPr>
      <w:r>
        <w:rPr>
          <w:rFonts w:hint="default" w:cs="Times New Roman"/>
          <w:color w:val="auto"/>
          <w:sz w:val="24"/>
          <w:szCs w:val="24"/>
          <w:highlight w:val="none"/>
        </w:rPr>
        <w:t>1.10.1 投标人须知前附表规定召开投标预备会的，招标人按投标人须知前附表规定的时间和地点召开投标预备会，澄清投标人提出的问题。</w:t>
      </w:r>
    </w:p>
    <w:p w14:paraId="24D0A2C4">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default" w:cs="Times New Roman"/>
          <w:color w:val="auto"/>
          <w:sz w:val="24"/>
          <w:szCs w:val="24"/>
          <w:highlight w:val="none"/>
        </w:rPr>
      </w:pPr>
      <w:r>
        <w:rPr>
          <w:rFonts w:hint="default" w:cs="Times New Roman"/>
          <w:color w:val="auto"/>
          <w:sz w:val="24"/>
          <w:szCs w:val="24"/>
          <w:highlight w:val="none"/>
        </w:rPr>
        <w:t>1.10.2 投标人应按投标人须知前附表规定的时间和形式将提出的问题送达招标人</w:t>
      </w:r>
      <w:r>
        <w:rPr>
          <w:rFonts w:hint="default" w:cs="Times New Roman"/>
          <w:color w:val="auto"/>
          <w:sz w:val="24"/>
          <w:szCs w:val="24"/>
          <w:highlight w:val="none"/>
          <w:lang w:eastAsia="zh-CN"/>
        </w:rPr>
        <w:t>，</w:t>
      </w:r>
      <w:r>
        <w:rPr>
          <w:rFonts w:hint="default" w:cs="Times New Roman"/>
          <w:color w:val="auto"/>
          <w:sz w:val="24"/>
          <w:szCs w:val="24"/>
          <w:highlight w:val="none"/>
        </w:rPr>
        <w:t>以便招标人在会议期间澄清。</w:t>
      </w:r>
    </w:p>
    <w:p w14:paraId="64BDB78E">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default" w:cs="Times New Roman"/>
          <w:color w:val="auto"/>
          <w:sz w:val="24"/>
          <w:szCs w:val="24"/>
          <w:highlight w:val="none"/>
        </w:rPr>
      </w:pPr>
      <w:r>
        <w:rPr>
          <w:rFonts w:hint="default" w:cs="Times New Roman"/>
          <w:color w:val="auto"/>
          <w:sz w:val="24"/>
          <w:szCs w:val="24"/>
          <w:highlight w:val="none"/>
        </w:rPr>
        <w:t>1.10.3 投标预备会后，招标人将对投标人所提问题的澄清，以投标人须知前附表规定的形式通知所有</w:t>
      </w:r>
      <w:r>
        <w:rPr>
          <w:rFonts w:hint="default" w:cs="Times New Roman"/>
          <w:color w:val="auto"/>
          <w:sz w:val="24"/>
          <w:szCs w:val="24"/>
          <w:highlight w:val="none"/>
          <w:lang w:eastAsia="zh-CN"/>
        </w:rPr>
        <w:t>潜在</w:t>
      </w:r>
      <w:r>
        <w:rPr>
          <w:rFonts w:hint="default" w:cs="Times New Roman"/>
          <w:color w:val="auto"/>
          <w:sz w:val="24"/>
          <w:szCs w:val="24"/>
          <w:highlight w:val="none"/>
        </w:rPr>
        <w:t>投标人。该澄清内容为招标文件的组成部分。</w:t>
      </w:r>
    </w:p>
    <w:p w14:paraId="5C38E583">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96" w:name="bookmark31"/>
      <w:bookmarkEnd w:id="96"/>
      <w:bookmarkStart w:id="97" w:name="_Toc19938"/>
      <w:bookmarkStart w:id="98" w:name="_Toc5083"/>
      <w:r>
        <w:rPr>
          <w:rFonts w:hint="default" w:cs="Times New Roman"/>
          <w:color w:val="auto"/>
          <w:sz w:val="24"/>
          <w:szCs w:val="24"/>
          <w:highlight w:val="none"/>
        </w:rPr>
        <w:t>1.11 分包</w:t>
      </w:r>
      <w:bookmarkEnd w:id="97"/>
      <w:bookmarkEnd w:id="98"/>
    </w:p>
    <w:p w14:paraId="4F01572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本项目严禁分包。</w:t>
      </w:r>
    </w:p>
    <w:p w14:paraId="6DDED527">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99" w:name="bookmark32"/>
      <w:bookmarkEnd w:id="99"/>
      <w:bookmarkStart w:id="100" w:name="_Toc31172"/>
      <w:bookmarkStart w:id="101" w:name="_Toc29362"/>
      <w:r>
        <w:rPr>
          <w:rFonts w:hint="default" w:cs="Times New Roman"/>
          <w:color w:val="auto"/>
          <w:sz w:val="24"/>
          <w:szCs w:val="24"/>
          <w:highlight w:val="none"/>
        </w:rPr>
        <w:t>1.12 响应和偏差</w:t>
      </w:r>
      <w:bookmarkEnd w:id="100"/>
      <w:bookmarkEnd w:id="101"/>
    </w:p>
    <w:p w14:paraId="52AE0A1D">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1.12.1 投标文件应当对招标文件的实质性要求和条件作出满足性或更有利于招标人的响应，否则，投标人的投标将被否决。实质性要求和条件见投标人须知前附表。</w:t>
      </w:r>
    </w:p>
    <w:p w14:paraId="3CA96AB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1.12.2 投标人应根据招标文件的要求提供投标监理大纲等内容以对招标文件作出响应。</w:t>
      </w:r>
    </w:p>
    <w:p w14:paraId="67B459B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1.12.3 投标人须知前附表允许投标文件偏离招标文件某些要求的，偏差应当符合招标文件规定的偏差范围和幅度。</w:t>
      </w:r>
    </w:p>
    <w:p w14:paraId="3DD9AD1E">
      <w:pPr>
        <w:pStyle w:val="4"/>
        <w:outlineLvl w:val="1"/>
        <w:rPr>
          <w:rFonts w:hint="default" w:cs="宋体"/>
          <w:color w:val="auto"/>
          <w:sz w:val="24"/>
          <w:szCs w:val="24"/>
          <w:highlight w:val="none"/>
        </w:rPr>
      </w:pPr>
      <w:bookmarkStart w:id="102" w:name="bookmark33"/>
      <w:bookmarkEnd w:id="102"/>
      <w:bookmarkStart w:id="103" w:name="_Toc5819"/>
      <w:bookmarkStart w:id="104" w:name="_Toc24255"/>
      <w:r>
        <w:rPr>
          <w:rFonts w:hint="default" w:cs="宋体"/>
          <w:color w:val="auto"/>
          <w:sz w:val="24"/>
          <w:szCs w:val="24"/>
          <w:highlight w:val="none"/>
        </w:rPr>
        <w:t>2.招标文件</w:t>
      </w:r>
      <w:bookmarkEnd w:id="103"/>
      <w:bookmarkEnd w:id="104"/>
    </w:p>
    <w:p w14:paraId="64A69E61">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outlineLvl w:val="2"/>
        <w:rPr>
          <w:rFonts w:hint="default" w:cs="Times New Roman"/>
          <w:color w:val="auto"/>
          <w:sz w:val="24"/>
          <w:szCs w:val="24"/>
          <w:highlight w:val="none"/>
        </w:rPr>
      </w:pPr>
      <w:bookmarkStart w:id="105" w:name="bookmark34"/>
      <w:bookmarkEnd w:id="105"/>
      <w:bookmarkStart w:id="106" w:name="_Toc8664"/>
      <w:bookmarkStart w:id="107" w:name="_Toc2597"/>
      <w:r>
        <w:rPr>
          <w:rFonts w:hint="default" w:cs="Times New Roman"/>
          <w:color w:val="auto"/>
          <w:sz w:val="24"/>
          <w:szCs w:val="24"/>
          <w:highlight w:val="none"/>
        </w:rPr>
        <w:t>2.1 招标文件的组成</w:t>
      </w:r>
      <w:bookmarkEnd w:id="106"/>
      <w:bookmarkEnd w:id="107"/>
    </w:p>
    <w:p w14:paraId="6C0991AF">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本招标文件包括：</w:t>
      </w:r>
    </w:p>
    <w:p w14:paraId="1FD8122F">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（1）招标公告；</w:t>
      </w:r>
    </w:p>
    <w:p w14:paraId="3A863A6F">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（2）投标人须知；</w:t>
      </w:r>
    </w:p>
    <w:p w14:paraId="6EF00577">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（3）评标办法；</w:t>
      </w:r>
    </w:p>
    <w:p w14:paraId="12A22EEC">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（4）合同条款及格式；</w:t>
      </w:r>
    </w:p>
    <w:p w14:paraId="370D3F29">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（5）委托人要求；</w:t>
      </w:r>
    </w:p>
    <w:p w14:paraId="54B8D81E">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（6）投标文件格式；</w:t>
      </w:r>
    </w:p>
    <w:p w14:paraId="5ABC8F0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（7）投标人须知前附表规定的其他资料；</w:t>
      </w:r>
    </w:p>
    <w:p w14:paraId="76C545D4">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根据本章第1.10款、第2.2款和第2.3款对招标文件所作的澄清、修改，构成招标文件的组成部分。</w:t>
      </w:r>
    </w:p>
    <w:p w14:paraId="6B390396">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outlineLvl w:val="2"/>
        <w:rPr>
          <w:rFonts w:hint="default" w:cs="Times New Roman"/>
          <w:color w:val="auto"/>
          <w:sz w:val="24"/>
          <w:szCs w:val="24"/>
          <w:highlight w:val="none"/>
        </w:rPr>
      </w:pPr>
      <w:bookmarkStart w:id="108" w:name="bookmark35"/>
      <w:bookmarkEnd w:id="108"/>
      <w:bookmarkStart w:id="109" w:name="bookmark38"/>
      <w:bookmarkEnd w:id="109"/>
      <w:bookmarkStart w:id="110" w:name="_Toc3209"/>
      <w:bookmarkStart w:id="111" w:name="_Toc8162"/>
      <w:r>
        <w:rPr>
          <w:rFonts w:hint="default" w:cs="Times New Roman"/>
          <w:color w:val="auto"/>
          <w:sz w:val="24"/>
          <w:szCs w:val="24"/>
          <w:highlight w:val="none"/>
        </w:rPr>
        <w:t>2.2  招标文件的</w:t>
      </w:r>
      <w:r>
        <w:rPr>
          <w:rFonts w:hint="default" w:cs="Times New Roman"/>
          <w:color w:val="auto"/>
          <w:sz w:val="24"/>
          <w:szCs w:val="24"/>
          <w:highlight w:val="none"/>
          <w:lang w:eastAsia="zh-CN"/>
        </w:rPr>
        <w:t>答疑</w:t>
      </w:r>
      <w:bookmarkEnd w:id="110"/>
      <w:bookmarkEnd w:id="111"/>
    </w:p>
    <w:p w14:paraId="182295B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2.2.1  投标人应仔细阅读和检查招标文件的全部内容。如有疑问，应按投标人须知前附表规定的时间和形式将提出的问题送达招标人，要求招标人对招标文件予以澄清。</w:t>
      </w:r>
    </w:p>
    <w:p w14:paraId="206C2749">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2.2.2</w:t>
      </w:r>
      <w:r>
        <w:rPr>
          <w:rFonts w:hint="eastAsia" w:cs="Times New Roman"/>
          <w:color w:val="auto"/>
          <w:sz w:val="24"/>
          <w:szCs w:val="24"/>
          <w:highlight w:val="none"/>
          <w:lang w:val="en-US" w:eastAsia="zh-CN"/>
        </w:rPr>
        <w:t xml:space="preserve">  </w:t>
      </w:r>
      <w:r>
        <w:rPr>
          <w:rFonts w:hint="default" w:cs="Times New Roman"/>
          <w:color w:val="auto"/>
          <w:sz w:val="24"/>
          <w:szCs w:val="24"/>
          <w:highlight w:val="none"/>
        </w:rPr>
        <w:t>招标答疑采用网上答疑方式进行。投标人若对招标文件有疑问的，</w:t>
      </w:r>
      <w:r>
        <w:rPr>
          <w:rFonts w:hint="default" w:cs="Times New Roman"/>
          <w:color w:val="auto"/>
          <w:sz w:val="24"/>
          <w:szCs w:val="24"/>
          <w:highlight w:val="none"/>
          <w:lang w:eastAsia="zh-CN"/>
        </w:rPr>
        <w:t>通过</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网站提交，</w:t>
      </w:r>
      <w:r>
        <w:rPr>
          <w:rFonts w:hint="default" w:cs="Times New Roman"/>
          <w:color w:val="auto"/>
          <w:sz w:val="24"/>
          <w:szCs w:val="24"/>
          <w:highlight w:val="none"/>
        </w:rPr>
        <w:t>应按照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网站关于全流程电子化项目的相关指南进行操作</w:t>
      </w:r>
      <w:r>
        <w:rPr>
          <w:rFonts w:hint="default" w:cs="Times New Roman"/>
          <w:color w:val="auto"/>
          <w:sz w:val="24"/>
          <w:szCs w:val="24"/>
          <w:highlight w:val="none"/>
        </w:rPr>
        <w:t>。提</w:t>
      </w:r>
      <w:r>
        <w:rPr>
          <w:rFonts w:hint="default" w:cs="Times New Roman"/>
          <w:color w:val="auto"/>
          <w:sz w:val="24"/>
          <w:szCs w:val="24"/>
          <w:highlight w:val="none"/>
          <w:lang w:eastAsia="zh-CN"/>
        </w:rPr>
        <w:t>问</w:t>
      </w:r>
      <w:r>
        <w:rPr>
          <w:rFonts w:hint="default" w:cs="Times New Roman"/>
          <w:color w:val="auto"/>
          <w:sz w:val="24"/>
          <w:szCs w:val="24"/>
          <w:highlight w:val="none"/>
        </w:rPr>
        <w:t>一律不得署名。</w:t>
      </w:r>
    </w:p>
    <w:p w14:paraId="7BCCDC42">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rPr>
        <w:t>2.2.3  招标答疑会会议纪要将在提交投标文件截止时间 15 日前在</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“项目答疑纪要”专区公开发布。答疑纪要一经在</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发布，视作已发放给所有投标人</w:t>
      </w:r>
      <w:r>
        <w:rPr>
          <w:rFonts w:hint="default" w:cs="Times New Roman"/>
          <w:color w:val="auto"/>
          <w:sz w:val="24"/>
          <w:szCs w:val="24"/>
          <w:highlight w:val="none"/>
          <w:lang w:eastAsia="zh-CN"/>
        </w:rPr>
        <w:t>。</w:t>
      </w:r>
    </w:p>
    <w:p w14:paraId="2EA580FC">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lang w:val="en-US" w:eastAsia="zh-CN"/>
        </w:rPr>
        <w:t xml:space="preserve">2.2.4  </w:t>
      </w:r>
      <w:r>
        <w:rPr>
          <w:rFonts w:hint="default" w:cs="Times New Roman"/>
          <w:color w:val="auto"/>
          <w:sz w:val="24"/>
          <w:szCs w:val="24"/>
          <w:highlight w:val="none"/>
        </w:rPr>
        <w:t>招标答疑</w:t>
      </w:r>
      <w:r>
        <w:rPr>
          <w:rFonts w:hint="default" w:cs="Times New Roman"/>
          <w:color w:val="auto"/>
          <w:sz w:val="24"/>
          <w:szCs w:val="24"/>
          <w:highlight w:val="none"/>
          <w:lang w:eastAsia="zh-CN"/>
        </w:rPr>
        <w:t>会会议</w:t>
      </w:r>
      <w:r>
        <w:rPr>
          <w:rFonts w:hint="default" w:cs="Times New Roman"/>
          <w:color w:val="auto"/>
          <w:sz w:val="24"/>
          <w:szCs w:val="24"/>
          <w:highlight w:val="none"/>
        </w:rPr>
        <w:t>纪要</w:t>
      </w:r>
      <w:r>
        <w:rPr>
          <w:rFonts w:hint="default" w:cs="Times New Roman"/>
          <w:color w:val="auto"/>
          <w:sz w:val="24"/>
          <w:szCs w:val="24"/>
          <w:highlight w:val="none"/>
          <w:lang w:eastAsia="zh-CN"/>
        </w:rPr>
        <w:t>是</w:t>
      </w:r>
      <w:r>
        <w:rPr>
          <w:rFonts w:hint="default" w:cs="Times New Roman"/>
          <w:color w:val="auto"/>
          <w:sz w:val="24"/>
          <w:szCs w:val="24"/>
          <w:highlight w:val="none"/>
        </w:rPr>
        <w:t>招标文件的</w:t>
      </w:r>
      <w:r>
        <w:rPr>
          <w:rFonts w:hint="default" w:cs="Times New Roman"/>
          <w:color w:val="auto"/>
          <w:sz w:val="24"/>
          <w:szCs w:val="24"/>
          <w:highlight w:val="none"/>
          <w:lang w:eastAsia="zh-CN"/>
        </w:rPr>
        <w:t>组成</w:t>
      </w:r>
      <w:r>
        <w:rPr>
          <w:rFonts w:hint="default" w:cs="Times New Roman"/>
          <w:color w:val="auto"/>
          <w:sz w:val="24"/>
          <w:szCs w:val="24"/>
          <w:highlight w:val="none"/>
        </w:rPr>
        <w:t>部分</w:t>
      </w:r>
      <w:r>
        <w:rPr>
          <w:rFonts w:hint="default" w:cs="Times New Roman"/>
          <w:color w:val="auto"/>
          <w:sz w:val="24"/>
          <w:szCs w:val="24"/>
          <w:highlight w:val="none"/>
          <w:lang w:eastAsia="zh-CN"/>
        </w:rPr>
        <w:t>，对投标人起约束作用</w:t>
      </w:r>
      <w:r>
        <w:rPr>
          <w:rFonts w:hint="default" w:cs="Times New Roman"/>
          <w:color w:val="auto"/>
          <w:sz w:val="24"/>
          <w:szCs w:val="24"/>
          <w:highlight w:val="none"/>
        </w:rPr>
        <w:t>。</w:t>
      </w:r>
    </w:p>
    <w:p w14:paraId="65B6E500">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rPr>
        <w:t>2.2.</w:t>
      </w:r>
      <w:r>
        <w:rPr>
          <w:rFonts w:hint="default" w:cs="Times New Roman"/>
          <w:color w:val="auto"/>
          <w:sz w:val="24"/>
          <w:szCs w:val="24"/>
          <w:highlight w:val="none"/>
          <w:lang w:val="en-US" w:eastAsia="zh-CN"/>
        </w:rPr>
        <w:t>5</w:t>
      </w:r>
      <w:r>
        <w:rPr>
          <w:rFonts w:hint="default" w:cs="Times New Roman"/>
          <w:color w:val="auto"/>
          <w:sz w:val="24"/>
          <w:szCs w:val="24"/>
          <w:highlight w:val="none"/>
        </w:rPr>
        <w:t xml:space="preserve">  若招标答疑</w:t>
      </w:r>
      <w:r>
        <w:rPr>
          <w:rFonts w:hint="default" w:cs="Times New Roman"/>
          <w:color w:val="auto"/>
          <w:sz w:val="24"/>
          <w:szCs w:val="24"/>
          <w:highlight w:val="none"/>
          <w:lang w:eastAsia="zh-CN"/>
        </w:rPr>
        <w:t>会会议</w:t>
      </w:r>
      <w:r>
        <w:rPr>
          <w:rFonts w:hint="default" w:cs="Times New Roman"/>
          <w:color w:val="auto"/>
          <w:sz w:val="24"/>
          <w:szCs w:val="24"/>
          <w:highlight w:val="none"/>
        </w:rPr>
        <w:t>纪要与招标文件有矛盾时，以</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最后发布的答疑纪要为准</w:t>
      </w:r>
      <w:r>
        <w:rPr>
          <w:rFonts w:hint="default" w:cs="Times New Roman"/>
          <w:color w:val="auto"/>
          <w:sz w:val="24"/>
          <w:szCs w:val="24"/>
          <w:highlight w:val="none"/>
          <w:lang w:eastAsia="zh-CN"/>
        </w:rPr>
        <w:t>。</w:t>
      </w:r>
    </w:p>
    <w:p w14:paraId="0456674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outlineLvl w:val="2"/>
        <w:rPr>
          <w:rFonts w:hint="default" w:cs="Times New Roman"/>
          <w:color w:val="auto"/>
          <w:sz w:val="24"/>
          <w:szCs w:val="24"/>
          <w:highlight w:val="none"/>
        </w:rPr>
      </w:pPr>
      <w:bookmarkStart w:id="112" w:name="_Toc14195"/>
      <w:bookmarkStart w:id="113" w:name="_Toc15850"/>
      <w:r>
        <w:rPr>
          <w:rFonts w:hint="default" w:cs="Times New Roman"/>
          <w:color w:val="auto"/>
          <w:sz w:val="24"/>
          <w:szCs w:val="24"/>
          <w:highlight w:val="none"/>
        </w:rPr>
        <w:t>2.3  招标文件的</w:t>
      </w:r>
      <w:r>
        <w:rPr>
          <w:rFonts w:hint="default" w:cs="Times New Roman"/>
          <w:color w:val="auto"/>
          <w:sz w:val="24"/>
          <w:szCs w:val="24"/>
          <w:highlight w:val="none"/>
          <w:lang w:eastAsia="zh-CN"/>
        </w:rPr>
        <w:t>澄清与</w:t>
      </w:r>
      <w:r>
        <w:rPr>
          <w:rFonts w:hint="default" w:cs="Times New Roman"/>
          <w:color w:val="auto"/>
          <w:sz w:val="24"/>
          <w:szCs w:val="24"/>
          <w:highlight w:val="none"/>
        </w:rPr>
        <w:t>修改</w:t>
      </w:r>
      <w:bookmarkEnd w:id="112"/>
      <w:bookmarkEnd w:id="113"/>
    </w:p>
    <w:p w14:paraId="7CFDE8D9">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eastAsia="zh-CN"/>
        </w:rPr>
        <w:t xml:space="preserve">2.3.1 </w:t>
      </w:r>
      <w:r>
        <w:rPr>
          <w:rFonts w:hint="default" w:cs="Times New Roman"/>
          <w:color w:val="auto"/>
          <w:sz w:val="24"/>
          <w:szCs w:val="24"/>
          <w:highlight w:val="none"/>
          <w:lang w:val="en-US" w:eastAsia="zh-CN"/>
        </w:rPr>
        <w:t xml:space="preserve"> 招标文件发出后，在提交投标文件截止时间15日前，招标人可对招标文件进行必要的澄清或修改。</w:t>
      </w:r>
    </w:p>
    <w:p w14:paraId="2CC0FEE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 xml:space="preserve">2.3.2  </w:t>
      </w:r>
      <w:r>
        <w:rPr>
          <w:rFonts w:hint="default" w:cs="Times New Roman"/>
          <w:color w:val="auto"/>
          <w:sz w:val="24"/>
          <w:szCs w:val="24"/>
          <w:highlight w:val="none"/>
          <w:lang w:eastAsia="zh-CN"/>
        </w:rPr>
        <w:t>招标文件的澄清或修改将在</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网站“项目答疑纪要”专区公开发布。招标文件的澄清或修改一经在</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网站发布，视作已发放给所有投标人，以</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val="en-US" w:eastAsia="zh-CN"/>
        </w:rPr>
        <w:t>网站发布时间作为送达时间。</w:t>
      </w:r>
    </w:p>
    <w:p w14:paraId="272179C6">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 xml:space="preserve">2.3.3  </w:t>
      </w:r>
      <w:r>
        <w:rPr>
          <w:rFonts w:hint="default" w:cs="Times New Roman"/>
          <w:color w:val="auto"/>
          <w:sz w:val="24"/>
          <w:szCs w:val="24"/>
          <w:highlight w:val="none"/>
        </w:rPr>
        <w:t>招标</w:t>
      </w:r>
      <w:r>
        <w:rPr>
          <w:rFonts w:hint="default" w:cs="Times New Roman"/>
          <w:color w:val="auto"/>
          <w:sz w:val="24"/>
          <w:szCs w:val="24"/>
          <w:highlight w:val="none"/>
          <w:lang w:eastAsia="zh-CN"/>
        </w:rPr>
        <w:t>文件的澄清或修改是</w:t>
      </w:r>
      <w:r>
        <w:rPr>
          <w:rFonts w:hint="default" w:cs="Times New Roman"/>
          <w:color w:val="auto"/>
          <w:sz w:val="24"/>
          <w:szCs w:val="24"/>
          <w:highlight w:val="none"/>
        </w:rPr>
        <w:t>招标文件的</w:t>
      </w:r>
      <w:r>
        <w:rPr>
          <w:rFonts w:hint="default" w:cs="Times New Roman"/>
          <w:color w:val="auto"/>
          <w:sz w:val="24"/>
          <w:szCs w:val="24"/>
          <w:highlight w:val="none"/>
          <w:lang w:eastAsia="zh-CN"/>
        </w:rPr>
        <w:t>组成</w:t>
      </w:r>
      <w:r>
        <w:rPr>
          <w:rFonts w:hint="default" w:cs="Times New Roman"/>
          <w:color w:val="auto"/>
          <w:sz w:val="24"/>
          <w:szCs w:val="24"/>
          <w:highlight w:val="none"/>
        </w:rPr>
        <w:t>部分</w:t>
      </w:r>
      <w:r>
        <w:rPr>
          <w:rFonts w:hint="default" w:cs="Times New Roman"/>
          <w:color w:val="auto"/>
          <w:sz w:val="24"/>
          <w:szCs w:val="24"/>
          <w:highlight w:val="none"/>
          <w:lang w:eastAsia="zh-CN"/>
        </w:rPr>
        <w:t>，对投标人起约束作用</w:t>
      </w:r>
      <w:r>
        <w:rPr>
          <w:rFonts w:hint="default" w:cs="Times New Roman"/>
          <w:color w:val="auto"/>
          <w:sz w:val="24"/>
          <w:szCs w:val="24"/>
          <w:highlight w:val="none"/>
        </w:rPr>
        <w:t>。</w:t>
      </w:r>
    </w:p>
    <w:p w14:paraId="09E1F107">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lang w:eastAsia="zh-CN"/>
        </w:rPr>
        <w:t>2.3.</w:t>
      </w:r>
      <w:r>
        <w:rPr>
          <w:rFonts w:hint="default" w:cs="Times New Roman"/>
          <w:color w:val="auto"/>
          <w:sz w:val="24"/>
          <w:szCs w:val="24"/>
          <w:highlight w:val="none"/>
          <w:lang w:val="en-US" w:eastAsia="zh-CN"/>
        </w:rPr>
        <w:t xml:space="preserve">4 </w:t>
      </w:r>
      <w:r>
        <w:rPr>
          <w:rFonts w:hint="default" w:cs="Times New Roman"/>
          <w:color w:val="auto"/>
          <w:sz w:val="24"/>
          <w:szCs w:val="24"/>
          <w:highlight w:val="none"/>
          <w:lang w:eastAsia="zh-CN"/>
        </w:rPr>
        <w:t xml:space="preserve"> 招标文件的澄清或修</w:t>
      </w:r>
      <w:r>
        <w:rPr>
          <w:rFonts w:hint="default" w:cs="Times New Roman"/>
          <w:color w:val="auto"/>
          <w:sz w:val="24"/>
          <w:szCs w:val="24"/>
          <w:highlight w:val="none"/>
        </w:rPr>
        <w:t>改均以</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发布的内容为准。当招标文件的澄清、修改</w:t>
      </w:r>
      <w:r>
        <w:rPr>
          <w:rFonts w:hint="default" w:cs="Times New Roman"/>
          <w:color w:val="auto"/>
          <w:sz w:val="24"/>
          <w:szCs w:val="24"/>
          <w:highlight w:val="none"/>
          <w:lang w:eastAsia="zh-CN"/>
        </w:rPr>
        <w:t>、补充等</w:t>
      </w:r>
      <w:r>
        <w:rPr>
          <w:rFonts w:hint="default" w:cs="Times New Roman"/>
          <w:color w:val="auto"/>
          <w:sz w:val="24"/>
          <w:szCs w:val="24"/>
          <w:highlight w:val="none"/>
        </w:rPr>
        <w:t>在同一内容的表述不一致时，以</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最后发布的内容为准。</w:t>
      </w:r>
    </w:p>
    <w:p w14:paraId="1B236141">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val="en-US" w:eastAsia="zh-CN"/>
        </w:rPr>
        <w:t xml:space="preserve">2.3.5  </w:t>
      </w:r>
      <w:r>
        <w:rPr>
          <w:rFonts w:hint="default" w:cs="Times New Roman"/>
          <w:color w:val="auto"/>
          <w:sz w:val="24"/>
          <w:szCs w:val="24"/>
          <w:highlight w:val="none"/>
          <w:lang w:eastAsia="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rFonts w:hint="default" w:cs="Times New Roman"/>
          <w:color w:val="auto"/>
          <w:spacing w:val="-11"/>
          <w:sz w:val="24"/>
          <w:szCs w:val="24"/>
          <w:highlight w:val="none"/>
          <w:lang w:eastAsia="zh-CN"/>
        </w:rPr>
        <w:t>，即表示投标时间不延长。</w:t>
      </w:r>
    </w:p>
    <w:p w14:paraId="3285ECD0">
      <w:pPr>
        <w:pStyle w:val="4"/>
        <w:outlineLvl w:val="1"/>
        <w:rPr>
          <w:rFonts w:hint="default" w:cs="宋体"/>
          <w:color w:val="auto"/>
          <w:sz w:val="24"/>
          <w:szCs w:val="24"/>
          <w:highlight w:val="none"/>
        </w:rPr>
      </w:pPr>
      <w:bookmarkStart w:id="114" w:name="_Toc17573"/>
      <w:bookmarkStart w:id="115" w:name="_Toc21710"/>
      <w:r>
        <w:rPr>
          <w:rFonts w:hint="default" w:cs="宋体"/>
          <w:color w:val="auto"/>
          <w:sz w:val="24"/>
          <w:szCs w:val="24"/>
          <w:highlight w:val="none"/>
        </w:rPr>
        <w:t>3.投标文件</w:t>
      </w:r>
      <w:bookmarkEnd w:id="114"/>
      <w:bookmarkEnd w:id="115"/>
    </w:p>
    <w:p w14:paraId="65216249">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116" w:name="bookmark39"/>
      <w:bookmarkEnd w:id="116"/>
      <w:bookmarkStart w:id="117" w:name="_Toc20731"/>
      <w:bookmarkStart w:id="118" w:name="_Toc18057"/>
      <w:r>
        <w:rPr>
          <w:rFonts w:hint="default" w:cs="宋体"/>
          <w:color w:val="auto"/>
          <w:sz w:val="24"/>
          <w:szCs w:val="24"/>
          <w:highlight w:val="none"/>
        </w:rPr>
        <w:t>3.1 投标文件的组成</w:t>
      </w:r>
      <w:bookmarkEnd w:id="117"/>
      <w:bookmarkEnd w:id="118"/>
    </w:p>
    <w:p w14:paraId="37990BC2">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3.1.1 投标文件应包括下列内容：</w:t>
      </w:r>
    </w:p>
    <w:p w14:paraId="3CA5B964">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（1）投标函及投标函附录；</w:t>
      </w:r>
    </w:p>
    <w:p w14:paraId="6A85DEC3">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（2）法定代表人身份证明或授权委托书；</w:t>
      </w:r>
    </w:p>
    <w:p w14:paraId="0D2BB77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（3）联合体协议书；</w:t>
      </w:r>
    </w:p>
    <w:p w14:paraId="0AC795FE">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（4）投标保证金；</w:t>
      </w:r>
    </w:p>
    <w:p w14:paraId="59A0F3DA">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（5）监理报酬清单；</w:t>
      </w:r>
    </w:p>
    <w:p w14:paraId="64B88BB1">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（6）资格审查资料；</w:t>
      </w:r>
    </w:p>
    <w:p w14:paraId="65AB2073">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（7）监理大纲；</w:t>
      </w:r>
    </w:p>
    <w:p w14:paraId="22DBBBAC">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（8）投标人须知前附表规定的其他资料。</w:t>
      </w:r>
    </w:p>
    <w:p w14:paraId="2DF819EA">
      <w:pPr>
        <w:pStyle w:val="11"/>
        <w:tabs>
          <w:tab w:val="left" w:pos="1343"/>
          <w:tab w:val="left" w:pos="2697"/>
          <w:tab w:val="left" w:pos="3264"/>
          <w:tab w:val="left" w:pos="4896"/>
          <w:tab w:val="left" w:pos="6005"/>
          <w:tab w:val="left" w:pos="7085"/>
          <w:tab w:val="left" w:pos="7498"/>
        </w:tabs>
        <w:kinsoku w:val="0"/>
        <w:overflowPunct w:val="0"/>
        <w:spacing w:line="351" w:lineRule="auto"/>
        <w:ind w:left="0" w:leftChars="0" w:firstLine="518" w:firstLineChars="216"/>
        <w:jc w:val="both"/>
        <w:rPr>
          <w:rFonts w:hint="default" w:cs="Times New Roman"/>
          <w:color w:val="auto"/>
          <w:sz w:val="24"/>
          <w:szCs w:val="24"/>
          <w:highlight w:val="none"/>
        </w:rPr>
      </w:pPr>
      <w:r>
        <w:rPr>
          <w:rFonts w:hint="default" w:cs="Times New Roman"/>
          <w:color w:val="auto"/>
          <w:sz w:val="24"/>
          <w:szCs w:val="24"/>
          <w:highlight w:val="none"/>
        </w:rPr>
        <w:t>投标人在评标过程中作出的符合法律法规和招标文件规定的澄清确认，构成投标文件的组成部分。</w:t>
      </w:r>
    </w:p>
    <w:p w14:paraId="50EE0C3A">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3.1.2 投标人须知前附表规定不接受联合体投标的，或投标人没有组成联合体的，投标文件不包括本章第 3.1.1（3）目所指的联合体协议书。</w:t>
      </w:r>
    </w:p>
    <w:p w14:paraId="3FEFF063">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3.1.3 投标人须知前附表未要求提交投标保证金的，投标文件不包括本章第 3.1.1（4）目所指的投标保证金。</w:t>
      </w:r>
    </w:p>
    <w:p w14:paraId="49569409">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119" w:name="bookmark40"/>
      <w:bookmarkEnd w:id="119"/>
      <w:bookmarkStart w:id="120" w:name="_Toc5145"/>
      <w:bookmarkStart w:id="121" w:name="_Toc5346"/>
      <w:r>
        <w:rPr>
          <w:rFonts w:hint="default" w:cs="宋体"/>
          <w:color w:val="auto"/>
          <w:sz w:val="24"/>
          <w:szCs w:val="24"/>
          <w:highlight w:val="none"/>
        </w:rPr>
        <w:t>3.2 投标报价</w:t>
      </w:r>
      <w:bookmarkEnd w:id="120"/>
      <w:bookmarkEnd w:id="121"/>
    </w:p>
    <w:p w14:paraId="7C656A49">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6C221B9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3.2.2 投标人应充分了解该项目的总体情况以及影响投标报价的其他要素。</w:t>
      </w:r>
    </w:p>
    <w:p w14:paraId="26816BB4">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3.2.3 本项目的报价方式见投标人须知前附表。投标人在投标截止时间前修改投标函中的投标报价总额，应同时修改投标文件“监理报酬清单”中的相应报价。此修改须符合本章第4.3款的有关要求。</w:t>
      </w:r>
    </w:p>
    <w:p w14:paraId="4EFA3632">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3.2.4 招标人设有最高投标限价的，投标人的投标报价不得超过最高投标限价，最高投标限价在投标人须知前附表中载明。</w:t>
      </w:r>
    </w:p>
    <w:p w14:paraId="20CC9747">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3.2.5 投标报价的其他要求见投标人须知前附表。</w:t>
      </w:r>
    </w:p>
    <w:p w14:paraId="49D81192">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22" w:name="bookmark41"/>
      <w:bookmarkEnd w:id="122"/>
      <w:bookmarkStart w:id="123" w:name="_Toc30013"/>
      <w:bookmarkStart w:id="124" w:name="_Toc31866"/>
      <w:r>
        <w:rPr>
          <w:rFonts w:hint="default" w:cs="宋体"/>
          <w:color w:val="auto"/>
          <w:sz w:val="24"/>
          <w:szCs w:val="24"/>
          <w:highlight w:val="none"/>
        </w:rPr>
        <w:t>3.3 投标有效期</w:t>
      </w:r>
      <w:bookmarkEnd w:id="123"/>
      <w:bookmarkEnd w:id="124"/>
    </w:p>
    <w:p w14:paraId="024EDF40">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3.3.1 除投标人须知前附表另有规定外，投标有效期为 90 天。</w:t>
      </w:r>
    </w:p>
    <w:p w14:paraId="0F1C226F">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3.3.2 在投标有效期内，投标人撤销投标文件的，应承担招标文件和法律规定的责任。</w:t>
      </w:r>
    </w:p>
    <w:p w14:paraId="1EDA7D07">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0CA0A50A">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25" w:name="bookmark42"/>
      <w:bookmarkEnd w:id="125"/>
      <w:bookmarkStart w:id="126" w:name="_Toc7684"/>
      <w:bookmarkStart w:id="127" w:name="_Toc8630"/>
      <w:r>
        <w:rPr>
          <w:rFonts w:hint="default" w:cs="宋体"/>
          <w:color w:val="auto"/>
          <w:sz w:val="24"/>
          <w:szCs w:val="24"/>
          <w:highlight w:val="none"/>
        </w:rPr>
        <w:t>3.4  投标保证金</w:t>
      </w:r>
      <w:bookmarkEnd w:id="126"/>
      <w:bookmarkEnd w:id="127"/>
    </w:p>
    <w:p w14:paraId="43622407">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rPr>
        <w:t>3.4.1 投标人应按投标须知前附表规定的金额和时间递交投标保证金。招标人应当允许投标人自主选择现金、银行保函、保证保险、专业工程担保公司担保等方式缴纳投标保证金。</w:t>
      </w:r>
      <w:r>
        <w:rPr>
          <w:rFonts w:hint="default" w:cs="Times New Roman"/>
          <w:color w:val="auto"/>
          <w:sz w:val="24"/>
          <w:szCs w:val="24"/>
          <w:highlight w:val="none"/>
          <w:lang w:eastAsia="zh-CN"/>
        </w:rPr>
        <w:t>采用现金或者支票形式提交的，投标保证金须从投标人的银行基本账户转出。</w:t>
      </w:r>
      <w:r>
        <w:rPr>
          <w:rFonts w:hint="default" w:cs="Times New Roman"/>
          <w:color w:val="auto"/>
          <w:sz w:val="24"/>
          <w:szCs w:val="24"/>
          <w:highlight w:val="none"/>
        </w:rPr>
        <w:t>联合体投标的，其投标</w:t>
      </w:r>
      <w:r>
        <w:rPr>
          <w:rFonts w:hint="default" w:cs="Times New Roman"/>
          <w:color w:val="auto"/>
          <w:sz w:val="24"/>
          <w:szCs w:val="24"/>
          <w:highlight w:val="none"/>
          <w:lang w:eastAsia="zh-CN"/>
        </w:rPr>
        <w:t>保证金</w:t>
      </w:r>
      <w:r>
        <w:rPr>
          <w:rFonts w:hint="default" w:cs="Times New Roman"/>
          <w:color w:val="auto"/>
          <w:sz w:val="24"/>
          <w:szCs w:val="24"/>
          <w:highlight w:val="none"/>
        </w:rPr>
        <w:t>可以由</w:t>
      </w:r>
      <w:r>
        <w:rPr>
          <w:rFonts w:hint="default" w:cs="Times New Roman"/>
          <w:color w:val="auto"/>
          <w:sz w:val="24"/>
          <w:szCs w:val="24"/>
          <w:highlight w:val="none"/>
          <w:lang w:eastAsia="zh-CN"/>
        </w:rPr>
        <w:t>主办方</w:t>
      </w:r>
      <w:r>
        <w:rPr>
          <w:rFonts w:hint="default" w:cs="Times New Roman"/>
          <w:color w:val="auto"/>
          <w:sz w:val="24"/>
          <w:szCs w:val="24"/>
          <w:highlight w:val="none"/>
        </w:rPr>
        <w:t>递交，并应符合投标人须知前附表的规定</w:t>
      </w:r>
      <w:r>
        <w:rPr>
          <w:rFonts w:hint="default" w:cs="Times New Roman"/>
          <w:color w:val="auto"/>
          <w:sz w:val="24"/>
          <w:szCs w:val="24"/>
          <w:highlight w:val="none"/>
          <w:lang w:eastAsia="zh-CN"/>
        </w:rPr>
        <w:t>。</w:t>
      </w:r>
    </w:p>
    <w:p w14:paraId="1A20577F">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 xml:space="preserve">3.4.2 </w:t>
      </w:r>
      <w:r>
        <w:rPr>
          <w:rFonts w:hint="default" w:cs="Times New Roman"/>
          <w:color w:val="auto"/>
          <w:sz w:val="24"/>
          <w:szCs w:val="24"/>
          <w:highlight w:val="none"/>
          <w:lang w:eastAsia="zh-CN"/>
        </w:rPr>
        <w:t>开标时投标人没有按</w:t>
      </w:r>
      <w:r>
        <w:rPr>
          <w:rFonts w:hint="default" w:cs="Times New Roman"/>
          <w:color w:val="auto"/>
          <w:sz w:val="24"/>
          <w:szCs w:val="24"/>
          <w:highlight w:val="none"/>
        </w:rPr>
        <w:t>要求提交投标保证金的，</w:t>
      </w:r>
      <w:r>
        <w:rPr>
          <w:rFonts w:hint="default" w:cs="Times New Roman"/>
          <w:color w:val="auto"/>
          <w:sz w:val="24"/>
          <w:szCs w:val="24"/>
          <w:highlight w:val="none"/>
          <w:lang w:eastAsia="zh-CN"/>
        </w:rPr>
        <w:t>其投标文件将被否决</w:t>
      </w:r>
      <w:r>
        <w:rPr>
          <w:rFonts w:hint="default" w:cs="Times New Roman"/>
          <w:color w:val="auto"/>
          <w:sz w:val="24"/>
          <w:szCs w:val="24"/>
          <w:highlight w:val="none"/>
        </w:rPr>
        <w:t>。</w:t>
      </w:r>
    </w:p>
    <w:p w14:paraId="1E3A7F4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3.4.3 中标候选人以外的投标人的投标保证金将尽快退还，最迟不超过中标通知书发出之日起五日内</w:t>
      </w:r>
      <w:r>
        <w:rPr>
          <w:rFonts w:hint="default" w:cs="Times New Roman"/>
          <w:color w:val="auto"/>
          <w:sz w:val="24"/>
          <w:szCs w:val="24"/>
          <w:highlight w:val="none"/>
          <w:lang w:eastAsia="zh-CN"/>
        </w:rPr>
        <w:t>；</w:t>
      </w:r>
      <w:r>
        <w:rPr>
          <w:rFonts w:hint="default" w:cs="Times New Roman"/>
          <w:color w:val="auto"/>
          <w:sz w:val="24"/>
          <w:szCs w:val="24"/>
          <w:highlight w:val="none"/>
        </w:rPr>
        <w:t>中标人和其他中标候选人的投标保证金，在书面合同订立之日起五日内予以退还。</w:t>
      </w:r>
    </w:p>
    <w:p w14:paraId="29805BA5">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3.4.4 有下列情形之一的，投标保证金将不予退还：</w:t>
      </w:r>
    </w:p>
    <w:p w14:paraId="7C3BB5DE">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1</w:t>
      </w:r>
      <w:r>
        <w:rPr>
          <w:rFonts w:hint="default" w:cs="Times New Roman"/>
          <w:color w:val="auto"/>
          <w:sz w:val="24"/>
          <w:szCs w:val="24"/>
          <w:highlight w:val="none"/>
        </w:rPr>
        <w:t>)</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投标人在规定的投标有效期内撤</w:t>
      </w:r>
      <w:r>
        <w:rPr>
          <w:rFonts w:hint="default" w:cs="Times New Roman"/>
          <w:color w:val="auto"/>
          <w:sz w:val="24"/>
          <w:szCs w:val="24"/>
          <w:highlight w:val="none"/>
          <w:lang w:eastAsia="zh-CN"/>
        </w:rPr>
        <w:t>销</w:t>
      </w:r>
      <w:r>
        <w:rPr>
          <w:rFonts w:hint="default" w:cs="Times New Roman"/>
          <w:color w:val="auto"/>
          <w:sz w:val="24"/>
          <w:szCs w:val="24"/>
          <w:highlight w:val="none"/>
        </w:rPr>
        <w:t>其投标文件；</w:t>
      </w:r>
    </w:p>
    <w:p w14:paraId="6048DEBA">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rPr>
        <w:t>(</w:t>
      </w:r>
      <w:r>
        <w:rPr>
          <w:rFonts w:hint="eastAsia" w:cs="Times New Roman"/>
          <w:color w:val="auto"/>
          <w:sz w:val="24"/>
          <w:szCs w:val="24"/>
          <w:highlight w:val="none"/>
          <w:lang w:val="en-US" w:eastAsia="zh-CN"/>
        </w:rPr>
        <w:t>2</w:t>
      </w:r>
      <w:r>
        <w:rPr>
          <w:rFonts w:hint="default" w:cs="Times New Roman"/>
          <w:color w:val="auto"/>
          <w:sz w:val="24"/>
          <w:szCs w:val="24"/>
          <w:highlight w:val="none"/>
        </w:rPr>
        <w:t>)</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中标人在收到中标通知书后，无正当理由不与招标人订立合同，在签订合同时向招标人提出附加条件，或者不按照招标文件要求提交履约保证金</w:t>
      </w:r>
      <w:r>
        <w:rPr>
          <w:rFonts w:hint="default" w:cs="Times New Roman"/>
          <w:color w:val="auto"/>
          <w:sz w:val="24"/>
          <w:szCs w:val="24"/>
          <w:highlight w:val="none"/>
          <w:lang w:eastAsia="zh-CN"/>
        </w:rPr>
        <w:t>。</w:t>
      </w:r>
    </w:p>
    <w:p w14:paraId="1A16A7F6">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28" w:name="bookmark43"/>
      <w:bookmarkEnd w:id="128"/>
      <w:bookmarkStart w:id="129" w:name="bookmark44"/>
      <w:bookmarkEnd w:id="129"/>
      <w:bookmarkStart w:id="130" w:name="_Toc7177"/>
      <w:bookmarkStart w:id="131" w:name="_Toc25128"/>
      <w:r>
        <w:rPr>
          <w:rFonts w:hint="default" w:cs="宋体"/>
          <w:color w:val="auto"/>
          <w:sz w:val="24"/>
          <w:szCs w:val="24"/>
          <w:highlight w:val="none"/>
        </w:rPr>
        <w:t>3.5 资格审查资料</w:t>
      </w:r>
      <w:bookmarkEnd w:id="130"/>
      <w:bookmarkEnd w:id="131"/>
    </w:p>
    <w:p w14:paraId="58174B7D">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除投标人须知前附表另有规定外，投标人应按下列规定提供资格审查资料，以证明其满足本章第 1.4 款规定的资质、财务、业绩、信誉等要求。</w:t>
      </w:r>
    </w:p>
    <w:p w14:paraId="7B22110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3.5.1 “投标人基本情况表”应附投标人营业执照、投标人监理资质证书副本等材料的</w:t>
      </w:r>
      <w:r>
        <w:rPr>
          <w:rFonts w:hint="default" w:cs="Times New Roman"/>
          <w:color w:val="auto"/>
          <w:sz w:val="24"/>
          <w:szCs w:val="24"/>
          <w:highlight w:val="none"/>
          <w:lang w:eastAsia="zh-CN"/>
        </w:rPr>
        <w:t>扫描件</w:t>
      </w:r>
      <w:r>
        <w:rPr>
          <w:rFonts w:hint="default" w:cs="Times New Roman"/>
          <w:color w:val="auto"/>
          <w:sz w:val="24"/>
          <w:szCs w:val="24"/>
          <w:highlight w:val="none"/>
        </w:rPr>
        <w:t>。</w:t>
      </w:r>
    </w:p>
    <w:p w14:paraId="14C46050">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3.5.</w:t>
      </w:r>
      <w:r>
        <w:rPr>
          <w:rFonts w:hint="default" w:cs="Times New Roman"/>
          <w:color w:val="auto"/>
          <w:sz w:val="24"/>
          <w:szCs w:val="24"/>
          <w:highlight w:val="none"/>
          <w:lang w:val="en-US" w:eastAsia="zh-CN"/>
        </w:rPr>
        <w:t>2</w:t>
      </w:r>
      <w:r>
        <w:rPr>
          <w:rFonts w:hint="default" w:cs="Times New Roman"/>
          <w:color w:val="auto"/>
          <w:sz w:val="24"/>
          <w:szCs w:val="24"/>
          <w:highlight w:val="none"/>
        </w:rPr>
        <w:t xml:space="preserve"> “近年完成的类似监理项目情况表”应附中标通知书和（或）合同协议书、委托人出具的证明文件；具体时间要求见投标人须知前附表，每张表格只填写一个项目，并标明序号。</w:t>
      </w:r>
    </w:p>
    <w:p w14:paraId="454E301F">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3.5.</w:t>
      </w:r>
      <w:r>
        <w:rPr>
          <w:rFonts w:hint="default" w:cs="Times New Roman"/>
          <w:color w:val="auto"/>
          <w:sz w:val="24"/>
          <w:szCs w:val="24"/>
          <w:highlight w:val="none"/>
          <w:lang w:val="en-US" w:eastAsia="zh-CN"/>
        </w:rPr>
        <w:t>3</w:t>
      </w:r>
      <w:r>
        <w:rPr>
          <w:rFonts w:hint="default" w:cs="Times New Roman"/>
          <w:color w:val="auto"/>
          <w:sz w:val="24"/>
          <w:szCs w:val="24"/>
          <w:highlight w:val="none"/>
        </w:rPr>
        <w:t xml:space="preserve">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default" w:cs="Times New Roman"/>
          <w:color w:val="auto"/>
          <w:sz w:val="24"/>
          <w:szCs w:val="24"/>
          <w:highlight w:val="none"/>
          <w:lang w:eastAsia="zh-CN"/>
        </w:rPr>
        <w:t>（若有）</w:t>
      </w:r>
      <w:r>
        <w:rPr>
          <w:rFonts w:hint="default" w:cs="Times New Roman"/>
          <w:color w:val="auto"/>
          <w:sz w:val="24"/>
          <w:szCs w:val="24"/>
          <w:highlight w:val="none"/>
        </w:rPr>
        <w:t>；其他主要人员应附身份证、学历证、职称证、有关证书和社保缴费证明</w:t>
      </w:r>
      <w:r>
        <w:rPr>
          <w:rFonts w:hint="default" w:cs="Times New Roman"/>
          <w:color w:val="auto"/>
          <w:sz w:val="24"/>
          <w:szCs w:val="24"/>
          <w:highlight w:val="none"/>
          <w:lang w:eastAsia="zh-CN"/>
        </w:rPr>
        <w:t>（若有）</w:t>
      </w:r>
      <w:r>
        <w:rPr>
          <w:rFonts w:hint="default" w:cs="Times New Roman"/>
          <w:color w:val="auto"/>
          <w:sz w:val="24"/>
          <w:szCs w:val="24"/>
          <w:highlight w:val="none"/>
        </w:rPr>
        <w:t>。</w:t>
      </w:r>
      <w:r>
        <w:rPr>
          <w:rFonts w:hint="eastAsia" w:cs="Times New Roman"/>
          <w:color w:val="auto"/>
          <w:sz w:val="24"/>
          <w:szCs w:val="24"/>
          <w:highlight w:val="none"/>
          <w:lang w:eastAsia="zh-CN"/>
        </w:rPr>
        <w:t>（注：以上人员社保要求：具有离投标截止时间最近</w:t>
      </w:r>
      <w:r>
        <w:rPr>
          <w:rFonts w:hint="eastAsia" w:cs="Times New Roman"/>
          <w:color w:val="auto"/>
          <w:sz w:val="24"/>
          <w:szCs w:val="24"/>
          <w:highlight w:val="none"/>
          <w:lang w:val="en-US" w:eastAsia="zh-CN"/>
        </w:rPr>
        <w:t>的至少1</w:t>
      </w:r>
      <w:r>
        <w:rPr>
          <w:rFonts w:hint="eastAsia" w:cs="Times New Roman"/>
          <w:color w:val="auto"/>
          <w:sz w:val="24"/>
          <w:szCs w:val="24"/>
          <w:highlight w:val="none"/>
          <w:lang w:eastAsia="zh-CN"/>
        </w:rPr>
        <w:t>个月在本单位缴纳的社保证明文件）</w:t>
      </w:r>
    </w:p>
    <w:p w14:paraId="5AA9D312">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3.5.</w:t>
      </w:r>
      <w:r>
        <w:rPr>
          <w:rFonts w:hint="default" w:cs="Times New Roman"/>
          <w:color w:val="auto"/>
          <w:sz w:val="24"/>
          <w:szCs w:val="24"/>
          <w:highlight w:val="none"/>
          <w:lang w:val="en-US" w:eastAsia="zh-CN"/>
        </w:rPr>
        <w:t>4</w:t>
      </w:r>
      <w:r>
        <w:rPr>
          <w:rFonts w:hint="default" w:cs="Times New Roman"/>
          <w:color w:val="auto"/>
          <w:sz w:val="24"/>
          <w:szCs w:val="24"/>
          <w:highlight w:val="none"/>
        </w:rPr>
        <w:t xml:space="preserve"> 投标人须知前附表规定接受联合体投标的，本章第3.5.1 项至第3.5.</w:t>
      </w:r>
      <w:r>
        <w:rPr>
          <w:rFonts w:hint="default" w:cs="Times New Roman"/>
          <w:color w:val="auto"/>
          <w:sz w:val="24"/>
          <w:szCs w:val="24"/>
          <w:highlight w:val="none"/>
          <w:lang w:val="en-US" w:eastAsia="zh-CN"/>
        </w:rPr>
        <w:t>3</w:t>
      </w:r>
      <w:r>
        <w:rPr>
          <w:rFonts w:hint="default" w:cs="Times New Roman"/>
          <w:color w:val="auto"/>
          <w:sz w:val="24"/>
          <w:szCs w:val="24"/>
          <w:highlight w:val="none"/>
        </w:rPr>
        <w:t>项规定的表格和资料应包括联合体各方相关情况。</w:t>
      </w:r>
    </w:p>
    <w:p w14:paraId="0A880D2C">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132" w:name="bookmark45"/>
      <w:bookmarkEnd w:id="132"/>
      <w:bookmarkStart w:id="133" w:name="_Toc25118"/>
      <w:bookmarkStart w:id="134" w:name="_Toc977"/>
      <w:r>
        <w:rPr>
          <w:rFonts w:hint="default" w:cs="宋体"/>
          <w:color w:val="auto"/>
          <w:sz w:val="24"/>
          <w:szCs w:val="24"/>
          <w:highlight w:val="none"/>
        </w:rPr>
        <w:t>3.6 备选投标方案</w:t>
      </w:r>
      <w:bookmarkEnd w:id="133"/>
      <w:bookmarkEnd w:id="134"/>
    </w:p>
    <w:p w14:paraId="212B4D12">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3.6.1 除投标人须知前附表规定允许外，投标人不得递交备选投标方案，否则其投标将被否决。</w:t>
      </w:r>
    </w:p>
    <w:p w14:paraId="7F74472C">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7B95982">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3.6.3 投标人提供两个或两个以上投标报价，或者在投标文件中提供一个报价，但同时提供两个或两个以上监理方案的，视为提供备选方案。</w:t>
      </w:r>
    </w:p>
    <w:p w14:paraId="02604C2B">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35" w:name="bookmark46"/>
      <w:bookmarkEnd w:id="135"/>
      <w:bookmarkStart w:id="136" w:name="_Toc23436"/>
      <w:bookmarkStart w:id="137" w:name="_Toc5084"/>
      <w:r>
        <w:rPr>
          <w:rFonts w:hint="default" w:cs="宋体"/>
          <w:color w:val="auto"/>
          <w:sz w:val="24"/>
          <w:szCs w:val="24"/>
          <w:highlight w:val="none"/>
        </w:rPr>
        <w:t>3.7 投标文件的编制</w:t>
      </w:r>
      <w:bookmarkEnd w:id="136"/>
      <w:bookmarkEnd w:id="137"/>
    </w:p>
    <w:p w14:paraId="435DF621">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3.7.1</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 xml:space="preserve"> 投标文件应按第六章“投标文件格式”进行编写， 如有必要，可以增加附页， 作为投标文件的组成部分。其中，投标函附录在满足招标文件实质性要求的基础上，可以提出比招标文件要求更有利于招标人的承诺。</w:t>
      </w:r>
    </w:p>
    <w:p w14:paraId="37DFA280">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3.7.2  投标文件应当对招标文件有关监理服务期限、投标有效期、委托人要求、招标范围等实质性内容作出响应。</w:t>
      </w:r>
    </w:p>
    <w:p w14:paraId="684D4B07">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w:t>
      </w:r>
      <w:r>
        <w:rPr>
          <w:rFonts w:hint="default" w:cs="Times New Roman"/>
          <w:color w:val="auto"/>
          <w:sz w:val="24"/>
          <w:szCs w:val="24"/>
          <w:highlight w:val="none"/>
          <w:lang w:val="en-US" w:eastAsia="zh-CN"/>
        </w:rPr>
        <w:t>7</w:t>
      </w:r>
      <w:r>
        <w:rPr>
          <w:rFonts w:hint="default" w:cs="Times New Roman"/>
          <w:color w:val="auto"/>
          <w:sz w:val="24"/>
          <w:szCs w:val="24"/>
          <w:highlight w:val="none"/>
        </w:rPr>
        <w:t>.</w:t>
      </w:r>
      <w:r>
        <w:rPr>
          <w:rFonts w:hint="default" w:cs="Times New Roman"/>
          <w:color w:val="auto"/>
          <w:sz w:val="24"/>
          <w:szCs w:val="24"/>
          <w:highlight w:val="none"/>
          <w:lang w:val="en-US" w:eastAsia="zh-CN"/>
        </w:rPr>
        <w:t xml:space="preserve">3  </w:t>
      </w:r>
      <w:r>
        <w:rPr>
          <w:rFonts w:hint="default" w:cs="Times New Roman"/>
          <w:color w:val="auto"/>
          <w:sz w:val="24"/>
          <w:szCs w:val="24"/>
          <w:highlight w:val="none"/>
        </w:rPr>
        <w:t>投标文件全部采用电子文档，投标文件所附证书证件均为原件扫描件</w:t>
      </w:r>
      <w:r>
        <w:rPr>
          <w:rFonts w:hint="default" w:cs="Times New Roman"/>
          <w:color w:val="auto"/>
          <w:sz w:val="24"/>
          <w:szCs w:val="24"/>
          <w:highlight w:val="none"/>
          <w:lang w:eastAsia="zh-CN"/>
        </w:rPr>
        <w:t>或电子证书</w:t>
      </w:r>
      <w:r>
        <w:rPr>
          <w:rFonts w:hint="default" w:cs="Times New Roman"/>
          <w:color w:val="auto"/>
          <w:sz w:val="24"/>
          <w:szCs w:val="24"/>
          <w:highlight w:val="none"/>
        </w:rPr>
        <w:t>，并采用单位数字证书，按招标文件要求在相应位置加盖电子印章。投标文件中需个人签字或盖章的，应加盖个人电子印章或在线下完成后扫描上传</w:t>
      </w:r>
      <w:r>
        <w:rPr>
          <w:rFonts w:hint="eastAsia"/>
          <w:color w:val="auto"/>
          <w:kern w:val="2"/>
          <w:sz w:val="24"/>
          <w:szCs w:val="24"/>
          <w:highlight w:val="none"/>
          <w:lang w:val="en-US" w:eastAsia="zh-CN"/>
        </w:rPr>
        <w:t>（</w:t>
      </w:r>
      <w:r>
        <w:rPr>
          <w:rFonts w:hint="default" w:ascii="Calibri" w:hAnsi="Calibri" w:eastAsia="宋体" w:cs="Times New Roman"/>
          <w:color w:val="auto"/>
          <w:kern w:val="2"/>
          <w:sz w:val="24"/>
          <w:szCs w:val="24"/>
          <w:highlight w:val="none"/>
          <w:lang w:val="en-US" w:eastAsia="zh-CN" w:bidi="ar-SA"/>
        </w:rPr>
        <w:t>可靠的电子签名与手写签名或者盖章具有同等的法律效力</w:t>
      </w:r>
      <w:r>
        <w:rPr>
          <w:rFonts w:hint="eastAsia"/>
          <w:color w:val="auto"/>
          <w:kern w:val="2"/>
          <w:sz w:val="24"/>
          <w:szCs w:val="24"/>
          <w:highlight w:val="none"/>
          <w:lang w:val="en-US" w:eastAsia="zh-CN"/>
        </w:rPr>
        <w:t>）</w:t>
      </w:r>
      <w:r>
        <w:rPr>
          <w:rFonts w:hint="default" w:cs="Times New Roman"/>
          <w:color w:val="auto"/>
          <w:sz w:val="24"/>
          <w:szCs w:val="24"/>
          <w:highlight w:val="none"/>
        </w:rPr>
        <w:t>。按照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网站关于全流程电子化项目的相关指南进行操作</w:t>
      </w:r>
      <w:r>
        <w:rPr>
          <w:rFonts w:hint="default" w:cs="Times New Roman"/>
          <w:color w:val="auto"/>
          <w:sz w:val="24"/>
          <w:szCs w:val="24"/>
          <w:highlight w:val="none"/>
        </w:rPr>
        <w:t>。</w:t>
      </w:r>
    </w:p>
    <w:p w14:paraId="755A1070">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w:t>
      </w:r>
      <w:r>
        <w:rPr>
          <w:rFonts w:hint="default" w:cs="Times New Roman"/>
          <w:color w:val="auto"/>
          <w:sz w:val="24"/>
          <w:szCs w:val="24"/>
          <w:highlight w:val="none"/>
          <w:lang w:val="en-US" w:eastAsia="zh-CN"/>
        </w:rPr>
        <w:t>7</w:t>
      </w:r>
      <w:r>
        <w:rPr>
          <w:rFonts w:hint="default" w:cs="Times New Roman"/>
          <w:color w:val="auto"/>
          <w:sz w:val="24"/>
          <w:szCs w:val="24"/>
          <w:highlight w:val="none"/>
        </w:rPr>
        <w:t>.</w:t>
      </w:r>
      <w:r>
        <w:rPr>
          <w:rFonts w:hint="default" w:cs="Times New Roman"/>
          <w:color w:val="auto"/>
          <w:sz w:val="24"/>
          <w:szCs w:val="24"/>
          <w:highlight w:val="none"/>
          <w:lang w:val="en-US" w:eastAsia="zh-CN"/>
        </w:rPr>
        <w:t xml:space="preserve">4  </w:t>
      </w:r>
      <w:r>
        <w:rPr>
          <w:rFonts w:hint="default" w:cs="Times New Roman"/>
          <w:color w:val="auto"/>
          <w:sz w:val="24"/>
          <w:szCs w:val="24"/>
          <w:highlight w:val="none"/>
        </w:rPr>
        <w:t>联合体投标时，</w:t>
      </w:r>
      <w:r>
        <w:rPr>
          <w:rFonts w:hint="default" w:cs="Times New Roman"/>
          <w:color w:val="auto"/>
          <w:sz w:val="24"/>
          <w:szCs w:val="24"/>
          <w:highlight w:val="none"/>
          <w:lang w:eastAsia="zh-CN"/>
        </w:rPr>
        <w:t>投标人封面及其他内容落款中的“投标人”应填写联合体各方的单位全称【格式为：（主）XXXX公司（成）XXXX公司】。除</w:t>
      </w:r>
      <w:r>
        <w:rPr>
          <w:rFonts w:hint="default" w:cs="Times New Roman"/>
          <w:color w:val="auto"/>
          <w:sz w:val="24"/>
          <w:szCs w:val="24"/>
          <w:highlight w:val="none"/>
        </w:rPr>
        <w:t>联合体共同投标协议需联合体各方按要求共同盖章签字，其余可由联合体</w:t>
      </w:r>
      <w:r>
        <w:rPr>
          <w:rFonts w:hint="default" w:cs="Times New Roman"/>
          <w:color w:val="auto"/>
          <w:sz w:val="24"/>
          <w:szCs w:val="24"/>
          <w:highlight w:val="none"/>
          <w:lang w:eastAsia="zh-CN"/>
        </w:rPr>
        <w:t>主办方</w:t>
      </w:r>
      <w:r>
        <w:rPr>
          <w:rFonts w:hint="default" w:cs="Times New Roman"/>
          <w:color w:val="auto"/>
          <w:sz w:val="24"/>
          <w:szCs w:val="24"/>
          <w:highlight w:val="none"/>
        </w:rPr>
        <w:t>签字、盖章即可，由联合体</w:t>
      </w:r>
      <w:r>
        <w:rPr>
          <w:rFonts w:hint="default" w:cs="Times New Roman"/>
          <w:color w:val="auto"/>
          <w:sz w:val="24"/>
          <w:szCs w:val="24"/>
          <w:highlight w:val="none"/>
          <w:lang w:eastAsia="zh-CN"/>
        </w:rPr>
        <w:t>主办方</w:t>
      </w:r>
      <w:r>
        <w:rPr>
          <w:rFonts w:hint="default" w:cs="Times New Roman"/>
          <w:color w:val="auto"/>
          <w:sz w:val="24"/>
          <w:szCs w:val="24"/>
          <w:highlight w:val="none"/>
        </w:rPr>
        <w:t>法人签字的电子投标文件需提供</w:t>
      </w:r>
      <w:r>
        <w:rPr>
          <w:rFonts w:hint="default" w:cs="Times New Roman"/>
          <w:color w:val="auto"/>
          <w:sz w:val="24"/>
          <w:szCs w:val="24"/>
          <w:highlight w:val="none"/>
          <w:lang w:eastAsia="zh-CN"/>
        </w:rPr>
        <w:t>主办方</w:t>
      </w:r>
      <w:r>
        <w:rPr>
          <w:rFonts w:hint="default" w:cs="Times New Roman"/>
          <w:color w:val="auto"/>
          <w:sz w:val="24"/>
          <w:szCs w:val="24"/>
          <w:highlight w:val="none"/>
        </w:rPr>
        <w:t>法定代表人证明书，若由联合体</w:t>
      </w:r>
      <w:r>
        <w:rPr>
          <w:rFonts w:hint="default" w:cs="Times New Roman"/>
          <w:color w:val="auto"/>
          <w:sz w:val="24"/>
          <w:szCs w:val="24"/>
          <w:highlight w:val="none"/>
          <w:lang w:eastAsia="zh-CN"/>
        </w:rPr>
        <w:t>主办方</w:t>
      </w:r>
      <w:r>
        <w:rPr>
          <w:rFonts w:hint="default" w:cs="Times New Roman"/>
          <w:color w:val="auto"/>
          <w:sz w:val="24"/>
          <w:szCs w:val="24"/>
          <w:highlight w:val="none"/>
        </w:rPr>
        <w:t>法定代表人授权签字的电子投标文件需提供法定代表人证明书及其授权委托书、授权委托人身份证</w:t>
      </w:r>
      <w:r>
        <w:rPr>
          <w:rFonts w:hint="default" w:cs="Times New Roman"/>
          <w:color w:val="auto"/>
          <w:sz w:val="24"/>
          <w:szCs w:val="24"/>
          <w:highlight w:val="none"/>
          <w:lang w:eastAsia="zh-CN"/>
        </w:rPr>
        <w:t>扫描</w:t>
      </w:r>
      <w:r>
        <w:rPr>
          <w:rFonts w:hint="default" w:cs="Times New Roman"/>
          <w:color w:val="auto"/>
          <w:sz w:val="24"/>
          <w:szCs w:val="24"/>
          <w:highlight w:val="none"/>
        </w:rPr>
        <w:t>件。</w:t>
      </w:r>
    </w:p>
    <w:p w14:paraId="7CF77869">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3.</w:t>
      </w:r>
      <w:r>
        <w:rPr>
          <w:rFonts w:hint="default" w:cs="Times New Roman"/>
          <w:color w:val="auto"/>
          <w:sz w:val="24"/>
          <w:szCs w:val="24"/>
          <w:highlight w:val="none"/>
          <w:lang w:val="en-US" w:eastAsia="zh-CN"/>
        </w:rPr>
        <w:t>7</w:t>
      </w:r>
      <w:r>
        <w:rPr>
          <w:rFonts w:hint="default" w:cs="Times New Roman"/>
          <w:color w:val="auto"/>
          <w:sz w:val="24"/>
          <w:szCs w:val="24"/>
          <w:highlight w:val="none"/>
          <w:lang w:eastAsia="zh-CN"/>
        </w:rPr>
        <w:t>.</w:t>
      </w:r>
      <w:r>
        <w:rPr>
          <w:rFonts w:hint="default" w:cs="Times New Roman"/>
          <w:color w:val="auto"/>
          <w:sz w:val="24"/>
          <w:szCs w:val="24"/>
          <w:highlight w:val="none"/>
          <w:lang w:val="en-US" w:eastAsia="zh-CN"/>
        </w:rPr>
        <w:t xml:space="preserve">5 </w:t>
      </w:r>
      <w:r>
        <w:rPr>
          <w:rFonts w:hint="eastAsia" w:cs="Times New Roman"/>
          <w:color w:val="auto"/>
          <w:sz w:val="24"/>
          <w:szCs w:val="24"/>
          <w:highlight w:val="none"/>
          <w:lang w:val="en-US" w:eastAsia="zh-CN"/>
        </w:rPr>
        <w:t xml:space="preserve"> </w:t>
      </w:r>
      <w:r>
        <w:rPr>
          <w:rFonts w:hint="default" w:cs="Times New Roman"/>
          <w:color w:val="auto"/>
          <w:sz w:val="24"/>
          <w:szCs w:val="24"/>
          <w:highlight w:val="none"/>
          <w:lang w:eastAsia="zh-CN"/>
        </w:rPr>
        <w:t>投标文件应按照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网站关于全流程电子化项目的相关指南进行编制。如因不按上述编排要求编制而所引起系统无法检索、读取相关信息时，其后果将由投标人自行承担。</w:t>
      </w:r>
    </w:p>
    <w:p w14:paraId="6E3E2133">
      <w:pPr>
        <w:pStyle w:val="4"/>
        <w:outlineLvl w:val="1"/>
        <w:rPr>
          <w:rFonts w:hint="default" w:cs="宋体"/>
          <w:color w:val="auto"/>
          <w:sz w:val="24"/>
          <w:szCs w:val="24"/>
          <w:highlight w:val="none"/>
        </w:rPr>
      </w:pPr>
      <w:bookmarkStart w:id="138" w:name="bookmark47"/>
      <w:bookmarkEnd w:id="138"/>
      <w:bookmarkStart w:id="139" w:name="_Toc11559"/>
      <w:bookmarkStart w:id="140" w:name="_Toc25949"/>
      <w:r>
        <w:rPr>
          <w:rFonts w:hint="default" w:cs="宋体"/>
          <w:color w:val="auto"/>
          <w:sz w:val="24"/>
          <w:szCs w:val="24"/>
          <w:highlight w:val="none"/>
        </w:rPr>
        <w:t>4.投标</w:t>
      </w:r>
      <w:bookmarkEnd w:id="139"/>
      <w:bookmarkEnd w:id="140"/>
    </w:p>
    <w:p w14:paraId="2935E8E4">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lang w:val="en-US" w:eastAsia="zh-CN"/>
        </w:rPr>
      </w:pPr>
      <w:bookmarkStart w:id="141" w:name="bookmark48"/>
      <w:bookmarkEnd w:id="141"/>
      <w:bookmarkStart w:id="142" w:name="_Toc16677"/>
      <w:bookmarkStart w:id="143" w:name="_Toc9375"/>
      <w:r>
        <w:rPr>
          <w:rFonts w:hint="default" w:cs="宋体"/>
          <w:color w:val="auto"/>
          <w:sz w:val="24"/>
          <w:szCs w:val="24"/>
          <w:highlight w:val="none"/>
        </w:rPr>
        <w:t>4.1  投标文件的</w:t>
      </w:r>
      <w:r>
        <w:rPr>
          <w:rFonts w:hint="default" w:cs="宋体"/>
          <w:color w:val="auto"/>
          <w:sz w:val="24"/>
          <w:szCs w:val="24"/>
          <w:highlight w:val="none"/>
          <w:lang w:val="en-US" w:eastAsia="zh-CN"/>
        </w:rPr>
        <w:t>加密</w:t>
      </w:r>
      <w:bookmarkEnd w:id="142"/>
      <w:bookmarkEnd w:id="143"/>
    </w:p>
    <w:p w14:paraId="514EFE17">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bookmarkStart w:id="144" w:name="bookmark49"/>
      <w:bookmarkEnd w:id="144"/>
      <w:r>
        <w:rPr>
          <w:rFonts w:hint="default" w:cs="Times New Roman"/>
          <w:color w:val="auto"/>
          <w:sz w:val="24"/>
          <w:szCs w:val="24"/>
          <w:highlight w:val="none"/>
        </w:rPr>
        <w:t xml:space="preserve">4.1.1 </w:t>
      </w:r>
      <w:r>
        <w:rPr>
          <w:rFonts w:hint="eastAsia" w:cs="Times New Roman"/>
          <w:color w:val="auto"/>
          <w:sz w:val="24"/>
          <w:szCs w:val="24"/>
          <w:highlight w:val="none"/>
          <w:lang w:val="en-US" w:eastAsia="zh-CN"/>
        </w:rPr>
        <w:t xml:space="preserve"> </w:t>
      </w:r>
      <w:r>
        <w:rPr>
          <w:rFonts w:hint="default" w:cs="Times New Roman"/>
          <w:color w:val="auto"/>
          <w:sz w:val="24"/>
          <w:szCs w:val="24"/>
          <w:highlight w:val="none"/>
        </w:rPr>
        <w:t>递交的电子投标文件（不含备用光盘）必须进行加密。按照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关于全流程电子化项目的相关指南进行操作。</w:t>
      </w:r>
    </w:p>
    <w:p w14:paraId="7DF183D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4.1.2  未按要求加密的投标文件，</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网站交易</w:t>
      </w:r>
      <w:r>
        <w:rPr>
          <w:rFonts w:hint="default" w:cs="Times New Roman"/>
          <w:color w:val="auto"/>
          <w:sz w:val="24"/>
          <w:szCs w:val="24"/>
          <w:highlight w:val="none"/>
        </w:rPr>
        <w:t>平台将予以拒收。</w:t>
      </w:r>
    </w:p>
    <w:p w14:paraId="71EA2418">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145" w:name="_Toc28973"/>
      <w:bookmarkStart w:id="146" w:name="_Toc21435"/>
      <w:r>
        <w:rPr>
          <w:rFonts w:hint="default" w:cs="宋体"/>
          <w:color w:val="auto"/>
          <w:sz w:val="24"/>
          <w:szCs w:val="24"/>
          <w:highlight w:val="none"/>
        </w:rPr>
        <w:t>4.2  投标文件的递交</w:t>
      </w:r>
      <w:bookmarkEnd w:id="145"/>
      <w:bookmarkEnd w:id="146"/>
    </w:p>
    <w:p w14:paraId="0876B4F9">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bookmarkStart w:id="147" w:name="bookmark50"/>
      <w:bookmarkEnd w:id="147"/>
      <w:r>
        <w:rPr>
          <w:rFonts w:hint="default" w:cs="Times New Roman"/>
          <w:color w:val="auto"/>
          <w:sz w:val="24"/>
          <w:szCs w:val="24"/>
          <w:highlight w:val="none"/>
        </w:rPr>
        <w:t>4.2.1</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投标人</w:t>
      </w:r>
      <w:r>
        <w:rPr>
          <w:rFonts w:hint="default" w:cs="Times New Roman"/>
          <w:color w:val="auto"/>
          <w:sz w:val="24"/>
          <w:szCs w:val="24"/>
          <w:highlight w:val="none"/>
          <w:lang w:eastAsia="zh-CN"/>
        </w:rPr>
        <w:t>应在投标人须知前附表规定的投标截止时间前，</w:t>
      </w:r>
      <w:r>
        <w:rPr>
          <w:rFonts w:hint="default" w:cs="Times New Roman"/>
          <w:color w:val="auto"/>
          <w:sz w:val="24"/>
          <w:szCs w:val="24"/>
          <w:highlight w:val="none"/>
        </w:rPr>
        <w:t>通过</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交易平台递交电子投标文件。</w:t>
      </w:r>
    </w:p>
    <w:p w14:paraId="4136D2E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4.2.2</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投标人完成电子投标文件上传后，</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交易平台即时向投标人发出递交回执通知。递交时间以递交回执通知载明的传输完成时间为准。</w:t>
      </w:r>
    </w:p>
    <w:p w14:paraId="6B9B58B1">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4.2.3</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逾期送达的电子投标文件，</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交易平台将予以拒收。</w:t>
      </w:r>
    </w:p>
    <w:p w14:paraId="41EBCA32">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rPr>
        <w:t xml:space="preserve">4.2.4 </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投标截止前，招标人拒绝接收符合条件的投标文件，投标人可向招标监督机构投诉</w:t>
      </w:r>
      <w:r>
        <w:rPr>
          <w:rFonts w:hint="default" w:cs="Times New Roman"/>
          <w:color w:val="auto"/>
          <w:sz w:val="24"/>
          <w:szCs w:val="24"/>
          <w:highlight w:val="none"/>
          <w:lang w:eastAsia="zh-CN"/>
        </w:rPr>
        <w:t>。</w:t>
      </w:r>
      <w:bookmarkStart w:id="148" w:name="_bookmark83"/>
      <w:bookmarkEnd w:id="148"/>
    </w:p>
    <w:p w14:paraId="6589D801">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149" w:name="_Toc18875"/>
      <w:bookmarkStart w:id="150" w:name="_Toc10029"/>
      <w:r>
        <w:rPr>
          <w:rFonts w:hint="default" w:cs="宋体"/>
          <w:color w:val="auto"/>
          <w:sz w:val="24"/>
          <w:szCs w:val="24"/>
          <w:highlight w:val="none"/>
        </w:rPr>
        <w:t>4.3  投标文件的修改与撤回</w:t>
      </w:r>
      <w:bookmarkEnd w:id="149"/>
      <w:bookmarkEnd w:id="150"/>
    </w:p>
    <w:p w14:paraId="531EB6BC">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4.3.1  在规定的投标截止时间前， 投标人可以修改或撤回已递交的投标文件， 但应以书面形式通知招标人。</w:t>
      </w:r>
    </w:p>
    <w:p w14:paraId="1D9E04B7">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4.3.2  投标人修改或撤回已递交投标文件</w:t>
      </w:r>
      <w:r>
        <w:rPr>
          <w:rFonts w:hint="default" w:cs="Times New Roman"/>
          <w:color w:val="auto"/>
          <w:sz w:val="24"/>
          <w:szCs w:val="24"/>
          <w:highlight w:val="none"/>
          <w:lang w:val="en-US" w:eastAsia="zh-CN"/>
        </w:rPr>
        <w:t>,</w:t>
      </w:r>
      <w:r>
        <w:rPr>
          <w:rFonts w:hint="default" w:cs="Times New Roman"/>
          <w:color w:val="auto"/>
          <w:sz w:val="24"/>
          <w:szCs w:val="24"/>
          <w:highlight w:val="none"/>
          <w:lang w:eastAsia="zh-CN"/>
        </w:rPr>
        <w:t>需在交易平台发出修改或撤回通知，并按要求加盖电子印章</w:t>
      </w:r>
      <w:r>
        <w:rPr>
          <w:rFonts w:hint="default" w:cs="Times New Roman"/>
          <w:color w:val="auto"/>
          <w:sz w:val="24"/>
          <w:szCs w:val="24"/>
          <w:highlight w:val="none"/>
        </w:rPr>
        <w:t>。电子招标投标交易平台收到通知后，即时向投标人发出确认回执通知。</w:t>
      </w:r>
    </w:p>
    <w:p w14:paraId="64EE6AE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 xml:space="preserve">4.3.3 </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lang w:eastAsia="zh-CN"/>
        </w:rPr>
        <w:t>修改后再次递交的，按第</w:t>
      </w:r>
      <w:r>
        <w:rPr>
          <w:rFonts w:hint="default" w:cs="Times New Roman"/>
          <w:color w:val="auto"/>
          <w:sz w:val="24"/>
          <w:szCs w:val="24"/>
          <w:highlight w:val="none"/>
          <w:lang w:val="en-US" w:eastAsia="zh-CN"/>
        </w:rPr>
        <w:t>4.2项的规定执行</w:t>
      </w:r>
      <w:r>
        <w:rPr>
          <w:rFonts w:hint="default" w:cs="Times New Roman"/>
          <w:color w:val="auto"/>
          <w:sz w:val="24"/>
          <w:szCs w:val="24"/>
          <w:highlight w:val="none"/>
        </w:rPr>
        <w:t>。</w:t>
      </w:r>
    </w:p>
    <w:p w14:paraId="2A6BE89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rPr>
        <w:t>4.3.</w:t>
      </w:r>
      <w:r>
        <w:rPr>
          <w:rFonts w:hint="default" w:cs="Times New Roman"/>
          <w:color w:val="auto"/>
          <w:sz w:val="24"/>
          <w:szCs w:val="24"/>
          <w:highlight w:val="none"/>
          <w:lang w:val="en-US" w:eastAsia="zh-CN"/>
        </w:rPr>
        <w:t>4</w:t>
      </w:r>
      <w:r>
        <w:rPr>
          <w:rFonts w:hint="default" w:cs="Times New Roman"/>
          <w:color w:val="auto"/>
          <w:sz w:val="24"/>
          <w:szCs w:val="24"/>
          <w:highlight w:val="none"/>
        </w:rPr>
        <w:t xml:space="preserve"> </w:t>
      </w:r>
      <w:r>
        <w:rPr>
          <w:rFonts w:hint="default" w:cs="Times New Roman"/>
          <w:color w:val="auto"/>
          <w:sz w:val="24"/>
          <w:szCs w:val="24"/>
          <w:highlight w:val="none"/>
          <w:lang w:eastAsia="zh-CN"/>
        </w:rPr>
        <w:t xml:space="preserve"> 在投标截止时间之后，投标人不得补充、修改和更换投标文件。</w:t>
      </w:r>
    </w:p>
    <w:p w14:paraId="618CB287">
      <w:pPr>
        <w:pStyle w:val="4"/>
        <w:outlineLvl w:val="1"/>
        <w:rPr>
          <w:rFonts w:hint="default" w:cs="宋体"/>
          <w:color w:val="auto"/>
          <w:sz w:val="24"/>
          <w:szCs w:val="24"/>
          <w:highlight w:val="none"/>
        </w:rPr>
      </w:pPr>
      <w:bookmarkStart w:id="151" w:name="bookmark51"/>
      <w:bookmarkEnd w:id="151"/>
      <w:bookmarkStart w:id="152" w:name="_Toc16401"/>
      <w:bookmarkStart w:id="153" w:name="_Toc21556"/>
      <w:r>
        <w:rPr>
          <w:rFonts w:hint="default" w:cs="宋体"/>
          <w:color w:val="auto"/>
          <w:sz w:val="24"/>
          <w:szCs w:val="24"/>
          <w:highlight w:val="none"/>
        </w:rPr>
        <w:t>5.开标</w:t>
      </w:r>
      <w:bookmarkEnd w:id="152"/>
      <w:bookmarkEnd w:id="153"/>
    </w:p>
    <w:p w14:paraId="4DBA0094">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154" w:name="bookmark53"/>
      <w:bookmarkEnd w:id="154"/>
      <w:bookmarkStart w:id="155" w:name="bookmark52"/>
      <w:bookmarkEnd w:id="155"/>
      <w:bookmarkStart w:id="156" w:name="_Toc28481"/>
      <w:bookmarkStart w:id="157" w:name="_Toc14844"/>
      <w:r>
        <w:rPr>
          <w:rFonts w:hint="default" w:cs="宋体"/>
          <w:color w:val="auto"/>
          <w:sz w:val="24"/>
          <w:szCs w:val="24"/>
          <w:highlight w:val="none"/>
        </w:rPr>
        <w:t>5.1 开标时间和地点</w:t>
      </w:r>
      <w:bookmarkEnd w:id="156"/>
      <w:bookmarkEnd w:id="157"/>
    </w:p>
    <w:p w14:paraId="0E3C791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bookmarkStart w:id="158" w:name="bookmark54"/>
      <w:bookmarkEnd w:id="158"/>
      <w:r>
        <w:rPr>
          <w:rFonts w:hint="default" w:cs="Times New Roman"/>
          <w:color w:val="auto"/>
          <w:sz w:val="24"/>
          <w:szCs w:val="24"/>
          <w:highlight w:val="none"/>
          <w:lang w:val="en-US" w:eastAsia="zh-CN"/>
        </w:rPr>
        <w:t xml:space="preserve">5.1.1  </w:t>
      </w:r>
      <w:r>
        <w:rPr>
          <w:rFonts w:hint="default" w:cs="Times New Roman"/>
          <w:color w:val="auto"/>
          <w:sz w:val="24"/>
          <w:szCs w:val="24"/>
          <w:highlight w:val="none"/>
          <w:lang w:eastAsia="zh-CN"/>
        </w:rPr>
        <w:t>招标人按投标须知前附表规定的时间和地点公开开标。截标后，开标开始时间因故推迟的，相关评标信息仍以原定的开标开始时间的信息为准。</w:t>
      </w:r>
    </w:p>
    <w:p w14:paraId="04964E71">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val="en-US" w:eastAsia="zh-CN"/>
        </w:rPr>
        <w:t xml:space="preserve">5.1.2  </w:t>
      </w:r>
      <w:r>
        <w:rPr>
          <w:rFonts w:hint="default" w:cs="Times New Roman"/>
          <w:color w:val="auto"/>
          <w:sz w:val="24"/>
          <w:szCs w:val="24"/>
          <w:highlight w:val="none"/>
          <w:lang w:eastAsia="zh-CN"/>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6F0C96E4">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159" w:name="_Toc13445"/>
      <w:bookmarkStart w:id="160" w:name="_Toc22847"/>
      <w:r>
        <w:rPr>
          <w:rFonts w:hint="default" w:cs="宋体"/>
          <w:color w:val="auto"/>
          <w:sz w:val="24"/>
          <w:szCs w:val="24"/>
          <w:highlight w:val="none"/>
        </w:rPr>
        <w:t>5.2 开标程序</w:t>
      </w:r>
      <w:bookmarkEnd w:id="159"/>
      <w:bookmarkEnd w:id="160"/>
    </w:p>
    <w:p w14:paraId="6EA34170">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bookmarkStart w:id="161" w:name="bookmark55"/>
      <w:bookmarkEnd w:id="161"/>
      <w:r>
        <w:rPr>
          <w:rFonts w:hint="default" w:cs="Times New Roman"/>
          <w:color w:val="auto"/>
          <w:sz w:val="24"/>
          <w:szCs w:val="24"/>
          <w:highlight w:val="none"/>
          <w:lang w:val="en-US" w:eastAsia="zh-CN"/>
        </w:rPr>
        <w:t>5.2.1  在投标截止时间后</w:t>
      </w:r>
      <w:r>
        <w:rPr>
          <w:rFonts w:hint="default" w:cs="Times New Roman"/>
          <w:color w:val="auto"/>
          <w:sz w:val="24"/>
          <w:szCs w:val="24"/>
          <w:highlight w:val="none"/>
          <w:u w:val="single"/>
          <w:lang w:val="en-US" w:eastAsia="zh-CN"/>
        </w:rPr>
        <w:t>半小时</w:t>
      </w:r>
      <w:r>
        <w:rPr>
          <w:rFonts w:hint="default" w:cs="Times New Roman"/>
          <w:color w:val="auto"/>
          <w:sz w:val="24"/>
          <w:szCs w:val="24"/>
          <w:highlight w:val="none"/>
          <w:lang w:val="en-US" w:eastAsia="zh-CN"/>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14:paraId="23902382">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5.2.2  按开标记录表规定的内容进行唱标。</w:t>
      </w:r>
    </w:p>
    <w:p w14:paraId="089E64C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5.2.3  投标人代表、招标人代表、监标人、记录人等有关人员在开标记录上签字确认；若有关人员不签字的，不影响开标程序。</w:t>
      </w:r>
    </w:p>
    <w:p w14:paraId="11C96B03">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5.2.4  开标结束。</w:t>
      </w:r>
    </w:p>
    <w:p w14:paraId="2923DFE7">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3463D3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5.2.6  开标时，两个（含两个）以上的投标人加密打包投标文件电脑机器特征码一致的，不参与下一程序，并由评标委员会否决其投标。</w:t>
      </w:r>
    </w:p>
    <w:p w14:paraId="714186FD">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62" w:name="_Toc4075"/>
      <w:bookmarkStart w:id="163" w:name="_Toc1043"/>
      <w:r>
        <w:rPr>
          <w:rFonts w:hint="default" w:cs="宋体"/>
          <w:color w:val="auto"/>
          <w:sz w:val="24"/>
          <w:szCs w:val="24"/>
          <w:highlight w:val="none"/>
        </w:rPr>
        <w:t>5.3  开标异议</w:t>
      </w:r>
      <w:bookmarkEnd w:id="162"/>
      <w:bookmarkEnd w:id="163"/>
    </w:p>
    <w:p w14:paraId="7BF5566E">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5.3.1  参加现场开标的投标人对开标结果有异议的，应当在开标现场提出，招标人应当当场作出答复，并制作记录。</w:t>
      </w:r>
    </w:p>
    <w:p w14:paraId="33FEC24E">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14:paraId="7B2AB50C">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5.3.3  投标人未参加开标或在规定的时间内未提出异议的，视为对开标无异议。</w:t>
      </w:r>
    </w:p>
    <w:p w14:paraId="039967C1">
      <w:pPr>
        <w:pStyle w:val="4"/>
        <w:outlineLvl w:val="1"/>
        <w:rPr>
          <w:rFonts w:hint="eastAsia" w:ascii="Microsoft JhengHei" w:hAnsi="Microsoft JhengHei" w:eastAsia="Microsoft JhengHei"/>
          <w:b w:val="0"/>
          <w:color w:val="auto"/>
          <w:sz w:val="30"/>
          <w:szCs w:val="24"/>
          <w:highlight w:val="none"/>
        </w:rPr>
      </w:pPr>
      <w:bookmarkStart w:id="164" w:name="bookmark56"/>
      <w:bookmarkEnd w:id="164"/>
      <w:bookmarkStart w:id="165" w:name="_Toc20761"/>
      <w:bookmarkStart w:id="166" w:name="_Toc14961"/>
      <w:r>
        <w:rPr>
          <w:rFonts w:hint="default" w:cs="宋体"/>
          <w:color w:val="auto"/>
          <w:sz w:val="24"/>
          <w:szCs w:val="24"/>
          <w:highlight w:val="none"/>
        </w:rPr>
        <w:t>6.评标</w:t>
      </w:r>
      <w:bookmarkEnd w:id="165"/>
      <w:bookmarkEnd w:id="166"/>
    </w:p>
    <w:p w14:paraId="7EC7CBDE">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167" w:name="bookmark57"/>
      <w:bookmarkEnd w:id="167"/>
      <w:bookmarkStart w:id="168" w:name="_Toc21666"/>
      <w:bookmarkStart w:id="169" w:name="_Toc16566"/>
      <w:r>
        <w:rPr>
          <w:rFonts w:hint="default" w:cs="宋体"/>
          <w:color w:val="auto"/>
          <w:sz w:val="24"/>
          <w:szCs w:val="24"/>
          <w:highlight w:val="none"/>
        </w:rPr>
        <w:t>6.1  评标委员会</w:t>
      </w:r>
      <w:bookmarkEnd w:id="168"/>
      <w:bookmarkEnd w:id="169"/>
    </w:p>
    <w:p w14:paraId="2E7FA3C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 xml:space="preserve">6.1.1 </w:t>
      </w:r>
      <w:r>
        <w:rPr>
          <w:rFonts w:hint="default" w:cs="宋体"/>
          <w:color w:val="auto"/>
          <w:sz w:val="24"/>
          <w:szCs w:val="24"/>
          <w:highlight w:val="none"/>
        </w:rPr>
        <w:t>评标由招标人依法组建的评标委员会负责。评标委员会由有关技术、经济等方面的专家和招标人代表组成，专家</w:t>
      </w:r>
      <w:r>
        <w:rPr>
          <w:rFonts w:hint="default" w:cs="宋体"/>
          <w:color w:val="auto"/>
          <w:sz w:val="24"/>
          <w:szCs w:val="24"/>
          <w:highlight w:val="none"/>
          <w:lang w:eastAsia="zh-CN"/>
        </w:rPr>
        <w:t>从</w:t>
      </w:r>
      <w:r>
        <w:rPr>
          <w:rFonts w:hint="default" w:cs="宋体"/>
          <w:color w:val="auto"/>
          <w:sz w:val="24"/>
          <w:szCs w:val="24"/>
          <w:highlight w:val="none"/>
          <w:u w:val="single"/>
          <w:lang w:eastAsia="zh-CN"/>
        </w:rPr>
        <w:t>广东省综合评标评审</w:t>
      </w:r>
      <w:r>
        <w:rPr>
          <w:rFonts w:hint="default" w:cs="宋体"/>
          <w:color w:val="auto"/>
          <w:sz w:val="24"/>
          <w:szCs w:val="24"/>
          <w:highlight w:val="none"/>
          <w:u w:val="single"/>
        </w:rPr>
        <w:t>专家库</w:t>
      </w:r>
      <w:r>
        <w:rPr>
          <w:rFonts w:hint="default" w:cs="宋体"/>
          <w:color w:val="auto"/>
          <w:sz w:val="24"/>
          <w:szCs w:val="24"/>
          <w:highlight w:val="none"/>
        </w:rPr>
        <w:t>中抽取。评标委员会成员人数以及技术、经济等方面专家的确定方式见投标人须知前附表</w:t>
      </w:r>
      <w:r>
        <w:rPr>
          <w:rFonts w:hint="default" w:cs="Times New Roman"/>
          <w:color w:val="auto"/>
          <w:sz w:val="24"/>
          <w:szCs w:val="24"/>
          <w:highlight w:val="none"/>
        </w:rPr>
        <w:t>。</w:t>
      </w:r>
    </w:p>
    <w:p w14:paraId="540E6F6D">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6.1.2 评标委员会成员有下列情形之一的，应当回避：</w:t>
      </w:r>
    </w:p>
    <w:p w14:paraId="6EED87F2">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（1）投标人或投标人主要负责人的近亲属；</w:t>
      </w:r>
    </w:p>
    <w:p w14:paraId="4A6A3AF3">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（2）项目主管部门或者行政监督部门的人员；</w:t>
      </w:r>
    </w:p>
    <w:p w14:paraId="54EC402F">
      <w:pPr>
        <w:spacing w:line="360" w:lineRule="auto"/>
        <w:ind w:firstLine="480" w:firstLineChars="200"/>
        <w:jc w:val="left"/>
        <w:rPr>
          <w:rFonts w:hint="eastAsia"/>
          <w:color w:val="auto"/>
          <w:sz w:val="24"/>
          <w:highlight w:val="none"/>
        </w:rPr>
      </w:pPr>
      <w:r>
        <w:rPr>
          <w:rFonts w:hint="eastAsia"/>
          <w:color w:val="auto"/>
          <w:sz w:val="24"/>
          <w:highlight w:val="none"/>
        </w:rPr>
        <w:t>（3）招标人或投标人的工作人员、退休或离职未满3年的人员；</w:t>
      </w:r>
    </w:p>
    <w:p w14:paraId="3D19ACC9">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4</w:t>
      </w:r>
      <w:r>
        <w:rPr>
          <w:rFonts w:hint="default" w:cs="Times New Roman"/>
          <w:color w:val="auto"/>
          <w:sz w:val="24"/>
          <w:szCs w:val="24"/>
          <w:highlight w:val="none"/>
        </w:rPr>
        <w:t>）与投标人有经济利益关系，可能影响对投标公正评审的；</w:t>
      </w:r>
    </w:p>
    <w:p w14:paraId="187E729E">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5</w:t>
      </w:r>
      <w:r>
        <w:rPr>
          <w:rFonts w:hint="default" w:cs="Times New Roman"/>
          <w:color w:val="auto"/>
          <w:sz w:val="24"/>
          <w:szCs w:val="24"/>
          <w:highlight w:val="none"/>
        </w:rPr>
        <w:t>）曾因在招标、评标以及其他与招标投标有关活动中从事违法行为而受过行政处罚或刑事处罚的；</w:t>
      </w:r>
    </w:p>
    <w:p w14:paraId="73E2790E">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6</w:t>
      </w:r>
      <w:r>
        <w:rPr>
          <w:rFonts w:hint="default" w:cs="Times New Roman"/>
          <w:color w:val="auto"/>
          <w:sz w:val="24"/>
          <w:szCs w:val="24"/>
          <w:highlight w:val="none"/>
        </w:rPr>
        <w:t>）与投标人有其他利害关系。</w:t>
      </w:r>
    </w:p>
    <w:p w14:paraId="4435E621">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1739F4C2">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170" w:name="bookmark58"/>
      <w:bookmarkEnd w:id="170"/>
      <w:bookmarkStart w:id="171" w:name="_Toc28987"/>
      <w:bookmarkStart w:id="172" w:name="_Toc2040"/>
      <w:r>
        <w:rPr>
          <w:rFonts w:hint="default" w:cs="宋体"/>
          <w:color w:val="auto"/>
          <w:sz w:val="24"/>
          <w:szCs w:val="24"/>
          <w:highlight w:val="none"/>
        </w:rPr>
        <w:t>6.2  评标原则</w:t>
      </w:r>
      <w:bookmarkEnd w:id="171"/>
      <w:bookmarkEnd w:id="172"/>
    </w:p>
    <w:p w14:paraId="7994F5D9">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评标活动遵循公平、公正、科学和择优的原则。</w:t>
      </w:r>
    </w:p>
    <w:p w14:paraId="1FD7F653">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173" w:name="bookmark59"/>
      <w:bookmarkEnd w:id="173"/>
      <w:bookmarkStart w:id="174" w:name="_Toc24943"/>
      <w:bookmarkStart w:id="175" w:name="_Toc28806"/>
      <w:r>
        <w:rPr>
          <w:rFonts w:hint="default" w:cs="宋体"/>
          <w:color w:val="auto"/>
          <w:sz w:val="24"/>
          <w:szCs w:val="24"/>
          <w:highlight w:val="none"/>
        </w:rPr>
        <w:t>6.3 评标</w:t>
      </w:r>
      <w:bookmarkEnd w:id="174"/>
      <w:bookmarkEnd w:id="175"/>
    </w:p>
    <w:p w14:paraId="45A69431">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6.3.1 评标委员会按照第三章“评标办法”规定的方法、评审因素、标准和程序对投标文件进 行评审。第三章“评标办法”没有规定的方法、评审因素和标准，不作为评标依据。</w:t>
      </w:r>
    </w:p>
    <w:p w14:paraId="3EFA3C45">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6.3.2 评标完成后，评标委员会应当向招标人提交书面评标报告和中标候选人名单。评标委员会推荐中标候选人的人数见投标人须知前附表。</w:t>
      </w:r>
    </w:p>
    <w:p w14:paraId="5A937C96">
      <w:pPr>
        <w:pStyle w:val="4"/>
        <w:outlineLvl w:val="1"/>
        <w:rPr>
          <w:rFonts w:hint="default" w:cs="宋体"/>
          <w:color w:val="auto"/>
          <w:sz w:val="24"/>
          <w:szCs w:val="24"/>
          <w:highlight w:val="none"/>
        </w:rPr>
      </w:pPr>
      <w:bookmarkStart w:id="176" w:name="bookmark60"/>
      <w:bookmarkEnd w:id="176"/>
      <w:bookmarkStart w:id="177" w:name="_Toc20225"/>
      <w:bookmarkStart w:id="178" w:name="_Toc21328"/>
      <w:r>
        <w:rPr>
          <w:rFonts w:hint="default" w:cs="宋体"/>
          <w:color w:val="auto"/>
          <w:sz w:val="24"/>
          <w:szCs w:val="24"/>
          <w:highlight w:val="none"/>
        </w:rPr>
        <w:t>7.合同授予</w:t>
      </w:r>
      <w:bookmarkEnd w:id="177"/>
      <w:bookmarkEnd w:id="178"/>
    </w:p>
    <w:p w14:paraId="478B198A">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179" w:name="bookmark61"/>
      <w:bookmarkEnd w:id="179"/>
      <w:bookmarkStart w:id="180" w:name="_Toc10530"/>
      <w:bookmarkStart w:id="181" w:name="_Toc16732"/>
      <w:r>
        <w:rPr>
          <w:rFonts w:hint="default" w:cs="宋体"/>
          <w:color w:val="auto"/>
          <w:sz w:val="24"/>
          <w:szCs w:val="24"/>
          <w:highlight w:val="none"/>
        </w:rPr>
        <w:t>7.1 中标候选人公示</w:t>
      </w:r>
      <w:bookmarkEnd w:id="180"/>
      <w:bookmarkEnd w:id="181"/>
    </w:p>
    <w:p w14:paraId="07859FB4">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招标人在收到评标报告之日起3日内，按照投标人须知前附表规定的公示媒介和期限公示中标候选人，公示期不得少于3天</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最后一天应为工作日</w:t>
      </w:r>
      <w:r>
        <w:rPr>
          <w:rFonts w:hint="default" w:cs="Times New Roman"/>
          <w:color w:val="auto"/>
          <w:sz w:val="24"/>
          <w:szCs w:val="24"/>
          <w:highlight w:val="none"/>
        </w:rPr>
        <w:t>。</w:t>
      </w:r>
    </w:p>
    <w:p w14:paraId="69B7F648">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182" w:name="bookmark62"/>
      <w:bookmarkEnd w:id="182"/>
      <w:bookmarkStart w:id="183" w:name="_Toc3208"/>
      <w:bookmarkStart w:id="184" w:name="_Toc32332"/>
      <w:r>
        <w:rPr>
          <w:rFonts w:hint="default" w:cs="宋体"/>
          <w:color w:val="auto"/>
          <w:sz w:val="24"/>
          <w:szCs w:val="24"/>
          <w:highlight w:val="none"/>
        </w:rPr>
        <w:t>7.2 评标结果异议</w:t>
      </w:r>
      <w:bookmarkEnd w:id="183"/>
      <w:bookmarkEnd w:id="184"/>
    </w:p>
    <w:p w14:paraId="0B8E54B3">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投标人或者其他利害关系人对评标结果有异议的，应当在中标候选人公示期间提出。招标人将在收到异议之日起3日内作出答复；作出答复前，将暂停招标投标活动。</w:t>
      </w:r>
    </w:p>
    <w:p w14:paraId="2AFFB2FF">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185" w:name="bookmark63"/>
      <w:bookmarkEnd w:id="185"/>
      <w:bookmarkStart w:id="186" w:name="_Toc21873"/>
      <w:bookmarkStart w:id="187" w:name="_Toc31719"/>
      <w:r>
        <w:rPr>
          <w:rFonts w:hint="default" w:cs="宋体"/>
          <w:color w:val="auto"/>
          <w:sz w:val="24"/>
          <w:szCs w:val="24"/>
          <w:highlight w:val="none"/>
        </w:rPr>
        <w:t>7.3 中标候选人履约能力审查</w:t>
      </w:r>
      <w:bookmarkEnd w:id="186"/>
      <w:bookmarkEnd w:id="187"/>
    </w:p>
    <w:p w14:paraId="06C4BF0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03C59F34">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88" w:name="bookmark64"/>
      <w:bookmarkEnd w:id="188"/>
      <w:bookmarkStart w:id="189" w:name="_Toc21635"/>
      <w:bookmarkStart w:id="190" w:name="_Toc31832"/>
      <w:r>
        <w:rPr>
          <w:rFonts w:hint="default" w:cs="宋体"/>
          <w:color w:val="auto"/>
          <w:sz w:val="24"/>
          <w:szCs w:val="24"/>
          <w:highlight w:val="none"/>
        </w:rPr>
        <w:t>7.4 定标</w:t>
      </w:r>
      <w:bookmarkEnd w:id="189"/>
      <w:bookmarkEnd w:id="190"/>
    </w:p>
    <w:p w14:paraId="440BC80F">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按照投标人须知前附表的规定，招标人或招标人授权的评标委员会依法确定中标人。</w:t>
      </w:r>
    </w:p>
    <w:p w14:paraId="320A28C0">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91" w:name="bookmark65"/>
      <w:bookmarkEnd w:id="191"/>
      <w:bookmarkStart w:id="192" w:name="_Toc19033"/>
      <w:bookmarkStart w:id="193" w:name="_Toc12781"/>
      <w:r>
        <w:rPr>
          <w:rFonts w:hint="default" w:cs="宋体"/>
          <w:color w:val="auto"/>
          <w:sz w:val="24"/>
          <w:szCs w:val="24"/>
          <w:highlight w:val="none"/>
        </w:rPr>
        <w:t>7.5 中标通知</w:t>
      </w:r>
      <w:bookmarkEnd w:id="192"/>
      <w:bookmarkEnd w:id="193"/>
    </w:p>
    <w:p w14:paraId="2974C76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bookmarkStart w:id="194" w:name="bookmark66"/>
      <w:bookmarkEnd w:id="194"/>
      <w:r>
        <w:rPr>
          <w:rFonts w:hint="default" w:cs="Times New Roman"/>
          <w:color w:val="auto"/>
          <w:sz w:val="24"/>
          <w:szCs w:val="24"/>
          <w:highlight w:val="none"/>
          <w:lang w:val="en-US" w:eastAsia="zh-CN"/>
        </w:rPr>
        <w:t>7.5.1  在法规规定的时间内，招标人以书面形式向中标人发出中标通知书。在</w:t>
      </w:r>
      <w:r>
        <w:rPr>
          <w:rFonts w:hint="eastAsia" w:cs="Times New Roman"/>
          <w:color w:val="auto"/>
          <w:sz w:val="24"/>
          <w:szCs w:val="24"/>
          <w:highlight w:val="none"/>
          <w:lang w:val="en-US" w:eastAsia="zh-CN"/>
        </w:rPr>
        <w:t>广州交易集团有限公司（广州公共资源交易中心）</w:t>
      </w:r>
      <w:r>
        <w:rPr>
          <w:rFonts w:hint="default" w:cs="Times New Roman"/>
          <w:color w:val="auto"/>
          <w:sz w:val="24"/>
          <w:szCs w:val="24"/>
          <w:highlight w:val="none"/>
          <w:lang w:val="en-US" w:eastAsia="zh-CN"/>
        </w:rPr>
        <w:t>网和广东省招标投标监管网发布中标信息，视同将中标结果通知未中标的投标人。</w:t>
      </w:r>
    </w:p>
    <w:p w14:paraId="29004E77">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7.5.2  中标通知书发出前，中标人应未被纳入失信联合惩戒名单，否则招标人将取消其中标资格。失信联合惩戒名单以“信用广州”网站公布的“</w:t>
      </w:r>
      <w:r>
        <w:rPr>
          <w:rFonts w:hint="eastAsia" w:cs="Times New Roman"/>
          <w:color w:val="auto"/>
          <w:sz w:val="24"/>
          <w:szCs w:val="24"/>
          <w:highlight w:val="none"/>
          <w:lang w:val="en-US" w:eastAsia="zh-CN"/>
        </w:rPr>
        <w:t>黑名单</w:t>
      </w:r>
      <w:r>
        <w:rPr>
          <w:rFonts w:hint="default" w:cs="Times New Roman"/>
          <w:color w:val="auto"/>
          <w:sz w:val="24"/>
          <w:szCs w:val="24"/>
          <w:highlight w:val="none"/>
          <w:lang w:val="en-US" w:eastAsia="zh-CN"/>
        </w:rPr>
        <w:t>”为准。</w:t>
      </w:r>
    </w:p>
    <w:p w14:paraId="1D4845AE">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95" w:name="_Toc19973"/>
      <w:bookmarkStart w:id="196" w:name="_Toc17600"/>
      <w:r>
        <w:rPr>
          <w:rFonts w:hint="default" w:cs="宋体"/>
          <w:color w:val="auto"/>
          <w:sz w:val="24"/>
          <w:szCs w:val="24"/>
          <w:highlight w:val="none"/>
        </w:rPr>
        <w:t>7.6  履约保证金</w:t>
      </w:r>
      <w:bookmarkEnd w:id="195"/>
      <w:bookmarkEnd w:id="196"/>
    </w:p>
    <w:p w14:paraId="0DF1EAFD">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default"/>
          <w:color w:val="auto"/>
          <w:spacing w:val="-2"/>
          <w:sz w:val="24"/>
          <w:szCs w:val="24"/>
          <w:highlight w:val="none"/>
          <w:lang w:eastAsia="zh-CN"/>
        </w:rPr>
        <w:t>主办方</w:t>
      </w:r>
      <w:r>
        <w:rPr>
          <w:rFonts w:hint="default" w:cs="Times New Roman"/>
          <w:color w:val="auto"/>
          <w:sz w:val="24"/>
          <w:szCs w:val="24"/>
          <w:highlight w:val="none"/>
        </w:rPr>
        <w:t>的名义提交。</w:t>
      </w:r>
    </w:p>
    <w:p w14:paraId="4705875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7.6.2 中标人不能按本章第 7.6.1 项要求提交履约保证金的，视为放弃中标，其投标保证金不予退还，给招标人造成的损失超过投标保证金数额的，中标人还应当对超过部分予以赔偿。</w:t>
      </w:r>
    </w:p>
    <w:p w14:paraId="14E3A0DC">
      <w:pPr>
        <w:pStyle w:val="11"/>
        <w:kinsoku w:val="0"/>
        <w:overflowPunct w:val="0"/>
        <w:spacing w:before="13"/>
        <w:ind w:left="0"/>
        <w:rPr>
          <w:rFonts w:hint="default"/>
          <w:color w:val="auto"/>
          <w:sz w:val="13"/>
          <w:szCs w:val="24"/>
          <w:highlight w:val="none"/>
        </w:rPr>
      </w:pPr>
    </w:p>
    <w:p w14:paraId="3CD1BA9F">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97" w:name="bookmark67"/>
      <w:bookmarkEnd w:id="197"/>
      <w:bookmarkStart w:id="198" w:name="_Toc6719"/>
      <w:bookmarkStart w:id="199" w:name="_Toc9958"/>
      <w:r>
        <w:rPr>
          <w:rFonts w:hint="default" w:cs="宋体"/>
          <w:color w:val="auto"/>
          <w:sz w:val="24"/>
          <w:szCs w:val="24"/>
          <w:highlight w:val="none"/>
        </w:rPr>
        <w:t>7.7  签订合同</w:t>
      </w:r>
      <w:bookmarkEnd w:id="198"/>
      <w:bookmarkEnd w:id="199"/>
    </w:p>
    <w:p w14:paraId="4A3EB472">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7.7.1 招标人和中标人应当在中标通知书发出之日起30日内，根据招标文件和中标人的投标文件订立书面合同</w:t>
      </w:r>
      <w:r>
        <w:rPr>
          <w:rFonts w:hint="eastAsia"/>
          <w:color w:val="auto"/>
          <w:sz w:val="24"/>
          <w:highlight w:val="none"/>
          <w:lang w:eastAsia="zh-CN"/>
        </w:rPr>
        <w:t>，并通过电子交易系统与中标人在线签订合同</w:t>
      </w:r>
      <w:r>
        <w:rPr>
          <w:rFonts w:hint="default" w:cs="Times New Roman"/>
          <w:color w:val="auto"/>
          <w:sz w:val="24"/>
          <w:szCs w:val="24"/>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346C8D40">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7.7.2 发出中标通知书后，招标人无正当理由拒签合同，或者在签订合同时向中标人提出附加条件的，招标人向中标人退还投标保证金；给中标人造成损失的，还应当赔偿损失。</w:t>
      </w:r>
    </w:p>
    <w:p w14:paraId="2A8DB96A">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7.7.3 联合体中标的，联合体各方应当共同与招标人签订合同，就中标项目向招标人承担连带责任。</w:t>
      </w:r>
    </w:p>
    <w:p w14:paraId="4EA1B114">
      <w:pPr>
        <w:pStyle w:val="4"/>
        <w:outlineLvl w:val="1"/>
        <w:rPr>
          <w:rFonts w:hint="eastAsia" w:ascii="Microsoft JhengHei" w:hAnsi="Microsoft JhengHei" w:eastAsia="Microsoft JhengHei"/>
          <w:b w:val="0"/>
          <w:color w:val="auto"/>
          <w:sz w:val="30"/>
          <w:szCs w:val="24"/>
          <w:highlight w:val="none"/>
        </w:rPr>
      </w:pPr>
      <w:bookmarkStart w:id="200" w:name="bookmark68"/>
      <w:bookmarkEnd w:id="200"/>
      <w:bookmarkStart w:id="201" w:name="_Toc13769"/>
      <w:bookmarkStart w:id="202" w:name="_Toc30276"/>
      <w:r>
        <w:rPr>
          <w:rFonts w:hint="default" w:cs="宋体"/>
          <w:color w:val="auto"/>
          <w:sz w:val="24"/>
          <w:szCs w:val="24"/>
          <w:highlight w:val="none"/>
        </w:rPr>
        <w:t>8.纪律和监督</w:t>
      </w:r>
      <w:bookmarkEnd w:id="201"/>
      <w:bookmarkEnd w:id="202"/>
    </w:p>
    <w:p w14:paraId="5F8822B7">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203" w:name="bookmark69"/>
      <w:bookmarkEnd w:id="203"/>
      <w:bookmarkStart w:id="204" w:name="_Toc10523"/>
      <w:bookmarkStart w:id="205" w:name="_Toc32075"/>
      <w:r>
        <w:rPr>
          <w:rFonts w:hint="default" w:cs="宋体"/>
          <w:color w:val="auto"/>
          <w:sz w:val="24"/>
          <w:szCs w:val="24"/>
          <w:highlight w:val="none"/>
        </w:rPr>
        <w:t>8.1 对招标人的纪律要求</w:t>
      </w:r>
      <w:bookmarkEnd w:id="204"/>
      <w:bookmarkEnd w:id="205"/>
    </w:p>
    <w:p w14:paraId="16C4545F">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招标人不得泄露招标投标活动中应当保密的情况和资料，不得与投标人串通损害国家利益、社会公共利益或者他人合法权益。</w:t>
      </w:r>
    </w:p>
    <w:p w14:paraId="750C3625">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206" w:name="bookmark70"/>
      <w:bookmarkEnd w:id="206"/>
      <w:bookmarkStart w:id="207" w:name="_Toc24813"/>
      <w:bookmarkStart w:id="208" w:name="_Toc19928"/>
      <w:r>
        <w:rPr>
          <w:rFonts w:hint="default" w:cs="宋体"/>
          <w:color w:val="auto"/>
          <w:sz w:val="24"/>
          <w:szCs w:val="24"/>
          <w:highlight w:val="none"/>
        </w:rPr>
        <w:t>8.2 对投标人的纪律要求</w:t>
      </w:r>
      <w:bookmarkEnd w:id="207"/>
      <w:bookmarkEnd w:id="208"/>
    </w:p>
    <w:p w14:paraId="2E64DBE1">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27B7821">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209" w:name="bookmark71"/>
      <w:bookmarkEnd w:id="209"/>
      <w:bookmarkStart w:id="210" w:name="_Toc18085"/>
      <w:bookmarkStart w:id="211" w:name="_Toc28387"/>
      <w:r>
        <w:rPr>
          <w:rFonts w:hint="default" w:cs="宋体"/>
          <w:color w:val="auto"/>
          <w:sz w:val="24"/>
          <w:szCs w:val="24"/>
          <w:highlight w:val="none"/>
        </w:rPr>
        <w:t>8.3 对评标委员会成员的纪律要求</w:t>
      </w:r>
      <w:bookmarkEnd w:id="210"/>
      <w:bookmarkEnd w:id="211"/>
    </w:p>
    <w:p w14:paraId="75978853">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DA966AD">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212" w:name="bookmark72"/>
      <w:bookmarkEnd w:id="212"/>
      <w:bookmarkStart w:id="213" w:name="_Toc29038"/>
      <w:bookmarkStart w:id="214" w:name="_Toc15826"/>
      <w:r>
        <w:rPr>
          <w:rFonts w:hint="default" w:cs="宋体"/>
          <w:color w:val="auto"/>
          <w:sz w:val="24"/>
          <w:szCs w:val="24"/>
          <w:highlight w:val="none"/>
        </w:rPr>
        <w:t>8.4 对与评标活动有关的工作人员的纪律要求</w:t>
      </w:r>
      <w:bookmarkEnd w:id="213"/>
      <w:bookmarkEnd w:id="214"/>
    </w:p>
    <w:p w14:paraId="310231F7">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C005FFF">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215" w:name="bookmark73"/>
      <w:bookmarkEnd w:id="215"/>
      <w:bookmarkStart w:id="216" w:name="_Toc15989"/>
      <w:bookmarkStart w:id="217" w:name="_Toc4282"/>
      <w:r>
        <w:rPr>
          <w:rFonts w:hint="default" w:cs="宋体"/>
          <w:color w:val="auto"/>
          <w:sz w:val="24"/>
          <w:szCs w:val="24"/>
          <w:highlight w:val="none"/>
        </w:rPr>
        <w:t>8.5 投诉</w:t>
      </w:r>
      <w:bookmarkEnd w:id="216"/>
      <w:bookmarkEnd w:id="217"/>
    </w:p>
    <w:p w14:paraId="112D622F">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1C826F32">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8.5.2  投标人或者其他利害关系人对招标文件、开标和评标结果提出投诉的，应当按照投标人须知第2.4款、第5.3款和第7.2款的规定先向招标人提出异议。异议答复期间不计算在第8.5.1项规定的期限内。</w:t>
      </w:r>
    </w:p>
    <w:p w14:paraId="2E72073C">
      <w:pPr>
        <w:pStyle w:val="4"/>
        <w:outlineLvl w:val="1"/>
        <w:rPr>
          <w:rFonts w:hint="eastAsia" w:ascii="Microsoft JhengHei" w:hAnsi="Microsoft JhengHei" w:eastAsia="Microsoft JhengHei"/>
          <w:b w:val="0"/>
          <w:color w:val="auto"/>
          <w:sz w:val="19"/>
          <w:szCs w:val="24"/>
          <w:highlight w:val="none"/>
        </w:rPr>
      </w:pPr>
      <w:bookmarkStart w:id="218" w:name="bookmark74"/>
      <w:bookmarkEnd w:id="218"/>
      <w:bookmarkStart w:id="219" w:name="_Toc2971"/>
      <w:bookmarkStart w:id="220" w:name="_Toc5925"/>
      <w:r>
        <w:rPr>
          <w:rFonts w:hint="default" w:cs="宋体"/>
          <w:color w:val="auto"/>
          <w:sz w:val="24"/>
          <w:szCs w:val="24"/>
          <w:highlight w:val="none"/>
        </w:rPr>
        <w:t>9.采用电子招标投标</w:t>
      </w:r>
      <w:bookmarkEnd w:id="219"/>
      <w:bookmarkEnd w:id="220"/>
    </w:p>
    <w:p w14:paraId="29FBF4C5">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48" w:firstLineChars="200"/>
        <w:jc w:val="both"/>
        <w:rPr>
          <w:rFonts w:hint="default" w:cs="宋体"/>
          <w:color w:val="auto"/>
          <w:sz w:val="24"/>
          <w:szCs w:val="24"/>
          <w:highlight w:val="none"/>
        </w:rPr>
      </w:pPr>
      <w:r>
        <w:rPr>
          <w:rFonts w:hint="eastAsia" w:ascii="Times New Roman" w:hAnsi="Times New Roman" w:eastAsia="Times New Roman" w:cs="Times New Roman"/>
          <w:color w:val="auto"/>
          <w:spacing w:val="-8"/>
          <w:sz w:val="24"/>
          <w:szCs w:val="24"/>
          <w:highlight w:val="none"/>
        </w:rPr>
        <w:t>本招标项目采用电子招标投标方式，</w:t>
      </w:r>
      <w:r>
        <w:rPr>
          <w:rFonts w:hint="eastAsia" w:ascii="Times New Roman" w:hAnsi="Times New Roman" w:eastAsia="Times New Roman" w:cs="Times New Roman"/>
          <w:color w:val="auto"/>
          <w:spacing w:val="-8"/>
          <w:sz w:val="24"/>
          <w:szCs w:val="24"/>
          <w:highlight w:val="none"/>
          <w:lang w:eastAsia="zh-CN"/>
        </w:rPr>
        <w:t>按照</w:t>
      </w:r>
      <w:r>
        <w:rPr>
          <w:rFonts w:hint="eastAsia" w:ascii="Times New Roman" w:hAnsi="Times New Roman" w:eastAsia="宋体" w:cs="Times New Roman"/>
          <w:color w:val="auto"/>
          <w:spacing w:val="-8"/>
          <w:sz w:val="24"/>
          <w:szCs w:val="24"/>
          <w:highlight w:val="none"/>
          <w:lang w:eastAsia="zh-CN"/>
        </w:rPr>
        <w:t>广州交易集团有限公司（广州公共资源交易中心）</w:t>
      </w:r>
      <w:r>
        <w:rPr>
          <w:rFonts w:hint="eastAsia" w:ascii="Times New Roman" w:hAnsi="Times New Roman" w:eastAsia="Times New Roman" w:cs="Times New Roman"/>
          <w:color w:val="auto"/>
          <w:spacing w:val="-8"/>
          <w:sz w:val="24"/>
          <w:szCs w:val="24"/>
          <w:highlight w:val="none"/>
          <w:lang w:eastAsia="zh-CN"/>
        </w:rPr>
        <w:t>网站关于全流程电子化项目的相关指南进行操作</w:t>
      </w:r>
      <w:r>
        <w:rPr>
          <w:rFonts w:hint="default" w:cs="宋体"/>
          <w:color w:val="auto"/>
          <w:sz w:val="24"/>
          <w:szCs w:val="24"/>
          <w:highlight w:val="none"/>
        </w:rPr>
        <w:t>。</w:t>
      </w:r>
    </w:p>
    <w:p w14:paraId="2F40845A">
      <w:pPr>
        <w:pStyle w:val="4"/>
        <w:outlineLvl w:val="1"/>
        <w:rPr>
          <w:rFonts w:hint="eastAsia" w:ascii="Microsoft JhengHei" w:hAnsi="Microsoft JhengHei" w:eastAsia="Microsoft JhengHei"/>
          <w:b w:val="0"/>
          <w:color w:val="auto"/>
          <w:sz w:val="19"/>
          <w:szCs w:val="24"/>
          <w:highlight w:val="none"/>
        </w:rPr>
      </w:pPr>
      <w:bookmarkStart w:id="221" w:name="bookmark75"/>
      <w:bookmarkEnd w:id="221"/>
      <w:bookmarkStart w:id="222" w:name="_Toc12519"/>
      <w:bookmarkStart w:id="223" w:name="_Toc19758"/>
      <w:r>
        <w:rPr>
          <w:rFonts w:hint="default" w:cs="宋体"/>
          <w:color w:val="auto"/>
          <w:sz w:val="24"/>
          <w:szCs w:val="24"/>
          <w:highlight w:val="none"/>
        </w:rPr>
        <w:t>10.需要补充的其他内容</w:t>
      </w:r>
      <w:bookmarkEnd w:id="222"/>
      <w:bookmarkEnd w:id="223"/>
    </w:p>
    <w:p w14:paraId="605649C2">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宋体"/>
          <w:color w:val="auto"/>
          <w:sz w:val="24"/>
          <w:szCs w:val="24"/>
          <w:highlight w:val="none"/>
        </w:rPr>
      </w:pPr>
      <w:r>
        <w:rPr>
          <w:rFonts w:hint="default" w:cs="宋体"/>
          <w:color w:val="auto"/>
          <w:sz w:val="24"/>
          <w:szCs w:val="24"/>
          <w:highlight w:val="none"/>
        </w:rPr>
        <w:t>需要补充的其他内容：见投标人须知前附表。</w:t>
      </w:r>
    </w:p>
    <w:p w14:paraId="6972D208">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784CBCE6">
      <w:pPr>
        <w:pStyle w:val="5"/>
        <w:outlineLvl w:val="0"/>
        <w:rPr>
          <w:rFonts w:hint="default"/>
          <w:color w:val="auto"/>
          <w:sz w:val="28"/>
          <w:szCs w:val="24"/>
          <w:highlight w:val="none"/>
        </w:rPr>
      </w:pPr>
      <w:bookmarkStart w:id="224" w:name="bookmark77"/>
      <w:bookmarkEnd w:id="224"/>
      <w:bookmarkStart w:id="225" w:name="bookmark76"/>
      <w:bookmarkEnd w:id="225"/>
      <w:bookmarkStart w:id="226" w:name="_Toc24188"/>
      <w:bookmarkStart w:id="227" w:name="_Toc5057"/>
      <w:bookmarkStart w:id="228" w:name="_Toc15140"/>
      <w:r>
        <w:rPr>
          <w:rFonts w:hint="default"/>
          <w:color w:val="auto"/>
          <w:sz w:val="28"/>
          <w:szCs w:val="24"/>
          <w:highlight w:val="none"/>
        </w:rPr>
        <w:t>附件</w:t>
      </w:r>
      <w:r>
        <w:rPr>
          <w:rFonts w:hint="default"/>
          <w:color w:val="auto"/>
          <w:sz w:val="28"/>
          <w:szCs w:val="24"/>
          <w:highlight w:val="none"/>
          <w:lang w:eastAsia="zh-CN"/>
        </w:rPr>
        <w:t>一</w:t>
      </w:r>
      <w:r>
        <w:rPr>
          <w:rFonts w:hint="default"/>
          <w:color w:val="auto"/>
          <w:sz w:val="28"/>
          <w:szCs w:val="24"/>
          <w:highlight w:val="none"/>
        </w:rPr>
        <w:t>：问题澄清通知</w:t>
      </w:r>
      <w:bookmarkEnd w:id="226"/>
      <w:bookmarkEnd w:id="227"/>
      <w:bookmarkEnd w:id="228"/>
    </w:p>
    <w:p w14:paraId="4D938FE3">
      <w:pPr>
        <w:pStyle w:val="11"/>
        <w:kinsoku w:val="0"/>
        <w:overflowPunct w:val="0"/>
        <w:ind w:left="0"/>
        <w:rPr>
          <w:rFonts w:hint="default"/>
          <w:color w:val="auto"/>
          <w:sz w:val="20"/>
          <w:szCs w:val="24"/>
          <w:highlight w:val="none"/>
        </w:rPr>
      </w:pPr>
    </w:p>
    <w:p w14:paraId="6C5A3319">
      <w:pPr>
        <w:pStyle w:val="11"/>
        <w:kinsoku w:val="0"/>
        <w:overflowPunct w:val="0"/>
        <w:ind w:left="0"/>
        <w:rPr>
          <w:rFonts w:hint="default"/>
          <w:color w:val="auto"/>
          <w:sz w:val="20"/>
          <w:szCs w:val="24"/>
          <w:highlight w:val="none"/>
        </w:rPr>
      </w:pPr>
    </w:p>
    <w:p w14:paraId="765B7851">
      <w:pPr>
        <w:pStyle w:val="11"/>
        <w:kinsoku w:val="0"/>
        <w:overflowPunct w:val="0"/>
        <w:ind w:left="0"/>
        <w:rPr>
          <w:rFonts w:hint="default"/>
          <w:color w:val="auto"/>
          <w:sz w:val="20"/>
          <w:szCs w:val="24"/>
          <w:highlight w:val="none"/>
        </w:rPr>
      </w:pPr>
    </w:p>
    <w:p w14:paraId="5F8A4D1A">
      <w:pPr>
        <w:pStyle w:val="11"/>
        <w:kinsoku w:val="0"/>
        <w:overflowPunct w:val="0"/>
        <w:spacing w:before="4"/>
        <w:ind w:left="0"/>
        <w:rPr>
          <w:rFonts w:hint="default"/>
          <w:color w:val="auto"/>
          <w:sz w:val="17"/>
          <w:szCs w:val="24"/>
          <w:highlight w:val="none"/>
        </w:rPr>
      </w:pPr>
    </w:p>
    <w:p w14:paraId="1BB82AA2">
      <w:pPr>
        <w:pStyle w:val="11"/>
        <w:kinsoku w:val="0"/>
        <w:overflowPunct w:val="0"/>
        <w:spacing w:before="14"/>
        <w:ind w:left="0" w:right="13"/>
        <w:jc w:val="center"/>
        <w:rPr>
          <w:rFonts w:hint="default"/>
          <w:color w:val="auto"/>
          <w:sz w:val="28"/>
          <w:szCs w:val="24"/>
          <w:highlight w:val="none"/>
        </w:rPr>
      </w:pPr>
      <w:r>
        <w:rPr>
          <w:rFonts w:hint="default"/>
          <w:color w:val="auto"/>
          <w:sz w:val="28"/>
          <w:szCs w:val="24"/>
          <w:highlight w:val="none"/>
        </w:rPr>
        <w:t>问题澄清通知</w:t>
      </w:r>
    </w:p>
    <w:p w14:paraId="156BD8DF">
      <w:pPr>
        <w:pStyle w:val="11"/>
        <w:tabs>
          <w:tab w:val="left" w:pos="2937"/>
        </w:tabs>
        <w:kinsoku w:val="0"/>
        <w:overflowPunct w:val="0"/>
        <w:spacing w:before="157"/>
        <w:ind w:left="0" w:right="20"/>
        <w:jc w:val="center"/>
        <w:rPr>
          <w:rFonts w:hint="default"/>
          <w:color w:val="auto"/>
          <w:sz w:val="21"/>
          <w:szCs w:val="24"/>
          <w:highlight w:val="none"/>
        </w:rPr>
      </w:pPr>
      <w:r>
        <w:rPr>
          <w:rFonts w:hint="default"/>
          <w:color w:val="auto"/>
          <w:spacing w:val="-1"/>
          <w:sz w:val="21"/>
          <w:szCs w:val="24"/>
          <w:highlight w:val="none"/>
        </w:rPr>
        <w:t>（编号：</w:t>
      </w:r>
      <w:r>
        <w:rPr>
          <w:rFonts w:hint="eastAsia" w:ascii="Times New Roman" w:hAnsi="Times New Roman" w:eastAsia="Times New Roman"/>
          <w:color w:val="auto"/>
          <w:spacing w:val="-1"/>
          <w:sz w:val="21"/>
          <w:szCs w:val="24"/>
          <w:highlight w:val="none"/>
          <w:u w:val="single"/>
        </w:rPr>
        <w:tab/>
      </w:r>
      <w:r>
        <w:rPr>
          <w:rFonts w:hint="default"/>
          <w:color w:val="auto"/>
          <w:sz w:val="21"/>
          <w:szCs w:val="24"/>
          <w:highlight w:val="none"/>
        </w:rPr>
        <w:t>）</w:t>
      </w:r>
    </w:p>
    <w:p w14:paraId="5240E9A3">
      <w:pPr>
        <w:pStyle w:val="11"/>
        <w:kinsoku w:val="0"/>
        <w:overflowPunct w:val="0"/>
        <w:ind w:left="0"/>
        <w:rPr>
          <w:rFonts w:hint="default"/>
          <w:color w:val="auto"/>
          <w:sz w:val="20"/>
          <w:szCs w:val="24"/>
          <w:highlight w:val="none"/>
        </w:rPr>
      </w:pPr>
    </w:p>
    <w:p w14:paraId="37E4C442">
      <w:pPr>
        <w:pStyle w:val="11"/>
        <w:kinsoku w:val="0"/>
        <w:overflowPunct w:val="0"/>
        <w:spacing w:before="5"/>
        <w:ind w:left="0"/>
        <w:rPr>
          <w:rFonts w:hint="default"/>
          <w:color w:val="auto"/>
          <w:sz w:val="23"/>
          <w:szCs w:val="24"/>
          <w:highlight w:val="none"/>
        </w:rPr>
      </w:pPr>
    </w:p>
    <w:p w14:paraId="2916B81E">
      <w:pPr>
        <w:pStyle w:val="11"/>
        <w:tabs>
          <w:tab w:val="left" w:pos="2305"/>
        </w:tabs>
        <w:kinsoku w:val="0"/>
        <w:overflowPunct w:val="0"/>
        <w:spacing w:before="36"/>
        <w:ind w:left="100" w:right="113"/>
        <w:rPr>
          <w:rFonts w:hint="default"/>
          <w:color w:val="auto"/>
          <w:spacing w:val="-15"/>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15"/>
          <w:sz w:val="21"/>
          <w:szCs w:val="24"/>
          <w:highlight w:val="none"/>
        </w:rPr>
        <w:t>（投标人名称）：</w:t>
      </w:r>
    </w:p>
    <w:p w14:paraId="67071539">
      <w:pPr>
        <w:pStyle w:val="11"/>
        <w:kinsoku w:val="0"/>
        <w:overflowPunct w:val="0"/>
        <w:ind w:left="0"/>
        <w:rPr>
          <w:rFonts w:hint="default"/>
          <w:color w:val="auto"/>
          <w:sz w:val="20"/>
          <w:szCs w:val="24"/>
          <w:highlight w:val="none"/>
        </w:rPr>
      </w:pPr>
    </w:p>
    <w:p w14:paraId="1FE49FE1">
      <w:pPr>
        <w:pStyle w:val="11"/>
        <w:kinsoku w:val="0"/>
        <w:overflowPunct w:val="0"/>
        <w:spacing w:before="8"/>
        <w:ind w:left="0"/>
        <w:rPr>
          <w:rFonts w:hint="default"/>
          <w:color w:val="auto"/>
          <w:sz w:val="23"/>
          <w:szCs w:val="24"/>
          <w:highlight w:val="none"/>
        </w:rPr>
      </w:pPr>
    </w:p>
    <w:p w14:paraId="6E3E3BAE">
      <w:pPr>
        <w:pStyle w:val="11"/>
        <w:kinsoku w:val="0"/>
        <w:overflowPunct w:val="0"/>
        <w:spacing w:before="36" w:line="384" w:lineRule="auto"/>
        <w:ind w:left="100" w:right="113" w:firstLine="422"/>
        <w:rPr>
          <w:rFonts w:hint="default"/>
          <w:color w:val="auto"/>
          <w:sz w:val="21"/>
          <w:szCs w:val="24"/>
          <w:highlight w:val="none"/>
        </w:rPr>
      </w:pPr>
      <w:r>
        <w:rPr>
          <w:rFonts w:hint="default"/>
          <w:color w:val="auto"/>
          <w:spacing w:val="-1"/>
          <w:sz w:val="21"/>
          <w:szCs w:val="24"/>
          <w:highlight w:val="none"/>
        </w:rPr>
        <w:t>评标委员会对你方的投标文件进行了仔细的审查，现需你方对下列问题以书面形式予以澄</w:t>
      </w:r>
      <w:r>
        <w:rPr>
          <w:rFonts w:hint="default"/>
          <w:color w:val="auto"/>
          <w:sz w:val="21"/>
          <w:szCs w:val="24"/>
          <w:highlight w:val="none"/>
        </w:rPr>
        <w:t xml:space="preserve"> 清、说明或补正：</w:t>
      </w:r>
    </w:p>
    <w:p w14:paraId="2AD294F7">
      <w:pPr>
        <w:pStyle w:val="11"/>
        <w:kinsoku w:val="0"/>
        <w:overflowPunct w:val="0"/>
        <w:ind w:left="0"/>
        <w:rPr>
          <w:rFonts w:hint="default"/>
          <w:color w:val="auto"/>
          <w:sz w:val="20"/>
          <w:szCs w:val="24"/>
          <w:highlight w:val="none"/>
        </w:rPr>
      </w:pPr>
    </w:p>
    <w:p w14:paraId="677D9C9C">
      <w:pPr>
        <w:pStyle w:val="11"/>
        <w:kinsoku w:val="0"/>
        <w:overflowPunct w:val="0"/>
        <w:spacing w:before="6"/>
        <w:ind w:left="0"/>
        <w:rPr>
          <w:rFonts w:hint="default"/>
          <w:color w:val="auto"/>
          <w:sz w:val="20"/>
          <w:szCs w:val="24"/>
          <w:highlight w:val="none"/>
        </w:rPr>
      </w:pPr>
    </w:p>
    <w:p w14:paraId="4A42533F">
      <w:pPr>
        <w:pStyle w:val="11"/>
        <w:kinsoku w:val="0"/>
        <w:overflowPunct w:val="0"/>
        <w:ind w:left="522" w:right="113"/>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1.</w:t>
      </w:r>
    </w:p>
    <w:p w14:paraId="4B569B64">
      <w:pPr>
        <w:pStyle w:val="11"/>
        <w:kinsoku w:val="0"/>
        <w:overflowPunct w:val="0"/>
        <w:spacing w:before="2"/>
        <w:ind w:left="0"/>
        <w:rPr>
          <w:rFonts w:hint="eastAsia" w:ascii="Times New Roman" w:hAnsi="Times New Roman" w:eastAsia="Times New Roman"/>
          <w:color w:val="auto"/>
          <w:sz w:val="17"/>
          <w:szCs w:val="24"/>
          <w:highlight w:val="none"/>
        </w:rPr>
      </w:pPr>
    </w:p>
    <w:p w14:paraId="06B03EB4">
      <w:pPr>
        <w:pStyle w:val="11"/>
        <w:kinsoku w:val="0"/>
        <w:overflowPunct w:val="0"/>
        <w:ind w:left="522" w:right="113"/>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2.</w:t>
      </w:r>
    </w:p>
    <w:p w14:paraId="6640CF16">
      <w:pPr>
        <w:pStyle w:val="11"/>
        <w:kinsoku w:val="0"/>
        <w:overflowPunct w:val="0"/>
        <w:spacing w:before="5"/>
        <w:ind w:left="0"/>
        <w:rPr>
          <w:rFonts w:hint="eastAsia" w:ascii="Times New Roman" w:hAnsi="Times New Roman" w:eastAsia="Times New Roman"/>
          <w:color w:val="auto"/>
          <w:sz w:val="17"/>
          <w:szCs w:val="24"/>
          <w:highlight w:val="none"/>
        </w:rPr>
      </w:pPr>
    </w:p>
    <w:p w14:paraId="6AAA4D0B">
      <w:pPr>
        <w:pStyle w:val="11"/>
        <w:kinsoku w:val="0"/>
        <w:overflowPunct w:val="0"/>
        <w:ind w:left="628" w:right="113"/>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w:t>
      </w:r>
    </w:p>
    <w:p w14:paraId="48E3170A">
      <w:pPr>
        <w:pStyle w:val="11"/>
        <w:kinsoku w:val="0"/>
        <w:overflowPunct w:val="0"/>
        <w:ind w:left="0"/>
        <w:rPr>
          <w:rFonts w:hint="eastAsia" w:ascii="Times New Roman" w:hAnsi="Times New Roman" w:eastAsia="Times New Roman"/>
          <w:color w:val="auto"/>
          <w:sz w:val="20"/>
          <w:szCs w:val="24"/>
          <w:highlight w:val="none"/>
        </w:rPr>
      </w:pPr>
    </w:p>
    <w:p w14:paraId="0B7C20BF">
      <w:pPr>
        <w:pStyle w:val="11"/>
        <w:kinsoku w:val="0"/>
        <w:overflowPunct w:val="0"/>
        <w:ind w:left="0"/>
        <w:rPr>
          <w:rFonts w:hint="eastAsia" w:ascii="Times New Roman" w:hAnsi="Times New Roman" w:eastAsia="Times New Roman"/>
          <w:color w:val="auto"/>
          <w:sz w:val="20"/>
          <w:szCs w:val="24"/>
          <w:highlight w:val="none"/>
        </w:rPr>
      </w:pPr>
    </w:p>
    <w:p w14:paraId="2EA6CCBE">
      <w:pPr>
        <w:pStyle w:val="11"/>
        <w:tabs>
          <w:tab w:val="left" w:pos="4603"/>
          <w:tab w:val="left" w:pos="5549"/>
          <w:tab w:val="left" w:pos="6494"/>
          <w:tab w:val="left" w:pos="7438"/>
        </w:tabs>
        <w:kinsoku w:val="0"/>
        <w:overflowPunct w:val="0"/>
        <w:spacing w:before="127"/>
        <w:ind w:left="505" w:right="113"/>
        <w:rPr>
          <w:rFonts w:hint="default"/>
          <w:color w:val="auto"/>
          <w:spacing w:val="-2"/>
          <w:sz w:val="21"/>
          <w:szCs w:val="24"/>
          <w:highlight w:val="none"/>
        </w:rPr>
      </w:pPr>
      <w:r>
        <w:rPr>
          <w:rFonts w:hint="default"/>
          <w:color w:val="auto"/>
          <w:spacing w:val="-2"/>
          <w:sz w:val="21"/>
          <w:szCs w:val="24"/>
          <w:highlight w:val="none"/>
        </w:rPr>
        <w:t>请将上述问题的澄清、说明或补正于</w:t>
      </w:r>
      <w:r>
        <w:rPr>
          <w:rFonts w:hint="eastAsia" w:ascii="Times New Roman" w:hAnsi="Times New Roman" w:eastAsia="Times New Roman"/>
          <w:color w:val="auto"/>
          <w:spacing w:val="-2"/>
          <w:sz w:val="21"/>
          <w:szCs w:val="24"/>
          <w:highlight w:val="none"/>
          <w:u w:val="single"/>
        </w:rPr>
        <w:tab/>
      </w:r>
      <w:r>
        <w:rPr>
          <w:rFonts w:hint="default"/>
          <w:color w:val="auto"/>
          <w:sz w:val="21"/>
          <w:szCs w:val="24"/>
          <w:highlight w:val="none"/>
        </w:rPr>
        <w:t>年</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月</w:t>
      </w:r>
      <w:r>
        <w:rPr>
          <w:rFonts w:hint="eastAsia" w:ascii="Times New Roman" w:hAnsi="Times New Roman" w:eastAsia="Times New Roman"/>
          <w:color w:val="auto"/>
          <w:sz w:val="21"/>
          <w:szCs w:val="24"/>
          <w:highlight w:val="none"/>
          <w:u w:val="single"/>
        </w:rPr>
        <w:tab/>
      </w:r>
      <w:r>
        <w:rPr>
          <w:rFonts w:hint="default"/>
          <w:color w:val="auto"/>
          <w:spacing w:val="-3"/>
          <w:sz w:val="21"/>
          <w:szCs w:val="24"/>
          <w:highlight w:val="none"/>
        </w:rPr>
        <w:t>日</w:t>
      </w:r>
      <w:r>
        <w:rPr>
          <w:rFonts w:hint="eastAsia" w:ascii="Times New Roman" w:hAnsi="Times New Roman" w:eastAsia="Times New Roman"/>
          <w:color w:val="auto"/>
          <w:spacing w:val="-3"/>
          <w:sz w:val="21"/>
          <w:szCs w:val="24"/>
          <w:highlight w:val="none"/>
          <w:u w:val="single"/>
        </w:rPr>
        <w:tab/>
      </w:r>
      <w:r>
        <w:rPr>
          <w:rFonts w:hint="default"/>
          <w:color w:val="auto"/>
          <w:spacing w:val="-2"/>
          <w:sz w:val="21"/>
          <w:szCs w:val="24"/>
          <w:highlight w:val="none"/>
        </w:rPr>
        <w:t>时前递交至</w:t>
      </w:r>
    </w:p>
    <w:p w14:paraId="6A6CE825">
      <w:pPr>
        <w:pStyle w:val="11"/>
        <w:kinsoku w:val="0"/>
        <w:overflowPunct w:val="0"/>
        <w:spacing w:before="13"/>
        <w:ind w:left="0"/>
        <w:rPr>
          <w:rFonts w:hint="default"/>
          <w:color w:val="auto"/>
          <w:sz w:val="9"/>
          <w:szCs w:val="24"/>
          <w:highlight w:val="none"/>
        </w:rPr>
      </w:pPr>
    </w:p>
    <w:p w14:paraId="39D4D9A9">
      <w:pPr>
        <w:pStyle w:val="11"/>
        <w:tabs>
          <w:tab w:val="left" w:pos="3040"/>
          <w:tab w:val="left" w:pos="7296"/>
        </w:tabs>
        <w:kinsoku w:val="0"/>
        <w:overflowPunct w:val="0"/>
        <w:spacing w:before="36"/>
        <w:ind w:left="100"/>
        <w:rPr>
          <w:rFonts w:hint="default"/>
          <w:color w:val="auto"/>
          <w:spacing w:val="-5"/>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5"/>
          <w:sz w:val="21"/>
          <w:szCs w:val="24"/>
          <w:highlight w:val="none"/>
        </w:rPr>
        <w:t>（详细地址）或传真至</w:t>
      </w:r>
      <w:r>
        <w:rPr>
          <w:rFonts w:hint="eastAsia" w:ascii="Times New Roman" w:hAnsi="Times New Roman" w:eastAsia="Times New Roman"/>
          <w:color w:val="auto"/>
          <w:spacing w:val="-5"/>
          <w:sz w:val="21"/>
          <w:szCs w:val="24"/>
          <w:highlight w:val="none"/>
          <w:u w:val="single"/>
        </w:rPr>
        <w:tab/>
      </w:r>
      <w:r>
        <w:rPr>
          <w:rFonts w:hint="default"/>
          <w:color w:val="auto"/>
          <w:spacing w:val="-5"/>
          <w:sz w:val="21"/>
          <w:szCs w:val="24"/>
          <w:highlight w:val="none"/>
        </w:rPr>
        <w:t>（传真号码）或</w:t>
      </w:r>
    </w:p>
    <w:p w14:paraId="2BD511FC">
      <w:pPr>
        <w:pStyle w:val="11"/>
        <w:kinsoku w:val="0"/>
        <w:overflowPunct w:val="0"/>
        <w:spacing w:before="10"/>
        <w:ind w:left="0"/>
        <w:rPr>
          <w:rFonts w:hint="default"/>
          <w:color w:val="auto"/>
          <w:sz w:val="9"/>
          <w:szCs w:val="24"/>
          <w:highlight w:val="none"/>
        </w:rPr>
      </w:pPr>
    </w:p>
    <w:p w14:paraId="0AE040DD">
      <w:pPr>
        <w:pStyle w:val="11"/>
        <w:tabs>
          <w:tab w:val="left" w:pos="7138"/>
          <w:tab w:val="left" w:pos="8084"/>
        </w:tabs>
        <w:kinsoku w:val="0"/>
        <w:overflowPunct w:val="0"/>
        <w:spacing w:before="36"/>
        <w:ind w:left="100" w:right="113"/>
        <w:rPr>
          <w:rFonts w:hint="default"/>
          <w:color w:val="auto"/>
          <w:sz w:val="21"/>
          <w:szCs w:val="24"/>
          <w:highlight w:val="none"/>
        </w:rPr>
      </w:pPr>
      <w:r>
        <w:rPr>
          <w:rFonts w:hint="default"/>
          <w:color w:val="auto"/>
          <w:spacing w:val="-2"/>
          <w:sz w:val="21"/>
          <w:szCs w:val="24"/>
          <w:highlight w:val="none"/>
        </w:rPr>
        <w:t>通过下载招标文件的电子招标交易平台上传。采用传真方式的，应在</w:t>
      </w:r>
      <w:r>
        <w:rPr>
          <w:rFonts w:hint="eastAsia" w:ascii="Times New Roman" w:hAnsi="Times New Roman" w:eastAsia="Times New Roman"/>
          <w:color w:val="auto"/>
          <w:spacing w:val="-2"/>
          <w:sz w:val="21"/>
          <w:szCs w:val="24"/>
          <w:highlight w:val="none"/>
          <w:u w:val="single"/>
        </w:rPr>
        <w:tab/>
      </w:r>
      <w:r>
        <w:rPr>
          <w:rFonts w:hint="default"/>
          <w:color w:val="auto"/>
          <w:sz w:val="21"/>
          <w:szCs w:val="24"/>
          <w:highlight w:val="none"/>
        </w:rPr>
        <w:t>年</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月</w:t>
      </w:r>
    </w:p>
    <w:p w14:paraId="6CA2DF0A">
      <w:pPr>
        <w:pStyle w:val="11"/>
        <w:kinsoku w:val="0"/>
        <w:overflowPunct w:val="0"/>
        <w:spacing w:before="10"/>
        <w:ind w:left="0"/>
        <w:rPr>
          <w:rFonts w:hint="default"/>
          <w:color w:val="auto"/>
          <w:sz w:val="9"/>
          <w:szCs w:val="24"/>
          <w:highlight w:val="none"/>
        </w:rPr>
      </w:pPr>
    </w:p>
    <w:p w14:paraId="33E6E812">
      <w:pPr>
        <w:pStyle w:val="11"/>
        <w:tabs>
          <w:tab w:val="left" w:pos="837"/>
          <w:tab w:val="left" w:pos="1782"/>
          <w:tab w:val="left" w:pos="5669"/>
        </w:tabs>
        <w:kinsoku w:val="0"/>
        <w:overflowPunct w:val="0"/>
        <w:spacing w:before="36"/>
        <w:ind w:left="100" w:right="113"/>
        <w:rPr>
          <w:rFonts w:hint="default"/>
          <w:color w:val="auto"/>
          <w:spacing w:val="-17"/>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日</w:t>
      </w:r>
      <w:r>
        <w:rPr>
          <w:rFonts w:hint="eastAsia" w:ascii="Times New Roman" w:hAnsi="Times New Roman" w:eastAsia="Times New Roman"/>
          <w:color w:val="auto"/>
          <w:sz w:val="21"/>
          <w:szCs w:val="24"/>
          <w:highlight w:val="none"/>
          <w:u w:val="single"/>
        </w:rPr>
        <w:tab/>
      </w:r>
      <w:r>
        <w:rPr>
          <w:rFonts w:hint="default"/>
          <w:color w:val="auto"/>
          <w:spacing w:val="-2"/>
          <w:sz w:val="21"/>
          <w:szCs w:val="24"/>
          <w:highlight w:val="none"/>
        </w:rPr>
        <w:t>时前将原件递交至</w:t>
      </w:r>
      <w:r>
        <w:rPr>
          <w:rFonts w:hint="eastAsia" w:ascii="Times New Roman" w:hAnsi="Times New Roman" w:eastAsia="Times New Roman"/>
          <w:color w:val="auto"/>
          <w:spacing w:val="-2"/>
          <w:sz w:val="21"/>
          <w:szCs w:val="24"/>
          <w:highlight w:val="none"/>
          <w:u w:val="single"/>
        </w:rPr>
        <w:tab/>
      </w:r>
      <w:r>
        <w:rPr>
          <w:rFonts w:hint="default"/>
          <w:color w:val="auto"/>
          <w:spacing w:val="-17"/>
          <w:sz w:val="21"/>
          <w:szCs w:val="24"/>
          <w:highlight w:val="none"/>
        </w:rPr>
        <w:t>（详细地址）。</w:t>
      </w:r>
    </w:p>
    <w:p w14:paraId="26844B62">
      <w:pPr>
        <w:pStyle w:val="11"/>
        <w:kinsoku w:val="0"/>
        <w:overflowPunct w:val="0"/>
        <w:ind w:left="0"/>
        <w:rPr>
          <w:rFonts w:hint="default"/>
          <w:color w:val="auto"/>
          <w:sz w:val="20"/>
          <w:szCs w:val="24"/>
          <w:highlight w:val="none"/>
        </w:rPr>
      </w:pPr>
    </w:p>
    <w:p w14:paraId="271BA7EE">
      <w:pPr>
        <w:pStyle w:val="11"/>
        <w:kinsoku w:val="0"/>
        <w:overflowPunct w:val="0"/>
        <w:ind w:left="0"/>
        <w:rPr>
          <w:rFonts w:hint="default"/>
          <w:color w:val="auto"/>
          <w:sz w:val="20"/>
          <w:szCs w:val="24"/>
          <w:highlight w:val="none"/>
        </w:rPr>
      </w:pPr>
    </w:p>
    <w:p w14:paraId="68AB3AD9">
      <w:pPr>
        <w:pStyle w:val="11"/>
        <w:kinsoku w:val="0"/>
        <w:overflowPunct w:val="0"/>
        <w:ind w:left="0"/>
        <w:rPr>
          <w:rFonts w:hint="default"/>
          <w:color w:val="auto"/>
          <w:sz w:val="20"/>
          <w:szCs w:val="24"/>
          <w:highlight w:val="none"/>
        </w:rPr>
      </w:pPr>
    </w:p>
    <w:p w14:paraId="7BD48231">
      <w:pPr>
        <w:pStyle w:val="11"/>
        <w:kinsoku w:val="0"/>
        <w:overflowPunct w:val="0"/>
        <w:spacing w:before="2"/>
        <w:ind w:left="0"/>
        <w:rPr>
          <w:rFonts w:hint="default"/>
          <w:color w:val="auto"/>
          <w:sz w:val="17"/>
          <w:szCs w:val="24"/>
          <w:highlight w:val="none"/>
        </w:rPr>
      </w:pPr>
    </w:p>
    <w:p w14:paraId="0DEE5C00">
      <w:pPr>
        <w:pStyle w:val="11"/>
        <w:tabs>
          <w:tab w:val="left" w:pos="7032"/>
        </w:tabs>
        <w:kinsoku w:val="0"/>
        <w:overflowPunct w:val="0"/>
        <w:spacing w:before="36"/>
        <w:ind w:left="2200" w:right="113"/>
        <w:rPr>
          <w:rFonts w:hint="default"/>
          <w:color w:val="auto"/>
          <w:spacing w:val="-1"/>
          <w:sz w:val="21"/>
          <w:szCs w:val="24"/>
          <w:highlight w:val="none"/>
        </w:rPr>
      </w:pPr>
      <w:r>
        <w:rPr>
          <w:rFonts w:hint="default"/>
          <w:color w:val="auto"/>
          <w:spacing w:val="-2"/>
          <w:sz w:val="21"/>
          <w:szCs w:val="24"/>
          <w:highlight w:val="none"/>
        </w:rPr>
        <w:t>评标委员会</w:t>
      </w:r>
      <w:r>
        <w:rPr>
          <w:rFonts w:hint="eastAsia"/>
          <w:color w:val="auto"/>
          <w:spacing w:val="-2"/>
          <w:sz w:val="21"/>
          <w:szCs w:val="24"/>
          <w:highlight w:val="none"/>
          <w:lang w:eastAsia="zh-CN"/>
        </w:rPr>
        <w:t>签字</w:t>
      </w:r>
      <w:r>
        <w:rPr>
          <w:rFonts w:hint="default"/>
          <w:color w:val="auto"/>
          <w:spacing w:val="-2"/>
          <w:sz w:val="21"/>
          <w:szCs w:val="24"/>
          <w:highlight w:val="none"/>
        </w:rPr>
        <w:t>：</w:t>
      </w:r>
      <w:r>
        <w:rPr>
          <w:rFonts w:hint="eastAsia" w:ascii="Times New Roman" w:hAnsi="Times New Roman" w:eastAsia="Times New Roman"/>
          <w:color w:val="auto"/>
          <w:spacing w:val="-2"/>
          <w:sz w:val="21"/>
          <w:szCs w:val="24"/>
          <w:highlight w:val="none"/>
          <w:u w:val="single"/>
        </w:rPr>
        <w:tab/>
      </w:r>
    </w:p>
    <w:p w14:paraId="766FB2C0">
      <w:pPr>
        <w:pStyle w:val="11"/>
        <w:kinsoku w:val="0"/>
        <w:overflowPunct w:val="0"/>
        <w:ind w:left="0"/>
        <w:rPr>
          <w:rFonts w:hint="default"/>
          <w:color w:val="auto"/>
          <w:sz w:val="20"/>
          <w:szCs w:val="24"/>
          <w:highlight w:val="none"/>
        </w:rPr>
      </w:pPr>
    </w:p>
    <w:p w14:paraId="27F2CC40">
      <w:pPr>
        <w:pStyle w:val="11"/>
        <w:kinsoku w:val="0"/>
        <w:overflowPunct w:val="0"/>
        <w:spacing w:before="7"/>
        <w:ind w:left="0"/>
        <w:rPr>
          <w:rFonts w:hint="default"/>
          <w:color w:val="auto"/>
          <w:sz w:val="23"/>
          <w:szCs w:val="24"/>
          <w:highlight w:val="none"/>
        </w:rPr>
      </w:pPr>
    </w:p>
    <w:p w14:paraId="6F821800">
      <w:pPr>
        <w:pStyle w:val="11"/>
        <w:tabs>
          <w:tab w:val="left" w:pos="5803"/>
          <w:tab w:val="left" w:pos="6746"/>
          <w:tab w:val="left" w:pos="7692"/>
        </w:tabs>
        <w:kinsoku w:val="0"/>
        <w:overflowPunct w:val="0"/>
        <w:spacing w:before="36"/>
        <w:ind w:left="4961" w:right="113"/>
        <w:rPr>
          <w:rFonts w:hint="default"/>
          <w:color w:val="auto"/>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3"/>
          <w:sz w:val="21"/>
          <w:szCs w:val="24"/>
          <w:highlight w:val="none"/>
        </w:rPr>
        <w:t>年</w:t>
      </w:r>
      <w:r>
        <w:rPr>
          <w:rFonts w:hint="eastAsia" w:ascii="Times New Roman" w:hAnsi="Times New Roman" w:eastAsia="Times New Roman"/>
          <w:color w:val="auto"/>
          <w:spacing w:val="-3"/>
          <w:sz w:val="21"/>
          <w:szCs w:val="24"/>
          <w:highlight w:val="none"/>
          <w:u w:val="single"/>
        </w:rPr>
        <w:tab/>
      </w:r>
      <w:r>
        <w:rPr>
          <w:rFonts w:hint="default"/>
          <w:color w:val="auto"/>
          <w:sz w:val="21"/>
          <w:szCs w:val="24"/>
          <w:highlight w:val="none"/>
        </w:rPr>
        <w:t>月</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日</w:t>
      </w:r>
    </w:p>
    <w:p w14:paraId="7BFC9163">
      <w:pPr>
        <w:pStyle w:val="11"/>
        <w:tabs>
          <w:tab w:val="left" w:pos="5803"/>
          <w:tab w:val="left" w:pos="6746"/>
          <w:tab w:val="left" w:pos="7692"/>
        </w:tabs>
        <w:kinsoku w:val="0"/>
        <w:overflowPunct w:val="0"/>
        <w:spacing w:before="36"/>
        <w:ind w:left="4961" w:right="113"/>
        <w:rPr>
          <w:rFonts w:hint="default"/>
          <w:color w:val="auto"/>
          <w:sz w:val="21"/>
          <w:szCs w:val="24"/>
          <w:highlight w:val="none"/>
        </w:rPr>
        <w:sectPr>
          <w:pgSz w:w="11905" w:h="16838"/>
          <w:pgMar w:top="1417" w:right="1417" w:bottom="1417" w:left="1417" w:header="992" w:footer="992" w:gutter="0"/>
          <w:lnNumType w:countBy="0" w:distance="360"/>
          <w:pgNumType w:fmt="decimal"/>
          <w:cols w:space="720" w:num="1"/>
        </w:sectPr>
      </w:pPr>
    </w:p>
    <w:p w14:paraId="34425EA0">
      <w:pPr>
        <w:pStyle w:val="5"/>
        <w:rPr>
          <w:rFonts w:hint="default"/>
          <w:color w:val="auto"/>
          <w:sz w:val="28"/>
          <w:szCs w:val="24"/>
          <w:highlight w:val="none"/>
        </w:rPr>
      </w:pPr>
      <w:bookmarkStart w:id="229" w:name="bookmark78"/>
      <w:bookmarkEnd w:id="229"/>
      <w:r>
        <w:rPr>
          <w:rFonts w:hint="default"/>
          <w:color w:val="auto"/>
          <w:sz w:val="28"/>
          <w:szCs w:val="24"/>
          <w:highlight w:val="none"/>
        </w:rPr>
        <w:t>附件</w:t>
      </w:r>
      <w:r>
        <w:rPr>
          <w:rFonts w:hint="default"/>
          <w:color w:val="auto"/>
          <w:sz w:val="28"/>
          <w:szCs w:val="24"/>
          <w:highlight w:val="none"/>
          <w:lang w:eastAsia="zh-CN"/>
        </w:rPr>
        <w:t>二</w:t>
      </w:r>
      <w:r>
        <w:rPr>
          <w:rFonts w:hint="default"/>
          <w:color w:val="auto"/>
          <w:sz w:val="28"/>
          <w:szCs w:val="24"/>
          <w:highlight w:val="none"/>
        </w:rPr>
        <w:t>：问题的澄清</w:t>
      </w:r>
    </w:p>
    <w:p w14:paraId="5A43A954">
      <w:pPr>
        <w:pStyle w:val="11"/>
        <w:kinsoku w:val="0"/>
        <w:overflowPunct w:val="0"/>
        <w:ind w:left="0"/>
        <w:rPr>
          <w:rFonts w:hint="default"/>
          <w:color w:val="auto"/>
          <w:sz w:val="20"/>
          <w:szCs w:val="24"/>
          <w:highlight w:val="none"/>
        </w:rPr>
      </w:pPr>
    </w:p>
    <w:p w14:paraId="3C50E8ED">
      <w:pPr>
        <w:pStyle w:val="11"/>
        <w:kinsoku w:val="0"/>
        <w:overflowPunct w:val="0"/>
        <w:ind w:left="0"/>
        <w:rPr>
          <w:rFonts w:hint="default"/>
          <w:color w:val="auto"/>
          <w:sz w:val="20"/>
          <w:szCs w:val="24"/>
          <w:highlight w:val="none"/>
        </w:rPr>
      </w:pPr>
    </w:p>
    <w:p w14:paraId="5BD680F8">
      <w:pPr>
        <w:pStyle w:val="11"/>
        <w:kinsoku w:val="0"/>
        <w:overflowPunct w:val="0"/>
        <w:ind w:left="0"/>
        <w:rPr>
          <w:rFonts w:hint="default"/>
          <w:color w:val="auto"/>
          <w:sz w:val="20"/>
          <w:szCs w:val="24"/>
          <w:highlight w:val="none"/>
        </w:rPr>
      </w:pPr>
    </w:p>
    <w:p w14:paraId="17BFAE34">
      <w:pPr>
        <w:pStyle w:val="11"/>
        <w:kinsoku w:val="0"/>
        <w:overflowPunct w:val="0"/>
        <w:spacing w:before="168"/>
        <w:ind w:left="0" w:right="16"/>
        <w:jc w:val="center"/>
        <w:rPr>
          <w:rFonts w:hint="default"/>
          <w:color w:val="auto"/>
          <w:sz w:val="28"/>
          <w:szCs w:val="24"/>
          <w:highlight w:val="none"/>
        </w:rPr>
      </w:pPr>
      <w:r>
        <w:rPr>
          <w:rFonts w:hint="default"/>
          <w:color w:val="auto"/>
          <w:sz w:val="28"/>
          <w:szCs w:val="24"/>
          <w:highlight w:val="none"/>
        </w:rPr>
        <w:t>问题的澄清</w:t>
      </w:r>
    </w:p>
    <w:p w14:paraId="2EA8A150">
      <w:pPr>
        <w:pStyle w:val="11"/>
        <w:tabs>
          <w:tab w:val="left" w:pos="5947"/>
        </w:tabs>
        <w:kinsoku w:val="0"/>
        <w:overflowPunct w:val="0"/>
        <w:spacing w:before="113"/>
        <w:ind w:left="3566" w:right="113"/>
        <w:rPr>
          <w:rFonts w:hint="default"/>
          <w:color w:val="auto"/>
          <w:sz w:val="21"/>
          <w:szCs w:val="24"/>
          <w:highlight w:val="none"/>
        </w:rPr>
      </w:pPr>
      <w:r>
        <w:rPr>
          <w:rFonts w:hint="default"/>
          <w:color w:val="auto"/>
          <w:spacing w:val="-1"/>
          <w:sz w:val="21"/>
          <w:szCs w:val="24"/>
          <w:highlight w:val="none"/>
        </w:rPr>
        <w:t>（编号：</w:t>
      </w:r>
      <w:r>
        <w:rPr>
          <w:rFonts w:hint="eastAsia" w:ascii="Times New Roman" w:hAnsi="Times New Roman" w:eastAsia="Times New Roman"/>
          <w:color w:val="auto"/>
          <w:spacing w:val="-1"/>
          <w:sz w:val="21"/>
          <w:szCs w:val="24"/>
          <w:highlight w:val="none"/>
          <w:u w:val="single"/>
        </w:rPr>
        <w:tab/>
      </w:r>
      <w:r>
        <w:rPr>
          <w:rFonts w:hint="default"/>
          <w:color w:val="auto"/>
          <w:sz w:val="21"/>
          <w:szCs w:val="24"/>
          <w:highlight w:val="none"/>
        </w:rPr>
        <w:t>）</w:t>
      </w:r>
    </w:p>
    <w:p w14:paraId="63B65C6C">
      <w:pPr>
        <w:pStyle w:val="11"/>
        <w:kinsoku w:val="0"/>
        <w:overflowPunct w:val="0"/>
        <w:ind w:left="0"/>
        <w:rPr>
          <w:rFonts w:hint="default"/>
          <w:color w:val="auto"/>
          <w:sz w:val="20"/>
          <w:szCs w:val="24"/>
          <w:highlight w:val="none"/>
        </w:rPr>
      </w:pPr>
    </w:p>
    <w:p w14:paraId="3658B062">
      <w:pPr>
        <w:pStyle w:val="11"/>
        <w:kinsoku w:val="0"/>
        <w:overflowPunct w:val="0"/>
        <w:spacing w:before="1"/>
        <w:ind w:left="0"/>
        <w:rPr>
          <w:rFonts w:hint="default"/>
          <w:color w:val="auto"/>
          <w:sz w:val="20"/>
          <w:szCs w:val="24"/>
          <w:highlight w:val="none"/>
        </w:rPr>
      </w:pPr>
    </w:p>
    <w:p w14:paraId="2ABBE12C">
      <w:pPr>
        <w:pStyle w:val="11"/>
        <w:kinsoku w:val="0"/>
        <w:overflowPunct w:val="0"/>
        <w:spacing w:before="36"/>
        <w:ind w:left="100" w:right="113"/>
        <w:rPr>
          <w:rFonts w:hint="default"/>
          <w:color w:val="auto"/>
          <w:sz w:val="21"/>
          <w:szCs w:val="24"/>
          <w:highlight w:val="none"/>
        </w:rPr>
      </w:pPr>
      <w:r>
        <w:rPr>
          <w:rFonts w:hint="default"/>
          <w:color w:val="auto"/>
          <w:sz w:val="21"/>
          <w:szCs w:val="24"/>
          <w:highlight w:val="none"/>
        </w:rPr>
        <w:t>评标委员会：</w:t>
      </w:r>
    </w:p>
    <w:p w14:paraId="57C123EF">
      <w:pPr>
        <w:pStyle w:val="11"/>
        <w:kinsoku w:val="0"/>
        <w:overflowPunct w:val="0"/>
        <w:ind w:left="0"/>
        <w:rPr>
          <w:rFonts w:hint="default"/>
          <w:color w:val="auto"/>
          <w:sz w:val="20"/>
          <w:szCs w:val="24"/>
          <w:highlight w:val="none"/>
        </w:rPr>
      </w:pPr>
    </w:p>
    <w:p w14:paraId="0C85A953">
      <w:pPr>
        <w:pStyle w:val="11"/>
        <w:kinsoku w:val="0"/>
        <w:overflowPunct w:val="0"/>
        <w:spacing w:before="2"/>
        <w:ind w:left="0"/>
        <w:rPr>
          <w:rFonts w:hint="default"/>
          <w:color w:val="auto"/>
          <w:sz w:val="26"/>
          <w:szCs w:val="24"/>
          <w:highlight w:val="none"/>
        </w:rPr>
      </w:pPr>
    </w:p>
    <w:p w14:paraId="2140D33B">
      <w:pPr>
        <w:pStyle w:val="11"/>
        <w:tabs>
          <w:tab w:val="left" w:pos="3460"/>
        </w:tabs>
        <w:kinsoku w:val="0"/>
        <w:overflowPunct w:val="0"/>
        <w:ind w:left="522" w:right="113"/>
        <w:rPr>
          <w:rFonts w:hint="default"/>
          <w:color w:val="auto"/>
          <w:spacing w:val="-2"/>
          <w:sz w:val="21"/>
          <w:szCs w:val="24"/>
          <w:highlight w:val="none"/>
        </w:rPr>
      </w:pPr>
      <w:r>
        <w:rPr>
          <w:rFonts w:hint="default"/>
          <w:color w:val="auto"/>
          <w:spacing w:val="-2"/>
          <w:sz w:val="21"/>
          <w:szCs w:val="24"/>
          <w:highlight w:val="none"/>
        </w:rPr>
        <w:t>问题澄清通知（编号：</w:t>
      </w:r>
      <w:r>
        <w:rPr>
          <w:rFonts w:hint="eastAsia" w:ascii="Times New Roman" w:hAnsi="Times New Roman" w:eastAsia="Times New Roman"/>
          <w:color w:val="auto"/>
          <w:spacing w:val="-2"/>
          <w:sz w:val="21"/>
          <w:szCs w:val="24"/>
          <w:highlight w:val="none"/>
          <w:u w:val="single"/>
        </w:rPr>
        <w:tab/>
      </w:r>
      <w:r>
        <w:rPr>
          <w:rFonts w:hint="default"/>
          <w:color w:val="auto"/>
          <w:spacing w:val="-2"/>
          <w:sz w:val="21"/>
          <w:szCs w:val="24"/>
          <w:highlight w:val="none"/>
        </w:rPr>
        <w:t>）已收悉，现澄清、说明或补正如下：</w:t>
      </w:r>
    </w:p>
    <w:p w14:paraId="18629ED2">
      <w:pPr>
        <w:pStyle w:val="11"/>
        <w:kinsoku w:val="0"/>
        <w:overflowPunct w:val="0"/>
        <w:spacing w:before="11"/>
        <w:ind w:left="0"/>
        <w:rPr>
          <w:rFonts w:hint="default"/>
          <w:color w:val="auto"/>
          <w:sz w:val="10"/>
          <w:szCs w:val="24"/>
          <w:highlight w:val="none"/>
        </w:rPr>
      </w:pPr>
    </w:p>
    <w:p w14:paraId="0094B485">
      <w:pPr>
        <w:pStyle w:val="11"/>
        <w:kinsoku w:val="0"/>
        <w:overflowPunct w:val="0"/>
        <w:spacing w:before="74"/>
        <w:ind w:left="0" w:right="7025"/>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1.</w:t>
      </w:r>
    </w:p>
    <w:p w14:paraId="60DED044">
      <w:pPr>
        <w:pStyle w:val="11"/>
        <w:kinsoku w:val="0"/>
        <w:overflowPunct w:val="0"/>
        <w:spacing w:before="2"/>
        <w:ind w:left="0"/>
        <w:rPr>
          <w:rFonts w:hint="eastAsia" w:ascii="Times New Roman" w:hAnsi="Times New Roman" w:eastAsia="Times New Roman"/>
          <w:color w:val="auto"/>
          <w:sz w:val="17"/>
          <w:szCs w:val="24"/>
          <w:highlight w:val="none"/>
        </w:rPr>
      </w:pPr>
    </w:p>
    <w:p w14:paraId="4A4A3067">
      <w:pPr>
        <w:pStyle w:val="11"/>
        <w:kinsoku w:val="0"/>
        <w:overflowPunct w:val="0"/>
        <w:ind w:left="0" w:right="7025"/>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2.</w:t>
      </w:r>
    </w:p>
    <w:p w14:paraId="41769402">
      <w:pPr>
        <w:pStyle w:val="11"/>
        <w:kinsoku w:val="0"/>
        <w:overflowPunct w:val="0"/>
        <w:spacing w:before="2"/>
        <w:ind w:left="0"/>
        <w:rPr>
          <w:rFonts w:hint="eastAsia" w:ascii="Times New Roman" w:hAnsi="Times New Roman" w:eastAsia="Times New Roman"/>
          <w:color w:val="auto"/>
          <w:sz w:val="17"/>
          <w:szCs w:val="24"/>
          <w:highlight w:val="none"/>
        </w:rPr>
      </w:pPr>
    </w:p>
    <w:p w14:paraId="6B4DCBC9">
      <w:pPr>
        <w:pStyle w:val="11"/>
        <w:kinsoku w:val="0"/>
        <w:overflowPunct w:val="0"/>
        <w:ind w:left="0" w:right="713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w:t>
      </w:r>
    </w:p>
    <w:p w14:paraId="35ADA24C">
      <w:pPr>
        <w:pStyle w:val="11"/>
        <w:kinsoku w:val="0"/>
        <w:overflowPunct w:val="0"/>
        <w:ind w:left="0"/>
        <w:rPr>
          <w:rFonts w:hint="eastAsia" w:ascii="Times New Roman" w:hAnsi="Times New Roman" w:eastAsia="Times New Roman"/>
          <w:color w:val="auto"/>
          <w:sz w:val="20"/>
          <w:szCs w:val="24"/>
          <w:highlight w:val="none"/>
        </w:rPr>
      </w:pPr>
    </w:p>
    <w:p w14:paraId="230D73B4">
      <w:pPr>
        <w:pStyle w:val="11"/>
        <w:kinsoku w:val="0"/>
        <w:overflowPunct w:val="0"/>
        <w:ind w:left="0"/>
        <w:rPr>
          <w:rFonts w:hint="eastAsia" w:ascii="Times New Roman" w:hAnsi="Times New Roman" w:eastAsia="Times New Roman"/>
          <w:color w:val="auto"/>
          <w:sz w:val="20"/>
          <w:szCs w:val="24"/>
          <w:highlight w:val="none"/>
        </w:rPr>
      </w:pPr>
    </w:p>
    <w:p w14:paraId="68096F21">
      <w:pPr>
        <w:pStyle w:val="11"/>
        <w:kinsoku w:val="0"/>
        <w:overflowPunct w:val="0"/>
        <w:ind w:left="0"/>
        <w:rPr>
          <w:rFonts w:hint="eastAsia" w:ascii="Times New Roman" w:hAnsi="Times New Roman" w:eastAsia="Times New Roman"/>
          <w:color w:val="auto"/>
          <w:sz w:val="20"/>
          <w:szCs w:val="24"/>
          <w:highlight w:val="none"/>
        </w:rPr>
      </w:pPr>
    </w:p>
    <w:p w14:paraId="25D77542">
      <w:pPr>
        <w:pStyle w:val="11"/>
        <w:kinsoku w:val="0"/>
        <w:overflowPunct w:val="0"/>
        <w:ind w:left="0"/>
        <w:rPr>
          <w:rFonts w:hint="eastAsia" w:ascii="Times New Roman" w:hAnsi="Times New Roman" w:eastAsia="Times New Roman"/>
          <w:color w:val="auto"/>
          <w:sz w:val="20"/>
          <w:szCs w:val="24"/>
          <w:highlight w:val="none"/>
        </w:rPr>
      </w:pPr>
    </w:p>
    <w:p w14:paraId="4729332F">
      <w:pPr>
        <w:pStyle w:val="11"/>
        <w:kinsoku w:val="0"/>
        <w:overflowPunct w:val="0"/>
        <w:ind w:left="0"/>
        <w:rPr>
          <w:rFonts w:hint="eastAsia" w:ascii="Times New Roman" w:hAnsi="Times New Roman" w:eastAsia="Times New Roman"/>
          <w:color w:val="auto"/>
          <w:sz w:val="20"/>
          <w:szCs w:val="24"/>
          <w:highlight w:val="none"/>
        </w:rPr>
      </w:pPr>
    </w:p>
    <w:p w14:paraId="4C208A73">
      <w:pPr>
        <w:pStyle w:val="11"/>
        <w:kinsoku w:val="0"/>
        <w:overflowPunct w:val="0"/>
        <w:spacing w:before="11"/>
        <w:ind w:left="0"/>
        <w:rPr>
          <w:rFonts w:hint="eastAsia" w:ascii="Times New Roman" w:hAnsi="Times New Roman" w:eastAsia="Times New Roman"/>
          <w:color w:val="auto"/>
          <w:sz w:val="27"/>
          <w:szCs w:val="24"/>
          <w:highlight w:val="none"/>
        </w:rPr>
      </w:pPr>
    </w:p>
    <w:p w14:paraId="0A32941B">
      <w:pPr>
        <w:pStyle w:val="11"/>
        <w:kinsoku w:val="0"/>
        <w:overflowPunct w:val="0"/>
        <w:spacing w:line="384" w:lineRule="auto"/>
        <w:ind w:left="100" w:right="113" w:firstLine="419"/>
        <w:rPr>
          <w:rFonts w:hint="default"/>
          <w:color w:val="auto"/>
          <w:sz w:val="21"/>
          <w:szCs w:val="24"/>
          <w:highlight w:val="none"/>
        </w:rPr>
      </w:pPr>
      <w:r>
        <w:rPr>
          <w:rFonts w:hint="default"/>
          <w:color w:val="auto"/>
          <w:spacing w:val="-1"/>
          <w:sz w:val="21"/>
          <w:szCs w:val="24"/>
          <w:highlight w:val="none"/>
        </w:rPr>
        <w:t>上述问题澄清、说明或补正，不改变我方投标文件的实质性内容，构成我方投标文件的组</w:t>
      </w:r>
      <w:r>
        <w:rPr>
          <w:rFonts w:hint="default"/>
          <w:color w:val="auto"/>
          <w:sz w:val="21"/>
          <w:szCs w:val="24"/>
          <w:highlight w:val="none"/>
        </w:rPr>
        <w:t xml:space="preserve"> 成部分。</w:t>
      </w:r>
    </w:p>
    <w:p w14:paraId="0BB70CC4">
      <w:pPr>
        <w:pStyle w:val="11"/>
        <w:kinsoku w:val="0"/>
        <w:overflowPunct w:val="0"/>
        <w:ind w:left="0"/>
        <w:rPr>
          <w:rFonts w:hint="default"/>
          <w:color w:val="auto"/>
          <w:sz w:val="20"/>
          <w:szCs w:val="24"/>
          <w:highlight w:val="none"/>
        </w:rPr>
      </w:pPr>
    </w:p>
    <w:p w14:paraId="2961E231">
      <w:pPr>
        <w:pStyle w:val="11"/>
        <w:kinsoku w:val="0"/>
        <w:overflowPunct w:val="0"/>
        <w:ind w:left="0"/>
        <w:rPr>
          <w:rFonts w:hint="default"/>
          <w:color w:val="auto"/>
          <w:sz w:val="20"/>
          <w:szCs w:val="24"/>
          <w:highlight w:val="none"/>
        </w:rPr>
      </w:pPr>
    </w:p>
    <w:p w14:paraId="46BD170B">
      <w:pPr>
        <w:pStyle w:val="11"/>
        <w:kinsoku w:val="0"/>
        <w:overflowPunct w:val="0"/>
        <w:spacing w:before="6"/>
        <w:ind w:left="0"/>
        <w:rPr>
          <w:rFonts w:hint="default"/>
          <w:color w:val="auto"/>
          <w:sz w:val="19"/>
          <w:szCs w:val="24"/>
          <w:highlight w:val="none"/>
        </w:rPr>
      </w:pPr>
    </w:p>
    <w:p w14:paraId="4E19566A">
      <w:pPr>
        <w:pStyle w:val="11"/>
        <w:tabs>
          <w:tab w:val="left" w:pos="7382"/>
        </w:tabs>
        <w:kinsoku w:val="0"/>
        <w:overflowPunct w:val="0"/>
        <w:ind w:left="3043" w:right="113"/>
        <w:rPr>
          <w:rFonts w:hint="default"/>
          <w:color w:val="auto"/>
          <w:spacing w:val="-1"/>
          <w:sz w:val="21"/>
          <w:szCs w:val="24"/>
          <w:highlight w:val="none"/>
        </w:rPr>
      </w:pPr>
      <w:r>
        <w:rPr>
          <w:rFonts w:hint="default"/>
          <w:color w:val="auto"/>
          <w:spacing w:val="-1"/>
          <w:sz w:val="21"/>
          <w:szCs w:val="24"/>
          <w:highlight w:val="none"/>
        </w:rPr>
        <w:t>投标人：</w:t>
      </w:r>
      <w:r>
        <w:rPr>
          <w:rFonts w:hint="eastAsia" w:ascii="Times New Roman" w:hAnsi="Times New Roman" w:eastAsia="Times New Roman"/>
          <w:color w:val="auto"/>
          <w:spacing w:val="-1"/>
          <w:sz w:val="21"/>
          <w:szCs w:val="24"/>
          <w:highlight w:val="none"/>
          <w:u w:val="single"/>
        </w:rPr>
        <w:tab/>
      </w:r>
      <w:r>
        <w:rPr>
          <w:rFonts w:hint="default"/>
          <w:color w:val="auto"/>
          <w:spacing w:val="-1"/>
          <w:sz w:val="21"/>
          <w:szCs w:val="24"/>
          <w:highlight w:val="none"/>
        </w:rPr>
        <w:t>（盖单位章）</w:t>
      </w:r>
    </w:p>
    <w:p w14:paraId="6AF56CBC">
      <w:pPr>
        <w:pStyle w:val="11"/>
        <w:kinsoku w:val="0"/>
        <w:overflowPunct w:val="0"/>
        <w:spacing w:before="11"/>
        <w:ind w:left="0"/>
        <w:rPr>
          <w:rFonts w:hint="default"/>
          <w:color w:val="auto"/>
          <w:sz w:val="17"/>
          <w:szCs w:val="24"/>
          <w:highlight w:val="none"/>
        </w:rPr>
      </w:pPr>
    </w:p>
    <w:p w14:paraId="570B0159">
      <w:pPr>
        <w:pStyle w:val="11"/>
        <w:tabs>
          <w:tab w:val="left" w:pos="6612"/>
        </w:tabs>
        <w:kinsoku w:val="0"/>
        <w:overflowPunct w:val="0"/>
        <w:spacing w:before="36"/>
        <w:ind w:left="3041" w:right="113"/>
        <w:rPr>
          <w:rFonts w:hint="default"/>
          <w:color w:val="auto"/>
          <w:spacing w:val="-2"/>
          <w:sz w:val="21"/>
          <w:szCs w:val="24"/>
          <w:highlight w:val="none"/>
        </w:rPr>
      </w:pPr>
      <w:r>
        <w:rPr>
          <w:rFonts w:hint="default"/>
          <w:color w:val="auto"/>
          <w:spacing w:val="-2"/>
          <w:sz w:val="21"/>
          <w:szCs w:val="24"/>
          <w:highlight w:val="none"/>
        </w:rPr>
        <w:t>法定代表人或其委托代理人：</w:t>
      </w:r>
      <w:r>
        <w:rPr>
          <w:rFonts w:hint="eastAsia" w:ascii="Times New Roman" w:hAnsi="Times New Roman" w:eastAsia="Times New Roman"/>
          <w:color w:val="auto"/>
          <w:spacing w:val="-2"/>
          <w:sz w:val="21"/>
          <w:szCs w:val="24"/>
          <w:highlight w:val="none"/>
          <w:u w:val="single"/>
        </w:rPr>
        <w:tab/>
      </w:r>
      <w:r>
        <w:rPr>
          <w:rFonts w:hint="default"/>
          <w:color w:val="auto"/>
          <w:spacing w:val="-2"/>
          <w:sz w:val="21"/>
          <w:szCs w:val="24"/>
          <w:highlight w:val="none"/>
        </w:rPr>
        <w:t>（签字）</w:t>
      </w:r>
    </w:p>
    <w:p w14:paraId="564B8228">
      <w:pPr>
        <w:pStyle w:val="11"/>
        <w:kinsoku w:val="0"/>
        <w:overflowPunct w:val="0"/>
        <w:ind w:left="0"/>
        <w:rPr>
          <w:rFonts w:hint="default"/>
          <w:color w:val="auto"/>
          <w:sz w:val="20"/>
          <w:szCs w:val="24"/>
          <w:highlight w:val="none"/>
        </w:rPr>
      </w:pPr>
    </w:p>
    <w:p w14:paraId="4CA6FE0F">
      <w:pPr>
        <w:pStyle w:val="11"/>
        <w:kinsoku w:val="0"/>
        <w:overflowPunct w:val="0"/>
        <w:ind w:left="0"/>
        <w:rPr>
          <w:rFonts w:hint="default"/>
          <w:color w:val="auto"/>
          <w:sz w:val="20"/>
          <w:szCs w:val="24"/>
          <w:highlight w:val="none"/>
        </w:rPr>
      </w:pPr>
    </w:p>
    <w:p w14:paraId="536488A2">
      <w:pPr>
        <w:pStyle w:val="11"/>
        <w:kinsoku w:val="0"/>
        <w:overflowPunct w:val="0"/>
        <w:spacing w:before="4"/>
        <w:ind w:left="0"/>
        <w:rPr>
          <w:rFonts w:hint="default"/>
          <w:color w:val="auto"/>
          <w:sz w:val="22"/>
          <w:szCs w:val="24"/>
          <w:highlight w:val="none"/>
        </w:rPr>
      </w:pPr>
    </w:p>
    <w:p w14:paraId="2DC58232">
      <w:pPr>
        <w:pStyle w:val="11"/>
        <w:tabs>
          <w:tab w:val="left" w:pos="6434"/>
          <w:tab w:val="left" w:pos="7483"/>
          <w:tab w:val="left" w:pos="8533"/>
        </w:tabs>
        <w:kinsoku w:val="0"/>
        <w:overflowPunct w:val="0"/>
        <w:spacing w:before="36"/>
        <w:ind w:left="5595"/>
        <w:rPr>
          <w:rFonts w:hint="default"/>
          <w:color w:val="auto"/>
          <w:sz w:val="21"/>
          <w:szCs w:val="24"/>
          <w:highlight w:val="none"/>
        </w:rPr>
        <w:sectPr>
          <w:pgSz w:w="11905" w:h="16838"/>
          <w:pgMar w:top="1417" w:right="1417" w:bottom="1417" w:left="1417" w:header="992" w:footer="992" w:gutter="0"/>
          <w:lnNumType w:countBy="0" w:distance="360"/>
          <w:pgNumType w:fmt="decimal"/>
          <w:cols w:space="720" w:num="1"/>
        </w:sect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3"/>
          <w:sz w:val="21"/>
          <w:szCs w:val="24"/>
          <w:highlight w:val="none"/>
        </w:rPr>
        <w:t>年</w:t>
      </w:r>
      <w:r>
        <w:rPr>
          <w:rFonts w:hint="eastAsia" w:ascii="Times New Roman" w:hAnsi="Times New Roman" w:eastAsia="Times New Roman"/>
          <w:color w:val="auto"/>
          <w:spacing w:val="-3"/>
          <w:sz w:val="21"/>
          <w:szCs w:val="24"/>
          <w:highlight w:val="none"/>
          <w:u w:val="single"/>
        </w:rPr>
        <w:tab/>
      </w:r>
      <w:r>
        <w:rPr>
          <w:rFonts w:hint="default"/>
          <w:color w:val="auto"/>
          <w:sz w:val="21"/>
          <w:szCs w:val="24"/>
          <w:highlight w:val="none"/>
        </w:rPr>
        <w:t>月</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日</w:t>
      </w:r>
    </w:p>
    <w:p w14:paraId="1715BFE5">
      <w:pPr>
        <w:pStyle w:val="3"/>
        <w:outlineLvl w:val="0"/>
        <w:rPr>
          <w:rFonts w:hint="default"/>
          <w:b w:val="0"/>
          <w:color w:val="auto"/>
          <w:sz w:val="57"/>
          <w:szCs w:val="24"/>
          <w:highlight w:val="none"/>
        </w:rPr>
      </w:pPr>
      <w:bookmarkStart w:id="230" w:name="bookmark82"/>
      <w:bookmarkEnd w:id="230"/>
      <w:bookmarkStart w:id="231" w:name="bookmark79"/>
      <w:bookmarkEnd w:id="231"/>
      <w:bookmarkStart w:id="232" w:name="_Toc15680"/>
      <w:r>
        <w:rPr>
          <w:rFonts w:hint="default" w:cs="宋体"/>
          <w:color w:val="auto"/>
          <w:sz w:val="44"/>
          <w:szCs w:val="24"/>
          <w:highlight w:val="none"/>
        </w:rPr>
        <w:t>第三章</w:t>
      </w:r>
      <w:r>
        <w:rPr>
          <w:rFonts w:hint="default" w:cs="宋体"/>
          <w:color w:val="auto"/>
          <w:sz w:val="44"/>
          <w:szCs w:val="24"/>
          <w:highlight w:val="none"/>
          <w:lang w:val="en-US" w:eastAsia="zh-CN"/>
        </w:rPr>
        <w:t xml:space="preserve"> </w:t>
      </w:r>
      <w:r>
        <w:rPr>
          <w:rFonts w:hint="default" w:cs="宋体"/>
          <w:color w:val="auto"/>
          <w:sz w:val="44"/>
          <w:szCs w:val="24"/>
          <w:highlight w:val="none"/>
        </w:rPr>
        <w:t>评标办法（综合评估法）</w:t>
      </w:r>
      <w:bookmarkEnd w:id="232"/>
    </w:p>
    <w:p w14:paraId="1290DECB">
      <w:pPr>
        <w:pStyle w:val="4"/>
        <w:kinsoku w:val="0"/>
        <w:overflowPunct w:val="0"/>
        <w:ind w:left="120"/>
        <w:jc w:val="center"/>
        <w:outlineLvl w:val="1"/>
        <w:rPr>
          <w:rFonts w:hint="default"/>
          <w:color w:val="auto"/>
          <w:sz w:val="32"/>
          <w:szCs w:val="24"/>
          <w:highlight w:val="none"/>
        </w:rPr>
      </w:pPr>
      <w:bookmarkStart w:id="233" w:name="bookmark83"/>
      <w:bookmarkEnd w:id="233"/>
      <w:bookmarkStart w:id="234" w:name="_Toc7782"/>
      <w:bookmarkStart w:id="235" w:name="_Toc17036"/>
      <w:r>
        <w:rPr>
          <w:rFonts w:hint="default"/>
          <w:color w:val="auto"/>
          <w:sz w:val="32"/>
          <w:szCs w:val="24"/>
          <w:highlight w:val="none"/>
        </w:rPr>
        <w:t>评标办法前附表</w:t>
      </w:r>
      <w:bookmarkEnd w:id="234"/>
      <w:bookmarkEnd w:id="235"/>
    </w:p>
    <w:tbl>
      <w:tblPr>
        <w:tblStyle w:val="2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68"/>
        <w:gridCol w:w="1132"/>
        <w:gridCol w:w="2013"/>
        <w:gridCol w:w="5011"/>
      </w:tblGrid>
      <w:tr w14:paraId="5F41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1D9FBAD">
            <w:pPr>
              <w:pStyle w:val="29"/>
              <w:kinsoku w:val="0"/>
              <w:overflowPunct w:val="0"/>
              <w:spacing w:before="41"/>
              <w:jc w:val="center"/>
              <w:rPr>
                <w:rFonts w:hint="default" w:ascii="宋体" w:hAnsi="宋体" w:eastAsia="宋体" w:cs="宋体"/>
                <w:color w:val="auto"/>
                <w:sz w:val="21"/>
                <w:szCs w:val="21"/>
                <w:highlight w:val="none"/>
              </w:rPr>
            </w:pPr>
            <w:r>
              <w:rPr>
                <w:rFonts w:hint="default" w:ascii="宋体" w:hAnsi="宋体" w:eastAsia="宋体" w:cs="宋体"/>
                <w:b/>
                <w:color w:val="auto"/>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93C102">
            <w:pPr>
              <w:pStyle w:val="29"/>
              <w:kinsoku w:val="0"/>
              <w:overflowPunct w:val="0"/>
              <w:spacing w:before="41"/>
              <w:jc w:val="center"/>
              <w:rPr>
                <w:rFonts w:hint="default" w:ascii="宋体" w:hAnsi="宋体" w:eastAsia="宋体" w:cs="宋体"/>
                <w:color w:val="auto"/>
                <w:sz w:val="21"/>
                <w:szCs w:val="21"/>
                <w:highlight w:val="none"/>
              </w:rPr>
            </w:pPr>
            <w:r>
              <w:rPr>
                <w:rFonts w:hint="default" w:ascii="宋体" w:hAnsi="宋体" w:eastAsia="宋体" w:cs="宋体"/>
                <w:b/>
                <w:color w:val="auto"/>
                <w:sz w:val="21"/>
                <w:szCs w:val="21"/>
                <w:highlight w:val="none"/>
              </w:rPr>
              <w:t>评审因素</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36094">
            <w:pPr>
              <w:pStyle w:val="29"/>
              <w:kinsoku w:val="0"/>
              <w:overflowPunct w:val="0"/>
              <w:spacing w:before="41"/>
              <w:jc w:val="center"/>
              <w:rPr>
                <w:rFonts w:hint="default" w:ascii="宋体" w:hAnsi="宋体" w:eastAsia="宋体" w:cs="宋体"/>
                <w:color w:val="auto"/>
                <w:sz w:val="21"/>
                <w:szCs w:val="21"/>
                <w:highlight w:val="none"/>
              </w:rPr>
            </w:pPr>
            <w:r>
              <w:rPr>
                <w:rFonts w:hint="default" w:ascii="宋体" w:hAnsi="宋体" w:eastAsia="宋体" w:cs="宋体"/>
                <w:b/>
                <w:color w:val="auto"/>
                <w:sz w:val="21"/>
                <w:szCs w:val="21"/>
                <w:highlight w:val="none"/>
              </w:rPr>
              <w:t>评审标准</w:t>
            </w:r>
          </w:p>
        </w:tc>
      </w:tr>
      <w:tr w14:paraId="640C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FA7D82">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w:t>
            </w: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6D54AEF">
            <w:pPr>
              <w:pStyle w:val="29"/>
              <w:kinsoku w:val="0"/>
              <w:overflowPunct w:val="0"/>
              <w:spacing w:before="141"/>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评标方法</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066F7E">
            <w:pPr>
              <w:pStyle w:val="29"/>
              <w:kinsoku w:val="0"/>
              <w:overflowPunct w:val="0"/>
              <w:spacing w:before="141"/>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中标候选人排序方法</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B6F6AF">
            <w:pPr>
              <w:pStyle w:val="29"/>
              <w:kinsoku w:val="0"/>
              <w:overflowPunct w:val="0"/>
              <w:spacing w:before="141"/>
              <w:jc w:val="both"/>
              <w:rPr>
                <w:rFonts w:hint="default" w:ascii="宋体" w:hAnsi="宋体" w:eastAsia="宋体" w:cs="宋体"/>
                <w:color w:val="auto"/>
                <w:sz w:val="21"/>
                <w:szCs w:val="21"/>
                <w:highlight w:val="none"/>
              </w:rPr>
            </w:pPr>
            <w:r>
              <w:rPr>
                <w:rFonts w:hint="default" w:ascii="宋体" w:hAnsi="Times New Roman" w:eastAsia="宋体"/>
                <w:color w:val="auto"/>
                <w:sz w:val="21"/>
                <w:szCs w:val="24"/>
                <w:highlight w:val="none"/>
                <w:lang w:eastAsia="zh-CN"/>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则对具有相同情况的投标人，由评委通过记名投票表决（不得弃权），以“少数服从多数”的原则确定排序。</w:t>
            </w:r>
          </w:p>
        </w:tc>
      </w:tr>
      <w:tr w14:paraId="3F9C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C4C7F21">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2.1.1</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41199BF">
            <w:pPr>
              <w:pStyle w:val="29"/>
              <w:kinsoku w:val="0"/>
              <w:overflowPunct w:val="0"/>
              <w:spacing w:line="384" w:lineRule="auto"/>
              <w:ind w:right="132"/>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资格评审标准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3228E6">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营业执照</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top"/>
          </w:tcPr>
          <w:p w14:paraId="1E7C87A5">
            <w:pPr>
              <w:pStyle w:val="29"/>
              <w:kinsoku w:val="0"/>
              <w:overflowPunct w:val="0"/>
              <w:spacing w:before="107"/>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符合第二章“投标人须知”第3.5.1项规定，具备有效的营业执照</w:t>
            </w:r>
          </w:p>
        </w:tc>
      </w:tr>
      <w:tr w14:paraId="0398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2B0105C">
            <w:pPr>
              <w:pStyle w:val="29"/>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7808C9">
            <w:pPr>
              <w:pStyle w:val="29"/>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11932">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资质要求</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E5240D">
            <w:pPr>
              <w:pStyle w:val="29"/>
              <w:kinsoku w:val="0"/>
              <w:overflowPunct w:val="0"/>
              <w:spacing w:before="107"/>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符合第二章“投标人须知”第1.4.1项规定</w:t>
            </w:r>
          </w:p>
        </w:tc>
      </w:tr>
      <w:tr w14:paraId="74F9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22DA494">
            <w:pPr>
              <w:pStyle w:val="29"/>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E67599">
            <w:pPr>
              <w:pStyle w:val="29"/>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05870E">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总监理工程师</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982B13">
            <w:pPr>
              <w:pStyle w:val="29"/>
              <w:kinsoku w:val="0"/>
              <w:overflowPunct w:val="0"/>
              <w:spacing w:before="107"/>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符合第二章“投标人须知”第1.4.1项规定</w:t>
            </w:r>
          </w:p>
        </w:tc>
      </w:tr>
      <w:tr w14:paraId="6DE4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457E3D0">
            <w:pPr>
              <w:pStyle w:val="29"/>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0ABBDF0">
            <w:pPr>
              <w:pStyle w:val="29"/>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FEA56">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联合体投标人</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C65BBD">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符合第二章“投标人须知”第1.4.2项规定</w:t>
            </w:r>
          </w:p>
        </w:tc>
      </w:tr>
      <w:tr w14:paraId="0476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5F9A82E">
            <w:pPr>
              <w:pStyle w:val="29"/>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34F5F10">
            <w:pPr>
              <w:pStyle w:val="29"/>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505FCE">
            <w:pPr>
              <w:jc w:val="center"/>
              <w:rPr>
                <w:rFonts w:hint="default" w:ascii="宋体" w:hAnsi="Calibri" w:eastAsia="宋体" w:cs="Times New Roman"/>
                <w:snapToGrid w:val="0"/>
                <w:color w:val="auto"/>
                <w:kern w:val="2"/>
                <w:sz w:val="21"/>
                <w:szCs w:val="21"/>
                <w:highlight w:val="none"/>
                <w:lang w:val="en-US" w:eastAsia="zh-CN" w:bidi="ar-SA"/>
              </w:rPr>
            </w:pPr>
            <w:r>
              <w:rPr>
                <w:rFonts w:hint="default" w:ascii="宋体" w:hAnsi="宋体" w:eastAsia="宋体" w:cs="宋体"/>
                <w:color w:val="auto"/>
                <w:spacing w:val="-2"/>
                <w:sz w:val="21"/>
                <w:szCs w:val="21"/>
                <w:highlight w:val="none"/>
                <w:lang w:eastAsia="zh-CN"/>
              </w:rPr>
              <w:t>未被纳入失信联合惩戒名单且被限制参与相关项目投标的</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45CCA5">
            <w:pPr>
              <w:ind w:right="-245" w:rightChars="-102"/>
              <w:rPr>
                <w:rFonts w:hint="default" w:ascii="宋体" w:hAnsi="Calibri" w:eastAsia="宋体" w:cs="Times New Roman"/>
                <w:snapToGrid w:val="0"/>
                <w:color w:val="auto"/>
                <w:kern w:val="2"/>
                <w:sz w:val="21"/>
                <w:szCs w:val="21"/>
                <w:highlight w:val="none"/>
                <w:lang w:val="en-US" w:eastAsia="zh-CN" w:bidi="ar-SA"/>
              </w:rPr>
            </w:pPr>
            <w:r>
              <w:rPr>
                <w:rFonts w:hint="default" w:ascii="宋体" w:hAnsi="宋体" w:eastAsia="宋体" w:cs="宋体"/>
                <w:color w:val="auto"/>
                <w:spacing w:val="-4"/>
                <w:sz w:val="21"/>
                <w:szCs w:val="21"/>
                <w:highlight w:val="none"/>
              </w:rPr>
              <w:t>失信联合惩戒名单以“信用广州”网站公布的“</w:t>
            </w:r>
            <w:r>
              <w:rPr>
                <w:rFonts w:hint="eastAsia" w:ascii="宋体" w:hAnsi="宋体" w:cs="宋体"/>
                <w:color w:val="auto"/>
                <w:spacing w:val="-4"/>
                <w:sz w:val="21"/>
                <w:szCs w:val="21"/>
                <w:highlight w:val="none"/>
                <w:lang w:eastAsia="zh-CN"/>
              </w:rPr>
              <w:t>黑名单</w:t>
            </w:r>
            <w:r>
              <w:rPr>
                <w:rFonts w:hint="default" w:ascii="宋体" w:hAnsi="宋体" w:eastAsia="宋体" w:cs="宋体"/>
                <w:color w:val="auto"/>
                <w:spacing w:val="-4"/>
                <w:sz w:val="21"/>
                <w:szCs w:val="21"/>
                <w:highlight w:val="none"/>
              </w:rPr>
              <w:t>”为准。（提供</w:t>
            </w:r>
            <w:r>
              <w:rPr>
                <w:rFonts w:hint="default" w:ascii="宋体" w:hAnsi="宋体" w:eastAsia="宋体" w:cs="宋体"/>
                <w:color w:val="auto"/>
                <w:spacing w:val="-4"/>
                <w:sz w:val="21"/>
                <w:szCs w:val="21"/>
                <w:highlight w:val="none"/>
                <w:lang w:eastAsia="zh-CN"/>
              </w:rPr>
              <w:t>查询结果</w:t>
            </w:r>
            <w:r>
              <w:rPr>
                <w:rFonts w:hint="default" w:ascii="宋体" w:hAnsi="宋体" w:eastAsia="宋体" w:cs="宋体"/>
                <w:color w:val="auto"/>
                <w:spacing w:val="-4"/>
                <w:sz w:val="21"/>
                <w:szCs w:val="21"/>
                <w:highlight w:val="none"/>
              </w:rPr>
              <w:t>网页截图，并加盖公章）</w:t>
            </w:r>
          </w:p>
        </w:tc>
      </w:tr>
      <w:tr w14:paraId="4A88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288B710">
            <w:pPr>
              <w:pStyle w:val="29"/>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32BD0E">
            <w:pPr>
              <w:pStyle w:val="29"/>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370DD3">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投标人声明</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293A65">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投标人已按第</w:t>
            </w:r>
            <w:r>
              <w:rPr>
                <w:rFonts w:hint="default" w:ascii="宋体" w:hAnsi="宋体" w:eastAsia="宋体" w:cs="宋体"/>
                <w:color w:val="auto"/>
                <w:sz w:val="21"/>
                <w:szCs w:val="21"/>
                <w:highlight w:val="none"/>
                <w:lang w:eastAsia="zh-CN"/>
              </w:rPr>
              <w:t>六</w:t>
            </w:r>
            <w:r>
              <w:rPr>
                <w:rFonts w:hint="default" w:ascii="宋体" w:hAnsi="宋体" w:eastAsia="宋体" w:cs="宋体"/>
                <w:color w:val="auto"/>
                <w:sz w:val="21"/>
                <w:szCs w:val="21"/>
                <w:highlight w:val="none"/>
              </w:rPr>
              <w:t>章“投标文件格式”</w:t>
            </w:r>
            <w:r>
              <w:rPr>
                <w:rFonts w:hint="default" w:ascii="宋体" w:hAnsi="宋体" w:eastAsia="宋体" w:cs="宋体"/>
                <w:color w:val="auto"/>
                <w:sz w:val="21"/>
                <w:szCs w:val="21"/>
                <w:highlight w:val="none"/>
                <w:lang w:eastAsia="zh-CN"/>
              </w:rPr>
              <w:t>规定</w:t>
            </w:r>
            <w:r>
              <w:rPr>
                <w:rFonts w:hint="default" w:ascii="宋体" w:hAnsi="宋体" w:eastAsia="宋体" w:cs="宋体"/>
                <w:color w:val="auto"/>
                <w:sz w:val="21"/>
                <w:szCs w:val="21"/>
                <w:highlight w:val="none"/>
              </w:rPr>
              <w:t>的内容签署盖章《投标人声明》，且总监理工程师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技术负责人</w:t>
            </w:r>
            <w:r>
              <w:rPr>
                <w:rFonts w:hint="default" w:ascii="宋体" w:hAnsi="宋体" w:eastAsia="宋体" w:cs="宋体"/>
                <w:color w:val="auto"/>
                <w:sz w:val="21"/>
                <w:szCs w:val="21"/>
                <w:highlight w:val="none"/>
              </w:rPr>
              <w:t>签字确认</w:t>
            </w:r>
          </w:p>
        </w:tc>
      </w:tr>
      <w:tr w14:paraId="710F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4CEDF4">
            <w:pPr>
              <w:pStyle w:val="29"/>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5DDAD7">
            <w:pPr>
              <w:pStyle w:val="29"/>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A92C0D">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不存在禁止投标的情形</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BC71D7">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不存在第二章“投标人须知”第1.4.3项规定的任何一种情形</w:t>
            </w:r>
          </w:p>
        </w:tc>
      </w:tr>
      <w:tr w14:paraId="182D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D96AD0A">
            <w:pPr>
              <w:pStyle w:val="29"/>
              <w:kinsoku w:val="0"/>
              <w:overflowPunct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2.1.</w:t>
            </w:r>
            <w:r>
              <w:rPr>
                <w:rFonts w:hint="default" w:ascii="宋体" w:hAnsi="宋体" w:eastAsia="宋体" w:cs="宋体"/>
                <w:color w:val="auto"/>
                <w:sz w:val="21"/>
                <w:szCs w:val="21"/>
                <w:highlight w:val="none"/>
                <w:lang w:val="en-US" w:eastAsia="zh-CN"/>
              </w:rPr>
              <w:t>2</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B7C66E1">
            <w:pPr>
              <w:pStyle w:val="29"/>
              <w:kinsoku w:val="0"/>
              <w:overflowPunct w:val="0"/>
              <w:spacing w:line="384" w:lineRule="auto"/>
              <w:ind w:right="132"/>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形式评审标准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42695E">
            <w:pPr>
              <w:pStyle w:val="29"/>
              <w:kinsoku w:val="0"/>
              <w:overflowPunct w:val="0"/>
              <w:spacing w:before="11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投标人名称</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0589A">
            <w:pPr>
              <w:pStyle w:val="29"/>
              <w:kinsoku w:val="0"/>
              <w:overflowPunct w:val="0"/>
              <w:spacing w:before="11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与营业执照、资质证书一致</w:t>
            </w:r>
          </w:p>
        </w:tc>
      </w:tr>
      <w:tr w14:paraId="7FC6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3" w:type="dxa"/>
            <w:vMerge w:val="continue"/>
            <w:tcBorders>
              <w:left w:val="single" w:color="auto" w:sz="4" w:space="0"/>
              <w:right w:val="single" w:color="auto" w:sz="4" w:space="0"/>
              <w:tl2br w:val="nil"/>
              <w:tr2bl w:val="nil"/>
            </w:tcBorders>
            <w:noWrap w:val="0"/>
            <w:vAlign w:val="center"/>
          </w:tcPr>
          <w:p w14:paraId="26D3E112">
            <w:pPr>
              <w:pStyle w:val="29"/>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left w:val="single" w:color="auto" w:sz="4" w:space="0"/>
              <w:right w:val="single" w:color="auto" w:sz="4" w:space="0"/>
              <w:tl2br w:val="nil"/>
              <w:tr2bl w:val="nil"/>
            </w:tcBorders>
            <w:noWrap w:val="0"/>
            <w:vAlign w:val="center"/>
          </w:tcPr>
          <w:p w14:paraId="5B0416D9">
            <w:pPr>
              <w:pStyle w:val="29"/>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3F321A">
            <w:pPr>
              <w:pStyle w:val="29"/>
              <w:kinsoku w:val="0"/>
              <w:overflowPunct w:val="0"/>
              <w:spacing w:before="11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投标人参加投标的意思表达清楚，投标人代表被授权有效</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66276">
            <w:pPr>
              <w:pStyle w:val="29"/>
              <w:kinsoku w:val="0"/>
              <w:overflowPunct w:val="0"/>
              <w:spacing w:before="11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投标人声明、廉洁承诺书、法定代表人证明书；委托投标的还应提供法人授权委托证明书</w:t>
            </w:r>
          </w:p>
        </w:tc>
      </w:tr>
      <w:tr w14:paraId="62DC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346FB3">
            <w:pPr>
              <w:pStyle w:val="4"/>
              <w:kinsoku w:val="0"/>
              <w:overflowPunct w:val="0"/>
              <w:jc w:val="both"/>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AC57D9">
            <w:pPr>
              <w:pStyle w:val="4"/>
              <w:kinsoku w:val="0"/>
              <w:overflowPunct w:val="0"/>
              <w:jc w:val="both"/>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D28B9E">
            <w:pPr>
              <w:pStyle w:val="29"/>
              <w:kinsoku w:val="0"/>
              <w:overflowPunct w:val="0"/>
              <w:ind w:right="180"/>
              <w:jc w:val="center"/>
              <w:rPr>
                <w:rFonts w:hint="default" w:ascii="宋体" w:hAnsi="宋体" w:eastAsia="宋体" w:cs="宋体"/>
                <w:color w:val="auto"/>
                <w:sz w:val="21"/>
                <w:szCs w:val="21"/>
                <w:highlight w:val="none"/>
              </w:rPr>
            </w:pPr>
            <w:r>
              <w:rPr>
                <w:rFonts w:hint="default" w:ascii="宋体" w:hAnsi="宋体" w:eastAsia="宋体" w:cs="宋体"/>
                <w:color w:val="auto"/>
                <w:spacing w:val="-2"/>
                <w:sz w:val="21"/>
                <w:szCs w:val="21"/>
                <w:highlight w:val="none"/>
              </w:rPr>
              <w:t>投标函及投标函附录签</w:t>
            </w:r>
            <w:r>
              <w:rPr>
                <w:rFonts w:hint="default" w:ascii="宋体" w:hAnsi="宋体" w:eastAsia="宋体" w:cs="宋体"/>
                <w:color w:val="auto"/>
                <w:spacing w:val="-84"/>
                <w:sz w:val="21"/>
                <w:szCs w:val="21"/>
                <w:highlight w:val="none"/>
              </w:rPr>
              <w:t xml:space="preserve"> </w:t>
            </w:r>
            <w:r>
              <w:rPr>
                <w:rFonts w:hint="default" w:ascii="宋体" w:hAnsi="宋体" w:eastAsia="宋体" w:cs="宋体"/>
                <w:color w:val="auto"/>
                <w:sz w:val="21"/>
                <w:szCs w:val="21"/>
                <w:highlight w:val="none"/>
              </w:rPr>
              <w:t>字盖章</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A727CF">
            <w:pPr>
              <w:pStyle w:val="29"/>
              <w:kinsoku w:val="0"/>
              <w:overflowPunct w:val="0"/>
              <w:spacing w:before="107"/>
              <w:ind w:right="-5" w:rightChars="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有法定代表人或其委托代理人签字或加盖单位</w:t>
            </w:r>
            <w:r>
              <w:rPr>
                <w:rFonts w:hint="eastAsia" w:ascii="宋体" w:hAnsi="宋体" w:cs="宋体"/>
                <w:color w:val="auto"/>
                <w:sz w:val="21"/>
                <w:szCs w:val="21"/>
                <w:highlight w:val="none"/>
                <w:lang w:val="en-US" w:eastAsia="zh-CN"/>
              </w:rPr>
              <w:t>公</w:t>
            </w:r>
            <w:r>
              <w:rPr>
                <w:rFonts w:hint="default" w:ascii="宋体" w:hAnsi="宋体" w:eastAsia="宋体" w:cs="宋体"/>
                <w:color w:val="auto"/>
                <w:sz w:val="21"/>
                <w:szCs w:val="21"/>
                <w:highlight w:val="none"/>
              </w:rPr>
              <w:t>章。由法定代表人签字的，应附法定代表人身份证明，由代理人签字的，应附授权委托书，身份证明或授权委托书应符合第六章“投标文件格式”的规定</w:t>
            </w:r>
          </w:p>
        </w:tc>
      </w:tr>
      <w:tr w14:paraId="658B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2E3F2A5">
            <w:pPr>
              <w:pStyle w:val="4"/>
              <w:kinsoku w:val="0"/>
              <w:overflowPunct w:val="0"/>
              <w:jc w:val="both"/>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F208D9">
            <w:pPr>
              <w:pStyle w:val="4"/>
              <w:kinsoku w:val="0"/>
              <w:overflowPunct w:val="0"/>
              <w:jc w:val="both"/>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42B69">
            <w:pPr>
              <w:pStyle w:val="29"/>
              <w:kinsoku w:val="0"/>
              <w:overflowPunct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投标文件格式</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93249">
            <w:pPr>
              <w:pStyle w:val="29"/>
              <w:kinsoku w:val="0"/>
              <w:overflowPunct w:val="0"/>
              <w:spacing w:before="107"/>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符合第六章“投标文件格式”的规定</w:t>
            </w:r>
          </w:p>
        </w:tc>
      </w:tr>
      <w:tr w14:paraId="5E8E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3635EE">
            <w:pPr>
              <w:pStyle w:val="4"/>
              <w:kinsoku w:val="0"/>
              <w:overflowPunct w:val="0"/>
              <w:jc w:val="both"/>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55FEFF">
            <w:pPr>
              <w:pStyle w:val="4"/>
              <w:kinsoku w:val="0"/>
              <w:overflowPunct w:val="0"/>
              <w:jc w:val="both"/>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B2BDC6">
            <w:pPr>
              <w:pStyle w:val="29"/>
              <w:kinsoku w:val="0"/>
              <w:overflowPunct w:val="0"/>
              <w:jc w:val="center"/>
              <w:rPr>
                <w:rFonts w:hint="default" w:ascii="宋体" w:hAnsi="宋体" w:eastAsia="宋体" w:cs="宋体"/>
                <w:strike w:val="0"/>
                <w:dstrike w:val="0"/>
                <w:color w:val="auto"/>
                <w:sz w:val="21"/>
                <w:szCs w:val="21"/>
                <w:highlight w:val="none"/>
              </w:rPr>
            </w:pPr>
            <w:r>
              <w:rPr>
                <w:rFonts w:hint="default" w:ascii="宋体" w:hAnsi="宋体" w:eastAsia="宋体" w:cs="宋体"/>
                <w:strike w:val="0"/>
                <w:dstrike w:val="0"/>
                <w:color w:val="auto"/>
                <w:sz w:val="21"/>
                <w:szCs w:val="21"/>
                <w:highlight w:val="none"/>
              </w:rPr>
              <w:t>联合体投标人</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640DA">
            <w:pPr>
              <w:pStyle w:val="29"/>
              <w:kinsoku w:val="0"/>
              <w:overflowPunct w:val="0"/>
              <w:spacing w:before="107"/>
              <w:jc w:val="both"/>
              <w:rPr>
                <w:rFonts w:hint="default" w:ascii="宋体" w:hAnsi="宋体" w:eastAsia="宋体" w:cs="宋体"/>
                <w:strike w:val="0"/>
                <w:dstrike w:val="0"/>
                <w:color w:val="auto"/>
                <w:sz w:val="21"/>
                <w:szCs w:val="21"/>
                <w:highlight w:val="none"/>
                <w:lang w:eastAsia="zh-CN"/>
              </w:rPr>
            </w:pPr>
            <w:r>
              <w:rPr>
                <w:rFonts w:hint="default" w:ascii="宋体" w:hAnsi="宋体" w:eastAsia="宋体" w:cs="宋体"/>
                <w:strike w:val="0"/>
                <w:dstrike w:val="0"/>
                <w:color w:val="auto"/>
                <w:sz w:val="21"/>
                <w:szCs w:val="21"/>
                <w:highlight w:val="none"/>
              </w:rPr>
              <w:t>提交符合招标文件要求的联合体协议书，明确各方承担连带责任，并明确联合体</w:t>
            </w:r>
            <w:r>
              <w:rPr>
                <w:rFonts w:hint="default" w:ascii="宋体" w:hAnsi="宋体" w:eastAsia="宋体" w:cs="宋体"/>
                <w:strike w:val="0"/>
                <w:dstrike w:val="0"/>
                <w:color w:val="auto"/>
                <w:sz w:val="21"/>
                <w:szCs w:val="21"/>
                <w:highlight w:val="none"/>
                <w:lang w:eastAsia="zh-CN"/>
              </w:rPr>
              <w:t>主办方</w:t>
            </w:r>
          </w:p>
        </w:tc>
      </w:tr>
      <w:tr w14:paraId="65C7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077812">
            <w:pPr>
              <w:pStyle w:val="4"/>
              <w:kinsoku w:val="0"/>
              <w:overflowPunct w:val="0"/>
              <w:jc w:val="both"/>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F636A7">
            <w:pPr>
              <w:pStyle w:val="4"/>
              <w:kinsoku w:val="0"/>
              <w:overflowPunct w:val="0"/>
              <w:jc w:val="both"/>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CF1B16">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备选投标方案</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CD8731">
            <w:pPr>
              <w:pStyle w:val="29"/>
              <w:kinsoku w:val="0"/>
              <w:overflowPunct w:val="0"/>
              <w:spacing w:before="107"/>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除招标文件明确允许提交备选投标方案外，投标人不得提交备选投标方案</w:t>
            </w:r>
          </w:p>
        </w:tc>
      </w:tr>
      <w:tr w14:paraId="1219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6C2492">
            <w:pPr>
              <w:pStyle w:val="4"/>
              <w:kinsoku w:val="0"/>
              <w:overflowPunct w:val="0"/>
              <w:jc w:val="both"/>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80458AE">
            <w:pPr>
              <w:pStyle w:val="4"/>
              <w:kinsoku w:val="0"/>
              <w:overflowPunct w:val="0"/>
              <w:jc w:val="both"/>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D1ACB6">
            <w:pPr>
              <w:jc w:val="center"/>
              <w:rPr>
                <w:rFonts w:hint="default" w:ascii="宋体" w:hAnsi="宋体" w:eastAsia="宋体" w:cs="宋体"/>
                <w:color w:val="auto"/>
                <w:sz w:val="21"/>
                <w:szCs w:val="21"/>
                <w:highlight w:val="none"/>
                <w:lang w:val="en-US" w:eastAsia="zh-CN"/>
              </w:rPr>
            </w:pPr>
            <w:r>
              <w:rPr>
                <w:rFonts w:hint="default" w:ascii="宋体" w:hAnsi="Times New Roman" w:eastAsia="宋体"/>
                <w:color w:val="auto"/>
                <w:sz w:val="21"/>
                <w:szCs w:val="24"/>
                <w:highlight w:val="none"/>
              </w:rPr>
              <w:t>投标人机器码</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1535DC">
            <w:pPr>
              <w:jc w:val="both"/>
              <w:rPr>
                <w:rFonts w:hint="default" w:ascii="宋体" w:hAnsi="宋体" w:eastAsia="宋体" w:cs="宋体"/>
                <w:color w:val="auto"/>
                <w:sz w:val="21"/>
                <w:szCs w:val="21"/>
                <w:highlight w:val="none"/>
                <w:lang w:val="en-US" w:eastAsia="zh-CN"/>
              </w:rPr>
            </w:pPr>
            <w:r>
              <w:rPr>
                <w:rFonts w:hint="default" w:ascii="宋体" w:hAnsi="Times New Roman" w:eastAsia="宋体"/>
                <w:color w:val="auto"/>
                <w:sz w:val="21"/>
                <w:szCs w:val="24"/>
                <w:highlight w:val="none"/>
              </w:rPr>
              <w:t>投标人与</w:t>
            </w:r>
            <w:r>
              <w:rPr>
                <w:rFonts w:hint="default" w:ascii="宋体" w:hAnsi="Times New Roman" w:eastAsia="宋体"/>
                <w:color w:val="auto"/>
                <w:sz w:val="21"/>
                <w:szCs w:val="24"/>
                <w:highlight w:val="none"/>
                <w:lang w:eastAsia="zh-CN"/>
              </w:rPr>
              <w:t>本项目</w:t>
            </w:r>
            <w:r>
              <w:rPr>
                <w:rFonts w:hint="default" w:ascii="宋体" w:hAnsi="Times New Roman" w:eastAsia="宋体"/>
                <w:color w:val="auto"/>
                <w:sz w:val="21"/>
                <w:szCs w:val="24"/>
                <w:highlight w:val="none"/>
              </w:rPr>
              <w:t>其他投标人加密打包投标文件电脑机器特征码</w:t>
            </w:r>
            <w:r>
              <w:rPr>
                <w:rFonts w:hint="default" w:ascii="宋体" w:hAnsi="Times New Roman" w:eastAsia="宋体"/>
                <w:color w:val="auto"/>
                <w:sz w:val="21"/>
                <w:szCs w:val="24"/>
                <w:highlight w:val="none"/>
                <w:lang w:eastAsia="zh-CN"/>
              </w:rPr>
              <w:t>不</w:t>
            </w:r>
            <w:r>
              <w:rPr>
                <w:rFonts w:hint="default" w:ascii="宋体" w:hAnsi="Times New Roman" w:eastAsia="宋体"/>
                <w:color w:val="auto"/>
                <w:sz w:val="21"/>
                <w:szCs w:val="24"/>
                <w:highlight w:val="none"/>
              </w:rPr>
              <w:t>一致的(以</w:t>
            </w:r>
            <w:r>
              <w:rPr>
                <w:rFonts w:hint="eastAsia" w:ascii="宋体"/>
                <w:color w:val="auto"/>
                <w:sz w:val="21"/>
                <w:szCs w:val="24"/>
                <w:highlight w:val="none"/>
                <w:lang w:eastAsia="zh-CN"/>
              </w:rPr>
              <w:t>广州交易集团有限公司（广州公共资源交易中心）</w:t>
            </w:r>
            <w:r>
              <w:rPr>
                <w:rFonts w:hint="default" w:ascii="宋体" w:hAnsi="Times New Roman" w:eastAsia="宋体"/>
                <w:color w:val="auto"/>
                <w:sz w:val="21"/>
                <w:szCs w:val="24"/>
                <w:highlight w:val="none"/>
                <w:lang w:eastAsia="zh-CN"/>
              </w:rPr>
              <w:t>交易</w:t>
            </w:r>
            <w:r>
              <w:rPr>
                <w:rFonts w:hint="default" w:ascii="宋体" w:hAnsi="Times New Roman" w:eastAsia="宋体"/>
                <w:color w:val="auto"/>
                <w:sz w:val="21"/>
                <w:szCs w:val="24"/>
                <w:highlight w:val="none"/>
              </w:rPr>
              <w:t>平台</w:t>
            </w:r>
            <w:r>
              <w:rPr>
                <w:rFonts w:hint="eastAsia" w:ascii="宋体"/>
                <w:color w:val="auto"/>
                <w:sz w:val="21"/>
                <w:szCs w:val="24"/>
                <w:highlight w:val="none"/>
                <w:lang w:eastAsia="zh-CN"/>
              </w:rPr>
              <w:t>开标</w:t>
            </w:r>
            <w:r>
              <w:rPr>
                <w:rFonts w:hint="default" w:ascii="宋体" w:hAnsi="Times New Roman" w:eastAsia="宋体"/>
                <w:color w:val="auto"/>
                <w:sz w:val="21"/>
                <w:szCs w:val="24"/>
                <w:highlight w:val="none"/>
              </w:rPr>
              <w:t>系统的检索信息为准)</w:t>
            </w:r>
          </w:p>
        </w:tc>
      </w:tr>
      <w:tr w14:paraId="5BB4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4936E86">
            <w:pPr>
              <w:pStyle w:val="29"/>
              <w:kinsoku w:val="0"/>
              <w:overflowPunct w:val="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2.1.3</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D049D7">
            <w:pPr>
              <w:pStyle w:val="29"/>
              <w:kinsoku w:val="0"/>
              <w:overflowPunct w:val="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响应性评审标准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1DA28">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投标报价</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B5BACB">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符合第二章“投标人须知”第3.2款规定</w:t>
            </w:r>
          </w:p>
        </w:tc>
      </w:tr>
      <w:tr w14:paraId="35A0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51FE3A2">
            <w:pPr>
              <w:pStyle w:val="4"/>
              <w:kinsoku w:val="0"/>
              <w:overflowPunct w:val="0"/>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0E01B41">
            <w:pPr>
              <w:pStyle w:val="4"/>
              <w:kinsoku w:val="0"/>
              <w:overflowPunct w:val="0"/>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55332">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投标内容</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708274">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符合第二章“投标人须知”第1.3.1项规定</w:t>
            </w:r>
          </w:p>
        </w:tc>
      </w:tr>
      <w:tr w14:paraId="4E21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E4BAA9D">
            <w:pPr>
              <w:pStyle w:val="4"/>
              <w:kinsoku w:val="0"/>
              <w:overflowPunct w:val="0"/>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5B404FE">
            <w:pPr>
              <w:pStyle w:val="4"/>
              <w:kinsoku w:val="0"/>
              <w:overflowPunct w:val="0"/>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786DE2">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监理服务期限</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9C314E">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符合第二章“投标人须知”第1.3.2项规定</w:t>
            </w:r>
          </w:p>
        </w:tc>
      </w:tr>
      <w:tr w14:paraId="0CFE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722AD19">
            <w:pPr>
              <w:pStyle w:val="4"/>
              <w:kinsoku w:val="0"/>
              <w:overflowPunct w:val="0"/>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A21F3B0">
            <w:pPr>
              <w:pStyle w:val="4"/>
              <w:kinsoku w:val="0"/>
              <w:overflowPunct w:val="0"/>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44E657">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质量标准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D6DF21">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符合第二章“投标人须知”第1.3.3项规定</w:t>
            </w:r>
          </w:p>
        </w:tc>
      </w:tr>
      <w:tr w14:paraId="4DF9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D28B1E1">
            <w:pPr>
              <w:pStyle w:val="4"/>
              <w:kinsoku w:val="0"/>
              <w:overflowPunct w:val="0"/>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D99ECB0">
            <w:pPr>
              <w:pStyle w:val="4"/>
              <w:kinsoku w:val="0"/>
              <w:overflowPunct w:val="0"/>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DF7C0B">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投标有效期</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F3EC95">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符合第二章“投标人须知”第3.3.1项规定</w:t>
            </w:r>
          </w:p>
        </w:tc>
      </w:tr>
      <w:tr w14:paraId="6953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BCE0B54">
            <w:pPr>
              <w:pStyle w:val="29"/>
              <w:kinsoku w:val="0"/>
              <w:overflowPunct w:val="0"/>
              <w:spacing w:before="41"/>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962EBF">
            <w:pPr>
              <w:pStyle w:val="29"/>
              <w:kinsoku w:val="0"/>
              <w:overflowPunct w:val="0"/>
              <w:spacing w:before="41"/>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条款内容</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876FFE">
            <w:pPr>
              <w:pStyle w:val="29"/>
              <w:kinsoku w:val="0"/>
              <w:overflowPunct w:val="0"/>
              <w:spacing w:before="41"/>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编列内容</w:t>
            </w:r>
          </w:p>
        </w:tc>
      </w:tr>
      <w:tr w14:paraId="748E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0A88662">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2.2.1</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1FBA59">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分值构成(总分100分)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33E126">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资信业绩部分：</w:t>
            </w:r>
            <w:r>
              <w:rPr>
                <w:rFonts w:hint="eastAsia" w:ascii="宋体" w:hAnsi="宋体" w:cs="宋体"/>
                <w:color w:val="auto"/>
                <w:sz w:val="21"/>
                <w:szCs w:val="21"/>
                <w:highlight w:val="none"/>
                <w:u w:val="single"/>
                <w:lang w:val="en-US" w:eastAsia="zh-CN"/>
              </w:rPr>
              <w:t>45</w:t>
            </w:r>
            <w:r>
              <w:rPr>
                <w:rFonts w:hint="default" w:ascii="宋体" w:hAnsi="宋体" w:eastAsia="宋体" w:cs="宋体"/>
                <w:color w:val="auto"/>
                <w:sz w:val="21"/>
                <w:szCs w:val="21"/>
                <w:highlight w:val="none"/>
              </w:rPr>
              <w:t>分</w:t>
            </w:r>
          </w:p>
          <w:p w14:paraId="02F57E58">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监理大纲部分：</w:t>
            </w:r>
            <w:r>
              <w:rPr>
                <w:rFonts w:hint="eastAsia" w:ascii="宋体" w:hAnsi="宋体" w:cs="宋体"/>
                <w:color w:val="auto"/>
                <w:sz w:val="21"/>
                <w:szCs w:val="21"/>
                <w:highlight w:val="none"/>
                <w:u w:val="single"/>
                <w:lang w:val="en-US" w:eastAsia="zh-CN"/>
              </w:rPr>
              <w:t>25</w:t>
            </w:r>
            <w:r>
              <w:rPr>
                <w:rFonts w:hint="default" w:ascii="宋体" w:hAnsi="宋体" w:eastAsia="宋体" w:cs="宋体"/>
                <w:color w:val="auto"/>
                <w:sz w:val="21"/>
                <w:szCs w:val="21"/>
                <w:highlight w:val="none"/>
              </w:rPr>
              <w:t>分</w:t>
            </w:r>
          </w:p>
          <w:p w14:paraId="21E9E7DD">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投标报价：</w:t>
            </w:r>
            <w:r>
              <w:rPr>
                <w:rFonts w:hint="eastAsia" w:ascii="宋体" w:hAnsi="宋体" w:cs="宋体"/>
                <w:color w:val="auto"/>
                <w:sz w:val="21"/>
                <w:szCs w:val="21"/>
                <w:highlight w:val="none"/>
                <w:u w:val="single"/>
                <w:lang w:val="en-US" w:eastAsia="zh-CN"/>
              </w:rPr>
              <w:t>10</w:t>
            </w:r>
            <w:r>
              <w:rPr>
                <w:rFonts w:hint="default" w:ascii="宋体" w:hAnsi="宋体" w:eastAsia="宋体" w:cs="宋体"/>
                <w:color w:val="auto"/>
                <w:sz w:val="21"/>
                <w:szCs w:val="21"/>
                <w:highlight w:val="none"/>
              </w:rPr>
              <w:t>分</w:t>
            </w:r>
          </w:p>
          <w:p w14:paraId="1C1D53E7">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eastAsia="zh-CN"/>
              </w:rPr>
              <w:t>诚信得分</w:t>
            </w:r>
            <w:r>
              <w:rPr>
                <w:rFonts w:hint="default"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20</w:t>
            </w:r>
            <w:r>
              <w:rPr>
                <w:rFonts w:hint="default" w:ascii="宋体" w:hAnsi="宋体" w:eastAsia="宋体" w:cs="宋体"/>
                <w:color w:val="auto"/>
                <w:sz w:val="21"/>
                <w:szCs w:val="21"/>
                <w:highlight w:val="none"/>
              </w:rPr>
              <w:t>分</w:t>
            </w:r>
          </w:p>
        </w:tc>
      </w:tr>
      <w:tr w14:paraId="5838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726EF7C">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2.2.2</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CB062E">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评标基准价计算方法</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8ECC8">
            <w:pPr>
              <w:pStyle w:val="29"/>
              <w:kinsoku w:val="0"/>
              <w:overflowPunct w:val="0"/>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1.若通过初步评审且投标报价位于[最高投标限价×80%，最高投标限价×95%]区间的有效投标人大于5名时，去掉一个最高价和一个最低价，取余下有效投标报价的算术平均值作为评标基准价。</w:t>
            </w:r>
          </w:p>
          <w:p w14:paraId="05AAED9E">
            <w:pPr>
              <w:pStyle w:val="29"/>
              <w:kinsoku w:val="0"/>
              <w:overflowPunct w:val="0"/>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2.若通过初步评审且投标报价位于[最高投标限价×80%，最高投标限价×95%]区间的有效投标人为 1~5 名时，取所有入围的有效投标报价的算术平均值作为评标基准价。</w:t>
            </w:r>
          </w:p>
          <w:p w14:paraId="634AA8DD">
            <w:pPr>
              <w:pStyle w:val="29"/>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lang w:eastAsia="zh-CN"/>
              </w:rPr>
              <w:t>3.若通过初步评审且投标报价位于[最高投标限价X80%，最高投标限价×95%]区间的有效投标人为0 名时，按最高投标限价×80%计算作为评标基准价。</w:t>
            </w:r>
          </w:p>
        </w:tc>
      </w:tr>
      <w:tr w14:paraId="3C46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D144EEA">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rPr>
              <w:t>.2.3</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7C303">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投标报价的偏差率计算公式</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B21EB">
            <w:pPr>
              <w:pStyle w:val="29"/>
              <w:kinsoku w:val="0"/>
              <w:overflowPunct w:val="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投标报价偏差率=（投标报价-评标基准价）/评标基准价×100%。</w:t>
            </w:r>
          </w:p>
        </w:tc>
      </w:tr>
      <w:tr w14:paraId="44A3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6786637">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2.2.4</w:t>
            </w:r>
          </w:p>
          <w:p w14:paraId="4734A61F">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1754E58">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资信业绩评分标准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E8A3C3">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项目总监理工程师的素质和能力</w:t>
            </w:r>
          </w:p>
          <w:p w14:paraId="03DACE46">
            <w:pPr>
              <w:pStyle w:val="29"/>
              <w:kinsoku w:val="0"/>
              <w:overflowPunct w:val="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5分</w:t>
            </w:r>
            <w:r>
              <w:rPr>
                <w:rFonts w:hint="eastAsia" w:ascii="宋体" w:hAnsi="宋体" w:cs="宋体"/>
                <w:color w:val="auto"/>
                <w:sz w:val="21"/>
                <w:szCs w:val="21"/>
                <w:highlight w:val="none"/>
                <w:lang w:eastAsia="zh-CN"/>
              </w:rPr>
              <w:t>）</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top"/>
          </w:tcPr>
          <w:p w14:paraId="2C942A7E">
            <w:pPr>
              <w:pStyle w:val="29"/>
              <w:kinsoku w:val="0"/>
              <w:overflowPunct w:val="0"/>
              <w:jc w:val="both"/>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rPr>
              <w:t>拟派总监理工程师</w:t>
            </w:r>
            <w:r>
              <w:rPr>
                <w:rFonts w:hint="eastAsia" w:ascii="宋体" w:hAnsi="宋体" w:cs="宋体"/>
                <w:color w:val="auto"/>
                <w:sz w:val="21"/>
                <w:szCs w:val="21"/>
                <w:highlight w:val="none"/>
                <w:lang w:val="en-US" w:eastAsia="zh-CN"/>
              </w:rPr>
              <w:t>为水利工程施工监理，</w:t>
            </w:r>
            <w:r>
              <w:rPr>
                <w:rFonts w:hint="default" w:ascii="宋体" w:hAnsi="宋体" w:eastAsia="宋体" w:cs="宋体"/>
                <w:color w:val="auto"/>
                <w:sz w:val="21"/>
                <w:szCs w:val="21"/>
                <w:highlight w:val="none"/>
              </w:rPr>
              <w:t>具有10年（不含）以上工作经验得</w:t>
            </w: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7</w:t>
            </w:r>
            <w:r>
              <w:rPr>
                <w:rFonts w:hint="default" w:ascii="宋体" w:hAnsi="宋体" w:eastAsia="宋体" w:cs="宋体"/>
                <w:color w:val="auto"/>
                <w:sz w:val="21"/>
                <w:szCs w:val="21"/>
                <w:highlight w:val="none"/>
              </w:rPr>
              <w:t>年（不含）至10年（含）的得</w:t>
            </w: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4</w:t>
            </w:r>
            <w:r>
              <w:rPr>
                <w:rFonts w:hint="default" w:ascii="宋体" w:hAnsi="宋体" w:eastAsia="宋体" w:cs="宋体"/>
                <w:color w:val="auto"/>
                <w:sz w:val="21"/>
                <w:szCs w:val="21"/>
                <w:highlight w:val="none"/>
              </w:rPr>
              <w:t>年（不含）至</w:t>
            </w:r>
            <w:r>
              <w:rPr>
                <w:rFonts w:hint="eastAsia" w:ascii="宋体" w:hAnsi="宋体" w:cs="宋体"/>
                <w:color w:val="auto"/>
                <w:sz w:val="21"/>
                <w:szCs w:val="21"/>
                <w:highlight w:val="none"/>
                <w:lang w:val="en-US" w:eastAsia="zh-CN"/>
              </w:rPr>
              <w:t>7</w:t>
            </w:r>
            <w:r>
              <w:rPr>
                <w:rFonts w:hint="default" w:ascii="宋体" w:hAnsi="宋体" w:eastAsia="宋体" w:cs="宋体"/>
                <w:color w:val="auto"/>
                <w:sz w:val="21"/>
                <w:szCs w:val="21"/>
                <w:highlight w:val="none"/>
              </w:rPr>
              <w:t>年（含）的得</w:t>
            </w: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rPr>
              <w:t>分；其他不得分。</w:t>
            </w:r>
          </w:p>
          <w:p w14:paraId="6638B2BA">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注：本项最高得</w:t>
            </w: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rPr>
              <w:t>分。工作经验时间以大学（含专科学校</w:t>
            </w:r>
            <w:r>
              <w:rPr>
                <w:rFonts w:hint="eastAsia" w:ascii="宋体" w:hAnsi="宋体" w:cs="宋体"/>
                <w:color w:val="auto"/>
                <w:sz w:val="21"/>
                <w:szCs w:val="21"/>
                <w:highlight w:val="none"/>
                <w:lang w:eastAsia="zh-CN"/>
              </w:rPr>
              <w:t>）</w:t>
            </w:r>
            <w:r>
              <w:rPr>
                <w:rFonts w:hint="default" w:ascii="宋体" w:hAnsi="宋体" w:eastAsia="宋体" w:cs="宋体"/>
                <w:color w:val="auto"/>
                <w:sz w:val="21"/>
                <w:szCs w:val="21"/>
                <w:highlight w:val="none"/>
              </w:rPr>
              <w:t>毕业证的发证日期开始计算。须提供毕业证及投标人为其购买的近一个月有效社保证明，否则不得分。</w:t>
            </w:r>
          </w:p>
          <w:p w14:paraId="6A125356">
            <w:pPr>
              <w:pStyle w:val="29"/>
              <w:kinsoku w:val="0"/>
              <w:overflowPunct w:val="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2、拟派总监理工程师2020年1月1日至今参与过的水利工程项目获得过省级（或以上）质量奖项的，得2分；市级质量奖项的，得1分；其他不得分。 </w:t>
            </w:r>
          </w:p>
          <w:p w14:paraId="789F4F46">
            <w:pPr>
              <w:pStyle w:val="29"/>
              <w:kinsoku w:val="0"/>
              <w:overflowPunct w:val="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注：本项最高得2分。同一项目业绩获奖的按最高奖项只计算一次，不重复计算。须</w:t>
            </w:r>
            <w:r>
              <w:rPr>
                <w:rFonts w:hint="default" w:ascii="宋体" w:hAnsi="宋体" w:eastAsia="宋体" w:cs="宋体"/>
                <w:color w:val="auto"/>
                <w:sz w:val="21"/>
                <w:szCs w:val="21"/>
                <w:highlight w:val="none"/>
              </w:rPr>
              <w:t>提供获奖证书，</w:t>
            </w:r>
            <w:r>
              <w:rPr>
                <w:rFonts w:hint="eastAsia" w:ascii="宋体" w:hAnsi="宋体" w:cs="宋体"/>
                <w:color w:val="auto"/>
                <w:sz w:val="21"/>
                <w:szCs w:val="21"/>
                <w:highlight w:val="none"/>
                <w:lang w:val="en-US" w:eastAsia="zh-CN"/>
              </w:rPr>
              <w:t>时间以获奖证书颁发日期为准。以上证明材料必须提供载明相关人员姓名的获奖证书，否则不得分。以上获奖如为协会（或学会）等社会组织颁发的，还须提供该组织在“全国社会组织信用信息公示平台</w:t>
            </w:r>
          </w:p>
          <w:p w14:paraId="0301FF47">
            <w:pPr>
              <w:pStyle w:val="29"/>
              <w:kinsoku w:val="0"/>
              <w:overflowPunct w:val="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（试运行）”（网址：https://datasearch.chinanpo.gov.cn/gsxt/newList）登记备案的查询网页截图，否则不得分。</w:t>
            </w:r>
          </w:p>
        </w:tc>
      </w:tr>
      <w:tr w14:paraId="78D8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BB5CA3A">
            <w:pPr>
              <w:pStyle w:val="29"/>
              <w:kinsoku w:val="0"/>
              <w:overflowPunct w:val="0"/>
              <w:jc w:val="center"/>
              <w:rPr>
                <w:rFonts w:hint="default" w:ascii="宋体" w:hAnsi="宋体" w:eastAsia="宋体" w:cs="宋体"/>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90CD36C">
            <w:pPr>
              <w:pStyle w:val="29"/>
              <w:kinsoku w:val="0"/>
              <w:overflowPunct w:val="0"/>
              <w:jc w:val="center"/>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008831">
            <w:pPr>
              <w:pStyle w:val="29"/>
              <w:kinsoku w:val="0"/>
              <w:overflowPunct w:val="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监理机构其他主要人员配备及相应专业满足程度</w:t>
            </w:r>
          </w:p>
          <w:p w14:paraId="530B9868">
            <w:pPr>
              <w:pStyle w:val="29"/>
              <w:kinsoku w:val="0"/>
              <w:overflowPunct w:val="0"/>
              <w:jc w:val="center"/>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10分</w:t>
            </w:r>
            <w:r>
              <w:rPr>
                <w:rFonts w:hint="eastAsia" w:ascii="宋体" w:hAnsi="宋体" w:cs="宋体"/>
                <w:color w:val="auto"/>
                <w:sz w:val="21"/>
                <w:szCs w:val="21"/>
                <w:highlight w:val="none"/>
                <w:lang w:eastAsia="zh-CN"/>
              </w:rPr>
              <w:t>）</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top"/>
          </w:tcPr>
          <w:p w14:paraId="2844BCC4">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投标人拟投入的项目监理机构其他主要人员（除总监理工程师以外）不少于</w:t>
            </w:r>
            <w:r>
              <w:rPr>
                <w:rFonts w:hint="eastAsia" w:ascii="宋体" w:hAnsi="宋体" w:cs="宋体"/>
                <w:color w:val="auto"/>
                <w:sz w:val="21"/>
                <w:szCs w:val="21"/>
                <w:highlight w:val="none"/>
                <w:lang w:val="en-US" w:eastAsia="zh-CN"/>
              </w:rPr>
              <w:t>7</w:t>
            </w:r>
            <w:r>
              <w:rPr>
                <w:rFonts w:hint="default" w:ascii="宋体" w:hAnsi="宋体" w:eastAsia="宋体" w:cs="宋体"/>
                <w:color w:val="auto"/>
                <w:sz w:val="21"/>
                <w:szCs w:val="21"/>
                <w:highlight w:val="none"/>
              </w:rPr>
              <w:t>人，包括但不限于：</w:t>
            </w:r>
          </w:p>
          <w:p w14:paraId="7882893A">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（1）水利工程施工监理专业监理工程师</w:t>
            </w: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rPr>
              <w:t>名；</w:t>
            </w:r>
          </w:p>
          <w:p w14:paraId="7A31803A">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w:t>
            </w:r>
            <w:r>
              <w:rPr>
                <w:rFonts w:hint="default" w:ascii="宋体" w:hAnsi="宋体" w:cs="宋体"/>
                <w:color w:val="auto"/>
                <w:sz w:val="21"/>
                <w:szCs w:val="21"/>
                <w:highlight w:val="none"/>
              </w:rPr>
              <w:t>水土保持工程施工监理专业监理工程师1名；</w:t>
            </w:r>
          </w:p>
          <w:p w14:paraId="2E7F9D3B">
            <w:pPr>
              <w:pStyle w:val="29"/>
              <w:kinsoku w:val="0"/>
              <w:overflowPunct w:val="0"/>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）市政工程专业监理工程师1名；</w:t>
            </w:r>
          </w:p>
          <w:p w14:paraId="15B50915">
            <w:pPr>
              <w:pStyle w:val="29"/>
              <w:kinsoku w:val="0"/>
              <w:overflowPunct w:val="0"/>
              <w:jc w:val="both"/>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default" w:ascii="宋体" w:hAnsi="宋体" w:eastAsia="宋体" w:cs="宋体"/>
                <w:color w:val="auto"/>
                <w:sz w:val="21"/>
                <w:szCs w:val="21"/>
                <w:highlight w:val="none"/>
              </w:rPr>
              <w:t>水利工程专业注册造价工程师1名；</w:t>
            </w:r>
          </w:p>
          <w:p w14:paraId="4B220C9E">
            <w:pPr>
              <w:pStyle w:val="29"/>
              <w:kinsoku w:val="0"/>
              <w:overflowPunct w:val="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水利工程专业监理员</w:t>
            </w:r>
            <w:r>
              <w:rPr>
                <w:rFonts w:hint="default" w:ascii="宋体" w:hAnsi="宋体" w:eastAsia="宋体" w:cs="宋体"/>
                <w:color w:val="auto"/>
                <w:sz w:val="21"/>
                <w:szCs w:val="21"/>
                <w:highlight w:val="none"/>
              </w:rPr>
              <w:t>（或以上岗位资格人员）</w:t>
            </w:r>
            <w:r>
              <w:rPr>
                <w:rFonts w:hint="eastAsia" w:ascii="宋体" w:hAnsi="宋体" w:cs="宋体"/>
                <w:color w:val="auto"/>
                <w:sz w:val="21"/>
                <w:szCs w:val="21"/>
                <w:highlight w:val="none"/>
                <w:lang w:val="en-US" w:eastAsia="zh-CN"/>
              </w:rPr>
              <w:t>1名；</w:t>
            </w:r>
          </w:p>
          <w:p w14:paraId="7D2AF87F">
            <w:pPr>
              <w:pStyle w:val="29"/>
              <w:kinsoku w:val="0"/>
              <w:overflowPunct w:val="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（6）市政工程专业监理员（或以上岗位资格人员）1名；</w:t>
            </w:r>
          </w:p>
          <w:p w14:paraId="15CD04D5">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default" w:ascii="宋体" w:hAnsi="宋体" w:eastAsia="宋体" w:cs="宋体"/>
                <w:color w:val="auto"/>
                <w:sz w:val="21"/>
                <w:szCs w:val="21"/>
                <w:highlight w:val="none"/>
              </w:rPr>
              <w:t>）安全监理员1名。</w:t>
            </w:r>
          </w:p>
          <w:p w14:paraId="199288F3">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完全符合上述要求的得</w:t>
            </w:r>
            <w:r>
              <w:rPr>
                <w:rFonts w:hint="eastAsia" w:ascii="宋体" w:hAnsi="宋体" w:cs="宋体"/>
                <w:color w:val="auto"/>
                <w:sz w:val="21"/>
                <w:szCs w:val="21"/>
                <w:highlight w:val="none"/>
                <w:lang w:val="en-US" w:eastAsia="zh-CN"/>
              </w:rPr>
              <w:t>10</w:t>
            </w:r>
            <w:r>
              <w:rPr>
                <w:rFonts w:hint="default" w:ascii="宋体" w:hAnsi="宋体" w:eastAsia="宋体" w:cs="宋体"/>
                <w:color w:val="auto"/>
                <w:sz w:val="21"/>
                <w:szCs w:val="21"/>
                <w:highlight w:val="none"/>
              </w:rPr>
              <w:t>分，其他不得分。</w:t>
            </w:r>
          </w:p>
          <w:p w14:paraId="6E5CC184">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注：上述（1）~（</w:t>
            </w:r>
            <w:r>
              <w:rPr>
                <w:rFonts w:hint="eastAsia" w:ascii="宋体" w:hAnsi="宋体" w:cs="宋体"/>
                <w:color w:val="auto"/>
                <w:sz w:val="21"/>
                <w:szCs w:val="21"/>
                <w:highlight w:val="none"/>
                <w:lang w:val="en-US" w:eastAsia="zh-CN"/>
              </w:rPr>
              <w:t>7</w:t>
            </w:r>
            <w:r>
              <w:rPr>
                <w:rFonts w:hint="default" w:ascii="宋体" w:hAnsi="宋体" w:eastAsia="宋体" w:cs="宋体"/>
                <w:color w:val="auto"/>
                <w:sz w:val="21"/>
                <w:szCs w:val="21"/>
                <w:highlight w:val="none"/>
              </w:rPr>
              <w:t>）项人员</w:t>
            </w:r>
            <w:r>
              <w:rPr>
                <w:rFonts w:hint="eastAsia" w:ascii="宋体" w:hAnsi="宋体" w:cs="宋体"/>
                <w:color w:val="auto"/>
                <w:sz w:val="21"/>
                <w:szCs w:val="21"/>
                <w:highlight w:val="none"/>
                <w:lang w:val="en-US" w:eastAsia="zh-CN"/>
              </w:rPr>
              <w:t>须</w:t>
            </w:r>
            <w:r>
              <w:rPr>
                <w:rFonts w:hint="default" w:ascii="宋体" w:hAnsi="宋体" w:eastAsia="宋体" w:cs="宋体"/>
                <w:color w:val="auto"/>
                <w:sz w:val="21"/>
                <w:szCs w:val="21"/>
                <w:highlight w:val="none"/>
              </w:rPr>
              <w:t>提供相关资格（培训）证书或注册证书（必须在本单位注册），上述人员均需提供近一个月该投标人为其购买的有效社保证明。</w:t>
            </w:r>
          </w:p>
        </w:tc>
      </w:tr>
      <w:tr w14:paraId="2B48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2DFE3F2">
            <w:pPr>
              <w:pStyle w:val="29"/>
              <w:kinsoku w:val="0"/>
              <w:overflowPunct w:val="0"/>
              <w:jc w:val="center"/>
              <w:rPr>
                <w:rFonts w:hint="default" w:ascii="宋体" w:hAnsi="宋体" w:eastAsia="宋体" w:cs="宋体"/>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8CB69B0">
            <w:pPr>
              <w:pStyle w:val="29"/>
              <w:kinsoku w:val="0"/>
              <w:overflowPunct w:val="0"/>
              <w:jc w:val="center"/>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12968F">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类似项目业绩</w:t>
            </w:r>
          </w:p>
          <w:p w14:paraId="23DEB7B5">
            <w:pPr>
              <w:pStyle w:val="29"/>
              <w:kinsoku w:val="0"/>
              <w:overflowPunct w:val="0"/>
              <w:jc w:val="center"/>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12分</w:t>
            </w:r>
            <w:r>
              <w:rPr>
                <w:rFonts w:hint="eastAsia" w:ascii="宋体" w:hAnsi="宋体" w:cs="宋体"/>
                <w:color w:val="auto"/>
                <w:sz w:val="21"/>
                <w:szCs w:val="21"/>
                <w:highlight w:val="none"/>
                <w:lang w:eastAsia="zh-CN"/>
              </w:rPr>
              <w:t>）</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top"/>
          </w:tcPr>
          <w:p w14:paraId="7145FFE5">
            <w:pPr>
              <w:pStyle w:val="29"/>
              <w:kinsoku w:val="0"/>
              <w:overflowPunct w:val="0"/>
              <w:jc w:val="both"/>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0</w:t>
            </w:r>
            <w:r>
              <w:rPr>
                <w:rFonts w:hint="default" w:ascii="宋体" w:hAnsi="宋体" w:eastAsia="宋体" w:cs="宋体"/>
                <w:color w:val="auto"/>
                <w:sz w:val="21"/>
                <w:szCs w:val="21"/>
                <w:highlight w:val="none"/>
              </w:rPr>
              <w:t>年1月1日至今，投标人独立完成过质量合格的</w:t>
            </w:r>
            <w:r>
              <w:rPr>
                <w:rFonts w:hint="eastAsia" w:ascii="宋体" w:hAnsi="宋体" w:cs="宋体"/>
                <w:color w:val="auto"/>
                <w:sz w:val="21"/>
                <w:szCs w:val="21"/>
                <w:highlight w:val="none"/>
                <w:lang w:val="en-US" w:eastAsia="zh-CN"/>
              </w:rPr>
              <w:t>水利水电</w:t>
            </w:r>
            <w:r>
              <w:rPr>
                <w:rFonts w:hint="default" w:ascii="宋体" w:hAnsi="宋体" w:eastAsia="宋体" w:cs="宋体"/>
                <w:color w:val="auto"/>
                <w:sz w:val="21"/>
                <w:szCs w:val="21"/>
                <w:highlight w:val="none"/>
              </w:rPr>
              <w:t>工程监理业绩的，每项得2分。</w:t>
            </w:r>
          </w:p>
          <w:p w14:paraId="69ABAFB8">
            <w:pPr>
              <w:pStyle w:val="29"/>
              <w:kinsoku w:val="0"/>
              <w:overflowPunct w:val="0"/>
              <w:jc w:val="both"/>
              <w:rPr>
                <w:highlight w:val="none"/>
              </w:rPr>
            </w:pPr>
            <w:r>
              <w:rPr>
                <w:rFonts w:hint="default" w:ascii="宋体" w:hAnsi="宋体" w:eastAsia="宋体" w:cs="宋体"/>
                <w:color w:val="auto"/>
                <w:sz w:val="21"/>
                <w:szCs w:val="21"/>
                <w:highlight w:val="none"/>
              </w:rPr>
              <w:t>注：</w:t>
            </w:r>
            <w:r>
              <w:rPr>
                <w:rFonts w:hint="default" w:ascii="宋体" w:hAnsi="宋体" w:cs="宋体"/>
                <w:color w:val="auto"/>
                <w:sz w:val="21"/>
                <w:szCs w:val="21"/>
                <w:highlight w:val="none"/>
              </w:rPr>
              <w:t>本项最</w:t>
            </w:r>
            <w:r>
              <w:rPr>
                <w:rFonts w:hint="eastAsia" w:ascii="宋体" w:hAnsi="宋体" w:cs="宋体"/>
                <w:color w:val="auto"/>
                <w:sz w:val="21"/>
                <w:szCs w:val="21"/>
                <w:highlight w:val="none"/>
                <w:lang w:val="en-US" w:eastAsia="zh-CN"/>
              </w:rPr>
              <w:t>高</w:t>
            </w:r>
            <w:r>
              <w:rPr>
                <w:rFonts w:hint="default" w:ascii="宋体" w:hAnsi="宋体" w:cs="宋体"/>
                <w:color w:val="auto"/>
                <w:sz w:val="21"/>
                <w:szCs w:val="21"/>
                <w:highlight w:val="none"/>
              </w:rPr>
              <w:t>得6分。须提供同时中标通知书（或发包通知书）、监理合同及验收证明材料（单位工程验收鉴定书或工程完工验收鉴定书或工程竣工验收鉴定书或竣工验收报告），否则不得分。时间以验收证明的验收日期为准。</w:t>
            </w:r>
          </w:p>
          <w:p w14:paraId="2D2DC488">
            <w:pPr>
              <w:pStyle w:val="29"/>
              <w:kinsoku w:val="0"/>
              <w:overflowPunct w:val="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0</w:t>
            </w:r>
            <w:r>
              <w:rPr>
                <w:rFonts w:hint="default" w:ascii="宋体" w:hAnsi="宋体" w:eastAsia="宋体" w:cs="宋体"/>
                <w:color w:val="auto"/>
                <w:sz w:val="21"/>
                <w:szCs w:val="21"/>
                <w:highlight w:val="none"/>
              </w:rPr>
              <w:t>年1月1日至今，</w:t>
            </w:r>
            <w:r>
              <w:rPr>
                <w:rFonts w:hint="eastAsia" w:ascii="宋体" w:hAnsi="宋体" w:cs="宋体"/>
                <w:color w:val="auto"/>
                <w:sz w:val="21"/>
                <w:szCs w:val="21"/>
                <w:highlight w:val="none"/>
                <w:lang w:val="en-US" w:eastAsia="zh-CN"/>
              </w:rPr>
              <w:t>投标人独立完成过质量合格的市政公用工程的监理业绩的，每项目得2分。</w:t>
            </w:r>
          </w:p>
          <w:p w14:paraId="2FDCEAA3">
            <w:pPr>
              <w:pStyle w:val="29"/>
              <w:kinsoku w:val="0"/>
              <w:overflowPunct w:val="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本项最高得6分。须提供同时中标通知书（或发包通知书）、监理合同及验收证明材料（单位工程验收鉴定书或工程完工验收鉴定书或工程竣工验收鉴定书或竣工验收报告），否则不得分。时间以验收证明的验收日期为准。</w:t>
            </w:r>
          </w:p>
        </w:tc>
      </w:tr>
      <w:tr w14:paraId="6ACC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8DB3B7">
            <w:pPr>
              <w:pStyle w:val="29"/>
              <w:kinsoku w:val="0"/>
              <w:overflowPunct w:val="0"/>
              <w:jc w:val="center"/>
              <w:rPr>
                <w:rFonts w:hint="default" w:ascii="宋体" w:hAnsi="宋体" w:eastAsia="宋体" w:cs="宋体"/>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2100D83">
            <w:pPr>
              <w:pStyle w:val="29"/>
              <w:kinsoku w:val="0"/>
              <w:overflowPunct w:val="0"/>
              <w:jc w:val="center"/>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939147">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业绩获奖</w:t>
            </w:r>
          </w:p>
          <w:p w14:paraId="5364ADEB">
            <w:pPr>
              <w:pStyle w:val="29"/>
              <w:kinsoku w:val="0"/>
              <w:overflowPunct w:val="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12分</w:t>
            </w:r>
            <w:r>
              <w:rPr>
                <w:rFonts w:hint="eastAsia" w:ascii="宋体" w:hAnsi="宋体" w:cs="宋体"/>
                <w:color w:val="auto"/>
                <w:sz w:val="21"/>
                <w:szCs w:val="21"/>
                <w:highlight w:val="none"/>
                <w:lang w:eastAsia="zh-CN"/>
              </w:rPr>
              <w:t>）</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top"/>
          </w:tcPr>
          <w:p w14:paraId="65860A7D">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0</w:t>
            </w:r>
            <w:r>
              <w:rPr>
                <w:rFonts w:hint="default" w:ascii="宋体" w:hAnsi="宋体" w:eastAsia="宋体" w:cs="宋体"/>
                <w:color w:val="auto"/>
                <w:sz w:val="21"/>
                <w:szCs w:val="21"/>
                <w:highlight w:val="none"/>
              </w:rPr>
              <w:t xml:space="preserve">年1月1日至今，投标人承接过的监理项目获得过：国家级工程质量奖项的，每项得4分；省级工程质量奖项的，每项得3分；市级工程质量奖项的，每项得1分；其他不得分。 </w:t>
            </w:r>
          </w:p>
          <w:p w14:paraId="1E0B99EA">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注：本项最高得12分；同一项目业绩获奖的按最高奖项只计算一次，不重复计算，</w:t>
            </w:r>
            <w:r>
              <w:rPr>
                <w:rFonts w:hint="eastAsia" w:ascii="宋体" w:hAnsi="宋体" w:cs="宋体"/>
                <w:color w:val="auto"/>
                <w:sz w:val="21"/>
                <w:szCs w:val="21"/>
                <w:highlight w:val="none"/>
                <w:lang w:val="en-US" w:eastAsia="zh-CN"/>
              </w:rPr>
              <w:t>须</w:t>
            </w:r>
            <w:r>
              <w:rPr>
                <w:rFonts w:hint="default" w:ascii="宋体" w:hAnsi="宋体" w:eastAsia="宋体" w:cs="宋体"/>
                <w:color w:val="auto"/>
                <w:sz w:val="21"/>
                <w:szCs w:val="21"/>
                <w:highlight w:val="none"/>
              </w:rPr>
              <w:t>提供获奖证书，日期以证书发证日期为准，否则不得分。以上获奖如为协会（或学会）颁发的，还需提供该组织在“全国社会组织信用信息公示平台（试运行）”登记备案的查询网页截图，否则不得分。</w:t>
            </w:r>
          </w:p>
        </w:tc>
      </w:tr>
      <w:tr w14:paraId="7111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00931A2">
            <w:pPr>
              <w:pStyle w:val="29"/>
              <w:kinsoku w:val="0"/>
              <w:overflowPunct w:val="0"/>
              <w:jc w:val="center"/>
              <w:rPr>
                <w:rFonts w:hint="default" w:ascii="宋体" w:hAnsi="宋体" w:eastAsia="宋体" w:cs="宋体"/>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77066C2">
            <w:pPr>
              <w:pStyle w:val="29"/>
              <w:kinsoku w:val="0"/>
              <w:overflowPunct w:val="0"/>
              <w:jc w:val="center"/>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13A98">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拟投入本工程项目配置的检测设备及办公设备</w:t>
            </w:r>
          </w:p>
          <w:p w14:paraId="2C96CC0E">
            <w:pPr>
              <w:pStyle w:val="29"/>
              <w:kinsoku w:val="0"/>
              <w:overflowPunct w:val="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3分</w:t>
            </w:r>
            <w:r>
              <w:rPr>
                <w:rFonts w:hint="eastAsia" w:ascii="宋体" w:hAnsi="宋体" w:cs="宋体"/>
                <w:color w:val="auto"/>
                <w:sz w:val="21"/>
                <w:szCs w:val="21"/>
                <w:highlight w:val="none"/>
                <w:lang w:eastAsia="zh-CN"/>
              </w:rPr>
              <w:t>）</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B1E63">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拟投入的检测设备及办公设备满足下列要求：车辆1部、电脑2台、打印机1台、测量仪器设备(全站仪</w:t>
            </w: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rPr>
              <w:t>台、水准仪</w:t>
            </w: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rPr>
              <w:t>台、回弹仪</w:t>
            </w: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rPr>
              <w:t>台)。</w:t>
            </w:r>
          </w:p>
          <w:p w14:paraId="2A753B2C">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对照上述要求，且均能提供购买发票，设备种类齐全和数量齐全可得</w:t>
            </w: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rPr>
              <w:t>分。若设备种类不齐全或数量不齐全或未提供某种设备发票的，缺少一种的得1分；其他不得分。</w:t>
            </w:r>
          </w:p>
          <w:p w14:paraId="28CE1226">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注：本项</w:t>
            </w:r>
            <w:r>
              <w:rPr>
                <w:rFonts w:hint="eastAsia" w:ascii="宋体" w:hAnsi="宋体" w:cs="宋体"/>
                <w:color w:val="auto"/>
                <w:sz w:val="21"/>
                <w:szCs w:val="21"/>
                <w:highlight w:val="none"/>
                <w:lang w:val="en-US" w:eastAsia="zh-CN"/>
              </w:rPr>
              <w:t>须</w:t>
            </w:r>
            <w:r>
              <w:rPr>
                <w:rFonts w:hint="default" w:ascii="宋体" w:hAnsi="宋体" w:eastAsia="宋体" w:cs="宋体"/>
                <w:color w:val="auto"/>
                <w:sz w:val="21"/>
                <w:szCs w:val="21"/>
                <w:highlight w:val="none"/>
              </w:rPr>
              <w:t>提供购买设备的发票，某种设备未提供发票的视为未提供该设备。</w:t>
            </w:r>
          </w:p>
        </w:tc>
      </w:tr>
      <w:tr w14:paraId="7F9F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491A5D6">
            <w:pPr>
              <w:pStyle w:val="29"/>
              <w:kinsoku w:val="0"/>
              <w:overflowPunct w:val="0"/>
              <w:jc w:val="center"/>
              <w:rPr>
                <w:rFonts w:hint="default" w:ascii="宋体" w:hAnsi="宋体" w:eastAsia="宋体" w:cs="宋体"/>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030D92D">
            <w:pPr>
              <w:pStyle w:val="29"/>
              <w:kinsoku w:val="0"/>
              <w:overflowPunct w:val="0"/>
              <w:jc w:val="center"/>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85FCD">
            <w:pPr>
              <w:pStyle w:val="29"/>
              <w:kinsoku w:val="0"/>
              <w:overflowPunct w:val="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管理体系认证证书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3分</w:t>
            </w:r>
            <w:r>
              <w:rPr>
                <w:rFonts w:hint="eastAsia" w:ascii="宋体" w:hAnsi="宋体" w:cs="宋体"/>
                <w:color w:val="auto"/>
                <w:sz w:val="21"/>
                <w:szCs w:val="21"/>
                <w:highlight w:val="none"/>
                <w:lang w:eastAsia="zh-CN"/>
              </w:rPr>
              <w:t>）</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8CDDDD">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w:t>
            </w:r>
            <w:r>
              <w:rPr>
                <w:rFonts w:hint="default" w:ascii="宋体" w:hAnsi="宋体" w:cs="宋体"/>
                <w:color w:val="auto"/>
                <w:sz w:val="21"/>
                <w:szCs w:val="21"/>
                <w:highlight w:val="none"/>
              </w:rPr>
              <w:t>（若为联合体投标，指联合体主办方）</w:t>
            </w:r>
            <w:r>
              <w:rPr>
                <w:rFonts w:hint="default" w:ascii="宋体" w:hAnsi="宋体" w:eastAsia="宋体" w:cs="宋体"/>
                <w:color w:val="auto"/>
                <w:sz w:val="21"/>
                <w:szCs w:val="21"/>
                <w:highlight w:val="none"/>
              </w:rPr>
              <w:t>同时具有质量管理体系认证证书、环境管理体系认证证书、职业健康安全管理体系认证证书的得3分；其他不得分。</w:t>
            </w:r>
          </w:p>
          <w:p w14:paraId="63D92BA6">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注：本项最高得3分。需提供相关有效的认证证书，否则不得分。</w:t>
            </w:r>
          </w:p>
        </w:tc>
      </w:tr>
      <w:tr w14:paraId="612C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ACE8EEC">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2.2.4</w:t>
            </w:r>
          </w:p>
          <w:p w14:paraId="0A1098D2">
            <w:pPr>
              <w:pStyle w:val="29"/>
              <w:kinsoku w:val="0"/>
              <w:overflowPunct w:val="0"/>
              <w:jc w:val="center"/>
              <w:rPr>
                <w:rFonts w:hint="default" w:ascii="宋体" w:hAnsi="宋体" w:eastAsia="宋体" w:cs="宋体"/>
                <w:b/>
                <w:color w:val="auto"/>
                <w:sz w:val="21"/>
                <w:szCs w:val="21"/>
                <w:highlight w:val="none"/>
              </w:rPr>
            </w:pPr>
            <w:r>
              <w:rPr>
                <w:rFonts w:hint="default" w:ascii="宋体" w:hAnsi="宋体" w:eastAsia="宋体" w:cs="宋体"/>
                <w:color w:val="auto"/>
                <w:sz w:val="21"/>
                <w:szCs w:val="21"/>
                <w:highlight w:val="none"/>
              </w:rPr>
              <w:t>（2）</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F19150D">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监理大纲评分标准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20DEED">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工程剖析（3分）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6E644C">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能抓住本工程重点、难点，相应的监理措施针对性强、切实可行，得3分；基本上能抓住本工程重点、难点，相应的监理措施基本可行，得1-2分；抓不住本工程重点、难点，相应的监理措施不可行不得分。</w:t>
            </w:r>
          </w:p>
        </w:tc>
      </w:tr>
      <w:tr w14:paraId="17BC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2732001">
            <w:pPr>
              <w:pStyle w:val="29"/>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92D477">
            <w:pPr>
              <w:pStyle w:val="29"/>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2A00E7">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投资控制（3分）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79D9FD">
            <w:pPr>
              <w:pStyle w:val="29"/>
              <w:kinsoku w:val="0"/>
              <w:overflowPunct w:val="0"/>
              <w:jc w:val="both"/>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rPr>
              <w:t>要求目标明确、方法合理可行、措施具体、针对性强。措施为优得3分；措施为良得2分；措施为一般得1分</w:t>
            </w:r>
            <w:r>
              <w:rPr>
                <w:rFonts w:hint="eastAsia" w:ascii="宋体" w:hAnsi="宋体" w:eastAsia="宋体" w:cs="宋体"/>
                <w:color w:val="auto"/>
                <w:sz w:val="21"/>
                <w:szCs w:val="21"/>
                <w:highlight w:val="none"/>
                <w:lang w:val="en-US" w:eastAsia="zh-CN"/>
              </w:rPr>
              <w:t>；措施不合理不得分。</w:t>
            </w:r>
          </w:p>
        </w:tc>
      </w:tr>
      <w:tr w14:paraId="07E1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9EB775">
            <w:pPr>
              <w:pStyle w:val="29"/>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4BD2BF">
            <w:pPr>
              <w:pStyle w:val="29"/>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7A468C">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进度控制（3分）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41CFC">
            <w:pPr>
              <w:pStyle w:val="29"/>
              <w:kinsoku w:val="0"/>
              <w:overflowPunct w:val="0"/>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要求目标明确、方法合理可行、措施具体、针对性强。措施为优得3分；措施为良得2分；措施为一般得1分</w:t>
            </w:r>
            <w:r>
              <w:rPr>
                <w:rFonts w:hint="eastAsia" w:ascii="宋体" w:hAnsi="宋体" w:eastAsia="宋体" w:cs="宋体"/>
                <w:color w:val="auto"/>
                <w:sz w:val="21"/>
                <w:szCs w:val="21"/>
                <w:highlight w:val="none"/>
                <w:lang w:eastAsia="zh-CN"/>
              </w:rPr>
              <w:t>；措施不合理不得分。</w:t>
            </w:r>
          </w:p>
        </w:tc>
      </w:tr>
      <w:tr w14:paraId="38E8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D3DAE0">
            <w:pPr>
              <w:pStyle w:val="29"/>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41FC6D">
            <w:pPr>
              <w:pStyle w:val="29"/>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503FCD">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质量控制（3分）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EFD009">
            <w:pPr>
              <w:pStyle w:val="29"/>
              <w:kinsoku w:val="0"/>
              <w:overflowPunct w:val="0"/>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要求目标明确、方法合理可行、措施具体、针对性强。措施为优得3分；措施为良得2分；措施为一般得1分</w:t>
            </w:r>
            <w:r>
              <w:rPr>
                <w:rFonts w:hint="eastAsia" w:ascii="宋体" w:hAnsi="宋体" w:eastAsia="宋体" w:cs="宋体"/>
                <w:color w:val="auto"/>
                <w:sz w:val="21"/>
                <w:szCs w:val="21"/>
                <w:highlight w:val="none"/>
                <w:lang w:eastAsia="zh-CN"/>
              </w:rPr>
              <w:t>；措施不合理不得分。</w:t>
            </w:r>
          </w:p>
        </w:tc>
      </w:tr>
      <w:tr w14:paraId="6A14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5F4767">
            <w:pPr>
              <w:pStyle w:val="29"/>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5D39C3">
            <w:pPr>
              <w:pStyle w:val="29"/>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79AB34">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合同管理、信息管理（2分）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635901">
            <w:pPr>
              <w:pStyle w:val="29"/>
              <w:kinsoku w:val="0"/>
              <w:overflowPunct w:val="0"/>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管理方法合理有效，针对性强、措施具体得2分</w:t>
            </w:r>
            <w:r>
              <w:rPr>
                <w:rFonts w:hint="eastAsia" w:ascii="宋体" w:hAnsi="宋体" w:eastAsia="宋体" w:cs="宋体"/>
                <w:color w:val="auto"/>
                <w:sz w:val="21"/>
                <w:szCs w:val="21"/>
                <w:highlight w:val="none"/>
                <w:lang w:eastAsia="zh-CN"/>
              </w:rPr>
              <w:t>；基本可行得1分；</w:t>
            </w:r>
            <w:r>
              <w:rPr>
                <w:rFonts w:hint="eastAsia" w:ascii="宋体" w:hAnsi="宋体" w:eastAsia="宋体" w:cs="宋体"/>
                <w:color w:val="auto"/>
                <w:sz w:val="21"/>
                <w:szCs w:val="21"/>
                <w:highlight w:val="none"/>
                <w:lang w:val="en-US" w:eastAsia="zh-CN"/>
              </w:rPr>
              <w:t>措施不合理不得分</w:t>
            </w:r>
            <w:r>
              <w:rPr>
                <w:rFonts w:hint="eastAsia" w:ascii="宋体" w:hAnsi="宋体" w:eastAsia="宋体" w:cs="宋体"/>
                <w:color w:val="auto"/>
                <w:sz w:val="21"/>
                <w:szCs w:val="21"/>
                <w:highlight w:val="none"/>
                <w:lang w:eastAsia="zh-CN"/>
              </w:rPr>
              <w:t>。</w:t>
            </w:r>
          </w:p>
        </w:tc>
      </w:tr>
      <w:tr w14:paraId="0B36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21A5BC">
            <w:pPr>
              <w:pStyle w:val="29"/>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CE75627">
            <w:pPr>
              <w:pStyle w:val="29"/>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BC6B85">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组织协调（2分）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1A86C">
            <w:pPr>
              <w:pStyle w:val="29"/>
              <w:kinsoku w:val="0"/>
              <w:overflowPunct w:val="0"/>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协调方法合理有效，针对性强、措施具体得2分；基本可行得1分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措施不合理不得分</w:t>
            </w:r>
            <w:r>
              <w:rPr>
                <w:rFonts w:hint="eastAsia" w:ascii="宋体" w:hAnsi="宋体" w:eastAsia="宋体" w:cs="宋体"/>
                <w:color w:val="auto"/>
                <w:sz w:val="21"/>
                <w:szCs w:val="21"/>
                <w:highlight w:val="none"/>
                <w:lang w:eastAsia="zh-CN"/>
              </w:rPr>
              <w:t>。</w:t>
            </w:r>
          </w:p>
        </w:tc>
      </w:tr>
      <w:tr w14:paraId="33CE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0FCD50D">
            <w:pPr>
              <w:pStyle w:val="29"/>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38F28A2">
            <w:pPr>
              <w:pStyle w:val="29"/>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D8B708">
            <w:pPr>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安全、文明施工管理</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08651A">
            <w:pPr>
              <w:pStyle w:val="29"/>
              <w:kinsoku w:val="0"/>
              <w:overflowPunct w:val="0"/>
              <w:jc w:val="both"/>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管理措施优得3分；良得2分；一般得1分；措施不合理不得分。</w:t>
            </w:r>
          </w:p>
        </w:tc>
      </w:tr>
      <w:tr w14:paraId="3A4C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CF9569">
            <w:pPr>
              <w:pStyle w:val="29"/>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EB5B3D">
            <w:pPr>
              <w:pStyle w:val="29"/>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7265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监理组织机构</w:t>
            </w:r>
          </w:p>
          <w:p w14:paraId="211DA0A6">
            <w:pPr>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CC312A">
            <w:pPr>
              <w:pStyle w:val="29"/>
              <w:kinsoku w:val="0"/>
              <w:overflowPunct w:val="0"/>
              <w:jc w:val="both"/>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监理机构设置合理、监理人员岗位职责分工明确得2分；基本满足的得1分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不满足，不得分。</w:t>
            </w:r>
          </w:p>
        </w:tc>
      </w:tr>
      <w:tr w14:paraId="26F8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9D91B8">
            <w:pPr>
              <w:pStyle w:val="29"/>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4ED7CEA">
            <w:pPr>
              <w:pStyle w:val="29"/>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8D3C97">
            <w:pPr>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工程进度款、工程结算的管理</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ED7844">
            <w:pPr>
              <w:pStyle w:val="29"/>
              <w:kinsoku w:val="0"/>
              <w:overflowPunct w:val="0"/>
              <w:jc w:val="both"/>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管理方法合理有效、有具体可行的措施得2分；措施基本可行得1分；无管理的方法和措施不合理不得分。</w:t>
            </w:r>
          </w:p>
        </w:tc>
      </w:tr>
      <w:tr w14:paraId="04C3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F02BA5">
            <w:pPr>
              <w:pStyle w:val="29"/>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26B3C98">
            <w:pPr>
              <w:pStyle w:val="29"/>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4645FE">
            <w:pPr>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E36B7A">
            <w:pPr>
              <w:pStyle w:val="29"/>
              <w:kinsoku w:val="0"/>
              <w:overflowPunct w:val="0"/>
              <w:jc w:val="both"/>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具有科学、合理、可行及具体措施的建议得2分，基本可行的得1分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不满足，不得分。</w:t>
            </w:r>
          </w:p>
        </w:tc>
      </w:tr>
      <w:tr w14:paraId="357C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1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858C94D">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2.2.4</w:t>
            </w:r>
          </w:p>
          <w:p w14:paraId="4E5AA505">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w:t>
            </w:r>
          </w:p>
        </w:tc>
        <w:tc>
          <w:tcPr>
            <w:tcW w:w="11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8A32FD">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投标报价评分标准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258961">
            <w:pPr>
              <w:pStyle w:val="29"/>
              <w:kinsoku w:val="0"/>
              <w:overflowPunct w:val="0"/>
              <w:jc w:val="center"/>
              <w:rPr>
                <w:rFonts w:hint="default" w:ascii="宋体" w:hAnsi="Times New Roman" w:eastAsia="宋体"/>
                <w:color w:val="auto"/>
                <w:sz w:val="21"/>
                <w:szCs w:val="24"/>
                <w:highlight w:val="none"/>
                <w:lang w:eastAsia="zh-CN"/>
              </w:rPr>
            </w:pPr>
            <w:r>
              <w:rPr>
                <w:rFonts w:hint="default" w:ascii="宋体" w:hAnsi="Times New Roman" w:eastAsia="宋体"/>
                <w:color w:val="auto"/>
                <w:sz w:val="21"/>
                <w:szCs w:val="24"/>
                <w:highlight w:val="none"/>
                <w:lang w:eastAsia="zh-CN"/>
              </w:rPr>
              <w:t>投标报价评审</w:t>
            </w:r>
          </w:p>
          <w:p w14:paraId="0906E629">
            <w:pPr>
              <w:pStyle w:val="29"/>
              <w:kinsoku w:val="0"/>
              <w:overflowPunct w:val="0"/>
              <w:jc w:val="center"/>
              <w:rPr>
                <w:rFonts w:hint="default" w:ascii="宋体" w:hAnsi="宋体" w:eastAsia="宋体" w:cs="宋体"/>
                <w:color w:val="auto"/>
                <w:sz w:val="21"/>
                <w:szCs w:val="21"/>
                <w:highlight w:val="none"/>
              </w:rPr>
            </w:pPr>
            <w:r>
              <w:rPr>
                <w:rFonts w:hint="eastAsia" w:ascii="宋体"/>
                <w:color w:val="auto"/>
                <w:sz w:val="21"/>
                <w:szCs w:val="24"/>
                <w:highlight w:val="none"/>
                <w:lang w:eastAsia="zh-CN"/>
              </w:rPr>
              <w:t>（</w:t>
            </w:r>
            <w:r>
              <w:rPr>
                <w:rFonts w:hint="eastAsia" w:ascii="宋体"/>
                <w:color w:val="auto"/>
                <w:sz w:val="21"/>
                <w:szCs w:val="24"/>
                <w:highlight w:val="none"/>
                <w:lang w:val="en-US" w:eastAsia="zh-CN"/>
              </w:rPr>
              <w:t>10分</w:t>
            </w:r>
            <w:r>
              <w:rPr>
                <w:rFonts w:hint="eastAsia" w:ascii="宋体"/>
                <w:color w:val="auto"/>
                <w:sz w:val="21"/>
                <w:szCs w:val="24"/>
                <w:highlight w:val="none"/>
                <w:lang w:eastAsia="zh-CN"/>
              </w:rPr>
              <w:t>）</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027CA2">
            <w:pPr>
              <w:pStyle w:val="42"/>
              <w:ind w:right="-57"/>
              <w:jc w:val="left"/>
              <w:rPr>
                <w:rFonts w:hint="eastAsia" w:ascii="宋体" w:hAnsi="Times New Roman" w:eastAsia="宋体" w:cs="Times New Roman"/>
                <w:color w:val="auto"/>
                <w:sz w:val="21"/>
                <w:szCs w:val="24"/>
                <w:highlight w:val="none"/>
                <w:lang w:eastAsia="zh-CN"/>
              </w:rPr>
            </w:pPr>
            <w:r>
              <w:rPr>
                <w:rFonts w:hint="eastAsia" w:ascii="宋体" w:hAnsi="Times New Roman" w:eastAsia="宋体" w:cs="Times New Roman"/>
                <w:color w:val="auto"/>
                <w:sz w:val="21"/>
                <w:szCs w:val="24"/>
                <w:highlight w:val="none"/>
                <w:lang w:eastAsia="zh-CN"/>
              </w:rPr>
              <w:t>1、当投标人投标报价等于评标</w:t>
            </w:r>
            <w:r>
              <w:rPr>
                <w:rFonts w:hint="eastAsia" w:ascii="宋体" w:hAnsi="Times New Roman" w:eastAsia="宋体" w:cs="Times New Roman"/>
                <w:color w:val="auto"/>
                <w:sz w:val="21"/>
                <w:szCs w:val="24"/>
                <w:highlight w:val="none"/>
                <w:lang w:val="en-US" w:eastAsia="zh-CN"/>
              </w:rPr>
              <w:t>基准</w:t>
            </w:r>
            <w:r>
              <w:rPr>
                <w:rFonts w:hint="eastAsia" w:ascii="宋体" w:hAnsi="Times New Roman" w:eastAsia="宋体" w:cs="Times New Roman"/>
                <w:color w:val="auto"/>
                <w:sz w:val="21"/>
                <w:szCs w:val="24"/>
                <w:highlight w:val="none"/>
                <w:lang w:eastAsia="zh-CN"/>
              </w:rPr>
              <w:t>价时得10分。</w:t>
            </w:r>
          </w:p>
          <w:p w14:paraId="50B75D2C">
            <w:pPr>
              <w:pStyle w:val="42"/>
              <w:ind w:right="-57"/>
              <w:jc w:val="left"/>
              <w:rPr>
                <w:rFonts w:hint="eastAsia" w:ascii="宋体" w:hAnsi="Times New Roman" w:eastAsia="宋体" w:cs="Times New Roman"/>
                <w:color w:val="auto"/>
                <w:sz w:val="21"/>
                <w:szCs w:val="24"/>
                <w:highlight w:val="none"/>
                <w:lang w:eastAsia="zh-CN"/>
              </w:rPr>
            </w:pPr>
            <w:r>
              <w:rPr>
                <w:rFonts w:hint="eastAsia" w:ascii="宋体" w:hAnsi="Times New Roman" w:eastAsia="宋体" w:cs="Times New Roman"/>
                <w:color w:val="auto"/>
                <w:sz w:val="21"/>
                <w:szCs w:val="24"/>
                <w:highlight w:val="none"/>
                <w:lang w:eastAsia="zh-CN"/>
              </w:rPr>
              <w:t>2、当投标人投标报价位于[最高投标限价</w:t>
            </w:r>
            <w:r>
              <w:rPr>
                <w:rFonts w:hint="eastAsia" w:ascii="宋体" w:hAnsi="Times New Roman" w:eastAsia="宋体" w:cs="Times New Roman"/>
                <w:color w:val="auto"/>
                <w:sz w:val="21"/>
                <w:szCs w:val="24"/>
                <w:highlight w:val="none"/>
                <w:lang w:val="en-US" w:eastAsia="zh-CN"/>
              </w:rPr>
              <w:t>×</w:t>
            </w:r>
            <w:r>
              <w:rPr>
                <w:rFonts w:hint="eastAsia" w:ascii="宋体" w:hAnsi="Times New Roman" w:eastAsia="宋体" w:cs="Times New Roman"/>
                <w:color w:val="auto"/>
                <w:sz w:val="21"/>
                <w:szCs w:val="24"/>
                <w:highlight w:val="none"/>
                <w:lang w:eastAsia="zh-CN"/>
              </w:rPr>
              <w:t>80%，最高投标限价</w:t>
            </w:r>
            <w:r>
              <w:rPr>
                <w:rFonts w:hint="eastAsia" w:ascii="宋体" w:hAnsi="Times New Roman" w:eastAsia="宋体" w:cs="Times New Roman"/>
                <w:color w:val="auto"/>
                <w:sz w:val="21"/>
                <w:szCs w:val="24"/>
                <w:highlight w:val="none"/>
                <w:lang w:val="en-US" w:eastAsia="zh-CN"/>
              </w:rPr>
              <w:t>×</w:t>
            </w:r>
            <w:r>
              <w:rPr>
                <w:rFonts w:hint="eastAsia" w:ascii="宋体" w:hAnsi="Times New Roman" w:eastAsia="宋体" w:cs="Times New Roman"/>
                <w:color w:val="auto"/>
                <w:sz w:val="21"/>
                <w:szCs w:val="24"/>
                <w:highlight w:val="none"/>
                <w:lang w:eastAsia="zh-CN"/>
              </w:rPr>
              <w:t>95%]时，每高于评标</w:t>
            </w:r>
            <w:r>
              <w:rPr>
                <w:rFonts w:hint="eastAsia" w:ascii="宋体" w:hAnsi="Times New Roman" w:eastAsia="宋体" w:cs="Times New Roman"/>
                <w:color w:val="auto"/>
                <w:sz w:val="21"/>
                <w:szCs w:val="24"/>
                <w:highlight w:val="none"/>
                <w:lang w:val="en-US" w:eastAsia="zh-CN"/>
              </w:rPr>
              <w:t>基准</w:t>
            </w:r>
            <w:r>
              <w:rPr>
                <w:rFonts w:hint="eastAsia" w:ascii="宋体" w:hAnsi="Times New Roman" w:eastAsia="宋体" w:cs="Times New Roman"/>
                <w:color w:val="auto"/>
                <w:sz w:val="21"/>
                <w:szCs w:val="24"/>
                <w:highlight w:val="none"/>
                <w:lang w:eastAsia="zh-CN"/>
              </w:rPr>
              <w:t>价1%，扣0.25分；每低于评标</w:t>
            </w:r>
            <w:r>
              <w:rPr>
                <w:rFonts w:hint="eastAsia" w:ascii="宋体" w:hAnsi="Times New Roman" w:eastAsia="宋体" w:cs="Times New Roman"/>
                <w:color w:val="auto"/>
                <w:sz w:val="21"/>
                <w:szCs w:val="24"/>
                <w:highlight w:val="none"/>
                <w:lang w:val="en-US" w:eastAsia="zh-CN"/>
              </w:rPr>
              <w:t>基准</w:t>
            </w:r>
            <w:r>
              <w:rPr>
                <w:rFonts w:hint="eastAsia" w:ascii="宋体" w:hAnsi="Times New Roman" w:eastAsia="宋体" w:cs="Times New Roman"/>
                <w:color w:val="auto"/>
                <w:sz w:val="21"/>
                <w:szCs w:val="24"/>
                <w:highlight w:val="none"/>
                <w:lang w:eastAsia="zh-CN"/>
              </w:rPr>
              <w:t>价1%，扣0.15分；扣至0分为止，得出报价得分，精确到小数点后两位。</w:t>
            </w:r>
          </w:p>
          <w:p w14:paraId="209F7D76">
            <w:pPr>
              <w:pStyle w:val="42"/>
              <w:ind w:right="-57"/>
              <w:jc w:val="left"/>
              <w:rPr>
                <w:rFonts w:hint="eastAsia" w:ascii="宋体" w:hAnsi="Times New Roman" w:eastAsia="宋体" w:cs="Times New Roman"/>
                <w:color w:val="auto"/>
                <w:sz w:val="21"/>
                <w:szCs w:val="24"/>
                <w:highlight w:val="none"/>
                <w:lang w:eastAsia="zh-CN"/>
              </w:rPr>
            </w:pPr>
            <w:r>
              <w:rPr>
                <w:rFonts w:hint="eastAsia" w:ascii="宋体" w:hAnsi="Times New Roman" w:eastAsia="宋体" w:cs="Times New Roman"/>
                <w:color w:val="auto"/>
                <w:sz w:val="21"/>
                <w:szCs w:val="24"/>
                <w:highlight w:val="none"/>
                <w:lang w:eastAsia="zh-CN"/>
              </w:rPr>
              <w:t>3、当投标人投标报价位于（最高投标限价</w:t>
            </w:r>
            <w:r>
              <w:rPr>
                <w:rFonts w:hint="eastAsia" w:ascii="宋体" w:hAnsi="Times New Roman" w:eastAsia="宋体" w:cs="Times New Roman"/>
                <w:color w:val="auto"/>
                <w:sz w:val="21"/>
                <w:szCs w:val="24"/>
                <w:highlight w:val="none"/>
                <w:lang w:val="en-US" w:eastAsia="zh-CN"/>
              </w:rPr>
              <w:t>×</w:t>
            </w:r>
            <w:r>
              <w:rPr>
                <w:rFonts w:hint="eastAsia" w:ascii="宋体" w:hAnsi="Times New Roman" w:eastAsia="宋体" w:cs="Times New Roman"/>
                <w:color w:val="auto"/>
                <w:sz w:val="21"/>
                <w:szCs w:val="24"/>
                <w:highlight w:val="none"/>
                <w:lang w:eastAsia="zh-CN"/>
              </w:rPr>
              <w:t>95%，最高投标限价]时，每高于评标</w:t>
            </w:r>
            <w:r>
              <w:rPr>
                <w:rFonts w:hint="eastAsia" w:ascii="宋体" w:hAnsi="Times New Roman" w:eastAsia="宋体" w:cs="Times New Roman"/>
                <w:color w:val="auto"/>
                <w:sz w:val="21"/>
                <w:szCs w:val="24"/>
                <w:highlight w:val="none"/>
                <w:lang w:val="en-US" w:eastAsia="zh-CN"/>
              </w:rPr>
              <w:t>基准</w:t>
            </w:r>
            <w:r>
              <w:rPr>
                <w:rFonts w:hint="eastAsia" w:ascii="宋体" w:hAnsi="Times New Roman" w:eastAsia="宋体" w:cs="Times New Roman"/>
                <w:color w:val="auto"/>
                <w:sz w:val="21"/>
                <w:szCs w:val="24"/>
                <w:highlight w:val="none"/>
                <w:lang w:eastAsia="zh-CN"/>
              </w:rPr>
              <w:t>价1%，扣</w:t>
            </w:r>
            <w:r>
              <w:rPr>
                <w:rFonts w:hint="eastAsia" w:ascii="宋体" w:hAnsi="Times New Roman" w:eastAsia="宋体" w:cs="Times New Roman"/>
                <w:color w:val="auto"/>
                <w:sz w:val="21"/>
                <w:szCs w:val="24"/>
                <w:highlight w:val="none"/>
                <w:lang w:val="en-US" w:eastAsia="zh-CN"/>
              </w:rPr>
              <w:t>1</w:t>
            </w:r>
            <w:r>
              <w:rPr>
                <w:rFonts w:hint="eastAsia" w:ascii="宋体" w:hAnsi="Times New Roman" w:eastAsia="宋体" w:cs="Times New Roman"/>
                <w:color w:val="auto"/>
                <w:sz w:val="21"/>
                <w:szCs w:val="24"/>
                <w:highlight w:val="none"/>
                <w:lang w:eastAsia="zh-CN"/>
              </w:rPr>
              <w:t>分；扣至0分为止，得出报价得分，精确到小数点后两位。</w:t>
            </w:r>
          </w:p>
          <w:p w14:paraId="734C16DD">
            <w:pPr>
              <w:pStyle w:val="42"/>
              <w:ind w:right="-57" w:rightChars="0"/>
              <w:jc w:val="left"/>
              <w:rPr>
                <w:rFonts w:hint="default" w:ascii="宋体" w:hAnsi="Times New Roman" w:eastAsia="宋体" w:cs="Times New Roman"/>
                <w:color w:val="auto"/>
                <w:sz w:val="21"/>
                <w:szCs w:val="24"/>
                <w:highlight w:val="none"/>
                <w:lang w:eastAsia="zh-CN"/>
              </w:rPr>
            </w:pPr>
            <w:r>
              <w:rPr>
                <w:rFonts w:hint="eastAsia" w:ascii="宋体" w:hAnsi="Times New Roman" w:eastAsia="宋体" w:cs="Times New Roman"/>
                <w:color w:val="auto"/>
                <w:sz w:val="21"/>
                <w:szCs w:val="24"/>
                <w:highlight w:val="none"/>
                <w:lang w:eastAsia="zh-CN"/>
              </w:rPr>
              <w:t>4、当投标人投标报价小于最高投标限价</w:t>
            </w:r>
            <w:r>
              <w:rPr>
                <w:rFonts w:hint="eastAsia" w:ascii="宋体" w:hAnsi="Times New Roman" w:eastAsia="宋体" w:cs="Times New Roman"/>
                <w:color w:val="auto"/>
                <w:sz w:val="21"/>
                <w:szCs w:val="24"/>
                <w:highlight w:val="none"/>
                <w:lang w:val="en-US" w:eastAsia="zh-CN"/>
              </w:rPr>
              <w:t>×</w:t>
            </w:r>
            <w:r>
              <w:rPr>
                <w:rFonts w:hint="eastAsia" w:ascii="宋体" w:hAnsi="Times New Roman" w:eastAsia="宋体" w:cs="Times New Roman"/>
                <w:color w:val="auto"/>
                <w:sz w:val="21"/>
                <w:szCs w:val="24"/>
                <w:highlight w:val="none"/>
                <w:lang w:eastAsia="zh-CN"/>
              </w:rPr>
              <w:t>80%时，每低于评标</w:t>
            </w:r>
            <w:r>
              <w:rPr>
                <w:rFonts w:hint="eastAsia" w:ascii="宋体" w:hAnsi="Times New Roman" w:eastAsia="宋体" w:cs="Times New Roman"/>
                <w:color w:val="auto"/>
                <w:sz w:val="21"/>
                <w:szCs w:val="24"/>
                <w:highlight w:val="none"/>
                <w:lang w:val="en-US" w:eastAsia="zh-CN"/>
              </w:rPr>
              <w:t>基准</w:t>
            </w:r>
            <w:r>
              <w:rPr>
                <w:rFonts w:hint="eastAsia" w:ascii="宋体" w:hAnsi="Times New Roman" w:eastAsia="宋体" w:cs="Times New Roman"/>
                <w:color w:val="auto"/>
                <w:sz w:val="21"/>
                <w:szCs w:val="24"/>
                <w:highlight w:val="none"/>
                <w:lang w:eastAsia="zh-CN"/>
              </w:rPr>
              <w:t>价1%，扣</w:t>
            </w:r>
            <w:r>
              <w:rPr>
                <w:rFonts w:hint="eastAsia" w:ascii="宋体" w:hAnsi="Times New Roman" w:eastAsia="宋体" w:cs="Times New Roman"/>
                <w:color w:val="auto"/>
                <w:sz w:val="21"/>
                <w:szCs w:val="24"/>
                <w:highlight w:val="none"/>
                <w:lang w:val="en-US" w:eastAsia="zh-CN"/>
              </w:rPr>
              <w:t>1</w:t>
            </w:r>
            <w:r>
              <w:rPr>
                <w:rFonts w:hint="eastAsia" w:ascii="宋体" w:hAnsi="Times New Roman" w:eastAsia="宋体" w:cs="Times New Roman"/>
                <w:color w:val="auto"/>
                <w:sz w:val="21"/>
                <w:szCs w:val="24"/>
                <w:highlight w:val="none"/>
                <w:lang w:eastAsia="zh-CN"/>
              </w:rPr>
              <w:t>分；扣至0分为止，得出报价得分，精确到小数点后两位。</w:t>
            </w:r>
          </w:p>
        </w:tc>
      </w:tr>
      <w:tr w14:paraId="541A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CB30149">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2.2.4</w:t>
            </w:r>
          </w:p>
          <w:p w14:paraId="36BA4ECE">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w:t>
            </w:r>
          </w:p>
        </w:tc>
        <w:tc>
          <w:tcPr>
            <w:tcW w:w="11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5CBDF3">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eastAsia="zh-CN"/>
              </w:rPr>
              <w:t>诚信得分</w:t>
            </w:r>
            <w:r>
              <w:rPr>
                <w:rFonts w:hint="default" w:ascii="宋体" w:hAnsi="宋体" w:eastAsia="宋体" w:cs="宋体"/>
                <w:color w:val="auto"/>
                <w:sz w:val="21"/>
                <w:szCs w:val="21"/>
                <w:highlight w:val="none"/>
              </w:rPr>
              <w:t>评分标准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89A196">
            <w:pPr>
              <w:pStyle w:val="29"/>
              <w:kinsoku w:val="0"/>
              <w:overflowPunct w:val="0"/>
              <w:jc w:val="center"/>
              <w:rPr>
                <w:rFonts w:hint="eastAsia" w:ascii="宋体" w:hAnsi="宋体" w:eastAsia="宋体" w:cs="宋体"/>
                <w:color w:val="auto"/>
                <w:sz w:val="21"/>
                <w:szCs w:val="21"/>
                <w:highlight w:val="none"/>
                <w:lang w:eastAsia="zh-CN"/>
              </w:rPr>
            </w:pPr>
            <w:r>
              <w:rPr>
                <w:rStyle w:val="37"/>
                <w:rFonts w:hint="default" w:ascii="宋体" w:hAnsi="宋体" w:eastAsia="宋体" w:cs="宋体"/>
                <w:color w:val="auto"/>
                <w:sz w:val="21"/>
                <w:szCs w:val="21"/>
                <w:highlight w:val="none"/>
              </w:rPr>
              <w:t>诚信综合评价得分</w:t>
            </w:r>
            <w:r>
              <w:rPr>
                <w:rStyle w:val="37"/>
                <w:rFonts w:hint="eastAsia" w:ascii="宋体" w:hAnsi="宋体" w:cs="宋体"/>
                <w:color w:val="auto"/>
                <w:sz w:val="21"/>
                <w:szCs w:val="21"/>
                <w:highlight w:val="none"/>
                <w:lang w:eastAsia="zh-CN"/>
              </w:rPr>
              <w:t>（</w:t>
            </w:r>
            <w:r>
              <w:rPr>
                <w:rStyle w:val="37"/>
                <w:rFonts w:hint="eastAsia" w:ascii="宋体" w:hAnsi="宋体" w:cs="宋体"/>
                <w:color w:val="auto"/>
                <w:sz w:val="21"/>
                <w:szCs w:val="21"/>
                <w:highlight w:val="none"/>
                <w:lang w:val="en-US" w:eastAsia="zh-CN"/>
              </w:rPr>
              <w:t>20分</w:t>
            </w:r>
            <w:r>
              <w:rPr>
                <w:rStyle w:val="37"/>
                <w:rFonts w:hint="eastAsia" w:ascii="宋体" w:hAnsi="宋体" w:cs="宋体"/>
                <w:color w:val="auto"/>
                <w:sz w:val="21"/>
                <w:szCs w:val="21"/>
                <w:highlight w:val="none"/>
                <w:lang w:eastAsia="zh-CN"/>
              </w:rPr>
              <w:t>）</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4E4E5A">
            <w:pPr>
              <w:pStyle w:val="42"/>
              <w:ind w:right="-57"/>
              <w:jc w:val="both"/>
              <w:rPr>
                <w:rFonts w:hint="eastAsia" w:ascii="宋体" w:hAnsi="Times New Roman" w:eastAsia="宋体" w:cs="Times New Roman"/>
                <w:color w:val="auto"/>
                <w:sz w:val="21"/>
                <w:szCs w:val="24"/>
                <w:highlight w:val="none"/>
                <w:lang w:eastAsia="zh-CN"/>
              </w:rPr>
            </w:pPr>
            <w:r>
              <w:rPr>
                <w:rFonts w:hint="eastAsia" w:ascii="宋体" w:hAnsi="Times New Roman" w:eastAsia="宋体" w:cs="Times New Roman"/>
                <w:color w:val="auto"/>
                <w:sz w:val="21"/>
                <w:szCs w:val="24"/>
                <w:highlight w:val="none"/>
                <w:lang w:eastAsia="zh-CN"/>
              </w:rPr>
              <w:t>取广州市水务工程企业信息库及诚信评价系统（112.94.68.142:8012/#/website）公布的本项目招标公告发布第1天所在季度的上一季度“监理-水利”诚信综合评价分；未入库企业或在广州市水务工程企业信息库及诚信评价系统中尚无诚信排名（“监理-水利”诚信综合评价分）的投标人（简称“未入库企业”），诚信评价总分取基准分，即“未入库企业”的诚信评价总分=100（市场行为评价分）×20%+75（质量安全管理评价得分）×50%+75（履约评价得分）×30%=80分。</w:t>
            </w:r>
          </w:p>
          <w:p w14:paraId="0BB4AD63">
            <w:pPr>
              <w:pStyle w:val="42"/>
              <w:ind w:right="-57"/>
              <w:jc w:val="both"/>
              <w:rPr>
                <w:rFonts w:hint="eastAsia" w:ascii="宋体" w:hAnsi="Times New Roman" w:eastAsia="宋体" w:cs="Times New Roman"/>
                <w:color w:val="auto"/>
                <w:sz w:val="21"/>
                <w:szCs w:val="24"/>
                <w:highlight w:val="none"/>
                <w:lang w:eastAsia="zh-CN"/>
              </w:rPr>
            </w:pPr>
            <w:r>
              <w:rPr>
                <w:rFonts w:hint="eastAsia" w:ascii="宋体" w:hAnsi="Times New Roman" w:eastAsia="宋体" w:cs="Times New Roman"/>
                <w:color w:val="auto"/>
                <w:sz w:val="21"/>
                <w:szCs w:val="24"/>
                <w:highlight w:val="none"/>
                <w:lang w:eastAsia="zh-CN"/>
              </w:rPr>
              <w:t>投标人诚信评价得分=</w:t>
            </w:r>
            <w:r>
              <w:rPr>
                <w:rFonts w:hint="eastAsia" w:ascii="宋体"/>
                <w:color w:val="auto"/>
                <w:sz w:val="21"/>
                <w:highlight w:val="none"/>
                <w:lang w:eastAsia="zh-CN"/>
              </w:rPr>
              <w:t>监理-水利</w:t>
            </w:r>
            <w:r>
              <w:rPr>
                <w:rFonts w:hint="eastAsia" w:ascii="宋体" w:hAnsi="Times New Roman" w:eastAsia="宋体" w:cs="Times New Roman"/>
                <w:color w:val="auto"/>
                <w:sz w:val="21"/>
                <w:szCs w:val="24"/>
                <w:highlight w:val="none"/>
                <w:lang w:eastAsia="zh-CN"/>
              </w:rPr>
              <w:t>诚信综合评价排名得分*诚信评价得分权重（</w:t>
            </w:r>
            <w:r>
              <w:rPr>
                <w:rFonts w:hint="eastAsia" w:ascii="宋体" w:cs="Times New Roman"/>
                <w:color w:val="auto"/>
                <w:sz w:val="21"/>
                <w:szCs w:val="24"/>
                <w:highlight w:val="none"/>
                <w:lang w:val="en-US" w:eastAsia="zh-CN"/>
              </w:rPr>
              <w:t>2</w:t>
            </w:r>
            <w:r>
              <w:rPr>
                <w:rFonts w:hint="eastAsia" w:ascii="宋体" w:hAnsi="Times New Roman" w:eastAsia="宋体" w:cs="Times New Roman"/>
                <w:color w:val="auto"/>
                <w:sz w:val="21"/>
                <w:szCs w:val="24"/>
                <w:highlight w:val="none"/>
                <w:lang w:eastAsia="zh-CN"/>
              </w:rPr>
              <w:t>0%）；诚信综合评价排名得分满分20分。</w:t>
            </w:r>
          </w:p>
          <w:p w14:paraId="0200383B">
            <w:pPr>
              <w:pStyle w:val="42"/>
              <w:ind w:right="-57"/>
              <w:jc w:val="both"/>
              <w:rPr>
                <w:rFonts w:hint="default" w:ascii="宋体" w:hAnsi="Times New Roman" w:eastAsia="宋体" w:cs="Times New Roman"/>
                <w:color w:val="auto"/>
                <w:sz w:val="21"/>
                <w:szCs w:val="24"/>
                <w:highlight w:val="none"/>
                <w:lang w:val="en-US" w:eastAsia="zh-CN"/>
              </w:rPr>
            </w:pPr>
            <w:r>
              <w:rPr>
                <w:rFonts w:hint="eastAsia" w:ascii="宋体" w:cs="Times New Roman"/>
                <w:color w:val="auto"/>
                <w:sz w:val="21"/>
                <w:szCs w:val="24"/>
                <w:highlight w:val="none"/>
                <w:lang w:val="en-US" w:eastAsia="zh-CN"/>
              </w:rPr>
              <w:t>注：联合体投标的，则根据联合体协议书中的职责分工，取水利工程施工监理任务企业的诚信评价分值计算诚信得分；若联合体各成员方职责分工有水利工程施工监理任务的，则取诚信分值较低企业的诚信分值计算诚信得分。</w:t>
            </w:r>
          </w:p>
        </w:tc>
      </w:tr>
    </w:tbl>
    <w:p w14:paraId="5F468E10">
      <w:pPr>
        <w:pStyle w:val="4"/>
        <w:kinsoku w:val="0"/>
        <w:overflowPunct w:val="0"/>
        <w:ind w:left="120"/>
        <w:outlineLvl w:val="9"/>
        <w:rPr>
          <w:rFonts w:hint="default"/>
          <w:color w:val="auto"/>
          <w:sz w:val="32"/>
          <w:szCs w:val="24"/>
          <w:highlight w:val="none"/>
        </w:rPr>
        <w:sectPr>
          <w:headerReference r:id="rId5" w:type="default"/>
          <w:footerReference r:id="rId6" w:type="default"/>
          <w:pgSz w:w="11905" w:h="16838"/>
          <w:pgMar w:top="1417" w:right="1417" w:bottom="1417" w:left="1417" w:header="992" w:footer="992" w:gutter="0"/>
          <w:lnNumType w:countBy="0" w:distance="360"/>
          <w:pgNumType w:fmt="decimal"/>
          <w:cols w:space="720" w:num="1"/>
        </w:sectPr>
      </w:pPr>
    </w:p>
    <w:p w14:paraId="0804FE51">
      <w:pPr>
        <w:pStyle w:val="26"/>
        <w:ind w:left="0" w:leftChars="0" w:firstLine="0" w:firstLineChars="0"/>
        <w:rPr>
          <w:color w:val="auto"/>
          <w:highlight w:val="none"/>
        </w:rPr>
      </w:pPr>
      <w:bookmarkStart w:id="236" w:name="bookmark84"/>
      <w:bookmarkEnd w:id="236"/>
    </w:p>
    <w:p w14:paraId="1D092FC0">
      <w:pPr>
        <w:spacing w:line="360" w:lineRule="auto"/>
        <w:ind w:firstLine="560" w:firstLineChars="200"/>
        <w:jc w:val="center"/>
        <w:rPr>
          <w:rFonts w:ascii="黑体" w:hAnsi="黑体" w:eastAsia="黑体"/>
          <w:color w:val="auto"/>
          <w:sz w:val="28"/>
          <w:szCs w:val="27"/>
          <w:highlight w:val="none"/>
        </w:rPr>
      </w:pPr>
      <w:r>
        <w:rPr>
          <w:rFonts w:hint="eastAsia" w:ascii="黑体" w:hAnsi="黑体" w:eastAsia="黑体"/>
          <w:color w:val="auto"/>
          <w:sz w:val="28"/>
          <w:szCs w:val="27"/>
          <w:highlight w:val="none"/>
        </w:rPr>
        <w:t>评标办法修改表</w:t>
      </w:r>
    </w:p>
    <w:p w14:paraId="74441239">
      <w:pPr>
        <w:pStyle w:val="21"/>
        <w:spacing w:after="0" w:line="360" w:lineRule="auto"/>
        <w:rPr>
          <w:rFonts w:ascii="宋体" w:hAnsi="宋体" w:eastAsia="宋体"/>
          <w:color w:val="auto"/>
          <w:sz w:val="24"/>
          <w:szCs w:val="24"/>
          <w:highlight w:val="none"/>
        </w:rPr>
      </w:pPr>
      <w:r>
        <w:rPr>
          <w:rFonts w:hint="eastAsia" w:ascii="宋体" w:hAnsi="宋体" w:eastAsia="宋体"/>
          <w:color w:val="auto"/>
          <w:sz w:val="24"/>
          <w:highlight w:val="none"/>
        </w:rPr>
        <w:t>声明：本评标办法使用</w:t>
      </w:r>
      <w:r>
        <w:rPr>
          <w:rFonts w:hint="eastAsia" w:ascii="仿宋_GB2312" w:hAnsi="宋体" w:eastAsia="仿宋_GB2312"/>
          <w:color w:val="auto"/>
          <w:sz w:val="24"/>
          <w:szCs w:val="24"/>
          <w:highlight w:val="none"/>
          <w:lang w:eastAsia="zh-CN"/>
        </w:rPr>
        <w:t>SWZB2024-06</w:t>
      </w:r>
      <w:r>
        <w:rPr>
          <w:rFonts w:hint="eastAsia" w:ascii="宋体" w:hAnsi="宋体" w:eastAsia="宋体"/>
          <w:color w:val="auto"/>
          <w:sz w:val="24"/>
          <w:szCs w:val="24"/>
          <w:highlight w:val="none"/>
        </w:rPr>
        <w:t>招标文件范本的评标办法条款，与该条款不同之处，均在本表中列明，并以现文为准，原文不再有效。</w:t>
      </w:r>
    </w:p>
    <w:p w14:paraId="4C6AB7A9">
      <w:pPr>
        <w:pStyle w:val="21"/>
        <w:spacing w:after="0" w:line="360" w:lineRule="auto"/>
        <w:rPr>
          <w:rFonts w:ascii="宋体" w:hAnsi="宋体" w:eastAsia="宋体"/>
          <w:b/>
          <w:color w:val="auto"/>
          <w:sz w:val="24"/>
          <w:szCs w:val="21"/>
          <w:highlight w:val="none"/>
        </w:rPr>
      </w:pPr>
    </w:p>
    <w:p w14:paraId="4F94C210">
      <w:pPr>
        <w:spacing w:line="480"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条款号：</w:t>
      </w:r>
      <w:bookmarkStart w:id="237" w:name="_Toc262229169"/>
      <w:bookmarkEnd w:id="237"/>
      <w:bookmarkStart w:id="238" w:name="_Toc359263257"/>
      <w:bookmarkEnd w:id="238"/>
      <w:bookmarkStart w:id="239" w:name="_Toc155150493"/>
      <w:bookmarkEnd w:id="239"/>
      <w:r>
        <w:rPr>
          <w:rFonts w:hint="eastAsia" w:ascii="宋体" w:hAnsi="宋体"/>
          <w:color w:val="auto"/>
          <w:sz w:val="24"/>
          <w:szCs w:val="21"/>
          <w:highlight w:val="none"/>
          <w:lang w:val="en-US" w:eastAsia="zh-CN"/>
        </w:rPr>
        <w:t>3.1.3</w:t>
      </w:r>
      <w:r>
        <w:rPr>
          <w:rFonts w:hint="eastAsia" w:ascii="宋体" w:hAnsi="宋体"/>
          <w:color w:val="auto"/>
          <w:sz w:val="24"/>
          <w:szCs w:val="21"/>
          <w:highlight w:val="none"/>
        </w:rPr>
        <w:t xml:space="preserve">    修改类型：增加</w:t>
      </w:r>
    </w:p>
    <w:p w14:paraId="20C2F8E0">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eastAsia" w:ascii="宋体" w:hAnsi="宋体"/>
          <w:color w:val="auto"/>
          <w:sz w:val="24"/>
          <w:szCs w:val="21"/>
          <w:highlight w:val="none"/>
          <w:lang w:val="en-US" w:eastAsia="zh-CN"/>
        </w:rPr>
        <w:t>原文：</w:t>
      </w:r>
      <w:r>
        <w:rPr>
          <w:rFonts w:hint="default" w:cs="Times New Roman"/>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01C20899">
      <w:pPr>
        <w:pStyle w:val="11"/>
        <w:numPr>
          <w:ilvl w:val="0"/>
          <w:numId w:val="0"/>
        </w:numPr>
        <w:tabs>
          <w:tab w:val="left" w:pos="1343"/>
          <w:tab w:val="left" w:pos="2697"/>
          <w:tab w:val="left" w:pos="3264"/>
          <w:tab w:val="left" w:pos="4896"/>
          <w:tab w:val="left" w:pos="6005"/>
          <w:tab w:val="left" w:pos="7085"/>
          <w:tab w:val="left" w:pos="7498"/>
        </w:tabs>
        <w:kinsoku w:val="0"/>
        <w:overflowPunct w:val="0"/>
        <w:spacing w:line="351" w:lineRule="auto"/>
        <w:ind w:left="0" w:leftChars="0" w:firstLine="480" w:firstLineChars="200"/>
        <w:jc w:val="both"/>
        <w:rPr>
          <w:rFonts w:hint="default" w:cs="Times New Roman"/>
          <w:color w:val="auto"/>
          <w:sz w:val="24"/>
          <w:szCs w:val="24"/>
          <w:highlight w:val="none"/>
        </w:rPr>
      </w:pPr>
      <w:r>
        <w:rPr>
          <w:rFonts w:hint="default" w:ascii="宋体" w:hAnsi="宋体" w:eastAsia="宋体" w:cs="Times New Roman"/>
          <w:color w:val="auto"/>
          <w:sz w:val="24"/>
          <w:szCs w:val="24"/>
          <w:highlight w:val="none"/>
        </w:rPr>
        <w:t>（1）</w:t>
      </w:r>
      <w:r>
        <w:rPr>
          <w:rFonts w:hint="default" w:cs="Times New Roman"/>
          <w:color w:val="auto"/>
          <w:sz w:val="24"/>
          <w:szCs w:val="24"/>
          <w:highlight w:val="none"/>
        </w:rPr>
        <w:t>投标文件中的大写金额与小写金额不一致的，以大写金额为准；</w:t>
      </w:r>
    </w:p>
    <w:p w14:paraId="3706B44F">
      <w:pPr>
        <w:pStyle w:val="11"/>
        <w:numPr>
          <w:ilvl w:val="0"/>
          <w:numId w:val="0"/>
        </w:numPr>
        <w:tabs>
          <w:tab w:val="left" w:pos="1343"/>
          <w:tab w:val="left" w:pos="2697"/>
          <w:tab w:val="left" w:pos="3264"/>
          <w:tab w:val="left" w:pos="4896"/>
          <w:tab w:val="left" w:pos="6005"/>
          <w:tab w:val="left" w:pos="7085"/>
          <w:tab w:val="left" w:pos="7498"/>
        </w:tabs>
        <w:kinsoku w:val="0"/>
        <w:overflowPunct w:val="0"/>
        <w:spacing w:line="351" w:lineRule="auto"/>
        <w:ind w:left="0" w:leftChars="0" w:firstLine="480" w:firstLineChars="200"/>
        <w:jc w:val="both"/>
        <w:rPr>
          <w:rFonts w:hint="eastAsia" w:ascii="宋体" w:hAnsi="宋体" w:eastAsia="宋体"/>
          <w:color w:val="auto"/>
          <w:sz w:val="24"/>
          <w:szCs w:val="21"/>
          <w:highlight w:val="none"/>
          <w:lang w:val="en-US" w:eastAsia="zh-CN"/>
        </w:rPr>
      </w:pPr>
      <w:r>
        <w:rPr>
          <w:rFonts w:hint="eastAsia" w:ascii="宋体" w:hAnsi="宋体" w:eastAsia="宋体" w:cs="Times New Roman"/>
          <w:color w:val="auto"/>
          <w:sz w:val="24"/>
          <w:szCs w:val="21"/>
          <w:highlight w:val="none"/>
          <w:lang w:val="en-US" w:eastAsia="zh-CN"/>
        </w:rPr>
        <w:t>（2）</w:t>
      </w:r>
      <w:r>
        <w:rPr>
          <w:rFonts w:hint="default" w:cs="Times New Roman"/>
          <w:color w:val="auto"/>
          <w:sz w:val="24"/>
          <w:szCs w:val="24"/>
          <w:highlight w:val="none"/>
        </w:rPr>
        <w:t>总价金额与单价金额不一致的，以单价金额为准，但单价金额小数点有明显错误的除外。</w:t>
      </w:r>
    </w:p>
    <w:p w14:paraId="51A7CE6F">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eastAsia" w:ascii="宋体" w:hAnsi="宋体"/>
          <w:color w:val="auto"/>
          <w:sz w:val="24"/>
          <w:szCs w:val="21"/>
          <w:highlight w:val="none"/>
        </w:rPr>
        <w:t>现文：</w:t>
      </w:r>
      <w:r>
        <w:rPr>
          <w:rFonts w:hint="default" w:cs="Times New Roman"/>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29B7D41B">
      <w:pPr>
        <w:pStyle w:val="11"/>
        <w:numPr>
          <w:ilvl w:val="0"/>
          <w:numId w:val="1"/>
        </w:numPr>
        <w:tabs>
          <w:tab w:val="left" w:pos="1343"/>
          <w:tab w:val="left" w:pos="2697"/>
          <w:tab w:val="left" w:pos="3264"/>
          <w:tab w:val="left" w:pos="4896"/>
          <w:tab w:val="left" w:pos="6005"/>
          <w:tab w:val="left" w:pos="7085"/>
          <w:tab w:val="left" w:pos="7498"/>
        </w:tabs>
        <w:kinsoku w:val="0"/>
        <w:overflowPunct w:val="0"/>
        <w:spacing w:line="351" w:lineRule="auto"/>
        <w:ind w:left="0" w:leftChars="0" w:firstLine="480" w:firstLineChars="200"/>
        <w:jc w:val="both"/>
        <w:rPr>
          <w:rFonts w:hint="default" w:cs="Times New Roman"/>
          <w:color w:val="auto"/>
          <w:sz w:val="24"/>
          <w:szCs w:val="24"/>
          <w:highlight w:val="none"/>
        </w:rPr>
      </w:pPr>
      <w:r>
        <w:rPr>
          <w:rFonts w:hint="default" w:cs="Times New Roman"/>
          <w:color w:val="auto"/>
          <w:sz w:val="24"/>
          <w:szCs w:val="24"/>
          <w:highlight w:val="none"/>
        </w:rPr>
        <w:t>投标文件中的大写金额与小写金额不一致的，以大写金额为准；</w:t>
      </w:r>
    </w:p>
    <w:p w14:paraId="67E7F3A5">
      <w:pPr>
        <w:pStyle w:val="11"/>
        <w:numPr>
          <w:ilvl w:val="0"/>
          <w:numId w:val="1"/>
        </w:numPr>
        <w:tabs>
          <w:tab w:val="left" w:pos="1343"/>
          <w:tab w:val="left" w:pos="2697"/>
          <w:tab w:val="left" w:pos="3264"/>
          <w:tab w:val="left" w:pos="4896"/>
          <w:tab w:val="left" w:pos="6005"/>
          <w:tab w:val="left" w:pos="7085"/>
          <w:tab w:val="left" w:pos="7498"/>
        </w:tabs>
        <w:kinsoku w:val="0"/>
        <w:overflowPunct w:val="0"/>
        <w:spacing w:line="351" w:lineRule="auto"/>
        <w:ind w:left="0" w:leftChars="0" w:firstLine="480" w:firstLineChars="200"/>
        <w:jc w:val="both"/>
        <w:rPr>
          <w:rFonts w:ascii="宋体" w:hAnsi="宋体"/>
          <w:color w:val="auto"/>
          <w:sz w:val="24"/>
          <w:szCs w:val="21"/>
          <w:highlight w:val="none"/>
        </w:rPr>
      </w:pPr>
      <w:r>
        <w:rPr>
          <w:rFonts w:hint="default" w:cs="Times New Roman"/>
          <w:color w:val="auto"/>
          <w:sz w:val="24"/>
          <w:szCs w:val="24"/>
          <w:highlight w:val="none"/>
        </w:rPr>
        <w:t>总价金额与单价金额不一致的，以单价金额为准，但单价金额小数点有明显错误的除外。</w:t>
      </w:r>
    </w:p>
    <w:p w14:paraId="3D2B764F">
      <w:pPr>
        <w:pStyle w:val="11"/>
        <w:numPr>
          <w:ilvl w:val="0"/>
          <w:numId w:val="1"/>
        </w:numPr>
        <w:tabs>
          <w:tab w:val="left" w:pos="1343"/>
          <w:tab w:val="left" w:pos="2697"/>
          <w:tab w:val="left" w:pos="3264"/>
          <w:tab w:val="left" w:pos="4896"/>
          <w:tab w:val="left" w:pos="6005"/>
          <w:tab w:val="left" w:pos="7085"/>
          <w:tab w:val="left" w:pos="7498"/>
        </w:tabs>
        <w:kinsoku w:val="0"/>
        <w:overflowPunct w:val="0"/>
        <w:spacing w:line="351" w:lineRule="auto"/>
        <w:ind w:left="0" w:leftChars="0" w:firstLine="480" w:firstLineChars="200"/>
        <w:jc w:val="both"/>
        <w:rPr>
          <w:rFonts w:ascii="宋体" w:hAnsi="宋体"/>
          <w:color w:val="auto"/>
          <w:sz w:val="24"/>
          <w:szCs w:val="21"/>
          <w:highlight w:val="none"/>
        </w:rPr>
      </w:pPr>
      <w:r>
        <w:rPr>
          <w:rFonts w:hint="eastAsia" w:ascii="宋体" w:hAnsi="宋体"/>
          <w:color w:val="auto"/>
          <w:sz w:val="24"/>
          <w:szCs w:val="21"/>
          <w:highlight w:val="none"/>
        </w:rPr>
        <w:t>投标报价与投标下浮率不符时，以投标下浮率为准修正总价。</w:t>
      </w:r>
    </w:p>
    <w:p w14:paraId="48412C69">
      <w:pPr>
        <w:spacing w:line="480"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条款号：             修改类型：删除</w:t>
      </w:r>
    </w:p>
    <w:p w14:paraId="2165033B">
      <w:pPr>
        <w:pBdr>
          <w:bottom w:val="single" w:color="auto" w:sz="6" w:space="1"/>
        </w:pBdr>
        <w:spacing w:line="480"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原文：</w:t>
      </w:r>
    </w:p>
    <w:p w14:paraId="6BF19518">
      <w:pPr>
        <w:spacing w:line="480"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条款号：</w:t>
      </w:r>
      <w:r>
        <w:rPr>
          <w:rFonts w:hint="eastAsia" w:ascii="宋体" w:hAnsi="宋体"/>
          <w:color w:val="auto"/>
          <w:sz w:val="24"/>
          <w:szCs w:val="21"/>
          <w:highlight w:val="none"/>
          <w:lang w:val="en-US" w:eastAsia="zh-CN"/>
        </w:rPr>
        <w:t>3.2.1（2）</w:t>
      </w:r>
      <w:r>
        <w:rPr>
          <w:rFonts w:hint="eastAsia" w:ascii="宋体" w:hAnsi="宋体"/>
          <w:color w:val="auto"/>
          <w:sz w:val="24"/>
          <w:szCs w:val="21"/>
          <w:highlight w:val="none"/>
        </w:rPr>
        <w:t xml:space="preserve">             修改类型：修改</w:t>
      </w:r>
    </w:p>
    <w:p w14:paraId="6CE6D29B">
      <w:pPr>
        <w:spacing w:line="480"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原文：（2）按本章第2.2.4（2）目规定的评审因素和分值对监理大纲部分计算出得分B，①监理大纲部分评审得分B为从各评标专家打分中去掉一个最高分和去掉一个最低分后的剩余评标专家打分的算术平均值或②监理大纲部分评审得分B为各评标专家打分的算术平均值（二选一，招标人自行选择）；</w:t>
      </w:r>
    </w:p>
    <w:p w14:paraId="498F5854">
      <w:pPr>
        <w:pBdr>
          <w:bottom w:val="single" w:color="auto" w:sz="6" w:space="1"/>
        </w:pBdr>
        <w:spacing w:line="480"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现文：（2）按本章第2.2.4（2）目规定的评审因素和分值对监理大纲部分计算出得分B，监理大纲部分评审得分B为从各评标专家打分中去掉一个最高分和去掉一个最低分后的剩余评标专家打分的算术平均值；</w:t>
      </w:r>
    </w:p>
    <w:p w14:paraId="7FBD7EFB">
      <w:pPr>
        <w:spacing w:line="360" w:lineRule="auto"/>
        <w:ind w:firstLine="480" w:firstLineChars="200"/>
        <w:jc w:val="left"/>
        <w:rPr>
          <w:rFonts w:ascii="宋体" w:hAnsi="宋体"/>
          <w:color w:val="auto"/>
          <w:sz w:val="24"/>
          <w:szCs w:val="21"/>
          <w:highlight w:val="none"/>
        </w:rPr>
      </w:pPr>
      <w:r>
        <w:rPr>
          <w:rFonts w:hint="eastAsia" w:ascii="宋体" w:hAnsi="宋体"/>
          <w:color w:val="auto"/>
          <w:sz w:val="24"/>
          <w:szCs w:val="21"/>
          <w:highlight w:val="none"/>
        </w:rPr>
        <w:t>注：以上修改，仅限于本范本中有可供选择条</w:t>
      </w:r>
    </w:p>
    <w:p w14:paraId="7592B1E0">
      <w:pPr>
        <w:pStyle w:val="26"/>
        <w:ind w:left="0" w:leftChars="0" w:firstLine="0" w:firstLineChars="0"/>
        <w:rPr>
          <w:color w:val="auto"/>
          <w:highlight w:val="none"/>
        </w:rPr>
        <w:sectPr>
          <w:pgSz w:w="11906" w:h="16838"/>
          <w:pgMar w:top="1417" w:right="1417" w:bottom="1417" w:left="1417" w:header="0" w:footer="940" w:gutter="0"/>
          <w:pgNumType w:fmt="decimal"/>
          <w:cols w:space="720" w:num="1"/>
        </w:sectPr>
      </w:pPr>
      <w:r>
        <w:rPr>
          <w:rFonts w:ascii="宋体" w:hAnsi="宋体"/>
          <w:color w:val="auto"/>
          <w:sz w:val="24"/>
          <w:szCs w:val="21"/>
          <w:highlight w:val="none"/>
        </w:rPr>
        <w:br w:type="page"/>
      </w:r>
    </w:p>
    <w:p w14:paraId="5A8B5F08">
      <w:pPr>
        <w:pStyle w:val="4"/>
        <w:outlineLvl w:val="1"/>
        <w:rPr>
          <w:rFonts w:hint="eastAsia" w:ascii="Microsoft JhengHei" w:hAnsi="Microsoft JhengHei" w:eastAsia="Microsoft JhengHei"/>
          <w:b w:val="0"/>
          <w:color w:val="auto"/>
          <w:sz w:val="30"/>
          <w:szCs w:val="24"/>
          <w:highlight w:val="none"/>
        </w:rPr>
      </w:pPr>
      <w:bookmarkStart w:id="240" w:name="_Toc8752"/>
      <w:bookmarkStart w:id="241" w:name="_Toc19273"/>
      <w:r>
        <w:rPr>
          <w:rFonts w:hint="default" w:cs="宋体"/>
          <w:color w:val="auto"/>
          <w:sz w:val="24"/>
          <w:szCs w:val="24"/>
          <w:highlight w:val="none"/>
        </w:rPr>
        <w:t>1.评标方法</w:t>
      </w:r>
      <w:bookmarkEnd w:id="240"/>
      <w:bookmarkEnd w:id="241"/>
    </w:p>
    <w:p w14:paraId="57C9C34A">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0F6A1B36">
      <w:pPr>
        <w:pStyle w:val="4"/>
        <w:outlineLvl w:val="1"/>
        <w:rPr>
          <w:rFonts w:hint="eastAsia" w:ascii="Microsoft JhengHei" w:hAnsi="Microsoft JhengHei" w:eastAsia="Microsoft JhengHei"/>
          <w:b w:val="0"/>
          <w:color w:val="auto"/>
          <w:sz w:val="30"/>
          <w:szCs w:val="24"/>
          <w:highlight w:val="none"/>
        </w:rPr>
      </w:pPr>
      <w:bookmarkStart w:id="242" w:name="bookmark85"/>
      <w:bookmarkEnd w:id="242"/>
      <w:bookmarkStart w:id="243" w:name="_Toc12017"/>
      <w:bookmarkStart w:id="244" w:name="_Toc18443"/>
      <w:r>
        <w:rPr>
          <w:rFonts w:hint="default" w:cs="宋体"/>
          <w:color w:val="auto"/>
          <w:sz w:val="24"/>
          <w:szCs w:val="24"/>
          <w:highlight w:val="none"/>
        </w:rPr>
        <w:t>2.评审标准</w:t>
      </w:r>
      <w:bookmarkEnd w:id="243"/>
      <w:bookmarkEnd w:id="244"/>
    </w:p>
    <w:p w14:paraId="257995CB">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245" w:name="bookmark86"/>
      <w:bookmarkEnd w:id="245"/>
      <w:bookmarkStart w:id="246" w:name="_Toc3583"/>
      <w:bookmarkStart w:id="247" w:name="_Toc2636"/>
      <w:r>
        <w:rPr>
          <w:rFonts w:hint="default" w:cs="宋体"/>
          <w:color w:val="auto"/>
          <w:sz w:val="24"/>
          <w:szCs w:val="24"/>
          <w:highlight w:val="none"/>
        </w:rPr>
        <w:t>2.1 初步评审标准</w:t>
      </w:r>
      <w:bookmarkEnd w:id="246"/>
      <w:bookmarkEnd w:id="247"/>
    </w:p>
    <w:p w14:paraId="458D1ECA">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2.1.</w:t>
      </w:r>
      <w:r>
        <w:rPr>
          <w:rFonts w:hint="default" w:cs="Times New Roman"/>
          <w:color w:val="auto"/>
          <w:sz w:val="24"/>
          <w:szCs w:val="24"/>
          <w:highlight w:val="none"/>
          <w:lang w:val="en-US" w:eastAsia="zh-CN"/>
        </w:rPr>
        <w:t>1</w:t>
      </w:r>
      <w:r>
        <w:rPr>
          <w:rFonts w:hint="default" w:cs="Times New Roman"/>
          <w:color w:val="auto"/>
          <w:sz w:val="24"/>
          <w:szCs w:val="24"/>
          <w:highlight w:val="none"/>
        </w:rPr>
        <w:t xml:space="preserve"> 资格评审标准：见评标办法前附表。</w:t>
      </w:r>
    </w:p>
    <w:p w14:paraId="51D94814">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2.1.</w:t>
      </w:r>
      <w:r>
        <w:rPr>
          <w:rFonts w:hint="default" w:cs="Times New Roman"/>
          <w:color w:val="auto"/>
          <w:sz w:val="24"/>
          <w:szCs w:val="24"/>
          <w:highlight w:val="none"/>
          <w:lang w:val="en-US" w:eastAsia="zh-CN"/>
        </w:rPr>
        <w:t>2</w:t>
      </w:r>
      <w:r>
        <w:rPr>
          <w:rFonts w:hint="default" w:cs="Times New Roman"/>
          <w:color w:val="auto"/>
          <w:sz w:val="24"/>
          <w:szCs w:val="24"/>
          <w:highlight w:val="none"/>
        </w:rPr>
        <w:t xml:space="preserve"> 形式评审标准：见评标办法前附表。</w:t>
      </w:r>
    </w:p>
    <w:p w14:paraId="4818F0C4">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2.1.3 响应性评审标准：见评标办法前附表。</w:t>
      </w:r>
    </w:p>
    <w:p w14:paraId="6AFE24B7">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248" w:name="bookmark87"/>
      <w:bookmarkEnd w:id="248"/>
      <w:bookmarkStart w:id="249" w:name="_Toc9590"/>
      <w:bookmarkStart w:id="250" w:name="_Toc29701"/>
      <w:r>
        <w:rPr>
          <w:rFonts w:hint="default" w:cs="宋体"/>
          <w:color w:val="auto"/>
          <w:sz w:val="24"/>
          <w:szCs w:val="24"/>
          <w:highlight w:val="none"/>
        </w:rPr>
        <w:t>2.2 分值构成与评分标准</w:t>
      </w:r>
      <w:bookmarkEnd w:id="249"/>
      <w:bookmarkEnd w:id="250"/>
    </w:p>
    <w:p w14:paraId="5B95BF6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2.2.1 分值构成</w:t>
      </w:r>
    </w:p>
    <w:p w14:paraId="1B606A9D">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（1）资信业绩部分：见评标办法前附表；</w:t>
      </w:r>
    </w:p>
    <w:p w14:paraId="35D88426">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（2）监理大纲部分：见评标办法前附表；</w:t>
      </w:r>
    </w:p>
    <w:p w14:paraId="21100BE6">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（3）投标报价：见评标办法前附表；</w:t>
      </w:r>
    </w:p>
    <w:p w14:paraId="366A85E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w:t>
      </w:r>
      <w:r>
        <w:rPr>
          <w:rFonts w:hint="default" w:cs="Times New Roman"/>
          <w:color w:val="auto"/>
          <w:sz w:val="24"/>
          <w:szCs w:val="24"/>
          <w:highlight w:val="none"/>
          <w:lang w:eastAsia="zh-CN"/>
        </w:rPr>
        <w:t>诚信得分</w:t>
      </w:r>
      <w:r>
        <w:rPr>
          <w:rFonts w:hint="default" w:cs="Times New Roman"/>
          <w:color w:val="auto"/>
          <w:sz w:val="24"/>
          <w:szCs w:val="24"/>
          <w:highlight w:val="none"/>
        </w:rPr>
        <w:t xml:space="preserve">：见评标办法前附表。 </w:t>
      </w:r>
    </w:p>
    <w:p w14:paraId="14E6EFE3">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2.2.2 评标基准价计算方法：见评标办法前附表。</w:t>
      </w:r>
    </w:p>
    <w:p w14:paraId="32113283">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2.2.3 投标报价的偏差率计算</w:t>
      </w:r>
    </w:p>
    <w:p w14:paraId="2342F577">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投标报价的偏差率计算公式：见评标办法前附表。</w:t>
      </w:r>
    </w:p>
    <w:p w14:paraId="55E40FE4">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2.2.4 评分标准</w:t>
      </w:r>
    </w:p>
    <w:p w14:paraId="7E97CCA1">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（1）资信业绩评分标准：见评标办法前附表；</w:t>
      </w:r>
    </w:p>
    <w:p w14:paraId="4E25BEE6">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（2）监理大纲评分标准：见评标办法前附表；</w:t>
      </w:r>
    </w:p>
    <w:p w14:paraId="5AEBC03C">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（3）投标报价评分标准：见评标办法前附表；</w:t>
      </w:r>
    </w:p>
    <w:p w14:paraId="1B610E61">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w:t>
      </w:r>
      <w:r>
        <w:rPr>
          <w:rFonts w:hint="default" w:cs="Times New Roman"/>
          <w:color w:val="auto"/>
          <w:sz w:val="24"/>
          <w:szCs w:val="24"/>
          <w:highlight w:val="none"/>
          <w:lang w:eastAsia="zh-CN"/>
        </w:rPr>
        <w:t>诚信得分</w:t>
      </w:r>
      <w:r>
        <w:rPr>
          <w:rFonts w:hint="default" w:cs="Times New Roman"/>
          <w:color w:val="auto"/>
          <w:sz w:val="24"/>
          <w:szCs w:val="24"/>
          <w:highlight w:val="none"/>
        </w:rPr>
        <w:t>评分标准：见评标办法前附表。</w:t>
      </w:r>
    </w:p>
    <w:p w14:paraId="0967AC7E">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20" w:firstLineChars="200"/>
        <w:jc w:val="both"/>
        <w:rPr>
          <w:rFonts w:hint="default" w:cs="Times New Roman"/>
          <w:color w:val="auto"/>
          <w:sz w:val="21"/>
          <w:szCs w:val="21"/>
          <w:highlight w:val="none"/>
        </w:rPr>
      </w:pPr>
      <w:r>
        <w:rPr>
          <w:rFonts w:hint="default" w:cs="Times New Roman"/>
          <w:color w:val="auto"/>
          <w:sz w:val="21"/>
          <w:szCs w:val="21"/>
          <w:highlight w:val="none"/>
        </w:rPr>
        <w:t>注：投标人的诚信评价总分取自本项目招标公告发布第1天所在季度的上一季度的诚信综合评价分。</w:t>
      </w:r>
    </w:p>
    <w:p w14:paraId="6D9DFF33">
      <w:pPr>
        <w:pStyle w:val="4"/>
        <w:outlineLvl w:val="1"/>
        <w:rPr>
          <w:rFonts w:hint="default" w:cs="宋体"/>
          <w:color w:val="auto"/>
          <w:sz w:val="24"/>
          <w:szCs w:val="24"/>
          <w:highlight w:val="none"/>
        </w:rPr>
      </w:pPr>
      <w:bookmarkStart w:id="251" w:name="bookmark88"/>
      <w:bookmarkEnd w:id="251"/>
      <w:bookmarkStart w:id="252" w:name="_Toc19388"/>
      <w:bookmarkStart w:id="253" w:name="_Toc16127"/>
      <w:r>
        <w:rPr>
          <w:rFonts w:hint="default" w:cs="宋体"/>
          <w:color w:val="auto"/>
          <w:sz w:val="24"/>
          <w:szCs w:val="24"/>
          <w:highlight w:val="none"/>
        </w:rPr>
        <w:t>3.评标程序</w:t>
      </w:r>
      <w:bookmarkEnd w:id="252"/>
      <w:bookmarkEnd w:id="253"/>
    </w:p>
    <w:p w14:paraId="0F668934">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254" w:name="bookmark89"/>
      <w:bookmarkEnd w:id="254"/>
      <w:bookmarkStart w:id="255" w:name="_Toc13130"/>
      <w:bookmarkStart w:id="256" w:name="_Toc14558"/>
      <w:r>
        <w:rPr>
          <w:rFonts w:hint="default" w:cs="宋体"/>
          <w:color w:val="auto"/>
          <w:sz w:val="24"/>
          <w:szCs w:val="24"/>
          <w:highlight w:val="none"/>
        </w:rPr>
        <w:t>3.1  初步评审</w:t>
      </w:r>
      <w:bookmarkEnd w:id="255"/>
      <w:bookmarkEnd w:id="256"/>
    </w:p>
    <w:p w14:paraId="049780FE">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52004C40">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3.1.2 投标人有以下情形之一的，评标委员会应当否决其投标：</w:t>
      </w:r>
    </w:p>
    <w:p w14:paraId="4FE8B8C5">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（1）投标文件没有对招标文件的实质性要求和条件作出响应，或者对招标文件的偏差超出招标文件规定的偏差范围或最高项数；</w:t>
      </w:r>
    </w:p>
    <w:p w14:paraId="1AAB29D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（2）有串通投标、弄虚作假、行贿等违法行为。</w:t>
      </w:r>
    </w:p>
    <w:p w14:paraId="3E77A203">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w:t>
      </w:r>
      <w:r>
        <w:rPr>
          <w:rFonts w:hint="default" w:cs="Times New Roman"/>
          <w:color w:val="auto"/>
          <w:sz w:val="24"/>
          <w:szCs w:val="24"/>
          <w:highlight w:val="none"/>
          <w:lang w:val="en-US" w:eastAsia="zh-CN"/>
        </w:rPr>
        <w:t>3</w:t>
      </w:r>
      <w:r>
        <w:rPr>
          <w:rFonts w:hint="default" w:cs="Times New Roman"/>
          <w:color w:val="auto"/>
          <w:sz w:val="24"/>
          <w:szCs w:val="24"/>
          <w:highlight w:val="none"/>
          <w:lang w:eastAsia="zh-CN"/>
        </w:rPr>
        <w:t>）两个（含两个）以上</w:t>
      </w:r>
      <w:r>
        <w:rPr>
          <w:rFonts w:hint="eastAsia" w:eastAsia="Times New Roman" w:cs="Times New Roman"/>
          <w:color w:val="auto"/>
          <w:sz w:val="24"/>
          <w:szCs w:val="24"/>
          <w:highlight w:val="none"/>
        </w:rPr>
        <w:t>投标人加密打包投标文件</w:t>
      </w:r>
      <w:r>
        <w:rPr>
          <w:rFonts w:hint="default" w:cs="Times New Roman"/>
          <w:color w:val="auto"/>
          <w:sz w:val="24"/>
          <w:szCs w:val="24"/>
          <w:highlight w:val="none"/>
          <w:lang w:eastAsia="zh-CN"/>
        </w:rPr>
        <w:t>工程量清单编制</w:t>
      </w:r>
      <w:r>
        <w:rPr>
          <w:rFonts w:hint="eastAsia" w:eastAsia="Times New Roman" w:cs="Times New Roman"/>
          <w:color w:val="auto"/>
          <w:sz w:val="24"/>
          <w:szCs w:val="24"/>
          <w:highlight w:val="none"/>
        </w:rPr>
        <w:t>机器</w:t>
      </w:r>
      <w:r>
        <w:rPr>
          <w:rFonts w:hint="default" w:cs="Times New Roman"/>
          <w:color w:val="auto"/>
          <w:sz w:val="24"/>
          <w:szCs w:val="24"/>
          <w:highlight w:val="none"/>
          <w:lang w:eastAsia="zh-CN"/>
        </w:rPr>
        <w:t>硬件信息</w:t>
      </w:r>
      <w:r>
        <w:rPr>
          <w:rFonts w:hint="eastAsia" w:eastAsia="Times New Roman" w:cs="Times New Roman"/>
          <w:color w:val="auto"/>
          <w:sz w:val="24"/>
          <w:szCs w:val="24"/>
          <w:highlight w:val="none"/>
        </w:rPr>
        <w:t>一致的</w:t>
      </w:r>
      <w:r>
        <w:rPr>
          <w:rFonts w:hint="default" w:cs="Times New Roman"/>
          <w:color w:val="auto"/>
          <w:sz w:val="24"/>
          <w:szCs w:val="24"/>
          <w:highlight w:val="none"/>
          <w:lang w:eastAsia="zh-CN"/>
        </w:rPr>
        <w:t>。</w:t>
      </w:r>
    </w:p>
    <w:p w14:paraId="2979BED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1BA75D19">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（1）投标文件中的大写金额与小写金额不一致的，以大写金额为准；</w:t>
      </w:r>
    </w:p>
    <w:p w14:paraId="035621B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（2）总价金额与单价金额不一致的，以单价金额为准，但单价金额小数点有明显错误的除外。</w:t>
      </w:r>
    </w:p>
    <w:p w14:paraId="70EFFD9F">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outlineLvl w:val="2"/>
        <w:rPr>
          <w:rFonts w:hint="default" w:cs="Times New Roman"/>
          <w:color w:val="auto"/>
          <w:sz w:val="24"/>
          <w:szCs w:val="24"/>
          <w:highlight w:val="none"/>
        </w:rPr>
      </w:pPr>
      <w:bookmarkStart w:id="257" w:name="bookmark90"/>
      <w:bookmarkEnd w:id="257"/>
      <w:bookmarkStart w:id="258" w:name="_Toc26732"/>
      <w:bookmarkStart w:id="259" w:name="_Toc1290"/>
      <w:r>
        <w:rPr>
          <w:rFonts w:hint="default" w:cs="Times New Roman"/>
          <w:color w:val="auto"/>
          <w:sz w:val="24"/>
          <w:szCs w:val="24"/>
          <w:highlight w:val="none"/>
        </w:rPr>
        <w:t>3.2  详细评审</w:t>
      </w:r>
      <w:bookmarkEnd w:id="258"/>
      <w:bookmarkEnd w:id="259"/>
    </w:p>
    <w:p w14:paraId="25BE6212">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3.2.1 评标委员会按本章第 2.2 款规定的量化因素和分值进行打分，并计算出综合评估得分。</w:t>
      </w:r>
    </w:p>
    <w:p w14:paraId="3C13BB4C">
      <w:pPr>
        <w:pStyle w:val="11"/>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（1）按本章第2.2.4（1）目规定的评审因素和分值对资信业绩部分计算出得分</w:t>
      </w:r>
      <w:r>
        <w:rPr>
          <w:rFonts w:hint="default" w:cs="Times New Roman"/>
          <w:color w:val="auto"/>
          <w:sz w:val="24"/>
          <w:szCs w:val="24"/>
          <w:highlight w:val="none"/>
          <w:lang w:val="en-US" w:eastAsia="zh-CN"/>
        </w:rPr>
        <w:t>A，</w:t>
      </w:r>
      <w:r>
        <w:rPr>
          <w:rFonts w:hint="default" w:cs="Times New Roman"/>
          <w:color w:val="auto"/>
          <w:sz w:val="24"/>
          <w:szCs w:val="24"/>
          <w:highlight w:val="none"/>
          <w:u w:val="single"/>
        </w:rPr>
        <w:t>资信业绩</w:t>
      </w:r>
      <w:r>
        <w:rPr>
          <w:rFonts w:hint="default"/>
          <w:color w:val="auto"/>
          <w:sz w:val="24"/>
          <w:szCs w:val="24"/>
          <w:highlight w:val="none"/>
          <w:u w:val="single"/>
          <w:lang w:eastAsia="zh-CN"/>
        </w:rPr>
        <w:t>部分</w:t>
      </w:r>
      <w:r>
        <w:rPr>
          <w:rFonts w:hint="default"/>
          <w:color w:val="auto"/>
          <w:sz w:val="24"/>
          <w:szCs w:val="24"/>
          <w:highlight w:val="none"/>
          <w:u w:val="single"/>
        </w:rPr>
        <w:t>评审得分A为各评标专家打分的算术平均值</w:t>
      </w:r>
      <w:r>
        <w:rPr>
          <w:rFonts w:hint="default" w:cs="Times New Roman"/>
          <w:color w:val="auto"/>
          <w:sz w:val="24"/>
          <w:szCs w:val="24"/>
          <w:highlight w:val="none"/>
        </w:rPr>
        <w:t>；</w:t>
      </w:r>
    </w:p>
    <w:p w14:paraId="0AF63E1A">
      <w:pPr>
        <w:pStyle w:val="11"/>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（2）按本章第2.2.4（2）目规定的评审因素和分值对监理大纲部分计算出得分B</w:t>
      </w:r>
      <w:r>
        <w:rPr>
          <w:rFonts w:hint="default" w:cs="Times New Roman"/>
          <w:color w:val="auto"/>
          <w:sz w:val="24"/>
          <w:szCs w:val="24"/>
          <w:highlight w:val="none"/>
          <w:lang w:val="en-US" w:eastAsia="zh-CN"/>
        </w:rPr>
        <w:t>，</w:t>
      </w:r>
      <w:r>
        <w:rPr>
          <w:rFonts w:hint="default"/>
          <w:color w:val="auto"/>
          <w:sz w:val="24"/>
          <w:szCs w:val="24"/>
          <w:highlight w:val="none"/>
          <w:u w:val="single"/>
          <w:lang w:eastAsia="zh-CN"/>
        </w:rPr>
        <w:fldChar w:fldCharType="begin"/>
      </w:r>
      <w:r>
        <w:rPr>
          <w:rFonts w:hint="default"/>
          <w:color w:val="auto"/>
          <w:sz w:val="24"/>
          <w:szCs w:val="24"/>
          <w:highlight w:val="none"/>
          <w:u w:val="single"/>
          <w:lang w:eastAsia="zh-CN"/>
        </w:rPr>
        <w:instrText xml:space="preserve"> = 1 \* GB3 \* MERGEFORMAT </w:instrText>
      </w:r>
      <w:r>
        <w:rPr>
          <w:rFonts w:hint="default"/>
          <w:color w:val="auto"/>
          <w:sz w:val="24"/>
          <w:szCs w:val="24"/>
          <w:highlight w:val="none"/>
          <w:u w:val="single"/>
          <w:lang w:eastAsia="zh-CN"/>
        </w:rPr>
        <w:fldChar w:fldCharType="separate"/>
      </w:r>
      <w:r>
        <w:rPr>
          <w:rFonts w:hint="default"/>
          <w:color w:val="auto"/>
          <w:sz w:val="21"/>
          <w:szCs w:val="24"/>
          <w:highlight w:val="none"/>
          <w:u w:val="single"/>
        </w:rPr>
        <w:t>①</w:t>
      </w:r>
      <w:r>
        <w:rPr>
          <w:rFonts w:hint="default"/>
          <w:color w:val="auto"/>
          <w:sz w:val="21"/>
          <w:szCs w:val="24"/>
          <w:highlight w:val="none"/>
          <w:u w:val="single"/>
        </w:rPr>
        <w:fldChar w:fldCharType="end"/>
      </w:r>
      <w:r>
        <w:rPr>
          <w:rFonts w:hint="default" w:cs="Times New Roman"/>
          <w:color w:val="auto"/>
          <w:sz w:val="24"/>
          <w:szCs w:val="24"/>
          <w:highlight w:val="none"/>
          <w:u w:val="single"/>
          <w:lang w:eastAsia="zh-CN"/>
        </w:rPr>
        <w:t>监理大纲</w:t>
      </w:r>
      <w:r>
        <w:rPr>
          <w:rFonts w:hint="default" w:cs="Times New Roman"/>
          <w:color w:val="auto"/>
          <w:sz w:val="24"/>
          <w:szCs w:val="24"/>
          <w:highlight w:val="none"/>
          <w:u w:val="single"/>
        </w:rPr>
        <w:t>部分</w:t>
      </w:r>
      <w:r>
        <w:rPr>
          <w:rFonts w:hint="default"/>
          <w:color w:val="auto"/>
          <w:sz w:val="24"/>
          <w:szCs w:val="24"/>
          <w:highlight w:val="none"/>
          <w:u w:val="single"/>
        </w:rPr>
        <w:t>评审得分</w:t>
      </w:r>
      <w:r>
        <w:rPr>
          <w:rFonts w:hint="default" w:cs="Times New Roman"/>
          <w:color w:val="auto"/>
          <w:sz w:val="24"/>
          <w:szCs w:val="24"/>
          <w:highlight w:val="none"/>
        </w:rPr>
        <w:t>B</w:t>
      </w:r>
      <w:r>
        <w:rPr>
          <w:rFonts w:hint="default"/>
          <w:color w:val="auto"/>
          <w:sz w:val="24"/>
          <w:szCs w:val="24"/>
          <w:highlight w:val="none"/>
          <w:u w:val="single"/>
        </w:rPr>
        <w:t>为从各评标专家打分中去掉一个最高分和去掉一个最低分后的剩余评标专家打分的算术平均值</w:t>
      </w:r>
      <w:r>
        <w:rPr>
          <w:rFonts w:hint="default"/>
          <w:color w:val="auto"/>
          <w:sz w:val="24"/>
          <w:szCs w:val="24"/>
          <w:highlight w:val="none"/>
          <w:u w:val="single"/>
          <w:lang w:eastAsia="zh-CN"/>
        </w:rPr>
        <w:t>或</w:t>
      </w:r>
      <w:r>
        <w:rPr>
          <w:rFonts w:hint="default"/>
          <w:color w:val="auto"/>
          <w:sz w:val="24"/>
          <w:szCs w:val="24"/>
          <w:highlight w:val="none"/>
          <w:u w:val="single"/>
          <w:lang w:eastAsia="zh-CN"/>
        </w:rPr>
        <w:fldChar w:fldCharType="begin"/>
      </w:r>
      <w:r>
        <w:rPr>
          <w:rFonts w:hint="default"/>
          <w:color w:val="auto"/>
          <w:sz w:val="24"/>
          <w:szCs w:val="24"/>
          <w:highlight w:val="none"/>
          <w:u w:val="single"/>
          <w:lang w:eastAsia="zh-CN"/>
        </w:rPr>
        <w:instrText xml:space="preserve"> = 2 \* GB3 \* MERGEFORMAT </w:instrText>
      </w:r>
      <w:r>
        <w:rPr>
          <w:rFonts w:hint="default"/>
          <w:color w:val="auto"/>
          <w:sz w:val="24"/>
          <w:szCs w:val="24"/>
          <w:highlight w:val="none"/>
          <w:u w:val="single"/>
          <w:lang w:eastAsia="zh-CN"/>
        </w:rPr>
        <w:fldChar w:fldCharType="separate"/>
      </w:r>
      <w:r>
        <w:rPr>
          <w:rFonts w:hint="default"/>
          <w:color w:val="auto"/>
          <w:sz w:val="21"/>
          <w:szCs w:val="24"/>
          <w:highlight w:val="none"/>
          <w:u w:val="single"/>
        </w:rPr>
        <w:t>②</w:t>
      </w:r>
      <w:r>
        <w:rPr>
          <w:rFonts w:hint="default"/>
          <w:color w:val="auto"/>
          <w:sz w:val="21"/>
          <w:szCs w:val="24"/>
          <w:highlight w:val="none"/>
          <w:u w:val="single"/>
        </w:rPr>
        <w:fldChar w:fldCharType="end"/>
      </w:r>
      <w:r>
        <w:rPr>
          <w:rFonts w:hint="default" w:cs="Times New Roman"/>
          <w:color w:val="auto"/>
          <w:sz w:val="24"/>
          <w:szCs w:val="24"/>
          <w:highlight w:val="none"/>
          <w:u w:val="single"/>
          <w:lang w:eastAsia="zh-CN"/>
        </w:rPr>
        <w:t>监理大纲</w:t>
      </w:r>
      <w:r>
        <w:rPr>
          <w:rFonts w:hint="default"/>
          <w:color w:val="auto"/>
          <w:sz w:val="24"/>
          <w:szCs w:val="24"/>
          <w:highlight w:val="none"/>
          <w:u w:val="single"/>
          <w:lang w:eastAsia="zh-CN"/>
        </w:rPr>
        <w:t>部分</w:t>
      </w:r>
      <w:r>
        <w:rPr>
          <w:rFonts w:hint="default"/>
          <w:color w:val="auto"/>
          <w:sz w:val="24"/>
          <w:szCs w:val="24"/>
          <w:highlight w:val="none"/>
          <w:u w:val="single"/>
        </w:rPr>
        <w:t>评审得分</w:t>
      </w:r>
      <w:r>
        <w:rPr>
          <w:rFonts w:hint="default" w:cs="Times New Roman"/>
          <w:color w:val="auto"/>
          <w:sz w:val="24"/>
          <w:szCs w:val="24"/>
          <w:highlight w:val="none"/>
        </w:rPr>
        <w:t>B</w:t>
      </w:r>
      <w:r>
        <w:rPr>
          <w:rFonts w:hint="default"/>
          <w:color w:val="auto"/>
          <w:sz w:val="24"/>
          <w:szCs w:val="24"/>
          <w:highlight w:val="none"/>
          <w:u w:val="single"/>
        </w:rPr>
        <w:t>为各评标专家打分的算术平均值</w:t>
      </w:r>
      <w:r>
        <w:rPr>
          <w:rFonts w:hint="default"/>
          <w:i/>
          <w:iCs/>
          <w:color w:val="auto"/>
          <w:sz w:val="24"/>
          <w:szCs w:val="24"/>
          <w:highlight w:val="none"/>
          <w:u w:val="single"/>
          <w:lang w:eastAsia="zh-CN"/>
        </w:rPr>
        <w:t>（二选一，招标人自行选择）</w:t>
      </w:r>
      <w:r>
        <w:rPr>
          <w:rFonts w:hint="default" w:cs="Times New Roman"/>
          <w:color w:val="auto"/>
          <w:sz w:val="24"/>
          <w:szCs w:val="24"/>
          <w:highlight w:val="none"/>
        </w:rPr>
        <w:t>；</w:t>
      </w:r>
    </w:p>
    <w:p w14:paraId="6396A51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（3）按本章第2.2.4（3）目规定的评审因素和分值对投标报价计算出得分C；</w:t>
      </w:r>
    </w:p>
    <w:p w14:paraId="0771174F">
      <w:pPr>
        <w:pStyle w:val="11"/>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default" w:cs="Times New Roman"/>
          <w:color w:val="auto"/>
          <w:sz w:val="24"/>
          <w:szCs w:val="24"/>
          <w:highlight w:val="none"/>
          <w:lang w:eastAsia="zh-CN"/>
        </w:rPr>
      </w:pPr>
      <w:r>
        <w:rPr>
          <w:rFonts w:hint="default" w:cs="Times New Roman"/>
          <w:color w:val="auto"/>
          <w:sz w:val="24"/>
          <w:szCs w:val="24"/>
          <w:highlight w:val="none"/>
        </w:rPr>
        <w:t>（4）按本章第2.2.4（4）目规定的评审因素和分值对</w:t>
      </w:r>
      <w:r>
        <w:rPr>
          <w:rFonts w:hint="default" w:cs="Times New Roman"/>
          <w:color w:val="auto"/>
          <w:sz w:val="24"/>
          <w:szCs w:val="24"/>
          <w:highlight w:val="none"/>
          <w:lang w:eastAsia="zh-CN"/>
        </w:rPr>
        <w:t>诚信评价</w:t>
      </w:r>
      <w:r>
        <w:rPr>
          <w:rFonts w:hint="default" w:cs="Times New Roman"/>
          <w:color w:val="auto"/>
          <w:sz w:val="24"/>
          <w:szCs w:val="24"/>
          <w:highlight w:val="none"/>
        </w:rPr>
        <w:t>计算出得分D</w:t>
      </w:r>
      <w:r>
        <w:rPr>
          <w:rFonts w:hint="default" w:cs="Times New Roman"/>
          <w:color w:val="auto"/>
          <w:sz w:val="24"/>
          <w:szCs w:val="24"/>
          <w:highlight w:val="none"/>
          <w:lang w:eastAsia="zh-CN"/>
        </w:rPr>
        <w:t>。</w:t>
      </w:r>
    </w:p>
    <w:p w14:paraId="675B1F22">
      <w:pPr>
        <w:pStyle w:val="11"/>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default" w:cs="Times New Roman"/>
          <w:color w:val="auto"/>
          <w:sz w:val="24"/>
          <w:szCs w:val="24"/>
          <w:highlight w:val="none"/>
        </w:rPr>
      </w:pPr>
      <w:r>
        <w:rPr>
          <w:rFonts w:hint="default" w:cs="Times New Roman"/>
          <w:color w:val="auto"/>
          <w:sz w:val="24"/>
          <w:szCs w:val="24"/>
          <w:highlight w:val="none"/>
        </w:rPr>
        <w:t>3.2.2 评分分值计算保留小数点后两位，小数点后第三位“四舍五入”。</w:t>
      </w:r>
    </w:p>
    <w:p w14:paraId="118E62E9">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3.2.3 投标人得分=A+B+C+D。</w:t>
      </w:r>
    </w:p>
    <w:p w14:paraId="363DCAF4">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1F95830">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260" w:name="bookmark91"/>
      <w:bookmarkEnd w:id="260"/>
      <w:bookmarkStart w:id="261" w:name="_Toc21720"/>
      <w:bookmarkStart w:id="262" w:name="_Toc21658"/>
      <w:r>
        <w:rPr>
          <w:rFonts w:hint="default" w:cs="宋体"/>
          <w:color w:val="auto"/>
          <w:sz w:val="24"/>
          <w:szCs w:val="24"/>
          <w:highlight w:val="none"/>
        </w:rPr>
        <w:t>3.3  投标文件的澄清</w:t>
      </w:r>
      <w:bookmarkEnd w:id="261"/>
      <w:bookmarkEnd w:id="262"/>
    </w:p>
    <w:p w14:paraId="040D4989">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3.3.1 在评标过程中，</w:t>
      </w:r>
      <w:r>
        <w:rPr>
          <w:rFonts w:hint="eastAsia" w:ascii="宋体" w:hAnsi="宋体"/>
          <w:color w:val="auto"/>
          <w:sz w:val="24"/>
          <w:highlight w:val="none"/>
        </w:rPr>
        <w:t>经评标委员会中两人以上（含两人）以书面形式提出动议，评标委员会</w:t>
      </w:r>
      <w:r>
        <w:rPr>
          <w:rFonts w:hint="default" w:cs="宋体"/>
          <w:color w:val="auto"/>
          <w:sz w:val="24"/>
          <w:szCs w:val="24"/>
          <w:highlight w:val="none"/>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3007418F">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3.3.2 澄清、说明或补正不得超出投标文件的范围且不得改变投标文件的实质性内容，并构成投标文件的组成部分。</w:t>
      </w:r>
    </w:p>
    <w:p w14:paraId="274B0794">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3.3.3 评标委员会对投标人提交的澄清、说明或补正有疑问的，可以要求投标人进一步澄清、 说明或补正，直至满足评标委员会的要求。</w:t>
      </w:r>
    </w:p>
    <w:p w14:paraId="14D60454">
      <w:pPr>
        <w:pStyle w:val="11"/>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263" w:name="bookmark92"/>
      <w:bookmarkEnd w:id="263"/>
      <w:bookmarkStart w:id="264" w:name="_Toc16013"/>
      <w:bookmarkStart w:id="265" w:name="_Toc25952"/>
      <w:r>
        <w:rPr>
          <w:rFonts w:hint="default" w:cs="宋体"/>
          <w:color w:val="auto"/>
          <w:sz w:val="24"/>
          <w:szCs w:val="24"/>
          <w:highlight w:val="none"/>
        </w:rPr>
        <w:t>3.4  评标结果</w:t>
      </w:r>
      <w:bookmarkEnd w:id="264"/>
      <w:bookmarkEnd w:id="265"/>
    </w:p>
    <w:p w14:paraId="0DE5817D">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3.4.1 除第二章“投标人须知”前附表授权直接确定中标人外，评标委员会按照得分由高到低 的顺序推荐中标候选人，并标明排序。</w:t>
      </w:r>
    </w:p>
    <w:p w14:paraId="3AA1A148">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3.4.2 评标委员会完成评标后，应当向招标人提交书面评标报告和中标候选人名单。</w:t>
      </w:r>
    </w:p>
    <w:p w14:paraId="304932F1">
      <w:pPr>
        <w:pStyle w:val="11"/>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sectPr>
          <w:headerReference r:id="rId7" w:type="default"/>
          <w:pgSz w:w="11905" w:h="16838"/>
          <w:pgMar w:top="1417" w:right="1417" w:bottom="1417" w:left="1417" w:header="992" w:footer="992" w:gutter="0"/>
          <w:lnNumType w:countBy="0" w:distance="360"/>
          <w:pgNumType w:fmt="decimal"/>
          <w:cols w:space="720" w:num="1"/>
        </w:sectPr>
      </w:pPr>
    </w:p>
    <w:p w14:paraId="69B91003">
      <w:pPr>
        <w:pStyle w:val="3"/>
        <w:outlineLvl w:val="0"/>
        <w:rPr>
          <w:rFonts w:hint="default" w:cs="宋体"/>
          <w:color w:val="auto"/>
          <w:sz w:val="44"/>
          <w:szCs w:val="24"/>
          <w:highlight w:val="none"/>
        </w:rPr>
      </w:pPr>
      <w:bookmarkStart w:id="266" w:name="bookmark93"/>
      <w:bookmarkEnd w:id="266"/>
      <w:bookmarkStart w:id="267" w:name="_Toc8602"/>
      <w:r>
        <w:rPr>
          <w:rFonts w:hint="default" w:cs="宋体"/>
          <w:color w:val="auto"/>
          <w:sz w:val="44"/>
          <w:szCs w:val="24"/>
          <w:highlight w:val="none"/>
        </w:rPr>
        <w:t>第四章</w:t>
      </w:r>
      <w:r>
        <w:rPr>
          <w:rFonts w:hint="default" w:cs="宋体"/>
          <w:color w:val="auto"/>
          <w:sz w:val="44"/>
          <w:szCs w:val="24"/>
          <w:highlight w:val="none"/>
          <w:lang w:val="en-US" w:eastAsia="zh-CN"/>
        </w:rPr>
        <w:t xml:space="preserve"> </w:t>
      </w:r>
      <w:r>
        <w:rPr>
          <w:rFonts w:hint="default" w:cs="宋体"/>
          <w:color w:val="auto"/>
          <w:sz w:val="44"/>
          <w:szCs w:val="24"/>
          <w:highlight w:val="none"/>
        </w:rPr>
        <w:t>合同条款及格式</w:t>
      </w:r>
      <w:bookmarkEnd w:id="267"/>
    </w:p>
    <w:p w14:paraId="2CBD1F87">
      <w:pPr>
        <w:pStyle w:val="11"/>
        <w:kinsoku w:val="0"/>
        <w:overflowPunct w:val="0"/>
        <w:ind w:left="0"/>
        <w:rPr>
          <w:rFonts w:hint="eastAsia" w:ascii="Microsoft JhengHei" w:hAnsi="Microsoft JhengHei" w:eastAsia="Microsoft JhengHei"/>
          <w:b/>
          <w:color w:val="auto"/>
          <w:sz w:val="20"/>
          <w:szCs w:val="24"/>
          <w:highlight w:val="none"/>
        </w:rPr>
      </w:pPr>
    </w:p>
    <w:p w14:paraId="51A09530">
      <w:pPr>
        <w:pStyle w:val="26"/>
        <w:ind w:firstLine="0" w:firstLineChars="0"/>
        <w:rPr>
          <w:rFonts w:hint="default" w:ascii="宋体" w:hAnsi="宋体" w:eastAsia="宋体" w:cs="Times New Roman"/>
          <w:strike/>
          <w:dstrike w:val="0"/>
          <w:color w:val="auto"/>
          <w:sz w:val="24"/>
          <w:szCs w:val="24"/>
          <w:highlight w:val="none"/>
          <w:lang w:val="en-US" w:eastAsia="zh-CN"/>
        </w:rPr>
      </w:pPr>
    </w:p>
    <w:p w14:paraId="3E141055">
      <w:pPr>
        <w:pStyle w:val="26"/>
        <w:ind w:firstLine="0" w:firstLineChars="0"/>
        <w:jc w:val="center"/>
        <w:rPr>
          <w:rFonts w:hint="default" w:ascii="宋体" w:hAnsi="宋体" w:eastAsia="宋体" w:cs="Times New Roman"/>
          <w:strike w:val="0"/>
          <w:dstrike w:val="0"/>
          <w:color w:val="auto"/>
          <w:sz w:val="24"/>
          <w:szCs w:val="24"/>
          <w:highlight w:val="none"/>
          <w:lang w:val="en-US" w:eastAsia="zh-CN"/>
        </w:rPr>
      </w:pPr>
      <w:r>
        <w:rPr>
          <w:rFonts w:hint="eastAsia" w:ascii="宋体" w:hAnsi="宋体" w:eastAsia="宋体" w:cs="Times New Roman"/>
          <w:strike w:val="0"/>
          <w:dstrike w:val="0"/>
          <w:color w:val="auto"/>
          <w:sz w:val="52"/>
          <w:szCs w:val="52"/>
          <w:highlight w:val="none"/>
          <w:lang w:val="en-US" w:eastAsia="zh-CN"/>
        </w:rPr>
        <w:t>另附</w:t>
      </w:r>
    </w:p>
    <w:p w14:paraId="3DB2ED1F">
      <w:pPr>
        <w:pStyle w:val="26"/>
        <w:rPr>
          <w:rFonts w:hint="eastAsia"/>
          <w:highlight w:val="none"/>
        </w:rPr>
      </w:pPr>
    </w:p>
    <w:p w14:paraId="123F0325">
      <w:pPr>
        <w:pStyle w:val="11"/>
        <w:kinsoku w:val="0"/>
        <w:overflowPunct w:val="0"/>
        <w:ind w:left="0"/>
        <w:rPr>
          <w:rFonts w:hint="eastAsia" w:ascii="Microsoft JhengHei" w:hAnsi="Microsoft JhengHei" w:eastAsia="Microsoft JhengHei"/>
          <w:b/>
          <w:color w:val="auto"/>
          <w:sz w:val="20"/>
          <w:szCs w:val="24"/>
          <w:highlight w:val="none"/>
        </w:rPr>
      </w:pPr>
    </w:p>
    <w:p w14:paraId="152C6B8A">
      <w:pPr>
        <w:pStyle w:val="11"/>
        <w:kinsoku w:val="0"/>
        <w:overflowPunct w:val="0"/>
        <w:spacing w:before="2"/>
        <w:ind w:left="0"/>
        <w:rPr>
          <w:rFonts w:hint="eastAsia" w:ascii="Microsoft JhengHei" w:hAnsi="Microsoft JhengHei" w:eastAsia="Microsoft JhengHei"/>
          <w:b/>
          <w:color w:val="auto"/>
          <w:sz w:val="29"/>
          <w:szCs w:val="24"/>
          <w:highlight w:val="none"/>
        </w:rPr>
      </w:pPr>
    </w:p>
    <w:p w14:paraId="3A3BA59C">
      <w:pPr>
        <w:pStyle w:val="11"/>
        <w:kinsoku w:val="0"/>
        <w:overflowPunct w:val="0"/>
        <w:ind w:left="0"/>
        <w:rPr>
          <w:rFonts w:hint="default"/>
          <w:color w:val="auto"/>
          <w:sz w:val="20"/>
          <w:szCs w:val="24"/>
          <w:highlight w:val="none"/>
        </w:rPr>
        <w:sectPr>
          <w:headerReference r:id="rId8" w:type="default"/>
          <w:footerReference r:id="rId9" w:type="default"/>
          <w:pgSz w:w="11905" w:h="16838"/>
          <w:pgMar w:top="1417" w:right="1417" w:bottom="1417" w:left="1417" w:header="992" w:footer="992" w:gutter="0"/>
          <w:lnNumType w:countBy="0" w:distance="360"/>
          <w:pgNumType w:fmt="decimal"/>
          <w:cols w:space="720" w:num="1"/>
        </w:sectPr>
      </w:pPr>
    </w:p>
    <w:p w14:paraId="2D30D569">
      <w:pPr>
        <w:pStyle w:val="2"/>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z w:val="52"/>
          <w:szCs w:val="52"/>
          <w:highlight w:val="none"/>
        </w:rPr>
      </w:pPr>
      <w:bookmarkStart w:id="268" w:name="bookmark161"/>
      <w:bookmarkEnd w:id="268"/>
      <w:bookmarkStart w:id="269" w:name="_Toc6775"/>
      <w:r>
        <w:rPr>
          <w:rFonts w:hint="eastAsia"/>
          <w:color w:val="auto"/>
          <w:sz w:val="52"/>
          <w:szCs w:val="52"/>
          <w:highlight w:val="none"/>
        </w:rPr>
        <w:t>第二卷</w:t>
      </w:r>
      <w:bookmarkEnd w:id="269"/>
    </w:p>
    <w:p w14:paraId="3F87A7C7">
      <w:pPr>
        <w:pStyle w:val="2"/>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z w:val="52"/>
          <w:szCs w:val="52"/>
          <w:highlight w:val="none"/>
        </w:rPr>
        <w:sectPr>
          <w:pgSz w:w="11905" w:h="16838"/>
          <w:pgMar w:top="1417" w:right="1417" w:bottom="1417" w:left="1417" w:header="992" w:footer="992" w:gutter="0"/>
          <w:lnNumType w:countBy="0" w:distance="360"/>
          <w:pgNumType w:fmt="decimal"/>
          <w:cols w:space="720" w:num="1"/>
        </w:sectPr>
      </w:pPr>
    </w:p>
    <w:p w14:paraId="23914DA9">
      <w:pPr>
        <w:pStyle w:val="3"/>
        <w:spacing w:line="360" w:lineRule="auto"/>
        <w:outlineLvl w:val="0"/>
        <w:rPr>
          <w:rFonts w:hint="default"/>
          <w:color w:val="auto"/>
          <w:sz w:val="44"/>
          <w:szCs w:val="24"/>
          <w:highlight w:val="none"/>
        </w:rPr>
      </w:pPr>
      <w:bookmarkStart w:id="270" w:name="bookmark162"/>
      <w:bookmarkEnd w:id="270"/>
      <w:bookmarkStart w:id="271" w:name="_Toc31665"/>
      <w:r>
        <w:rPr>
          <w:rFonts w:hint="default"/>
          <w:color w:val="auto"/>
          <w:sz w:val="44"/>
          <w:szCs w:val="24"/>
          <w:highlight w:val="none"/>
        </w:rPr>
        <w:t>第五章</w:t>
      </w:r>
      <w:r>
        <w:rPr>
          <w:rFonts w:hint="default"/>
          <w:color w:val="auto"/>
          <w:sz w:val="44"/>
          <w:szCs w:val="24"/>
          <w:highlight w:val="none"/>
          <w:lang w:val="en-US" w:eastAsia="zh-CN"/>
        </w:rPr>
        <w:t xml:space="preserve"> </w:t>
      </w:r>
      <w:r>
        <w:rPr>
          <w:rFonts w:hint="default"/>
          <w:color w:val="auto"/>
          <w:sz w:val="44"/>
          <w:szCs w:val="24"/>
          <w:highlight w:val="none"/>
        </w:rPr>
        <w:t>委托人要求</w:t>
      </w:r>
      <w:bookmarkEnd w:id="271"/>
    </w:p>
    <w:p w14:paraId="0946A500">
      <w:pPr>
        <w:spacing w:line="360" w:lineRule="auto"/>
        <w:jc w:val="center"/>
        <w:outlineLvl w:val="1"/>
        <w:rPr>
          <w:rFonts w:hint="default"/>
          <w:b/>
          <w:color w:val="auto"/>
          <w:sz w:val="32"/>
          <w:szCs w:val="24"/>
          <w:highlight w:val="none"/>
        </w:rPr>
      </w:pPr>
      <w:bookmarkStart w:id="272" w:name="_Toc14145"/>
      <w:bookmarkStart w:id="273" w:name="_Toc805"/>
      <w:r>
        <w:rPr>
          <w:rFonts w:hint="default" w:ascii="宋体" w:hAnsi="Times New Roman" w:eastAsia="宋体"/>
          <w:b/>
          <w:color w:val="auto"/>
          <w:sz w:val="32"/>
          <w:szCs w:val="24"/>
          <w:highlight w:val="none"/>
        </w:rPr>
        <w:t>委托人要求</w:t>
      </w:r>
      <w:bookmarkEnd w:id="272"/>
      <w:bookmarkEnd w:id="273"/>
    </w:p>
    <w:p w14:paraId="6EE4DB62">
      <w:pPr>
        <w:keepNext w:val="0"/>
        <w:keepLines w:val="0"/>
        <w:pageBreakBefore w:val="0"/>
        <w:widowControl w:val="0"/>
        <w:wordWrap/>
        <w:topLinePunct w:val="0"/>
        <w:autoSpaceDE w:val="0"/>
        <w:autoSpaceDN w:val="0"/>
        <w:bidi w:val="0"/>
        <w:adjustRightInd w:val="0"/>
        <w:spacing w:before="0" w:beforeLines="0" w:after="0" w:afterLines="0" w:line="360" w:lineRule="auto"/>
        <w:ind w:left="0" w:leftChars="0" w:firstLine="480" w:firstLineChars="200"/>
        <w:textAlignment w:val="auto"/>
        <w:outlineLvl w:val="9"/>
        <w:rPr>
          <w:rFonts w:hint="default"/>
          <w:color w:val="auto"/>
          <w:sz w:val="31"/>
          <w:szCs w:val="24"/>
          <w:highlight w:val="none"/>
        </w:rPr>
      </w:pPr>
      <w:bookmarkStart w:id="274" w:name="_Toc12787"/>
      <w:r>
        <w:rPr>
          <w:rFonts w:hint="default"/>
          <w:color w:val="auto"/>
          <w:sz w:val="24"/>
          <w:szCs w:val="24"/>
          <w:highlight w:val="none"/>
        </w:rPr>
        <w:t>一、监理要求</w:t>
      </w:r>
      <w:bookmarkEnd w:id="274"/>
    </w:p>
    <w:p w14:paraId="03C2133D">
      <w:pPr>
        <w:keepNext w:val="0"/>
        <w:keepLines w:val="0"/>
        <w:pageBreakBefore w:val="0"/>
        <w:widowControl w:val="0"/>
        <w:tabs>
          <w:tab w:val="left" w:pos="7513"/>
        </w:tabs>
        <w:wordWrap/>
        <w:topLinePunct w:val="0"/>
        <w:autoSpaceDE w:val="0"/>
        <w:autoSpaceDN w:val="0"/>
        <w:bidi w:val="0"/>
        <w:adjustRightInd w:val="0"/>
        <w:spacing w:line="360" w:lineRule="auto"/>
        <w:ind w:left="0" w:leftChars="0" w:firstLine="480" w:firstLineChars="200"/>
        <w:textAlignment w:val="auto"/>
        <w:outlineLvl w:val="9"/>
        <w:rPr>
          <w:rFonts w:hint="default" w:ascii="宋体" w:hAnsi="宋体" w:eastAsia="宋体" w:cs="宋体"/>
          <w:color w:val="auto"/>
          <w:sz w:val="24"/>
          <w:szCs w:val="24"/>
          <w:highlight w:val="none"/>
          <w:lang w:eastAsia="zh-CN"/>
        </w:rPr>
      </w:pPr>
      <w:r>
        <w:rPr>
          <w:rFonts w:hint="default" w:ascii="宋体" w:hAnsi="宋体" w:eastAsia="宋体"/>
          <w:color w:val="auto"/>
          <w:sz w:val="24"/>
          <w:szCs w:val="24"/>
          <w:highlight w:val="none"/>
        </w:rPr>
        <w:t>1.招标项目名称：</w:t>
      </w:r>
      <w:r>
        <w:rPr>
          <w:rFonts w:hint="default" w:ascii="宋体" w:hAnsi="宋体" w:eastAsia="宋体"/>
          <w:color w:val="auto"/>
          <w:sz w:val="24"/>
          <w:szCs w:val="24"/>
          <w:highlight w:val="none"/>
          <w:u w:val="single"/>
          <w:lang w:val="en-US" w:eastAsia="zh-CN"/>
        </w:rPr>
        <w:t xml:space="preserve"> 石井河海军桥至拦河枢纽段一河两岸水环境提升工程施工监理  </w:t>
      </w:r>
      <w:r>
        <w:rPr>
          <w:rFonts w:hint="default" w:ascii="宋体" w:hAnsi="宋体" w:eastAsia="宋体"/>
          <w:color w:val="auto"/>
          <w:sz w:val="24"/>
          <w:szCs w:val="24"/>
          <w:highlight w:val="none"/>
          <w:lang w:val="en-US" w:eastAsia="zh-CN"/>
        </w:rPr>
        <w:t xml:space="preserve"> </w:t>
      </w:r>
    </w:p>
    <w:p w14:paraId="58A57A7E">
      <w:pPr>
        <w:keepNext w:val="0"/>
        <w:keepLines w:val="0"/>
        <w:pageBreakBefore w:val="0"/>
        <w:widowControl w:val="0"/>
        <w:tabs>
          <w:tab w:val="left" w:pos="7513"/>
        </w:tabs>
        <w:wordWrap/>
        <w:topLinePunct w:val="0"/>
        <w:autoSpaceDE w:val="0"/>
        <w:autoSpaceDN w:val="0"/>
        <w:bidi w:val="0"/>
        <w:adjustRightInd w:val="0"/>
        <w:spacing w:line="360" w:lineRule="auto"/>
        <w:ind w:left="0" w:leftChars="0" w:firstLine="480" w:firstLineChars="200"/>
        <w:textAlignment w:val="auto"/>
        <w:outlineLvl w:val="9"/>
        <w:rPr>
          <w:rFonts w:hint="default" w:ascii="宋体" w:hAnsi="宋体" w:eastAsia="宋体" w:cs="宋体"/>
          <w:color w:val="auto"/>
          <w:sz w:val="24"/>
          <w:szCs w:val="24"/>
          <w:highlight w:val="none"/>
          <w:lang w:eastAsia="zh-CN"/>
        </w:rPr>
      </w:pPr>
      <w:r>
        <w:rPr>
          <w:rFonts w:hint="default" w:ascii="宋体" w:hAnsi="宋体" w:eastAsia="宋体"/>
          <w:color w:val="auto"/>
          <w:sz w:val="24"/>
          <w:szCs w:val="24"/>
          <w:highlight w:val="none"/>
        </w:rPr>
        <w:t>2</w:t>
      </w:r>
      <w:r>
        <w:rPr>
          <w:rFonts w:hint="eastAsia" w:ascii="宋体" w:hAnsi="宋体" w:eastAsia="宋体"/>
          <w:color w:val="auto"/>
          <w:sz w:val="24"/>
          <w:szCs w:val="24"/>
          <w:highlight w:val="none"/>
          <w:lang w:val="en-US" w:eastAsia="zh-CN"/>
        </w:rPr>
        <w:t>.</w:t>
      </w:r>
      <w:r>
        <w:rPr>
          <w:rFonts w:hint="default" w:ascii="宋体" w:hAnsi="宋体" w:eastAsia="宋体"/>
          <w:color w:val="auto"/>
          <w:sz w:val="24"/>
          <w:szCs w:val="24"/>
          <w:highlight w:val="none"/>
        </w:rPr>
        <w:t>工程建设地点：</w:t>
      </w:r>
      <w:r>
        <w:rPr>
          <w:rFonts w:hint="default" w:ascii="宋体" w:hAnsi="宋体" w:eastAsia="宋体"/>
          <w:color w:val="auto"/>
          <w:sz w:val="24"/>
          <w:szCs w:val="24"/>
          <w:highlight w:val="none"/>
          <w:u w:val="single"/>
          <w:lang w:val="en-US" w:eastAsia="zh-CN"/>
        </w:rPr>
        <w:t xml:space="preserve"> 广州市白云区松洲街、同德街、石井街、白云湖街 </w:t>
      </w:r>
      <w:r>
        <w:rPr>
          <w:rFonts w:hint="default" w:ascii="宋体" w:hAnsi="宋体" w:eastAsia="宋体"/>
          <w:color w:val="auto"/>
          <w:sz w:val="24"/>
          <w:szCs w:val="24"/>
          <w:highlight w:val="none"/>
          <w:lang w:val="en-US" w:eastAsia="zh-CN"/>
        </w:rPr>
        <w:t xml:space="preserve"> </w:t>
      </w:r>
    </w:p>
    <w:p w14:paraId="018EE252">
      <w:pPr>
        <w:keepNext w:val="0"/>
        <w:keepLines w:val="0"/>
        <w:pageBreakBefore w:val="0"/>
        <w:widowControl w:val="0"/>
        <w:tabs>
          <w:tab w:val="left" w:pos="7513"/>
        </w:tabs>
        <w:wordWrap/>
        <w:topLinePunct w:val="0"/>
        <w:autoSpaceDE w:val="0"/>
        <w:autoSpaceDN w:val="0"/>
        <w:bidi w:val="0"/>
        <w:adjustRightInd w:val="0"/>
        <w:spacing w:line="360" w:lineRule="auto"/>
        <w:ind w:left="0" w:leftChars="0" w:firstLine="480" w:firstLineChars="200"/>
        <w:jc w:val="both"/>
        <w:textAlignment w:val="auto"/>
        <w:outlineLvl w:val="9"/>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rPr>
        <w:t>3</w:t>
      </w:r>
      <w:r>
        <w:rPr>
          <w:rFonts w:hint="eastAsia" w:ascii="宋体" w:hAnsi="宋体" w:eastAsia="宋体"/>
          <w:color w:val="auto"/>
          <w:sz w:val="24"/>
          <w:szCs w:val="24"/>
          <w:highlight w:val="none"/>
          <w:lang w:val="en-US" w:eastAsia="zh-CN"/>
        </w:rPr>
        <w:t>.</w:t>
      </w:r>
      <w:r>
        <w:rPr>
          <w:rFonts w:hint="default" w:ascii="宋体" w:hAnsi="宋体" w:eastAsia="宋体"/>
          <w:color w:val="auto"/>
          <w:sz w:val="24"/>
          <w:szCs w:val="24"/>
          <w:highlight w:val="none"/>
        </w:rPr>
        <w:t>工程建设规模</w:t>
      </w:r>
      <w:r>
        <w:rPr>
          <w:rFonts w:hint="default" w:ascii="宋体" w:hAnsi="Times New Roman" w:eastAsia="宋体"/>
          <w:color w:val="auto"/>
          <w:sz w:val="24"/>
          <w:szCs w:val="24"/>
          <w:highlight w:val="none"/>
        </w:rPr>
        <w:t>：</w:t>
      </w:r>
      <w:r>
        <w:rPr>
          <w:rFonts w:hint="default"/>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本工程位于松洲街、同德街、石井街、白云湖街，工程范围包括石井河拦河枢纽至海军桥段实测桩号K0+650-K7+650段一河两岸水环境提升建设，总整治长度约7000米。对石井河实测桩号K0+650-K7+650段进行河道整治、河道两岸现状挡土墙清洗及勾缝、破损挡土墙、栏杆修复及改造、巡河通道修复改造、驳岸靠船亲水平台修复及改造等。包含龙腾广场、风采洲头等10处重要节点改造，主要建设内容为打造驳岸景观、改造广场空间、优化公园林下绿地、打造滨水节点、打造水情科普公园等；4处断点贯通；14千米巡河通道建设；6座新建人行桥、8座靠船亲水平台改造、5处水闸修缮等。河口段抵御二百年一遇外江洪潮水位，石井河内涌堤围防洪标准为 20 年一遇；排涝标准为 20 年一遇 24 小时暴雨不成灾；河涌堤防级别为4级，主要建筑物级别为4级；通航标准按航道等级Ⅶ。本项目估算总投资为38203.07万元。（具体以实际的工程量清单、施工图纸为准）</w:t>
      </w:r>
    </w:p>
    <w:p w14:paraId="52AA50DD">
      <w:pPr>
        <w:keepNext w:val="0"/>
        <w:keepLines w:val="0"/>
        <w:pageBreakBefore w:val="0"/>
        <w:widowControl w:val="0"/>
        <w:tabs>
          <w:tab w:val="left" w:pos="7513"/>
        </w:tabs>
        <w:wordWrap/>
        <w:topLinePunct w:val="0"/>
        <w:autoSpaceDE w:val="0"/>
        <w:autoSpaceDN w:val="0"/>
        <w:bidi w:val="0"/>
        <w:adjustRightInd w:val="0"/>
        <w:spacing w:line="360" w:lineRule="auto"/>
        <w:ind w:left="0" w:leftChars="0" w:firstLine="480" w:firstLineChars="200"/>
        <w:textAlignment w:val="auto"/>
        <w:outlineLvl w:val="9"/>
        <w:rPr>
          <w:rFonts w:hint="default"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default" w:ascii="宋体" w:hAnsi="宋体" w:eastAsia="宋体"/>
          <w:color w:val="auto"/>
          <w:sz w:val="24"/>
          <w:szCs w:val="24"/>
          <w:highlight w:val="none"/>
        </w:rPr>
        <w:t>招标范围</w:t>
      </w:r>
    </w:p>
    <w:p w14:paraId="676E6AC4">
      <w:pPr>
        <w:keepNext w:val="0"/>
        <w:keepLines w:val="0"/>
        <w:pageBreakBefore w:val="0"/>
        <w:widowControl w:val="0"/>
        <w:tabs>
          <w:tab w:val="left" w:pos="7513"/>
        </w:tabs>
        <w:wordWrap/>
        <w:topLinePunct w:val="0"/>
        <w:autoSpaceDE w:val="0"/>
        <w:autoSpaceDN w:val="0"/>
        <w:bidi w:val="0"/>
        <w:adjustRightInd w:val="0"/>
        <w:spacing w:line="360" w:lineRule="auto"/>
        <w:ind w:left="0" w:leftChars="0" w:firstLine="480" w:firstLineChars="20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olor w:val="auto"/>
          <w:sz w:val="24"/>
          <w:szCs w:val="24"/>
          <w:highlight w:val="none"/>
          <w:lang w:val="en-US" w:eastAsia="zh-CN"/>
        </w:rPr>
        <w:t>4.1</w:t>
      </w:r>
      <w:r>
        <w:rPr>
          <w:rFonts w:hint="default" w:ascii="宋体" w:hAnsi="Times New Roman" w:eastAsia="宋体"/>
          <w:color w:val="auto"/>
          <w:sz w:val="24"/>
          <w:szCs w:val="24"/>
          <w:highlight w:val="none"/>
        </w:rPr>
        <w:t>标段划分：</w:t>
      </w:r>
      <w:r>
        <w:rPr>
          <w:rFonts w:hint="default"/>
          <w:color w:val="auto"/>
          <w:sz w:val="24"/>
          <w:szCs w:val="24"/>
          <w:highlight w:val="none"/>
          <w:u w:val="single"/>
          <w:lang w:val="en-US" w:eastAsia="zh-CN"/>
        </w:rPr>
        <w:t xml:space="preserve">  本工程划分为1个标段。  </w:t>
      </w:r>
      <w:r>
        <w:rPr>
          <w:rFonts w:hint="default"/>
          <w:color w:val="auto"/>
          <w:sz w:val="24"/>
          <w:szCs w:val="24"/>
          <w:highlight w:val="none"/>
          <w:lang w:val="en-US" w:eastAsia="zh-CN"/>
        </w:rPr>
        <w:t xml:space="preserve">     </w:t>
      </w:r>
    </w:p>
    <w:p w14:paraId="4E256A6C">
      <w:pPr>
        <w:keepNext w:val="0"/>
        <w:keepLines w:val="0"/>
        <w:pageBreakBefore w:val="0"/>
        <w:widowControl w:val="0"/>
        <w:tabs>
          <w:tab w:val="left" w:pos="7513"/>
        </w:tabs>
        <w:wordWrap/>
        <w:topLinePunct w:val="0"/>
        <w:autoSpaceDE w:val="0"/>
        <w:autoSpaceDN w:val="0"/>
        <w:bidi w:val="0"/>
        <w:adjustRightInd w:val="0"/>
        <w:spacing w:line="360" w:lineRule="auto"/>
        <w:ind w:left="0" w:leftChars="0" w:firstLine="480" w:firstLineChars="200"/>
        <w:textAlignment w:val="auto"/>
        <w:outlineLvl w:val="9"/>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4.2</w:t>
      </w:r>
      <w:r>
        <w:rPr>
          <w:rFonts w:hint="default" w:ascii="宋体" w:hAnsi="宋体" w:eastAsia="宋体"/>
          <w:color w:val="auto"/>
          <w:sz w:val="24"/>
          <w:szCs w:val="24"/>
          <w:highlight w:val="none"/>
        </w:rPr>
        <w:t>监理范围：</w:t>
      </w:r>
      <w:r>
        <w:rPr>
          <w:rFonts w:hint="default" w:ascii="宋体" w:hAnsi="宋体" w:eastAsia="宋体"/>
          <w:color w:val="auto"/>
          <w:sz w:val="24"/>
          <w:szCs w:val="24"/>
          <w:highlight w:val="none"/>
          <w:u w:val="single"/>
          <w:lang w:val="en-US" w:eastAsia="zh-CN"/>
        </w:rPr>
        <w:t xml:space="preserve"> 本项目全过程各专业监理，监理内容包括但不限于以下内容：协助招标人做好开工前准备工作、负责工程计量审查、工程进度款审核、工程进度计划审查、工程施工质量监督、工程施工安全监督、审核竣工资料和工程结算工作，做好施工、保修阶段监理应做的各项工作；监督、管理建设工程合同的履行，以及协调委托人和工程建设有关各方的工作关系，变更预算、新增单价询价、预（结）算、竣工图审核等工作。</w:t>
      </w:r>
      <w:r>
        <w:rPr>
          <w:rFonts w:hint="default" w:ascii="宋体" w:hAnsi="宋体" w:eastAsia="宋体"/>
          <w:color w:val="auto"/>
          <w:sz w:val="24"/>
          <w:szCs w:val="24"/>
          <w:highlight w:val="none"/>
          <w:lang w:val="en-US" w:eastAsia="zh-CN"/>
        </w:rPr>
        <w:t xml:space="preserve"> </w:t>
      </w:r>
    </w:p>
    <w:p w14:paraId="20B207F4">
      <w:pPr>
        <w:keepNext w:val="0"/>
        <w:keepLines w:val="0"/>
        <w:pageBreakBefore w:val="0"/>
        <w:widowControl w:val="0"/>
        <w:tabs>
          <w:tab w:val="left" w:pos="7513"/>
        </w:tabs>
        <w:wordWrap/>
        <w:topLinePunct w:val="0"/>
        <w:autoSpaceDE w:val="0"/>
        <w:autoSpaceDN w:val="0"/>
        <w:bidi w:val="0"/>
        <w:adjustRightInd w:val="0"/>
        <w:spacing w:line="360" w:lineRule="auto"/>
        <w:ind w:left="0" w:leftChars="0" w:firstLine="480" w:firstLineChars="200"/>
        <w:textAlignment w:val="auto"/>
        <w:outlineLvl w:val="9"/>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4.3</w:t>
      </w:r>
      <w:r>
        <w:rPr>
          <w:rFonts w:hint="default" w:ascii="宋体" w:hAnsi="宋体" w:eastAsia="宋体"/>
          <w:color w:val="auto"/>
          <w:sz w:val="24"/>
          <w:szCs w:val="24"/>
          <w:highlight w:val="none"/>
        </w:rPr>
        <w:t>监理服务期：</w:t>
      </w:r>
      <w:r>
        <w:rPr>
          <w:rFonts w:hint="default" w:ascii="宋体" w:hAnsi="宋体" w:eastAsia="宋体"/>
          <w:color w:val="auto"/>
          <w:sz w:val="24"/>
          <w:szCs w:val="24"/>
          <w:highlight w:val="none"/>
          <w:u w:val="single"/>
          <w:lang w:val="en-US" w:eastAsia="zh-CN"/>
        </w:rPr>
        <w:t xml:space="preserve"> 包括工程施工准备阶段的监理工期、工程施工阶段的监理工期、工程保修阶段和竣工结算期的监理工期之和。</w:t>
      </w:r>
      <w:r>
        <w:rPr>
          <w:rFonts w:hint="default" w:ascii="宋体" w:hAnsi="宋体" w:eastAsia="宋体"/>
          <w:color w:val="auto"/>
          <w:sz w:val="24"/>
          <w:szCs w:val="24"/>
          <w:highlight w:val="none"/>
          <w:lang w:val="en-US" w:eastAsia="zh-CN"/>
        </w:rPr>
        <w:t xml:space="preserve">                </w:t>
      </w:r>
    </w:p>
    <w:p w14:paraId="32EDFECD">
      <w:pPr>
        <w:pStyle w:val="11"/>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pacing w:line="360" w:lineRule="auto"/>
        <w:ind w:left="0" w:leftChars="0" w:firstLine="480" w:firstLineChars="200"/>
        <w:jc w:val="both"/>
        <w:textAlignment w:val="auto"/>
        <w:outlineLvl w:val="9"/>
        <w:rPr>
          <w:rFonts w:hint="default" w:cs="宋体"/>
          <w:color w:val="auto"/>
          <w:sz w:val="24"/>
          <w:szCs w:val="24"/>
          <w:highlight w:val="none"/>
        </w:rPr>
      </w:pPr>
      <w:r>
        <w:rPr>
          <w:rFonts w:hint="eastAsia" w:ascii="宋体" w:hAnsi="宋体" w:eastAsia="宋体"/>
          <w:color w:val="auto"/>
          <w:sz w:val="24"/>
          <w:szCs w:val="24"/>
          <w:highlight w:val="none"/>
          <w:lang w:val="en-US" w:eastAsia="zh-CN"/>
        </w:rPr>
        <w:t>4.4</w:t>
      </w:r>
      <w:r>
        <w:rPr>
          <w:rFonts w:hint="default" w:ascii="宋体" w:hAnsi="宋体" w:eastAsia="宋体"/>
          <w:color w:val="auto"/>
          <w:sz w:val="24"/>
          <w:szCs w:val="24"/>
          <w:highlight w:val="none"/>
        </w:rPr>
        <w:t>本项目总投资为</w:t>
      </w:r>
      <w:r>
        <w:rPr>
          <w:rFonts w:hint="eastAsia"/>
          <w:color w:val="auto"/>
          <w:sz w:val="24"/>
          <w:szCs w:val="24"/>
          <w:highlight w:val="none"/>
          <w:u w:val="single"/>
          <w:lang w:eastAsia="zh-CN"/>
        </w:rPr>
        <w:t>38203.07</w:t>
      </w:r>
      <w:r>
        <w:rPr>
          <w:rFonts w:hint="default" w:ascii="宋体" w:hAnsi="宋体" w:eastAsia="宋体"/>
          <w:color w:val="auto"/>
          <w:sz w:val="24"/>
          <w:szCs w:val="24"/>
          <w:highlight w:val="none"/>
        </w:rPr>
        <w:t>万元</w:t>
      </w:r>
    </w:p>
    <w:p w14:paraId="37DECE87">
      <w:pPr>
        <w:pStyle w:val="11"/>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pacing w:line="360" w:lineRule="auto"/>
        <w:ind w:left="0" w:leftChars="0" w:firstLine="480" w:firstLineChars="200"/>
        <w:jc w:val="both"/>
        <w:textAlignment w:val="auto"/>
        <w:outlineLvl w:val="9"/>
        <w:rPr>
          <w:rFonts w:hint="eastAsia" w:eastAsia="宋体" w:cs="宋体"/>
          <w:color w:val="auto"/>
          <w:sz w:val="24"/>
          <w:szCs w:val="24"/>
          <w:highlight w:val="none"/>
          <w:lang w:eastAsia="zh-CN"/>
        </w:rPr>
      </w:pPr>
      <w:r>
        <w:rPr>
          <w:rFonts w:hint="eastAsia" w:cs="宋体"/>
          <w:color w:val="auto"/>
          <w:sz w:val="24"/>
          <w:szCs w:val="24"/>
          <w:highlight w:val="none"/>
          <w:lang w:val="en-US" w:eastAsia="zh-CN"/>
        </w:rPr>
        <w:t>5</w:t>
      </w:r>
      <w:r>
        <w:rPr>
          <w:rFonts w:hint="default" w:cs="宋体"/>
          <w:color w:val="auto"/>
          <w:sz w:val="24"/>
          <w:szCs w:val="24"/>
          <w:highlight w:val="none"/>
        </w:rPr>
        <w:t>. 监理依据</w:t>
      </w:r>
      <w:r>
        <w:rPr>
          <w:rFonts w:hint="eastAsia" w:cs="宋体"/>
          <w:color w:val="auto"/>
          <w:sz w:val="24"/>
          <w:szCs w:val="24"/>
          <w:highlight w:val="none"/>
          <w:lang w:eastAsia="zh-CN"/>
        </w:rPr>
        <w:t>：满足本项目监理服务要求。</w:t>
      </w:r>
    </w:p>
    <w:p w14:paraId="0D184117">
      <w:pPr>
        <w:pStyle w:val="11"/>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pacing w:line="360" w:lineRule="auto"/>
        <w:ind w:left="0" w:leftChars="0" w:firstLine="480" w:firstLineChars="200"/>
        <w:jc w:val="both"/>
        <w:textAlignment w:val="auto"/>
        <w:outlineLvl w:val="9"/>
        <w:rPr>
          <w:rFonts w:hint="eastAsia" w:eastAsia="宋体" w:cs="宋体"/>
          <w:color w:val="auto"/>
          <w:sz w:val="24"/>
          <w:szCs w:val="24"/>
          <w:highlight w:val="none"/>
          <w:lang w:eastAsia="zh-CN"/>
        </w:rPr>
      </w:pPr>
      <w:r>
        <w:rPr>
          <w:rFonts w:hint="eastAsia" w:cs="宋体"/>
          <w:color w:val="auto"/>
          <w:sz w:val="24"/>
          <w:szCs w:val="24"/>
          <w:highlight w:val="none"/>
          <w:lang w:val="en-US" w:eastAsia="zh-CN"/>
        </w:rPr>
        <w:t>6</w:t>
      </w:r>
      <w:r>
        <w:rPr>
          <w:rFonts w:hint="default" w:cs="宋体"/>
          <w:color w:val="auto"/>
          <w:sz w:val="24"/>
          <w:szCs w:val="24"/>
          <w:highlight w:val="none"/>
        </w:rPr>
        <w:t>. 监理人员和试验检测仪器设备要求</w:t>
      </w:r>
      <w:r>
        <w:rPr>
          <w:rFonts w:hint="eastAsia" w:cs="宋体"/>
          <w:color w:val="auto"/>
          <w:sz w:val="24"/>
          <w:szCs w:val="24"/>
          <w:highlight w:val="none"/>
          <w:lang w:eastAsia="zh-CN"/>
        </w:rPr>
        <w:t>：满足本项目监理服务要求，且在合同约定的期限内项目监理机构人员和试验检测仪器设备不低于投标文件配置要求。</w:t>
      </w:r>
    </w:p>
    <w:p w14:paraId="2623640F">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7.监理工作目标要求：</w:t>
      </w:r>
    </w:p>
    <w:p w14:paraId="0B9541C3">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①质量控制目标：合格</w:t>
      </w:r>
    </w:p>
    <w:p w14:paraId="4EDD0D54">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②进度控制目标：从监理人收到中标通知书之日起算，至所有工程（包括附属工程或配套工程、检测和监测等）结束且办妥竣工结算止（此处竣工结算指终审部门进行的竣工结算）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包括本工程的施工准备期、施工期、工程收尾期等全过程监理服务，必须在</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日前完工，具体时间签订合同时予以明确。</w:t>
      </w:r>
    </w:p>
    <w:p w14:paraId="6E64E32B">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③造价控制目标：所监理项目结算的建安工程费不超过本项目概算批复中对应的建安工程费。</w:t>
      </w:r>
    </w:p>
    <w:p w14:paraId="49FD63C1">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④安全文明管理目标：确保工程无重大安全事故。</w:t>
      </w:r>
    </w:p>
    <w:p w14:paraId="6A4540B7">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⑤合同管理目标：\</w:t>
      </w:r>
    </w:p>
    <w:p w14:paraId="4C519D40">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⑥信息管理目标：\</w:t>
      </w:r>
    </w:p>
    <w:p w14:paraId="74EB4A3D">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⑦建筑节能目标：\</w:t>
      </w:r>
    </w:p>
    <w:p w14:paraId="6AF0FE3C">
      <w:pPr>
        <w:pStyle w:val="11"/>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pacing w:line="360" w:lineRule="auto"/>
        <w:ind w:left="0" w:leftChars="0" w:firstLine="480" w:firstLineChars="200"/>
        <w:jc w:val="both"/>
        <w:textAlignment w:val="auto"/>
        <w:outlineLvl w:val="9"/>
        <w:rPr>
          <w:rFonts w:hint="eastAsia" w:eastAsia="宋体" w:cs="宋体"/>
          <w:color w:val="auto"/>
          <w:sz w:val="24"/>
          <w:szCs w:val="24"/>
          <w:highlight w:val="none"/>
          <w:lang w:eastAsia="zh-CN"/>
        </w:rPr>
      </w:pPr>
      <w:r>
        <w:rPr>
          <w:rFonts w:hint="eastAsia" w:cs="宋体"/>
          <w:color w:val="auto"/>
          <w:sz w:val="24"/>
          <w:szCs w:val="24"/>
          <w:highlight w:val="none"/>
          <w:lang w:val="en-US" w:eastAsia="zh-CN"/>
        </w:rPr>
        <w:t>8</w:t>
      </w:r>
      <w:r>
        <w:rPr>
          <w:rFonts w:hint="default" w:cs="宋体"/>
          <w:color w:val="auto"/>
          <w:sz w:val="24"/>
          <w:szCs w:val="24"/>
          <w:highlight w:val="none"/>
        </w:rPr>
        <w:t>. 其他要求</w:t>
      </w:r>
      <w:r>
        <w:rPr>
          <w:rFonts w:hint="eastAsia" w:cs="宋体"/>
          <w:color w:val="auto"/>
          <w:sz w:val="24"/>
          <w:szCs w:val="24"/>
          <w:highlight w:val="none"/>
          <w:lang w:eastAsia="zh-CN"/>
        </w:rPr>
        <w:t>：详见本项目招标文件和招标公告。</w:t>
      </w:r>
    </w:p>
    <w:p w14:paraId="1C833F1D">
      <w:pPr>
        <w:keepNext w:val="0"/>
        <w:keepLines w:val="0"/>
        <w:pageBreakBefore w:val="0"/>
        <w:widowControl w:val="0"/>
        <w:wordWrap/>
        <w:topLinePunct w:val="0"/>
        <w:autoSpaceDE w:val="0"/>
        <w:autoSpaceDN w:val="0"/>
        <w:bidi w:val="0"/>
        <w:adjustRightInd w:val="0"/>
        <w:spacing w:before="0" w:beforeLines="0" w:after="0" w:afterLines="0" w:line="360" w:lineRule="auto"/>
        <w:ind w:left="0" w:leftChars="0" w:firstLine="480" w:firstLineChars="200"/>
        <w:textAlignment w:val="auto"/>
        <w:outlineLvl w:val="9"/>
        <w:rPr>
          <w:rFonts w:hint="default"/>
          <w:color w:val="auto"/>
          <w:sz w:val="24"/>
          <w:szCs w:val="24"/>
          <w:highlight w:val="none"/>
        </w:rPr>
      </w:pPr>
      <w:bookmarkStart w:id="275" w:name="bookmark164"/>
      <w:bookmarkEnd w:id="275"/>
      <w:bookmarkStart w:id="276" w:name="_Toc12870"/>
      <w:r>
        <w:rPr>
          <w:rFonts w:hint="default"/>
          <w:color w:val="auto"/>
          <w:sz w:val="24"/>
          <w:szCs w:val="24"/>
          <w:highlight w:val="none"/>
        </w:rPr>
        <w:t>二、适用规范标准</w:t>
      </w:r>
      <w:bookmarkEnd w:id="276"/>
    </w:p>
    <w:p w14:paraId="78D176A9">
      <w:pPr>
        <w:pStyle w:val="11"/>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pacing w:line="360" w:lineRule="auto"/>
        <w:ind w:left="0" w:leftChars="0" w:firstLine="480" w:firstLineChars="200"/>
        <w:jc w:val="both"/>
        <w:textAlignment w:val="auto"/>
        <w:outlineLvl w:val="9"/>
        <w:rPr>
          <w:rFonts w:hint="default" w:cs="宋体"/>
          <w:color w:val="auto"/>
          <w:sz w:val="24"/>
          <w:szCs w:val="24"/>
          <w:highlight w:val="none"/>
        </w:rPr>
      </w:pPr>
      <w:r>
        <w:rPr>
          <w:rFonts w:hint="default" w:cs="宋体"/>
          <w:color w:val="auto"/>
          <w:sz w:val="24"/>
          <w:szCs w:val="24"/>
          <w:highlight w:val="none"/>
        </w:rPr>
        <w:t>1. 国家、行业、项目所在地规范名录：《建设工程监理规范》GB/T50319-2013，按国家、行业、项目所在地规范名录执行。</w:t>
      </w:r>
    </w:p>
    <w:p w14:paraId="33DA4482">
      <w:pPr>
        <w:pStyle w:val="11"/>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pacing w:line="360" w:lineRule="auto"/>
        <w:ind w:left="0" w:leftChars="0" w:firstLine="480" w:firstLineChars="200"/>
        <w:jc w:val="both"/>
        <w:textAlignment w:val="auto"/>
        <w:outlineLvl w:val="9"/>
        <w:rPr>
          <w:rFonts w:hint="default" w:cs="宋体"/>
          <w:color w:val="auto"/>
          <w:sz w:val="24"/>
          <w:szCs w:val="24"/>
          <w:highlight w:val="none"/>
        </w:rPr>
      </w:pPr>
      <w:r>
        <w:rPr>
          <w:rFonts w:hint="default" w:cs="宋体"/>
          <w:color w:val="auto"/>
          <w:sz w:val="24"/>
          <w:szCs w:val="24"/>
          <w:highlight w:val="none"/>
        </w:rPr>
        <w:t>2. 国家、行业、项目所在地标准名录：按国家、行业、项目所在地规范标准执行</w:t>
      </w:r>
    </w:p>
    <w:p w14:paraId="60DDFB4F">
      <w:pPr>
        <w:pStyle w:val="11"/>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pacing w:line="360" w:lineRule="auto"/>
        <w:ind w:left="0" w:leftChars="0" w:firstLine="480" w:firstLineChars="200"/>
        <w:jc w:val="both"/>
        <w:textAlignment w:val="auto"/>
        <w:outlineLvl w:val="9"/>
        <w:rPr>
          <w:rFonts w:hint="default" w:cs="宋体"/>
          <w:color w:val="auto"/>
          <w:sz w:val="24"/>
          <w:szCs w:val="24"/>
          <w:highlight w:val="none"/>
        </w:rPr>
      </w:pPr>
      <w:r>
        <w:rPr>
          <w:rFonts w:hint="default" w:cs="宋体"/>
          <w:color w:val="auto"/>
          <w:sz w:val="24"/>
          <w:szCs w:val="24"/>
          <w:highlight w:val="none"/>
        </w:rPr>
        <w:t>3. 国家、行业、项目所在地规程名录：按国家、行业、项目所在地规范规程执行</w:t>
      </w:r>
    </w:p>
    <w:p w14:paraId="4EB1D248">
      <w:pPr>
        <w:keepNext w:val="0"/>
        <w:keepLines w:val="0"/>
        <w:pageBreakBefore w:val="0"/>
        <w:widowControl w:val="0"/>
        <w:wordWrap/>
        <w:topLinePunct w:val="0"/>
        <w:autoSpaceDE w:val="0"/>
        <w:autoSpaceDN w:val="0"/>
        <w:bidi w:val="0"/>
        <w:adjustRightInd w:val="0"/>
        <w:spacing w:before="0" w:beforeLines="0" w:after="0" w:afterLines="0" w:line="360" w:lineRule="auto"/>
        <w:ind w:left="0" w:leftChars="0" w:firstLine="480" w:firstLineChars="200"/>
        <w:textAlignment w:val="auto"/>
        <w:outlineLvl w:val="9"/>
        <w:rPr>
          <w:rFonts w:hint="default"/>
          <w:color w:val="auto"/>
          <w:sz w:val="24"/>
          <w:szCs w:val="24"/>
          <w:highlight w:val="none"/>
        </w:rPr>
      </w:pPr>
      <w:bookmarkStart w:id="277" w:name="bookmark165"/>
      <w:bookmarkEnd w:id="277"/>
      <w:bookmarkStart w:id="278" w:name="_Toc2116"/>
      <w:r>
        <w:rPr>
          <w:rFonts w:hint="default"/>
          <w:color w:val="auto"/>
          <w:sz w:val="24"/>
          <w:szCs w:val="24"/>
          <w:highlight w:val="none"/>
        </w:rPr>
        <w:t>三、成果文件要求</w:t>
      </w:r>
      <w:bookmarkEnd w:id="278"/>
    </w:p>
    <w:p w14:paraId="29A4E739">
      <w:pPr>
        <w:keepNext w:val="0"/>
        <w:keepLines w:val="0"/>
        <w:pageBreakBefore w:val="0"/>
        <w:widowControl w:val="0"/>
        <w:wordWrap/>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Cs w:val="21"/>
          <w:highlight w:val="none"/>
        </w:rPr>
      </w:pPr>
      <w:bookmarkStart w:id="279" w:name="bookmark166"/>
      <w:bookmarkEnd w:id="279"/>
      <w:bookmarkStart w:id="280" w:name="_Toc8500"/>
      <w:r>
        <w:rPr>
          <w:rFonts w:hint="eastAsia" w:ascii="宋体" w:hAnsi="宋体" w:eastAsia="宋体" w:cs="宋体"/>
          <w:color w:val="auto"/>
          <w:szCs w:val="21"/>
          <w:highlight w:val="none"/>
        </w:rPr>
        <w:t>按《建设工程监理规范》（GB/T50319-2013）和招标人要求</w:t>
      </w:r>
    </w:p>
    <w:p w14:paraId="2DEA6870">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成果文件的组成</w:t>
      </w:r>
    </w:p>
    <w:p w14:paraId="3B949786">
      <w:pPr>
        <w:keepNext w:val="0"/>
        <w:keepLines w:val="0"/>
        <w:pageBreakBefore w:val="0"/>
        <w:widowControl w:val="0"/>
        <w:numPr>
          <w:ilvl w:val="0"/>
          <w:numId w:val="2"/>
        </w:numPr>
        <w:tabs>
          <w:tab w:val="left" w:pos="680"/>
        </w:tabs>
        <w:wordWrap/>
        <w:topLinePunct w:val="0"/>
        <w:autoSpaceDE w:val="0"/>
        <w:autoSpaceDN w:val="0"/>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1、勘察设计文件、建设工程监理合同及其他合同文件；</w:t>
      </w:r>
    </w:p>
    <w:p w14:paraId="735B4A65">
      <w:pPr>
        <w:keepNext w:val="0"/>
        <w:keepLines w:val="0"/>
        <w:pageBreakBefore w:val="0"/>
        <w:widowControl w:val="0"/>
        <w:numPr>
          <w:ilvl w:val="0"/>
          <w:numId w:val="2"/>
        </w:numPr>
        <w:tabs>
          <w:tab w:val="left" w:pos="680"/>
        </w:tabs>
        <w:wordWrap/>
        <w:topLinePunct w:val="0"/>
        <w:autoSpaceDE w:val="0"/>
        <w:autoSpaceDN w:val="0"/>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2、监理规划、监理实施细则；</w:t>
      </w:r>
    </w:p>
    <w:p w14:paraId="0E11DFC7">
      <w:pPr>
        <w:keepNext w:val="0"/>
        <w:keepLines w:val="0"/>
        <w:pageBreakBefore w:val="0"/>
        <w:widowControl w:val="0"/>
        <w:numPr>
          <w:ilvl w:val="0"/>
          <w:numId w:val="2"/>
        </w:numPr>
        <w:tabs>
          <w:tab w:val="left" w:pos="680"/>
        </w:tabs>
        <w:wordWrap/>
        <w:topLinePunct w:val="0"/>
        <w:autoSpaceDE w:val="0"/>
        <w:autoSpaceDN w:val="0"/>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3、设计交底和图纸会审会议纪要；</w:t>
      </w:r>
    </w:p>
    <w:p w14:paraId="73F1EFAB">
      <w:pPr>
        <w:keepNext w:val="0"/>
        <w:keepLines w:val="0"/>
        <w:pageBreakBefore w:val="0"/>
        <w:widowControl w:val="0"/>
        <w:numPr>
          <w:ilvl w:val="0"/>
          <w:numId w:val="2"/>
        </w:numPr>
        <w:tabs>
          <w:tab w:val="left" w:pos="680"/>
        </w:tabs>
        <w:wordWrap/>
        <w:topLinePunct w:val="0"/>
        <w:autoSpaceDE w:val="0"/>
        <w:autoSpaceDN w:val="0"/>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4、施工组织设计、（专项）施工方案、施工进度计划报审文件资料；</w:t>
      </w:r>
    </w:p>
    <w:p w14:paraId="062F1827">
      <w:pPr>
        <w:keepNext w:val="0"/>
        <w:keepLines w:val="0"/>
        <w:pageBreakBefore w:val="0"/>
        <w:widowControl w:val="0"/>
        <w:numPr>
          <w:ilvl w:val="0"/>
          <w:numId w:val="2"/>
        </w:numPr>
        <w:tabs>
          <w:tab w:val="left" w:pos="680"/>
        </w:tabs>
        <w:wordWrap/>
        <w:topLinePunct w:val="0"/>
        <w:autoSpaceDE w:val="0"/>
        <w:autoSpaceDN w:val="0"/>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5、分包单位资格报审文件资料；</w:t>
      </w:r>
    </w:p>
    <w:p w14:paraId="2A310B47">
      <w:pPr>
        <w:keepNext w:val="0"/>
        <w:keepLines w:val="0"/>
        <w:pageBreakBefore w:val="0"/>
        <w:widowControl w:val="0"/>
        <w:numPr>
          <w:ilvl w:val="0"/>
          <w:numId w:val="2"/>
        </w:numPr>
        <w:tabs>
          <w:tab w:val="left" w:pos="680"/>
        </w:tabs>
        <w:wordWrap/>
        <w:topLinePunct w:val="0"/>
        <w:autoSpaceDE w:val="0"/>
        <w:autoSpaceDN w:val="0"/>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6、施工控制测量成果报验文件资料；</w:t>
      </w:r>
    </w:p>
    <w:p w14:paraId="656BB3F3">
      <w:pPr>
        <w:keepNext w:val="0"/>
        <w:keepLines w:val="0"/>
        <w:pageBreakBefore w:val="0"/>
        <w:widowControl w:val="0"/>
        <w:numPr>
          <w:ilvl w:val="0"/>
          <w:numId w:val="2"/>
        </w:numPr>
        <w:tabs>
          <w:tab w:val="left" w:pos="680"/>
        </w:tabs>
        <w:wordWrap/>
        <w:topLinePunct w:val="0"/>
        <w:autoSpaceDE w:val="0"/>
        <w:autoSpaceDN w:val="0"/>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7、总监理工程师任命书、工程开工令、暂停令、复工令、开工或复工报审文件资料；</w:t>
      </w:r>
    </w:p>
    <w:p w14:paraId="74DB3C7A">
      <w:pPr>
        <w:keepNext w:val="0"/>
        <w:keepLines w:val="0"/>
        <w:pageBreakBefore w:val="0"/>
        <w:widowControl w:val="0"/>
        <w:numPr>
          <w:ilvl w:val="0"/>
          <w:numId w:val="2"/>
        </w:numPr>
        <w:tabs>
          <w:tab w:val="left" w:pos="680"/>
        </w:tabs>
        <w:wordWrap/>
        <w:topLinePunct w:val="0"/>
        <w:autoSpaceDE w:val="0"/>
        <w:autoSpaceDN w:val="0"/>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8、工程材料、设备、构配件报验文件资料；</w:t>
      </w:r>
    </w:p>
    <w:p w14:paraId="5E204EB9">
      <w:pPr>
        <w:keepNext w:val="0"/>
        <w:keepLines w:val="0"/>
        <w:pageBreakBefore w:val="0"/>
        <w:widowControl w:val="0"/>
        <w:numPr>
          <w:ilvl w:val="0"/>
          <w:numId w:val="2"/>
        </w:numPr>
        <w:tabs>
          <w:tab w:val="left" w:pos="680"/>
        </w:tabs>
        <w:wordWrap/>
        <w:topLinePunct w:val="0"/>
        <w:autoSpaceDE w:val="0"/>
        <w:autoSpaceDN w:val="0"/>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9、见证取样和平行检验文件资料；</w:t>
      </w:r>
    </w:p>
    <w:p w14:paraId="2CCA2E6F">
      <w:pPr>
        <w:keepNext w:val="0"/>
        <w:keepLines w:val="0"/>
        <w:pageBreakBefore w:val="0"/>
        <w:widowControl w:val="0"/>
        <w:numPr>
          <w:ilvl w:val="0"/>
          <w:numId w:val="2"/>
        </w:numPr>
        <w:tabs>
          <w:tab w:val="left" w:pos="680"/>
        </w:tabs>
        <w:wordWrap/>
        <w:topLinePunct w:val="0"/>
        <w:autoSpaceDE w:val="0"/>
        <w:autoSpaceDN w:val="0"/>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10、工程质量检查报验资料及工程有关验收资料；</w:t>
      </w:r>
    </w:p>
    <w:p w14:paraId="07516B32">
      <w:pPr>
        <w:keepNext w:val="0"/>
        <w:keepLines w:val="0"/>
        <w:pageBreakBefore w:val="0"/>
        <w:widowControl w:val="0"/>
        <w:numPr>
          <w:ilvl w:val="0"/>
          <w:numId w:val="2"/>
        </w:numPr>
        <w:tabs>
          <w:tab w:val="left" w:pos="680"/>
        </w:tabs>
        <w:wordWrap/>
        <w:topLinePunct w:val="0"/>
        <w:autoSpaceDE w:val="0"/>
        <w:autoSpaceDN w:val="0"/>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11、工程变更、费用索赔及工程延期文件资料；</w:t>
      </w:r>
    </w:p>
    <w:p w14:paraId="7867C408">
      <w:pPr>
        <w:keepNext w:val="0"/>
        <w:keepLines w:val="0"/>
        <w:pageBreakBefore w:val="0"/>
        <w:widowControl w:val="0"/>
        <w:numPr>
          <w:ilvl w:val="0"/>
          <w:numId w:val="2"/>
        </w:numPr>
        <w:tabs>
          <w:tab w:val="left" w:pos="680"/>
        </w:tabs>
        <w:wordWrap/>
        <w:topLinePunct w:val="0"/>
        <w:autoSpaceDE w:val="0"/>
        <w:autoSpaceDN w:val="0"/>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12、工程计量、工程款支付文件资料；</w:t>
      </w:r>
    </w:p>
    <w:p w14:paraId="419D2761">
      <w:pPr>
        <w:keepNext w:val="0"/>
        <w:keepLines w:val="0"/>
        <w:pageBreakBefore w:val="0"/>
        <w:widowControl w:val="0"/>
        <w:numPr>
          <w:ilvl w:val="0"/>
          <w:numId w:val="2"/>
        </w:numPr>
        <w:tabs>
          <w:tab w:val="left" w:pos="680"/>
        </w:tabs>
        <w:wordWrap/>
        <w:topLinePunct w:val="0"/>
        <w:autoSpaceDE w:val="0"/>
        <w:autoSpaceDN w:val="0"/>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13、监理通知单、工作联系单与监理报告；</w:t>
      </w:r>
    </w:p>
    <w:p w14:paraId="7761E241">
      <w:pPr>
        <w:keepNext w:val="0"/>
        <w:keepLines w:val="0"/>
        <w:pageBreakBefore w:val="0"/>
        <w:widowControl w:val="0"/>
        <w:numPr>
          <w:ilvl w:val="0"/>
          <w:numId w:val="2"/>
        </w:numPr>
        <w:tabs>
          <w:tab w:val="left" w:pos="680"/>
        </w:tabs>
        <w:wordWrap/>
        <w:topLinePunct w:val="0"/>
        <w:autoSpaceDE w:val="0"/>
        <w:autoSpaceDN w:val="0"/>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14、第一次工地会议、监理例会、专题会议等会议纪要；</w:t>
      </w:r>
    </w:p>
    <w:p w14:paraId="11E4C7CF">
      <w:pPr>
        <w:keepNext w:val="0"/>
        <w:keepLines w:val="0"/>
        <w:pageBreakBefore w:val="0"/>
        <w:widowControl w:val="0"/>
        <w:numPr>
          <w:ilvl w:val="0"/>
          <w:numId w:val="2"/>
        </w:numPr>
        <w:tabs>
          <w:tab w:val="left" w:pos="680"/>
        </w:tabs>
        <w:wordWrap/>
        <w:topLinePunct w:val="0"/>
        <w:autoSpaceDE w:val="0"/>
        <w:autoSpaceDN w:val="0"/>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15、监理月报、监理日志、旁站记录；</w:t>
      </w:r>
    </w:p>
    <w:p w14:paraId="0FE7C705">
      <w:pPr>
        <w:keepNext w:val="0"/>
        <w:keepLines w:val="0"/>
        <w:pageBreakBefore w:val="0"/>
        <w:widowControl w:val="0"/>
        <w:numPr>
          <w:ilvl w:val="0"/>
          <w:numId w:val="2"/>
        </w:numPr>
        <w:tabs>
          <w:tab w:val="left" w:pos="680"/>
        </w:tabs>
        <w:wordWrap/>
        <w:topLinePunct w:val="0"/>
        <w:autoSpaceDE w:val="0"/>
        <w:autoSpaceDN w:val="0"/>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16、工程质量或生产安全事故处理文件资料；</w:t>
      </w:r>
    </w:p>
    <w:p w14:paraId="43F7879B">
      <w:pPr>
        <w:keepNext w:val="0"/>
        <w:keepLines w:val="0"/>
        <w:pageBreakBefore w:val="0"/>
        <w:widowControl w:val="0"/>
        <w:numPr>
          <w:ilvl w:val="0"/>
          <w:numId w:val="2"/>
        </w:numPr>
        <w:tabs>
          <w:tab w:val="left" w:pos="680"/>
        </w:tabs>
        <w:wordWrap/>
        <w:topLinePunct w:val="0"/>
        <w:autoSpaceDE w:val="0"/>
        <w:autoSpaceDN w:val="0"/>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17、工程质量评估报告及竣工验收监理文件资料；</w:t>
      </w:r>
    </w:p>
    <w:p w14:paraId="1A471FFB">
      <w:pPr>
        <w:keepNext w:val="0"/>
        <w:keepLines w:val="0"/>
        <w:pageBreakBefore w:val="0"/>
        <w:widowControl w:val="0"/>
        <w:numPr>
          <w:ilvl w:val="0"/>
          <w:numId w:val="2"/>
        </w:numPr>
        <w:tabs>
          <w:tab w:val="left" w:pos="680"/>
        </w:tabs>
        <w:wordWrap/>
        <w:topLinePunct w:val="0"/>
        <w:autoSpaceDE w:val="0"/>
        <w:autoSpaceDN w:val="0"/>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18、监理工作总结。 </w:t>
      </w:r>
    </w:p>
    <w:p w14:paraId="17D36E77">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 成果文件的深度:</w:t>
      </w:r>
      <w:r>
        <w:rPr>
          <w:rFonts w:hint="eastAsia" w:ascii="宋体" w:hAnsi="宋体" w:eastAsia="宋体" w:cs="宋体"/>
          <w:color w:val="auto"/>
          <w:szCs w:val="21"/>
          <w:highlight w:val="none"/>
          <w:u w:val="single"/>
        </w:rPr>
        <w:t xml:space="preserve"> 满足本项目监理服务要求。</w:t>
      </w:r>
    </w:p>
    <w:p w14:paraId="2248BEA2">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 成果文件的格式要求:</w:t>
      </w:r>
      <w:r>
        <w:rPr>
          <w:rFonts w:hint="eastAsia" w:ascii="宋体" w:hAnsi="宋体" w:eastAsia="宋体" w:cs="宋体"/>
          <w:color w:val="auto"/>
          <w:szCs w:val="21"/>
          <w:highlight w:val="none"/>
          <w:u w:val="single"/>
        </w:rPr>
        <w:t xml:space="preserve"> 满足本项目监理服务要求。</w:t>
      </w:r>
    </w:p>
    <w:p w14:paraId="5D190DFA">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4. 成果文件的份数要求:</w:t>
      </w:r>
      <w:r>
        <w:rPr>
          <w:rFonts w:hint="eastAsia" w:ascii="宋体" w:hAnsi="宋体" w:eastAsia="宋体" w:cs="宋体"/>
          <w:color w:val="auto"/>
          <w:szCs w:val="21"/>
          <w:highlight w:val="none"/>
          <w:u w:val="single"/>
        </w:rPr>
        <w:t xml:space="preserve"> 满足本项目监理服务要求。</w:t>
      </w:r>
    </w:p>
    <w:p w14:paraId="0EDBB3AE">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5. 成果文件的载体要求</w:t>
      </w:r>
    </w:p>
    <w:p w14:paraId="7A4B83A0">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（1）纸质版的要求：</w:t>
      </w:r>
      <w:r>
        <w:rPr>
          <w:rFonts w:hint="eastAsia" w:ascii="宋体" w:hAnsi="宋体" w:eastAsia="宋体" w:cs="宋体"/>
          <w:color w:val="auto"/>
          <w:szCs w:val="21"/>
          <w:highlight w:val="none"/>
          <w:u w:val="single"/>
        </w:rPr>
        <w:t>满足本项目监理服务要求。</w:t>
      </w:r>
    </w:p>
    <w:p w14:paraId="3FE27CEF">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（2）电子版的要求：</w:t>
      </w:r>
      <w:r>
        <w:rPr>
          <w:rFonts w:hint="eastAsia" w:ascii="宋体" w:hAnsi="宋体" w:eastAsia="宋体" w:cs="宋体"/>
          <w:color w:val="auto"/>
          <w:szCs w:val="21"/>
          <w:highlight w:val="none"/>
          <w:u w:val="single"/>
        </w:rPr>
        <w:t xml:space="preserve"> 满足本项目监理服务要求。</w:t>
      </w:r>
    </w:p>
    <w:p w14:paraId="05E09DC9">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（3）其他要求。</w:t>
      </w:r>
    </w:p>
    <w:p w14:paraId="07E5342B">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6. 成果文件的其他要求: </w:t>
      </w:r>
      <w:r>
        <w:rPr>
          <w:rFonts w:hint="eastAsia" w:ascii="宋体" w:hAnsi="宋体" w:eastAsia="宋体" w:cs="宋体"/>
          <w:color w:val="auto"/>
          <w:szCs w:val="21"/>
          <w:highlight w:val="none"/>
          <w:u w:val="single"/>
        </w:rPr>
        <w:t>满足本项目监理服务要求。</w:t>
      </w:r>
    </w:p>
    <w:p w14:paraId="25CB9E9A">
      <w:pPr>
        <w:keepNext w:val="0"/>
        <w:keepLines w:val="0"/>
        <w:pageBreakBefore w:val="0"/>
        <w:widowControl w:val="0"/>
        <w:wordWrap/>
        <w:topLinePunct w:val="0"/>
        <w:autoSpaceDE w:val="0"/>
        <w:autoSpaceDN w:val="0"/>
        <w:bidi w:val="0"/>
        <w:adjustRightInd w:val="0"/>
        <w:spacing w:before="0" w:beforeLines="0" w:after="0" w:afterLines="0" w:line="360" w:lineRule="auto"/>
        <w:ind w:left="0" w:leftChars="0" w:firstLine="480" w:firstLineChars="200"/>
        <w:textAlignment w:val="auto"/>
        <w:outlineLvl w:val="9"/>
        <w:rPr>
          <w:rFonts w:hint="default"/>
          <w:color w:val="auto"/>
          <w:sz w:val="24"/>
          <w:szCs w:val="24"/>
          <w:highlight w:val="none"/>
        </w:rPr>
      </w:pPr>
      <w:r>
        <w:rPr>
          <w:rFonts w:hint="default"/>
          <w:color w:val="auto"/>
          <w:sz w:val="24"/>
          <w:szCs w:val="24"/>
          <w:highlight w:val="none"/>
        </w:rPr>
        <w:t>四、委托人财产清单</w:t>
      </w:r>
      <w:bookmarkEnd w:id="280"/>
    </w:p>
    <w:p w14:paraId="614A26C4">
      <w:pPr>
        <w:pStyle w:val="11"/>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pacing w:line="360" w:lineRule="auto"/>
        <w:ind w:left="0" w:leftChars="0" w:firstLine="480" w:firstLineChars="200"/>
        <w:jc w:val="both"/>
        <w:textAlignment w:val="auto"/>
        <w:outlineLvl w:val="9"/>
        <w:rPr>
          <w:rFonts w:hint="default" w:cs="宋体"/>
          <w:color w:val="auto"/>
          <w:sz w:val="24"/>
          <w:szCs w:val="24"/>
          <w:highlight w:val="none"/>
          <w:lang w:eastAsia="zh-CN"/>
        </w:rPr>
      </w:pPr>
      <w:bookmarkStart w:id="281" w:name="bookmark167"/>
      <w:bookmarkEnd w:id="281"/>
      <w:bookmarkStart w:id="282" w:name="_Toc21200"/>
      <w:r>
        <w:rPr>
          <w:rFonts w:hint="default" w:cs="宋体"/>
          <w:color w:val="auto"/>
          <w:sz w:val="24"/>
          <w:szCs w:val="24"/>
          <w:highlight w:val="none"/>
        </w:rPr>
        <w:t>（一）委托人提供的设备、设施</w:t>
      </w:r>
      <w:bookmarkEnd w:id="282"/>
    </w:p>
    <w:p w14:paraId="5B09A16E">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highlight w:val="none"/>
          <w:u w:val="single"/>
        </w:rPr>
      </w:pPr>
      <w:bookmarkStart w:id="283" w:name="bookmark168"/>
      <w:bookmarkEnd w:id="283"/>
      <w:bookmarkStart w:id="284" w:name="_Toc13057"/>
      <w:r>
        <w:rPr>
          <w:rFonts w:hint="eastAsia" w:ascii="宋体" w:hAnsi="宋体" w:eastAsia="宋体" w:cs="宋体"/>
          <w:color w:val="auto"/>
          <w:highlight w:val="none"/>
        </w:rPr>
        <w:t>1. 委托人提供的办公房屋及冷暖设施：</w:t>
      </w:r>
      <w:r>
        <w:rPr>
          <w:rFonts w:hint="eastAsia" w:ascii="宋体" w:hAnsi="宋体" w:eastAsia="宋体" w:cs="宋体"/>
          <w:color w:val="auto"/>
          <w:highlight w:val="none"/>
          <w:u w:val="single"/>
        </w:rPr>
        <w:t>根据项目实际情况需求提供；</w:t>
      </w:r>
    </w:p>
    <w:p w14:paraId="7A0F2CDB">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2. 委托人提供的设备清单：</w:t>
      </w:r>
      <w:r>
        <w:rPr>
          <w:rFonts w:hint="eastAsia" w:ascii="宋体" w:hAnsi="宋体" w:eastAsia="宋体" w:cs="宋体"/>
          <w:color w:val="auto"/>
          <w:highlight w:val="none"/>
          <w:u w:val="single"/>
        </w:rPr>
        <w:t>根据项目实际情况需求提供；</w:t>
      </w:r>
    </w:p>
    <w:p w14:paraId="499E0D26">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3. 委托人提供的设施清单：</w:t>
      </w:r>
      <w:r>
        <w:rPr>
          <w:rFonts w:hint="eastAsia" w:ascii="宋体" w:hAnsi="宋体" w:eastAsia="宋体" w:cs="宋体"/>
          <w:color w:val="auto"/>
          <w:highlight w:val="none"/>
          <w:u w:val="single"/>
        </w:rPr>
        <w:t>根据项目实际情况需求提供；</w:t>
      </w:r>
    </w:p>
    <w:p w14:paraId="0D62D2B6">
      <w:pPr>
        <w:pStyle w:val="11"/>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pacing w:line="360" w:lineRule="auto"/>
        <w:ind w:left="0" w:leftChars="0" w:firstLine="480" w:firstLineChars="200"/>
        <w:jc w:val="both"/>
        <w:textAlignment w:val="auto"/>
        <w:outlineLvl w:val="9"/>
        <w:rPr>
          <w:rFonts w:hint="default" w:cs="宋体"/>
          <w:color w:val="auto"/>
          <w:sz w:val="24"/>
          <w:szCs w:val="24"/>
          <w:highlight w:val="none"/>
        </w:rPr>
      </w:pPr>
      <w:r>
        <w:rPr>
          <w:rFonts w:hint="default" w:cs="宋体"/>
          <w:color w:val="auto"/>
          <w:sz w:val="24"/>
          <w:szCs w:val="24"/>
          <w:highlight w:val="none"/>
        </w:rPr>
        <w:t>（二）委托人提供的资料</w:t>
      </w:r>
      <w:bookmarkEnd w:id="284"/>
    </w:p>
    <w:p w14:paraId="3B1D76B3">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highlight w:val="none"/>
        </w:rPr>
      </w:pPr>
      <w:bookmarkStart w:id="285" w:name="bookmark169"/>
      <w:bookmarkEnd w:id="285"/>
      <w:bookmarkStart w:id="286" w:name="_Toc7891"/>
      <w:r>
        <w:rPr>
          <w:rFonts w:hint="eastAsia" w:ascii="宋体" w:hAnsi="宋体" w:eastAsia="宋体" w:cs="宋体"/>
          <w:color w:val="auto"/>
          <w:highlight w:val="none"/>
        </w:rPr>
        <w:t>1. 施工场地及毗邻区域内的供水、排水、供电、供气、供热、通信、广播电视等地下管线资料、气象和水文观测资料，相邻建筑物和构筑物、地下工程的有关资料，以及其他与建设工程有关的原始资料</w:t>
      </w:r>
    </w:p>
    <w:p w14:paraId="73F967E6">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 定位放线的基准点、基准线和基准标高</w:t>
      </w:r>
    </w:p>
    <w:p w14:paraId="40607861">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 委托人取得的有关审批、核准和备案材料</w:t>
      </w:r>
    </w:p>
    <w:p w14:paraId="1DABB35F">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4. 勘察文件、设计文件等资料</w:t>
      </w:r>
    </w:p>
    <w:p w14:paraId="24EC0DF4">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5. 技术标准、规范</w:t>
      </w:r>
    </w:p>
    <w:p w14:paraId="0E51AC6D">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6. 工程承包合同及其他相关合同</w:t>
      </w:r>
    </w:p>
    <w:p w14:paraId="00B2BAE6">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7. 其他资料</w:t>
      </w:r>
    </w:p>
    <w:p w14:paraId="6C27BCCB">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p>
    <w:p w14:paraId="0D7CEE0D">
      <w:pPr>
        <w:pStyle w:val="11"/>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pacing w:line="360" w:lineRule="auto"/>
        <w:ind w:left="0" w:leftChars="0" w:firstLine="480" w:firstLineChars="200"/>
        <w:jc w:val="both"/>
        <w:textAlignment w:val="auto"/>
        <w:outlineLvl w:val="9"/>
        <w:rPr>
          <w:rFonts w:hint="default"/>
          <w:color w:val="auto"/>
          <w:sz w:val="24"/>
          <w:szCs w:val="24"/>
          <w:highlight w:val="none"/>
        </w:rPr>
      </w:pPr>
      <w:r>
        <w:rPr>
          <w:rFonts w:hint="default"/>
          <w:color w:val="auto"/>
          <w:sz w:val="24"/>
          <w:szCs w:val="24"/>
          <w:highlight w:val="none"/>
        </w:rPr>
        <w:t>（三）委托人财产使用要求及退还要求</w:t>
      </w:r>
      <w:bookmarkEnd w:id="286"/>
    </w:p>
    <w:p w14:paraId="4ADEE7D2">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bookmarkStart w:id="287" w:name="bookmark170"/>
      <w:bookmarkEnd w:id="287"/>
      <w:bookmarkStart w:id="288" w:name="_Toc13282"/>
      <w:r>
        <w:rPr>
          <w:rFonts w:hint="eastAsia" w:ascii="宋体" w:hAnsi="宋体" w:eastAsia="宋体" w:cs="宋体"/>
          <w:color w:val="auto"/>
          <w:szCs w:val="21"/>
          <w:highlight w:val="none"/>
        </w:rPr>
        <w:t>1. 委托人财产使用要求：</w:t>
      </w:r>
      <w:r>
        <w:rPr>
          <w:rFonts w:hint="eastAsia" w:ascii="宋体" w:hAnsi="宋体" w:eastAsia="宋体" w:cs="宋体"/>
          <w:color w:val="auto"/>
          <w:szCs w:val="21"/>
          <w:highlight w:val="none"/>
          <w:u w:val="single"/>
        </w:rPr>
        <w:t>监理人对委托人财产保存完好，避免有损坏或丢失等情况发生；</w:t>
      </w:r>
    </w:p>
    <w:p w14:paraId="05D916AA">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委托人财产退还要求：</w:t>
      </w:r>
      <w:r>
        <w:rPr>
          <w:rFonts w:hint="eastAsia" w:ascii="宋体" w:hAnsi="宋体" w:eastAsia="宋体" w:cs="宋体"/>
          <w:color w:val="auto"/>
          <w:szCs w:val="21"/>
          <w:highlight w:val="none"/>
          <w:u w:val="single"/>
        </w:rPr>
        <w:t>工程完工后监理人将委托人财产全数完好地退还给委托人。</w:t>
      </w:r>
    </w:p>
    <w:p w14:paraId="71063EBC">
      <w:pPr>
        <w:keepNext w:val="0"/>
        <w:keepLines w:val="0"/>
        <w:pageBreakBefore w:val="0"/>
        <w:widowControl w:val="0"/>
        <w:wordWrap/>
        <w:topLinePunct w:val="0"/>
        <w:autoSpaceDE w:val="0"/>
        <w:autoSpaceDN w:val="0"/>
        <w:bidi w:val="0"/>
        <w:adjustRightInd w:val="0"/>
        <w:spacing w:before="0" w:beforeLines="0" w:after="0" w:afterLines="0" w:line="360" w:lineRule="auto"/>
        <w:ind w:left="0" w:leftChars="0" w:firstLine="480" w:firstLineChars="200"/>
        <w:textAlignment w:val="auto"/>
        <w:outlineLvl w:val="9"/>
        <w:rPr>
          <w:rFonts w:hint="default"/>
          <w:color w:val="auto"/>
          <w:sz w:val="24"/>
          <w:szCs w:val="24"/>
          <w:highlight w:val="none"/>
        </w:rPr>
      </w:pPr>
      <w:r>
        <w:rPr>
          <w:rFonts w:hint="default"/>
          <w:color w:val="auto"/>
          <w:sz w:val="24"/>
          <w:szCs w:val="24"/>
          <w:highlight w:val="none"/>
        </w:rPr>
        <w:t>五、委托人提供的便利条件</w:t>
      </w:r>
      <w:bookmarkEnd w:id="288"/>
    </w:p>
    <w:p w14:paraId="4C4EAB43">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bookmarkStart w:id="289" w:name="bookmark171"/>
      <w:bookmarkEnd w:id="289"/>
      <w:bookmarkStart w:id="290" w:name="_Toc12822"/>
      <w:r>
        <w:rPr>
          <w:rFonts w:hint="eastAsia" w:ascii="宋体" w:hAnsi="宋体" w:eastAsia="宋体" w:cs="宋体"/>
          <w:color w:val="auto"/>
          <w:szCs w:val="21"/>
          <w:highlight w:val="none"/>
        </w:rPr>
        <w:t>1. 委托人提供的生活条件：</w:t>
      </w:r>
      <w:r>
        <w:rPr>
          <w:rFonts w:hint="eastAsia" w:ascii="宋体" w:hAnsi="宋体" w:eastAsia="宋体" w:cs="宋体"/>
          <w:color w:val="auto"/>
          <w:highlight w:val="none"/>
          <w:u w:val="single"/>
        </w:rPr>
        <w:t>根据项目实际情况需求提供；</w:t>
      </w:r>
    </w:p>
    <w:p w14:paraId="3FEADE61">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委托人提供的交通条件：</w:t>
      </w:r>
      <w:r>
        <w:rPr>
          <w:rFonts w:hint="eastAsia" w:ascii="宋体" w:hAnsi="宋体" w:eastAsia="宋体" w:cs="宋体"/>
          <w:color w:val="auto"/>
          <w:highlight w:val="none"/>
          <w:u w:val="single"/>
        </w:rPr>
        <w:t xml:space="preserve"> /</w:t>
      </w:r>
    </w:p>
    <w:p w14:paraId="5FCA66AF">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委托人提供的网络、通讯条件：</w:t>
      </w:r>
      <w:r>
        <w:rPr>
          <w:rFonts w:hint="eastAsia" w:ascii="宋体" w:hAnsi="宋体" w:eastAsia="宋体" w:cs="宋体"/>
          <w:color w:val="auto"/>
          <w:highlight w:val="none"/>
          <w:u w:val="single"/>
        </w:rPr>
        <w:t>/</w:t>
      </w:r>
    </w:p>
    <w:p w14:paraId="2F69894F">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委托人提供的协助人员：</w:t>
      </w:r>
      <w:r>
        <w:rPr>
          <w:rFonts w:hint="eastAsia" w:ascii="宋体" w:hAnsi="宋体" w:eastAsia="宋体" w:cs="宋体"/>
          <w:color w:val="auto"/>
          <w:highlight w:val="none"/>
          <w:u w:val="single"/>
        </w:rPr>
        <w:t>/</w:t>
      </w:r>
    </w:p>
    <w:p w14:paraId="70A8A3D6">
      <w:pPr>
        <w:keepNext w:val="0"/>
        <w:keepLines w:val="0"/>
        <w:pageBreakBefore w:val="0"/>
        <w:widowControl w:val="0"/>
        <w:wordWrap/>
        <w:topLinePunct w:val="0"/>
        <w:autoSpaceDE w:val="0"/>
        <w:autoSpaceDN w:val="0"/>
        <w:bidi w:val="0"/>
        <w:adjustRightInd w:val="0"/>
        <w:spacing w:before="0" w:beforeLines="0" w:after="0" w:afterLines="0" w:line="360" w:lineRule="auto"/>
        <w:ind w:left="0" w:leftChars="0" w:firstLine="480" w:firstLineChars="200"/>
        <w:textAlignment w:val="auto"/>
        <w:outlineLvl w:val="9"/>
        <w:rPr>
          <w:rFonts w:hint="default"/>
          <w:color w:val="auto"/>
          <w:sz w:val="24"/>
          <w:szCs w:val="24"/>
          <w:highlight w:val="none"/>
        </w:rPr>
      </w:pPr>
      <w:r>
        <w:rPr>
          <w:rFonts w:hint="default"/>
          <w:color w:val="auto"/>
          <w:sz w:val="24"/>
          <w:szCs w:val="24"/>
          <w:highlight w:val="none"/>
        </w:rPr>
        <w:t>六、监理人需要自备的工作条件</w:t>
      </w:r>
      <w:bookmarkEnd w:id="290"/>
    </w:p>
    <w:p w14:paraId="7BDFE0CD">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bookmarkStart w:id="291" w:name="bookmark172"/>
      <w:bookmarkEnd w:id="291"/>
      <w:bookmarkStart w:id="292" w:name="_Toc27270"/>
      <w:r>
        <w:rPr>
          <w:rFonts w:hint="eastAsia" w:ascii="宋体" w:hAnsi="宋体" w:eastAsia="宋体" w:cs="宋体"/>
          <w:color w:val="auto"/>
          <w:szCs w:val="21"/>
          <w:highlight w:val="none"/>
        </w:rPr>
        <w:t>1. 监理人自备的工作手册：</w:t>
      </w:r>
      <w:r>
        <w:rPr>
          <w:rFonts w:hint="eastAsia" w:ascii="宋体" w:hAnsi="宋体" w:eastAsia="宋体" w:cs="宋体"/>
          <w:color w:val="auto"/>
          <w:szCs w:val="21"/>
          <w:highlight w:val="none"/>
          <w:u w:val="single"/>
        </w:rPr>
        <w:t>本项目必备的规范标准、图集等。</w:t>
      </w:r>
    </w:p>
    <w:p w14:paraId="144CD3B4">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监理人自备的办公设备：</w:t>
      </w:r>
      <w:r>
        <w:rPr>
          <w:rFonts w:hint="eastAsia" w:ascii="宋体" w:hAnsi="宋体" w:eastAsia="宋体" w:cs="宋体"/>
          <w:color w:val="auto"/>
          <w:szCs w:val="21"/>
          <w:highlight w:val="none"/>
          <w:u w:val="single"/>
        </w:rPr>
        <w:t>电脑、软件、投影、打印机、复印机、照相机等。</w:t>
      </w:r>
    </w:p>
    <w:p w14:paraId="5A680EAA">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监理人自备的交通工具：</w:t>
      </w:r>
      <w:r>
        <w:rPr>
          <w:rFonts w:hint="eastAsia" w:ascii="宋体" w:hAnsi="宋体" w:eastAsia="宋体" w:cs="宋体"/>
          <w:color w:val="auto"/>
          <w:szCs w:val="21"/>
          <w:highlight w:val="none"/>
          <w:u w:val="single"/>
        </w:rPr>
        <w:t>出行车辆等。</w:t>
      </w:r>
    </w:p>
    <w:p w14:paraId="13E5F4B6">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 监理人自备的现场办公设施：</w:t>
      </w:r>
      <w:r>
        <w:rPr>
          <w:rFonts w:hint="eastAsia" w:ascii="宋体" w:hAnsi="宋体" w:eastAsia="宋体" w:cs="宋体"/>
          <w:color w:val="auto"/>
          <w:szCs w:val="21"/>
          <w:highlight w:val="none"/>
          <w:u w:val="single"/>
        </w:rPr>
        <w:t>除委托人提供的办公桌椅、文件柜外的相关设施。</w:t>
      </w:r>
    </w:p>
    <w:p w14:paraId="1586A95F">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 监理人自备的安全设施：</w:t>
      </w:r>
      <w:r>
        <w:rPr>
          <w:rFonts w:hint="eastAsia" w:ascii="宋体" w:hAnsi="宋体" w:eastAsia="宋体" w:cs="宋体"/>
          <w:color w:val="auto"/>
          <w:szCs w:val="21"/>
          <w:highlight w:val="none"/>
          <w:u w:val="single"/>
        </w:rPr>
        <w:t>安全帽、安全鞋、手电筒等。</w:t>
      </w:r>
    </w:p>
    <w:p w14:paraId="34A2F849">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 监理人自备的试验检测仪器、设备、工具：</w:t>
      </w:r>
      <w:r>
        <w:rPr>
          <w:rFonts w:hint="eastAsia" w:ascii="宋体" w:hAnsi="宋体" w:eastAsia="宋体" w:cs="宋体"/>
          <w:color w:val="auto"/>
          <w:szCs w:val="21"/>
          <w:highlight w:val="none"/>
          <w:u w:val="single"/>
        </w:rPr>
        <w:t>满足本项目监理服务要求，由投标人根据项目内容提交清单。</w:t>
      </w:r>
    </w:p>
    <w:p w14:paraId="3F51EEB0">
      <w:pPr>
        <w:keepNext w:val="0"/>
        <w:keepLines w:val="0"/>
        <w:pageBreakBefore w:val="0"/>
        <w:widowControl w:val="0"/>
        <w:wordWrap/>
        <w:topLinePunct w:val="0"/>
        <w:autoSpaceDE w:val="0"/>
        <w:autoSpaceDN w:val="0"/>
        <w:bidi w:val="0"/>
        <w:adjustRightInd w:val="0"/>
        <w:spacing w:line="360" w:lineRule="auto"/>
        <w:ind w:left="0" w:lef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 监理人自备的试验用房、样品用房：</w:t>
      </w:r>
      <w:r>
        <w:rPr>
          <w:rFonts w:hint="eastAsia" w:ascii="宋体" w:hAnsi="宋体" w:eastAsia="宋体" w:cs="宋体"/>
          <w:color w:val="auto"/>
          <w:szCs w:val="21"/>
          <w:highlight w:val="none"/>
          <w:u w:val="single"/>
        </w:rPr>
        <w:t xml:space="preserve">    /     </w:t>
      </w:r>
    </w:p>
    <w:p w14:paraId="635814E3">
      <w:pPr>
        <w:keepNext w:val="0"/>
        <w:keepLines w:val="0"/>
        <w:pageBreakBefore w:val="0"/>
        <w:widowControl w:val="0"/>
        <w:wordWrap/>
        <w:topLinePunct w:val="0"/>
        <w:autoSpaceDE w:val="0"/>
        <w:autoSpaceDN w:val="0"/>
        <w:bidi w:val="0"/>
        <w:adjustRightInd w:val="0"/>
        <w:spacing w:before="0" w:beforeLines="0" w:after="0" w:afterLines="0" w:line="360" w:lineRule="auto"/>
        <w:ind w:left="0" w:leftChars="0" w:firstLine="480" w:firstLineChars="200"/>
        <w:textAlignment w:val="auto"/>
        <w:outlineLvl w:val="9"/>
        <w:rPr>
          <w:rFonts w:hint="default"/>
          <w:color w:val="auto"/>
          <w:sz w:val="20"/>
          <w:szCs w:val="24"/>
          <w:highlight w:val="none"/>
        </w:rPr>
      </w:pPr>
      <w:r>
        <w:rPr>
          <w:rFonts w:hint="default"/>
          <w:color w:val="auto"/>
          <w:sz w:val="24"/>
          <w:szCs w:val="24"/>
          <w:highlight w:val="none"/>
        </w:rPr>
        <w:t>七、委托人的其他要求</w:t>
      </w:r>
      <w:bookmarkEnd w:id="292"/>
    </w:p>
    <w:p w14:paraId="78D25A96">
      <w:pPr>
        <w:keepNext w:val="0"/>
        <w:keepLines w:val="0"/>
        <w:pageBreakBefore w:val="0"/>
        <w:widowControl w:val="0"/>
        <w:tabs>
          <w:tab w:val="left" w:pos="540"/>
        </w:tabs>
        <w:wordWrap/>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Cs w:val="21"/>
          <w:highlight w:val="none"/>
          <w:u w:val="single"/>
        </w:rPr>
      </w:pPr>
      <w:bookmarkStart w:id="293" w:name="_Toc517280597"/>
      <w:r>
        <w:rPr>
          <w:rFonts w:hint="eastAsia" w:ascii="宋体" w:hAnsi="宋体" w:eastAsia="宋体" w:cs="宋体"/>
          <w:color w:val="auto"/>
          <w:szCs w:val="21"/>
          <w:highlight w:val="none"/>
        </w:rPr>
        <w:t>委托人的其他要求</w:t>
      </w:r>
      <w:bookmarkEnd w:id="293"/>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其他要求详见监理合同。</w:t>
      </w:r>
    </w:p>
    <w:p w14:paraId="0086BD26">
      <w:pPr>
        <w:pStyle w:val="11"/>
        <w:tabs>
          <w:tab w:val="left" w:pos="1343"/>
          <w:tab w:val="left" w:pos="2697"/>
          <w:tab w:val="left" w:pos="3264"/>
          <w:tab w:val="left" w:pos="4896"/>
          <w:tab w:val="left" w:pos="6005"/>
          <w:tab w:val="left" w:pos="7085"/>
          <w:tab w:val="left" w:pos="7498"/>
        </w:tabs>
        <w:kinsoku w:val="0"/>
        <w:overflowPunct w:val="0"/>
        <w:spacing w:line="360" w:lineRule="auto"/>
        <w:ind w:left="0" w:leftChars="0" w:firstLine="480" w:firstLineChars="200"/>
        <w:jc w:val="both"/>
        <w:rPr>
          <w:rFonts w:hint="default" w:cs="宋体"/>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1B73E90B">
      <w:pPr>
        <w:pStyle w:val="2"/>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z w:val="52"/>
          <w:szCs w:val="52"/>
          <w:highlight w:val="none"/>
        </w:rPr>
      </w:pPr>
      <w:bookmarkStart w:id="294" w:name="bookmark173"/>
      <w:bookmarkEnd w:id="294"/>
      <w:bookmarkStart w:id="295" w:name="_Toc24601"/>
      <w:r>
        <w:rPr>
          <w:rFonts w:hint="eastAsia"/>
          <w:color w:val="auto"/>
          <w:sz w:val="52"/>
          <w:szCs w:val="52"/>
          <w:highlight w:val="none"/>
        </w:rPr>
        <w:t>第三卷</w:t>
      </w:r>
      <w:bookmarkEnd w:id="295"/>
    </w:p>
    <w:p w14:paraId="0BB81EB5">
      <w:pPr>
        <w:pStyle w:val="2"/>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z w:val="52"/>
          <w:szCs w:val="52"/>
          <w:highlight w:val="none"/>
        </w:rPr>
        <w:sectPr>
          <w:pgSz w:w="11905" w:h="16838"/>
          <w:pgMar w:top="1417" w:right="1417" w:bottom="1417" w:left="1417" w:header="992" w:footer="992" w:gutter="0"/>
          <w:lnNumType w:countBy="0" w:distance="360"/>
          <w:pgNumType w:fmt="decimal"/>
          <w:cols w:space="720" w:num="1"/>
        </w:sectPr>
      </w:pPr>
    </w:p>
    <w:p w14:paraId="7A298559">
      <w:pPr>
        <w:pStyle w:val="3"/>
        <w:outlineLvl w:val="0"/>
        <w:rPr>
          <w:rFonts w:hint="default"/>
          <w:color w:val="auto"/>
          <w:sz w:val="44"/>
          <w:szCs w:val="24"/>
          <w:highlight w:val="none"/>
        </w:rPr>
      </w:pPr>
      <w:bookmarkStart w:id="296" w:name="bookmark174"/>
      <w:bookmarkEnd w:id="296"/>
      <w:bookmarkStart w:id="297" w:name="_Toc21625"/>
      <w:r>
        <w:rPr>
          <w:rFonts w:hint="default"/>
          <w:color w:val="auto"/>
          <w:sz w:val="44"/>
          <w:szCs w:val="24"/>
          <w:highlight w:val="none"/>
        </w:rPr>
        <w:t>第六章</w:t>
      </w:r>
      <w:r>
        <w:rPr>
          <w:rFonts w:hint="default"/>
          <w:color w:val="auto"/>
          <w:sz w:val="44"/>
          <w:szCs w:val="24"/>
          <w:highlight w:val="none"/>
          <w:lang w:val="en-US" w:eastAsia="zh-CN"/>
        </w:rPr>
        <w:t xml:space="preserve"> </w:t>
      </w:r>
      <w:r>
        <w:rPr>
          <w:rFonts w:hint="default"/>
          <w:color w:val="auto"/>
          <w:sz w:val="44"/>
          <w:szCs w:val="24"/>
          <w:highlight w:val="none"/>
        </w:rPr>
        <w:t>投标文件格式</w:t>
      </w:r>
      <w:bookmarkEnd w:id="297"/>
    </w:p>
    <w:p w14:paraId="126ACB14">
      <w:pPr>
        <w:pStyle w:val="3"/>
        <w:outlineLvl w:val="9"/>
        <w:rPr>
          <w:rFonts w:hint="default"/>
          <w:color w:val="auto"/>
          <w:sz w:val="30"/>
          <w:szCs w:val="24"/>
          <w:highlight w:val="none"/>
        </w:rPr>
        <w:sectPr>
          <w:pgSz w:w="11905" w:h="16838"/>
          <w:pgMar w:top="1417" w:right="1417" w:bottom="1417" w:left="1417" w:header="992" w:footer="992" w:gutter="0"/>
          <w:lnNumType w:countBy="0" w:distance="360"/>
          <w:pgNumType w:fmt="decimal"/>
          <w:cols w:space="720" w:num="1"/>
        </w:sectPr>
      </w:pPr>
    </w:p>
    <w:p w14:paraId="41CAFB74">
      <w:pPr>
        <w:pStyle w:val="11"/>
        <w:kinsoku w:val="0"/>
        <w:overflowPunct w:val="0"/>
        <w:ind w:left="0"/>
        <w:rPr>
          <w:rFonts w:hint="eastAsia" w:ascii="Microsoft JhengHei" w:hAnsi="Microsoft JhengHei" w:eastAsia="Microsoft JhengHei"/>
          <w:b/>
          <w:color w:val="auto"/>
          <w:sz w:val="20"/>
          <w:szCs w:val="24"/>
          <w:highlight w:val="none"/>
        </w:rPr>
      </w:pPr>
    </w:p>
    <w:p w14:paraId="71C5B77A">
      <w:pPr>
        <w:pStyle w:val="11"/>
        <w:kinsoku w:val="0"/>
        <w:overflowPunct w:val="0"/>
        <w:ind w:left="0"/>
        <w:rPr>
          <w:rFonts w:hint="eastAsia" w:ascii="Microsoft JhengHei" w:hAnsi="Microsoft JhengHei" w:eastAsia="Microsoft JhengHei"/>
          <w:b/>
          <w:color w:val="auto"/>
          <w:sz w:val="20"/>
          <w:szCs w:val="24"/>
          <w:highlight w:val="none"/>
        </w:rPr>
      </w:pPr>
    </w:p>
    <w:p w14:paraId="5AE8C5B7">
      <w:pPr>
        <w:pStyle w:val="11"/>
        <w:kinsoku w:val="0"/>
        <w:overflowPunct w:val="0"/>
        <w:spacing w:before="1"/>
        <w:ind w:left="0"/>
        <w:rPr>
          <w:rFonts w:hint="eastAsia" w:ascii="Microsoft JhengHei" w:hAnsi="Microsoft JhengHei" w:eastAsia="Microsoft JhengHei"/>
          <w:b/>
          <w:color w:val="auto"/>
          <w:sz w:val="22"/>
          <w:szCs w:val="24"/>
          <w:highlight w:val="none"/>
        </w:rPr>
      </w:pPr>
    </w:p>
    <w:p w14:paraId="5575F8AC">
      <w:pPr>
        <w:jc w:val="center"/>
        <w:rPr>
          <w:rFonts w:hint="default" w:ascii="宋体" w:hAnsi="Times New Roman" w:eastAsia="宋体"/>
          <w:color w:val="auto"/>
          <w:sz w:val="36"/>
          <w:szCs w:val="24"/>
          <w:highlight w:val="none"/>
          <w:lang w:eastAsia="zh-CN"/>
        </w:rPr>
      </w:pPr>
      <w:r>
        <w:rPr>
          <w:rFonts w:hint="default"/>
          <w:color w:val="auto"/>
          <w:sz w:val="36"/>
          <w:szCs w:val="24"/>
          <w:highlight w:val="none"/>
          <w:u w:val="single"/>
          <w:lang w:val="en-US" w:eastAsia="zh-CN"/>
        </w:rPr>
        <w:t xml:space="preserve">                 </w:t>
      </w:r>
      <w:r>
        <w:rPr>
          <w:rFonts w:hint="default" w:ascii="宋体" w:hAnsi="Times New Roman" w:eastAsia="宋体"/>
          <w:color w:val="auto"/>
          <w:sz w:val="36"/>
          <w:szCs w:val="24"/>
          <w:highlight w:val="none"/>
          <w:u w:val="single"/>
        </w:rPr>
        <w:t>（项目名称）</w:t>
      </w:r>
      <w:r>
        <w:rPr>
          <w:rFonts w:hint="default" w:ascii="宋体" w:hAnsi="Times New Roman" w:eastAsia="宋体"/>
          <w:color w:val="auto"/>
          <w:sz w:val="36"/>
          <w:szCs w:val="24"/>
          <w:highlight w:val="none"/>
          <w:lang w:val="en-US" w:eastAsia="zh-CN"/>
        </w:rPr>
        <w:t xml:space="preserve"> </w:t>
      </w:r>
    </w:p>
    <w:p w14:paraId="2797A5AD">
      <w:pPr>
        <w:pStyle w:val="11"/>
        <w:kinsoku w:val="0"/>
        <w:overflowPunct w:val="0"/>
        <w:ind w:left="0"/>
        <w:rPr>
          <w:rFonts w:hint="default"/>
          <w:color w:val="auto"/>
          <w:sz w:val="20"/>
          <w:szCs w:val="24"/>
          <w:highlight w:val="none"/>
        </w:rPr>
      </w:pPr>
    </w:p>
    <w:p w14:paraId="66E0BABC">
      <w:pPr>
        <w:pStyle w:val="11"/>
        <w:kinsoku w:val="0"/>
        <w:overflowPunct w:val="0"/>
        <w:spacing w:before="9"/>
        <w:ind w:left="0"/>
        <w:rPr>
          <w:rFonts w:hint="default"/>
          <w:color w:val="auto"/>
          <w:sz w:val="15"/>
          <w:szCs w:val="24"/>
          <w:highlight w:val="none"/>
        </w:rPr>
      </w:pPr>
    </w:p>
    <w:p w14:paraId="40E256BB">
      <w:pPr>
        <w:pStyle w:val="11"/>
        <w:kinsoku w:val="0"/>
        <w:overflowPunct w:val="0"/>
        <w:spacing w:line="539" w:lineRule="exact"/>
        <w:ind w:left="3" w:right="1"/>
        <w:jc w:val="center"/>
        <w:rPr>
          <w:rFonts w:hint="default"/>
          <w:color w:val="auto"/>
          <w:sz w:val="44"/>
          <w:szCs w:val="24"/>
          <w:highlight w:val="none"/>
        </w:rPr>
      </w:pPr>
    </w:p>
    <w:p w14:paraId="77FF0135">
      <w:pPr>
        <w:pStyle w:val="11"/>
        <w:kinsoku w:val="0"/>
        <w:overflowPunct w:val="0"/>
        <w:spacing w:line="539" w:lineRule="exact"/>
        <w:ind w:left="3" w:right="1"/>
        <w:jc w:val="center"/>
        <w:rPr>
          <w:rFonts w:hint="default"/>
          <w:color w:val="auto"/>
          <w:sz w:val="44"/>
          <w:szCs w:val="24"/>
          <w:highlight w:val="none"/>
        </w:rPr>
      </w:pPr>
    </w:p>
    <w:p w14:paraId="6AD81212">
      <w:pPr>
        <w:pStyle w:val="11"/>
        <w:kinsoku w:val="0"/>
        <w:overflowPunct w:val="0"/>
        <w:ind w:left="0"/>
        <w:jc w:val="center"/>
        <w:rPr>
          <w:rFonts w:hint="default"/>
          <w:color w:val="auto"/>
          <w:sz w:val="44"/>
          <w:szCs w:val="24"/>
          <w:highlight w:val="none"/>
        </w:rPr>
      </w:pPr>
      <w:r>
        <w:rPr>
          <w:rFonts w:hint="default" w:cs="宋体"/>
          <w:color w:val="auto"/>
          <w:sz w:val="84"/>
          <w:szCs w:val="84"/>
          <w:highlight w:val="none"/>
        </w:rPr>
        <w:t>投标文件</w:t>
      </w:r>
    </w:p>
    <w:p w14:paraId="3803163E">
      <w:pPr>
        <w:pStyle w:val="11"/>
        <w:kinsoku w:val="0"/>
        <w:overflowPunct w:val="0"/>
        <w:ind w:left="0"/>
        <w:rPr>
          <w:rFonts w:hint="default"/>
          <w:color w:val="auto"/>
          <w:sz w:val="44"/>
          <w:szCs w:val="24"/>
          <w:highlight w:val="none"/>
        </w:rPr>
      </w:pPr>
    </w:p>
    <w:p w14:paraId="223BA142">
      <w:pPr>
        <w:pStyle w:val="11"/>
        <w:kinsoku w:val="0"/>
        <w:overflowPunct w:val="0"/>
        <w:ind w:left="0"/>
        <w:rPr>
          <w:rFonts w:hint="default"/>
          <w:color w:val="auto"/>
          <w:sz w:val="44"/>
          <w:szCs w:val="24"/>
          <w:highlight w:val="none"/>
        </w:rPr>
      </w:pPr>
    </w:p>
    <w:p w14:paraId="3FAE5C59">
      <w:pPr>
        <w:pStyle w:val="11"/>
        <w:kinsoku w:val="0"/>
        <w:overflowPunct w:val="0"/>
        <w:ind w:left="0"/>
        <w:rPr>
          <w:rFonts w:hint="default"/>
          <w:color w:val="auto"/>
          <w:sz w:val="44"/>
          <w:szCs w:val="24"/>
          <w:highlight w:val="none"/>
        </w:rPr>
      </w:pPr>
    </w:p>
    <w:p w14:paraId="50F15C27">
      <w:pPr>
        <w:pStyle w:val="11"/>
        <w:kinsoku w:val="0"/>
        <w:overflowPunct w:val="0"/>
        <w:ind w:left="0"/>
        <w:rPr>
          <w:rFonts w:hint="default"/>
          <w:color w:val="auto"/>
          <w:sz w:val="44"/>
          <w:szCs w:val="24"/>
          <w:highlight w:val="none"/>
        </w:rPr>
      </w:pPr>
    </w:p>
    <w:p w14:paraId="22C766B7">
      <w:pPr>
        <w:pStyle w:val="11"/>
        <w:kinsoku w:val="0"/>
        <w:overflowPunct w:val="0"/>
        <w:ind w:left="0"/>
        <w:rPr>
          <w:rFonts w:hint="default"/>
          <w:color w:val="auto"/>
          <w:sz w:val="44"/>
          <w:szCs w:val="24"/>
          <w:highlight w:val="none"/>
        </w:rPr>
      </w:pPr>
    </w:p>
    <w:p w14:paraId="1EC776B3">
      <w:pPr>
        <w:pStyle w:val="11"/>
        <w:kinsoku w:val="0"/>
        <w:overflowPunct w:val="0"/>
        <w:ind w:left="0"/>
        <w:rPr>
          <w:rFonts w:hint="default"/>
          <w:color w:val="auto"/>
          <w:sz w:val="44"/>
          <w:szCs w:val="24"/>
          <w:highlight w:val="none"/>
        </w:rPr>
      </w:pPr>
    </w:p>
    <w:p w14:paraId="6BD2585C">
      <w:pPr>
        <w:pStyle w:val="11"/>
        <w:kinsoku w:val="0"/>
        <w:overflowPunct w:val="0"/>
        <w:ind w:left="0"/>
        <w:rPr>
          <w:rFonts w:hint="default"/>
          <w:color w:val="auto"/>
          <w:sz w:val="44"/>
          <w:szCs w:val="24"/>
          <w:highlight w:val="none"/>
        </w:rPr>
      </w:pPr>
    </w:p>
    <w:p w14:paraId="347A0D57">
      <w:pPr>
        <w:pStyle w:val="11"/>
        <w:kinsoku w:val="0"/>
        <w:overflowPunct w:val="0"/>
        <w:ind w:left="0"/>
        <w:rPr>
          <w:rFonts w:hint="default"/>
          <w:color w:val="auto"/>
          <w:sz w:val="44"/>
          <w:szCs w:val="24"/>
          <w:highlight w:val="none"/>
        </w:rPr>
      </w:pPr>
    </w:p>
    <w:p w14:paraId="09C39CAF">
      <w:pPr>
        <w:pStyle w:val="11"/>
        <w:kinsoku w:val="0"/>
        <w:overflowPunct w:val="0"/>
        <w:ind w:left="0"/>
        <w:rPr>
          <w:rFonts w:hint="default"/>
          <w:color w:val="auto"/>
          <w:sz w:val="44"/>
          <w:szCs w:val="24"/>
          <w:highlight w:val="none"/>
        </w:rPr>
      </w:pPr>
    </w:p>
    <w:p w14:paraId="20CE3C70">
      <w:pPr>
        <w:pStyle w:val="11"/>
        <w:kinsoku w:val="0"/>
        <w:overflowPunct w:val="0"/>
        <w:spacing w:before="3"/>
        <w:ind w:left="0"/>
        <w:rPr>
          <w:rFonts w:hint="default"/>
          <w:color w:val="auto"/>
          <w:sz w:val="41"/>
          <w:szCs w:val="24"/>
          <w:highlight w:val="none"/>
        </w:rPr>
      </w:pPr>
    </w:p>
    <w:p w14:paraId="3684A897">
      <w:pPr>
        <w:pStyle w:val="11"/>
        <w:tabs>
          <w:tab w:val="left" w:pos="5577"/>
          <w:tab w:val="left" w:pos="6942"/>
        </w:tabs>
        <w:kinsoku w:val="0"/>
        <w:overflowPunct w:val="0"/>
        <w:spacing w:line="357" w:lineRule="auto"/>
        <w:ind w:left="1201" w:right="175"/>
        <w:rPr>
          <w:rFonts w:hint="default"/>
          <w:color w:val="auto"/>
          <w:spacing w:val="-1"/>
          <w:sz w:val="28"/>
          <w:szCs w:val="24"/>
          <w:highlight w:val="none"/>
        </w:rPr>
      </w:pPr>
      <w:r>
        <w:rPr>
          <w:rFonts w:hint="default"/>
          <w:color w:val="auto"/>
          <w:sz w:val="28"/>
          <w:szCs w:val="24"/>
          <w:highlight w:val="none"/>
        </w:rPr>
        <w:t>投标人：</w:t>
      </w:r>
      <w:r>
        <w:rPr>
          <w:rFonts w:hint="eastAsia" w:ascii="Times New Roman" w:hAnsi="Times New Roman" w:eastAsia="Times New Roman"/>
          <w:color w:val="auto"/>
          <w:sz w:val="28"/>
          <w:szCs w:val="24"/>
          <w:highlight w:val="none"/>
          <w:u w:val="single"/>
        </w:rPr>
        <w:tab/>
      </w:r>
      <w:r>
        <w:rPr>
          <w:rFonts w:hint="eastAsia" w:ascii="Times New Roman" w:hAnsi="Times New Roman" w:eastAsia="Times New Roman"/>
          <w:color w:val="auto"/>
          <w:sz w:val="28"/>
          <w:szCs w:val="24"/>
          <w:highlight w:val="none"/>
          <w:u w:val="single"/>
        </w:rPr>
        <w:tab/>
      </w:r>
      <w:r>
        <w:rPr>
          <w:rFonts w:hint="default"/>
          <w:color w:val="auto"/>
          <w:spacing w:val="-1"/>
          <w:sz w:val="28"/>
          <w:szCs w:val="24"/>
          <w:highlight w:val="none"/>
        </w:rPr>
        <w:t>（盖单位章）</w:t>
      </w:r>
      <w:r>
        <w:rPr>
          <w:rFonts w:hint="default"/>
          <w:color w:val="auto"/>
          <w:spacing w:val="-136"/>
          <w:sz w:val="28"/>
          <w:szCs w:val="24"/>
          <w:highlight w:val="none"/>
        </w:rPr>
        <w:t xml:space="preserve"> </w:t>
      </w:r>
      <w:r>
        <w:rPr>
          <w:rFonts w:hint="default"/>
          <w:color w:val="auto"/>
          <w:spacing w:val="-1"/>
          <w:sz w:val="28"/>
          <w:szCs w:val="24"/>
          <w:highlight w:val="none"/>
        </w:rPr>
        <w:t>法定代表人或其委托代理人：</w:t>
      </w:r>
      <w:r>
        <w:rPr>
          <w:rFonts w:hint="eastAsia" w:ascii="Times New Roman" w:hAnsi="Times New Roman" w:eastAsia="Times New Roman"/>
          <w:color w:val="auto"/>
          <w:spacing w:val="-1"/>
          <w:sz w:val="28"/>
          <w:szCs w:val="24"/>
          <w:highlight w:val="none"/>
          <w:u w:val="single"/>
        </w:rPr>
        <w:tab/>
      </w:r>
      <w:r>
        <w:rPr>
          <w:rFonts w:hint="default"/>
          <w:color w:val="auto"/>
          <w:spacing w:val="-1"/>
          <w:sz w:val="28"/>
          <w:szCs w:val="24"/>
          <w:highlight w:val="none"/>
        </w:rPr>
        <w:t>（签字）</w:t>
      </w:r>
    </w:p>
    <w:p w14:paraId="46DDF425">
      <w:pPr>
        <w:pStyle w:val="11"/>
        <w:kinsoku w:val="0"/>
        <w:overflowPunct w:val="0"/>
        <w:spacing w:before="10"/>
        <w:ind w:left="0"/>
        <w:rPr>
          <w:rFonts w:hint="default"/>
          <w:color w:val="auto"/>
          <w:sz w:val="29"/>
          <w:szCs w:val="24"/>
          <w:highlight w:val="none"/>
        </w:rPr>
      </w:pPr>
    </w:p>
    <w:p w14:paraId="41F86F71">
      <w:pPr>
        <w:pStyle w:val="11"/>
        <w:tabs>
          <w:tab w:val="left" w:pos="3611"/>
          <w:tab w:val="left" w:pos="4626"/>
          <w:tab w:val="left" w:pos="5642"/>
        </w:tabs>
        <w:kinsoku w:val="0"/>
        <w:overflowPunct w:val="0"/>
        <w:spacing w:before="14"/>
        <w:ind w:left="2877" w:right="175"/>
        <w:rPr>
          <w:rFonts w:hint="default"/>
          <w:color w:val="auto"/>
          <w:sz w:val="28"/>
          <w:szCs w:val="24"/>
          <w:highlight w:val="none"/>
        </w:rPr>
      </w:pPr>
      <w:r>
        <w:rPr>
          <w:rFonts w:hint="eastAsia" w:ascii="Times New Roman" w:hAnsi="Times New Roman" w:eastAsia="Times New Roman"/>
          <w:color w:val="auto"/>
          <w:sz w:val="28"/>
          <w:szCs w:val="24"/>
          <w:highlight w:val="none"/>
          <w:u w:val="single"/>
        </w:rPr>
        <w:t xml:space="preserve"> </w:t>
      </w:r>
      <w:r>
        <w:rPr>
          <w:rFonts w:hint="eastAsia" w:ascii="Times New Roman" w:hAnsi="Times New Roman" w:eastAsia="Times New Roman"/>
          <w:color w:val="auto"/>
          <w:sz w:val="28"/>
          <w:szCs w:val="24"/>
          <w:highlight w:val="none"/>
          <w:u w:val="single"/>
        </w:rPr>
        <w:tab/>
      </w:r>
      <w:r>
        <w:rPr>
          <w:rFonts w:hint="default"/>
          <w:color w:val="auto"/>
          <w:sz w:val="28"/>
          <w:szCs w:val="24"/>
          <w:highlight w:val="none"/>
        </w:rPr>
        <w:t>年</w:t>
      </w:r>
      <w:r>
        <w:rPr>
          <w:rFonts w:hint="eastAsia" w:ascii="Times New Roman" w:hAnsi="Times New Roman" w:eastAsia="Times New Roman"/>
          <w:color w:val="auto"/>
          <w:sz w:val="28"/>
          <w:szCs w:val="24"/>
          <w:highlight w:val="none"/>
          <w:u w:val="single"/>
        </w:rPr>
        <w:tab/>
      </w:r>
      <w:r>
        <w:rPr>
          <w:rFonts w:hint="default"/>
          <w:color w:val="auto"/>
          <w:sz w:val="28"/>
          <w:szCs w:val="24"/>
          <w:highlight w:val="none"/>
        </w:rPr>
        <w:t>月</w:t>
      </w:r>
      <w:r>
        <w:rPr>
          <w:rFonts w:hint="eastAsia" w:ascii="Times New Roman" w:hAnsi="Times New Roman" w:eastAsia="Times New Roman"/>
          <w:color w:val="auto"/>
          <w:sz w:val="28"/>
          <w:szCs w:val="24"/>
          <w:highlight w:val="none"/>
          <w:u w:val="single"/>
        </w:rPr>
        <w:tab/>
      </w:r>
      <w:r>
        <w:rPr>
          <w:rFonts w:hint="default"/>
          <w:color w:val="auto"/>
          <w:sz w:val="28"/>
          <w:szCs w:val="24"/>
          <w:highlight w:val="none"/>
        </w:rPr>
        <w:t>日</w:t>
      </w:r>
    </w:p>
    <w:p w14:paraId="57E849AB">
      <w:pPr>
        <w:pStyle w:val="11"/>
        <w:tabs>
          <w:tab w:val="left" w:pos="3611"/>
          <w:tab w:val="left" w:pos="4626"/>
          <w:tab w:val="left" w:pos="5642"/>
        </w:tabs>
        <w:kinsoku w:val="0"/>
        <w:overflowPunct w:val="0"/>
        <w:spacing w:before="14"/>
        <w:ind w:left="2877" w:right="175"/>
        <w:rPr>
          <w:rFonts w:hint="default"/>
          <w:color w:val="auto"/>
          <w:sz w:val="28"/>
          <w:szCs w:val="24"/>
          <w:highlight w:val="none"/>
        </w:rPr>
        <w:sectPr>
          <w:pgSz w:w="11905" w:h="16838"/>
          <w:pgMar w:top="1417" w:right="1417" w:bottom="1417" w:left="1417" w:header="992" w:footer="992" w:gutter="0"/>
          <w:lnNumType w:countBy="0" w:distance="360"/>
          <w:pgNumType w:fmt="decimal"/>
          <w:cols w:space="720" w:num="1"/>
        </w:sectPr>
      </w:pPr>
    </w:p>
    <w:p w14:paraId="77BF653D">
      <w:pPr>
        <w:pStyle w:val="11"/>
        <w:kinsoku w:val="0"/>
        <w:overflowPunct w:val="0"/>
        <w:spacing w:line="443" w:lineRule="exact"/>
        <w:ind w:left="1244" w:right="1222"/>
        <w:jc w:val="center"/>
        <w:rPr>
          <w:rFonts w:hint="eastAsia" w:ascii="Microsoft JhengHei" w:hAnsi="Microsoft JhengHei" w:eastAsia="Microsoft JhengHei"/>
          <w:color w:val="auto"/>
          <w:sz w:val="32"/>
          <w:szCs w:val="24"/>
          <w:highlight w:val="none"/>
        </w:rPr>
      </w:pPr>
      <w:bookmarkStart w:id="298" w:name="bookmark175"/>
      <w:bookmarkEnd w:id="298"/>
      <w:r>
        <w:rPr>
          <w:rFonts w:hint="eastAsia" w:ascii="Microsoft JhengHei" w:hAnsi="Microsoft JhengHei" w:eastAsia="Microsoft JhengHei"/>
          <w:b/>
          <w:color w:val="auto"/>
          <w:sz w:val="32"/>
          <w:szCs w:val="24"/>
          <w:highlight w:val="none"/>
        </w:rPr>
        <w:t>目录</w:t>
      </w:r>
    </w:p>
    <w:p w14:paraId="5F1084CC">
      <w:pPr>
        <w:pStyle w:val="11"/>
        <w:kinsoku w:val="0"/>
        <w:overflowPunct w:val="0"/>
        <w:ind w:left="0"/>
        <w:rPr>
          <w:rFonts w:hint="eastAsia" w:ascii="Microsoft JhengHei" w:hAnsi="Microsoft JhengHei" w:eastAsia="Microsoft JhengHei"/>
          <w:b/>
          <w:color w:val="auto"/>
          <w:sz w:val="20"/>
          <w:szCs w:val="24"/>
          <w:highlight w:val="none"/>
        </w:rPr>
      </w:pPr>
    </w:p>
    <w:p w14:paraId="5590B5B0">
      <w:pPr>
        <w:pStyle w:val="11"/>
        <w:kinsoku w:val="0"/>
        <w:overflowPunct w:val="0"/>
        <w:ind w:left="0"/>
        <w:rPr>
          <w:rFonts w:hint="eastAsia" w:ascii="Microsoft JhengHei" w:hAnsi="Microsoft JhengHei" w:eastAsia="Microsoft JhengHei"/>
          <w:b/>
          <w:color w:val="auto"/>
          <w:sz w:val="20"/>
          <w:szCs w:val="24"/>
          <w:highlight w:val="none"/>
        </w:rPr>
      </w:pPr>
    </w:p>
    <w:p w14:paraId="429DB9B7">
      <w:pPr>
        <w:pStyle w:val="11"/>
        <w:kinsoku w:val="0"/>
        <w:overflowPunct w:val="0"/>
        <w:ind w:left="0"/>
        <w:rPr>
          <w:rFonts w:hint="eastAsia" w:ascii="Microsoft JhengHei" w:hAnsi="Microsoft JhengHei" w:eastAsia="Microsoft JhengHei"/>
          <w:b/>
          <w:color w:val="auto"/>
          <w:sz w:val="20"/>
          <w:szCs w:val="24"/>
          <w:highlight w:val="none"/>
        </w:rPr>
      </w:pPr>
    </w:p>
    <w:p w14:paraId="79867C5B">
      <w:pPr>
        <w:pStyle w:val="11"/>
        <w:kinsoku w:val="0"/>
        <w:overflowPunct w:val="0"/>
        <w:spacing w:before="6"/>
        <w:ind w:left="0"/>
        <w:rPr>
          <w:rFonts w:hint="eastAsia" w:ascii="Microsoft JhengHei" w:hAnsi="Microsoft JhengHei" w:eastAsia="Microsoft JhengHei"/>
          <w:b/>
          <w:color w:val="auto"/>
          <w:sz w:val="24"/>
          <w:szCs w:val="24"/>
          <w:highlight w:val="none"/>
        </w:rPr>
      </w:pPr>
    </w:p>
    <w:p w14:paraId="2D1847FC">
      <w:pPr>
        <w:pStyle w:val="11"/>
        <w:numPr>
          <w:ilvl w:val="0"/>
          <w:numId w:val="0"/>
        </w:numPr>
        <w:kinsoku w:val="0"/>
        <w:overflowPunct w:val="0"/>
        <w:spacing w:before="36" w:line="472" w:lineRule="auto"/>
        <w:ind w:left="0" w:right="2650"/>
        <w:rPr>
          <w:rFonts w:hint="default"/>
          <w:color w:val="auto"/>
          <w:sz w:val="24"/>
          <w:szCs w:val="24"/>
          <w:highlight w:val="none"/>
        </w:rPr>
      </w:pPr>
      <w:r>
        <w:rPr>
          <w:rFonts w:hint="default"/>
          <w:color w:val="auto"/>
          <w:sz w:val="24"/>
          <w:szCs w:val="24"/>
          <w:highlight w:val="none"/>
          <w:lang w:val="en-US" w:eastAsia="zh-CN"/>
        </w:rPr>
        <w:t>一、</w:t>
      </w:r>
      <w:r>
        <w:rPr>
          <w:rFonts w:hint="default"/>
          <w:color w:val="auto"/>
          <w:sz w:val="24"/>
          <w:szCs w:val="24"/>
          <w:highlight w:val="none"/>
        </w:rPr>
        <w:t>投标函及投标函附录</w:t>
      </w:r>
    </w:p>
    <w:p w14:paraId="06A22B01">
      <w:pPr>
        <w:pStyle w:val="11"/>
        <w:numPr>
          <w:ilvl w:val="0"/>
          <w:numId w:val="0"/>
        </w:numPr>
        <w:kinsoku w:val="0"/>
        <w:overflowPunct w:val="0"/>
        <w:spacing w:before="36" w:line="472" w:lineRule="auto"/>
        <w:ind w:left="0" w:right="2650"/>
        <w:rPr>
          <w:rFonts w:hint="default"/>
          <w:color w:val="auto"/>
          <w:sz w:val="24"/>
          <w:szCs w:val="24"/>
          <w:highlight w:val="none"/>
        </w:rPr>
      </w:pPr>
      <w:r>
        <w:rPr>
          <w:rFonts w:hint="default"/>
          <w:color w:val="auto"/>
          <w:spacing w:val="-2"/>
          <w:sz w:val="24"/>
          <w:szCs w:val="24"/>
          <w:highlight w:val="none"/>
        </w:rPr>
        <w:t>二、法定代表人身份证明</w:t>
      </w:r>
    </w:p>
    <w:p w14:paraId="01B2F231">
      <w:pPr>
        <w:pStyle w:val="11"/>
        <w:numPr>
          <w:ilvl w:val="0"/>
          <w:numId w:val="0"/>
        </w:numPr>
        <w:kinsoku w:val="0"/>
        <w:overflowPunct w:val="0"/>
        <w:spacing w:before="36" w:line="472" w:lineRule="auto"/>
        <w:ind w:left="0" w:right="2650"/>
        <w:rPr>
          <w:rFonts w:hint="default"/>
          <w:color w:val="auto"/>
          <w:sz w:val="24"/>
          <w:szCs w:val="24"/>
          <w:highlight w:val="none"/>
        </w:rPr>
      </w:pPr>
      <w:r>
        <w:rPr>
          <w:rFonts w:hint="default"/>
          <w:color w:val="auto"/>
          <w:sz w:val="24"/>
          <w:szCs w:val="24"/>
          <w:highlight w:val="none"/>
        </w:rPr>
        <w:t>二、授权委托书（适用于有委托代理人的情况）</w:t>
      </w:r>
    </w:p>
    <w:p w14:paraId="0C4383CB">
      <w:pPr>
        <w:pStyle w:val="11"/>
        <w:numPr>
          <w:ilvl w:val="0"/>
          <w:numId w:val="0"/>
        </w:numPr>
        <w:kinsoku w:val="0"/>
        <w:overflowPunct w:val="0"/>
        <w:spacing w:before="36" w:line="472" w:lineRule="auto"/>
        <w:ind w:left="0" w:right="2650"/>
        <w:rPr>
          <w:rFonts w:hint="default"/>
          <w:color w:val="auto"/>
          <w:sz w:val="24"/>
          <w:szCs w:val="24"/>
          <w:highlight w:val="none"/>
          <w:lang w:eastAsia="zh-CN"/>
        </w:rPr>
      </w:pPr>
      <w:r>
        <w:rPr>
          <w:rFonts w:hint="default"/>
          <w:color w:val="auto"/>
          <w:sz w:val="24"/>
          <w:szCs w:val="24"/>
          <w:highlight w:val="none"/>
        </w:rPr>
        <w:t>三、联合体协议书</w:t>
      </w:r>
      <w:r>
        <w:rPr>
          <w:rFonts w:hint="default"/>
          <w:color w:val="auto"/>
          <w:sz w:val="24"/>
          <w:szCs w:val="24"/>
          <w:highlight w:val="none"/>
          <w:lang w:eastAsia="zh-CN"/>
        </w:rPr>
        <w:t>（若有）</w:t>
      </w:r>
    </w:p>
    <w:p w14:paraId="76123D1E">
      <w:pPr>
        <w:pStyle w:val="11"/>
        <w:numPr>
          <w:ilvl w:val="0"/>
          <w:numId w:val="0"/>
        </w:numPr>
        <w:kinsoku w:val="0"/>
        <w:overflowPunct w:val="0"/>
        <w:spacing w:before="61" w:line="472" w:lineRule="auto"/>
        <w:ind w:left="0" w:right="6220"/>
        <w:rPr>
          <w:rFonts w:hint="default"/>
          <w:color w:val="auto"/>
          <w:sz w:val="24"/>
          <w:szCs w:val="24"/>
          <w:highlight w:val="none"/>
        </w:rPr>
      </w:pPr>
      <w:r>
        <w:rPr>
          <w:rFonts w:hint="default"/>
          <w:color w:val="auto"/>
          <w:sz w:val="24"/>
          <w:szCs w:val="24"/>
          <w:highlight w:val="none"/>
          <w:lang w:val="en-US" w:eastAsia="zh-CN"/>
        </w:rPr>
        <w:t>四、</w:t>
      </w:r>
      <w:r>
        <w:rPr>
          <w:rFonts w:hint="default"/>
          <w:color w:val="auto"/>
          <w:sz w:val="24"/>
          <w:szCs w:val="24"/>
          <w:highlight w:val="none"/>
        </w:rPr>
        <w:t>投标保证金</w:t>
      </w:r>
      <w:r>
        <w:rPr>
          <w:rFonts w:hint="default"/>
          <w:color w:val="auto"/>
          <w:sz w:val="24"/>
          <w:szCs w:val="24"/>
          <w:highlight w:val="none"/>
          <w:lang w:eastAsia="zh-CN"/>
        </w:rPr>
        <w:t>（若有）</w:t>
      </w:r>
    </w:p>
    <w:p w14:paraId="7186D343">
      <w:pPr>
        <w:pStyle w:val="11"/>
        <w:numPr>
          <w:ilvl w:val="0"/>
          <w:numId w:val="0"/>
        </w:numPr>
        <w:kinsoku w:val="0"/>
        <w:overflowPunct w:val="0"/>
        <w:spacing w:before="61" w:line="472" w:lineRule="auto"/>
        <w:ind w:left="0" w:right="6220"/>
        <w:rPr>
          <w:rFonts w:hint="default"/>
          <w:color w:val="auto"/>
          <w:sz w:val="24"/>
          <w:szCs w:val="24"/>
          <w:highlight w:val="none"/>
        </w:rPr>
      </w:pPr>
      <w:r>
        <w:rPr>
          <w:rFonts w:hint="default"/>
          <w:color w:val="auto"/>
          <w:spacing w:val="-2"/>
          <w:sz w:val="24"/>
          <w:szCs w:val="24"/>
          <w:highlight w:val="none"/>
        </w:rPr>
        <w:t>五、监理报酬清单</w:t>
      </w:r>
    </w:p>
    <w:p w14:paraId="5C8F5BAD">
      <w:pPr>
        <w:pStyle w:val="11"/>
        <w:numPr>
          <w:ilvl w:val="0"/>
          <w:numId w:val="0"/>
        </w:numPr>
        <w:kinsoku w:val="0"/>
        <w:overflowPunct w:val="0"/>
        <w:spacing w:before="61" w:line="472" w:lineRule="auto"/>
        <w:ind w:left="0" w:right="6220"/>
        <w:rPr>
          <w:rFonts w:hint="default"/>
          <w:color w:val="auto"/>
          <w:sz w:val="24"/>
          <w:szCs w:val="24"/>
          <w:highlight w:val="none"/>
        </w:rPr>
      </w:pPr>
      <w:r>
        <w:rPr>
          <w:rFonts w:hint="default"/>
          <w:color w:val="auto"/>
          <w:spacing w:val="-90"/>
          <w:sz w:val="24"/>
          <w:szCs w:val="24"/>
          <w:highlight w:val="none"/>
        </w:rPr>
        <w:t xml:space="preserve"> </w:t>
      </w:r>
      <w:r>
        <w:rPr>
          <w:rFonts w:hint="default"/>
          <w:color w:val="auto"/>
          <w:spacing w:val="-2"/>
          <w:sz w:val="24"/>
          <w:szCs w:val="24"/>
          <w:highlight w:val="none"/>
        </w:rPr>
        <w:t>六、资格审查资料</w:t>
      </w:r>
    </w:p>
    <w:p w14:paraId="0DD51851">
      <w:pPr>
        <w:pStyle w:val="11"/>
        <w:numPr>
          <w:ilvl w:val="0"/>
          <w:numId w:val="0"/>
        </w:numPr>
        <w:kinsoku w:val="0"/>
        <w:overflowPunct w:val="0"/>
        <w:spacing w:before="61" w:line="472" w:lineRule="auto"/>
        <w:ind w:left="0" w:right="6220"/>
        <w:rPr>
          <w:rFonts w:hint="default"/>
          <w:color w:val="auto"/>
          <w:sz w:val="24"/>
          <w:szCs w:val="24"/>
          <w:highlight w:val="none"/>
        </w:rPr>
      </w:pPr>
      <w:r>
        <w:rPr>
          <w:rFonts w:hint="default"/>
          <w:color w:val="auto"/>
          <w:spacing w:val="-90"/>
          <w:sz w:val="24"/>
          <w:szCs w:val="24"/>
          <w:highlight w:val="none"/>
        </w:rPr>
        <w:t xml:space="preserve"> </w:t>
      </w:r>
      <w:r>
        <w:rPr>
          <w:rFonts w:hint="default"/>
          <w:color w:val="auto"/>
          <w:sz w:val="24"/>
          <w:szCs w:val="24"/>
          <w:highlight w:val="none"/>
        </w:rPr>
        <w:t xml:space="preserve">七、监理大纲 </w:t>
      </w:r>
    </w:p>
    <w:p w14:paraId="2E05C8F2">
      <w:pPr>
        <w:pStyle w:val="11"/>
        <w:numPr>
          <w:ilvl w:val="0"/>
          <w:numId w:val="0"/>
        </w:numPr>
        <w:kinsoku w:val="0"/>
        <w:overflowPunct w:val="0"/>
        <w:spacing w:before="61" w:line="472" w:lineRule="auto"/>
        <w:ind w:left="0" w:right="6220"/>
        <w:rPr>
          <w:rFonts w:hint="default"/>
          <w:color w:val="auto"/>
          <w:sz w:val="24"/>
          <w:szCs w:val="24"/>
          <w:highlight w:val="none"/>
        </w:rPr>
      </w:pPr>
      <w:r>
        <w:rPr>
          <w:rFonts w:hint="default"/>
          <w:color w:val="auto"/>
          <w:sz w:val="24"/>
          <w:szCs w:val="24"/>
          <w:highlight w:val="none"/>
        </w:rPr>
        <w:t>八、其他资料</w:t>
      </w:r>
    </w:p>
    <w:p w14:paraId="2CF3BF9B">
      <w:pPr>
        <w:pStyle w:val="11"/>
        <w:kinsoku w:val="0"/>
        <w:overflowPunct w:val="0"/>
        <w:spacing w:before="61" w:line="472" w:lineRule="auto"/>
        <w:ind w:left="100" w:right="6220"/>
        <w:rPr>
          <w:rFonts w:hint="default"/>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5FB1F2A9">
      <w:pPr>
        <w:pStyle w:val="4"/>
        <w:jc w:val="center"/>
        <w:outlineLvl w:val="1"/>
        <w:rPr>
          <w:rFonts w:hint="default"/>
          <w:color w:val="auto"/>
          <w:sz w:val="28"/>
          <w:szCs w:val="24"/>
          <w:highlight w:val="none"/>
        </w:rPr>
      </w:pPr>
      <w:bookmarkStart w:id="299" w:name="bookmark176"/>
      <w:bookmarkEnd w:id="299"/>
      <w:bookmarkStart w:id="300" w:name="_Toc6180"/>
      <w:bookmarkStart w:id="301" w:name="_Toc19902"/>
      <w:r>
        <w:rPr>
          <w:rFonts w:hint="default"/>
          <w:color w:val="auto"/>
          <w:sz w:val="28"/>
          <w:szCs w:val="24"/>
          <w:highlight w:val="none"/>
        </w:rPr>
        <w:t>一、投标函及投标函附录</w:t>
      </w:r>
      <w:bookmarkEnd w:id="300"/>
      <w:bookmarkEnd w:id="301"/>
    </w:p>
    <w:p w14:paraId="608E2157">
      <w:pPr>
        <w:pStyle w:val="5"/>
        <w:outlineLvl w:val="2"/>
        <w:rPr>
          <w:rFonts w:hint="default"/>
          <w:b/>
          <w:color w:val="auto"/>
          <w:sz w:val="28"/>
          <w:szCs w:val="24"/>
          <w:highlight w:val="none"/>
        </w:rPr>
      </w:pPr>
      <w:bookmarkStart w:id="302" w:name="bookmark177"/>
      <w:bookmarkEnd w:id="302"/>
      <w:bookmarkStart w:id="303" w:name="_Toc13758"/>
      <w:bookmarkStart w:id="304" w:name="_Toc24368"/>
      <w:r>
        <w:rPr>
          <w:rFonts w:hint="default"/>
          <w:b/>
          <w:color w:val="auto"/>
          <w:sz w:val="28"/>
          <w:szCs w:val="24"/>
          <w:highlight w:val="none"/>
        </w:rPr>
        <w:t>（一）投标函</w:t>
      </w:r>
      <w:bookmarkEnd w:id="303"/>
      <w:bookmarkEnd w:id="304"/>
    </w:p>
    <w:p w14:paraId="1BF6AD3E">
      <w:pPr>
        <w:pStyle w:val="11"/>
        <w:kinsoku w:val="0"/>
        <w:overflowPunct w:val="0"/>
        <w:spacing w:before="1"/>
        <w:ind w:left="0"/>
        <w:rPr>
          <w:rFonts w:hint="default"/>
          <w:color w:val="auto"/>
          <w:sz w:val="23"/>
          <w:szCs w:val="24"/>
          <w:highlight w:val="none"/>
        </w:rPr>
      </w:pPr>
    </w:p>
    <w:p w14:paraId="548D99D8">
      <w:pPr>
        <w:pStyle w:val="11"/>
        <w:tabs>
          <w:tab w:val="left" w:pos="1991"/>
        </w:tabs>
        <w:kinsoku w:val="0"/>
        <w:overflowPunct w:val="0"/>
        <w:ind w:left="100" w:right="113"/>
        <w:rPr>
          <w:rFonts w:hint="default"/>
          <w:color w:val="auto"/>
          <w:spacing w:val="-15"/>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15"/>
          <w:sz w:val="21"/>
          <w:szCs w:val="24"/>
          <w:highlight w:val="none"/>
        </w:rPr>
        <w:t>（招标人名称）：</w:t>
      </w:r>
    </w:p>
    <w:p w14:paraId="5ABF3E36">
      <w:pPr>
        <w:pStyle w:val="11"/>
        <w:kinsoku w:val="0"/>
        <w:overflowPunct w:val="0"/>
        <w:spacing w:before="13"/>
        <w:ind w:left="0"/>
        <w:rPr>
          <w:rFonts w:hint="default"/>
          <w:color w:val="auto"/>
          <w:sz w:val="21"/>
          <w:szCs w:val="24"/>
          <w:highlight w:val="none"/>
        </w:rPr>
      </w:pPr>
    </w:p>
    <w:p w14:paraId="53D15059">
      <w:pPr>
        <w:autoSpaceDE/>
        <w:autoSpaceDN/>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1．我方已仔细研究了</w:t>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u w:val="single"/>
          <w:lang w:val="en-US" w:eastAsia="zh-CN" w:bidi="ar-SA"/>
        </w:rPr>
        <w:t xml:space="preserve">（项目名称）  </w:t>
      </w:r>
      <w:r>
        <w:rPr>
          <w:rFonts w:hint="default" w:ascii="宋体" w:hAnsi="宋体" w:eastAsia="宋体" w:cs="宋体"/>
          <w:color w:val="auto"/>
          <w:kern w:val="2"/>
          <w:sz w:val="21"/>
          <w:szCs w:val="21"/>
          <w:highlight w:val="none"/>
          <w:lang w:val="en-US" w:eastAsia="zh-CN" w:bidi="ar-SA"/>
        </w:rPr>
        <w:t xml:space="preserve"> 招标项目招标文件的全部内容， 愿意以人民币（大写）</w:t>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lang w:val="en-US" w:eastAsia="zh-CN" w:bidi="ar-SA"/>
        </w:rPr>
        <w:t>）的投标总报价，监理服务期限：</w:t>
      </w:r>
      <w:r>
        <w:rPr>
          <w:rFonts w:hint="eastAsia" w:ascii="宋体" w:hAnsi="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，按合同约定完成监理工作。</w:t>
      </w:r>
    </w:p>
    <w:p w14:paraId="27A2703E">
      <w:pPr>
        <w:autoSpaceDE/>
        <w:autoSpaceDN/>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 我方的投标文件包括下列内容：</w:t>
      </w:r>
    </w:p>
    <w:p w14:paraId="791D00F2">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（1）投标函及投标函附录；</w:t>
      </w:r>
    </w:p>
    <w:p w14:paraId="65A2489F">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（2）法定代表人身份证明</w:t>
      </w:r>
      <w:r>
        <w:rPr>
          <w:rFonts w:hint="default" w:ascii="宋体" w:hAnsi="宋体" w:eastAsia="宋体" w:cs="宋体"/>
          <w:color w:val="auto"/>
          <w:spacing w:val="8"/>
          <w:sz w:val="21"/>
          <w:szCs w:val="21"/>
          <w:highlight w:val="none"/>
        </w:rPr>
        <w:t>或附有法定代表人身份证明的授权委托书</w:t>
      </w:r>
      <w:r>
        <w:rPr>
          <w:rFonts w:hint="default" w:ascii="宋体" w:hAnsi="宋体" w:eastAsia="宋体" w:cs="宋体"/>
          <w:color w:val="auto"/>
          <w:kern w:val="2"/>
          <w:sz w:val="21"/>
          <w:szCs w:val="21"/>
          <w:highlight w:val="none"/>
          <w:lang w:val="en-US" w:eastAsia="zh-CN" w:bidi="ar-SA"/>
        </w:rPr>
        <w:t>；</w:t>
      </w:r>
    </w:p>
    <w:p w14:paraId="27E2FC0D">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（3）联合体协议书（如有）；</w:t>
      </w:r>
    </w:p>
    <w:p w14:paraId="4C52DF3F">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（4）投标保证金（如有）；</w:t>
      </w:r>
    </w:p>
    <w:p w14:paraId="68DCCB44">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（5）监理报酬清单；</w:t>
      </w:r>
    </w:p>
    <w:p w14:paraId="0840D7E2">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（6）资格审查资料；</w:t>
      </w:r>
    </w:p>
    <w:p w14:paraId="7393C116">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（7）监理大纲；</w:t>
      </w:r>
    </w:p>
    <w:p w14:paraId="58A799FF">
      <w:pPr>
        <w:autoSpaceDE/>
        <w:autoSpaceDN/>
        <w:adjustRightInd/>
        <w:spacing w:line="360" w:lineRule="auto"/>
        <w:ind w:left="585" w:leftChars="200" w:hanging="105" w:hangingChars="5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（8）其他资料。</w:t>
      </w:r>
    </w:p>
    <w:p w14:paraId="237938E8">
      <w:pPr>
        <w:pStyle w:val="11"/>
        <w:kinsoku w:val="0"/>
        <w:overflowPunct w:val="0"/>
        <w:spacing w:line="360" w:lineRule="auto"/>
        <w:ind w:left="522" w:right="2132" w:hanging="17"/>
        <w:rPr>
          <w:rFonts w:hint="default"/>
          <w:color w:val="auto"/>
          <w:spacing w:val="-2"/>
          <w:sz w:val="21"/>
          <w:szCs w:val="24"/>
          <w:highlight w:val="none"/>
        </w:rPr>
      </w:pPr>
      <w:r>
        <w:rPr>
          <w:rFonts w:hint="default"/>
          <w:color w:val="auto"/>
          <w:spacing w:val="-2"/>
          <w:sz w:val="21"/>
          <w:szCs w:val="24"/>
          <w:highlight w:val="none"/>
        </w:rPr>
        <w:t>投标文件的上述组成部分如存在内容不一致的，以投标函为准。</w:t>
      </w:r>
    </w:p>
    <w:p w14:paraId="57053258">
      <w:pPr>
        <w:autoSpaceDE/>
        <w:autoSpaceDN/>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3．我方承诺在招标文件规定的投标有效期内不撤销投标文件。</w:t>
      </w:r>
    </w:p>
    <w:p w14:paraId="747A1305">
      <w:pPr>
        <w:autoSpaceDE/>
        <w:autoSpaceDN/>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4．如我方中标，我方承诺：</w:t>
      </w:r>
    </w:p>
    <w:p w14:paraId="26DD2C8D">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（1）在收到中标通知书后，在中标通知书规定的期限内与你方签订合同；</w:t>
      </w:r>
    </w:p>
    <w:p w14:paraId="5105E4D1">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（2）在签订合同时不向你方提出附加条件；</w:t>
      </w:r>
    </w:p>
    <w:p w14:paraId="63DA6ACA">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（3）按照招标文件要求提交履约保证金；</w:t>
      </w:r>
    </w:p>
    <w:p w14:paraId="4F788547">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（4）在合同约定的期限内完成合同规定的全部义务。</w:t>
      </w:r>
    </w:p>
    <w:p w14:paraId="3A28E2AD">
      <w:pPr>
        <w:autoSpaceDE/>
        <w:autoSpaceDN/>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5．我方在此声明，所递交的投标文件及有关资料内容完整、真实和准确，且不存在第二章 “投标人须知”第 1.4.3 项规定的任何一种情形。</w:t>
      </w:r>
    </w:p>
    <w:p w14:paraId="16CC1AEE">
      <w:pPr>
        <w:autoSpaceDE/>
        <w:autoSpaceDN/>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lang w:val="en-US" w:eastAsia="zh-CN" w:bidi="ar-SA"/>
        </w:rPr>
        <w:t>（其他补充说明）。</w:t>
      </w:r>
    </w:p>
    <w:p w14:paraId="7733016E">
      <w:pPr>
        <w:pStyle w:val="11"/>
        <w:tabs>
          <w:tab w:val="left" w:pos="7241"/>
        </w:tabs>
        <w:kinsoku w:val="0"/>
        <w:overflowPunct w:val="0"/>
        <w:spacing w:before="36" w:line="360" w:lineRule="auto"/>
        <w:ind w:left="2621" w:right="113" w:firstLine="1260" w:firstLineChars="600"/>
        <w:rPr>
          <w:rFonts w:hint="default"/>
          <w:color w:val="auto"/>
          <w:sz w:val="21"/>
          <w:szCs w:val="24"/>
          <w:highlight w:val="none"/>
        </w:rPr>
      </w:pPr>
    </w:p>
    <w:p w14:paraId="3B551F98">
      <w:pPr>
        <w:pStyle w:val="11"/>
        <w:tabs>
          <w:tab w:val="left" w:pos="7241"/>
        </w:tabs>
        <w:kinsoku w:val="0"/>
        <w:overflowPunct w:val="0"/>
        <w:spacing w:before="36" w:line="360" w:lineRule="auto"/>
        <w:ind w:left="2621" w:right="113" w:firstLine="1260" w:firstLineChars="600"/>
        <w:rPr>
          <w:rFonts w:hint="default"/>
          <w:color w:val="auto"/>
          <w:sz w:val="21"/>
          <w:szCs w:val="24"/>
          <w:highlight w:val="none"/>
        </w:rPr>
      </w:pPr>
      <w:r>
        <w:rPr>
          <w:rFonts w:hint="default"/>
          <w:color w:val="auto"/>
          <w:sz w:val="21"/>
          <w:szCs w:val="24"/>
          <w:highlight w:val="none"/>
        </w:rPr>
        <w:t>投 标</w:t>
      </w:r>
      <w:r>
        <w:rPr>
          <w:rFonts w:hint="default"/>
          <w:color w:val="auto"/>
          <w:spacing w:val="-1"/>
          <w:sz w:val="21"/>
          <w:szCs w:val="24"/>
          <w:highlight w:val="none"/>
        </w:rPr>
        <w:t xml:space="preserve"> </w:t>
      </w:r>
      <w:r>
        <w:rPr>
          <w:rFonts w:hint="default"/>
          <w:color w:val="auto"/>
          <w:sz w:val="21"/>
          <w:szCs w:val="24"/>
          <w:highlight w:val="none"/>
        </w:rPr>
        <w:t>人：</w:t>
      </w:r>
      <w:r>
        <w:rPr>
          <w:rFonts w:hint="default"/>
          <w:color w:val="auto"/>
          <w:sz w:val="21"/>
          <w:szCs w:val="24"/>
          <w:highlight w:val="none"/>
          <w:u w:val="single"/>
          <w:lang w:val="en-US" w:eastAsia="zh-CN"/>
        </w:rPr>
        <w:t xml:space="preserve">                 </w:t>
      </w:r>
      <w:r>
        <w:rPr>
          <w:rFonts w:hint="default" w:hAnsi="Times New Roman"/>
          <w:color w:val="auto"/>
          <w:sz w:val="21"/>
          <w:szCs w:val="24"/>
          <w:highlight w:val="none"/>
          <w:u w:val="single"/>
          <w:lang w:val="en-US" w:eastAsia="zh-CN"/>
        </w:rPr>
        <w:t xml:space="preserve">       </w:t>
      </w:r>
      <w:r>
        <w:rPr>
          <w:rFonts w:hint="default"/>
          <w:color w:val="auto"/>
          <w:sz w:val="21"/>
          <w:szCs w:val="24"/>
          <w:highlight w:val="none"/>
        </w:rPr>
        <w:t>（盖单位章）</w:t>
      </w:r>
    </w:p>
    <w:p w14:paraId="7F96614F">
      <w:pPr>
        <w:widowControl/>
        <w:kinsoku w:val="0"/>
        <w:snapToGrid w:val="0"/>
        <w:spacing w:line="360" w:lineRule="auto"/>
        <w:ind w:left="3840" w:leftChars="1600" w:right="253"/>
        <w:textAlignment w:val="baseline"/>
        <w:rPr>
          <w:rFonts w:hint="default" w:ascii="宋体" w:hAnsi="宋体" w:eastAsia="宋体" w:cs="宋体"/>
          <w:color w:val="auto"/>
          <w:spacing w:val="-4"/>
          <w:sz w:val="21"/>
          <w:szCs w:val="21"/>
          <w:highlight w:val="none"/>
        </w:rPr>
      </w:pPr>
      <w:r>
        <w:rPr>
          <w:rFonts w:hint="default" w:ascii="宋体" w:hAnsi="宋体" w:eastAsia="宋体" w:cs="宋体"/>
          <w:color w:val="auto"/>
          <w:spacing w:val="-8"/>
          <w:sz w:val="21"/>
          <w:szCs w:val="21"/>
          <w:highlight w:val="none"/>
        </w:rPr>
        <w:t>法定</w:t>
      </w:r>
      <w:r>
        <w:rPr>
          <w:rFonts w:hint="default" w:ascii="宋体" w:hAnsi="宋体" w:eastAsia="宋体" w:cs="宋体"/>
          <w:color w:val="auto"/>
          <w:spacing w:val="-4"/>
          <w:sz w:val="21"/>
          <w:szCs w:val="21"/>
          <w:highlight w:val="none"/>
        </w:rPr>
        <w:t>代表人</w:t>
      </w:r>
      <w:r>
        <w:rPr>
          <w:rFonts w:hint="default" w:ascii="宋体" w:hAnsi="宋体" w:eastAsia="宋体" w:cs="宋体"/>
          <w:color w:val="auto"/>
          <w:spacing w:val="-4"/>
          <w:sz w:val="21"/>
          <w:szCs w:val="21"/>
          <w:highlight w:val="none"/>
          <w:lang w:eastAsia="zh-CN"/>
        </w:rPr>
        <w:t>：</w:t>
      </w:r>
      <w:r>
        <w:rPr>
          <w:rFonts w:hint="default" w:ascii="宋体" w:hAnsi="宋体" w:eastAsia="宋体" w:cs="宋体"/>
          <w:color w:val="auto"/>
          <w:spacing w:val="-4"/>
          <w:sz w:val="21"/>
          <w:szCs w:val="21"/>
          <w:highlight w:val="none"/>
          <w:u w:val="single" w:color="auto"/>
        </w:rPr>
        <w:t xml:space="preserve">            </w:t>
      </w:r>
      <w:r>
        <w:rPr>
          <w:rFonts w:hint="default" w:ascii="宋体" w:hAnsi="宋体" w:eastAsia="宋体" w:cs="宋体"/>
          <w:color w:val="auto"/>
          <w:spacing w:val="-4"/>
          <w:sz w:val="21"/>
          <w:szCs w:val="21"/>
          <w:highlight w:val="none"/>
        </w:rPr>
        <w:t>(签字</w:t>
      </w:r>
      <w:r>
        <w:rPr>
          <w:rFonts w:hint="default" w:ascii="宋体" w:hAnsi="宋体" w:eastAsia="宋体" w:cs="宋体"/>
          <w:color w:val="auto"/>
          <w:spacing w:val="-4"/>
          <w:sz w:val="21"/>
          <w:szCs w:val="21"/>
          <w:highlight w:val="none"/>
          <w:lang w:eastAsia="zh-CN"/>
        </w:rPr>
        <w:t>或盖章</w:t>
      </w:r>
      <w:r>
        <w:rPr>
          <w:rFonts w:hint="default" w:ascii="宋体" w:hAnsi="宋体" w:eastAsia="宋体" w:cs="宋体"/>
          <w:color w:val="auto"/>
          <w:spacing w:val="-4"/>
          <w:sz w:val="21"/>
          <w:szCs w:val="21"/>
          <w:highlight w:val="none"/>
        </w:rPr>
        <w:t>)</w:t>
      </w:r>
    </w:p>
    <w:p w14:paraId="792FD303">
      <w:pPr>
        <w:widowControl/>
        <w:kinsoku w:val="0"/>
        <w:snapToGrid w:val="0"/>
        <w:spacing w:line="360" w:lineRule="auto"/>
        <w:ind w:left="3840" w:leftChars="1600" w:right="253"/>
        <w:textAlignment w:val="baseline"/>
        <w:rPr>
          <w:rFonts w:hint="default" w:ascii="宋体" w:hAnsi="宋体" w:eastAsia="宋体" w:cs="宋体"/>
          <w:color w:val="auto"/>
          <w:spacing w:val="-4"/>
          <w:sz w:val="21"/>
          <w:szCs w:val="21"/>
          <w:highlight w:val="none"/>
        </w:rPr>
      </w:pPr>
      <w:r>
        <w:rPr>
          <w:rFonts w:hint="default" w:ascii="宋体" w:hAnsi="宋体" w:eastAsia="宋体" w:cs="宋体"/>
          <w:color w:val="auto"/>
          <w:spacing w:val="-4"/>
          <w:sz w:val="21"/>
          <w:szCs w:val="21"/>
          <w:highlight w:val="none"/>
        </w:rPr>
        <w:t>委托代理人：</w:t>
      </w:r>
      <w:r>
        <w:rPr>
          <w:rFonts w:hint="default" w:ascii="宋体" w:hAnsi="宋体" w:eastAsia="宋体" w:cs="宋体"/>
          <w:color w:val="auto"/>
          <w:spacing w:val="-4"/>
          <w:sz w:val="21"/>
          <w:szCs w:val="21"/>
          <w:highlight w:val="none"/>
          <w:u w:val="single" w:color="auto"/>
        </w:rPr>
        <w:t xml:space="preserve">            </w:t>
      </w:r>
      <w:r>
        <w:rPr>
          <w:rFonts w:hint="default" w:ascii="宋体" w:hAnsi="宋体" w:eastAsia="宋体" w:cs="宋体"/>
          <w:color w:val="auto"/>
          <w:spacing w:val="-4"/>
          <w:sz w:val="21"/>
          <w:szCs w:val="21"/>
          <w:highlight w:val="none"/>
        </w:rPr>
        <w:t>(签字)</w:t>
      </w:r>
    </w:p>
    <w:p w14:paraId="147A4160">
      <w:pPr>
        <w:pStyle w:val="34"/>
        <w:widowControl/>
        <w:kinsoku w:val="0"/>
        <w:snapToGrid w:val="0"/>
        <w:spacing w:line="360" w:lineRule="auto"/>
        <w:ind w:left="3840" w:leftChars="1600"/>
        <w:jc w:val="left"/>
        <w:textAlignment w:val="baseline"/>
        <w:rPr>
          <w:rFonts w:hint="default" w:ascii="宋体" w:hAnsi="宋体" w:eastAsia="宋体" w:cs="宋体"/>
          <w:b w:val="0"/>
          <w:snapToGrid w:val="0"/>
          <w:color w:val="auto"/>
          <w:spacing w:val="-4"/>
          <w:sz w:val="21"/>
          <w:szCs w:val="21"/>
          <w:highlight w:val="none"/>
          <w:lang w:eastAsia="zh-CN"/>
        </w:rPr>
      </w:pPr>
      <w:r>
        <w:rPr>
          <w:rFonts w:hint="default" w:ascii="宋体" w:hAnsi="宋体" w:eastAsia="宋体" w:cs="宋体"/>
          <w:b w:val="0"/>
          <w:snapToGrid w:val="0"/>
          <w:color w:val="auto"/>
          <w:spacing w:val="-4"/>
          <w:sz w:val="21"/>
          <w:szCs w:val="21"/>
          <w:highlight w:val="none"/>
          <w:lang w:eastAsia="zh-CN"/>
        </w:rPr>
        <w:t>项目负责人</w:t>
      </w:r>
      <w:r>
        <w:rPr>
          <w:rFonts w:hint="eastAsia" w:ascii="宋体" w:hAnsi="宋体" w:cs="宋体"/>
          <w:b w:val="0"/>
          <w:snapToGrid w:val="0"/>
          <w:color w:val="auto"/>
          <w:spacing w:val="-4"/>
          <w:sz w:val="21"/>
          <w:szCs w:val="21"/>
          <w:highlight w:val="none"/>
          <w:lang w:eastAsia="zh-CN"/>
        </w:rPr>
        <w:t>（总监理工程师）</w:t>
      </w:r>
      <w:r>
        <w:rPr>
          <w:rFonts w:hint="default" w:ascii="宋体" w:hAnsi="宋体" w:eastAsia="宋体" w:cs="宋体"/>
          <w:b w:val="0"/>
          <w:snapToGrid w:val="0"/>
          <w:color w:val="auto"/>
          <w:spacing w:val="-4"/>
          <w:sz w:val="21"/>
          <w:szCs w:val="21"/>
          <w:highlight w:val="none"/>
          <w:lang w:eastAsia="zh-CN"/>
        </w:rPr>
        <w:t>：</w:t>
      </w:r>
      <w:r>
        <w:rPr>
          <w:rFonts w:hint="default" w:ascii="宋体" w:hAnsi="宋体" w:eastAsia="宋体" w:cs="宋体"/>
          <w:color w:val="auto"/>
          <w:spacing w:val="-4"/>
          <w:sz w:val="21"/>
          <w:szCs w:val="21"/>
          <w:highlight w:val="none"/>
          <w:u w:val="single" w:color="auto"/>
        </w:rPr>
        <w:t xml:space="preserve">        </w:t>
      </w:r>
      <w:r>
        <w:rPr>
          <w:rFonts w:hint="default" w:ascii="宋体" w:hAnsi="宋体" w:eastAsia="宋体" w:cs="宋体"/>
          <w:color w:val="auto"/>
          <w:spacing w:val="-4"/>
          <w:sz w:val="21"/>
          <w:szCs w:val="21"/>
          <w:highlight w:val="none"/>
          <w:u w:val="single" w:color="auto"/>
          <w:lang w:val="en-US" w:eastAsia="zh-CN"/>
        </w:rPr>
        <w:t xml:space="preserve"> </w:t>
      </w:r>
      <w:r>
        <w:rPr>
          <w:rFonts w:hint="default" w:ascii="宋体" w:hAnsi="宋体" w:eastAsia="宋体" w:cs="宋体"/>
          <w:color w:val="auto"/>
          <w:spacing w:val="-4"/>
          <w:sz w:val="21"/>
          <w:szCs w:val="21"/>
          <w:highlight w:val="none"/>
          <w:u w:val="single" w:color="auto"/>
        </w:rPr>
        <w:t xml:space="preserve">  </w:t>
      </w:r>
      <w:r>
        <w:rPr>
          <w:rFonts w:hint="default" w:ascii="宋体" w:hAnsi="宋体" w:eastAsia="宋体" w:cs="宋体"/>
          <w:b w:val="0"/>
          <w:color w:val="auto"/>
          <w:spacing w:val="-4"/>
          <w:sz w:val="21"/>
          <w:szCs w:val="21"/>
          <w:highlight w:val="none"/>
        </w:rPr>
        <w:t>(签字)</w:t>
      </w:r>
    </w:p>
    <w:p w14:paraId="2CA359B3">
      <w:pPr>
        <w:pStyle w:val="11"/>
        <w:tabs>
          <w:tab w:val="left" w:pos="3232"/>
          <w:tab w:val="left" w:pos="8529"/>
        </w:tabs>
        <w:kinsoku w:val="0"/>
        <w:overflowPunct w:val="0"/>
        <w:spacing w:before="36" w:line="360" w:lineRule="auto"/>
        <w:ind w:left="2601" w:firstLine="1260" w:firstLineChars="600"/>
        <w:rPr>
          <w:rFonts w:hint="eastAsia" w:ascii="Times New Roman" w:hAnsi="Times New Roman" w:eastAsia="Times New Roman"/>
          <w:color w:val="auto"/>
          <w:sz w:val="21"/>
          <w:szCs w:val="24"/>
          <w:highlight w:val="none"/>
          <w:lang w:val="en-US" w:eastAsia="zh-CN"/>
        </w:rPr>
      </w:pPr>
      <w:r>
        <w:rPr>
          <w:rFonts w:hint="default"/>
          <w:color w:val="auto"/>
          <w:sz w:val="21"/>
          <w:szCs w:val="24"/>
          <w:highlight w:val="none"/>
        </w:rPr>
        <w:t>地</w:t>
      </w:r>
      <w:r>
        <w:rPr>
          <w:rFonts w:hint="default"/>
          <w:color w:val="auto"/>
          <w:sz w:val="21"/>
          <w:szCs w:val="24"/>
          <w:highlight w:val="none"/>
          <w:lang w:val="en-US" w:eastAsia="zh-CN"/>
        </w:rPr>
        <w:t xml:space="preserve">    </w:t>
      </w:r>
      <w:r>
        <w:rPr>
          <w:rFonts w:hint="default"/>
          <w:color w:val="auto"/>
          <w:sz w:val="21"/>
          <w:szCs w:val="24"/>
          <w:highlight w:val="none"/>
        </w:rPr>
        <w:t>址：</w:t>
      </w:r>
      <w:r>
        <w:rPr>
          <w:rFonts w:hint="eastAsia" w:ascii="Times New Roman" w:hAnsi="Times New Roman" w:eastAsia="Times New Roman"/>
          <w:color w:val="auto"/>
          <w:sz w:val="21"/>
          <w:szCs w:val="24"/>
          <w:highlight w:val="none"/>
          <w:u w:val="single"/>
        </w:rPr>
        <w:t xml:space="preserve"> </w:t>
      </w:r>
      <w:r>
        <w:rPr>
          <w:rFonts w:hint="default" w:hAnsi="Times New Roman"/>
          <w:color w:val="auto"/>
          <w:sz w:val="21"/>
          <w:szCs w:val="24"/>
          <w:highlight w:val="none"/>
          <w:u w:val="single"/>
          <w:lang w:val="en-US" w:eastAsia="zh-CN"/>
        </w:rPr>
        <w:t xml:space="preserve">                                                  </w:t>
      </w:r>
    </w:p>
    <w:p w14:paraId="62292DA6">
      <w:pPr>
        <w:pStyle w:val="11"/>
        <w:tabs>
          <w:tab w:val="left" w:pos="3232"/>
          <w:tab w:val="left" w:pos="8529"/>
        </w:tabs>
        <w:kinsoku w:val="0"/>
        <w:overflowPunct w:val="0"/>
        <w:spacing w:before="36" w:line="360" w:lineRule="auto"/>
        <w:ind w:firstLine="3360" w:firstLineChars="1600"/>
        <w:rPr>
          <w:rFonts w:hint="eastAsia" w:ascii="Times New Roman" w:hAnsi="Times New Roman" w:eastAsia="Times New Roman"/>
          <w:color w:val="auto"/>
          <w:sz w:val="21"/>
          <w:szCs w:val="24"/>
          <w:highlight w:val="none"/>
          <w:lang w:val="en-US" w:eastAsia="zh-CN"/>
        </w:rPr>
      </w:pPr>
      <w:r>
        <w:rPr>
          <w:rFonts w:hint="default"/>
          <w:color w:val="auto"/>
          <w:sz w:val="21"/>
          <w:szCs w:val="24"/>
          <w:highlight w:val="none"/>
        </w:rPr>
        <w:t>网</w:t>
      </w:r>
      <w:r>
        <w:rPr>
          <w:rFonts w:hint="default"/>
          <w:color w:val="auto"/>
          <w:sz w:val="21"/>
          <w:szCs w:val="24"/>
          <w:highlight w:val="none"/>
          <w:lang w:val="en-US" w:eastAsia="zh-CN"/>
        </w:rPr>
        <w:t xml:space="preserve">    </w:t>
      </w:r>
      <w:r>
        <w:rPr>
          <w:rFonts w:hint="default"/>
          <w:color w:val="auto"/>
          <w:sz w:val="21"/>
          <w:szCs w:val="24"/>
          <w:highlight w:val="none"/>
        </w:rPr>
        <w:t>址：</w:t>
      </w:r>
      <w:r>
        <w:rPr>
          <w:rFonts w:hint="eastAsia" w:ascii="Times New Roman" w:hAnsi="Times New Roman" w:eastAsia="Times New Roman"/>
          <w:color w:val="auto"/>
          <w:sz w:val="21"/>
          <w:szCs w:val="24"/>
          <w:highlight w:val="none"/>
          <w:u w:val="single"/>
        </w:rPr>
        <w:t xml:space="preserve"> </w:t>
      </w:r>
      <w:r>
        <w:rPr>
          <w:rFonts w:hint="default" w:hAnsi="Times New Roman"/>
          <w:color w:val="auto"/>
          <w:sz w:val="21"/>
          <w:szCs w:val="24"/>
          <w:highlight w:val="none"/>
          <w:u w:val="single"/>
          <w:lang w:val="en-US" w:eastAsia="zh-CN"/>
        </w:rPr>
        <w:t xml:space="preserve">                                                   </w:t>
      </w:r>
    </w:p>
    <w:p w14:paraId="3278FB07">
      <w:pPr>
        <w:pStyle w:val="11"/>
        <w:tabs>
          <w:tab w:val="left" w:pos="3232"/>
          <w:tab w:val="left" w:pos="8529"/>
        </w:tabs>
        <w:kinsoku w:val="0"/>
        <w:overflowPunct w:val="0"/>
        <w:spacing w:before="36" w:line="360" w:lineRule="auto"/>
        <w:ind w:firstLine="3360" w:firstLineChars="1600"/>
        <w:rPr>
          <w:rFonts w:hint="eastAsia" w:ascii="Times New Roman" w:hAnsi="Times New Roman" w:eastAsia="Times New Roman"/>
          <w:color w:val="auto"/>
          <w:sz w:val="21"/>
          <w:szCs w:val="24"/>
          <w:highlight w:val="none"/>
          <w:u w:val="single"/>
          <w:lang w:val="en-US" w:eastAsia="zh-CN"/>
        </w:rPr>
      </w:pPr>
      <w:r>
        <w:rPr>
          <w:rFonts w:hint="default"/>
          <w:color w:val="auto"/>
          <w:sz w:val="21"/>
          <w:szCs w:val="24"/>
          <w:highlight w:val="none"/>
        </w:rPr>
        <w:t>电</w:t>
      </w:r>
      <w:r>
        <w:rPr>
          <w:rFonts w:hint="default"/>
          <w:color w:val="auto"/>
          <w:sz w:val="21"/>
          <w:szCs w:val="24"/>
          <w:highlight w:val="none"/>
          <w:lang w:val="en-US" w:eastAsia="zh-CN"/>
        </w:rPr>
        <w:t xml:space="preserve">    </w:t>
      </w:r>
      <w:r>
        <w:rPr>
          <w:rFonts w:hint="default"/>
          <w:color w:val="auto"/>
          <w:sz w:val="21"/>
          <w:szCs w:val="24"/>
          <w:highlight w:val="none"/>
        </w:rPr>
        <w:t>话：</w:t>
      </w:r>
      <w:r>
        <w:rPr>
          <w:rFonts w:hint="default"/>
          <w:color w:val="auto"/>
          <w:sz w:val="21"/>
          <w:szCs w:val="24"/>
          <w:highlight w:val="none"/>
          <w:u w:val="single"/>
          <w:lang w:val="en-US" w:eastAsia="zh-CN"/>
        </w:rPr>
        <w:t xml:space="preserve">                          </w:t>
      </w:r>
    </w:p>
    <w:p w14:paraId="740E8153">
      <w:pPr>
        <w:pStyle w:val="11"/>
        <w:tabs>
          <w:tab w:val="left" w:pos="3232"/>
          <w:tab w:val="left" w:pos="8529"/>
        </w:tabs>
        <w:kinsoku w:val="0"/>
        <w:overflowPunct w:val="0"/>
        <w:spacing w:before="36" w:line="360" w:lineRule="auto"/>
        <w:ind w:firstLine="3360" w:firstLineChars="1600"/>
        <w:rPr>
          <w:rFonts w:hint="eastAsia" w:ascii="Times New Roman" w:hAnsi="Times New Roman" w:eastAsia="Times New Roman"/>
          <w:color w:val="auto"/>
          <w:sz w:val="21"/>
          <w:szCs w:val="24"/>
          <w:highlight w:val="none"/>
          <w:u w:val="single"/>
          <w:lang w:val="en-US" w:eastAsia="zh-CN"/>
        </w:rPr>
      </w:pPr>
      <w:r>
        <w:rPr>
          <w:rFonts w:hint="default"/>
          <w:color w:val="auto"/>
          <w:sz w:val="21"/>
          <w:szCs w:val="24"/>
          <w:highlight w:val="none"/>
        </w:rPr>
        <w:t>传</w:t>
      </w:r>
      <w:r>
        <w:rPr>
          <w:rFonts w:hint="default"/>
          <w:color w:val="auto"/>
          <w:sz w:val="21"/>
          <w:szCs w:val="24"/>
          <w:highlight w:val="none"/>
          <w:lang w:val="en-US" w:eastAsia="zh-CN"/>
        </w:rPr>
        <w:t xml:space="preserve">    </w:t>
      </w:r>
      <w:r>
        <w:rPr>
          <w:rFonts w:hint="default"/>
          <w:color w:val="auto"/>
          <w:sz w:val="21"/>
          <w:szCs w:val="24"/>
          <w:highlight w:val="none"/>
        </w:rPr>
        <w:t>真：</w:t>
      </w:r>
      <w:r>
        <w:rPr>
          <w:rFonts w:hint="default"/>
          <w:color w:val="auto"/>
          <w:sz w:val="21"/>
          <w:szCs w:val="24"/>
          <w:highlight w:val="none"/>
          <w:u w:val="single"/>
          <w:lang w:val="en-US" w:eastAsia="zh-CN"/>
        </w:rPr>
        <w:t xml:space="preserve">                          </w:t>
      </w:r>
    </w:p>
    <w:p w14:paraId="7C23D56F">
      <w:pPr>
        <w:pStyle w:val="11"/>
        <w:tabs>
          <w:tab w:val="left" w:pos="8529"/>
        </w:tabs>
        <w:kinsoku w:val="0"/>
        <w:overflowPunct w:val="0"/>
        <w:spacing w:before="36" w:line="360" w:lineRule="auto"/>
        <w:ind w:left="2601" w:firstLine="1260" w:firstLineChars="600"/>
        <w:rPr>
          <w:rFonts w:hint="eastAsia" w:ascii="Times New Roman" w:hAnsi="Times New Roman" w:eastAsia="Times New Roman"/>
          <w:color w:val="auto"/>
          <w:sz w:val="21"/>
          <w:szCs w:val="24"/>
          <w:highlight w:val="none"/>
          <w:u w:val="single"/>
          <w:lang w:val="en-US" w:eastAsia="zh-CN"/>
        </w:rPr>
      </w:pPr>
      <w:r>
        <w:rPr>
          <w:rFonts w:hint="default"/>
          <w:color w:val="auto"/>
          <w:sz w:val="21"/>
          <w:szCs w:val="24"/>
          <w:highlight w:val="none"/>
        </w:rPr>
        <w:t>邮政编码：</w:t>
      </w:r>
      <w:r>
        <w:rPr>
          <w:rFonts w:hint="eastAsia" w:ascii="Times New Roman" w:hAnsi="Times New Roman" w:eastAsia="Times New Roman"/>
          <w:color w:val="auto"/>
          <w:sz w:val="21"/>
          <w:szCs w:val="24"/>
          <w:highlight w:val="none"/>
          <w:u w:val="single"/>
        </w:rPr>
        <w:t xml:space="preserve"> </w:t>
      </w:r>
      <w:r>
        <w:rPr>
          <w:rFonts w:hint="default" w:hAnsi="Times New Roman"/>
          <w:color w:val="auto"/>
          <w:sz w:val="21"/>
          <w:szCs w:val="24"/>
          <w:highlight w:val="none"/>
          <w:u w:val="single"/>
          <w:lang w:val="en-US" w:eastAsia="zh-CN"/>
        </w:rPr>
        <w:t xml:space="preserve">                                                   </w:t>
      </w:r>
    </w:p>
    <w:p w14:paraId="33ECEF3D">
      <w:pPr>
        <w:pStyle w:val="11"/>
        <w:tabs>
          <w:tab w:val="left" w:pos="8529"/>
        </w:tabs>
        <w:kinsoku w:val="0"/>
        <w:overflowPunct w:val="0"/>
        <w:spacing w:before="36" w:line="360" w:lineRule="auto"/>
        <w:ind w:left="2601"/>
        <w:rPr>
          <w:rFonts w:hint="eastAsia" w:ascii="Times New Roman" w:hAnsi="Times New Roman" w:eastAsia="Times New Roman"/>
          <w:color w:val="auto"/>
          <w:sz w:val="21"/>
          <w:szCs w:val="24"/>
          <w:highlight w:val="none"/>
          <w:u w:val="single"/>
          <w:lang w:val="en-US" w:eastAsia="zh-CN"/>
        </w:rPr>
      </w:pPr>
      <w:r>
        <w:rPr>
          <w:rFonts w:hint="default" w:hAnsi="Times New Roman"/>
          <w:color w:val="auto"/>
          <w:sz w:val="21"/>
          <w:szCs w:val="24"/>
          <w:highlight w:val="none"/>
          <w:lang w:val="en-US" w:eastAsia="zh-CN"/>
        </w:rPr>
        <w:t xml:space="preserve">                  </w:t>
      </w:r>
      <w:r>
        <w:rPr>
          <w:rFonts w:hint="default" w:hAnsi="Times New Roman"/>
          <w:color w:val="auto"/>
          <w:sz w:val="21"/>
          <w:szCs w:val="24"/>
          <w:highlight w:val="none"/>
          <w:u w:val="single"/>
          <w:lang w:val="en-US" w:eastAsia="zh-CN"/>
        </w:rPr>
        <w:t xml:space="preserve">       </w:t>
      </w:r>
      <w:r>
        <w:rPr>
          <w:rFonts w:hint="default" w:hAnsi="Times New Roman"/>
          <w:color w:val="auto"/>
          <w:sz w:val="21"/>
          <w:szCs w:val="24"/>
          <w:highlight w:val="none"/>
          <w:lang w:val="en-US" w:eastAsia="zh-CN"/>
        </w:rPr>
        <w:t>年</w:t>
      </w:r>
      <w:r>
        <w:rPr>
          <w:rFonts w:hint="default" w:hAnsi="Times New Roman"/>
          <w:color w:val="auto"/>
          <w:sz w:val="21"/>
          <w:szCs w:val="24"/>
          <w:highlight w:val="none"/>
          <w:u w:val="single"/>
          <w:lang w:val="en-US" w:eastAsia="zh-CN"/>
        </w:rPr>
        <w:t xml:space="preserve">       </w:t>
      </w:r>
      <w:r>
        <w:rPr>
          <w:rFonts w:hint="default" w:hAnsi="Times New Roman"/>
          <w:color w:val="auto"/>
          <w:sz w:val="21"/>
          <w:szCs w:val="24"/>
          <w:highlight w:val="none"/>
          <w:lang w:val="en-US" w:eastAsia="zh-CN"/>
        </w:rPr>
        <w:t>月</w:t>
      </w:r>
      <w:r>
        <w:rPr>
          <w:rFonts w:hint="default" w:hAnsi="Times New Roman"/>
          <w:color w:val="auto"/>
          <w:sz w:val="21"/>
          <w:szCs w:val="24"/>
          <w:highlight w:val="none"/>
          <w:u w:val="single"/>
          <w:lang w:val="en-US" w:eastAsia="zh-CN"/>
        </w:rPr>
        <w:t xml:space="preserve">      </w:t>
      </w:r>
      <w:r>
        <w:rPr>
          <w:rFonts w:hint="default" w:hAnsi="Times New Roman"/>
          <w:color w:val="auto"/>
          <w:sz w:val="21"/>
          <w:szCs w:val="24"/>
          <w:highlight w:val="none"/>
          <w:lang w:val="en-US" w:eastAsia="zh-CN"/>
        </w:rPr>
        <w:t>日</w:t>
      </w:r>
    </w:p>
    <w:p w14:paraId="1D4B2BC8">
      <w:pPr>
        <w:pStyle w:val="11"/>
        <w:tabs>
          <w:tab w:val="left" w:pos="631"/>
          <w:tab w:val="left" w:pos="1471"/>
          <w:tab w:val="left" w:pos="2311"/>
        </w:tabs>
        <w:kinsoku w:val="0"/>
        <w:overflowPunct w:val="0"/>
        <w:spacing w:before="36" w:line="360" w:lineRule="auto"/>
        <w:ind w:left="0" w:right="117"/>
        <w:jc w:val="right"/>
        <w:rPr>
          <w:rFonts w:hint="default"/>
          <w:color w:val="auto"/>
          <w:sz w:val="21"/>
          <w:szCs w:val="24"/>
          <w:highlight w:val="none"/>
        </w:rPr>
        <w:sectPr>
          <w:footerReference r:id="rId10" w:type="default"/>
          <w:pgSz w:w="11905" w:h="16838"/>
          <w:pgMar w:top="1417" w:right="1417" w:bottom="1417" w:left="1417" w:header="992" w:footer="992" w:gutter="0"/>
          <w:lnNumType w:countBy="0" w:distance="360"/>
          <w:pgNumType w:fmt="decimal"/>
          <w:cols w:space="720" w:num="1"/>
        </w:sectPr>
      </w:pPr>
    </w:p>
    <w:p w14:paraId="48D47694">
      <w:pPr>
        <w:pStyle w:val="5"/>
        <w:outlineLvl w:val="2"/>
        <w:rPr>
          <w:rFonts w:hint="default"/>
          <w:b/>
          <w:color w:val="auto"/>
          <w:sz w:val="28"/>
          <w:szCs w:val="24"/>
          <w:highlight w:val="none"/>
        </w:rPr>
      </w:pPr>
      <w:bookmarkStart w:id="305" w:name="bookmark178"/>
      <w:bookmarkEnd w:id="305"/>
      <w:bookmarkStart w:id="306" w:name="_Toc29130"/>
      <w:bookmarkStart w:id="307" w:name="_Toc28395"/>
      <w:r>
        <w:rPr>
          <w:rFonts w:hint="default"/>
          <w:b/>
          <w:color w:val="auto"/>
          <w:sz w:val="28"/>
          <w:szCs w:val="24"/>
          <w:highlight w:val="none"/>
        </w:rPr>
        <w:t>（二）投标函附录</w:t>
      </w:r>
      <w:bookmarkEnd w:id="306"/>
      <w:bookmarkEnd w:id="307"/>
    </w:p>
    <w:p w14:paraId="5DEFD424">
      <w:pPr>
        <w:pStyle w:val="11"/>
        <w:kinsoku w:val="0"/>
        <w:overflowPunct w:val="0"/>
        <w:ind w:left="0"/>
        <w:rPr>
          <w:rFonts w:hint="default"/>
          <w:color w:val="auto"/>
          <w:sz w:val="20"/>
          <w:szCs w:val="24"/>
          <w:highlight w:val="none"/>
        </w:rPr>
      </w:pPr>
    </w:p>
    <w:p w14:paraId="7591DC17">
      <w:pPr>
        <w:pStyle w:val="11"/>
        <w:kinsoku w:val="0"/>
        <w:overflowPunct w:val="0"/>
        <w:spacing w:before="11"/>
        <w:ind w:left="0"/>
        <w:rPr>
          <w:rFonts w:hint="default"/>
          <w:color w:val="auto"/>
          <w:sz w:val="22"/>
          <w:szCs w:val="24"/>
          <w:highlight w:val="none"/>
        </w:rPr>
      </w:pPr>
    </w:p>
    <w:tbl>
      <w:tblPr>
        <w:tblStyle w:val="23"/>
        <w:tblW w:w="9033"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78"/>
        <w:gridCol w:w="5855"/>
      </w:tblGrid>
      <w:tr w14:paraId="44B9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trPr>
        <w:tc>
          <w:tcPr>
            <w:tcW w:w="31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8CF26">
            <w:pPr>
              <w:pStyle w:val="29"/>
              <w:kinsoku w:val="0"/>
              <w:overflowPunct w:val="0"/>
              <w:spacing w:before="26"/>
              <w:jc w:val="center"/>
              <w:rPr>
                <w:rFonts w:hint="default" w:ascii="宋体" w:hAnsi="宋体" w:eastAsia="宋体" w:cs="宋体"/>
                <w:color w:val="auto"/>
                <w:sz w:val="21"/>
                <w:szCs w:val="24"/>
                <w:highlight w:val="none"/>
                <w:lang w:eastAsia="zh-CN"/>
              </w:rPr>
            </w:pPr>
            <w:r>
              <w:rPr>
                <w:rFonts w:hint="default" w:ascii="宋体" w:hAnsi="宋体" w:eastAsia="宋体" w:cs="宋体"/>
                <w:color w:val="auto"/>
                <w:sz w:val="21"/>
                <w:szCs w:val="24"/>
                <w:highlight w:val="none"/>
                <w:lang w:eastAsia="zh-CN"/>
              </w:rPr>
              <w:t>项目名称</w:t>
            </w:r>
          </w:p>
        </w:tc>
        <w:tc>
          <w:tcPr>
            <w:tcW w:w="58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F2254">
            <w:pPr>
              <w:pStyle w:val="29"/>
              <w:kinsoku w:val="0"/>
              <w:overflowPunct w:val="0"/>
              <w:spacing w:before="26"/>
              <w:jc w:val="center"/>
              <w:rPr>
                <w:rFonts w:hint="default" w:ascii="宋体" w:hAnsi="宋体" w:eastAsia="宋体" w:cs="宋体"/>
                <w:b/>
                <w:color w:val="auto"/>
                <w:sz w:val="21"/>
                <w:szCs w:val="21"/>
                <w:highlight w:val="none"/>
              </w:rPr>
            </w:pPr>
          </w:p>
        </w:tc>
      </w:tr>
      <w:tr w14:paraId="6333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trPr>
        <w:tc>
          <w:tcPr>
            <w:tcW w:w="31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6E54D8">
            <w:pPr>
              <w:pStyle w:val="29"/>
              <w:kinsoku w:val="0"/>
              <w:overflowPunct w:val="0"/>
              <w:spacing w:before="26"/>
              <w:jc w:val="center"/>
              <w:rPr>
                <w:rFonts w:hint="default" w:ascii="宋体" w:hAnsi="宋体" w:eastAsia="宋体" w:cs="宋体"/>
                <w:color w:val="auto"/>
                <w:sz w:val="21"/>
                <w:szCs w:val="24"/>
                <w:highlight w:val="none"/>
                <w:lang w:eastAsia="zh-CN"/>
              </w:rPr>
            </w:pPr>
            <w:r>
              <w:rPr>
                <w:rFonts w:hint="default" w:ascii="宋体" w:hAnsi="宋体" w:eastAsia="宋体" w:cs="宋体"/>
                <w:color w:val="auto"/>
                <w:sz w:val="21"/>
                <w:szCs w:val="24"/>
                <w:highlight w:val="none"/>
                <w:lang w:eastAsia="zh-CN"/>
              </w:rPr>
              <w:t>投标总报价（元）</w:t>
            </w:r>
          </w:p>
        </w:tc>
        <w:tc>
          <w:tcPr>
            <w:tcW w:w="58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8E6D3">
            <w:pPr>
              <w:pStyle w:val="29"/>
              <w:kinsoku w:val="0"/>
              <w:overflowPunct w:val="0"/>
              <w:spacing w:before="26"/>
              <w:jc w:val="center"/>
              <w:rPr>
                <w:rFonts w:hint="default" w:ascii="宋体" w:hAnsi="宋体" w:eastAsia="宋体" w:cs="宋体"/>
                <w:b/>
                <w:color w:val="auto"/>
                <w:sz w:val="21"/>
                <w:szCs w:val="21"/>
                <w:highlight w:val="none"/>
              </w:rPr>
            </w:pPr>
          </w:p>
        </w:tc>
      </w:tr>
      <w:tr w14:paraId="7122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exact"/>
        </w:trPr>
        <w:tc>
          <w:tcPr>
            <w:tcW w:w="31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2D68C">
            <w:pPr>
              <w:pStyle w:val="29"/>
              <w:kinsoku w:val="0"/>
              <w:overflowPunct w:val="0"/>
              <w:spacing w:before="26"/>
              <w:jc w:val="center"/>
              <w:rPr>
                <w:rFonts w:hint="default" w:ascii="宋体" w:hAnsi="宋体" w:eastAsia="宋体" w:cs="宋体"/>
                <w:color w:val="auto"/>
                <w:sz w:val="21"/>
                <w:szCs w:val="24"/>
                <w:highlight w:val="none"/>
                <w:lang w:eastAsia="zh-CN"/>
              </w:rPr>
            </w:pPr>
            <w:r>
              <w:rPr>
                <w:rFonts w:hint="default" w:ascii="宋体" w:hAnsi="宋体" w:eastAsia="宋体" w:cs="宋体"/>
                <w:color w:val="auto"/>
                <w:sz w:val="21"/>
                <w:szCs w:val="24"/>
                <w:highlight w:val="none"/>
                <w:lang w:eastAsia="zh-CN"/>
              </w:rPr>
              <w:t>投标报价下浮率</w:t>
            </w:r>
          </w:p>
        </w:tc>
        <w:tc>
          <w:tcPr>
            <w:tcW w:w="58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8877E">
            <w:pPr>
              <w:pStyle w:val="29"/>
              <w:kinsoku w:val="0"/>
              <w:overflowPunct w:val="0"/>
              <w:spacing w:before="26"/>
              <w:jc w:val="center"/>
              <w:rPr>
                <w:rFonts w:hint="default" w:ascii="宋体" w:hAnsi="宋体" w:eastAsia="宋体" w:cs="宋体"/>
                <w:b/>
                <w:color w:val="auto"/>
                <w:sz w:val="21"/>
                <w:szCs w:val="21"/>
                <w:highlight w:val="none"/>
                <w:lang w:val="en-US" w:eastAsia="zh-CN"/>
              </w:rPr>
            </w:pPr>
            <w:r>
              <w:rPr>
                <w:rFonts w:hint="eastAsia" w:ascii="宋体" w:hAnsi="宋体" w:cs="宋体"/>
                <w:b w:val="0"/>
                <w:bCs/>
                <w:color w:val="auto"/>
                <w:sz w:val="21"/>
                <w:szCs w:val="21"/>
                <w:highlight w:val="none"/>
                <w:lang w:val="en-US" w:eastAsia="zh-CN"/>
              </w:rPr>
              <w:t>%</w:t>
            </w:r>
          </w:p>
        </w:tc>
      </w:tr>
      <w:tr w14:paraId="0C98F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exact"/>
        </w:trPr>
        <w:tc>
          <w:tcPr>
            <w:tcW w:w="31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DAA80">
            <w:pPr>
              <w:pStyle w:val="29"/>
              <w:kinsoku w:val="0"/>
              <w:overflowPunct w:val="0"/>
              <w:spacing w:before="107"/>
              <w:jc w:val="center"/>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总监理工程师</w:t>
            </w:r>
          </w:p>
        </w:tc>
        <w:tc>
          <w:tcPr>
            <w:tcW w:w="58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A577E">
            <w:pPr>
              <w:spacing w:line="360" w:lineRule="auto"/>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姓名：</w:t>
            </w:r>
            <w:r>
              <w:rPr>
                <w:rFonts w:hint="default" w:ascii="宋体" w:hAnsi="宋体" w:eastAsia="宋体" w:cs="宋体"/>
                <w:color w:val="auto"/>
                <w:sz w:val="21"/>
                <w:szCs w:val="21"/>
                <w:highlight w:val="none"/>
                <w:u w:val="single"/>
              </w:rPr>
              <w:t xml:space="preserve">                       </w:t>
            </w:r>
          </w:p>
          <w:p w14:paraId="41EEA092">
            <w:pPr>
              <w:spacing w:line="360" w:lineRule="auto"/>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技术职称：</w:t>
            </w:r>
            <w:r>
              <w:rPr>
                <w:rFonts w:hint="default" w:ascii="宋体" w:hAnsi="宋体" w:eastAsia="宋体" w:cs="宋体"/>
                <w:color w:val="auto"/>
                <w:sz w:val="21"/>
                <w:szCs w:val="21"/>
                <w:highlight w:val="none"/>
                <w:u w:val="single"/>
              </w:rPr>
              <w:t xml:space="preserve">                    </w:t>
            </w:r>
          </w:p>
          <w:p w14:paraId="22FDB471">
            <w:pPr>
              <w:pStyle w:val="29"/>
              <w:kinsoku w:val="0"/>
              <w:overflowPunct w:val="0"/>
              <w:spacing w:before="95" w:line="360" w:lineRule="auto"/>
              <w:jc w:val="both"/>
              <w:rPr>
                <w:rFonts w:hint="default" w:ascii="宋体" w:hAnsi="宋体" w:eastAsia="宋体" w:cs="宋体"/>
                <w:color w:val="auto"/>
                <w:sz w:val="21"/>
                <w:szCs w:val="21"/>
                <w:highlight w:val="none"/>
                <w:u w:val="single"/>
                <w:lang w:val="en-US" w:eastAsia="zh-CN"/>
              </w:rPr>
            </w:pPr>
            <w:r>
              <w:rPr>
                <w:rFonts w:hint="default" w:ascii="宋体" w:hAnsi="宋体" w:eastAsia="宋体" w:cs="宋体"/>
                <w:color w:val="auto"/>
                <w:sz w:val="21"/>
                <w:szCs w:val="21"/>
                <w:highlight w:val="none"/>
              </w:rPr>
              <w:t>注册证号：</w:t>
            </w:r>
            <w:r>
              <w:rPr>
                <w:rFonts w:hint="default" w:ascii="宋体" w:hAnsi="宋体" w:eastAsia="宋体" w:cs="宋体"/>
                <w:color w:val="auto"/>
                <w:sz w:val="21"/>
                <w:szCs w:val="21"/>
                <w:highlight w:val="none"/>
                <w:u w:val="single"/>
              </w:rPr>
              <w:t xml:space="preserve">                    </w:t>
            </w:r>
          </w:p>
        </w:tc>
      </w:tr>
      <w:tr w14:paraId="38D15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exact"/>
        </w:trPr>
        <w:tc>
          <w:tcPr>
            <w:tcW w:w="31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979C9">
            <w:pPr>
              <w:pStyle w:val="29"/>
              <w:kinsoku w:val="0"/>
              <w:overflowPunct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监理服务期限</w:t>
            </w:r>
          </w:p>
        </w:tc>
        <w:tc>
          <w:tcPr>
            <w:tcW w:w="58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8A551A">
            <w:pPr>
              <w:pStyle w:val="29"/>
              <w:tabs>
                <w:tab w:val="left" w:pos="734"/>
              </w:tabs>
              <w:kinsoku w:val="0"/>
              <w:overflowPunct w:val="0"/>
              <w:spacing w:before="93"/>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u w:val="single"/>
              </w:rPr>
              <w:tab/>
            </w:r>
            <w:r>
              <w:rPr>
                <w:rFonts w:hint="default" w:ascii="宋体" w:hAnsi="宋体" w:eastAsia="宋体" w:cs="宋体"/>
                <w:color w:val="auto"/>
                <w:sz w:val="21"/>
                <w:szCs w:val="21"/>
                <w:highlight w:val="none"/>
                <w:lang w:eastAsia="zh-CN"/>
              </w:rPr>
              <w:t>（或按招标文件的要求）</w:t>
            </w:r>
          </w:p>
        </w:tc>
      </w:tr>
      <w:tr w14:paraId="1A89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exact"/>
        </w:trPr>
        <w:tc>
          <w:tcPr>
            <w:tcW w:w="31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D1F713">
            <w:pPr>
              <w:pStyle w:val="29"/>
              <w:kinsoku w:val="0"/>
              <w:overflowPunct w:val="0"/>
              <w:spacing w:before="107"/>
              <w:jc w:val="center"/>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质量标准</w:t>
            </w:r>
          </w:p>
        </w:tc>
        <w:tc>
          <w:tcPr>
            <w:tcW w:w="58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0FE06C">
            <w:pPr>
              <w:pStyle w:val="29"/>
              <w:tabs>
                <w:tab w:val="left" w:pos="734"/>
              </w:tabs>
              <w:kinsoku w:val="0"/>
              <w:overflowPunct w:val="0"/>
              <w:spacing w:before="93"/>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lang w:eastAsia="zh-CN"/>
              </w:rPr>
              <w:t>（或按招标文件的要求）</w:t>
            </w:r>
          </w:p>
        </w:tc>
      </w:tr>
      <w:tr w14:paraId="0FE71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exact"/>
        </w:trPr>
        <w:tc>
          <w:tcPr>
            <w:tcW w:w="31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732C37">
            <w:pPr>
              <w:pStyle w:val="29"/>
              <w:kinsoku w:val="0"/>
              <w:overflowPunct w:val="0"/>
              <w:spacing w:before="107"/>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监理人员</w:t>
            </w:r>
          </w:p>
        </w:tc>
        <w:tc>
          <w:tcPr>
            <w:tcW w:w="58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36D315">
            <w:pPr>
              <w:pStyle w:val="29"/>
              <w:keepNext w:val="0"/>
              <w:keepLines w:val="0"/>
              <w:pageBreakBefore w:val="0"/>
              <w:widowControl w:val="0"/>
              <w:tabs>
                <w:tab w:val="left" w:pos="734"/>
              </w:tabs>
              <w:kinsoku w:val="0"/>
              <w:wordWrap/>
              <w:overflowPunct w:val="0"/>
              <w:topLinePunct w:val="0"/>
              <w:autoSpaceDE w:val="0"/>
              <w:autoSpaceDN w:val="0"/>
              <w:bidi w:val="0"/>
              <w:adjustRightInd w:val="0"/>
              <w:snapToGrid/>
              <w:ind w:left="102"/>
              <w:textAlignment w:val="auto"/>
              <w:rPr>
                <w:rFonts w:hint="default" w:ascii="宋体" w:hAnsi="宋体" w:eastAsia="宋体" w:cs="宋体"/>
                <w:color w:val="auto"/>
                <w:sz w:val="21"/>
                <w:szCs w:val="21"/>
                <w:highlight w:val="none"/>
                <w:u w:val="single"/>
                <w:lang w:eastAsia="zh-CN"/>
              </w:rPr>
            </w:pPr>
            <w:r>
              <w:rPr>
                <w:rFonts w:hint="default" w:ascii="宋体" w:hAnsi="宋体" w:eastAsia="宋体" w:cs="宋体"/>
                <w:color w:val="auto"/>
                <w:sz w:val="21"/>
                <w:szCs w:val="21"/>
                <w:highlight w:val="none"/>
                <w:lang w:eastAsia="zh-CN"/>
              </w:rPr>
              <w:t>项目监理机构人数：</w:t>
            </w:r>
            <w:r>
              <w:rPr>
                <w:rFonts w:hint="default" w:ascii="宋体" w:hAnsi="宋体" w:eastAsia="宋体" w:cs="宋体"/>
                <w:color w:val="auto"/>
                <w:sz w:val="21"/>
                <w:szCs w:val="21"/>
                <w:highlight w:val="none"/>
                <w:u w:val="single"/>
                <w:lang w:eastAsia="zh-CN"/>
              </w:rPr>
              <w:t xml:space="preserve">        </w:t>
            </w:r>
          </w:p>
          <w:p w14:paraId="27510F01">
            <w:pPr>
              <w:pStyle w:val="29"/>
              <w:keepNext w:val="0"/>
              <w:keepLines w:val="0"/>
              <w:pageBreakBefore w:val="0"/>
              <w:widowControl w:val="0"/>
              <w:tabs>
                <w:tab w:val="left" w:pos="734"/>
              </w:tabs>
              <w:kinsoku w:val="0"/>
              <w:wordWrap/>
              <w:overflowPunct w:val="0"/>
              <w:topLinePunct w:val="0"/>
              <w:autoSpaceDE w:val="0"/>
              <w:autoSpaceDN w:val="0"/>
              <w:bidi w:val="0"/>
              <w:adjustRightInd w:val="0"/>
              <w:snapToGrid/>
              <w:ind w:left="102"/>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除总监理工程师以外包括：</w:t>
            </w:r>
          </w:p>
          <w:p w14:paraId="3F9FC032">
            <w:pPr>
              <w:pStyle w:val="29"/>
              <w:keepNext w:val="0"/>
              <w:keepLines w:val="0"/>
              <w:pageBreakBefore w:val="0"/>
              <w:widowControl w:val="0"/>
              <w:tabs>
                <w:tab w:val="left" w:pos="734"/>
              </w:tabs>
              <w:kinsoku w:val="0"/>
              <w:wordWrap/>
              <w:overflowPunct w:val="0"/>
              <w:topLinePunct w:val="0"/>
              <w:autoSpaceDE w:val="0"/>
              <w:autoSpaceDN w:val="0"/>
              <w:bidi w:val="0"/>
              <w:adjustRightInd w:val="0"/>
              <w:snapToGrid/>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（1）水工建筑（水利工程施工监理）专业监理工程师</w:t>
            </w:r>
            <w:r>
              <w:rPr>
                <w:rFonts w:hint="default" w:ascii="宋体" w:hAnsi="宋体" w:eastAsia="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lang w:eastAsia="zh-CN"/>
              </w:rPr>
              <w:t>名；</w:t>
            </w:r>
          </w:p>
          <w:p w14:paraId="6CD94A19">
            <w:pPr>
              <w:pStyle w:val="29"/>
              <w:keepNext w:val="0"/>
              <w:keepLines w:val="0"/>
              <w:pageBreakBefore w:val="0"/>
              <w:widowControl w:val="0"/>
              <w:tabs>
                <w:tab w:val="left" w:pos="734"/>
              </w:tabs>
              <w:kinsoku w:val="0"/>
              <w:wordWrap/>
              <w:overflowPunct w:val="0"/>
              <w:topLinePunct w:val="0"/>
              <w:autoSpaceDE w:val="0"/>
              <w:autoSpaceDN w:val="0"/>
              <w:bidi w:val="0"/>
              <w:adjustRightInd w:val="0"/>
              <w:snapToGrid/>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（2）水利工程专业注册造价工程师</w:t>
            </w:r>
            <w:r>
              <w:rPr>
                <w:rFonts w:hint="default" w:ascii="宋体" w:hAnsi="宋体" w:eastAsia="宋体" w:cs="宋体"/>
                <w:color w:val="auto"/>
                <w:sz w:val="21"/>
                <w:szCs w:val="21"/>
                <w:highlight w:val="none"/>
                <w:u w:val="single"/>
                <w:lang w:eastAsia="zh-CN"/>
              </w:rPr>
              <w:t xml:space="preserve">   </w:t>
            </w:r>
            <w:r>
              <w:rPr>
                <w:rFonts w:hint="default" w:ascii="宋体" w:hAnsi="宋体" w:eastAsia="宋体" w:cs="宋体"/>
                <w:color w:val="auto"/>
                <w:sz w:val="21"/>
                <w:szCs w:val="21"/>
                <w:highlight w:val="none"/>
                <w:lang w:eastAsia="zh-CN"/>
              </w:rPr>
              <w:t>名；</w:t>
            </w:r>
          </w:p>
          <w:p w14:paraId="6CAC977D">
            <w:pPr>
              <w:pStyle w:val="29"/>
              <w:keepNext w:val="0"/>
              <w:keepLines w:val="0"/>
              <w:pageBreakBefore w:val="0"/>
              <w:widowControl w:val="0"/>
              <w:tabs>
                <w:tab w:val="left" w:pos="734"/>
              </w:tabs>
              <w:kinsoku w:val="0"/>
              <w:wordWrap/>
              <w:overflowPunct w:val="0"/>
              <w:topLinePunct w:val="0"/>
              <w:autoSpaceDE w:val="0"/>
              <w:autoSpaceDN w:val="0"/>
              <w:bidi w:val="0"/>
              <w:adjustRightInd w:val="0"/>
              <w:snapToGrid/>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（3）水利工程专业监理员（或以上岗位资格人员）</w:t>
            </w:r>
            <w:r>
              <w:rPr>
                <w:rFonts w:hint="default" w:ascii="宋体" w:hAnsi="宋体" w:eastAsia="宋体" w:cs="宋体"/>
                <w:color w:val="auto"/>
                <w:sz w:val="21"/>
                <w:szCs w:val="21"/>
                <w:highlight w:val="none"/>
                <w:u w:val="single"/>
                <w:lang w:eastAsia="zh-CN"/>
              </w:rPr>
              <w:t xml:space="preserve">   </w:t>
            </w:r>
            <w:r>
              <w:rPr>
                <w:rFonts w:hint="default" w:ascii="宋体" w:hAnsi="宋体" w:eastAsia="宋体" w:cs="宋体"/>
                <w:color w:val="auto"/>
                <w:sz w:val="21"/>
                <w:szCs w:val="21"/>
                <w:highlight w:val="none"/>
                <w:lang w:eastAsia="zh-CN"/>
              </w:rPr>
              <w:t>名；</w:t>
            </w:r>
          </w:p>
          <w:p w14:paraId="19F9C382">
            <w:pPr>
              <w:pStyle w:val="29"/>
              <w:keepNext w:val="0"/>
              <w:keepLines w:val="0"/>
              <w:pageBreakBefore w:val="0"/>
              <w:widowControl w:val="0"/>
              <w:tabs>
                <w:tab w:val="left" w:pos="734"/>
              </w:tabs>
              <w:kinsoku w:val="0"/>
              <w:wordWrap/>
              <w:overflowPunct w:val="0"/>
              <w:topLinePunct w:val="0"/>
              <w:autoSpaceDE w:val="0"/>
              <w:autoSpaceDN w:val="0"/>
              <w:bidi w:val="0"/>
              <w:adjustRightInd w:val="0"/>
              <w:snapToGrid/>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（4）安全监理员</w:t>
            </w:r>
            <w:r>
              <w:rPr>
                <w:rFonts w:hint="default" w:ascii="宋体" w:hAnsi="宋体" w:eastAsia="宋体" w:cs="宋体"/>
                <w:color w:val="auto"/>
                <w:sz w:val="21"/>
                <w:szCs w:val="21"/>
                <w:highlight w:val="none"/>
                <w:u w:val="single"/>
                <w:lang w:eastAsia="zh-CN"/>
              </w:rPr>
              <w:t xml:space="preserve">   </w:t>
            </w:r>
            <w:r>
              <w:rPr>
                <w:rFonts w:hint="default" w:ascii="宋体" w:hAnsi="宋体" w:eastAsia="宋体" w:cs="宋体"/>
                <w:color w:val="auto"/>
                <w:sz w:val="21"/>
                <w:szCs w:val="21"/>
                <w:highlight w:val="none"/>
                <w:lang w:eastAsia="zh-CN"/>
              </w:rPr>
              <w:t>名。</w:t>
            </w:r>
          </w:p>
          <w:p w14:paraId="2F1D5AB6">
            <w:pPr>
              <w:pStyle w:val="29"/>
              <w:keepNext w:val="0"/>
              <w:keepLines w:val="0"/>
              <w:pageBreakBefore w:val="0"/>
              <w:widowControl w:val="0"/>
              <w:tabs>
                <w:tab w:val="left" w:pos="734"/>
              </w:tabs>
              <w:kinsoku w:val="0"/>
              <w:wordWrap/>
              <w:overflowPunct w:val="0"/>
              <w:topLinePunct w:val="0"/>
              <w:autoSpaceDE w:val="0"/>
              <w:autoSpaceDN w:val="0"/>
              <w:bidi w:val="0"/>
              <w:adjustRightInd w:val="0"/>
              <w:snapToGrid/>
              <w:ind w:left="102"/>
              <w:textAlignment w:val="auto"/>
              <w:rPr>
                <w:rFonts w:hint="default" w:ascii="宋体" w:hAnsi="宋体" w:eastAsia="宋体" w:cs="宋体"/>
                <w:color w:val="auto"/>
                <w:sz w:val="21"/>
                <w:szCs w:val="21"/>
                <w:highlight w:val="none"/>
                <w:lang w:eastAsia="zh-CN"/>
              </w:rPr>
            </w:pPr>
            <w:r>
              <w:rPr>
                <w:rFonts w:hint="eastAsia" w:ascii="宋体" w:hAnsi="宋体"/>
                <w:color w:val="auto"/>
                <w:highlight w:val="none"/>
              </w:rPr>
              <w:t>……</w:t>
            </w:r>
          </w:p>
        </w:tc>
      </w:tr>
      <w:tr w14:paraId="362E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exact"/>
        </w:trPr>
        <w:tc>
          <w:tcPr>
            <w:tcW w:w="31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1DB02">
            <w:pPr>
              <w:pStyle w:val="29"/>
              <w:keepNext w:val="0"/>
              <w:keepLines w:val="0"/>
              <w:pageBreakBefore w:val="0"/>
              <w:widowControl w:val="0"/>
              <w:kinsoku w:val="0"/>
              <w:wordWrap/>
              <w:overflowPunct w:val="0"/>
              <w:topLinePunct w:val="0"/>
              <w:autoSpaceDE w:val="0"/>
              <w:autoSpaceDN w:val="0"/>
              <w:bidi w:val="0"/>
              <w:adjustRightInd w:val="0"/>
              <w:snapToGrid/>
              <w:spacing w:line="240" w:lineRule="auto"/>
              <w:jc w:val="center"/>
              <w:textAlignment w:val="auto"/>
              <w:rPr>
                <w:rFonts w:hint="default" w:ascii="宋体" w:hAnsi="宋体" w:eastAsia="宋体" w:cs="宋体"/>
                <w:color w:val="auto"/>
                <w:sz w:val="21"/>
                <w:szCs w:val="21"/>
                <w:highlight w:val="none"/>
              </w:rPr>
            </w:pPr>
            <w:r>
              <w:rPr>
                <w:rFonts w:hint="eastAsia" w:ascii="宋体" w:hAnsi="宋体" w:eastAsia="宋体" w:cs="宋体"/>
                <w:b w:val="0"/>
                <w:bCs/>
                <w:color w:val="auto"/>
                <w:highlight w:val="none"/>
              </w:rPr>
              <w:t>投标有效期</w:t>
            </w:r>
          </w:p>
        </w:tc>
        <w:tc>
          <w:tcPr>
            <w:tcW w:w="58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0A305F">
            <w:pPr>
              <w:pStyle w:val="29"/>
              <w:kinsoku w:val="0"/>
              <w:overflowPunct w:val="0"/>
              <w:spacing w:line="235" w:lineRule="exact"/>
              <w:ind w:left="2"/>
              <w:jc w:val="center"/>
              <w:rPr>
                <w:rFonts w:hint="default" w:ascii="宋体" w:hAnsi="宋体" w:eastAsia="宋体" w:cs="宋体"/>
                <w:color w:val="auto"/>
                <w:sz w:val="21"/>
                <w:szCs w:val="21"/>
                <w:highlight w:val="none"/>
              </w:rPr>
            </w:pPr>
          </w:p>
        </w:tc>
      </w:tr>
    </w:tbl>
    <w:p w14:paraId="352633C1">
      <w:pPr>
        <w:pStyle w:val="11"/>
        <w:kinsoku w:val="0"/>
        <w:overflowPunct w:val="0"/>
        <w:ind w:left="0"/>
        <w:rPr>
          <w:rFonts w:hint="default"/>
          <w:color w:val="auto"/>
          <w:sz w:val="20"/>
          <w:szCs w:val="24"/>
          <w:highlight w:val="none"/>
        </w:rPr>
      </w:pPr>
    </w:p>
    <w:p w14:paraId="576A27CC">
      <w:pPr>
        <w:pStyle w:val="11"/>
        <w:tabs>
          <w:tab w:val="left" w:pos="631"/>
          <w:tab w:val="left" w:pos="1471"/>
          <w:tab w:val="left" w:pos="2311"/>
        </w:tabs>
        <w:kinsoku w:val="0"/>
        <w:overflowPunct w:val="0"/>
        <w:spacing w:before="36"/>
        <w:ind w:left="0" w:right="177"/>
        <w:jc w:val="right"/>
        <w:rPr>
          <w:rFonts w:hint="default"/>
          <w:color w:val="auto"/>
          <w:sz w:val="21"/>
          <w:szCs w:val="24"/>
          <w:highlight w:val="none"/>
        </w:rPr>
      </w:pPr>
      <w:r>
        <w:rPr>
          <w:rFonts w:hint="eastAsia" w:ascii="Times New Roman" w:hAnsi="Times New Roman" w:eastAsia="Times New Roman"/>
          <w:color w:val="auto"/>
          <w:sz w:val="24"/>
          <w:szCs w:val="24"/>
          <w:highlight w:val="none"/>
          <w:u w:val="single"/>
        </w:rPr>
        <w:t xml:space="preserve"> </w:t>
      </w:r>
    </w:p>
    <w:p w14:paraId="3CA818A5">
      <w:pPr>
        <w:pStyle w:val="11"/>
        <w:tabs>
          <w:tab w:val="left" w:pos="631"/>
          <w:tab w:val="left" w:pos="1471"/>
          <w:tab w:val="left" w:pos="2311"/>
        </w:tabs>
        <w:kinsoku w:val="0"/>
        <w:overflowPunct w:val="0"/>
        <w:spacing w:before="36"/>
        <w:ind w:left="0" w:right="177"/>
        <w:jc w:val="right"/>
        <w:rPr>
          <w:rFonts w:hint="default"/>
          <w:color w:val="auto"/>
          <w:sz w:val="21"/>
          <w:szCs w:val="24"/>
          <w:highlight w:val="none"/>
        </w:rPr>
        <w:sectPr>
          <w:pgSz w:w="11905" w:h="16838"/>
          <w:pgMar w:top="1417" w:right="1417" w:bottom="1417" w:left="1417" w:header="992" w:footer="992" w:gutter="0"/>
          <w:lnNumType w:countBy="0" w:distance="360"/>
          <w:pgNumType w:fmt="decimal"/>
          <w:cols w:space="720" w:num="1"/>
        </w:sectPr>
      </w:pPr>
    </w:p>
    <w:p w14:paraId="4269D5EE">
      <w:pPr>
        <w:pStyle w:val="4"/>
        <w:jc w:val="center"/>
        <w:outlineLvl w:val="1"/>
        <w:rPr>
          <w:rFonts w:hint="default"/>
          <w:color w:val="auto"/>
          <w:sz w:val="28"/>
          <w:szCs w:val="24"/>
          <w:highlight w:val="none"/>
        </w:rPr>
      </w:pPr>
      <w:bookmarkStart w:id="308" w:name="bookmark179"/>
      <w:bookmarkEnd w:id="308"/>
      <w:bookmarkStart w:id="309" w:name="_Toc26908"/>
      <w:bookmarkStart w:id="310" w:name="_Toc18723"/>
      <w:r>
        <w:rPr>
          <w:rFonts w:hint="default"/>
          <w:color w:val="auto"/>
          <w:sz w:val="28"/>
          <w:szCs w:val="24"/>
          <w:highlight w:val="none"/>
        </w:rPr>
        <w:t>二、法定代表人身份证明</w:t>
      </w:r>
      <w:bookmarkEnd w:id="309"/>
      <w:bookmarkEnd w:id="310"/>
    </w:p>
    <w:p w14:paraId="2BF01EDC">
      <w:pPr>
        <w:pStyle w:val="11"/>
        <w:kinsoku w:val="0"/>
        <w:overflowPunct w:val="0"/>
        <w:ind w:left="0"/>
        <w:rPr>
          <w:rFonts w:hint="eastAsia" w:ascii="Microsoft JhengHei" w:hAnsi="Microsoft JhengHei" w:eastAsia="Microsoft JhengHei"/>
          <w:b/>
          <w:color w:val="auto"/>
          <w:sz w:val="32"/>
          <w:szCs w:val="24"/>
          <w:highlight w:val="none"/>
        </w:rPr>
      </w:pPr>
    </w:p>
    <w:p w14:paraId="2C858544">
      <w:pPr>
        <w:pStyle w:val="11"/>
        <w:kinsoku w:val="0"/>
        <w:overflowPunct w:val="0"/>
        <w:ind w:left="0"/>
        <w:rPr>
          <w:rFonts w:hint="eastAsia" w:ascii="Microsoft JhengHei" w:hAnsi="Microsoft JhengHei" w:eastAsia="Microsoft JhengHei"/>
          <w:b/>
          <w:color w:val="auto"/>
          <w:sz w:val="32"/>
          <w:szCs w:val="24"/>
          <w:highlight w:val="none"/>
        </w:rPr>
      </w:pPr>
    </w:p>
    <w:p w14:paraId="5EF1778A">
      <w:pPr>
        <w:pStyle w:val="11"/>
        <w:kinsoku w:val="0"/>
        <w:overflowPunct w:val="0"/>
        <w:spacing w:before="8"/>
        <w:ind w:left="0"/>
        <w:rPr>
          <w:rFonts w:hint="eastAsia" w:ascii="Microsoft JhengHei" w:hAnsi="Microsoft JhengHei" w:eastAsia="Microsoft JhengHei"/>
          <w:b/>
          <w:color w:val="auto"/>
          <w:sz w:val="25"/>
          <w:szCs w:val="24"/>
          <w:highlight w:val="none"/>
        </w:rPr>
      </w:pPr>
    </w:p>
    <w:p w14:paraId="595473D7">
      <w:pPr>
        <w:pStyle w:val="11"/>
        <w:tabs>
          <w:tab w:val="left" w:pos="3928"/>
        </w:tabs>
        <w:kinsoku w:val="0"/>
        <w:overflowPunct w:val="0"/>
        <w:ind w:left="100"/>
        <w:rPr>
          <w:rFonts w:hint="eastAsia" w:ascii="Times New Roman" w:hAnsi="Times New Roman" w:eastAsia="Times New Roman"/>
          <w:color w:val="auto"/>
          <w:sz w:val="24"/>
          <w:szCs w:val="24"/>
          <w:highlight w:val="none"/>
        </w:rPr>
      </w:pPr>
      <w:r>
        <w:rPr>
          <w:rFonts w:hint="default"/>
          <w:color w:val="auto"/>
          <w:sz w:val="24"/>
          <w:szCs w:val="24"/>
          <w:highlight w:val="none"/>
        </w:rPr>
        <w:t>投标人名称：</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p>
    <w:p w14:paraId="2D90FF13">
      <w:pPr>
        <w:pStyle w:val="11"/>
        <w:kinsoku w:val="0"/>
        <w:overflowPunct w:val="0"/>
        <w:spacing w:before="2"/>
        <w:ind w:left="0"/>
        <w:rPr>
          <w:rFonts w:hint="eastAsia" w:ascii="Times New Roman" w:hAnsi="Times New Roman" w:eastAsia="Times New Roman"/>
          <w:color w:val="auto"/>
          <w:sz w:val="24"/>
          <w:szCs w:val="24"/>
          <w:highlight w:val="none"/>
        </w:rPr>
      </w:pPr>
    </w:p>
    <w:p w14:paraId="541EF9A0">
      <w:pPr>
        <w:pStyle w:val="11"/>
        <w:tabs>
          <w:tab w:val="left" w:pos="2412"/>
          <w:tab w:val="left" w:pos="3883"/>
          <w:tab w:val="left" w:pos="5352"/>
          <w:tab w:val="left" w:pos="6869"/>
        </w:tabs>
        <w:kinsoku w:val="0"/>
        <w:overflowPunct w:val="0"/>
        <w:spacing w:before="36"/>
        <w:ind w:left="100"/>
        <w:rPr>
          <w:rFonts w:hint="eastAsia" w:ascii="Times New Roman" w:hAnsi="Times New Roman" w:eastAsia="Times New Roman"/>
          <w:color w:val="auto"/>
          <w:sz w:val="24"/>
          <w:szCs w:val="24"/>
          <w:highlight w:val="none"/>
        </w:rPr>
      </w:pPr>
      <w:r>
        <w:rPr>
          <w:rFonts w:hint="default"/>
          <w:color w:val="auto"/>
          <w:spacing w:val="-1"/>
          <w:sz w:val="24"/>
          <w:szCs w:val="24"/>
          <w:highlight w:val="none"/>
        </w:rPr>
        <w:t>姓名：</w:t>
      </w:r>
      <w:r>
        <w:rPr>
          <w:rFonts w:hint="eastAsia" w:ascii="Times New Roman" w:hAnsi="Times New Roman" w:eastAsia="Times New Roman"/>
          <w:color w:val="auto"/>
          <w:spacing w:val="-1"/>
          <w:sz w:val="24"/>
          <w:szCs w:val="24"/>
          <w:highlight w:val="none"/>
          <w:u w:val="single"/>
        </w:rPr>
        <w:tab/>
      </w:r>
      <w:r>
        <w:rPr>
          <w:rFonts w:hint="default"/>
          <w:color w:val="auto"/>
          <w:spacing w:val="-1"/>
          <w:sz w:val="24"/>
          <w:szCs w:val="24"/>
          <w:highlight w:val="none"/>
        </w:rPr>
        <w:t>性别：</w:t>
      </w:r>
      <w:r>
        <w:rPr>
          <w:rFonts w:hint="eastAsia" w:ascii="Times New Roman" w:hAnsi="Times New Roman" w:eastAsia="Times New Roman"/>
          <w:color w:val="auto"/>
          <w:spacing w:val="-1"/>
          <w:sz w:val="24"/>
          <w:szCs w:val="24"/>
          <w:highlight w:val="none"/>
          <w:u w:val="single"/>
        </w:rPr>
        <w:tab/>
      </w:r>
      <w:r>
        <w:rPr>
          <w:rFonts w:hint="default"/>
          <w:color w:val="auto"/>
          <w:spacing w:val="-2"/>
          <w:sz w:val="24"/>
          <w:szCs w:val="24"/>
          <w:highlight w:val="none"/>
        </w:rPr>
        <w:t>年龄：</w:t>
      </w:r>
      <w:r>
        <w:rPr>
          <w:rFonts w:hint="eastAsia" w:ascii="Times New Roman" w:hAnsi="Times New Roman" w:eastAsia="Times New Roman"/>
          <w:color w:val="auto"/>
          <w:spacing w:val="-2"/>
          <w:sz w:val="24"/>
          <w:szCs w:val="24"/>
          <w:highlight w:val="none"/>
          <w:u w:val="single"/>
        </w:rPr>
        <w:tab/>
      </w:r>
      <w:r>
        <w:rPr>
          <w:rFonts w:hint="default"/>
          <w:color w:val="auto"/>
          <w:spacing w:val="-2"/>
          <w:sz w:val="24"/>
          <w:szCs w:val="24"/>
          <w:highlight w:val="none"/>
        </w:rPr>
        <w:t>职务：</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p>
    <w:p w14:paraId="3AC5CEE9">
      <w:pPr>
        <w:pStyle w:val="11"/>
        <w:kinsoku w:val="0"/>
        <w:overflowPunct w:val="0"/>
        <w:spacing w:before="5"/>
        <w:ind w:left="0"/>
        <w:rPr>
          <w:rFonts w:hint="eastAsia" w:ascii="Times New Roman" w:hAnsi="Times New Roman" w:eastAsia="Times New Roman"/>
          <w:color w:val="auto"/>
          <w:sz w:val="24"/>
          <w:szCs w:val="24"/>
          <w:highlight w:val="none"/>
        </w:rPr>
      </w:pPr>
    </w:p>
    <w:p w14:paraId="108ACA46">
      <w:pPr>
        <w:pStyle w:val="11"/>
        <w:tabs>
          <w:tab w:val="left" w:pos="2832"/>
        </w:tabs>
        <w:kinsoku w:val="0"/>
        <w:overflowPunct w:val="0"/>
        <w:spacing w:before="36"/>
        <w:ind w:left="100"/>
        <w:rPr>
          <w:rFonts w:hint="default"/>
          <w:color w:val="auto"/>
          <w:spacing w:val="-2"/>
          <w:sz w:val="24"/>
          <w:szCs w:val="24"/>
          <w:highlight w:val="none"/>
        </w:rPr>
      </w:pPr>
      <w:r>
        <w:rPr>
          <w:rFonts w:hint="default"/>
          <w:color w:val="auto"/>
          <w:spacing w:val="-1"/>
          <w:sz w:val="24"/>
          <w:szCs w:val="24"/>
          <w:highlight w:val="none"/>
        </w:rPr>
        <w:t>系</w:t>
      </w:r>
      <w:r>
        <w:rPr>
          <w:rFonts w:hint="eastAsia" w:ascii="Times New Roman" w:hAnsi="Times New Roman" w:eastAsia="Times New Roman"/>
          <w:color w:val="auto"/>
          <w:spacing w:val="-1"/>
          <w:sz w:val="24"/>
          <w:szCs w:val="24"/>
          <w:highlight w:val="none"/>
          <w:u w:val="single"/>
        </w:rPr>
        <w:tab/>
      </w:r>
      <w:r>
        <w:rPr>
          <w:rFonts w:hint="default"/>
          <w:color w:val="auto"/>
          <w:spacing w:val="-2"/>
          <w:sz w:val="24"/>
          <w:szCs w:val="24"/>
          <w:highlight w:val="none"/>
        </w:rPr>
        <w:t>（投标人名称）的法定代表人。</w:t>
      </w:r>
    </w:p>
    <w:p w14:paraId="293D52C0">
      <w:pPr>
        <w:pStyle w:val="11"/>
        <w:kinsoku w:val="0"/>
        <w:overflowPunct w:val="0"/>
        <w:spacing w:before="10"/>
        <w:ind w:left="0"/>
        <w:rPr>
          <w:rFonts w:hint="default"/>
          <w:color w:val="auto"/>
          <w:sz w:val="24"/>
          <w:szCs w:val="24"/>
          <w:highlight w:val="none"/>
        </w:rPr>
      </w:pPr>
    </w:p>
    <w:p w14:paraId="181DBB9F">
      <w:pPr>
        <w:pStyle w:val="11"/>
        <w:kinsoku w:val="0"/>
        <w:overflowPunct w:val="0"/>
        <w:spacing w:before="36"/>
        <w:ind w:left="100" w:firstLine="419"/>
        <w:rPr>
          <w:rFonts w:hint="default"/>
          <w:color w:val="auto"/>
          <w:sz w:val="24"/>
          <w:szCs w:val="24"/>
          <w:highlight w:val="none"/>
        </w:rPr>
      </w:pPr>
      <w:r>
        <w:rPr>
          <w:rFonts w:hint="default"/>
          <w:color w:val="auto"/>
          <w:sz w:val="24"/>
          <w:szCs w:val="24"/>
          <w:highlight w:val="none"/>
        </w:rPr>
        <w:t>特此证明。</w:t>
      </w:r>
    </w:p>
    <w:p w14:paraId="667B360C">
      <w:pPr>
        <w:pStyle w:val="11"/>
        <w:kinsoku w:val="0"/>
        <w:overflowPunct w:val="0"/>
        <w:ind w:left="0"/>
        <w:rPr>
          <w:rFonts w:hint="default"/>
          <w:color w:val="auto"/>
          <w:sz w:val="24"/>
          <w:szCs w:val="24"/>
          <w:highlight w:val="none"/>
        </w:rPr>
      </w:pPr>
    </w:p>
    <w:p w14:paraId="611DB532">
      <w:pPr>
        <w:pStyle w:val="11"/>
        <w:kinsoku w:val="0"/>
        <w:overflowPunct w:val="0"/>
        <w:spacing w:before="4"/>
        <w:ind w:left="0"/>
        <w:rPr>
          <w:rFonts w:hint="default"/>
          <w:color w:val="auto"/>
          <w:sz w:val="24"/>
          <w:szCs w:val="24"/>
          <w:highlight w:val="none"/>
        </w:rPr>
      </w:pPr>
    </w:p>
    <w:p w14:paraId="346216CD">
      <w:pPr>
        <w:pStyle w:val="11"/>
        <w:kinsoku w:val="0"/>
        <w:overflowPunct w:val="0"/>
        <w:ind w:left="100"/>
        <w:rPr>
          <w:rFonts w:hint="default"/>
          <w:color w:val="auto"/>
          <w:sz w:val="24"/>
          <w:szCs w:val="24"/>
          <w:highlight w:val="none"/>
        </w:rPr>
      </w:pPr>
      <w:r>
        <w:rPr>
          <w:rFonts w:hint="default"/>
          <w:color w:val="auto"/>
          <w:sz w:val="24"/>
          <w:szCs w:val="24"/>
          <w:highlight w:val="none"/>
        </w:rPr>
        <w:t>附：法定代表人身份证</w:t>
      </w:r>
      <w:r>
        <w:rPr>
          <w:rFonts w:hint="default"/>
          <w:color w:val="auto"/>
          <w:sz w:val="24"/>
          <w:szCs w:val="24"/>
          <w:highlight w:val="none"/>
          <w:lang w:eastAsia="zh-CN"/>
        </w:rPr>
        <w:t>正反面扫描</w:t>
      </w:r>
      <w:r>
        <w:rPr>
          <w:rFonts w:hint="default"/>
          <w:color w:val="auto"/>
          <w:sz w:val="24"/>
          <w:szCs w:val="24"/>
          <w:highlight w:val="none"/>
        </w:rPr>
        <w:t>件。</w:t>
      </w:r>
    </w:p>
    <w:p w14:paraId="150B4DB1">
      <w:pPr>
        <w:pStyle w:val="11"/>
        <w:kinsoku w:val="0"/>
        <w:overflowPunct w:val="0"/>
        <w:ind w:left="0"/>
        <w:rPr>
          <w:rFonts w:hint="default"/>
          <w:color w:val="auto"/>
          <w:sz w:val="24"/>
          <w:szCs w:val="24"/>
          <w:highlight w:val="none"/>
        </w:rPr>
      </w:pPr>
    </w:p>
    <w:p w14:paraId="736247FA">
      <w:pPr>
        <w:pStyle w:val="11"/>
        <w:kinsoku w:val="0"/>
        <w:overflowPunct w:val="0"/>
        <w:spacing w:before="2"/>
        <w:ind w:left="0"/>
        <w:rPr>
          <w:rFonts w:hint="default"/>
          <w:color w:val="auto"/>
          <w:sz w:val="24"/>
          <w:szCs w:val="24"/>
          <w:highlight w:val="none"/>
        </w:rPr>
      </w:pPr>
    </w:p>
    <w:p w14:paraId="095E8D1E">
      <w:pPr>
        <w:pStyle w:val="11"/>
        <w:kinsoku w:val="0"/>
        <w:overflowPunct w:val="0"/>
        <w:ind w:left="0"/>
        <w:rPr>
          <w:rFonts w:hint="default"/>
          <w:color w:val="auto"/>
          <w:sz w:val="24"/>
          <w:szCs w:val="24"/>
          <w:highlight w:val="none"/>
        </w:rPr>
      </w:pPr>
    </w:p>
    <w:p w14:paraId="45EBF8EF">
      <w:pPr>
        <w:pStyle w:val="11"/>
        <w:kinsoku w:val="0"/>
        <w:overflowPunct w:val="0"/>
        <w:ind w:left="0"/>
        <w:rPr>
          <w:rFonts w:hint="default"/>
          <w:color w:val="auto"/>
          <w:sz w:val="24"/>
          <w:szCs w:val="24"/>
          <w:highlight w:val="none"/>
        </w:rPr>
      </w:pPr>
    </w:p>
    <w:p w14:paraId="34D345E5">
      <w:pPr>
        <w:pStyle w:val="11"/>
        <w:kinsoku w:val="0"/>
        <w:overflowPunct w:val="0"/>
        <w:ind w:left="0"/>
        <w:rPr>
          <w:rFonts w:hint="default"/>
          <w:color w:val="auto"/>
          <w:sz w:val="24"/>
          <w:szCs w:val="24"/>
          <w:highlight w:val="none"/>
        </w:rPr>
      </w:pPr>
    </w:p>
    <w:p w14:paraId="6AAF9985">
      <w:pPr>
        <w:pStyle w:val="11"/>
        <w:kinsoku w:val="0"/>
        <w:overflowPunct w:val="0"/>
        <w:spacing w:before="2"/>
        <w:ind w:left="0"/>
        <w:rPr>
          <w:rFonts w:hint="default"/>
          <w:color w:val="auto"/>
          <w:sz w:val="24"/>
          <w:szCs w:val="24"/>
          <w:highlight w:val="none"/>
        </w:rPr>
      </w:pPr>
    </w:p>
    <w:p w14:paraId="26C2096E">
      <w:pPr>
        <w:pStyle w:val="11"/>
        <w:tabs>
          <w:tab w:val="left" w:pos="6521"/>
        </w:tabs>
        <w:kinsoku w:val="0"/>
        <w:overflowPunct w:val="0"/>
        <w:spacing w:before="36"/>
        <w:ind w:left="4212"/>
        <w:rPr>
          <w:rFonts w:hint="default"/>
          <w:color w:val="auto"/>
          <w:spacing w:val="-1"/>
          <w:sz w:val="24"/>
          <w:szCs w:val="24"/>
          <w:highlight w:val="none"/>
        </w:rPr>
      </w:pPr>
      <w:r>
        <w:rPr>
          <w:rFonts w:hint="default"/>
          <w:color w:val="auto"/>
          <w:spacing w:val="-2"/>
          <w:sz w:val="24"/>
          <w:szCs w:val="24"/>
          <w:highlight w:val="none"/>
        </w:rPr>
        <w:t>投标人：</w:t>
      </w:r>
      <w:r>
        <w:rPr>
          <w:rFonts w:hint="eastAsia" w:ascii="Times New Roman" w:hAnsi="Times New Roman" w:eastAsia="Times New Roman"/>
          <w:color w:val="auto"/>
          <w:spacing w:val="-2"/>
          <w:sz w:val="24"/>
          <w:szCs w:val="24"/>
          <w:highlight w:val="none"/>
          <w:u w:val="single"/>
        </w:rPr>
        <w:tab/>
      </w:r>
      <w:r>
        <w:rPr>
          <w:rFonts w:hint="default"/>
          <w:color w:val="auto"/>
          <w:spacing w:val="-1"/>
          <w:sz w:val="24"/>
          <w:szCs w:val="24"/>
          <w:highlight w:val="none"/>
        </w:rPr>
        <w:t>（盖单位章）</w:t>
      </w:r>
    </w:p>
    <w:p w14:paraId="1CD5C96A">
      <w:pPr>
        <w:pStyle w:val="11"/>
        <w:kinsoku w:val="0"/>
        <w:overflowPunct w:val="0"/>
        <w:ind w:left="0"/>
        <w:rPr>
          <w:rFonts w:hint="default"/>
          <w:color w:val="auto"/>
          <w:sz w:val="24"/>
          <w:szCs w:val="24"/>
          <w:highlight w:val="none"/>
        </w:rPr>
      </w:pPr>
    </w:p>
    <w:p w14:paraId="741391F3">
      <w:pPr>
        <w:pStyle w:val="11"/>
        <w:kinsoku w:val="0"/>
        <w:overflowPunct w:val="0"/>
        <w:spacing w:before="7"/>
        <w:ind w:left="0"/>
        <w:rPr>
          <w:rFonts w:hint="default"/>
          <w:color w:val="auto"/>
          <w:sz w:val="24"/>
          <w:szCs w:val="24"/>
          <w:highlight w:val="none"/>
        </w:rPr>
      </w:pPr>
    </w:p>
    <w:p w14:paraId="66407143">
      <w:pPr>
        <w:pStyle w:val="11"/>
        <w:tabs>
          <w:tab w:val="left" w:pos="5352"/>
          <w:tab w:val="left" w:pos="6192"/>
          <w:tab w:val="left" w:pos="7032"/>
        </w:tabs>
        <w:kinsoku w:val="0"/>
        <w:overflowPunct w:val="0"/>
        <w:spacing w:before="36"/>
        <w:ind w:left="4721"/>
        <w:rPr>
          <w:rFonts w:hint="default"/>
          <w:color w:val="auto"/>
          <w:sz w:val="24"/>
          <w:szCs w:val="24"/>
          <w:highlight w:val="none"/>
        </w:rPr>
      </w:pP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r>
        <w:rPr>
          <w:rFonts w:hint="default"/>
          <w:color w:val="auto"/>
          <w:sz w:val="24"/>
          <w:szCs w:val="24"/>
          <w:highlight w:val="none"/>
        </w:rPr>
        <w:t>年</w:t>
      </w:r>
      <w:r>
        <w:rPr>
          <w:rFonts w:hint="eastAsia" w:ascii="Times New Roman" w:hAnsi="Times New Roman" w:eastAsia="Times New Roman"/>
          <w:color w:val="auto"/>
          <w:sz w:val="24"/>
          <w:szCs w:val="24"/>
          <w:highlight w:val="none"/>
          <w:u w:val="single"/>
        </w:rPr>
        <w:tab/>
      </w:r>
      <w:r>
        <w:rPr>
          <w:rFonts w:hint="default"/>
          <w:color w:val="auto"/>
          <w:sz w:val="24"/>
          <w:szCs w:val="24"/>
          <w:highlight w:val="none"/>
        </w:rPr>
        <w:t>月</w:t>
      </w:r>
      <w:r>
        <w:rPr>
          <w:rFonts w:hint="eastAsia" w:ascii="Times New Roman" w:hAnsi="Times New Roman" w:eastAsia="Times New Roman"/>
          <w:color w:val="auto"/>
          <w:sz w:val="24"/>
          <w:szCs w:val="24"/>
          <w:highlight w:val="none"/>
          <w:u w:val="single"/>
        </w:rPr>
        <w:tab/>
      </w:r>
      <w:r>
        <w:rPr>
          <w:rFonts w:hint="default"/>
          <w:color w:val="auto"/>
          <w:sz w:val="24"/>
          <w:szCs w:val="24"/>
          <w:highlight w:val="none"/>
        </w:rPr>
        <w:t>日</w:t>
      </w:r>
    </w:p>
    <w:p w14:paraId="74AA8E38">
      <w:pPr>
        <w:pStyle w:val="11"/>
        <w:tabs>
          <w:tab w:val="left" w:pos="5352"/>
          <w:tab w:val="left" w:pos="6192"/>
          <w:tab w:val="left" w:pos="7032"/>
        </w:tabs>
        <w:kinsoku w:val="0"/>
        <w:overflowPunct w:val="0"/>
        <w:spacing w:before="36"/>
        <w:ind w:left="4721"/>
        <w:rPr>
          <w:rFonts w:hint="default"/>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762F875A">
      <w:pPr>
        <w:pStyle w:val="4"/>
        <w:jc w:val="center"/>
        <w:outlineLvl w:val="1"/>
        <w:rPr>
          <w:rFonts w:hint="default"/>
          <w:color w:val="auto"/>
          <w:sz w:val="28"/>
          <w:szCs w:val="24"/>
          <w:highlight w:val="none"/>
        </w:rPr>
      </w:pPr>
      <w:bookmarkStart w:id="311" w:name="bookmark180"/>
      <w:bookmarkEnd w:id="311"/>
      <w:bookmarkStart w:id="312" w:name="_Toc13873"/>
      <w:bookmarkStart w:id="313" w:name="_Toc10744"/>
      <w:r>
        <w:rPr>
          <w:rFonts w:hint="default"/>
          <w:color w:val="auto"/>
          <w:sz w:val="28"/>
          <w:szCs w:val="24"/>
          <w:highlight w:val="none"/>
        </w:rPr>
        <w:t>二、授权委托书</w:t>
      </w:r>
      <w:bookmarkEnd w:id="312"/>
      <w:bookmarkEnd w:id="313"/>
    </w:p>
    <w:p w14:paraId="6E9893E0">
      <w:pPr>
        <w:pStyle w:val="11"/>
        <w:kinsoku w:val="0"/>
        <w:overflowPunct w:val="0"/>
        <w:ind w:left="0"/>
        <w:rPr>
          <w:rFonts w:hint="eastAsia" w:ascii="Microsoft JhengHei" w:hAnsi="Microsoft JhengHei" w:eastAsia="Microsoft JhengHei"/>
          <w:b/>
          <w:color w:val="auto"/>
          <w:sz w:val="32"/>
          <w:szCs w:val="24"/>
          <w:highlight w:val="none"/>
        </w:rPr>
      </w:pPr>
    </w:p>
    <w:p w14:paraId="054C77F0">
      <w:pPr>
        <w:pStyle w:val="11"/>
        <w:kinsoku w:val="0"/>
        <w:overflowPunct w:val="0"/>
        <w:spacing w:before="4"/>
        <w:ind w:left="0"/>
        <w:rPr>
          <w:rFonts w:hint="eastAsia" w:ascii="Microsoft JhengHei" w:hAnsi="Microsoft JhengHei" w:eastAsia="Microsoft JhengHei"/>
          <w:b/>
          <w:color w:val="auto"/>
          <w:sz w:val="32"/>
          <w:szCs w:val="24"/>
          <w:highlight w:val="none"/>
        </w:rPr>
      </w:pPr>
    </w:p>
    <w:p w14:paraId="0C29E394">
      <w:pPr>
        <w:pStyle w:val="11"/>
        <w:tabs>
          <w:tab w:val="left" w:pos="3928"/>
        </w:tabs>
        <w:kinsoku w:val="0"/>
        <w:overflowPunct w:val="0"/>
        <w:spacing w:line="360" w:lineRule="auto"/>
        <w:ind w:left="0" w:firstLine="480" w:firstLineChars="200"/>
        <w:rPr>
          <w:rFonts w:hint="default" w:cs="Times New Roman"/>
          <w:color w:val="auto"/>
          <w:sz w:val="24"/>
          <w:szCs w:val="24"/>
          <w:highlight w:val="none"/>
        </w:rPr>
      </w:pPr>
      <w:r>
        <w:rPr>
          <w:rFonts w:hint="default" w:cs="Times New Roman"/>
          <w:color w:val="auto"/>
          <w:sz w:val="24"/>
          <w:szCs w:val="24"/>
          <w:highlight w:val="none"/>
        </w:rPr>
        <w:t>本人</w:t>
      </w:r>
      <w:r>
        <w:rPr>
          <w:rFonts w:hint="default" w:cs="Times New Roman"/>
          <w:color w:val="auto"/>
          <w:sz w:val="24"/>
          <w:szCs w:val="24"/>
          <w:highlight w:val="none"/>
          <w:u w:val="single"/>
          <w:lang w:val="en-US" w:eastAsia="zh-CN"/>
        </w:rPr>
        <w:t xml:space="preserve">   </w:t>
      </w:r>
      <w:r>
        <w:rPr>
          <w:rFonts w:hint="default" w:cs="Times New Roman"/>
          <w:color w:val="auto"/>
          <w:sz w:val="24"/>
          <w:szCs w:val="24"/>
          <w:highlight w:val="none"/>
        </w:rPr>
        <w:t>（姓名）系</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u w:val="single"/>
          <w:lang w:val="en-US" w:eastAsia="zh-CN"/>
        </w:rPr>
        <w:t xml:space="preserve">    </w:t>
      </w:r>
      <w:r>
        <w:rPr>
          <w:rFonts w:hint="default" w:cs="Times New Roman"/>
          <w:color w:val="auto"/>
          <w:sz w:val="24"/>
          <w:szCs w:val="24"/>
          <w:highlight w:val="none"/>
        </w:rPr>
        <w:t>（投标人名称）的法定代表人，现委托</w:t>
      </w:r>
      <w:r>
        <w:rPr>
          <w:rFonts w:hint="default" w:cs="Times New Roman"/>
          <w:color w:val="auto"/>
          <w:sz w:val="24"/>
          <w:szCs w:val="24"/>
          <w:highlight w:val="none"/>
          <w:u w:val="single"/>
        </w:rPr>
        <w:tab/>
      </w:r>
      <w:r>
        <w:rPr>
          <w:rFonts w:hint="default" w:cs="Times New Roman"/>
          <w:color w:val="auto"/>
          <w:sz w:val="24"/>
          <w:szCs w:val="24"/>
          <w:highlight w:val="none"/>
          <w:u w:val="single"/>
          <w:lang w:val="en-US" w:eastAsia="zh-CN"/>
        </w:rPr>
        <w:t xml:space="preserve"> </w:t>
      </w:r>
      <w:r>
        <w:rPr>
          <w:rFonts w:hint="default" w:cs="Times New Roman"/>
          <w:color w:val="auto"/>
          <w:sz w:val="24"/>
          <w:szCs w:val="24"/>
          <w:highlight w:val="none"/>
        </w:rPr>
        <w:t xml:space="preserve">（姓名）为我方代理人。代理人根据授权，以我方名义签署、澄清确认、递交、撤回、修改监理招标项目投标文件、签订合同和处理有关事宜，其法律后果由我方承担。 </w:t>
      </w:r>
    </w:p>
    <w:p w14:paraId="265F9C5B">
      <w:pPr>
        <w:pStyle w:val="11"/>
        <w:tabs>
          <w:tab w:val="left" w:pos="3928"/>
        </w:tabs>
        <w:kinsoku w:val="0"/>
        <w:overflowPunct w:val="0"/>
        <w:spacing w:line="360" w:lineRule="auto"/>
        <w:ind w:left="0"/>
        <w:rPr>
          <w:rFonts w:hint="default" w:cs="Times New Roman"/>
          <w:color w:val="auto"/>
          <w:sz w:val="24"/>
          <w:szCs w:val="24"/>
          <w:highlight w:val="none"/>
        </w:rPr>
      </w:pPr>
      <w:r>
        <w:rPr>
          <w:rFonts w:hint="default" w:cs="Times New Roman"/>
          <w:color w:val="auto"/>
          <w:sz w:val="24"/>
          <w:szCs w:val="24"/>
          <w:highlight w:val="none"/>
        </w:rPr>
        <w:t>委托期限：</w:t>
      </w:r>
      <w:r>
        <w:rPr>
          <w:rFonts w:hint="default" w:cs="Times New Roman"/>
          <w:color w:val="auto"/>
          <w:sz w:val="24"/>
          <w:szCs w:val="24"/>
          <w:highlight w:val="none"/>
          <w:u w:val="single"/>
        </w:rPr>
        <w:tab/>
      </w:r>
      <w:r>
        <w:rPr>
          <w:rFonts w:hint="default" w:cs="Times New Roman"/>
          <w:color w:val="auto"/>
          <w:sz w:val="24"/>
          <w:szCs w:val="24"/>
          <w:highlight w:val="none"/>
        </w:rPr>
        <w:t>。</w:t>
      </w:r>
    </w:p>
    <w:p w14:paraId="40C38CC9">
      <w:pPr>
        <w:pStyle w:val="11"/>
        <w:tabs>
          <w:tab w:val="left" w:pos="3928"/>
        </w:tabs>
        <w:kinsoku w:val="0"/>
        <w:overflowPunct w:val="0"/>
        <w:spacing w:line="360" w:lineRule="auto"/>
        <w:ind w:left="0" w:firstLine="480" w:firstLineChars="200"/>
        <w:rPr>
          <w:rFonts w:hint="eastAsia" w:eastAsia="宋体" w:cs="Times New Roman"/>
          <w:color w:val="auto"/>
          <w:sz w:val="24"/>
          <w:szCs w:val="24"/>
          <w:highlight w:val="none"/>
          <w:lang w:eastAsia="zh-CN"/>
        </w:rPr>
      </w:pPr>
      <w:r>
        <w:rPr>
          <w:rFonts w:hint="default" w:cs="Times New Roman"/>
          <w:color w:val="auto"/>
          <w:sz w:val="24"/>
          <w:szCs w:val="24"/>
          <w:highlight w:val="none"/>
        </w:rPr>
        <w:t>代理人无转委托权。</w:t>
      </w:r>
      <w:r>
        <w:rPr>
          <w:rFonts w:hint="default"/>
          <w:color w:val="auto"/>
          <w:sz w:val="24"/>
          <w:szCs w:val="24"/>
          <w:highlight w:val="none"/>
        </w:rPr>
        <w:t>代理人为投标人正式职工</w:t>
      </w:r>
      <w:r>
        <w:rPr>
          <w:rFonts w:hint="eastAsia"/>
          <w:color w:val="auto"/>
          <w:sz w:val="24"/>
          <w:szCs w:val="24"/>
          <w:highlight w:val="none"/>
          <w:lang w:eastAsia="zh-CN"/>
        </w:rPr>
        <w:t>，</w:t>
      </w:r>
      <w:r>
        <w:rPr>
          <w:rFonts w:hint="eastAsia"/>
          <w:color w:val="auto"/>
          <w:sz w:val="24"/>
          <w:highlight w:val="none"/>
          <w:lang w:eastAsia="zh-CN"/>
        </w:rPr>
        <w:t>必须具有离投标截止时间最近的至少1个月在本单位缴纳的社保证明文件。</w:t>
      </w:r>
    </w:p>
    <w:p w14:paraId="0013CE65">
      <w:pPr>
        <w:pStyle w:val="11"/>
        <w:tabs>
          <w:tab w:val="left" w:pos="3928"/>
        </w:tabs>
        <w:kinsoku w:val="0"/>
        <w:overflowPunct w:val="0"/>
        <w:spacing w:line="360" w:lineRule="auto"/>
        <w:ind w:left="100"/>
        <w:rPr>
          <w:rFonts w:hint="default" w:cs="Times New Roman"/>
          <w:color w:val="auto"/>
          <w:sz w:val="24"/>
          <w:szCs w:val="24"/>
          <w:highlight w:val="none"/>
        </w:rPr>
      </w:pPr>
    </w:p>
    <w:p w14:paraId="27561E9D">
      <w:pPr>
        <w:pStyle w:val="11"/>
        <w:kinsoku w:val="0"/>
        <w:overflowPunct w:val="0"/>
        <w:spacing w:before="4"/>
        <w:ind w:left="0"/>
        <w:rPr>
          <w:rFonts w:hint="default"/>
          <w:color w:val="auto"/>
          <w:sz w:val="24"/>
          <w:szCs w:val="24"/>
          <w:highlight w:val="none"/>
        </w:rPr>
      </w:pPr>
    </w:p>
    <w:p w14:paraId="01D62FF0">
      <w:pPr>
        <w:pStyle w:val="11"/>
        <w:kinsoku w:val="0"/>
        <w:overflowPunct w:val="0"/>
        <w:ind w:left="100" w:right="113"/>
        <w:rPr>
          <w:rFonts w:hint="default"/>
          <w:color w:val="auto"/>
          <w:sz w:val="24"/>
          <w:szCs w:val="24"/>
          <w:highlight w:val="none"/>
        </w:rPr>
      </w:pPr>
      <w:r>
        <w:rPr>
          <w:rFonts w:hint="default"/>
          <w:color w:val="auto"/>
          <w:sz w:val="24"/>
          <w:szCs w:val="24"/>
          <w:highlight w:val="none"/>
        </w:rPr>
        <w:t>附：</w:t>
      </w:r>
      <w:r>
        <w:rPr>
          <w:rFonts w:hint="default" w:cs="Times New Roman"/>
          <w:color w:val="auto"/>
          <w:sz w:val="24"/>
          <w:szCs w:val="24"/>
          <w:highlight w:val="none"/>
          <w:lang w:eastAsia="zh-CN"/>
        </w:rPr>
        <w:t>委托代理人身份证正反面和社保证明扫描件。</w:t>
      </w:r>
    </w:p>
    <w:p w14:paraId="07B3A149">
      <w:pPr>
        <w:pStyle w:val="11"/>
        <w:kinsoku w:val="0"/>
        <w:overflowPunct w:val="0"/>
        <w:ind w:left="0"/>
        <w:rPr>
          <w:rFonts w:hint="default"/>
          <w:color w:val="auto"/>
          <w:sz w:val="24"/>
          <w:szCs w:val="24"/>
          <w:highlight w:val="none"/>
        </w:rPr>
      </w:pPr>
    </w:p>
    <w:p w14:paraId="4EDC157B">
      <w:pPr>
        <w:pStyle w:val="11"/>
        <w:kinsoku w:val="0"/>
        <w:overflowPunct w:val="0"/>
        <w:spacing w:before="2"/>
        <w:ind w:left="0"/>
        <w:rPr>
          <w:rFonts w:hint="default"/>
          <w:color w:val="auto"/>
          <w:sz w:val="24"/>
          <w:szCs w:val="24"/>
          <w:highlight w:val="none"/>
        </w:rPr>
      </w:pPr>
    </w:p>
    <w:p w14:paraId="40532CCD">
      <w:pPr>
        <w:pStyle w:val="11"/>
        <w:kinsoku w:val="0"/>
        <w:overflowPunct w:val="0"/>
        <w:ind w:left="0"/>
        <w:rPr>
          <w:rFonts w:hint="default"/>
          <w:color w:val="auto"/>
          <w:sz w:val="24"/>
          <w:szCs w:val="24"/>
          <w:highlight w:val="none"/>
        </w:rPr>
      </w:pPr>
    </w:p>
    <w:p w14:paraId="5A5B1B4D">
      <w:pPr>
        <w:pStyle w:val="11"/>
        <w:kinsoku w:val="0"/>
        <w:overflowPunct w:val="0"/>
        <w:spacing w:before="4"/>
        <w:ind w:left="0"/>
        <w:rPr>
          <w:rFonts w:hint="default"/>
          <w:color w:val="auto"/>
          <w:sz w:val="24"/>
          <w:szCs w:val="24"/>
          <w:highlight w:val="none"/>
        </w:rPr>
      </w:pPr>
    </w:p>
    <w:p w14:paraId="411CE2D1">
      <w:pPr>
        <w:pStyle w:val="11"/>
        <w:tabs>
          <w:tab w:val="left" w:pos="3216"/>
          <w:tab w:val="left" w:pos="3636"/>
          <w:tab w:val="left" w:pos="7241"/>
        </w:tabs>
        <w:kinsoku w:val="0"/>
        <w:overflowPunct w:val="0"/>
        <w:ind w:left="2793" w:right="113"/>
        <w:rPr>
          <w:rFonts w:hint="default"/>
          <w:color w:val="auto"/>
          <w:sz w:val="24"/>
          <w:szCs w:val="24"/>
          <w:highlight w:val="none"/>
        </w:rPr>
      </w:pPr>
      <w:r>
        <w:rPr>
          <w:rFonts w:hint="default"/>
          <w:color w:val="auto"/>
          <w:sz w:val="24"/>
          <w:szCs w:val="24"/>
          <w:highlight w:val="none"/>
        </w:rPr>
        <w:t>投</w:t>
      </w:r>
      <w:r>
        <w:rPr>
          <w:rFonts w:hint="default"/>
          <w:color w:val="auto"/>
          <w:sz w:val="24"/>
          <w:szCs w:val="24"/>
          <w:highlight w:val="none"/>
        </w:rPr>
        <w:tab/>
      </w:r>
      <w:r>
        <w:rPr>
          <w:rFonts w:hint="default"/>
          <w:color w:val="auto"/>
          <w:sz w:val="24"/>
          <w:szCs w:val="24"/>
          <w:highlight w:val="none"/>
        </w:rPr>
        <w:t>标</w:t>
      </w:r>
      <w:r>
        <w:rPr>
          <w:rFonts w:hint="default"/>
          <w:color w:val="auto"/>
          <w:sz w:val="24"/>
          <w:szCs w:val="24"/>
          <w:highlight w:val="none"/>
        </w:rPr>
        <w:tab/>
      </w:r>
      <w:r>
        <w:rPr>
          <w:rFonts w:hint="default"/>
          <w:color w:val="auto"/>
          <w:spacing w:val="-3"/>
          <w:sz w:val="24"/>
          <w:szCs w:val="24"/>
          <w:highlight w:val="none"/>
        </w:rPr>
        <w:t>人：</w:t>
      </w:r>
      <w:r>
        <w:rPr>
          <w:rFonts w:hint="default" w:hAnsi="Times New Roman"/>
          <w:color w:val="auto"/>
          <w:spacing w:val="-3"/>
          <w:sz w:val="24"/>
          <w:szCs w:val="24"/>
          <w:highlight w:val="none"/>
          <w:u w:val="single"/>
          <w:lang w:val="en-US" w:eastAsia="zh-CN"/>
        </w:rPr>
        <w:t xml:space="preserve">                       </w:t>
      </w:r>
      <w:r>
        <w:rPr>
          <w:rFonts w:hint="default"/>
          <w:color w:val="auto"/>
          <w:sz w:val="24"/>
          <w:szCs w:val="24"/>
          <w:highlight w:val="none"/>
        </w:rPr>
        <w:t>（盖单位章）</w:t>
      </w:r>
    </w:p>
    <w:p w14:paraId="1DEF3D64">
      <w:pPr>
        <w:pStyle w:val="11"/>
        <w:kinsoku w:val="0"/>
        <w:overflowPunct w:val="0"/>
        <w:ind w:left="0"/>
        <w:rPr>
          <w:rFonts w:hint="default"/>
          <w:color w:val="auto"/>
          <w:sz w:val="24"/>
          <w:szCs w:val="24"/>
          <w:highlight w:val="none"/>
        </w:rPr>
      </w:pPr>
    </w:p>
    <w:p w14:paraId="75EE30EF">
      <w:pPr>
        <w:pStyle w:val="11"/>
        <w:tabs>
          <w:tab w:val="left" w:pos="6401"/>
        </w:tabs>
        <w:kinsoku w:val="0"/>
        <w:overflowPunct w:val="0"/>
        <w:spacing w:before="36"/>
        <w:ind w:left="2791" w:right="113"/>
        <w:rPr>
          <w:rFonts w:hint="default"/>
          <w:color w:val="auto"/>
          <w:spacing w:val="-1"/>
          <w:sz w:val="24"/>
          <w:szCs w:val="24"/>
          <w:highlight w:val="none"/>
        </w:rPr>
      </w:pPr>
      <w:r>
        <w:rPr>
          <w:rFonts w:hint="default"/>
          <w:color w:val="auto"/>
          <w:spacing w:val="-2"/>
          <w:sz w:val="24"/>
          <w:szCs w:val="24"/>
          <w:highlight w:val="none"/>
        </w:rPr>
        <w:t>法定代表人：</w:t>
      </w:r>
      <w:r>
        <w:rPr>
          <w:rFonts w:hint="eastAsia" w:ascii="Times New Roman" w:hAnsi="Times New Roman" w:eastAsia="Times New Roman"/>
          <w:color w:val="auto"/>
          <w:spacing w:val="-2"/>
          <w:sz w:val="24"/>
          <w:szCs w:val="24"/>
          <w:highlight w:val="none"/>
          <w:u w:val="single"/>
        </w:rPr>
        <w:tab/>
      </w:r>
      <w:r>
        <w:rPr>
          <w:rFonts w:hint="default" w:hAnsi="Times New Roman"/>
          <w:color w:val="auto"/>
          <w:spacing w:val="-2"/>
          <w:sz w:val="24"/>
          <w:szCs w:val="24"/>
          <w:highlight w:val="none"/>
          <w:u w:val="single"/>
          <w:lang w:val="en-US" w:eastAsia="zh-CN"/>
        </w:rPr>
        <w:t xml:space="preserve">    </w:t>
      </w:r>
      <w:r>
        <w:rPr>
          <w:rFonts w:hint="default"/>
          <w:color w:val="auto"/>
          <w:spacing w:val="-1"/>
          <w:sz w:val="24"/>
          <w:szCs w:val="24"/>
          <w:highlight w:val="none"/>
        </w:rPr>
        <w:t>（签字）</w:t>
      </w:r>
    </w:p>
    <w:p w14:paraId="48EF99A4">
      <w:pPr>
        <w:pStyle w:val="11"/>
        <w:kinsoku w:val="0"/>
        <w:overflowPunct w:val="0"/>
        <w:ind w:left="0"/>
        <w:rPr>
          <w:rFonts w:hint="default"/>
          <w:color w:val="auto"/>
          <w:sz w:val="24"/>
          <w:szCs w:val="24"/>
          <w:highlight w:val="none"/>
        </w:rPr>
      </w:pPr>
    </w:p>
    <w:p w14:paraId="285D2EE5">
      <w:pPr>
        <w:pStyle w:val="11"/>
        <w:tabs>
          <w:tab w:val="left" w:pos="8549"/>
        </w:tabs>
        <w:kinsoku w:val="0"/>
        <w:overflowPunct w:val="0"/>
        <w:spacing w:before="36"/>
        <w:ind w:left="2793" w:right="113"/>
        <w:rPr>
          <w:rFonts w:hint="eastAsia" w:ascii="Times New Roman" w:hAnsi="Times New Roman" w:eastAsia="Times New Roman"/>
          <w:color w:val="auto"/>
          <w:sz w:val="24"/>
          <w:szCs w:val="24"/>
          <w:highlight w:val="none"/>
          <w:lang w:val="en-US" w:eastAsia="zh-CN"/>
        </w:rPr>
      </w:pPr>
      <w:r>
        <w:rPr>
          <w:rFonts w:hint="default"/>
          <w:color w:val="auto"/>
          <w:sz w:val="24"/>
          <w:szCs w:val="24"/>
          <w:highlight w:val="none"/>
        </w:rPr>
        <w:t>身份证号码：</w:t>
      </w:r>
      <w:r>
        <w:rPr>
          <w:rFonts w:hint="eastAsia" w:ascii="Times New Roman" w:hAnsi="Times New Roman" w:eastAsia="Times New Roman"/>
          <w:color w:val="auto"/>
          <w:sz w:val="24"/>
          <w:szCs w:val="24"/>
          <w:highlight w:val="none"/>
          <w:u w:val="single"/>
        </w:rPr>
        <w:t xml:space="preserve"> </w:t>
      </w:r>
      <w:r>
        <w:rPr>
          <w:rFonts w:hint="default" w:hAnsi="Times New Roman"/>
          <w:color w:val="auto"/>
          <w:sz w:val="24"/>
          <w:szCs w:val="24"/>
          <w:highlight w:val="none"/>
          <w:u w:val="single"/>
          <w:lang w:val="en-US" w:eastAsia="zh-CN"/>
        </w:rPr>
        <w:t xml:space="preserve">                        </w:t>
      </w:r>
      <w:r>
        <w:rPr>
          <w:rFonts w:hint="default" w:hAnsi="Times New Roman"/>
          <w:color w:val="auto"/>
          <w:sz w:val="24"/>
          <w:szCs w:val="24"/>
          <w:highlight w:val="none"/>
          <w:lang w:val="en-US" w:eastAsia="zh-CN"/>
        </w:rPr>
        <w:t xml:space="preserve">               </w:t>
      </w:r>
    </w:p>
    <w:p w14:paraId="2DFB668E">
      <w:pPr>
        <w:pStyle w:val="11"/>
        <w:kinsoku w:val="0"/>
        <w:overflowPunct w:val="0"/>
        <w:ind w:left="0"/>
        <w:rPr>
          <w:rFonts w:hint="eastAsia" w:ascii="Times New Roman" w:hAnsi="Times New Roman" w:eastAsia="Times New Roman"/>
          <w:color w:val="auto"/>
          <w:sz w:val="24"/>
          <w:szCs w:val="24"/>
          <w:highlight w:val="none"/>
        </w:rPr>
      </w:pPr>
    </w:p>
    <w:p w14:paraId="5BCAFD7A">
      <w:pPr>
        <w:pStyle w:val="11"/>
        <w:tabs>
          <w:tab w:val="left" w:pos="7661"/>
        </w:tabs>
        <w:kinsoku w:val="0"/>
        <w:overflowPunct w:val="0"/>
        <w:spacing w:before="36"/>
        <w:ind w:left="2793" w:right="113"/>
        <w:rPr>
          <w:rFonts w:hint="default"/>
          <w:color w:val="auto"/>
          <w:spacing w:val="-1"/>
          <w:sz w:val="24"/>
          <w:szCs w:val="24"/>
          <w:highlight w:val="none"/>
        </w:rPr>
      </w:pPr>
      <w:r>
        <w:rPr>
          <w:rFonts w:hint="default"/>
          <w:color w:val="auto"/>
          <w:spacing w:val="-2"/>
          <w:sz w:val="24"/>
          <w:szCs w:val="24"/>
          <w:highlight w:val="none"/>
        </w:rPr>
        <w:t>委托代理人：</w:t>
      </w:r>
      <w:r>
        <w:rPr>
          <w:rFonts w:hint="default"/>
          <w:color w:val="auto"/>
          <w:spacing w:val="-2"/>
          <w:sz w:val="24"/>
          <w:szCs w:val="24"/>
          <w:highlight w:val="none"/>
          <w:u w:val="single"/>
          <w:lang w:val="en-US" w:eastAsia="zh-CN"/>
        </w:rPr>
        <w:t xml:space="preserve">                         </w:t>
      </w:r>
      <w:r>
        <w:rPr>
          <w:rFonts w:hint="default"/>
          <w:color w:val="auto"/>
          <w:spacing w:val="-1"/>
          <w:sz w:val="24"/>
          <w:szCs w:val="24"/>
          <w:highlight w:val="none"/>
        </w:rPr>
        <w:t>（签字）</w:t>
      </w:r>
    </w:p>
    <w:p w14:paraId="3F4E298C">
      <w:pPr>
        <w:pStyle w:val="11"/>
        <w:kinsoku w:val="0"/>
        <w:overflowPunct w:val="0"/>
        <w:ind w:left="0"/>
        <w:rPr>
          <w:rFonts w:hint="default"/>
          <w:color w:val="auto"/>
          <w:sz w:val="24"/>
          <w:szCs w:val="24"/>
          <w:highlight w:val="none"/>
        </w:rPr>
      </w:pPr>
    </w:p>
    <w:p w14:paraId="123A8311">
      <w:pPr>
        <w:pStyle w:val="11"/>
        <w:tabs>
          <w:tab w:val="left" w:pos="8549"/>
        </w:tabs>
        <w:kinsoku w:val="0"/>
        <w:overflowPunct w:val="0"/>
        <w:spacing w:before="36"/>
        <w:ind w:left="2793" w:right="113"/>
        <w:rPr>
          <w:rFonts w:hint="eastAsia" w:ascii="Times New Roman" w:hAnsi="Times New Roman" w:eastAsia="Times New Roman"/>
          <w:color w:val="auto"/>
          <w:sz w:val="24"/>
          <w:szCs w:val="24"/>
          <w:highlight w:val="none"/>
          <w:u w:val="single"/>
        </w:rPr>
      </w:pPr>
      <w:r>
        <w:rPr>
          <w:rFonts w:hint="default"/>
          <w:color w:val="auto"/>
          <w:sz w:val="24"/>
          <w:szCs w:val="24"/>
          <w:highlight w:val="none"/>
        </w:rPr>
        <w:t>身份证号码：</w:t>
      </w:r>
      <w:r>
        <w:rPr>
          <w:rFonts w:hint="eastAsia" w:ascii="Times New Roman" w:hAnsi="Times New Roman" w:eastAsia="Times New Roman"/>
          <w:color w:val="auto"/>
          <w:sz w:val="24"/>
          <w:szCs w:val="24"/>
          <w:highlight w:val="none"/>
          <w:u w:val="single"/>
        </w:rPr>
        <w:t xml:space="preserve"> </w:t>
      </w:r>
      <w:r>
        <w:rPr>
          <w:rFonts w:hint="default" w:hAnsi="Times New Roman"/>
          <w:color w:val="auto"/>
          <w:sz w:val="24"/>
          <w:szCs w:val="24"/>
          <w:highlight w:val="none"/>
          <w:u w:val="single"/>
          <w:lang w:val="en-US" w:eastAsia="zh-CN"/>
        </w:rPr>
        <w:t xml:space="preserve">                        </w:t>
      </w:r>
      <w:r>
        <w:rPr>
          <w:rFonts w:hint="default" w:hAnsi="Times New Roman"/>
          <w:color w:val="auto"/>
          <w:sz w:val="24"/>
          <w:szCs w:val="24"/>
          <w:highlight w:val="none"/>
          <w:lang w:val="en-US" w:eastAsia="zh-CN"/>
        </w:rPr>
        <w:t xml:space="preserve">               </w:t>
      </w:r>
    </w:p>
    <w:p w14:paraId="326D9B61">
      <w:pPr>
        <w:pStyle w:val="11"/>
        <w:kinsoku w:val="0"/>
        <w:overflowPunct w:val="0"/>
        <w:spacing w:before="9"/>
        <w:ind w:left="0"/>
        <w:rPr>
          <w:rFonts w:hint="eastAsia" w:ascii="Times New Roman" w:hAnsi="Times New Roman" w:eastAsia="Times New Roman"/>
          <w:color w:val="auto"/>
          <w:sz w:val="24"/>
          <w:szCs w:val="24"/>
          <w:highlight w:val="none"/>
        </w:rPr>
      </w:pPr>
    </w:p>
    <w:p w14:paraId="28507026">
      <w:pPr>
        <w:pStyle w:val="11"/>
        <w:tabs>
          <w:tab w:val="left" w:pos="736"/>
          <w:tab w:val="left" w:pos="1682"/>
          <w:tab w:val="left" w:pos="2626"/>
        </w:tabs>
        <w:kinsoku w:val="0"/>
        <w:overflowPunct w:val="0"/>
        <w:spacing w:before="36"/>
        <w:ind w:left="0" w:right="113"/>
        <w:jc w:val="both"/>
        <w:rPr>
          <w:rFonts w:hint="default"/>
          <w:color w:val="auto"/>
          <w:sz w:val="24"/>
          <w:szCs w:val="24"/>
          <w:highlight w:val="none"/>
          <w:u w:val="single"/>
          <w:lang w:val="en-US" w:eastAsia="zh-CN"/>
        </w:rPr>
      </w:pPr>
      <w:r>
        <w:rPr>
          <w:rFonts w:hint="default"/>
          <w:color w:val="auto"/>
          <w:sz w:val="24"/>
          <w:szCs w:val="24"/>
          <w:highlight w:val="none"/>
          <w:lang w:val="en-US" w:eastAsia="zh-CN"/>
        </w:rPr>
        <w:t xml:space="preserve">                                  </w:t>
      </w:r>
      <w:r>
        <w:rPr>
          <w:rFonts w:hint="default"/>
          <w:color w:val="auto"/>
          <w:sz w:val="24"/>
          <w:szCs w:val="24"/>
          <w:highlight w:val="none"/>
          <w:u w:val="single"/>
          <w:lang w:val="en-US" w:eastAsia="zh-CN"/>
        </w:rPr>
        <w:t xml:space="preserve">        </w:t>
      </w:r>
      <w:r>
        <w:rPr>
          <w:rFonts w:hint="default"/>
          <w:color w:val="auto"/>
          <w:sz w:val="24"/>
          <w:szCs w:val="24"/>
          <w:highlight w:val="none"/>
          <w:lang w:val="en-US" w:eastAsia="zh-CN"/>
        </w:rPr>
        <w:t>年</w:t>
      </w:r>
      <w:r>
        <w:rPr>
          <w:rFonts w:hint="default"/>
          <w:color w:val="auto"/>
          <w:sz w:val="24"/>
          <w:szCs w:val="24"/>
          <w:highlight w:val="none"/>
          <w:u w:val="single"/>
          <w:lang w:val="en-US" w:eastAsia="zh-CN"/>
        </w:rPr>
        <w:t xml:space="preserve">     </w:t>
      </w:r>
      <w:r>
        <w:rPr>
          <w:rFonts w:hint="default"/>
          <w:color w:val="auto"/>
          <w:sz w:val="24"/>
          <w:szCs w:val="24"/>
          <w:highlight w:val="none"/>
          <w:lang w:val="en-US" w:eastAsia="zh-CN"/>
        </w:rPr>
        <w:t>月</w:t>
      </w:r>
      <w:r>
        <w:rPr>
          <w:rFonts w:hint="default"/>
          <w:color w:val="auto"/>
          <w:sz w:val="24"/>
          <w:szCs w:val="24"/>
          <w:highlight w:val="none"/>
          <w:u w:val="single"/>
          <w:lang w:val="en-US" w:eastAsia="zh-CN"/>
        </w:rPr>
        <w:t xml:space="preserve">     </w:t>
      </w:r>
      <w:r>
        <w:rPr>
          <w:rFonts w:hint="default"/>
          <w:color w:val="auto"/>
          <w:sz w:val="24"/>
          <w:szCs w:val="24"/>
          <w:highlight w:val="none"/>
          <w:lang w:val="en-US" w:eastAsia="zh-CN"/>
        </w:rPr>
        <w:t>日</w:t>
      </w:r>
    </w:p>
    <w:p w14:paraId="4A81C70B">
      <w:pPr>
        <w:pStyle w:val="11"/>
        <w:tabs>
          <w:tab w:val="left" w:pos="736"/>
          <w:tab w:val="left" w:pos="1682"/>
          <w:tab w:val="left" w:pos="2626"/>
        </w:tabs>
        <w:kinsoku w:val="0"/>
        <w:overflowPunct w:val="0"/>
        <w:spacing w:before="36"/>
        <w:ind w:left="0"/>
        <w:jc w:val="right"/>
        <w:rPr>
          <w:rFonts w:hint="default"/>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6E4AE573">
      <w:pPr>
        <w:pStyle w:val="4"/>
        <w:jc w:val="center"/>
        <w:outlineLvl w:val="1"/>
        <w:rPr>
          <w:rFonts w:hint="eastAsia" w:eastAsia="宋体"/>
          <w:color w:val="auto"/>
          <w:sz w:val="28"/>
          <w:szCs w:val="24"/>
          <w:highlight w:val="none"/>
          <w:lang w:eastAsia="zh-CN"/>
        </w:rPr>
      </w:pPr>
      <w:bookmarkStart w:id="314" w:name="bookmark181"/>
      <w:bookmarkEnd w:id="314"/>
      <w:bookmarkStart w:id="315" w:name="_Toc5401"/>
      <w:bookmarkStart w:id="316" w:name="_Toc5725"/>
      <w:r>
        <w:rPr>
          <w:rFonts w:hint="default"/>
          <w:color w:val="auto"/>
          <w:sz w:val="28"/>
          <w:szCs w:val="24"/>
          <w:highlight w:val="none"/>
        </w:rPr>
        <w:t>三、联合体协议书</w:t>
      </w:r>
      <w:bookmarkEnd w:id="315"/>
      <w:r>
        <w:rPr>
          <w:rFonts w:hint="eastAsia"/>
          <w:color w:val="auto"/>
          <w:sz w:val="28"/>
          <w:szCs w:val="24"/>
          <w:highlight w:val="none"/>
          <w:lang w:eastAsia="zh-CN"/>
        </w:rPr>
        <w:t>（</w:t>
      </w:r>
      <w:r>
        <w:rPr>
          <w:rFonts w:hint="eastAsia"/>
          <w:color w:val="auto"/>
          <w:sz w:val="28"/>
          <w:szCs w:val="24"/>
          <w:highlight w:val="none"/>
          <w:lang w:val="en-US" w:eastAsia="zh-CN"/>
        </w:rPr>
        <w:t>如有</w:t>
      </w:r>
      <w:r>
        <w:rPr>
          <w:rFonts w:hint="eastAsia"/>
          <w:color w:val="auto"/>
          <w:sz w:val="28"/>
          <w:szCs w:val="24"/>
          <w:highlight w:val="none"/>
          <w:lang w:eastAsia="zh-CN"/>
        </w:rPr>
        <w:t>）</w:t>
      </w:r>
      <w:bookmarkEnd w:id="316"/>
    </w:p>
    <w:p w14:paraId="07F1E13F">
      <w:pPr>
        <w:pStyle w:val="11"/>
        <w:tabs>
          <w:tab w:val="left" w:pos="2202"/>
          <w:tab w:val="left" w:pos="6000"/>
        </w:tabs>
        <w:kinsoku w:val="0"/>
        <w:overflowPunct w:val="0"/>
        <w:spacing w:line="360" w:lineRule="auto"/>
        <w:ind w:left="0" w:firstLine="420" w:firstLineChars="200"/>
        <w:rPr>
          <w:rFonts w:hint="default"/>
          <w:color w:val="auto"/>
          <w:spacing w:val="-1"/>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1"/>
          <w:sz w:val="21"/>
          <w:szCs w:val="24"/>
          <w:highlight w:val="none"/>
        </w:rPr>
        <w:t>（所有成员单位名称）自愿组成</w:t>
      </w:r>
      <w:r>
        <w:rPr>
          <w:rFonts w:hint="eastAsia" w:ascii="Times New Roman" w:hAnsi="Times New Roman" w:eastAsia="Times New Roman"/>
          <w:color w:val="auto"/>
          <w:spacing w:val="-1"/>
          <w:sz w:val="21"/>
          <w:szCs w:val="24"/>
          <w:highlight w:val="none"/>
          <w:u w:val="single"/>
        </w:rPr>
        <w:tab/>
      </w:r>
      <w:r>
        <w:rPr>
          <w:rFonts w:hint="default"/>
          <w:color w:val="auto"/>
          <w:sz w:val="21"/>
          <w:szCs w:val="24"/>
          <w:highlight w:val="none"/>
        </w:rPr>
        <w:t>（联合体名称）联合体，共同</w:t>
      </w:r>
      <w:r>
        <w:rPr>
          <w:rFonts w:hint="default"/>
          <w:color w:val="auto"/>
          <w:spacing w:val="-1"/>
          <w:sz w:val="21"/>
          <w:szCs w:val="24"/>
          <w:highlight w:val="none"/>
        </w:rPr>
        <w:t>参加</w:t>
      </w:r>
      <w:r>
        <w:rPr>
          <w:rFonts w:hint="eastAsia" w:ascii="Times New Roman" w:hAnsi="Times New Roman" w:eastAsia="Times New Roman"/>
          <w:color w:val="auto"/>
          <w:spacing w:val="-1"/>
          <w:sz w:val="21"/>
          <w:szCs w:val="24"/>
          <w:highlight w:val="none"/>
          <w:u w:val="single"/>
        </w:rPr>
        <w:tab/>
      </w:r>
      <w:r>
        <w:rPr>
          <w:rFonts w:hint="default"/>
          <w:color w:val="auto"/>
          <w:spacing w:val="-1"/>
          <w:sz w:val="21"/>
          <w:szCs w:val="24"/>
          <w:highlight w:val="none"/>
        </w:rPr>
        <w:t>（项目名称）监理招标项目投标。现就联合体投标事宜订立如下协议。</w:t>
      </w:r>
    </w:p>
    <w:p w14:paraId="56F5C8F2">
      <w:pPr>
        <w:pStyle w:val="11"/>
        <w:tabs>
          <w:tab w:val="left" w:pos="2673"/>
          <w:tab w:val="left" w:pos="5614"/>
        </w:tabs>
        <w:kinsoku w:val="0"/>
        <w:overflowPunct w:val="0"/>
        <w:spacing w:before="36" w:line="360" w:lineRule="auto"/>
        <w:rPr>
          <w:rFonts w:hint="default"/>
          <w:color w:val="auto"/>
          <w:spacing w:val="-2"/>
          <w:sz w:val="21"/>
          <w:szCs w:val="24"/>
          <w:highlight w:val="none"/>
        </w:rPr>
      </w:pPr>
      <w:r>
        <w:rPr>
          <w:rFonts w:hint="eastAsia" w:ascii="Times New Roman" w:hAnsi="Times New Roman" w:eastAsia="Times New Roman"/>
          <w:color w:val="auto"/>
          <w:sz w:val="21"/>
          <w:szCs w:val="24"/>
          <w:highlight w:val="none"/>
        </w:rPr>
        <w:t>1.</w:t>
      </w:r>
      <w:r>
        <w:rPr>
          <w:rFonts w:hint="eastAsia" w:ascii="Times New Roman" w:hAnsi="Times New Roman" w:eastAsia="Times New Roman"/>
          <w:color w:val="auto"/>
          <w:sz w:val="21"/>
          <w:szCs w:val="24"/>
          <w:highlight w:val="none"/>
          <w:u w:val="single"/>
        </w:rPr>
        <w:tab/>
      </w:r>
      <w:r>
        <w:rPr>
          <w:rFonts w:hint="default"/>
          <w:color w:val="auto"/>
          <w:spacing w:val="-2"/>
          <w:sz w:val="21"/>
          <w:szCs w:val="24"/>
          <w:highlight w:val="none"/>
        </w:rPr>
        <w:t>（某成员单位名称）为</w:t>
      </w:r>
      <w:r>
        <w:rPr>
          <w:rFonts w:hint="eastAsia" w:ascii="Times New Roman" w:hAnsi="Times New Roman" w:eastAsia="Times New Roman"/>
          <w:color w:val="auto"/>
          <w:spacing w:val="-2"/>
          <w:sz w:val="21"/>
          <w:szCs w:val="24"/>
          <w:highlight w:val="none"/>
          <w:u w:val="single"/>
        </w:rPr>
        <w:tab/>
      </w:r>
      <w:r>
        <w:rPr>
          <w:rFonts w:hint="default"/>
          <w:color w:val="auto"/>
          <w:spacing w:val="-2"/>
          <w:sz w:val="21"/>
          <w:szCs w:val="24"/>
          <w:highlight w:val="none"/>
        </w:rPr>
        <w:t>（联合体名称）</w:t>
      </w:r>
      <w:r>
        <w:rPr>
          <w:rFonts w:hint="default"/>
          <w:color w:val="auto"/>
          <w:spacing w:val="-2"/>
          <w:sz w:val="21"/>
          <w:szCs w:val="24"/>
          <w:highlight w:val="none"/>
          <w:lang w:eastAsia="zh-CN"/>
        </w:rPr>
        <w:t>主办方</w:t>
      </w:r>
      <w:r>
        <w:rPr>
          <w:rFonts w:hint="default"/>
          <w:color w:val="auto"/>
          <w:spacing w:val="-2"/>
          <w:sz w:val="21"/>
          <w:szCs w:val="24"/>
          <w:highlight w:val="none"/>
        </w:rPr>
        <w:t>。</w:t>
      </w:r>
    </w:p>
    <w:p w14:paraId="6C6E9836">
      <w:pPr>
        <w:pStyle w:val="11"/>
        <w:kinsoku w:val="0"/>
        <w:overflowPunct w:val="0"/>
        <w:spacing w:before="148" w:line="360" w:lineRule="auto"/>
        <w:ind w:left="100" w:firstLine="419"/>
        <w:rPr>
          <w:rFonts w:hint="default"/>
          <w:color w:val="auto"/>
          <w:sz w:val="21"/>
          <w:szCs w:val="24"/>
          <w:highlight w:val="none"/>
        </w:rPr>
      </w:pPr>
      <w:r>
        <w:rPr>
          <w:rFonts w:hint="eastAsia" w:ascii="Times New Roman" w:hAnsi="Times New Roman" w:eastAsia="Times New Roman"/>
          <w:color w:val="auto"/>
          <w:sz w:val="21"/>
          <w:szCs w:val="24"/>
          <w:highlight w:val="none"/>
        </w:rPr>
        <w:t>2.</w:t>
      </w:r>
      <w:r>
        <w:rPr>
          <w:rFonts w:hint="eastAsia" w:ascii="Times New Roman" w:hAnsi="Times New Roman" w:eastAsia="Times New Roman"/>
          <w:color w:val="auto"/>
          <w:spacing w:val="50"/>
          <w:sz w:val="21"/>
          <w:szCs w:val="24"/>
          <w:highlight w:val="none"/>
        </w:rPr>
        <w:t xml:space="preserve"> </w:t>
      </w:r>
      <w:r>
        <w:rPr>
          <w:rFonts w:hint="default"/>
          <w:color w:val="auto"/>
          <w:spacing w:val="-5"/>
          <w:sz w:val="21"/>
          <w:szCs w:val="24"/>
          <w:highlight w:val="none"/>
        </w:rPr>
        <w:t>联合体各成员授权</w:t>
      </w:r>
      <w:r>
        <w:rPr>
          <w:rFonts w:hint="default"/>
          <w:color w:val="auto"/>
          <w:spacing w:val="-2"/>
          <w:sz w:val="21"/>
          <w:szCs w:val="24"/>
          <w:highlight w:val="none"/>
          <w:lang w:eastAsia="zh-CN"/>
        </w:rPr>
        <w:t>主办方</w:t>
      </w:r>
      <w:r>
        <w:rPr>
          <w:rFonts w:hint="default"/>
          <w:color w:val="auto"/>
          <w:spacing w:val="-5"/>
          <w:sz w:val="21"/>
          <w:szCs w:val="24"/>
          <w:highlight w:val="none"/>
        </w:rPr>
        <w:t>代表联合体参加投标活动，签署文件，提交和接收相关的资料、</w:t>
      </w:r>
      <w:r>
        <w:rPr>
          <w:rFonts w:hint="default"/>
          <w:color w:val="auto"/>
          <w:sz w:val="21"/>
          <w:szCs w:val="24"/>
          <w:highlight w:val="none"/>
        </w:rPr>
        <w:t xml:space="preserve"> 信息及指示，进行合同谈判活动，负责合同实施阶段的组织和协调工作，以及处理与本招标项</w:t>
      </w:r>
      <w:r>
        <w:rPr>
          <w:rFonts w:hint="default"/>
          <w:color w:val="auto"/>
          <w:spacing w:val="-78"/>
          <w:sz w:val="21"/>
          <w:szCs w:val="24"/>
          <w:highlight w:val="none"/>
        </w:rPr>
        <w:t xml:space="preserve"> </w:t>
      </w:r>
      <w:r>
        <w:rPr>
          <w:rFonts w:hint="default"/>
          <w:color w:val="auto"/>
          <w:sz w:val="21"/>
          <w:szCs w:val="24"/>
          <w:highlight w:val="none"/>
        </w:rPr>
        <w:t>目有关的一切事宜。</w:t>
      </w:r>
    </w:p>
    <w:p w14:paraId="49AAB9E5">
      <w:pPr>
        <w:pStyle w:val="11"/>
        <w:kinsoku w:val="0"/>
        <w:overflowPunct w:val="0"/>
        <w:spacing w:before="46" w:line="360" w:lineRule="auto"/>
        <w:ind w:left="100" w:firstLine="419"/>
        <w:rPr>
          <w:rFonts w:hint="default"/>
          <w:color w:val="auto"/>
          <w:sz w:val="21"/>
          <w:szCs w:val="24"/>
          <w:highlight w:val="none"/>
        </w:rPr>
      </w:pPr>
      <w:r>
        <w:rPr>
          <w:rFonts w:hint="eastAsia" w:ascii="Times New Roman" w:hAnsi="Times New Roman" w:eastAsia="Times New Roman"/>
          <w:color w:val="auto"/>
          <w:sz w:val="21"/>
          <w:szCs w:val="24"/>
          <w:highlight w:val="none"/>
        </w:rPr>
        <w:t>3.</w:t>
      </w:r>
      <w:r>
        <w:rPr>
          <w:rFonts w:hint="eastAsia" w:ascii="Times New Roman" w:hAnsi="Times New Roman" w:eastAsia="Times New Roman"/>
          <w:color w:val="auto"/>
          <w:spacing w:val="20"/>
          <w:sz w:val="21"/>
          <w:szCs w:val="24"/>
          <w:highlight w:val="none"/>
        </w:rPr>
        <w:t xml:space="preserve"> </w:t>
      </w:r>
      <w:r>
        <w:rPr>
          <w:rFonts w:hint="default"/>
          <w:color w:val="auto"/>
          <w:spacing w:val="-3"/>
          <w:sz w:val="21"/>
          <w:szCs w:val="24"/>
          <w:highlight w:val="none"/>
        </w:rPr>
        <w:t>联合体</w:t>
      </w:r>
      <w:r>
        <w:rPr>
          <w:rFonts w:hint="default"/>
          <w:color w:val="auto"/>
          <w:spacing w:val="-2"/>
          <w:sz w:val="21"/>
          <w:szCs w:val="24"/>
          <w:highlight w:val="none"/>
          <w:lang w:eastAsia="zh-CN"/>
        </w:rPr>
        <w:t>主办方</w:t>
      </w:r>
      <w:r>
        <w:rPr>
          <w:rFonts w:hint="default"/>
          <w:color w:val="auto"/>
          <w:spacing w:val="-3"/>
          <w:sz w:val="21"/>
          <w:szCs w:val="24"/>
          <w:highlight w:val="none"/>
        </w:rPr>
        <w:t>在本项目中签署的一切文件和处理的一切事宜，联合体各成员均予以承认。</w:t>
      </w:r>
      <w:r>
        <w:rPr>
          <w:rFonts w:hint="default"/>
          <w:color w:val="auto"/>
          <w:sz w:val="21"/>
          <w:szCs w:val="24"/>
          <w:highlight w:val="none"/>
        </w:rPr>
        <w:t xml:space="preserve"> 联合体各成员将严格按照招标文件、投标文件和合同的要求全面履行义务，并向招标人承担连</w:t>
      </w:r>
      <w:r>
        <w:rPr>
          <w:rFonts w:hint="default"/>
          <w:color w:val="auto"/>
          <w:spacing w:val="-77"/>
          <w:sz w:val="21"/>
          <w:szCs w:val="24"/>
          <w:highlight w:val="none"/>
        </w:rPr>
        <w:t xml:space="preserve"> </w:t>
      </w:r>
      <w:r>
        <w:rPr>
          <w:rFonts w:hint="default"/>
          <w:color w:val="auto"/>
          <w:sz w:val="21"/>
          <w:szCs w:val="24"/>
          <w:highlight w:val="none"/>
        </w:rPr>
        <w:t>带责任。</w:t>
      </w:r>
    </w:p>
    <w:p w14:paraId="6836995C">
      <w:pPr>
        <w:pStyle w:val="11"/>
        <w:tabs>
          <w:tab w:val="left" w:pos="8741"/>
        </w:tabs>
        <w:kinsoku w:val="0"/>
        <w:overflowPunct w:val="0"/>
        <w:spacing w:before="46" w:line="360" w:lineRule="auto"/>
        <w:outlineLvl w:val="2"/>
        <w:rPr>
          <w:rFonts w:hint="default"/>
          <w:color w:val="auto"/>
          <w:sz w:val="21"/>
          <w:szCs w:val="24"/>
          <w:highlight w:val="none"/>
        </w:rPr>
      </w:pPr>
      <w:bookmarkStart w:id="317" w:name="_Toc29760"/>
      <w:bookmarkStart w:id="318" w:name="_Toc6641"/>
      <w:bookmarkStart w:id="319" w:name="_Toc31387"/>
      <w:r>
        <w:rPr>
          <w:rFonts w:hint="eastAsia" w:ascii="Times New Roman" w:hAnsi="Times New Roman" w:eastAsia="Times New Roman"/>
          <w:color w:val="auto"/>
          <w:sz w:val="21"/>
          <w:szCs w:val="24"/>
          <w:highlight w:val="none"/>
        </w:rPr>
        <w:t xml:space="preserve">4. </w:t>
      </w:r>
      <w:r>
        <w:rPr>
          <w:rFonts w:hint="eastAsia" w:ascii="Times New Roman" w:hAnsi="Times New Roman" w:eastAsia="Times New Roman"/>
          <w:color w:val="auto"/>
          <w:spacing w:val="24"/>
          <w:sz w:val="21"/>
          <w:szCs w:val="24"/>
          <w:highlight w:val="none"/>
        </w:rPr>
        <w:t xml:space="preserve"> </w:t>
      </w:r>
      <w:r>
        <w:rPr>
          <w:rFonts w:hint="default"/>
          <w:color w:val="auto"/>
          <w:spacing w:val="-3"/>
          <w:sz w:val="21"/>
          <w:szCs w:val="24"/>
          <w:highlight w:val="none"/>
        </w:rPr>
        <w:t>联合体各成员单位内部的职责分工如下：</w:t>
      </w:r>
      <w:r>
        <w:rPr>
          <w:rFonts w:hint="eastAsia" w:ascii="Times New Roman" w:hAnsi="Times New Roman" w:eastAsia="Times New Roman"/>
          <w:color w:val="auto"/>
          <w:spacing w:val="-3"/>
          <w:sz w:val="21"/>
          <w:szCs w:val="24"/>
          <w:highlight w:val="none"/>
          <w:u w:val="single"/>
        </w:rPr>
        <w:tab/>
      </w:r>
      <w:r>
        <w:rPr>
          <w:rFonts w:hint="default"/>
          <w:color w:val="auto"/>
          <w:sz w:val="21"/>
          <w:szCs w:val="24"/>
          <w:highlight w:val="none"/>
        </w:rPr>
        <w:t>。</w:t>
      </w:r>
      <w:bookmarkEnd w:id="317"/>
      <w:bookmarkEnd w:id="318"/>
      <w:bookmarkEnd w:id="319"/>
    </w:p>
    <w:p w14:paraId="7089C5C3">
      <w:pPr>
        <w:pStyle w:val="11"/>
        <w:kinsoku w:val="0"/>
        <w:overflowPunct w:val="0"/>
        <w:spacing w:before="151" w:line="360" w:lineRule="auto"/>
        <w:ind w:left="100" w:firstLine="419"/>
        <w:rPr>
          <w:rFonts w:hint="default"/>
          <w:color w:val="auto"/>
          <w:sz w:val="21"/>
          <w:szCs w:val="24"/>
          <w:highlight w:val="none"/>
        </w:rPr>
      </w:pPr>
      <w:r>
        <w:rPr>
          <w:rFonts w:hint="eastAsia" w:ascii="Times New Roman" w:hAnsi="Times New Roman" w:eastAsia="Times New Roman"/>
          <w:color w:val="auto"/>
          <w:sz w:val="21"/>
          <w:szCs w:val="24"/>
          <w:highlight w:val="none"/>
        </w:rPr>
        <w:t>5.</w:t>
      </w:r>
      <w:r>
        <w:rPr>
          <w:rFonts w:hint="eastAsia" w:ascii="Times New Roman" w:hAnsi="Times New Roman" w:eastAsia="Times New Roman"/>
          <w:color w:val="auto"/>
          <w:spacing w:val="27"/>
          <w:sz w:val="21"/>
          <w:szCs w:val="24"/>
          <w:highlight w:val="none"/>
        </w:rPr>
        <w:t xml:space="preserve"> </w:t>
      </w:r>
      <w:r>
        <w:rPr>
          <w:rFonts w:hint="default"/>
          <w:color w:val="auto"/>
          <w:sz w:val="21"/>
          <w:szCs w:val="24"/>
          <w:highlight w:val="none"/>
        </w:rPr>
        <w:t>本协议书自所有成员单位法定代表人或其委托代理人签字或盖单位章之日起生效，合同 履行完毕后自动失效。</w:t>
      </w:r>
    </w:p>
    <w:p w14:paraId="13997F54">
      <w:pPr>
        <w:pStyle w:val="11"/>
        <w:tabs>
          <w:tab w:val="left" w:pos="2464"/>
        </w:tabs>
        <w:kinsoku w:val="0"/>
        <w:overflowPunct w:val="0"/>
        <w:spacing w:before="57" w:line="360" w:lineRule="auto"/>
        <w:rPr>
          <w:rFonts w:hint="default"/>
          <w:color w:val="auto"/>
          <w:sz w:val="21"/>
          <w:szCs w:val="24"/>
          <w:highlight w:val="none"/>
        </w:rPr>
      </w:pPr>
      <w:r>
        <w:rPr>
          <w:rFonts w:hint="eastAsia" w:ascii="Times New Roman" w:hAnsi="Times New Roman" w:eastAsia="Times New Roman"/>
          <w:color w:val="auto"/>
          <w:sz w:val="21"/>
          <w:szCs w:val="24"/>
          <w:highlight w:val="none"/>
        </w:rPr>
        <w:t>6.</w:t>
      </w:r>
      <w:r>
        <w:rPr>
          <w:rFonts w:hint="eastAsia" w:ascii="Times New Roman" w:hAnsi="Times New Roman" w:eastAsia="Times New Roman"/>
          <w:color w:val="auto"/>
          <w:spacing w:val="50"/>
          <w:sz w:val="21"/>
          <w:szCs w:val="24"/>
          <w:highlight w:val="none"/>
        </w:rPr>
        <w:t xml:space="preserve"> </w:t>
      </w:r>
      <w:r>
        <w:rPr>
          <w:rFonts w:hint="default"/>
          <w:color w:val="auto"/>
          <w:sz w:val="21"/>
          <w:szCs w:val="24"/>
          <w:highlight w:val="none"/>
        </w:rPr>
        <w:t>本协议书一式</w:t>
      </w:r>
      <w:r>
        <w:rPr>
          <w:rFonts w:hint="eastAsia" w:ascii="Times New Roman" w:hAnsi="Times New Roman" w:eastAsia="Times New Roman"/>
          <w:color w:val="auto"/>
          <w:sz w:val="21"/>
          <w:szCs w:val="24"/>
          <w:highlight w:val="none"/>
          <w:u w:val="single"/>
        </w:rPr>
        <w:tab/>
      </w:r>
      <w:r>
        <w:rPr>
          <w:rFonts w:hint="default" w:hAnsi="Times New Roman"/>
          <w:color w:val="auto"/>
          <w:sz w:val="21"/>
          <w:szCs w:val="24"/>
          <w:highlight w:val="none"/>
          <w:u w:val="single"/>
          <w:lang w:val="en-US" w:eastAsia="zh-CN"/>
        </w:rPr>
        <w:t xml:space="preserve">     </w:t>
      </w:r>
      <w:r>
        <w:rPr>
          <w:rFonts w:hint="default"/>
          <w:color w:val="auto"/>
          <w:sz w:val="21"/>
          <w:szCs w:val="24"/>
          <w:highlight w:val="none"/>
        </w:rPr>
        <w:t>份，联合体成员和招标人各执一份。</w:t>
      </w:r>
    </w:p>
    <w:p w14:paraId="0010FC3A">
      <w:pPr>
        <w:pStyle w:val="11"/>
        <w:kinsoku w:val="0"/>
        <w:overflowPunct w:val="0"/>
        <w:spacing w:before="36" w:line="360" w:lineRule="auto"/>
        <w:ind w:left="100" w:firstLine="419"/>
        <w:rPr>
          <w:rFonts w:hint="default"/>
          <w:color w:val="auto"/>
          <w:sz w:val="21"/>
          <w:szCs w:val="24"/>
          <w:highlight w:val="none"/>
        </w:rPr>
      </w:pPr>
      <w:r>
        <w:rPr>
          <w:rFonts w:hint="default"/>
          <w:color w:val="auto"/>
          <w:spacing w:val="-1"/>
          <w:sz w:val="21"/>
          <w:szCs w:val="24"/>
          <w:highlight w:val="none"/>
        </w:rPr>
        <w:t>注：本协议书由法定代表人签字的，应附法定代表人身份证明；由委托代理人签字的，应附法定代表人身份证明</w:t>
      </w:r>
      <w:r>
        <w:rPr>
          <w:rFonts w:hint="default"/>
          <w:color w:val="auto"/>
          <w:spacing w:val="-1"/>
          <w:sz w:val="21"/>
          <w:szCs w:val="24"/>
          <w:highlight w:val="none"/>
          <w:lang w:eastAsia="zh-CN"/>
        </w:rPr>
        <w:t>和</w:t>
      </w:r>
      <w:r>
        <w:rPr>
          <w:rFonts w:hint="default"/>
          <w:color w:val="auto"/>
          <w:sz w:val="21"/>
          <w:szCs w:val="24"/>
          <w:highlight w:val="none"/>
        </w:rPr>
        <w:t>授权委托书。</w:t>
      </w:r>
    </w:p>
    <w:p w14:paraId="5C4BAD9C">
      <w:pPr>
        <w:pStyle w:val="11"/>
        <w:kinsoku w:val="0"/>
        <w:overflowPunct w:val="0"/>
        <w:spacing w:before="36" w:line="360" w:lineRule="auto"/>
        <w:ind w:left="100" w:firstLine="419"/>
        <w:rPr>
          <w:rFonts w:hint="default"/>
          <w:color w:val="auto"/>
          <w:sz w:val="21"/>
          <w:szCs w:val="24"/>
          <w:highlight w:val="none"/>
        </w:rPr>
      </w:pPr>
    </w:p>
    <w:p w14:paraId="4954DDBD">
      <w:pPr>
        <w:pStyle w:val="11"/>
        <w:tabs>
          <w:tab w:val="left" w:pos="7241"/>
        </w:tabs>
        <w:kinsoku w:val="0"/>
        <w:overflowPunct w:val="0"/>
        <w:spacing w:line="360" w:lineRule="auto"/>
        <w:ind w:left="2510"/>
        <w:rPr>
          <w:rFonts w:hint="default"/>
          <w:color w:val="auto"/>
          <w:sz w:val="21"/>
          <w:szCs w:val="24"/>
          <w:highlight w:val="none"/>
        </w:rPr>
      </w:pPr>
      <w:r>
        <w:rPr>
          <w:rFonts w:hint="default"/>
          <w:color w:val="auto"/>
          <w:spacing w:val="-2"/>
          <w:sz w:val="21"/>
          <w:szCs w:val="24"/>
          <w:highlight w:val="none"/>
        </w:rPr>
        <w:t>联合体</w:t>
      </w:r>
      <w:r>
        <w:rPr>
          <w:rFonts w:hint="default"/>
          <w:color w:val="auto"/>
          <w:spacing w:val="-2"/>
          <w:sz w:val="21"/>
          <w:szCs w:val="24"/>
          <w:highlight w:val="none"/>
          <w:lang w:eastAsia="zh-CN"/>
        </w:rPr>
        <w:t>主办方</w:t>
      </w:r>
      <w:r>
        <w:rPr>
          <w:rFonts w:hint="default"/>
          <w:color w:val="auto"/>
          <w:spacing w:val="-2"/>
          <w:sz w:val="21"/>
          <w:szCs w:val="24"/>
          <w:highlight w:val="none"/>
        </w:rPr>
        <w:t>名称：</w:t>
      </w:r>
      <w:r>
        <w:rPr>
          <w:rFonts w:hint="eastAsia" w:ascii="Times New Roman" w:hAnsi="Times New Roman" w:eastAsia="Times New Roman"/>
          <w:color w:val="auto"/>
          <w:spacing w:val="-2"/>
          <w:sz w:val="21"/>
          <w:szCs w:val="24"/>
          <w:highlight w:val="none"/>
          <w:u w:val="single"/>
        </w:rPr>
        <w:tab/>
      </w:r>
      <w:r>
        <w:rPr>
          <w:rFonts w:hint="default"/>
          <w:color w:val="auto"/>
          <w:spacing w:val="-1"/>
          <w:sz w:val="21"/>
          <w:szCs w:val="24"/>
          <w:highlight w:val="none"/>
        </w:rPr>
        <w:t>（盖单位章）</w:t>
      </w:r>
    </w:p>
    <w:p w14:paraId="31CD27FB">
      <w:pPr>
        <w:pStyle w:val="11"/>
        <w:tabs>
          <w:tab w:val="left" w:pos="6401"/>
        </w:tabs>
        <w:kinsoku w:val="0"/>
        <w:overflowPunct w:val="0"/>
        <w:spacing w:before="36" w:line="360" w:lineRule="auto"/>
        <w:ind w:left="2510"/>
        <w:rPr>
          <w:rFonts w:hint="default"/>
          <w:color w:val="auto"/>
          <w:sz w:val="21"/>
          <w:szCs w:val="24"/>
          <w:highlight w:val="none"/>
        </w:rPr>
      </w:pPr>
      <w:r>
        <w:rPr>
          <w:rFonts w:hint="default"/>
          <w:color w:val="auto"/>
          <w:spacing w:val="-2"/>
          <w:sz w:val="21"/>
          <w:szCs w:val="24"/>
          <w:highlight w:val="none"/>
        </w:rPr>
        <w:t>法定代表人或其委托代理人：</w:t>
      </w:r>
      <w:r>
        <w:rPr>
          <w:rFonts w:hint="eastAsia" w:ascii="Times New Roman" w:hAnsi="Times New Roman" w:eastAsia="Times New Roman"/>
          <w:color w:val="auto"/>
          <w:spacing w:val="-2"/>
          <w:sz w:val="21"/>
          <w:szCs w:val="24"/>
          <w:highlight w:val="none"/>
          <w:u w:val="single"/>
        </w:rPr>
        <w:tab/>
      </w:r>
      <w:r>
        <w:rPr>
          <w:rFonts w:hint="default" w:hAnsi="Times New Roman"/>
          <w:color w:val="auto"/>
          <w:spacing w:val="-2"/>
          <w:sz w:val="21"/>
          <w:szCs w:val="24"/>
          <w:highlight w:val="none"/>
          <w:u w:val="single"/>
          <w:lang w:val="en-US" w:eastAsia="zh-CN"/>
        </w:rPr>
        <w:t xml:space="preserve">       </w:t>
      </w:r>
      <w:r>
        <w:rPr>
          <w:rFonts w:hint="default"/>
          <w:color w:val="auto"/>
          <w:spacing w:val="-1"/>
          <w:sz w:val="21"/>
          <w:szCs w:val="24"/>
          <w:highlight w:val="none"/>
        </w:rPr>
        <w:t>（签字）</w:t>
      </w:r>
    </w:p>
    <w:p w14:paraId="31098643">
      <w:pPr>
        <w:pStyle w:val="11"/>
        <w:tabs>
          <w:tab w:val="left" w:pos="7241"/>
        </w:tabs>
        <w:kinsoku w:val="0"/>
        <w:overflowPunct w:val="0"/>
        <w:spacing w:before="36" w:line="360" w:lineRule="auto"/>
        <w:ind w:left="2510"/>
        <w:rPr>
          <w:rFonts w:hint="default"/>
          <w:color w:val="auto"/>
          <w:sz w:val="21"/>
          <w:szCs w:val="24"/>
          <w:highlight w:val="none"/>
        </w:rPr>
      </w:pPr>
      <w:r>
        <w:rPr>
          <w:rFonts w:hint="default"/>
          <w:color w:val="auto"/>
          <w:spacing w:val="-2"/>
          <w:sz w:val="21"/>
          <w:szCs w:val="24"/>
          <w:highlight w:val="none"/>
        </w:rPr>
        <w:t>联合体成员名称：</w:t>
      </w:r>
      <w:r>
        <w:rPr>
          <w:rFonts w:hint="eastAsia" w:ascii="Times New Roman" w:hAnsi="Times New Roman" w:eastAsia="Times New Roman"/>
          <w:color w:val="auto"/>
          <w:spacing w:val="-2"/>
          <w:sz w:val="21"/>
          <w:szCs w:val="24"/>
          <w:highlight w:val="none"/>
          <w:u w:val="single"/>
        </w:rPr>
        <w:tab/>
      </w:r>
      <w:r>
        <w:rPr>
          <w:rFonts w:hint="default"/>
          <w:color w:val="auto"/>
          <w:spacing w:val="-1"/>
          <w:sz w:val="21"/>
          <w:szCs w:val="24"/>
          <w:highlight w:val="none"/>
        </w:rPr>
        <w:t>（盖单位章）</w:t>
      </w:r>
    </w:p>
    <w:p w14:paraId="48C5E5C1">
      <w:pPr>
        <w:pStyle w:val="11"/>
        <w:tabs>
          <w:tab w:val="left" w:pos="6187"/>
        </w:tabs>
        <w:kinsoku w:val="0"/>
        <w:overflowPunct w:val="0"/>
        <w:spacing w:before="36" w:line="360" w:lineRule="auto"/>
        <w:ind w:left="2510"/>
        <w:rPr>
          <w:rFonts w:hint="default"/>
          <w:color w:val="auto"/>
          <w:sz w:val="21"/>
          <w:szCs w:val="24"/>
          <w:highlight w:val="none"/>
        </w:rPr>
      </w:pPr>
      <w:r>
        <w:rPr>
          <w:rFonts w:hint="default"/>
          <w:color w:val="auto"/>
          <w:spacing w:val="-2"/>
          <w:sz w:val="21"/>
          <w:szCs w:val="24"/>
          <w:highlight w:val="none"/>
        </w:rPr>
        <w:t>法定代表人或其委托代理人：</w:t>
      </w:r>
      <w:r>
        <w:rPr>
          <w:rFonts w:hint="eastAsia" w:ascii="Times New Roman" w:hAnsi="Times New Roman" w:eastAsia="Times New Roman"/>
          <w:color w:val="auto"/>
          <w:spacing w:val="-2"/>
          <w:sz w:val="21"/>
          <w:szCs w:val="24"/>
          <w:highlight w:val="none"/>
          <w:u w:val="single"/>
        </w:rPr>
        <w:tab/>
      </w:r>
      <w:r>
        <w:rPr>
          <w:rFonts w:hint="default" w:hAnsi="Times New Roman"/>
          <w:color w:val="auto"/>
          <w:spacing w:val="-2"/>
          <w:sz w:val="21"/>
          <w:szCs w:val="24"/>
          <w:highlight w:val="none"/>
          <w:u w:val="single"/>
          <w:lang w:val="en-US" w:eastAsia="zh-CN"/>
        </w:rPr>
        <w:t xml:space="preserve">         </w:t>
      </w:r>
      <w:r>
        <w:rPr>
          <w:rFonts w:hint="default"/>
          <w:color w:val="auto"/>
          <w:spacing w:val="-1"/>
          <w:sz w:val="21"/>
          <w:szCs w:val="24"/>
          <w:highlight w:val="none"/>
        </w:rPr>
        <w:t>（签字）</w:t>
      </w:r>
    </w:p>
    <w:p w14:paraId="6914548C">
      <w:pPr>
        <w:pStyle w:val="11"/>
        <w:tabs>
          <w:tab w:val="left" w:pos="7241"/>
        </w:tabs>
        <w:kinsoku w:val="0"/>
        <w:overflowPunct w:val="0"/>
        <w:spacing w:before="36" w:line="360" w:lineRule="auto"/>
        <w:ind w:left="2510"/>
        <w:rPr>
          <w:rFonts w:hint="default"/>
          <w:color w:val="auto"/>
          <w:sz w:val="21"/>
          <w:szCs w:val="24"/>
          <w:highlight w:val="none"/>
        </w:rPr>
      </w:pPr>
      <w:r>
        <w:rPr>
          <w:rFonts w:hint="default"/>
          <w:color w:val="auto"/>
          <w:spacing w:val="-2"/>
          <w:sz w:val="21"/>
          <w:szCs w:val="24"/>
          <w:highlight w:val="none"/>
        </w:rPr>
        <w:t>联合体成员名称：</w:t>
      </w:r>
      <w:r>
        <w:rPr>
          <w:rFonts w:hint="eastAsia" w:ascii="Times New Roman" w:hAnsi="Times New Roman" w:eastAsia="Times New Roman"/>
          <w:color w:val="auto"/>
          <w:spacing w:val="-2"/>
          <w:sz w:val="21"/>
          <w:szCs w:val="24"/>
          <w:highlight w:val="none"/>
          <w:u w:val="single"/>
        </w:rPr>
        <w:tab/>
      </w:r>
      <w:r>
        <w:rPr>
          <w:rFonts w:hint="default"/>
          <w:color w:val="auto"/>
          <w:spacing w:val="-1"/>
          <w:sz w:val="21"/>
          <w:szCs w:val="24"/>
          <w:highlight w:val="none"/>
        </w:rPr>
        <w:t>（盖单位章）</w:t>
      </w:r>
    </w:p>
    <w:p w14:paraId="2DFC2031">
      <w:pPr>
        <w:pStyle w:val="11"/>
        <w:tabs>
          <w:tab w:val="left" w:pos="6187"/>
        </w:tabs>
        <w:kinsoku w:val="0"/>
        <w:overflowPunct w:val="0"/>
        <w:spacing w:before="36" w:line="360" w:lineRule="auto"/>
        <w:ind w:left="2510"/>
        <w:rPr>
          <w:rFonts w:hint="default"/>
          <w:color w:val="auto"/>
          <w:spacing w:val="-1"/>
          <w:sz w:val="21"/>
          <w:szCs w:val="24"/>
          <w:highlight w:val="none"/>
        </w:rPr>
      </w:pPr>
      <w:r>
        <w:rPr>
          <w:rFonts w:hint="default"/>
          <w:color w:val="auto"/>
          <w:spacing w:val="-2"/>
          <w:sz w:val="21"/>
          <w:szCs w:val="24"/>
          <w:highlight w:val="none"/>
        </w:rPr>
        <w:t>法定代表人或其委托代理人：</w:t>
      </w:r>
      <w:r>
        <w:rPr>
          <w:rFonts w:hint="eastAsia" w:ascii="Times New Roman" w:hAnsi="Times New Roman" w:eastAsia="Times New Roman"/>
          <w:color w:val="auto"/>
          <w:spacing w:val="-2"/>
          <w:sz w:val="21"/>
          <w:szCs w:val="24"/>
          <w:highlight w:val="none"/>
          <w:u w:val="single"/>
        </w:rPr>
        <w:tab/>
      </w:r>
      <w:r>
        <w:rPr>
          <w:rFonts w:hint="default" w:hAnsi="Times New Roman"/>
          <w:color w:val="auto"/>
          <w:spacing w:val="-2"/>
          <w:sz w:val="21"/>
          <w:szCs w:val="24"/>
          <w:highlight w:val="none"/>
          <w:u w:val="single"/>
          <w:lang w:val="en-US" w:eastAsia="zh-CN"/>
        </w:rPr>
        <w:t xml:space="preserve">         </w:t>
      </w:r>
      <w:r>
        <w:rPr>
          <w:rFonts w:hint="default"/>
          <w:color w:val="auto"/>
          <w:spacing w:val="-1"/>
          <w:sz w:val="21"/>
          <w:szCs w:val="24"/>
          <w:highlight w:val="none"/>
        </w:rPr>
        <w:t>（签字）</w:t>
      </w:r>
    </w:p>
    <w:p w14:paraId="0CE1AB92">
      <w:pPr>
        <w:pStyle w:val="11"/>
        <w:kinsoku w:val="0"/>
        <w:overflowPunct w:val="0"/>
        <w:spacing w:before="12"/>
        <w:ind w:left="0"/>
        <w:rPr>
          <w:rFonts w:hint="default"/>
          <w:color w:val="auto"/>
          <w:sz w:val="21"/>
          <w:szCs w:val="24"/>
          <w:highlight w:val="none"/>
        </w:rPr>
      </w:pPr>
    </w:p>
    <w:p w14:paraId="49306A0C">
      <w:pPr>
        <w:pStyle w:val="11"/>
        <w:tabs>
          <w:tab w:val="left" w:pos="4538"/>
          <w:tab w:val="left" w:pos="5484"/>
          <w:tab w:val="left" w:pos="6427"/>
        </w:tabs>
        <w:kinsoku w:val="0"/>
        <w:overflowPunct w:val="0"/>
        <w:spacing w:before="36"/>
        <w:ind w:left="3801"/>
        <w:rPr>
          <w:rFonts w:hint="default"/>
          <w:color w:val="auto"/>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年</w:t>
      </w:r>
      <w:r>
        <w:rPr>
          <w:rFonts w:hint="eastAsia" w:ascii="Times New Roman" w:hAnsi="Times New Roman" w:eastAsia="Times New Roman"/>
          <w:color w:val="auto"/>
          <w:sz w:val="21"/>
          <w:szCs w:val="24"/>
          <w:highlight w:val="none"/>
          <w:u w:val="single"/>
        </w:rPr>
        <w:tab/>
      </w:r>
      <w:r>
        <w:rPr>
          <w:rFonts w:hint="default"/>
          <w:color w:val="auto"/>
          <w:spacing w:val="-3"/>
          <w:sz w:val="21"/>
          <w:szCs w:val="24"/>
          <w:highlight w:val="none"/>
        </w:rPr>
        <w:t>月</w:t>
      </w:r>
      <w:r>
        <w:rPr>
          <w:rFonts w:hint="eastAsia" w:ascii="Times New Roman" w:hAnsi="Times New Roman" w:eastAsia="Times New Roman"/>
          <w:color w:val="auto"/>
          <w:spacing w:val="-3"/>
          <w:sz w:val="21"/>
          <w:szCs w:val="24"/>
          <w:highlight w:val="none"/>
          <w:u w:val="single"/>
        </w:rPr>
        <w:tab/>
      </w:r>
      <w:r>
        <w:rPr>
          <w:rFonts w:hint="default"/>
          <w:color w:val="auto"/>
          <w:sz w:val="21"/>
          <w:szCs w:val="24"/>
          <w:highlight w:val="none"/>
        </w:rPr>
        <w:t>日</w:t>
      </w:r>
    </w:p>
    <w:p w14:paraId="22622E79">
      <w:pPr>
        <w:pStyle w:val="11"/>
        <w:tabs>
          <w:tab w:val="left" w:pos="4538"/>
          <w:tab w:val="left" w:pos="5484"/>
          <w:tab w:val="left" w:pos="6427"/>
        </w:tabs>
        <w:kinsoku w:val="0"/>
        <w:overflowPunct w:val="0"/>
        <w:spacing w:before="36"/>
        <w:ind w:left="3801"/>
        <w:rPr>
          <w:rFonts w:hint="default"/>
          <w:color w:val="auto"/>
          <w:sz w:val="21"/>
          <w:szCs w:val="24"/>
          <w:highlight w:val="none"/>
        </w:rPr>
        <w:sectPr>
          <w:pgSz w:w="11905" w:h="16838"/>
          <w:pgMar w:top="1417" w:right="1417" w:bottom="1417" w:left="1417" w:header="992" w:footer="992" w:gutter="0"/>
          <w:lnNumType w:countBy="0" w:distance="360"/>
          <w:pgNumType w:fmt="decimal"/>
          <w:cols w:space="720" w:num="1"/>
        </w:sectPr>
      </w:pPr>
    </w:p>
    <w:p w14:paraId="49A8E143">
      <w:pPr>
        <w:pStyle w:val="4"/>
        <w:jc w:val="center"/>
        <w:outlineLvl w:val="1"/>
        <w:rPr>
          <w:rFonts w:hint="eastAsia" w:eastAsia="宋体"/>
          <w:color w:val="auto"/>
          <w:sz w:val="28"/>
          <w:szCs w:val="24"/>
          <w:highlight w:val="none"/>
          <w:lang w:eastAsia="zh-CN"/>
        </w:rPr>
      </w:pPr>
      <w:bookmarkStart w:id="320" w:name="bookmark182"/>
      <w:bookmarkEnd w:id="320"/>
      <w:bookmarkStart w:id="321" w:name="_Toc9753"/>
      <w:bookmarkStart w:id="322" w:name="_Toc29660"/>
      <w:r>
        <w:rPr>
          <w:rFonts w:hint="default"/>
          <w:strike/>
          <w:dstrike w:val="0"/>
          <w:color w:val="auto"/>
          <w:sz w:val="28"/>
          <w:szCs w:val="24"/>
          <w:highlight w:val="none"/>
        </w:rPr>
        <w:t>四、投标保证金</w:t>
      </w:r>
      <w:bookmarkEnd w:id="321"/>
      <w:r>
        <w:rPr>
          <w:rFonts w:hint="eastAsia"/>
          <w:strike/>
          <w:dstrike w:val="0"/>
          <w:color w:val="auto"/>
          <w:sz w:val="28"/>
          <w:szCs w:val="24"/>
          <w:highlight w:val="none"/>
          <w:lang w:eastAsia="zh-CN"/>
        </w:rPr>
        <w:t>（</w:t>
      </w:r>
      <w:r>
        <w:rPr>
          <w:rFonts w:hint="eastAsia"/>
          <w:strike/>
          <w:dstrike w:val="0"/>
          <w:color w:val="auto"/>
          <w:sz w:val="28"/>
          <w:szCs w:val="24"/>
          <w:highlight w:val="none"/>
          <w:lang w:val="en-US" w:eastAsia="zh-CN"/>
        </w:rPr>
        <w:t>如有</w:t>
      </w:r>
      <w:r>
        <w:rPr>
          <w:rFonts w:hint="eastAsia"/>
          <w:strike/>
          <w:dstrike w:val="0"/>
          <w:color w:val="auto"/>
          <w:sz w:val="28"/>
          <w:szCs w:val="24"/>
          <w:highlight w:val="none"/>
          <w:lang w:eastAsia="zh-CN"/>
        </w:rPr>
        <w:t>）</w:t>
      </w:r>
      <w:bookmarkEnd w:id="322"/>
    </w:p>
    <w:p w14:paraId="664AE887">
      <w:pPr>
        <w:pStyle w:val="11"/>
        <w:kinsoku w:val="0"/>
        <w:overflowPunct w:val="0"/>
        <w:spacing w:before="15" w:line="360" w:lineRule="auto"/>
        <w:ind w:left="0"/>
        <w:rPr>
          <w:rFonts w:hint="default" w:cs="宋体"/>
          <w:b/>
          <w:color w:val="auto"/>
          <w:sz w:val="21"/>
          <w:szCs w:val="21"/>
          <w:highlight w:val="none"/>
        </w:rPr>
      </w:pPr>
    </w:p>
    <w:p w14:paraId="7EADEA6D">
      <w:pPr>
        <w:pStyle w:val="4"/>
        <w:jc w:val="center"/>
        <w:outlineLvl w:val="9"/>
        <w:rPr>
          <w:rFonts w:hint="default"/>
          <w:color w:val="auto"/>
          <w:sz w:val="24"/>
          <w:szCs w:val="24"/>
          <w:highlight w:val="none"/>
        </w:rPr>
        <w:sectPr>
          <w:pgSz w:w="11905" w:h="16838"/>
          <w:pgMar w:top="1417" w:right="1417" w:bottom="1417" w:left="1417" w:header="992" w:footer="992" w:gutter="0"/>
          <w:lnNumType w:countBy="0" w:distance="360"/>
          <w:pgNumType w:fmt="decimal"/>
          <w:cols w:space="720" w:num="1"/>
        </w:sectPr>
      </w:pPr>
      <w:bookmarkStart w:id="323" w:name="bookmark183"/>
      <w:bookmarkEnd w:id="323"/>
    </w:p>
    <w:p w14:paraId="58D280FE">
      <w:pPr>
        <w:pStyle w:val="4"/>
        <w:jc w:val="center"/>
        <w:outlineLvl w:val="1"/>
        <w:rPr>
          <w:rFonts w:hint="default"/>
          <w:color w:val="auto"/>
          <w:sz w:val="28"/>
          <w:szCs w:val="24"/>
          <w:highlight w:val="none"/>
        </w:rPr>
      </w:pPr>
      <w:bookmarkStart w:id="324" w:name="_Toc10111"/>
      <w:bookmarkStart w:id="325" w:name="_Toc15190"/>
      <w:r>
        <w:rPr>
          <w:rFonts w:hint="default"/>
          <w:color w:val="auto"/>
          <w:sz w:val="28"/>
          <w:szCs w:val="24"/>
          <w:highlight w:val="none"/>
        </w:rPr>
        <w:t>五、监理报酬清单</w:t>
      </w:r>
      <w:bookmarkEnd w:id="324"/>
      <w:r>
        <w:rPr>
          <w:rFonts w:hint="eastAsia"/>
          <w:color w:val="auto"/>
          <w:sz w:val="28"/>
          <w:szCs w:val="24"/>
          <w:highlight w:val="none"/>
          <w:lang w:eastAsia="zh-CN"/>
        </w:rPr>
        <w:t>（</w:t>
      </w:r>
      <w:r>
        <w:rPr>
          <w:rFonts w:hint="eastAsia"/>
          <w:color w:val="auto"/>
          <w:sz w:val="28"/>
          <w:szCs w:val="24"/>
          <w:highlight w:val="none"/>
          <w:lang w:val="en-US" w:eastAsia="zh-CN"/>
        </w:rPr>
        <w:t>格式仅供参考</w:t>
      </w:r>
      <w:r>
        <w:rPr>
          <w:rFonts w:hint="eastAsia"/>
          <w:color w:val="auto"/>
          <w:sz w:val="28"/>
          <w:szCs w:val="24"/>
          <w:highlight w:val="none"/>
          <w:lang w:eastAsia="zh-CN"/>
        </w:rPr>
        <w:t>）</w:t>
      </w:r>
      <w:bookmarkEnd w:id="325"/>
    </w:p>
    <w:p w14:paraId="3F47C6D4">
      <w:pPr>
        <w:pStyle w:val="11"/>
        <w:kinsoku w:val="0"/>
        <w:overflowPunct w:val="0"/>
        <w:ind w:left="0"/>
        <w:rPr>
          <w:rFonts w:hint="default"/>
          <w:color w:val="auto"/>
          <w:sz w:val="20"/>
          <w:szCs w:val="24"/>
          <w:highlight w:val="none"/>
        </w:rPr>
      </w:pPr>
    </w:p>
    <w:p w14:paraId="50143821">
      <w:pPr>
        <w:spacing w:line="440" w:lineRule="exac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eastAsia="zh-CN"/>
        </w:rPr>
        <w:t>项目名称</w:t>
      </w:r>
      <w:r>
        <w:rPr>
          <w:rFonts w:hint="default" w:ascii="宋体" w:hAnsi="宋体" w:eastAsia="宋体" w:cs="宋体"/>
          <w:color w:val="auto"/>
          <w:sz w:val="21"/>
          <w:szCs w:val="21"/>
          <w:highlight w:val="none"/>
        </w:rPr>
        <w:t>：</w:t>
      </w:r>
      <w:r>
        <w:rPr>
          <w:rFonts w:hint="default" w:ascii="宋体" w:hAnsi="宋体" w:eastAsia="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lang w:val="en-US" w:eastAsia="zh-CN"/>
        </w:rPr>
        <w:t xml:space="preserve"> </w:t>
      </w:r>
    </w:p>
    <w:tbl>
      <w:tblPr>
        <w:tblStyle w:val="23"/>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65"/>
        <w:gridCol w:w="1822"/>
        <w:gridCol w:w="1822"/>
        <w:gridCol w:w="992"/>
      </w:tblGrid>
      <w:tr w14:paraId="468A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2BCD4F">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序号</w:t>
            </w: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AE1328">
            <w:pPr>
              <w:jc w:val="center"/>
              <w:rPr>
                <w:rFonts w:hint="default" w:ascii="宋体" w:hAnsi="宋体" w:eastAsia="宋体" w:cs="宋体"/>
                <w:color w:val="auto"/>
                <w:sz w:val="21"/>
                <w:szCs w:val="21"/>
                <w:highlight w:val="none"/>
              </w:rPr>
            </w:pPr>
            <w:r>
              <w:rPr>
                <w:rFonts w:hint="default" w:ascii="宋体" w:hAnsi="宋体" w:eastAsia="宋体" w:cs="宋体"/>
                <w:b/>
                <w:color w:val="auto"/>
                <w:sz w:val="21"/>
                <w:szCs w:val="21"/>
                <w:highlight w:val="none"/>
              </w:rPr>
              <w:t>监理子项目名称</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A72CB4">
            <w:pPr>
              <w:jc w:val="center"/>
              <w:rPr>
                <w:rFonts w:hint="default" w:ascii="宋体" w:hAnsi="宋体" w:eastAsia="宋体" w:cs="宋体"/>
                <w:b/>
                <w:color w:val="auto"/>
                <w:sz w:val="21"/>
                <w:szCs w:val="21"/>
                <w:highlight w:val="none"/>
                <w:lang w:eastAsia="zh-CN"/>
              </w:rPr>
            </w:pPr>
            <w:r>
              <w:rPr>
                <w:rFonts w:hint="default" w:ascii="宋体" w:hAnsi="宋体" w:eastAsia="宋体" w:cs="宋体"/>
                <w:b/>
                <w:color w:val="auto"/>
                <w:sz w:val="21"/>
                <w:szCs w:val="21"/>
                <w:highlight w:val="none"/>
              </w:rPr>
              <w:t>投标下浮率(%)</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CDF87B">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lang w:eastAsia="zh-CN"/>
              </w:rPr>
              <w:t>投标报价</w:t>
            </w:r>
            <w:r>
              <w:rPr>
                <w:rFonts w:hint="default" w:ascii="宋体" w:hAnsi="宋体" w:eastAsia="宋体" w:cs="宋体"/>
                <w:b/>
                <w:color w:val="auto"/>
                <w:sz w:val="21"/>
                <w:szCs w:val="21"/>
                <w:highlight w:val="none"/>
              </w:rPr>
              <w:t>（元）</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2E13F2">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备注</w:t>
            </w:r>
          </w:p>
        </w:tc>
      </w:tr>
      <w:tr w14:paraId="3A02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7D99C1">
            <w:pPr>
              <w:spacing w:line="360" w:lineRule="auto"/>
              <w:jc w:val="center"/>
              <w:rPr>
                <w:rFonts w:hint="default" w:ascii="宋体" w:hAnsi="宋体" w:eastAsia="宋体" w:cs="宋体"/>
                <w:color w:val="auto"/>
                <w:sz w:val="21"/>
                <w:szCs w:val="21"/>
                <w:highlight w:val="none"/>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4E507">
            <w:pPr>
              <w:rPr>
                <w:rFonts w:hint="default" w:ascii="宋体" w:hAnsi="宋体" w:eastAsia="宋体" w:cs="宋体"/>
                <w:color w:val="auto"/>
                <w:sz w:val="21"/>
                <w:szCs w:val="21"/>
                <w:highlight w:val="none"/>
              </w:rPr>
            </w:pPr>
          </w:p>
        </w:tc>
        <w:tc>
          <w:tcPr>
            <w:tcW w:w="18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AB0A6B7">
            <w:pPr>
              <w:spacing w:line="360" w:lineRule="auto"/>
              <w:jc w:val="center"/>
              <w:rPr>
                <w:rFonts w:hint="default" w:ascii="宋体" w:hAnsi="宋体" w:eastAsia="宋体" w:cs="宋体"/>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35745D">
            <w:pPr>
              <w:spacing w:line="360" w:lineRule="auto"/>
              <w:jc w:val="center"/>
              <w:rPr>
                <w:rFonts w:hint="default" w:ascii="宋体" w:hAnsi="宋体" w:eastAsia="宋体" w:cs="宋体"/>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108022">
            <w:pPr>
              <w:spacing w:line="360" w:lineRule="auto"/>
              <w:jc w:val="center"/>
              <w:rPr>
                <w:rFonts w:hint="default" w:ascii="宋体" w:hAnsi="宋体" w:eastAsia="宋体" w:cs="宋体"/>
                <w:color w:val="auto"/>
                <w:sz w:val="21"/>
                <w:szCs w:val="21"/>
                <w:highlight w:val="none"/>
              </w:rPr>
            </w:pPr>
          </w:p>
        </w:tc>
      </w:tr>
      <w:tr w14:paraId="3E02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6F01D2">
            <w:pPr>
              <w:spacing w:line="360" w:lineRule="auto"/>
              <w:jc w:val="center"/>
              <w:rPr>
                <w:rFonts w:hint="default" w:ascii="宋体" w:hAnsi="宋体" w:eastAsia="宋体" w:cs="宋体"/>
                <w:color w:val="auto"/>
                <w:sz w:val="21"/>
                <w:szCs w:val="21"/>
                <w:highlight w:val="none"/>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FD65CA">
            <w:pPr>
              <w:rPr>
                <w:rFonts w:hint="default" w:ascii="宋体" w:hAnsi="宋体" w:eastAsia="宋体" w:cs="宋体"/>
                <w:color w:val="auto"/>
                <w:sz w:val="21"/>
                <w:szCs w:val="21"/>
                <w:highlight w:val="none"/>
              </w:rPr>
            </w:pPr>
          </w:p>
        </w:tc>
        <w:tc>
          <w:tcPr>
            <w:tcW w:w="18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D8A718">
            <w:pPr>
              <w:spacing w:line="360" w:lineRule="auto"/>
              <w:jc w:val="center"/>
              <w:rPr>
                <w:rFonts w:hint="default" w:ascii="宋体" w:hAnsi="宋体" w:eastAsia="宋体" w:cs="宋体"/>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0A2B91">
            <w:pPr>
              <w:spacing w:line="360" w:lineRule="auto"/>
              <w:jc w:val="center"/>
              <w:rPr>
                <w:rFonts w:hint="default" w:ascii="宋体" w:hAnsi="宋体" w:eastAsia="宋体" w:cs="宋体"/>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BCC11E">
            <w:pPr>
              <w:spacing w:line="360" w:lineRule="auto"/>
              <w:jc w:val="center"/>
              <w:rPr>
                <w:rFonts w:hint="default" w:ascii="宋体" w:hAnsi="宋体" w:eastAsia="宋体" w:cs="宋体"/>
                <w:color w:val="auto"/>
                <w:sz w:val="21"/>
                <w:szCs w:val="21"/>
                <w:highlight w:val="none"/>
              </w:rPr>
            </w:pPr>
          </w:p>
        </w:tc>
      </w:tr>
      <w:tr w14:paraId="53B6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D599B88">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合计报价</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4132BB">
            <w:pPr>
              <w:spacing w:line="360" w:lineRule="auto"/>
              <w:jc w:val="center"/>
              <w:rPr>
                <w:rFonts w:hint="default" w:ascii="宋体" w:hAnsi="宋体" w:eastAsia="宋体" w:cs="宋体"/>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E1752C">
            <w:pPr>
              <w:spacing w:line="360" w:lineRule="auto"/>
              <w:jc w:val="center"/>
              <w:rPr>
                <w:rFonts w:hint="default" w:ascii="宋体" w:hAnsi="宋体" w:eastAsia="宋体" w:cs="宋体"/>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D0D81B">
            <w:pPr>
              <w:spacing w:line="360" w:lineRule="auto"/>
              <w:jc w:val="center"/>
              <w:rPr>
                <w:rFonts w:hint="default" w:ascii="宋体" w:hAnsi="宋体" w:eastAsia="宋体" w:cs="宋体"/>
                <w:color w:val="auto"/>
                <w:sz w:val="21"/>
                <w:szCs w:val="21"/>
                <w:highlight w:val="none"/>
              </w:rPr>
            </w:pPr>
          </w:p>
        </w:tc>
      </w:tr>
    </w:tbl>
    <w:p w14:paraId="43525C7A">
      <w:pPr>
        <w:pStyle w:val="33"/>
        <w:spacing w:line="240" w:lineRule="auto"/>
        <w:ind w:firstLine="0" w:firstLineChars="0"/>
        <w:rPr>
          <w:rFonts w:hint="default" w:ascii="宋体" w:hAnsi="宋体" w:cs="宋体"/>
          <w:color w:val="auto"/>
          <w:sz w:val="21"/>
          <w:szCs w:val="21"/>
          <w:highlight w:val="none"/>
        </w:rPr>
      </w:pPr>
    </w:p>
    <w:p w14:paraId="111CA598">
      <w:pPr>
        <w:pStyle w:val="33"/>
        <w:spacing w:line="240" w:lineRule="auto"/>
        <w:ind w:firstLine="0" w:firstLineChars="0"/>
        <w:rPr>
          <w:rFonts w:hint="default" w:ascii="宋体" w:hAnsi="宋体" w:cs="宋体"/>
          <w:color w:val="auto"/>
          <w:sz w:val="21"/>
          <w:szCs w:val="21"/>
          <w:highlight w:val="none"/>
        </w:rPr>
      </w:pPr>
      <w:r>
        <w:rPr>
          <w:rFonts w:hint="default" w:ascii="宋体" w:hAnsi="宋体" w:cs="宋体"/>
          <w:color w:val="auto"/>
          <w:sz w:val="21"/>
          <w:szCs w:val="21"/>
          <w:highlight w:val="none"/>
        </w:rPr>
        <w:t>注：</w:t>
      </w:r>
    </w:p>
    <w:p w14:paraId="47E17167">
      <w:pPr>
        <w:pStyle w:val="33"/>
        <w:ind w:firstLine="436"/>
        <w:rPr>
          <w:rFonts w:hint="default" w:ascii="宋体" w:hAnsi="宋体" w:cs="宋体"/>
          <w:color w:val="auto"/>
          <w:sz w:val="21"/>
          <w:szCs w:val="21"/>
          <w:highlight w:val="none"/>
        </w:rPr>
      </w:pPr>
      <w:r>
        <w:rPr>
          <w:rFonts w:hint="default" w:ascii="宋体" w:hAnsi="宋体" w:cs="宋体"/>
          <w:color w:val="auto"/>
          <w:sz w:val="21"/>
          <w:szCs w:val="21"/>
          <w:highlight w:val="none"/>
          <w:lang w:val="en-US" w:eastAsia="zh-CN"/>
        </w:rPr>
        <w:t>1、</w:t>
      </w:r>
      <w:r>
        <w:rPr>
          <w:rFonts w:hint="default" w:ascii="宋体" w:hAnsi="宋体" w:cs="宋体"/>
          <w:color w:val="auto"/>
          <w:sz w:val="21"/>
          <w:szCs w:val="21"/>
          <w:highlight w:val="none"/>
          <w:lang w:val="zh-CN"/>
        </w:rPr>
        <w:t>投标下浮率以百分比为单位，保留到小数点后</w:t>
      </w:r>
      <w:r>
        <w:rPr>
          <w:rFonts w:hint="eastAsia" w:ascii="宋体" w:hAnsi="宋体" w:cs="宋体"/>
          <w:color w:val="auto"/>
          <w:sz w:val="21"/>
          <w:szCs w:val="21"/>
          <w:highlight w:val="none"/>
          <w:u w:val="single"/>
          <w:lang w:val="en-US" w:eastAsia="zh-CN"/>
        </w:rPr>
        <w:t>3</w:t>
      </w:r>
      <w:r>
        <w:rPr>
          <w:rFonts w:hint="default" w:ascii="宋体" w:hAnsi="宋体" w:cs="宋体"/>
          <w:color w:val="auto"/>
          <w:sz w:val="21"/>
          <w:szCs w:val="21"/>
          <w:highlight w:val="none"/>
          <w:lang w:val="zh-CN"/>
        </w:rPr>
        <w:t>位</w:t>
      </w:r>
      <w:r>
        <w:rPr>
          <w:rFonts w:hint="default" w:ascii="宋体" w:hAnsi="宋体" w:cs="宋体"/>
          <w:color w:val="auto"/>
          <w:sz w:val="21"/>
          <w:szCs w:val="21"/>
          <w:highlight w:val="none"/>
        </w:rPr>
        <w:t>，投标报价填报保留小数点后</w:t>
      </w:r>
      <w:r>
        <w:rPr>
          <w:rFonts w:hint="eastAsia" w:ascii="宋体" w:hAnsi="宋体" w:cs="宋体"/>
          <w:color w:val="auto"/>
          <w:sz w:val="21"/>
          <w:szCs w:val="21"/>
          <w:highlight w:val="none"/>
          <w:u w:val="single"/>
          <w:lang w:val="en-US" w:eastAsia="zh-CN"/>
        </w:rPr>
        <w:t>2</w:t>
      </w:r>
      <w:r>
        <w:rPr>
          <w:rFonts w:hint="default" w:ascii="宋体" w:hAnsi="宋体" w:cs="宋体"/>
          <w:color w:val="auto"/>
          <w:sz w:val="21"/>
          <w:szCs w:val="21"/>
          <w:highlight w:val="none"/>
        </w:rPr>
        <w:t>位。</w:t>
      </w:r>
    </w:p>
    <w:p w14:paraId="1DEEA6C9">
      <w:pPr>
        <w:pStyle w:val="33"/>
        <w:ind w:firstLine="436"/>
        <w:rPr>
          <w:rFonts w:hint="default" w:ascii="宋体" w:hAnsi="宋体" w:cs="宋体"/>
          <w:color w:val="auto"/>
          <w:sz w:val="21"/>
          <w:szCs w:val="21"/>
          <w:highlight w:val="none"/>
        </w:rPr>
      </w:pPr>
      <w:r>
        <w:rPr>
          <w:rFonts w:hint="default" w:ascii="宋体" w:hAnsi="宋体" w:cs="宋体"/>
          <w:color w:val="auto"/>
          <w:sz w:val="21"/>
          <w:szCs w:val="21"/>
          <w:highlight w:val="none"/>
          <w:lang w:val="en-US" w:eastAsia="zh-CN"/>
        </w:rPr>
        <w:t>2</w:t>
      </w:r>
      <w:r>
        <w:rPr>
          <w:rFonts w:hint="default" w:ascii="宋体" w:hAnsi="宋体" w:cs="宋体"/>
          <w:color w:val="auto"/>
          <w:sz w:val="21"/>
          <w:szCs w:val="21"/>
          <w:highlight w:val="none"/>
        </w:rPr>
        <w:t>、监理费投标下浮率=（监理费最高投标限价-监理费投标报价）/监理费最高投标限价*100%。</w:t>
      </w:r>
    </w:p>
    <w:p w14:paraId="62CADD4C">
      <w:pPr>
        <w:pStyle w:val="33"/>
        <w:ind w:firstLine="436"/>
        <w:outlineLvl w:val="2"/>
        <w:rPr>
          <w:rFonts w:hint="default" w:ascii="宋体" w:hAnsi="宋体" w:cs="宋体"/>
          <w:color w:val="auto"/>
          <w:sz w:val="21"/>
          <w:szCs w:val="21"/>
          <w:highlight w:val="none"/>
        </w:rPr>
      </w:pPr>
      <w:bookmarkStart w:id="326" w:name="_Toc7080"/>
      <w:bookmarkStart w:id="327" w:name="_Toc6894"/>
      <w:bookmarkStart w:id="328" w:name="_Toc4060"/>
      <w:r>
        <w:rPr>
          <w:rFonts w:hint="default" w:ascii="宋体" w:hAnsi="宋体" w:cs="宋体"/>
          <w:color w:val="auto"/>
          <w:sz w:val="21"/>
          <w:szCs w:val="21"/>
          <w:highlight w:val="none"/>
          <w:lang w:val="en-US" w:eastAsia="zh-CN"/>
        </w:rPr>
        <w:t>3、</w:t>
      </w:r>
      <w:r>
        <w:rPr>
          <w:rFonts w:hint="default" w:ascii="宋体" w:hAnsi="宋体" w:cs="宋体"/>
          <w:color w:val="auto"/>
          <w:sz w:val="21"/>
          <w:szCs w:val="21"/>
          <w:highlight w:val="none"/>
        </w:rPr>
        <w:t>投标报价与投标下浮率不符时，以投标下浮率为准</w:t>
      </w:r>
      <w:r>
        <w:rPr>
          <w:rFonts w:hint="default" w:ascii="宋体" w:hAnsi="宋体" w:cs="宋体"/>
          <w:color w:val="auto"/>
          <w:sz w:val="21"/>
          <w:szCs w:val="21"/>
          <w:highlight w:val="none"/>
          <w:lang w:eastAsia="zh-CN"/>
        </w:rPr>
        <w:t>修正总价</w:t>
      </w:r>
      <w:r>
        <w:rPr>
          <w:rFonts w:hint="default" w:ascii="宋体" w:hAnsi="宋体" w:cs="宋体"/>
          <w:color w:val="auto"/>
          <w:sz w:val="21"/>
          <w:szCs w:val="21"/>
          <w:highlight w:val="none"/>
        </w:rPr>
        <w:t>。</w:t>
      </w:r>
      <w:bookmarkEnd w:id="326"/>
      <w:bookmarkEnd w:id="327"/>
      <w:bookmarkEnd w:id="328"/>
    </w:p>
    <w:p w14:paraId="29E80ACD">
      <w:pPr>
        <w:rPr>
          <w:rFonts w:hint="default"/>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0950F24C">
      <w:pPr>
        <w:pStyle w:val="4"/>
        <w:kinsoku w:val="0"/>
        <w:overflowPunct w:val="0"/>
        <w:spacing w:line="456" w:lineRule="exact"/>
        <w:ind w:right="1"/>
        <w:jc w:val="center"/>
        <w:outlineLvl w:val="1"/>
        <w:rPr>
          <w:rFonts w:hint="default"/>
          <w:b w:val="0"/>
          <w:color w:val="auto"/>
          <w:sz w:val="28"/>
          <w:szCs w:val="24"/>
          <w:highlight w:val="none"/>
        </w:rPr>
      </w:pPr>
      <w:bookmarkStart w:id="329" w:name="bookmark184"/>
      <w:bookmarkEnd w:id="329"/>
      <w:bookmarkStart w:id="330" w:name="_Toc26761"/>
      <w:bookmarkStart w:id="331" w:name="_Toc29476"/>
      <w:r>
        <w:rPr>
          <w:rFonts w:hint="default"/>
          <w:color w:val="auto"/>
          <w:sz w:val="28"/>
          <w:szCs w:val="24"/>
          <w:highlight w:val="none"/>
        </w:rPr>
        <w:t>六、资格审查资料</w:t>
      </w:r>
      <w:bookmarkEnd w:id="330"/>
      <w:bookmarkEnd w:id="331"/>
    </w:p>
    <w:p w14:paraId="2194D2C8">
      <w:pPr>
        <w:pStyle w:val="11"/>
        <w:kinsoku w:val="0"/>
        <w:overflowPunct w:val="0"/>
        <w:spacing w:before="10"/>
        <w:ind w:left="0"/>
        <w:rPr>
          <w:rFonts w:hint="eastAsia" w:ascii="Microsoft JhengHei" w:hAnsi="Microsoft JhengHei" w:eastAsia="Microsoft JhengHei"/>
          <w:b/>
          <w:color w:val="auto"/>
          <w:sz w:val="15"/>
          <w:szCs w:val="24"/>
          <w:highlight w:val="none"/>
        </w:rPr>
      </w:pPr>
    </w:p>
    <w:p w14:paraId="52CF8D73">
      <w:pPr>
        <w:pStyle w:val="5"/>
        <w:outlineLvl w:val="2"/>
        <w:rPr>
          <w:rFonts w:hint="default"/>
          <w:b/>
          <w:color w:val="auto"/>
          <w:sz w:val="24"/>
          <w:szCs w:val="24"/>
          <w:highlight w:val="none"/>
        </w:rPr>
      </w:pPr>
      <w:bookmarkStart w:id="332" w:name="bookmark185"/>
      <w:bookmarkEnd w:id="332"/>
      <w:bookmarkStart w:id="333" w:name="_Toc27976"/>
      <w:bookmarkStart w:id="334" w:name="_Toc25320"/>
      <w:r>
        <w:rPr>
          <w:rFonts w:hint="default"/>
          <w:b/>
          <w:color w:val="auto"/>
          <w:sz w:val="24"/>
          <w:szCs w:val="24"/>
          <w:highlight w:val="none"/>
        </w:rPr>
        <w:t>（一）基本情况表</w:t>
      </w:r>
      <w:bookmarkEnd w:id="333"/>
      <w:bookmarkEnd w:id="334"/>
    </w:p>
    <w:p w14:paraId="527A7FC2">
      <w:pPr>
        <w:pStyle w:val="11"/>
        <w:kinsoku w:val="0"/>
        <w:overflowPunct w:val="0"/>
        <w:ind w:left="0"/>
        <w:rPr>
          <w:rFonts w:hint="default"/>
          <w:color w:val="auto"/>
          <w:sz w:val="23"/>
          <w:szCs w:val="24"/>
          <w:highlight w:val="none"/>
        </w:rPr>
      </w:pPr>
    </w:p>
    <w:tbl>
      <w:tblPr>
        <w:tblStyle w:val="23"/>
        <w:tblW w:w="9212"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0"/>
        <w:gridCol w:w="898"/>
        <w:gridCol w:w="1027"/>
        <w:gridCol w:w="1287"/>
        <w:gridCol w:w="415"/>
        <w:gridCol w:w="872"/>
        <w:gridCol w:w="669"/>
        <w:gridCol w:w="444"/>
        <w:gridCol w:w="1230"/>
      </w:tblGrid>
      <w:tr w14:paraId="72BC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CA1F6F">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投标人名称</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7A2CF5DA">
            <w:pPr>
              <w:rPr>
                <w:rFonts w:hint="default" w:ascii="宋体" w:hAnsi="宋体" w:eastAsia="宋体" w:cs="宋体"/>
                <w:color w:val="auto"/>
                <w:sz w:val="21"/>
                <w:szCs w:val="21"/>
                <w:highlight w:val="none"/>
              </w:rPr>
            </w:pPr>
          </w:p>
        </w:tc>
      </w:tr>
      <w:tr w14:paraId="377F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3834D">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注册地址</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56A70649">
            <w:pPr>
              <w:rPr>
                <w:rFonts w:hint="default"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C659356">
            <w:pPr>
              <w:pStyle w:val="29"/>
              <w:kinsoku w:val="0"/>
              <w:overflowPunct w:val="0"/>
              <w:spacing w:before="107"/>
              <w:ind w:left="218"/>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邮政编码</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E8A1C0E">
            <w:pPr>
              <w:rPr>
                <w:rFonts w:hint="default" w:ascii="宋体" w:hAnsi="宋体" w:eastAsia="宋体" w:cs="宋体"/>
                <w:color w:val="auto"/>
                <w:sz w:val="21"/>
                <w:szCs w:val="21"/>
                <w:highlight w:val="none"/>
              </w:rPr>
            </w:pPr>
          </w:p>
        </w:tc>
      </w:tr>
      <w:tr w14:paraId="317E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61D1F">
            <w:pPr>
              <w:pStyle w:val="29"/>
              <w:kinsoku w:val="0"/>
              <w:overflowPunct w:val="0"/>
              <w:jc w:val="center"/>
              <w:rPr>
                <w:rFonts w:hint="default" w:ascii="宋体" w:hAnsi="宋体" w:eastAsia="宋体" w:cs="宋体"/>
                <w:color w:val="auto"/>
                <w:sz w:val="21"/>
                <w:szCs w:val="21"/>
                <w:highlight w:val="none"/>
              </w:rPr>
            </w:pPr>
          </w:p>
          <w:p w14:paraId="1B0EFA2D">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93140C">
            <w:pPr>
              <w:pStyle w:val="29"/>
              <w:kinsoku w:val="0"/>
              <w:overflowPunct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联系人</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4704B49">
            <w:pPr>
              <w:rPr>
                <w:rFonts w:hint="default"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AB8B4A8">
            <w:pPr>
              <w:pStyle w:val="29"/>
              <w:kinsoku w:val="0"/>
              <w:overflowPunct w:val="0"/>
              <w:spacing w:before="107"/>
              <w:ind w:left="374"/>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w:t>
            </w:r>
            <w:r>
              <w:rPr>
                <w:rFonts w:hint="default" w:ascii="宋体" w:hAnsi="宋体" w:eastAsia="宋体" w:cs="宋体"/>
                <w:color w:val="auto"/>
                <w:spacing w:val="2"/>
                <w:sz w:val="21"/>
                <w:szCs w:val="21"/>
                <w:highlight w:val="none"/>
              </w:rPr>
              <w:t xml:space="preserve"> </w:t>
            </w:r>
            <w:r>
              <w:rPr>
                <w:rFonts w:hint="default" w:ascii="宋体" w:hAnsi="宋体" w:eastAsia="宋体" w:cs="宋体"/>
                <w:color w:val="auto"/>
                <w:sz w:val="21"/>
                <w:szCs w:val="21"/>
                <w:highlight w:val="none"/>
              </w:rPr>
              <w:t>话</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49FE865">
            <w:pPr>
              <w:rPr>
                <w:rFonts w:hint="default" w:ascii="宋体" w:hAnsi="宋体" w:eastAsia="宋体" w:cs="宋体"/>
                <w:color w:val="auto"/>
                <w:sz w:val="21"/>
                <w:szCs w:val="21"/>
                <w:highlight w:val="none"/>
              </w:rPr>
            </w:pPr>
          </w:p>
        </w:tc>
      </w:tr>
      <w:tr w14:paraId="3FDB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1ECEA4">
            <w:pPr>
              <w:jc w:val="center"/>
              <w:rPr>
                <w:rFonts w:hint="default" w:ascii="宋体" w:hAnsi="宋体" w:eastAsia="宋体" w:cs="宋体"/>
                <w:color w:val="auto"/>
                <w:sz w:val="21"/>
                <w:szCs w:val="21"/>
                <w:highlight w:val="none"/>
              </w:rPr>
            </w:pP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F96058">
            <w:pPr>
              <w:pStyle w:val="29"/>
              <w:tabs>
                <w:tab w:val="left" w:pos="550"/>
              </w:tabs>
              <w:kinsoku w:val="0"/>
              <w:overflowPunct w:val="0"/>
              <w:spacing w:before="108"/>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传</w:t>
            </w:r>
            <w:r>
              <w:rPr>
                <w:rFonts w:hint="default" w:ascii="宋体" w:hAnsi="宋体" w:eastAsia="宋体" w:cs="宋体"/>
                <w:color w:val="auto"/>
                <w:sz w:val="21"/>
                <w:szCs w:val="21"/>
                <w:highlight w:val="none"/>
                <w:lang w:val="en-US" w:eastAsia="zh-CN"/>
              </w:rPr>
              <w:t>真</w:t>
            </w:r>
            <w:r>
              <w:rPr>
                <w:rFonts w:hint="default" w:ascii="宋体" w:hAnsi="宋体" w:eastAsia="宋体" w:cs="宋体"/>
                <w:color w:val="auto"/>
                <w:sz w:val="21"/>
                <w:szCs w:val="21"/>
                <w:highlight w:val="none"/>
              </w:rPr>
              <w:tab/>
            </w:r>
            <w:r>
              <w:rPr>
                <w:rFonts w:hint="default" w:ascii="宋体" w:hAnsi="宋体" w:eastAsia="宋体" w:cs="宋体"/>
                <w:color w:val="auto"/>
                <w:sz w:val="21"/>
                <w:szCs w:val="21"/>
                <w:highlight w:val="none"/>
              </w:rPr>
              <w:t>真</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1995132">
            <w:pPr>
              <w:rPr>
                <w:rFonts w:hint="default"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D2D7448">
            <w:pPr>
              <w:pStyle w:val="29"/>
              <w:kinsoku w:val="0"/>
              <w:overflowPunct w:val="0"/>
              <w:spacing w:before="108"/>
              <w:ind w:left="374"/>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网</w:t>
            </w:r>
            <w:r>
              <w:rPr>
                <w:rFonts w:hint="default" w:ascii="宋体" w:hAnsi="宋体" w:eastAsia="宋体" w:cs="宋体"/>
                <w:color w:val="auto"/>
                <w:spacing w:val="2"/>
                <w:sz w:val="21"/>
                <w:szCs w:val="21"/>
                <w:highlight w:val="none"/>
              </w:rPr>
              <w:t xml:space="preserve"> </w:t>
            </w:r>
            <w:r>
              <w:rPr>
                <w:rFonts w:hint="default" w:ascii="宋体" w:hAnsi="宋体" w:eastAsia="宋体" w:cs="宋体"/>
                <w:color w:val="auto"/>
                <w:sz w:val="21"/>
                <w:szCs w:val="21"/>
                <w:highlight w:val="none"/>
              </w:rPr>
              <w:t>址</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132F5FFB">
            <w:pPr>
              <w:rPr>
                <w:rFonts w:hint="default" w:ascii="宋体" w:hAnsi="宋体" w:eastAsia="宋体" w:cs="宋体"/>
                <w:color w:val="auto"/>
                <w:sz w:val="21"/>
                <w:szCs w:val="21"/>
                <w:highlight w:val="none"/>
              </w:rPr>
            </w:pPr>
          </w:p>
        </w:tc>
      </w:tr>
      <w:tr w14:paraId="55978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A9A85C">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5E668D">
            <w:pPr>
              <w:pStyle w:val="29"/>
              <w:kinsoku w:val="0"/>
              <w:overflowPunct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134DF8">
            <w:pPr>
              <w:rPr>
                <w:rFonts w:hint="default" w:ascii="宋体" w:hAnsi="宋体" w:eastAsia="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629884">
            <w:pPr>
              <w:pStyle w:val="29"/>
              <w:kinsoku w:val="0"/>
              <w:overflowPunct w:val="0"/>
              <w:spacing w:before="107"/>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3018B87">
            <w:pPr>
              <w:rPr>
                <w:rFonts w:hint="default" w:ascii="宋体" w:hAnsi="宋体" w:eastAsia="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CEB9FCC">
            <w:pPr>
              <w:pStyle w:val="29"/>
              <w:kinsoku w:val="0"/>
              <w:overflowPunct w:val="0"/>
              <w:spacing w:before="107"/>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C72041">
            <w:pPr>
              <w:rPr>
                <w:rFonts w:hint="default" w:ascii="宋体" w:hAnsi="宋体" w:eastAsia="宋体" w:cs="宋体"/>
                <w:color w:val="auto"/>
                <w:sz w:val="21"/>
                <w:szCs w:val="21"/>
                <w:highlight w:val="none"/>
              </w:rPr>
            </w:pPr>
          </w:p>
        </w:tc>
      </w:tr>
      <w:tr w14:paraId="4FC6C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6DDD9D">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76E2C3">
            <w:pPr>
              <w:pStyle w:val="29"/>
              <w:kinsoku w:val="0"/>
              <w:overflowPunct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94E7BB">
            <w:pPr>
              <w:rPr>
                <w:rFonts w:hint="default" w:ascii="宋体" w:hAnsi="宋体" w:eastAsia="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7B998F">
            <w:pPr>
              <w:pStyle w:val="29"/>
              <w:kinsoku w:val="0"/>
              <w:overflowPunct w:val="0"/>
              <w:spacing w:before="107"/>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B892A38">
            <w:pPr>
              <w:rPr>
                <w:rFonts w:hint="default" w:ascii="宋体" w:hAnsi="宋体" w:eastAsia="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0AE4A02">
            <w:pPr>
              <w:pStyle w:val="29"/>
              <w:kinsoku w:val="0"/>
              <w:overflowPunct w:val="0"/>
              <w:spacing w:before="107"/>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2EB95A">
            <w:pPr>
              <w:rPr>
                <w:rFonts w:hint="default" w:ascii="宋体" w:hAnsi="宋体" w:eastAsia="宋体" w:cs="宋体"/>
                <w:color w:val="auto"/>
                <w:sz w:val="21"/>
                <w:szCs w:val="21"/>
                <w:highlight w:val="none"/>
              </w:rPr>
            </w:pPr>
          </w:p>
        </w:tc>
      </w:tr>
      <w:tr w14:paraId="1B635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D8F47">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企业监理资质证书</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23660A87">
            <w:pPr>
              <w:pStyle w:val="29"/>
              <w:tabs>
                <w:tab w:val="left" w:pos="3785"/>
                <w:tab w:val="left" w:pos="5045"/>
              </w:tabs>
              <w:kinsoku w:val="0"/>
              <w:overflowPunct w:val="0"/>
              <w:spacing w:before="107"/>
              <w:ind w:left="1054"/>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类型：</w:t>
            </w:r>
            <w:r>
              <w:rPr>
                <w:rFonts w:hint="default" w:ascii="宋体" w:hAnsi="宋体" w:eastAsia="宋体" w:cs="宋体"/>
                <w:color w:val="auto"/>
                <w:sz w:val="21"/>
                <w:szCs w:val="21"/>
                <w:highlight w:val="none"/>
              </w:rPr>
              <w:tab/>
            </w:r>
            <w:r>
              <w:rPr>
                <w:rFonts w:hint="default" w:ascii="宋体" w:hAnsi="宋体" w:eastAsia="宋体" w:cs="宋体"/>
                <w:color w:val="auto"/>
                <w:spacing w:val="-1"/>
                <w:sz w:val="21"/>
                <w:szCs w:val="21"/>
                <w:highlight w:val="none"/>
              </w:rPr>
              <w:t>等级：</w:t>
            </w:r>
            <w:r>
              <w:rPr>
                <w:rFonts w:hint="default" w:ascii="宋体" w:hAnsi="宋体" w:eastAsia="宋体" w:cs="宋体"/>
                <w:color w:val="auto"/>
                <w:spacing w:val="-1"/>
                <w:sz w:val="21"/>
                <w:szCs w:val="21"/>
                <w:highlight w:val="none"/>
              </w:rPr>
              <w:tab/>
            </w:r>
            <w:r>
              <w:rPr>
                <w:rFonts w:hint="default" w:ascii="宋体" w:hAnsi="宋体" w:eastAsia="宋体" w:cs="宋体"/>
                <w:color w:val="auto"/>
                <w:spacing w:val="-2"/>
                <w:sz w:val="21"/>
                <w:szCs w:val="21"/>
                <w:highlight w:val="none"/>
              </w:rPr>
              <w:t>证书号：</w:t>
            </w:r>
          </w:p>
        </w:tc>
      </w:tr>
      <w:tr w14:paraId="3D460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0D3AA0">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质量管理体系证书</w:t>
            </w:r>
          </w:p>
          <w:p w14:paraId="2FBF65D2">
            <w:pPr>
              <w:pStyle w:val="29"/>
              <w:kinsoku w:val="0"/>
              <w:overflowPunct w:val="0"/>
              <w:ind w:right="101"/>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（如有）</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28148C8E">
            <w:pPr>
              <w:pStyle w:val="29"/>
              <w:kinsoku w:val="0"/>
              <w:overflowPunct w:val="0"/>
              <w:spacing w:before="1"/>
              <w:rPr>
                <w:rFonts w:hint="default" w:ascii="宋体" w:hAnsi="宋体" w:eastAsia="宋体" w:cs="宋体"/>
                <w:color w:val="auto"/>
                <w:sz w:val="21"/>
                <w:szCs w:val="21"/>
                <w:highlight w:val="none"/>
              </w:rPr>
            </w:pPr>
          </w:p>
          <w:p w14:paraId="1D99D5DF">
            <w:pPr>
              <w:pStyle w:val="29"/>
              <w:tabs>
                <w:tab w:val="left" w:pos="3785"/>
                <w:tab w:val="left" w:pos="5045"/>
              </w:tabs>
              <w:kinsoku w:val="0"/>
              <w:overflowPunct w:val="0"/>
              <w:ind w:left="1054"/>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类型：</w:t>
            </w:r>
            <w:r>
              <w:rPr>
                <w:rFonts w:hint="default" w:ascii="宋体" w:hAnsi="宋体" w:eastAsia="宋体" w:cs="宋体"/>
                <w:color w:val="auto"/>
                <w:sz w:val="21"/>
                <w:szCs w:val="21"/>
                <w:highlight w:val="none"/>
              </w:rPr>
              <w:tab/>
            </w:r>
            <w:r>
              <w:rPr>
                <w:rFonts w:hint="default" w:ascii="宋体" w:hAnsi="宋体" w:eastAsia="宋体" w:cs="宋体"/>
                <w:color w:val="auto"/>
                <w:spacing w:val="-1"/>
                <w:sz w:val="21"/>
                <w:szCs w:val="21"/>
                <w:highlight w:val="none"/>
              </w:rPr>
              <w:t>等级：</w:t>
            </w:r>
            <w:r>
              <w:rPr>
                <w:rFonts w:hint="default" w:ascii="宋体" w:hAnsi="宋体" w:eastAsia="宋体" w:cs="宋体"/>
                <w:color w:val="auto"/>
                <w:spacing w:val="-1"/>
                <w:sz w:val="21"/>
                <w:szCs w:val="21"/>
                <w:highlight w:val="none"/>
              </w:rPr>
              <w:tab/>
            </w:r>
            <w:r>
              <w:rPr>
                <w:rFonts w:hint="default" w:ascii="宋体" w:hAnsi="宋体" w:eastAsia="宋体" w:cs="宋体"/>
                <w:color w:val="auto"/>
                <w:spacing w:val="-2"/>
                <w:sz w:val="21"/>
                <w:szCs w:val="21"/>
                <w:highlight w:val="none"/>
              </w:rPr>
              <w:t>证书号：</w:t>
            </w:r>
          </w:p>
        </w:tc>
      </w:tr>
      <w:tr w14:paraId="4159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7ADD1">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营业执照号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62DB4F68">
            <w:pPr>
              <w:rPr>
                <w:rFonts w:hint="default" w:ascii="宋体" w:hAnsi="宋体" w:eastAsia="宋体" w:cs="宋体"/>
                <w:color w:val="auto"/>
                <w:sz w:val="21"/>
                <w:szCs w:val="21"/>
                <w:highlight w:val="none"/>
              </w:rPr>
            </w:pPr>
          </w:p>
        </w:tc>
        <w:tc>
          <w:tcPr>
            <w:tcW w:w="363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59F6D1BB">
            <w:pPr>
              <w:pStyle w:val="29"/>
              <w:kinsoku w:val="0"/>
              <w:overflowPunct w:val="0"/>
              <w:spacing w:before="107"/>
              <w:ind w:left="1178"/>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员工总人数：</w:t>
            </w:r>
          </w:p>
        </w:tc>
      </w:tr>
      <w:tr w14:paraId="19EB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3BBF8">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注册资本</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F0BD99E">
            <w:pPr>
              <w:rPr>
                <w:rFonts w:hint="default" w:ascii="宋体" w:hAnsi="宋体" w:eastAsia="宋体" w:cs="宋体"/>
                <w:color w:val="auto"/>
                <w:sz w:val="21"/>
                <w:szCs w:val="21"/>
                <w:highlight w:val="none"/>
              </w:rPr>
            </w:pPr>
          </w:p>
        </w:tc>
        <w:tc>
          <w:tcPr>
            <w:tcW w:w="4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D88C0">
            <w:pPr>
              <w:pStyle w:val="29"/>
              <w:kinsoku w:val="0"/>
              <w:overflowPunct w:val="0"/>
              <w:spacing w:line="384" w:lineRule="auto"/>
              <w:ind w:right="89"/>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其 中</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625B5">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高级职称人员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0224CFC">
            <w:pPr>
              <w:rPr>
                <w:rFonts w:hint="default" w:ascii="宋体" w:hAnsi="宋体" w:eastAsia="宋体" w:cs="宋体"/>
                <w:color w:val="auto"/>
                <w:sz w:val="21"/>
                <w:szCs w:val="21"/>
                <w:highlight w:val="none"/>
              </w:rPr>
            </w:pPr>
          </w:p>
        </w:tc>
      </w:tr>
      <w:tr w14:paraId="780EA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4FC1B2">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成立日期</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4D5C51E2">
            <w:pPr>
              <w:rPr>
                <w:rFonts w:hint="default"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DFDB81E">
            <w:pPr>
              <w:rPr>
                <w:rFonts w:hint="default"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89AB6">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中级职称人员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9CE4DBE">
            <w:pPr>
              <w:rPr>
                <w:rFonts w:hint="default" w:ascii="宋体" w:hAnsi="宋体" w:eastAsia="宋体" w:cs="宋体"/>
                <w:color w:val="auto"/>
                <w:sz w:val="21"/>
                <w:szCs w:val="21"/>
                <w:highlight w:val="none"/>
              </w:rPr>
            </w:pPr>
          </w:p>
        </w:tc>
      </w:tr>
      <w:tr w14:paraId="4295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72D7E7">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基本账户开户银行</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D7950FF">
            <w:pPr>
              <w:rPr>
                <w:rFonts w:hint="default"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EB0DDCA">
            <w:pPr>
              <w:rPr>
                <w:rFonts w:hint="default"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FB242">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技术人员数量</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1877EBC">
            <w:pPr>
              <w:rPr>
                <w:rFonts w:hint="default" w:ascii="宋体" w:hAnsi="宋体" w:eastAsia="宋体" w:cs="宋体"/>
                <w:color w:val="auto"/>
                <w:sz w:val="21"/>
                <w:szCs w:val="21"/>
                <w:highlight w:val="none"/>
              </w:rPr>
            </w:pPr>
          </w:p>
        </w:tc>
      </w:tr>
      <w:tr w14:paraId="7B9A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71AD1">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基本账户银行账号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1E25F35">
            <w:pPr>
              <w:rPr>
                <w:rFonts w:hint="default"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8C27707">
            <w:pPr>
              <w:rPr>
                <w:rFonts w:hint="default"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11AF8E">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各类注册人员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7F59F6D">
            <w:pPr>
              <w:rPr>
                <w:rFonts w:hint="default" w:ascii="宋体" w:hAnsi="宋体" w:eastAsia="宋体" w:cs="宋体"/>
                <w:color w:val="auto"/>
                <w:sz w:val="21"/>
                <w:szCs w:val="21"/>
                <w:highlight w:val="none"/>
              </w:rPr>
            </w:pPr>
          </w:p>
        </w:tc>
      </w:tr>
      <w:tr w14:paraId="63462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78730E">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经营范围</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3DAF043D">
            <w:pPr>
              <w:rPr>
                <w:rFonts w:hint="default" w:ascii="宋体" w:hAnsi="宋体" w:eastAsia="宋体" w:cs="宋体"/>
                <w:color w:val="auto"/>
                <w:sz w:val="21"/>
                <w:szCs w:val="21"/>
                <w:highlight w:val="none"/>
              </w:rPr>
            </w:pPr>
          </w:p>
        </w:tc>
      </w:tr>
      <w:tr w14:paraId="6857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EF65D">
            <w:pPr>
              <w:pStyle w:val="29"/>
              <w:kinsoku w:val="0"/>
              <w:overflowPunct w:val="0"/>
              <w:ind w:right="96"/>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投标人关联企业情</w:t>
            </w:r>
            <w:r>
              <w:rPr>
                <w:rFonts w:hint="default" w:ascii="宋体" w:hAnsi="宋体" w:eastAsia="宋体" w:cs="宋体"/>
                <w:color w:val="auto"/>
                <w:spacing w:val="-8"/>
                <w:sz w:val="21"/>
                <w:szCs w:val="21"/>
                <w:highlight w:val="none"/>
              </w:rPr>
              <w:t>况（包括但不限于与</w:t>
            </w:r>
            <w:r>
              <w:rPr>
                <w:rFonts w:hint="default" w:ascii="宋体" w:hAnsi="宋体" w:eastAsia="宋体" w:cs="宋体"/>
                <w:color w:val="auto"/>
                <w:spacing w:val="-102"/>
                <w:sz w:val="21"/>
                <w:szCs w:val="21"/>
                <w:highlight w:val="none"/>
              </w:rPr>
              <w:t xml:space="preserve"> </w:t>
            </w:r>
            <w:r>
              <w:rPr>
                <w:rFonts w:hint="default" w:ascii="宋体" w:hAnsi="宋体" w:eastAsia="宋体" w:cs="宋体"/>
                <w:color w:val="auto"/>
                <w:sz w:val="21"/>
                <w:szCs w:val="21"/>
                <w:highlight w:val="none"/>
              </w:rPr>
              <w:t>投标人法定代表人为同一人或者存在</w:t>
            </w:r>
            <w:r>
              <w:rPr>
                <w:rFonts w:hint="default" w:ascii="宋体" w:hAnsi="宋体" w:eastAsia="宋体" w:cs="宋体"/>
                <w:color w:val="auto"/>
                <w:spacing w:val="-8"/>
                <w:sz w:val="21"/>
                <w:szCs w:val="21"/>
                <w:highlight w:val="none"/>
              </w:rPr>
              <w:t>控股、管理关系的不</w:t>
            </w:r>
            <w:r>
              <w:rPr>
                <w:rFonts w:hint="default" w:ascii="宋体" w:hAnsi="宋体" w:eastAsia="宋体" w:cs="宋体"/>
                <w:color w:val="auto"/>
                <w:sz w:val="21"/>
                <w:szCs w:val="21"/>
                <w:highlight w:val="none"/>
              </w:rPr>
              <w:t>同单位）</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23C28FEC">
            <w:pPr>
              <w:rPr>
                <w:rFonts w:hint="default" w:ascii="宋体" w:hAnsi="宋体" w:eastAsia="宋体" w:cs="宋体"/>
                <w:color w:val="auto"/>
                <w:sz w:val="21"/>
                <w:szCs w:val="21"/>
                <w:highlight w:val="none"/>
              </w:rPr>
            </w:pPr>
          </w:p>
        </w:tc>
      </w:tr>
      <w:tr w14:paraId="1DF6A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1C775A">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备注</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79F9B461">
            <w:pPr>
              <w:rPr>
                <w:rFonts w:hint="default" w:ascii="宋体" w:hAnsi="宋体" w:eastAsia="宋体" w:cs="宋体"/>
                <w:color w:val="auto"/>
                <w:sz w:val="21"/>
                <w:szCs w:val="21"/>
                <w:highlight w:val="none"/>
              </w:rPr>
            </w:pPr>
          </w:p>
        </w:tc>
      </w:tr>
    </w:tbl>
    <w:p w14:paraId="68EEDB83">
      <w:pPr>
        <w:pStyle w:val="11"/>
        <w:kinsoku w:val="0"/>
        <w:overflowPunct w:val="0"/>
        <w:spacing w:before="74" w:line="331" w:lineRule="auto"/>
        <w:ind w:left="240"/>
        <w:rPr>
          <w:rFonts w:hint="default" w:cs="宋体"/>
          <w:color w:val="auto"/>
          <w:sz w:val="21"/>
          <w:szCs w:val="21"/>
          <w:highlight w:val="none"/>
        </w:rPr>
      </w:pPr>
      <w:r>
        <w:rPr>
          <w:rFonts w:hint="default" w:cs="宋体"/>
          <w:color w:val="auto"/>
          <w:spacing w:val="-5"/>
          <w:sz w:val="21"/>
          <w:szCs w:val="21"/>
          <w:highlight w:val="none"/>
        </w:rPr>
        <w:t>注：</w:t>
      </w:r>
      <w:r>
        <w:rPr>
          <w:rFonts w:hint="default" w:cs="宋体"/>
          <w:color w:val="auto"/>
          <w:sz w:val="21"/>
          <w:szCs w:val="24"/>
          <w:highlight w:val="none"/>
        </w:rPr>
        <w:t>投标人应附营业执照、资质证书等相关证明材料。</w:t>
      </w:r>
    </w:p>
    <w:p w14:paraId="29726F03">
      <w:pPr>
        <w:pStyle w:val="11"/>
        <w:kinsoku w:val="0"/>
        <w:overflowPunct w:val="0"/>
        <w:spacing w:before="74" w:line="331" w:lineRule="auto"/>
        <w:ind w:left="240"/>
        <w:rPr>
          <w:rFonts w:hint="default"/>
          <w:color w:val="auto"/>
          <w:sz w:val="21"/>
          <w:szCs w:val="24"/>
          <w:highlight w:val="none"/>
        </w:rPr>
        <w:sectPr>
          <w:footerReference r:id="rId11" w:type="default"/>
          <w:pgSz w:w="11905" w:h="16838"/>
          <w:pgMar w:top="1417" w:right="1417" w:bottom="1417" w:left="1417" w:header="992" w:footer="992" w:gutter="0"/>
          <w:lnNumType w:countBy="0" w:distance="360"/>
          <w:pgNumType w:fmt="decimal"/>
          <w:cols w:space="720" w:num="1"/>
        </w:sectPr>
      </w:pPr>
    </w:p>
    <w:p w14:paraId="6BEEFEDB">
      <w:pPr>
        <w:pStyle w:val="5"/>
        <w:outlineLvl w:val="2"/>
        <w:rPr>
          <w:rFonts w:hint="default"/>
          <w:b/>
          <w:color w:val="auto"/>
          <w:sz w:val="24"/>
          <w:szCs w:val="24"/>
          <w:highlight w:val="none"/>
        </w:rPr>
      </w:pPr>
      <w:bookmarkStart w:id="335" w:name="bookmark186"/>
      <w:bookmarkEnd w:id="335"/>
      <w:bookmarkStart w:id="336" w:name="bookmark187"/>
      <w:bookmarkEnd w:id="336"/>
      <w:bookmarkStart w:id="337" w:name="_Toc32572"/>
      <w:bookmarkStart w:id="338" w:name="_Toc31107"/>
      <w:r>
        <w:rPr>
          <w:rFonts w:hint="default"/>
          <w:b/>
          <w:color w:val="auto"/>
          <w:sz w:val="24"/>
          <w:szCs w:val="24"/>
          <w:highlight w:val="none"/>
        </w:rPr>
        <w:t>（</w:t>
      </w:r>
      <w:r>
        <w:rPr>
          <w:rFonts w:hint="default"/>
          <w:b/>
          <w:color w:val="auto"/>
          <w:sz w:val="24"/>
          <w:szCs w:val="24"/>
          <w:highlight w:val="none"/>
          <w:lang w:eastAsia="zh-CN"/>
        </w:rPr>
        <w:t>二</w:t>
      </w:r>
      <w:r>
        <w:rPr>
          <w:rFonts w:hint="default"/>
          <w:b/>
          <w:color w:val="auto"/>
          <w:sz w:val="24"/>
          <w:szCs w:val="24"/>
          <w:highlight w:val="none"/>
        </w:rPr>
        <w:t>）近年完成的类似项目情况表</w:t>
      </w:r>
      <w:bookmarkEnd w:id="337"/>
      <w:bookmarkEnd w:id="338"/>
    </w:p>
    <w:p w14:paraId="28C15D24">
      <w:pPr>
        <w:pStyle w:val="11"/>
        <w:kinsoku w:val="0"/>
        <w:overflowPunct w:val="0"/>
        <w:ind w:left="0"/>
        <w:rPr>
          <w:rFonts w:hint="default"/>
          <w:color w:val="auto"/>
          <w:sz w:val="20"/>
          <w:szCs w:val="24"/>
          <w:highlight w:val="none"/>
        </w:rPr>
      </w:pPr>
    </w:p>
    <w:p w14:paraId="79B1D8BE">
      <w:pPr>
        <w:pStyle w:val="11"/>
        <w:kinsoku w:val="0"/>
        <w:overflowPunct w:val="0"/>
        <w:spacing w:before="11"/>
        <w:ind w:left="0"/>
        <w:rPr>
          <w:rFonts w:hint="default"/>
          <w:color w:val="auto"/>
          <w:sz w:val="22"/>
          <w:szCs w:val="24"/>
          <w:highlight w:val="none"/>
        </w:rPr>
      </w:pPr>
    </w:p>
    <w:tbl>
      <w:tblPr>
        <w:tblStyle w:val="23"/>
        <w:tblW w:w="8521"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8"/>
        <w:gridCol w:w="6253"/>
      </w:tblGrid>
      <w:tr w14:paraId="7BFD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35E2B">
            <w:pPr>
              <w:pStyle w:val="29"/>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项目名称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B0C8AA">
            <w:pPr>
              <w:rPr>
                <w:rFonts w:hint="default"/>
                <w:color w:val="auto"/>
                <w:sz w:val="21"/>
                <w:szCs w:val="24"/>
                <w:highlight w:val="none"/>
              </w:rPr>
            </w:pPr>
          </w:p>
        </w:tc>
      </w:tr>
      <w:tr w14:paraId="3FB9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00100">
            <w:pPr>
              <w:pStyle w:val="29"/>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项目所在地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FE3EFA">
            <w:pPr>
              <w:rPr>
                <w:rFonts w:hint="default"/>
                <w:color w:val="auto"/>
                <w:sz w:val="21"/>
                <w:szCs w:val="24"/>
                <w:highlight w:val="none"/>
              </w:rPr>
            </w:pPr>
          </w:p>
        </w:tc>
      </w:tr>
      <w:tr w14:paraId="4CDC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BEB136">
            <w:pPr>
              <w:pStyle w:val="29"/>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委托人名称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B50E03">
            <w:pPr>
              <w:rPr>
                <w:rFonts w:hint="default"/>
                <w:color w:val="auto"/>
                <w:sz w:val="21"/>
                <w:szCs w:val="24"/>
                <w:highlight w:val="none"/>
              </w:rPr>
            </w:pPr>
          </w:p>
        </w:tc>
      </w:tr>
      <w:tr w14:paraId="7B6B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8B30A">
            <w:pPr>
              <w:pStyle w:val="29"/>
              <w:tabs>
                <w:tab w:val="left" w:pos="668"/>
                <w:tab w:val="center" w:pos="1387"/>
              </w:tabs>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委托人地址</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E05058">
            <w:pPr>
              <w:rPr>
                <w:rFonts w:hint="default"/>
                <w:color w:val="auto"/>
                <w:sz w:val="21"/>
                <w:szCs w:val="24"/>
                <w:highlight w:val="none"/>
              </w:rPr>
            </w:pPr>
          </w:p>
        </w:tc>
      </w:tr>
      <w:tr w14:paraId="3CE1B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053F9">
            <w:pPr>
              <w:pStyle w:val="29"/>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委托人电话</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5A2821">
            <w:pPr>
              <w:rPr>
                <w:rFonts w:hint="default"/>
                <w:color w:val="auto"/>
                <w:sz w:val="21"/>
                <w:szCs w:val="24"/>
                <w:highlight w:val="none"/>
              </w:rPr>
            </w:pPr>
          </w:p>
        </w:tc>
      </w:tr>
      <w:tr w14:paraId="32B2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7CE34">
            <w:pPr>
              <w:pStyle w:val="29"/>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合同价格</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DCDA51">
            <w:pPr>
              <w:rPr>
                <w:rFonts w:hint="default"/>
                <w:color w:val="auto"/>
                <w:sz w:val="21"/>
                <w:szCs w:val="24"/>
                <w:highlight w:val="none"/>
              </w:rPr>
            </w:pPr>
          </w:p>
        </w:tc>
      </w:tr>
      <w:tr w14:paraId="10704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DF1F4">
            <w:pPr>
              <w:pStyle w:val="29"/>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监理服务期限</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DFB011">
            <w:pPr>
              <w:rPr>
                <w:rFonts w:hint="default"/>
                <w:color w:val="auto"/>
                <w:sz w:val="21"/>
                <w:szCs w:val="24"/>
                <w:highlight w:val="none"/>
              </w:rPr>
            </w:pPr>
          </w:p>
        </w:tc>
      </w:tr>
      <w:tr w14:paraId="7FE3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D745B6">
            <w:pPr>
              <w:pStyle w:val="29"/>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监理内容</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ABD5EE">
            <w:pPr>
              <w:rPr>
                <w:rFonts w:hint="default"/>
                <w:color w:val="auto"/>
                <w:sz w:val="21"/>
                <w:szCs w:val="24"/>
                <w:highlight w:val="none"/>
              </w:rPr>
            </w:pPr>
          </w:p>
        </w:tc>
      </w:tr>
      <w:tr w14:paraId="5E30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7047F">
            <w:pPr>
              <w:pStyle w:val="29"/>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总监理工程师</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465C90">
            <w:pPr>
              <w:rPr>
                <w:rFonts w:hint="default"/>
                <w:color w:val="auto"/>
                <w:sz w:val="21"/>
                <w:szCs w:val="24"/>
                <w:highlight w:val="none"/>
              </w:rPr>
            </w:pPr>
          </w:p>
        </w:tc>
      </w:tr>
      <w:tr w14:paraId="3CF3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0FB2A">
            <w:pPr>
              <w:pStyle w:val="29"/>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项目描述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C43DCF">
            <w:pPr>
              <w:rPr>
                <w:rFonts w:hint="default"/>
                <w:color w:val="auto"/>
                <w:sz w:val="21"/>
                <w:szCs w:val="24"/>
                <w:highlight w:val="none"/>
              </w:rPr>
            </w:pPr>
          </w:p>
        </w:tc>
      </w:tr>
      <w:tr w14:paraId="03624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D49587">
            <w:pPr>
              <w:pStyle w:val="29"/>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备注</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2B0990">
            <w:pPr>
              <w:rPr>
                <w:rFonts w:hint="default"/>
                <w:color w:val="auto"/>
                <w:sz w:val="21"/>
                <w:szCs w:val="24"/>
                <w:highlight w:val="none"/>
              </w:rPr>
            </w:pPr>
          </w:p>
        </w:tc>
      </w:tr>
    </w:tbl>
    <w:p w14:paraId="6CA34289">
      <w:pPr>
        <w:pStyle w:val="11"/>
        <w:kinsoku w:val="0"/>
        <w:overflowPunct w:val="0"/>
        <w:spacing w:before="6"/>
        <w:ind w:left="0"/>
        <w:rPr>
          <w:rFonts w:hint="default"/>
          <w:color w:val="auto"/>
          <w:sz w:val="24"/>
          <w:szCs w:val="24"/>
          <w:highlight w:val="none"/>
        </w:rPr>
      </w:pPr>
    </w:p>
    <w:p w14:paraId="00CF8D1F">
      <w:pPr>
        <w:pStyle w:val="11"/>
        <w:kinsoku w:val="0"/>
        <w:overflowPunct w:val="0"/>
        <w:spacing w:before="36"/>
        <w:ind w:left="100"/>
        <w:rPr>
          <w:rFonts w:hint="default"/>
          <w:color w:val="auto"/>
          <w:sz w:val="24"/>
          <w:szCs w:val="24"/>
          <w:highlight w:val="none"/>
        </w:rPr>
      </w:pPr>
    </w:p>
    <w:p w14:paraId="7369AB78">
      <w:pPr>
        <w:pStyle w:val="11"/>
        <w:kinsoku w:val="0"/>
        <w:overflowPunct w:val="0"/>
        <w:spacing w:before="36"/>
        <w:ind w:left="100"/>
        <w:rPr>
          <w:rFonts w:hint="default"/>
          <w:color w:val="auto"/>
          <w:sz w:val="21"/>
          <w:szCs w:val="24"/>
          <w:highlight w:val="none"/>
        </w:rPr>
        <w:sectPr>
          <w:headerReference r:id="rId12" w:type="default"/>
          <w:footerReference r:id="rId13" w:type="default"/>
          <w:pgSz w:w="11905" w:h="16838"/>
          <w:pgMar w:top="1417" w:right="1417" w:bottom="1417" w:left="1417" w:header="992" w:footer="992" w:gutter="0"/>
          <w:lnNumType w:countBy="0" w:distance="360"/>
          <w:pgNumType w:fmt="decimal"/>
          <w:cols w:space="720" w:num="1"/>
        </w:sectPr>
      </w:pPr>
    </w:p>
    <w:p w14:paraId="5A2D587F">
      <w:pPr>
        <w:pStyle w:val="5"/>
        <w:outlineLvl w:val="2"/>
        <w:rPr>
          <w:rFonts w:hint="default"/>
          <w:b/>
          <w:color w:val="auto"/>
          <w:sz w:val="24"/>
          <w:szCs w:val="24"/>
          <w:highlight w:val="none"/>
        </w:rPr>
      </w:pPr>
      <w:bookmarkStart w:id="339" w:name="bookmark188"/>
      <w:bookmarkEnd w:id="339"/>
      <w:bookmarkStart w:id="340" w:name="bookmark190"/>
      <w:bookmarkEnd w:id="340"/>
      <w:bookmarkStart w:id="341" w:name="bookmark189"/>
      <w:bookmarkEnd w:id="341"/>
      <w:bookmarkStart w:id="342" w:name="_Toc434"/>
      <w:bookmarkStart w:id="343" w:name="_Toc11195"/>
      <w:r>
        <w:rPr>
          <w:rFonts w:hint="default"/>
          <w:b/>
          <w:color w:val="auto"/>
          <w:sz w:val="24"/>
          <w:szCs w:val="24"/>
          <w:highlight w:val="none"/>
        </w:rPr>
        <w:t>（</w:t>
      </w:r>
      <w:r>
        <w:rPr>
          <w:rFonts w:hint="default"/>
          <w:b/>
          <w:color w:val="auto"/>
          <w:sz w:val="24"/>
          <w:szCs w:val="24"/>
          <w:highlight w:val="none"/>
          <w:lang w:eastAsia="zh-CN"/>
        </w:rPr>
        <w:t>三</w:t>
      </w:r>
      <w:r>
        <w:rPr>
          <w:rFonts w:hint="default"/>
          <w:b/>
          <w:color w:val="auto"/>
          <w:sz w:val="24"/>
          <w:szCs w:val="24"/>
          <w:highlight w:val="none"/>
        </w:rPr>
        <w:t>）拟委任的主要人员汇总表</w:t>
      </w:r>
      <w:bookmarkEnd w:id="342"/>
      <w:bookmarkEnd w:id="343"/>
    </w:p>
    <w:p w14:paraId="694B93CF">
      <w:pPr>
        <w:pStyle w:val="11"/>
        <w:kinsoku w:val="0"/>
        <w:overflowPunct w:val="0"/>
        <w:ind w:left="0"/>
        <w:rPr>
          <w:rFonts w:hint="default"/>
          <w:color w:val="auto"/>
          <w:sz w:val="20"/>
          <w:szCs w:val="24"/>
          <w:highlight w:val="none"/>
        </w:rPr>
      </w:pPr>
    </w:p>
    <w:p w14:paraId="2BFFB8A4">
      <w:pPr>
        <w:pStyle w:val="11"/>
        <w:kinsoku w:val="0"/>
        <w:overflowPunct w:val="0"/>
        <w:spacing w:before="11"/>
        <w:ind w:left="0"/>
        <w:rPr>
          <w:rFonts w:hint="default"/>
          <w:color w:val="auto"/>
          <w:sz w:val="22"/>
          <w:szCs w:val="24"/>
          <w:highlight w:val="none"/>
        </w:rPr>
      </w:pPr>
    </w:p>
    <w:tbl>
      <w:tblPr>
        <w:tblStyle w:val="23"/>
        <w:tblW w:w="8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1275"/>
        <w:gridCol w:w="991"/>
        <w:gridCol w:w="895"/>
        <w:gridCol w:w="975"/>
        <w:gridCol w:w="844"/>
        <w:gridCol w:w="881"/>
        <w:gridCol w:w="825"/>
        <w:gridCol w:w="1275"/>
      </w:tblGrid>
      <w:tr w14:paraId="24E0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7922D">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序号</w:t>
            </w: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AD191">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本项目任职</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507CB2">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姓名</w:t>
            </w:r>
          </w:p>
        </w:tc>
        <w:tc>
          <w:tcPr>
            <w:tcW w:w="8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65CFB">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职 称</w:t>
            </w:r>
          </w:p>
        </w:tc>
        <w:tc>
          <w:tcPr>
            <w:tcW w:w="9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6722E">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专 业</w:t>
            </w:r>
          </w:p>
        </w:tc>
        <w:tc>
          <w:tcPr>
            <w:tcW w:w="255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A5AEA">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执业或职业资格证明</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6D00FE">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备注</w:t>
            </w:r>
          </w:p>
        </w:tc>
      </w:tr>
      <w:tr w14:paraId="2946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jc w:val="center"/>
        </w:trPr>
        <w:tc>
          <w:tcPr>
            <w:tcW w:w="8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C302D">
            <w:pPr>
              <w:pStyle w:val="29"/>
              <w:kinsoku w:val="0"/>
              <w:overflowPunct w:val="0"/>
              <w:spacing w:line="240" w:lineRule="atLeast"/>
              <w:jc w:val="center"/>
              <w:rPr>
                <w:rFonts w:hint="default"/>
                <w:color w:val="auto"/>
                <w:sz w:val="21"/>
                <w:szCs w:val="24"/>
                <w:highlight w:val="none"/>
              </w:rPr>
            </w:pP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5D23F">
            <w:pPr>
              <w:pStyle w:val="29"/>
              <w:kinsoku w:val="0"/>
              <w:overflowPunct w:val="0"/>
              <w:spacing w:line="240" w:lineRule="atLeast"/>
              <w:jc w:val="center"/>
              <w:rPr>
                <w:rFonts w:hint="default"/>
                <w:color w:val="auto"/>
                <w:sz w:val="21"/>
                <w:szCs w:val="24"/>
                <w:highlight w:val="none"/>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F0E45">
            <w:pPr>
              <w:pStyle w:val="29"/>
              <w:kinsoku w:val="0"/>
              <w:overflowPunct w:val="0"/>
              <w:spacing w:line="240" w:lineRule="atLeast"/>
              <w:jc w:val="center"/>
              <w:rPr>
                <w:rFonts w:hint="default"/>
                <w:color w:val="auto"/>
                <w:sz w:val="21"/>
                <w:szCs w:val="24"/>
                <w:highlight w:val="none"/>
              </w:rPr>
            </w:pPr>
          </w:p>
        </w:tc>
        <w:tc>
          <w:tcPr>
            <w:tcW w:w="8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F1651">
            <w:pPr>
              <w:pStyle w:val="29"/>
              <w:kinsoku w:val="0"/>
              <w:overflowPunct w:val="0"/>
              <w:spacing w:line="240" w:lineRule="atLeast"/>
              <w:jc w:val="center"/>
              <w:rPr>
                <w:rFonts w:hint="default"/>
                <w:color w:val="auto"/>
                <w:sz w:val="21"/>
                <w:szCs w:val="24"/>
                <w:highlight w:val="none"/>
              </w:rPr>
            </w:pPr>
          </w:p>
        </w:tc>
        <w:tc>
          <w:tcPr>
            <w:tcW w:w="9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E8C741">
            <w:pPr>
              <w:pStyle w:val="29"/>
              <w:kinsoku w:val="0"/>
              <w:overflowPunct w:val="0"/>
              <w:spacing w:line="240" w:lineRule="atLeast"/>
              <w:jc w:val="center"/>
              <w:rPr>
                <w:rFonts w:hint="default"/>
                <w:color w:val="auto"/>
                <w:sz w:val="21"/>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BC8B4">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证书名称</w:t>
            </w: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EA0D3">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级别</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DC47E">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证号</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A0B26E">
            <w:pPr>
              <w:spacing w:line="240" w:lineRule="atLeast"/>
              <w:jc w:val="center"/>
              <w:rPr>
                <w:rFonts w:hint="default"/>
                <w:color w:val="auto"/>
                <w:sz w:val="21"/>
                <w:szCs w:val="24"/>
                <w:highlight w:val="none"/>
              </w:rPr>
            </w:pPr>
          </w:p>
        </w:tc>
      </w:tr>
      <w:tr w14:paraId="3FCE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2C8C9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D6CF3D">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AA0F30">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8DC3BE">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304CC6">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01F76D">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4BE2F0">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D43B93">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87A013">
            <w:pPr>
              <w:rPr>
                <w:rFonts w:hint="default"/>
                <w:color w:val="auto"/>
                <w:sz w:val="24"/>
                <w:szCs w:val="24"/>
                <w:highlight w:val="none"/>
              </w:rPr>
            </w:pPr>
          </w:p>
        </w:tc>
      </w:tr>
      <w:tr w14:paraId="6444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4A580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19896E">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10E920">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5DEFDE">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751E59">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231C0C">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F02964">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86CA79">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7DB71A">
            <w:pPr>
              <w:rPr>
                <w:rFonts w:hint="default"/>
                <w:color w:val="auto"/>
                <w:sz w:val="24"/>
                <w:szCs w:val="24"/>
                <w:highlight w:val="none"/>
              </w:rPr>
            </w:pPr>
          </w:p>
        </w:tc>
      </w:tr>
      <w:tr w14:paraId="3FBF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ED3303">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6887C2">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A46705">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BBE627">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90F4B1">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CC8115">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70D539">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2ED78E">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F2F926">
            <w:pPr>
              <w:rPr>
                <w:rFonts w:hint="default"/>
                <w:color w:val="auto"/>
                <w:sz w:val="24"/>
                <w:szCs w:val="24"/>
                <w:highlight w:val="none"/>
              </w:rPr>
            </w:pPr>
          </w:p>
        </w:tc>
      </w:tr>
      <w:tr w14:paraId="749D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4EB0E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06B7BD">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7B648E">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2E17DD">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051374">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6996FF">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2899B3">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8C89EF">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C25749">
            <w:pPr>
              <w:rPr>
                <w:rFonts w:hint="default"/>
                <w:color w:val="auto"/>
                <w:sz w:val="24"/>
                <w:szCs w:val="24"/>
                <w:highlight w:val="none"/>
              </w:rPr>
            </w:pPr>
          </w:p>
        </w:tc>
      </w:tr>
      <w:tr w14:paraId="511AF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01D5C3">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321139">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215837">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253CAB">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4DDC42">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D2260C">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F705D6">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3F8065">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B8C6D0">
            <w:pPr>
              <w:rPr>
                <w:rFonts w:hint="default"/>
                <w:color w:val="auto"/>
                <w:sz w:val="24"/>
                <w:szCs w:val="24"/>
                <w:highlight w:val="none"/>
              </w:rPr>
            </w:pPr>
          </w:p>
        </w:tc>
      </w:tr>
      <w:tr w14:paraId="56F0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EFE830">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99C1A1">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8E33A9">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C9952E">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EA520D">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6A2076">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2C3727">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55BB8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3A93B9">
            <w:pPr>
              <w:rPr>
                <w:rFonts w:hint="default"/>
                <w:color w:val="auto"/>
                <w:sz w:val="24"/>
                <w:szCs w:val="24"/>
                <w:highlight w:val="none"/>
              </w:rPr>
            </w:pPr>
          </w:p>
        </w:tc>
      </w:tr>
      <w:tr w14:paraId="1A1BC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B54671">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814669">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7D8B16">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14C4ED">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10CE59">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9002CB">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7ED90D">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8AC790">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27FD2C">
            <w:pPr>
              <w:rPr>
                <w:rFonts w:hint="default"/>
                <w:color w:val="auto"/>
                <w:sz w:val="24"/>
                <w:szCs w:val="24"/>
                <w:highlight w:val="none"/>
              </w:rPr>
            </w:pPr>
          </w:p>
        </w:tc>
      </w:tr>
      <w:tr w14:paraId="4DFE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63CB1D">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F62CE8">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4F66FA">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5C93E7">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B2E3C4">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BC37B1">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9118E4">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D90138">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9708BD">
            <w:pPr>
              <w:rPr>
                <w:rFonts w:hint="default"/>
                <w:color w:val="auto"/>
                <w:sz w:val="24"/>
                <w:szCs w:val="24"/>
                <w:highlight w:val="none"/>
              </w:rPr>
            </w:pPr>
          </w:p>
        </w:tc>
      </w:tr>
      <w:tr w14:paraId="56F2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6A2F60">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59219F">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70081D">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93BA0E">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85A65F">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A7DF84">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4AEBC7">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EF1071">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145A72">
            <w:pPr>
              <w:rPr>
                <w:rFonts w:hint="default"/>
                <w:color w:val="auto"/>
                <w:sz w:val="24"/>
                <w:szCs w:val="24"/>
                <w:highlight w:val="none"/>
              </w:rPr>
            </w:pPr>
          </w:p>
        </w:tc>
      </w:tr>
      <w:tr w14:paraId="0DE4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A17A66">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EF8654">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5E7AB1">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2EDE05">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6ECA52">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31F167">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C45D88">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962C47">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3390B8">
            <w:pPr>
              <w:rPr>
                <w:rFonts w:hint="default"/>
                <w:color w:val="auto"/>
                <w:sz w:val="24"/>
                <w:szCs w:val="24"/>
                <w:highlight w:val="none"/>
              </w:rPr>
            </w:pPr>
          </w:p>
        </w:tc>
      </w:tr>
      <w:tr w14:paraId="4A05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F73553">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BE971A">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E4113A">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667392">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4EDF95">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FE7163">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AFDCD6">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43A266">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C7AFDC">
            <w:pPr>
              <w:rPr>
                <w:rFonts w:hint="default"/>
                <w:color w:val="auto"/>
                <w:sz w:val="24"/>
                <w:szCs w:val="24"/>
                <w:highlight w:val="none"/>
              </w:rPr>
            </w:pPr>
          </w:p>
        </w:tc>
      </w:tr>
      <w:tr w14:paraId="1C12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D7C2A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5E5DEF">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D0F0E9">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EBEF5A">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F294AD">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5B0864">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30A83B">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F63A89">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982EEF">
            <w:pPr>
              <w:rPr>
                <w:rFonts w:hint="default"/>
                <w:color w:val="auto"/>
                <w:sz w:val="24"/>
                <w:szCs w:val="24"/>
                <w:highlight w:val="none"/>
              </w:rPr>
            </w:pPr>
          </w:p>
        </w:tc>
      </w:tr>
      <w:tr w14:paraId="0895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23148A">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C21285">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10B815">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8E6636">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D0B7E9">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4A931B">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57B259">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647829">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7A1FAC">
            <w:pPr>
              <w:rPr>
                <w:rFonts w:hint="default"/>
                <w:color w:val="auto"/>
                <w:sz w:val="24"/>
                <w:szCs w:val="24"/>
                <w:highlight w:val="none"/>
              </w:rPr>
            </w:pPr>
          </w:p>
        </w:tc>
      </w:tr>
      <w:tr w14:paraId="1A2A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3711C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4E94F4">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AF2C00">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4541C5">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B986EF">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F5DB41">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2C7C2E">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E85E1F">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6B29C8">
            <w:pPr>
              <w:rPr>
                <w:rFonts w:hint="default"/>
                <w:color w:val="auto"/>
                <w:sz w:val="24"/>
                <w:szCs w:val="24"/>
                <w:highlight w:val="none"/>
              </w:rPr>
            </w:pPr>
          </w:p>
        </w:tc>
      </w:tr>
      <w:tr w14:paraId="71AF5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17DFE8">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08A078">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D22352">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56A634">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E57108">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3F42B5">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7D6D34">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785DE0">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D274AE">
            <w:pPr>
              <w:rPr>
                <w:rFonts w:hint="default"/>
                <w:color w:val="auto"/>
                <w:sz w:val="24"/>
                <w:szCs w:val="24"/>
                <w:highlight w:val="none"/>
              </w:rPr>
            </w:pPr>
          </w:p>
        </w:tc>
      </w:tr>
      <w:tr w14:paraId="4783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A12B7D">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162584">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9F8EEF">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7B33A8">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61E517">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35B9C9">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2C0470">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53D25B">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C0F623">
            <w:pPr>
              <w:rPr>
                <w:rFonts w:hint="default"/>
                <w:color w:val="auto"/>
                <w:sz w:val="24"/>
                <w:szCs w:val="24"/>
                <w:highlight w:val="none"/>
              </w:rPr>
            </w:pPr>
          </w:p>
        </w:tc>
      </w:tr>
      <w:tr w14:paraId="0A46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27282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DFE6AF">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19E153">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55C299">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1BAAD5">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446AB6">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42F1A8">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1D7098">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2C8097">
            <w:pPr>
              <w:rPr>
                <w:rFonts w:hint="default"/>
                <w:color w:val="auto"/>
                <w:sz w:val="24"/>
                <w:szCs w:val="24"/>
                <w:highlight w:val="none"/>
              </w:rPr>
            </w:pPr>
          </w:p>
        </w:tc>
      </w:tr>
      <w:tr w14:paraId="0713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CF32B2">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5450FC">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1FADD9">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BBAA64">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F187AF">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59287A">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18938F">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42F22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F6235C">
            <w:pPr>
              <w:rPr>
                <w:rFonts w:hint="default"/>
                <w:color w:val="auto"/>
                <w:sz w:val="24"/>
                <w:szCs w:val="24"/>
                <w:highlight w:val="none"/>
              </w:rPr>
            </w:pPr>
          </w:p>
        </w:tc>
      </w:tr>
      <w:tr w14:paraId="4003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6C6A2B">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048431">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0B963C">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6E8268">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3A5E70">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5C60C0">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5995CE">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67BAF9">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EF96F0">
            <w:pPr>
              <w:rPr>
                <w:rFonts w:hint="default"/>
                <w:color w:val="auto"/>
                <w:sz w:val="24"/>
                <w:szCs w:val="24"/>
                <w:highlight w:val="none"/>
              </w:rPr>
            </w:pPr>
          </w:p>
        </w:tc>
      </w:tr>
      <w:tr w14:paraId="4B3CF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56CB58">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4D2C76">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2C5817">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9CD2C4">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628645">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3BFD68">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DAAD3A">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D2B157">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4AC45F">
            <w:pPr>
              <w:rPr>
                <w:rFonts w:hint="default"/>
                <w:color w:val="auto"/>
                <w:sz w:val="24"/>
                <w:szCs w:val="24"/>
                <w:highlight w:val="none"/>
              </w:rPr>
            </w:pPr>
          </w:p>
        </w:tc>
      </w:tr>
      <w:tr w14:paraId="00E7F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D3A69D">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5BC620">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D88C90">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F28E83">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BF993C">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CF328F">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F004C6">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9C5CF1">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70072C">
            <w:pPr>
              <w:rPr>
                <w:rFonts w:hint="default"/>
                <w:color w:val="auto"/>
                <w:sz w:val="24"/>
                <w:szCs w:val="24"/>
                <w:highlight w:val="none"/>
              </w:rPr>
            </w:pPr>
          </w:p>
        </w:tc>
      </w:tr>
    </w:tbl>
    <w:p w14:paraId="7DB36E9A">
      <w:pPr>
        <w:rPr>
          <w:rFonts w:hint="default"/>
          <w:color w:val="auto"/>
          <w:sz w:val="24"/>
          <w:szCs w:val="24"/>
          <w:highlight w:val="none"/>
        </w:rPr>
        <w:sectPr>
          <w:headerReference r:id="rId14" w:type="default"/>
          <w:footerReference r:id="rId15" w:type="default"/>
          <w:pgSz w:w="11905" w:h="16838"/>
          <w:pgMar w:top="1417" w:right="1417" w:bottom="1417" w:left="1417" w:header="992" w:footer="992" w:gutter="0"/>
          <w:lnNumType w:countBy="0" w:distance="360"/>
          <w:pgNumType w:fmt="decimal"/>
          <w:cols w:space="720" w:num="1"/>
        </w:sectPr>
      </w:pPr>
    </w:p>
    <w:p w14:paraId="5A26A72C">
      <w:pPr>
        <w:pStyle w:val="5"/>
        <w:outlineLvl w:val="2"/>
        <w:rPr>
          <w:rFonts w:hint="default"/>
          <w:b/>
          <w:color w:val="auto"/>
          <w:sz w:val="24"/>
          <w:szCs w:val="24"/>
          <w:highlight w:val="none"/>
        </w:rPr>
      </w:pPr>
      <w:bookmarkStart w:id="344" w:name="bookmark191"/>
      <w:bookmarkEnd w:id="344"/>
      <w:bookmarkStart w:id="345" w:name="_Toc25868"/>
      <w:bookmarkStart w:id="346" w:name="_Toc23916"/>
      <w:r>
        <w:rPr>
          <w:rFonts w:hint="default"/>
          <w:b/>
          <w:color w:val="auto"/>
          <w:sz w:val="24"/>
          <w:szCs w:val="24"/>
          <w:highlight w:val="none"/>
        </w:rPr>
        <w:t>（</w:t>
      </w:r>
      <w:r>
        <w:rPr>
          <w:rFonts w:hint="default"/>
          <w:b/>
          <w:color w:val="auto"/>
          <w:sz w:val="24"/>
          <w:szCs w:val="24"/>
          <w:highlight w:val="none"/>
          <w:lang w:eastAsia="zh-CN"/>
        </w:rPr>
        <w:t>四</w:t>
      </w:r>
      <w:r>
        <w:rPr>
          <w:rFonts w:hint="default"/>
          <w:b/>
          <w:color w:val="auto"/>
          <w:sz w:val="24"/>
          <w:szCs w:val="24"/>
          <w:highlight w:val="none"/>
        </w:rPr>
        <w:t>）主要人员简历表</w:t>
      </w:r>
      <w:bookmarkEnd w:id="345"/>
      <w:bookmarkEnd w:id="346"/>
    </w:p>
    <w:p w14:paraId="240BF521">
      <w:pPr>
        <w:pStyle w:val="11"/>
        <w:kinsoku w:val="0"/>
        <w:overflowPunct w:val="0"/>
        <w:ind w:left="0"/>
        <w:rPr>
          <w:rFonts w:hint="default"/>
          <w:b/>
          <w:color w:val="auto"/>
          <w:sz w:val="24"/>
          <w:szCs w:val="24"/>
          <w:highlight w:val="none"/>
        </w:rPr>
      </w:pPr>
    </w:p>
    <w:p w14:paraId="1B9CB641">
      <w:pPr>
        <w:pStyle w:val="11"/>
        <w:kinsoku w:val="0"/>
        <w:overflowPunct w:val="0"/>
        <w:spacing w:before="5"/>
        <w:ind w:left="0"/>
        <w:rPr>
          <w:rFonts w:hint="default"/>
          <w:color w:val="auto"/>
          <w:sz w:val="16"/>
          <w:szCs w:val="24"/>
          <w:highlight w:val="none"/>
        </w:rPr>
      </w:pPr>
    </w:p>
    <w:tbl>
      <w:tblPr>
        <w:tblStyle w:val="23"/>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5"/>
        <w:gridCol w:w="358"/>
        <w:gridCol w:w="692"/>
        <w:gridCol w:w="957"/>
        <w:gridCol w:w="1066"/>
        <w:gridCol w:w="705"/>
        <w:gridCol w:w="1261"/>
        <w:gridCol w:w="401"/>
        <w:gridCol w:w="1896"/>
      </w:tblGrid>
      <w:tr w14:paraId="044FF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exact"/>
          <w:jc w:val="center"/>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4C45A">
            <w:pPr>
              <w:pStyle w:val="29"/>
              <w:tabs>
                <w:tab w:val="left" w:pos="695"/>
              </w:tabs>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姓名</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26BA92C">
            <w:pPr>
              <w:rPr>
                <w:rFonts w:hint="default" w:ascii="宋体" w:hAnsi="宋体" w:eastAsia="宋体" w:cs="宋体"/>
                <w:color w:val="auto"/>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7EFAD">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年龄</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CA6DC9">
            <w:pPr>
              <w:rPr>
                <w:rFonts w:hint="default"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5D223">
            <w:pPr>
              <w:pStyle w:val="29"/>
              <w:kinsoku w:val="0"/>
              <w:overflowPunct w:val="0"/>
              <w:spacing w:before="3" w:line="440" w:lineRule="exact"/>
              <w:ind w:right="122"/>
              <w:jc w:val="center"/>
              <w:rPr>
                <w:rFonts w:hint="default" w:ascii="宋体" w:hAnsi="宋体" w:eastAsia="宋体" w:cs="宋体"/>
                <w:color w:val="auto"/>
                <w:sz w:val="21"/>
                <w:szCs w:val="21"/>
                <w:highlight w:val="none"/>
              </w:rPr>
            </w:pPr>
            <w:r>
              <w:rPr>
                <w:rFonts w:hint="default" w:ascii="宋体" w:hAnsi="宋体" w:eastAsia="宋体" w:cs="宋体"/>
                <w:color w:val="auto"/>
                <w:spacing w:val="-2"/>
                <w:sz w:val="21"/>
                <w:szCs w:val="21"/>
                <w:highlight w:val="none"/>
              </w:rPr>
              <w:t>执业资格证书（或上岗</w:t>
            </w:r>
            <w:r>
              <w:rPr>
                <w:rFonts w:hint="default" w:ascii="宋体" w:hAnsi="宋体" w:eastAsia="宋体" w:cs="宋体"/>
                <w:color w:val="auto"/>
                <w:spacing w:val="-85"/>
                <w:sz w:val="21"/>
                <w:szCs w:val="21"/>
                <w:highlight w:val="none"/>
              </w:rPr>
              <w:t xml:space="preserve"> </w:t>
            </w:r>
            <w:r>
              <w:rPr>
                <w:rFonts w:hint="default" w:ascii="宋体" w:hAnsi="宋体" w:eastAsia="宋体" w:cs="宋体"/>
                <w:color w:val="auto"/>
                <w:sz w:val="21"/>
                <w:szCs w:val="21"/>
                <w:highlight w:val="none"/>
              </w:rPr>
              <w:t>证书）名称</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0E55B8">
            <w:pPr>
              <w:rPr>
                <w:rFonts w:hint="default" w:ascii="宋体" w:hAnsi="宋体" w:eastAsia="宋体" w:cs="宋体"/>
                <w:color w:val="auto"/>
                <w:sz w:val="21"/>
                <w:szCs w:val="21"/>
                <w:highlight w:val="none"/>
              </w:rPr>
            </w:pPr>
          </w:p>
        </w:tc>
      </w:tr>
      <w:tr w14:paraId="0EC4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jc w:val="center"/>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9C3336">
            <w:pPr>
              <w:pStyle w:val="29"/>
              <w:tabs>
                <w:tab w:val="left" w:pos="695"/>
              </w:tabs>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职称</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12C2889">
            <w:pPr>
              <w:rPr>
                <w:rFonts w:hint="default" w:ascii="宋体" w:hAnsi="宋体" w:eastAsia="宋体" w:cs="宋体"/>
                <w:color w:val="auto"/>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EBAC06">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学历</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CE8E3B">
            <w:pPr>
              <w:rPr>
                <w:rFonts w:hint="default"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36525">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拟在本项目任职</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026DC2">
            <w:pPr>
              <w:rPr>
                <w:rFonts w:hint="default" w:ascii="宋体" w:hAnsi="宋体" w:eastAsia="宋体" w:cs="宋体"/>
                <w:color w:val="auto"/>
                <w:sz w:val="21"/>
                <w:szCs w:val="21"/>
                <w:highlight w:val="none"/>
              </w:rPr>
            </w:pPr>
          </w:p>
        </w:tc>
      </w:tr>
      <w:tr w14:paraId="1177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jc w:val="center"/>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7F525">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工作年限</w:t>
            </w:r>
          </w:p>
        </w:tc>
        <w:tc>
          <w:tcPr>
            <w:tcW w:w="30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70E5DC90">
            <w:pPr>
              <w:rPr>
                <w:rFonts w:hint="default"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EC3A54">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从事监理工作年限</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856A03">
            <w:pPr>
              <w:rPr>
                <w:rFonts w:hint="default" w:ascii="宋体" w:hAnsi="宋体" w:eastAsia="宋体" w:cs="宋体"/>
                <w:color w:val="auto"/>
                <w:sz w:val="21"/>
                <w:szCs w:val="21"/>
                <w:highlight w:val="none"/>
              </w:rPr>
            </w:pPr>
          </w:p>
        </w:tc>
      </w:tr>
      <w:tr w14:paraId="146D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exact"/>
          <w:jc w:val="center"/>
        </w:trPr>
        <w:tc>
          <w:tcPr>
            <w:tcW w:w="852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9A1C1">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主要工作经历</w:t>
            </w:r>
          </w:p>
        </w:tc>
      </w:tr>
      <w:tr w14:paraId="0201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exact"/>
          <w:jc w:val="center"/>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2CA0D8">
            <w:pPr>
              <w:pStyle w:val="29"/>
              <w:tabs>
                <w:tab w:val="left" w:pos="873"/>
              </w:tabs>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时</w:t>
            </w:r>
            <w:r>
              <w:rPr>
                <w:rFonts w:hint="default" w:ascii="宋体" w:hAnsi="宋体" w:eastAsia="宋体" w:cs="宋体"/>
                <w:color w:val="auto"/>
                <w:sz w:val="21"/>
                <w:szCs w:val="21"/>
                <w:highlight w:val="none"/>
              </w:rPr>
              <w:tab/>
            </w:r>
            <w:r>
              <w:rPr>
                <w:rFonts w:hint="default" w:ascii="宋体" w:hAnsi="宋体" w:eastAsia="宋体" w:cs="宋体"/>
                <w:color w:val="auto"/>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B97EE0">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参加过的类似项目</w:t>
            </w: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6D30A0">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AB445">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委托人及联系电话</w:t>
            </w:r>
          </w:p>
        </w:tc>
      </w:tr>
      <w:tr w14:paraId="5E38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jc w:val="center"/>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E1F5DA">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02ED8">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6417E6">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412CA">
            <w:pPr>
              <w:jc w:val="center"/>
              <w:rPr>
                <w:rFonts w:hint="default" w:ascii="宋体" w:hAnsi="宋体" w:eastAsia="宋体" w:cs="宋体"/>
                <w:color w:val="auto"/>
                <w:sz w:val="21"/>
                <w:szCs w:val="21"/>
                <w:highlight w:val="none"/>
              </w:rPr>
            </w:pPr>
          </w:p>
        </w:tc>
      </w:tr>
      <w:tr w14:paraId="7576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jc w:val="center"/>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A75C9">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4CD60F">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B870A">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77E4D">
            <w:pPr>
              <w:jc w:val="center"/>
              <w:rPr>
                <w:rFonts w:hint="default" w:ascii="宋体" w:hAnsi="宋体" w:eastAsia="宋体" w:cs="宋体"/>
                <w:color w:val="auto"/>
                <w:sz w:val="21"/>
                <w:szCs w:val="21"/>
                <w:highlight w:val="none"/>
              </w:rPr>
            </w:pPr>
          </w:p>
        </w:tc>
      </w:tr>
      <w:tr w14:paraId="1404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jc w:val="center"/>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D6A08E">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68BDC6">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E83AB">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63909">
            <w:pPr>
              <w:jc w:val="center"/>
              <w:rPr>
                <w:rFonts w:hint="default" w:ascii="宋体" w:hAnsi="宋体" w:eastAsia="宋体" w:cs="宋体"/>
                <w:color w:val="auto"/>
                <w:sz w:val="21"/>
                <w:szCs w:val="21"/>
                <w:highlight w:val="none"/>
              </w:rPr>
            </w:pPr>
          </w:p>
        </w:tc>
      </w:tr>
      <w:tr w14:paraId="0E45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jc w:val="center"/>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907A1">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30BC89">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1C206">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784E5C">
            <w:pPr>
              <w:jc w:val="center"/>
              <w:rPr>
                <w:rFonts w:hint="default" w:ascii="宋体" w:hAnsi="宋体" w:eastAsia="宋体" w:cs="宋体"/>
                <w:color w:val="auto"/>
                <w:sz w:val="21"/>
                <w:szCs w:val="21"/>
                <w:highlight w:val="none"/>
              </w:rPr>
            </w:pPr>
          </w:p>
        </w:tc>
      </w:tr>
      <w:tr w14:paraId="06F2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exact"/>
          <w:jc w:val="center"/>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40B0A2">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D9D15F">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1264AC">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411CF8">
            <w:pPr>
              <w:jc w:val="center"/>
              <w:rPr>
                <w:rFonts w:hint="default" w:ascii="宋体" w:hAnsi="宋体" w:eastAsia="宋体" w:cs="宋体"/>
                <w:color w:val="auto"/>
                <w:sz w:val="21"/>
                <w:szCs w:val="21"/>
                <w:highlight w:val="none"/>
              </w:rPr>
            </w:pPr>
          </w:p>
        </w:tc>
      </w:tr>
      <w:tr w14:paraId="7B9E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jc w:val="center"/>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91E2FF">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C4901F">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B394D">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7D4D7">
            <w:pPr>
              <w:jc w:val="center"/>
              <w:rPr>
                <w:rFonts w:hint="default" w:ascii="宋体" w:hAnsi="宋体" w:eastAsia="宋体" w:cs="宋体"/>
                <w:color w:val="auto"/>
                <w:sz w:val="21"/>
                <w:szCs w:val="21"/>
                <w:highlight w:val="none"/>
              </w:rPr>
            </w:pPr>
          </w:p>
        </w:tc>
      </w:tr>
      <w:tr w14:paraId="2CE4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jc w:val="center"/>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D706A">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237355">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6F344B">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E2AED0">
            <w:pPr>
              <w:jc w:val="center"/>
              <w:rPr>
                <w:rFonts w:hint="default" w:ascii="宋体" w:hAnsi="宋体" w:eastAsia="宋体" w:cs="宋体"/>
                <w:color w:val="auto"/>
                <w:sz w:val="21"/>
                <w:szCs w:val="21"/>
                <w:highlight w:val="none"/>
              </w:rPr>
            </w:pPr>
          </w:p>
        </w:tc>
      </w:tr>
    </w:tbl>
    <w:p w14:paraId="62C4AAA5">
      <w:pPr>
        <w:pStyle w:val="11"/>
        <w:kinsoku w:val="0"/>
        <w:overflowPunct w:val="0"/>
        <w:spacing w:before="6"/>
        <w:ind w:left="0"/>
        <w:rPr>
          <w:rFonts w:hint="default" w:cs="宋体"/>
          <w:color w:val="auto"/>
          <w:sz w:val="24"/>
          <w:szCs w:val="24"/>
          <w:highlight w:val="none"/>
        </w:rPr>
      </w:pPr>
    </w:p>
    <w:p w14:paraId="3F9D55F8">
      <w:pPr>
        <w:pStyle w:val="11"/>
        <w:kinsoku w:val="0"/>
        <w:overflowPunct w:val="0"/>
        <w:spacing w:before="36"/>
        <w:ind w:left="100"/>
        <w:rPr>
          <w:rFonts w:hint="default" w:cs="宋体"/>
          <w:color w:val="auto"/>
          <w:sz w:val="24"/>
          <w:szCs w:val="24"/>
          <w:highlight w:val="none"/>
        </w:rPr>
      </w:pPr>
    </w:p>
    <w:p w14:paraId="445638D8">
      <w:pPr>
        <w:pStyle w:val="11"/>
        <w:kinsoku w:val="0"/>
        <w:overflowPunct w:val="0"/>
        <w:spacing w:before="36"/>
        <w:ind w:left="100"/>
        <w:rPr>
          <w:rFonts w:hint="default"/>
          <w:color w:val="auto"/>
          <w:sz w:val="24"/>
          <w:szCs w:val="24"/>
          <w:highlight w:val="none"/>
        </w:rPr>
        <w:sectPr>
          <w:headerReference r:id="rId16" w:type="default"/>
          <w:footerReference r:id="rId17" w:type="default"/>
          <w:pgSz w:w="11905" w:h="16838"/>
          <w:pgMar w:top="1417" w:right="1417" w:bottom="1417" w:left="1417" w:header="992" w:footer="992" w:gutter="0"/>
          <w:lnNumType w:countBy="0" w:distance="360"/>
          <w:pgNumType w:fmt="decimal"/>
          <w:cols w:space="720" w:num="1"/>
        </w:sectPr>
      </w:pPr>
    </w:p>
    <w:p w14:paraId="543D5ABD">
      <w:pPr>
        <w:pStyle w:val="5"/>
        <w:outlineLvl w:val="2"/>
        <w:rPr>
          <w:rFonts w:hint="default" w:cs="Times New Roman"/>
          <w:b/>
          <w:color w:val="auto"/>
          <w:sz w:val="24"/>
          <w:szCs w:val="24"/>
          <w:highlight w:val="none"/>
        </w:rPr>
      </w:pPr>
      <w:bookmarkStart w:id="347" w:name="bookmark192"/>
      <w:bookmarkEnd w:id="347"/>
      <w:bookmarkStart w:id="348" w:name="_Toc12286"/>
      <w:bookmarkStart w:id="349" w:name="_Toc32697"/>
      <w:r>
        <w:rPr>
          <w:rFonts w:hint="default" w:cs="Times New Roman"/>
          <w:b/>
          <w:color w:val="auto"/>
          <w:sz w:val="24"/>
          <w:szCs w:val="24"/>
          <w:highlight w:val="none"/>
        </w:rPr>
        <w:t>（</w:t>
      </w:r>
      <w:r>
        <w:rPr>
          <w:rFonts w:hint="default" w:cs="Times New Roman"/>
          <w:b/>
          <w:color w:val="auto"/>
          <w:sz w:val="24"/>
          <w:szCs w:val="24"/>
          <w:highlight w:val="none"/>
          <w:lang w:eastAsia="zh-CN"/>
        </w:rPr>
        <w:t>五</w:t>
      </w:r>
      <w:r>
        <w:rPr>
          <w:rFonts w:hint="default" w:cs="Times New Roman"/>
          <w:b/>
          <w:color w:val="auto"/>
          <w:sz w:val="24"/>
          <w:szCs w:val="24"/>
          <w:highlight w:val="none"/>
        </w:rPr>
        <w:t>）拟投入本项目的主要试验检测仪器设备表</w:t>
      </w:r>
      <w:bookmarkEnd w:id="348"/>
      <w:bookmarkEnd w:id="349"/>
    </w:p>
    <w:p w14:paraId="2C9C3B66">
      <w:pPr>
        <w:pStyle w:val="11"/>
        <w:kinsoku w:val="0"/>
        <w:overflowPunct w:val="0"/>
        <w:ind w:left="0"/>
        <w:rPr>
          <w:rFonts w:hint="default"/>
          <w:color w:val="auto"/>
          <w:sz w:val="20"/>
          <w:szCs w:val="24"/>
          <w:highlight w:val="none"/>
        </w:rPr>
      </w:pPr>
    </w:p>
    <w:p w14:paraId="6FD5AF3C">
      <w:pPr>
        <w:pStyle w:val="11"/>
        <w:kinsoku w:val="0"/>
        <w:overflowPunct w:val="0"/>
        <w:spacing w:before="11"/>
        <w:ind w:left="0"/>
        <w:rPr>
          <w:rFonts w:hint="default"/>
          <w:color w:val="auto"/>
          <w:sz w:val="22"/>
          <w:szCs w:val="24"/>
          <w:highlight w:val="none"/>
        </w:rPr>
      </w:pPr>
    </w:p>
    <w:tbl>
      <w:tblPr>
        <w:tblStyle w:val="23"/>
        <w:tblW w:w="85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6"/>
        <w:gridCol w:w="1635"/>
        <w:gridCol w:w="1170"/>
        <w:gridCol w:w="747"/>
        <w:gridCol w:w="993"/>
        <w:gridCol w:w="994"/>
        <w:gridCol w:w="1529"/>
        <w:gridCol w:w="990"/>
      </w:tblGrid>
      <w:tr w14:paraId="17C3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59868">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序号</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A640D">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仪器</w:t>
            </w:r>
            <w:r>
              <w:rPr>
                <w:rFonts w:hint="default" w:ascii="宋体" w:hAnsi="宋体" w:eastAsia="宋体"/>
                <w:color w:val="auto"/>
                <w:sz w:val="21"/>
                <w:szCs w:val="24"/>
                <w:highlight w:val="none"/>
                <w:lang w:eastAsia="zh-CN"/>
              </w:rPr>
              <w:t>设</w:t>
            </w:r>
            <w:r>
              <w:rPr>
                <w:rFonts w:hint="default" w:ascii="宋体" w:hAnsi="宋体" w:eastAsia="宋体"/>
                <w:color w:val="auto"/>
                <w:sz w:val="21"/>
                <w:szCs w:val="24"/>
                <w:highlight w:val="none"/>
              </w:rPr>
              <w:t>备名称</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2F080">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型号</w:t>
            </w:r>
            <w:r>
              <w:rPr>
                <w:rFonts w:hint="default" w:ascii="宋体" w:hAnsi="宋体" w:eastAsia="宋体"/>
                <w:color w:val="auto"/>
                <w:spacing w:val="-103"/>
                <w:sz w:val="21"/>
                <w:szCs w:val="24"/>
                <w:highlight w:val="none"/>
              </w:rPr>
              <w:t xml:space="preserve"> </w:t>
            </w:r>
            <w:r>
              <w:rPr>
                <w:rFonts w:hint="default" w:ascii="宋体" w:hAnsi="宋体" w:eastAsia="宋体"/>
                <w:color w:val="auto"/>
                <w:sz w:val="21"/>
                <w:szCs w:val="24"/>
                <w:highlight w:val="none"/>
              </w:rPr>
              <w:t>规格</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719FC3">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数量</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188FB">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国别</w:t>
            </w:r>
            <w:r>
              <w:rPr>
                <w:rFonts w:hint="default" w:ascii="宋体" w:hAnsi="宋体" w:eastAsia="宋体"/>
                <w:color w:val="auto"/>
                <w:spacing w:val="-103"/>
                <w:sz w:val="21"/>
                <w:szCs w:val="24"/>
                <w:highlight w:val="none"/>
              </w:rPr>
              <w:t xml:space="preserve"> </w:t>
            </w:r>
            <w:r>
              <w:rPr>
                <w:rFonts w:hint="default" w:ascii="宋体" w:hAnsi="宋体" w:eastAsia="宋体"/>
                <w:color w:val="auto"/>
                <w:sz w:val="21"/>
                <w:szCs w:val="24"/>
                <w:highlight w:val="none"/>
              </w:rPr>
              <w:t>产地</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3CB56">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制造</w:t>
            </w:r>
            <w:r>
              <w:rPr>
                <w:rFonts w:hint="default" w:ascii="宋体" w:hAnsi="宋体" w:eastAsia="宋体"/>
                <w:color w:val="auto"/>
                <w:spacing w:val="-103"/>
                <w:sz w:val="21"/>
                <w:szCs w:val="24"/>
                <w:highlight w:val="none"/>
              </w:rPr>
              <w:t xml:space="preserve"> </w:t>
            </w:r>
            <w:r>
              <w:rPr>
                <w:rFonts w:hint="default" w:ascii="宋体" w:hAnsi="宋体" w:eastAsia="宋体"/>
                <w:color w:val="auto"/>
                <w:sz w:val="21"/>
                <w:szCs w:val="24"/>
                <w:highlight w:val="none"/>
              </w:rPr>
              <w:t>年份</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FFF9C">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用途</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E5EAA">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备注</w:t>
            </w:r>
          </w:p>
        </w:tc>
      </w:tr>
      <w:tr w14:paraId="00AA1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33F8C8">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70A6FB">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2AA6CE">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D1C58E">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AAE782">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C1B0E8">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7CCBFE">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CB945E">
            <w:pPr>
              <w:rPr>
                <w:rFonts w:hint="default"/>
                <w:color w:val="auto"/>
                <w:sz w:val="24"/>
                <w:szCs w:val="24"/>
                <w:highlight w:val="none"/>
              </w:rPr>
            </w:pPr>
          </w:p>
        </w:tc>
      </w:tr>
      <w:tr w14:paraId="09D1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351CDC">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00454D">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E23326">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FAC4E2">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3F5D27">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115A4D">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8A7290">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4F190B">
            <w:pPr>
              <w:rPr>
                <w:rFonts w:hint="default"/>
                <w:color w:val="auto"/>
                <w:sz w:val="24"/>
                <w:szCs w:val="24"/>
                <w:highlight w:val="none"/>
              </w:rPr>
            </w:pPr>
          </w:p>
        </w:tc>
      </w:tr>
      <w:tr w14:paraId="01577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A54740">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C99575">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6AF6C1">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8E32B6">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92AE6B">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4F9F60">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41C392">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35FDFC">
            <w:pPr>
              <w:rPr>
                <w:rFonts w:hint="default"/>
                <w:color w:val="auto"/>
                <w:sz w:val="24"/>
                <w:szCs w:val="24"/>
                <w:highlight w:val="none"/>
              </w:rPr>
            </w:pPr>
          </w:p>
        </w:tc>
      </w:tr>
      <w:tr w14:paraId="09ED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33D56A">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81EE30">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636C18">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062318">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97B631">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260B58">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128850">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2D8EB2">
            <w:pPr>
              <w:rPr>
                <w:rFonts w:hint="default"/>
                <w:color w:val="auto"/>
                <w:sz w:val="24"/>
                <w:szCs w:val="24"/>
                <w:highlight w:val="none"/>
              </w:rPr>
            </w:pPr>
          </w:p>
        </w:tc>
      </w:tr>
      <w:tr w14:paraId="3BDE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BFD391">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2EFB75">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813AD5">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F88073">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839902">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1E3A25">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0ADB4A">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F073F5">
            <w:pPr>
              <w:rPr>
                <w:rFonts w:hint="default"/>
                <w:color w:val="auto"/>
                <w:sz w:val="24"/>
                <w:szCs w:val="24"/>
                <w:highlight w:val="none"/>
              </w:rPr>
            </w:pPr>
          </w:p>
        </w:tc>
      </w:tr>
      <w:tr w14:paraId="70E0D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AF6081">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E5C261">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7620DA">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32DDC6">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2F7397">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20D1B8">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818E91">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0E5C2E">
            <w:pPr>
              <w:rPr>
                <w:rFonts w:hint="default"/>
                <w:color w:val="auto"/>
                <w:sz w:val="24"/>
                <w:szCs w:val="24"/>
                <w:highlight w:val="none"/>
              </w:rPr>
            </w:pPr>
          </w:p>
        </w:tc>
      </w:tr>
      <w:tr w14:paraId="3D87C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F36947">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0AA401">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3108BC">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980504">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378631">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1E7828">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6F21FA">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34F282">
            <w:pPr>
              <w:rPr>
                <w:rFonts w:hint="default"/>
                <w:color w:val="auto"/>
                <w:sz w:val="24"/>
                <w:szCs w:val="24"/>
                <w:highlight w:val="none"/>
              </w:rPr>
            </w:pPr>
          </w:p>
        </w:tc>
      </w:tr>
      <w:tr w14:paraId="31F9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2F6BEE">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EFF28B">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A95ED7">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9595EA">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F1964D">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EEDB73">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2B1216">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4C3D96">
            <w:pPr>
              <w:rPr>
                <w:rFonts w:hint="default"/>
                <w:color w:val="auto"/>
                <w:sz w:val="24"/>
                <w:szCs w:val="24"/>
                <w:highlight w:val="none"/>
              </w:rPr>
            </w:pPr>
          </w:p>
        </w:tc>
      </w:tr>
      <w:tr w14:paraId="30E8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BE8050">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4291F6">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F95060">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3CA029">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1E5B08">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EA734C">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03439E">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19020A">
            <w:pPr>
              <w:rPr>
                <w:rFonts w:hint="default"/>
                <w:color w:val="auto"/>
                <w:sz w:val="24"/>
                <w:szCs w:val="24"/>
                <w:highlight w:val="none"/>
              </w:rPr>
            </w:pPr>
          </w:p>
        </w:tc>
      </w:tr>
      <w:tr w14:paraId="0DED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11BEE2">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B077C9">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6A15EC">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8BD088">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D279E6">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2669AD">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0B3849">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15BF41">
            <w:pPr>
              <w:rPr>
                <w:rFonts w:hint="default"/>
                <w:color w:val="auto"/>
                <w:sz w:val="24"/>
                <w:szCs w:val="24"/>
                <w:highlight w:val="none"/>
              </w:rPr>
            </w:pPr>
          </w:p>
        </w:tc>
      </w:tr>
      <w:tr w14:paraId="4BE8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D4FD02">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E01FD3">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01BFEB">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0E57F4">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12A7A1">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EA04F1">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BFB4E2">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CEB256">
            <w:pPr>
              <w:rPr>
                <w:rFonts w:hint="default"/>
                <w:color w:val="auto"/>
                <w:sz w:val="24"/>
                <w:szCs w:val="24"/>
                <w:highlight w:val="none"/>
              </w:rPr>
            </w:pPr>
          </w:p>
        </w:tc>
      </w:tr>
      <w:tr w14:paraId="5FA37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131BEB">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1F8219">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AF1813">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963225">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FA1FF0">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DB26FB">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E08EBB">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06E87B">
            <w:pPr>
              <w:rPr>
                <w:rFonts w:hint="default"/>
                <w:color w:val="auto"/>
                <w:sz w:val="24"/>
                <w:szCs w:val="24"/>
                <w:highlight w:val="none"/>
              </w:rPr>
            </w:pPr>
          </w:p>
        </w:tc>
      </w:tr>
      <w:tr w14:paraId="7370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F16E83">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E7C1FA">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2564F1">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1D8DFB">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738DD6">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A44325">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B93A9A">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A08AC0">
            <w:pPr>
              <w:rPr>
                <w:rFonts w:hint="default"/>
                <w:color w:val="auto"/>
                <w:sz w:val="24"/>
                <w:szCs w:val="24"/>
                <w:highlight w:val="none"/>
              </w:rPr>
            </w:pPr>
          </w:p>
        </w:tc>
      </w:tr>
      <w:tr w14:paraId="4BE3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228F34">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6F491E">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C41D14">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92BF99">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350588">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5252B4">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88B102">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48C76A">
            <w:pPr>
              <w:rPr>
                <w:rFonts w:hint="default"/>
                <w:color w:val="auto"/>
                <w:sz w:val="24"/>
                <w:szCs w:val="24"/>
                <w:highlight w:val="none"/>
              </w:rPr>
            </w:pPr>
          </w:p>
        </w:tc>
      </w:tr>
      <w:tr w14:paraId="28D6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1794B6">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5E2A68">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AC69E1">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7EE333">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02B840">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AAEC35">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B89BA6">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731A94">
            <w:pPr>
              <w:rPr>
                <w:rFonts w:hint="default"/>
                <w:color w:val="auto"/>
                <w:sz w:val="24"/>
                <w:szCs w:val="24"/>
                <w:highlight w:val="none"/>
              </w:rPr>
            </w:pPr>
          </w:p>
        </w:tc>
      </w:tr>
      <w:tr w14:paraId="41FFC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4149BE">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FA8ACF">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CEA74B">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4C28D8">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4E8B66">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4D5F2D">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B14819">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BD6457">
            <w:pPr>
              <w:rPr>
                <w:rFonts w:hint="default"/>
                <w:color w:val="auto"/>
                <w:sz w:val="24"/>
                <w:szCs w:val="24"/>
                <w:highlight w:val="none"/>
              </w:rPr>
            </w:pPr>
          </w:p>
        </w:tc>
      </w:tr>
      <w:tr w14:paraId="1B4D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3AD824">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DA98E4">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D82C04">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192091">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397F50">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67F7EE">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2E412A">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DA4273">
            <w:pPr>
              <w:rPr>
                <w:rFonts w:hint="default"/>
                <w:color w:val="auto"/>
                <w:sz w:val="24"/>
                <w:szCs w:val="24"/>
                <w:highlight w:val="none"/>
              </w:rPr>
            </w:pPr>
          </w:p>
        </w:tc>
      </w:tr>
      <w:tr w14:paraId="5751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FDECE2">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1E62D9">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D2039C">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6393B9">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D9B9FA">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5DC829">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0F9BBF">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8FD6CA">
            <w:pPr>
              <w:rPr>
                <w:rFonts w:hint="default"/>
                <w:color w:val="auto"/>
                <w:sz w:val="24"/>
                <w:szCs w:val="24"/>
                <w:highlight w:val="none"/>
              </w:rPr>
            </w:pPr>
          </w:p>
        </w:tc>
      </w:tr>
      <w:tr w14:paraId="4ECD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00CE29">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6ED058">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2F8E4A">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C3DE62">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76008A">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400EED">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46F7A7">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A9F956">
            <w:pPr>
              <w:rPr>
                <w:rFonts w:hint="default"/>
                <w:color w:val="auto"/>
                <w:sz w:val="24"/>
                <w:szCs w:val="24"/>
                <w:highlight w:val="none"/>
              </w:rPr>
            </w:pPr>
          </w:p>
        </w:tc>
      </w:tr>
    </w:tbl>
    <w:p w14:paraId="7DD4CD39">
      <w:pPr>
        <w:rPr>
          <w:rFonts w:hint="default"/>
          <w:color w:val="auto"/>
          <w:sz w:val="24"/>
          <w:szCs w:val="24"/>
          <w:highlight w:val="none"/>
        </w:rPr>
        <w:sectPr>
          <w:headerReference r:id="rId18" w:type="default"/>
          <w:footerReference r:id="rId19" w:type="default"/>
          <w:pgSz w:w="11905" w:h="16838"/>
          <w:pgMar w:top="1417" w:right="1417" w:bottom="1417" w:left="1417" w:header="992" w:footer="992" w:gutter="0"/>
          <w:lnNumType w:countBy="0" w:distance="360"/>
          <w:pgNumType w:fmt="decimal"/>
          <w:cols w:space="720" w:num="1"/>
        </w:sectPr>
      </w:pPr>
    </w:p>
    <w:p w14:paraId="150A3EA7">
      <w:pPr>
        <w:pStyle w:val="5"/>
        <w:outlineLvl w:val="2"/>
        <w:rPr>
          <w:rFonts w:hint="default" w:cs="Times New Roman"/>
          <w:b/>
          <w:color w:val="auto"/>
          <w:sz w:val="24"/>
          <w:szCs w:val="24"/>
          <w:highlight w:val="none"/>
        </w:rPr>
      </w:pPr>
      <w:bookmarkStart w:id="350" w:name="_Toc4787"/>
      <w:bookmarkStart w:id="351" w:name="_Toc32582"/>
      <w:r>
        <w:rPr>
          <w:rFonts w:hint="default" w:cs="Times New Roman"/>
          <w:b/>
          <w:color w:val="auto"/>
          <w:sz w:val="24"/>
          <w:szCs w:val="24"/>
          <w:highlight w:val="none"/>
          <w:lang w:val="en-US" w:eastAsia="zh-CN"/>
        </w:rPr>
        <w:t>（六）投标人声明格式</w:t>
      </w:r>
      <w:bookmarkEnd w:id="350"/>
      <w:bookmarkEnd w:id="351"/>
    </w:p>
    <w:p w14:paraId="004EE0FA">
      <w:pPr>
        <w:pStyle w:val="20"/>
        <w:spacing w:before="157" w:beforeLines="50" w:after="157" w:afterLines="50"/>
        <w:ind w:firstLine="0"/>
        <w:jc w:val="center"/>
        <w:rPr>
          <w:rFonts w:hint="default" w:ascii="宋体" w:hAnsi="宋体" w:eastAsia="宋体"/>
          <w:color w:val="auto"/>
          <w:sz w:val="24"/>
          <w:szCs w:val="24"/>
          <w:highlight w:val="none"/>
        </w:rPr>
      </w:pPr>
      <w:bookmarkStart w:id="352" w:name="_Toc681"/>
      <w:bookmarkStart w:id="353" w:name="_Toc7353"/>
      <w:r>
        <w:rPr>
          <w:rFonts w:hint="default" w:ascii="宋体" w:hAnsi="宋体" w:eastAsia="宋体" w:cs="宋体"/>
          <w:b/>
          <w:color w:val="auto"/>
          <w:sz w:val="32"/>
          <w:szCs w:val="32"/>
          <w:highlight w:val="none"/>
          <w:lang w:val="en-US" w:eastAsia="zh-CN" w:bidi="ar-SA"/>
        </w:rPr>
        <w:t>投标人声明</w:t>
      </w:r>
      <w:bookmarkEnd w:id="352"/>
      <w:bookmarkEnd w:id="353"/>
    </w:p>
    <w:p w14:paraId="12225543">
      <w:pPr>
        <w:snapToGrid w:val="0"/>
        <w:spacing w:line="360" w:lineRule="auto"/>
        <w:rPr>
          <w:rFonts w:hint="default" w:ascii="宋体" w:hAnsi="宋体" w:eastAsia="宋体" w:cs="宋体"/>
          <w:color w:val="auto"/>
          <w:sz w:val="21"/>
          <w:szCs w:val="21"/>
          <w:highlight w:val="none"/>
        </w:rPr>
      </w:pPr>
    </w:p>
    <w:p w14:paraId="6C3733F1">
      <w:pPr>
        <w:snapToGrid w:val="0"/>
        <w:spacing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本招标项目招标人及招标监管机构：</w:t>
      </w:r>
    </w:p>
    <w:p w14:paraId="06AADA8D">
      <w:pPr>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本公司就参加</w:t>
      </w:r>
      <w:r>
        <w:rPr>
          <w:rFonts w:hint="default" w:ascii="宋体" w:hAnsi="宋体" w:eastAsia="宋体" w:cs="宋体"/>
          <w:color w:val="auto"/>
          <w:sz w:val="21"/>
          <w:szCs w:val="21"/>
          <w:highlight w:val="none"/>
          <w:u w:val="single"/>
        </w:rPr>
        <w:t>    </w:t>
      </w:r>
      <w:r>
        <w:rPr>
          <w:rFonts w:hint="default" w:ascii="宋体" w:hAnsi="宋体" w:eastAsia="宋体" w:cs="宋体"/>
          <w:color w:val="auto"/>
          <w:sz w:val="21"/>
          <w:szCs w:val="21"/>
          <w:highlight w:val="none"/>
          <w:u w:val="single"/>
          <w:lang w:eastAsia="zh-CN"/>
        </w:rPr>
        <w:t>（项目名称）</w:t>
      </w:r>
      <w:r>
        <w:rPr>
          <w:rFonts w:hint="default" w:ascii="宋体" w:hAnsi="宋体" w:eastAsia="宋体" w:cs="宋体"/>
          <w:color w:val="auto"/>
          <w:sz w:val="21"/>
          <w:szCs w:val="21"/>
          <w:highlight w:val="none"/>
          <w:u w:val="single"/>
        </w:rPr>
        <w:t>    </w:t>
      </w:r>
      <w:r>
        <w:rPr>
          <w:rFonts w:hint="default" w:ascii="宋体" w:hAnsi="宋体" w:eastAsia="宋体" w:cs="宋体"/>
          <w:color w:val="auto"/>
          <w:sz w:val="21"/>
          <w:szCs w:val="21"/>
          <w:highlight w:val="none"/>
        </w:rPr>
        <w:t>项目投标工作，作出郑重声明：</w:t>
      </w:r>
    </w:p>
    <w:p w14:paraId="543F8671">
      <w:pPr>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一、本公司保证投标</w:t>
      </w:r>
      <w:r>
        <w:rPr>
          <w:rFonts w:hint="default" w:ascii="宋体" w:hAnsi="宋体" w:eastAsia="宋体" w:cs="宋体"/>
          <w:color w:val="auto"/>
          <w:sz w:val="21"/>
          <w:szCs w:val="21"/>
          <w:highlight w:val="none"/>
          <w:lang w:eastAsia="zh-CN"/>
        </w:rPr>
        <w:t>文件</w:t>
      </w:r>
      <w:r>
        <w:rPr>
          <w:rFonts w:hint="default" w:ascii="宋体" w:hAnsi="宋体" w:eastAsia="宋体" w:cs="宋体"/>
          <w:color w:val="auto"/>
          <w:sz w:val="21"/>
          <w:szCs w:val="21"/>
          <w:highlight w:val="none"/>
        </w:rPr>
        <w:t>及其后提供的一切材料都是真实的。如我司成为本项目中标候选人，我司同意并授权招标人将我司投标文件商务部分的人员、业绩、奖项等资料进行公开。</w:t>
      </w:r>
    </w:p>
    <w:p w14:paraId="3BB9749A">
      <w:pPr>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二、本公司保证不与其他单位围标、串标，不出让投标资格，不向招标人或评标委员会成员行贿。</w:t>
      </w:r>
    </w:p>
    <w:p w14:paraId="7000C198">
      <w:pPr>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三、本公司不存在招标文件第二章投标人须知第1.4.3项所规定的任何一种情形。</w:t>
      </w:r>
    </w:p>
    <w:p w14:paraId="073B50E8">
      <w:pPr>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四、本公司及其有隶属关系的机构，没有参加本项目招标文件的编写工作；本公司与本次招标的招标代理机构没有隶属关系或其他利害关系。</w:t>
      </w:r>
    </w:p>
    <w:p w14:paraId="23BFE856">
      <w:pPr>
        <w:snapToGrid w:val="0"/>
        <w:spacing w:line="360" w:lineRule="auto"/>
        <w:ind w:firstLine="420" w:firstLineChars="200"/>
        <w:rPr>
          <w:rFonts w:hint="eastAsia" w:ascii="宋体" w:hAnsi="宋体" w:eastAsia="宋体" w:cs="宋体"/>
          <w:color w:val="auto"/>
          <w:sz w:val="21"/>
          <w:szCs w:val="21"/>
          <w:highlight w:val="none"/>
          <w:lang w:eastAsia="zh-CN"/>
        </w:rPr>
      </w:pPr>
      <w:bookmarkStart w:id="354" w:name="_Toc14569"/>
      <w:r>
        <w:rPr>
          <w:rFonts w:hint="eastAsia" w:ascii="宋体" w:hAnsi="宋体" w:eastAsia="宋体" w:cs="宋体"/>
          <w:color w:val="auto"/>
          <w:sz w:val="21"/>
          <w:szCs w:val="21"/>
          <w:highlight w:val="none"/>
          <w:lang w:eastAsia="zh-CN"/>
        </w:rPr>
        <w:t>五、本公司</w:t>
      </w:r>
      <w:r>
        <w:rPr>
          <w:rFonts w:hint="eastAsia" w:ascii="宋体" w:hAnsi="宋体" w:eastAsia="宋体" w:cs="宋体"/>
          <w:color w:val="auto"/>
          <w:sz w:val="21"/>
          <w:szCs w:val="21"/>
          <w:highlight w:val="none"/>
          <w:lang w:val="en-US" w:eastAsia="zh-CN"/>
        </w:rPr>
        <w:t>具有履行合同的能力，包括专业、技术资格和能力，资金、设备和其他物质设施能力，管理能力，类似工程经验、信誉状况等。</w:t>
      </w:r>
    </w:p>
    <w:p w14:paraId="458C0210">
      <w:pPr>
        <w:snapToGrid w:val="0"/>
        <w:spacing w:line="360" w:lineRule="auto"/>
        <w:ind w:firstLine="420" w:firstLineChars="200"/>
        <w:outlineLvl w:val="9"/>
        <w:rPr>
          <w:rFonts w:hint="default" w:ascii="宋体" w:hAnsi="宋体" w:eastAsia="宋体" w:cs="宋体"/>
          <w:color w:val="auto"/>
          <w:sz w:val="21"/>
          <w:szCs w:val="21"/>
          <w:highlight w:val="none"/>
        </w:rPr>
      </w:pPr>
      <w:bookmarkStart w:id="355" w:name="_Toc4666"/>
      <w:r>
        <w:rPr>
          <w:rFonts w:hint="eastAsia" w:ascii="宋体" w:hAnsi="宋体" w:cs="宋体"/>
          <w:color w:val="auto"/>
          <w:sz w:val="21"/>
          <w:szCs w:val="21"/>
          <w:highlight w:val="none"/>
          <w:lang w:eastAsia="zh-CN"/>
        </w:rPr>
        <w:t>六</w:t>
      </w:r>
      <w:r>
        <w:rPr>
          <w:rFonts w:hint="default" w:ascii="宋体" w:hAnsi="宋体" w:eastAsia="宋体" w:cs="宋体"/>
          <w:color w:val="auto"/>
          <w:sz w:val="21"/>
          <w:szCs w:val="21"/>
          <w:highlight w:val="none"/>
        </w:rPr>
        <w:t>、本公司承诺，中标后严格执行安全生产相关管理规定。</w:t>
      </w:r>
      <w:bookmarkEnd w:id="354"/>
      <w:bookmarkEnd w:id="355"/>
    </w:p>
    <w:p w14:paraId="42A240C7">
      <w:pPr>
        <w:snapToGrid w:val="0"/>
        <w:spacing w:line="360" w:lineRule="auto"/>
        <w:ind w:firstLine="420" w:firstLineChars="200"/>
        <w:outlineLvl w:val="9"/>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七、本公司积极响应广州市关于投身“百千万工程”的号召，主动参与政府投资类建设工程施工项目的建筑业结对帮扶等活动。</w:t>
      </w:r>
    </w:p>
    <w:p w14:paraId="79B2D97F">
      <w:pPr>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本公司违反上述保证，或本声明陈述与事实不符，经查实，本公司愿意接受公开通报，承担由此带来的法律后果。</w:t>
      </w:r>
    </w:p>
    <w:p w14:paraId="4203CB84">
      <w:pPr>
        <w:widowControl/>
        <w:shd w:val="clear" w:color="auto" w:fill="FFFFFF"/>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特此声明。</w:t>
      </w:r>
    </w:p>
    <w:p w14:paraId="3ED21E7B">
      <w:pPr>
        <w:pStyle w:val="35"/>
        <w:ind w:right="1449" w:firstLine="420" w:firstLineChars="200"/>
        <w:rPr>
          <w:rFonts w:hint="default" w:ascii="宋体" w:eastAsia="宋体" w:cs="宋体"/>
          <w:color w:val="auto"/>
          <w:sz w:val="21"/>
          <w:szCs w:val="21"/>
          <w:highlight w:val="none"/>
        </w:rPr>
      </w:pPr>
    </w:p>
    <w:p w14:paraId="5D3A4E7F">
      <w:pPr>
        <w:pStyle w:val="35"/>
        <w:spacing w:line="600" w:lineRule="exact"/>
        <w:ind w:left="629" w:right="1449" w:firstLine="420" w:firstLineChars="200"/>
        <w:rPr>
          <w:rFonts w:hint="default" w:ascii="宋体" w:eastAsia="宋体" w:cs="宋体"/>
          <w:color w:val="auto"/>
          <w:sz w:val="21"/>
          <w:szCs w:val="21"/>
          <w:highlight w:val="none"/>
        </w:rPr>
      </w:pPr>
      <w:r>
        <w:rPr>
          <w:rFonts w:hint="default" w:ascii="宋体" w:eastAsia="宋体" w:cs="宋体"/>
          <w:color w:val="auto"/>
          <w:sz w:val="21"/>
          <w:szCs w:val="21"/>
          <w:highlight w:val="none"/>
        </w:rPr>
        <w:t xml:space="preserve">                                           声明企业：</w:t>
      </w:r>
    </w:p>
    <w:p w14:paraId="26EACB87">
      <w:pPr>
        <w:pStyle w:val="30"/>
        <w:spacing w:line="600" w:lineRule="exact"/>
        <w:ind w:right="1779" w:firstLine="0"/>
        <w:jc w:val="right"/>
        <w:rPr>
          <w:rFonts w:hint="default" w:ascii="宋体" w:eastAsia="宋体" w:cs="宋体"/>
          <w:color w:val="auto"/>
          <w:sz w:val="21"/>
          <w:szCs w:val="21"/>
          <w:highlight w:val="none"/>
        </w:rPr>
      </w:pPr>
      <w:r>
        <w:rPr>
          <w:rFonts w:hint="default" w:ascii="宋体" w:eastAsia="宋体" w:cs="宋体"/>
          <w:color w:val="auto"/>
          <w:sz w:val="21"/>
          <w:szCs w:val="21"/>
          <w:highlight w:val="none"/>
        </w:rPr>
        <w:t>法定代表人（签字）：</w:t>
      </w:r>
    </w:p>
    <w:p w14:paraId="2EBCF47A">
      <w:pPr>
        <w:pStyle w:val="30"/>
        <w:spacing w:line="600" w:lineRule="exact"/>
        <w:ind w:right="1779" w:firstLine="0"/>
        <w:jc w:val="right"/>
        <w:rPr>
          <w:rFonts w:hint="default" w:ascii="宋体" w:eastAsia="宋体" w:cs="宋体"/>
          <w:color w:val="auto"/>
          <w:sz w:val="21"/>
          <w:szCs w:val="21"/>
          <w:highlight w:val="none"/>
        </w:rPr>
      </w:pPr>
      <w:r>
        <w:rPr>
          <w:rFonts w:hint="default" w:ascii="宋体" w:eastAsia="宋体" w:cs="宋体"/>
          <w:color w:val="auto"/>
          <w:sz w:val="21"/>
          <w:szCs w:val="21"/>
          <w:highlight w:val="none"/>
        </w:rPr>
        <w:t>总监理工程师（签字）：</w:t>
      </w:r>
    </w:p>
    <w:p w14:paraId="069146B7">
      <w:pPr>
        <w:pStyle w:val="30"/>
        <w:spacing w:line="600" w:lineRule="exact"/>
        <w:ind w:right="1779" w:firstLine="0"/>
        <w:jc w:val="right"/>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技术负责人（签字）：</w:t>
      </w:r>
    </w:p>
    <w:p w14:paraId="605340E9">
      <w:pPr>
        <w:pStyle w:val="30"/>
        <w:spacing w:line="600" w:lineRule="exact"/>
        <w:ind w:right="879" w:firstLine="420" w:firstLineChars="200"/>
        <w:jc w:val="right"/>
        <w:rPr>
          <w:rFonts w:hint="default" w:ascii="宋体" w:eastAsia="宋体" w:cs="宋体"/>
          <w:color w:val="auto"/>
          <w:sz w:val="21"/>
          <w:szCs w:val="21"/>
          <w:highlight w:val="none"/>
        </w:rPr>
      </w:pPr>
      <w:r>
        <w:rPr>
          <w:rFonts w:hint="default" w:ascii="宋体" w:eastAsia="宋体" w:cs="宋体"/>
          <w:color w:val="auto"/>
          <w:sz w:val="21"/>
          <w:szCs w:val="21"/>
          <w:highlight w:val="none"/>
        </w:rPr>
        <w:t>（企业公章）</w:t>
      </w:r>
    </w:p>
    <w:p w14:paraId="37F8E789">
      <w:pPr>
        <w:pStyle w:val="30"/>
        <w:ind w:right="879" w:firstLine="420" w:firstLineChars="200"/>
        <w:jc w:val="right"/>
        <w:rPr>
          <w:rFonts w:hint="default" w:ascii="宋体" w:eastAsia="宋体" w:cs="宋体"/>
          <w:color w:val="auto"/>
          <w:sz w:val="21"/>
          <w:szCs w:val="21"/>
          <w:highlight w:val="none"/>
        </w:rPr>
      </w:pPr>
      <w:r>
        <w:rPr>
          <w:rFonts w:hint="default" w:ascii="宋体" w:eastAsia="宋体" w:cs="宋体"/>
          <w:color w:val="auto"/>
          <w:sz w:val="21"/>
          <w:szCs w:val="21"/>
          <w:highlight w:val="none"/>
        </w:rPr>
        <w:t>年  月  日</w:t>
      </w:r>
    </w:p>
    <w:p w14:paraId="45E62D95">
      <w:pPr>
        <w:pStyle w:val="26"/>
        <w:ind w:firstLine="0" w:firstLineChars="0"/>
        <w:rPr>
          <w:rFonts w:hint="eastAsia"/>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0AE65D7A">
      <w:pPr>
        <w:pStyle w:val="5"/>
        <w:pageBreakBefore/>
        <w:outlineLvl w:val="2"/>
        <w:rPr>
          <w:b/>
          <w:color w:val="auto"/>
          <w:sz w:val="24"/>
          <w:szCs w:val="24"/>
          <w:highlight w:val="none"/>
        </w:rPr>
      </w:pPr>
      <w:bookmarkStart w:id="356" w:name="_Toc23859"/>
      <w:r>
        <w:rPr>
          <w:rFonts w:hint="eastAsia" w:eastAsia="宋体"/>
          <w:b/>
          <w:bCs/>
          <w:color w:val="auto"/>
          <w:sz w:val="24"/>
          <w:szCs w:val="24"/>
          <w:highlight w:val="none"/>
          <w:lang w:eastAsia="zh-CN"/>
        </w:rPr>
        <w:t>（</w:t>
      </w:r>
      <w:r>
        <w:rPr>
          <w:rFonts w:hint="eastAsia" w:eastAsia="宋体"/>
          <w:b/>
          <w:bCs/>
          <w:color w:val="auto"/>
          <w:sz w:val="24"/>
          <w:szCs w:val="24"/>
          <w:highlight w:val="none"/>
          <w:lang w:val="en-US" w:eastAsia="zh-CN"/>
        </w:rPr>
        <w:t>七</w:t>
      </w:r>
      <w:r>
        <w:rPr>
          <w:rFonts w:hint="eastAsia" w:eastAsia="宋体"/>
          <w:b/>
          <w:bCs/>
          <w:color w:val="auto"/>
          <w:sz w:val="24"/>
          <w:szCs w:val="24"/>
          <w:highlight w:val="none"/>
          <w:lang w:eastAsia="zh-CN"/>
        </w:rPr>
        <w:t>）</w:t>
      </w:r>
      <w:r>
        <w:rPr>
          <w:rFonts w:hint="eastAsia"/>
          <w:b/>
          <w:color w:val="auto"/>
          <w:sz w:val="24"/>
          <w:szCs w:val="24"/>
          <w:highlight w:val="none"/>
        </w:rPr>
        <w:t>投标人廉洁承诺书</w:t>
      </w:r>
      <w:bookmarkEnd w:id="356"/>
    </w:p>
    <w:p w14:paraId="08DF0F70">
      <w:pPr>
        <w:pStyle w:val="20"/>
        <w:spacing w:before="157" w:beforeLines="50" w:beforeAutospacing="0" w:after="157" w:afterLines="50" w:afterAutospacing="0" w:line="360" w:lineRule="auto"/>
        <w:ind w:firstLine="0"/>
        <w:jc w:val="center"/>
        <w:rPr>
          <w:rFonts w:hint="eastAsia" w:ascii="宋体" w:hAnsi="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14:paraId="2ED212A8">
      <w:pPr>
        <w:pStyle w:val="20"/>
        <w:shd w:val="clear" w:color="auto" w:fill="FFFFFF"/>
        <w:spacing w:before="0" w:beforeAutospacing="0" w:after="0" w:afterAutospacing="0" w:line="360" w:lineRule="auto"/>
        <w:ind w:firstLine="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14:paraId="2F8A5409">
      <w:pPr>
        <w:pStyle w:val="15"/>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（项目名称/标段名称）    </w:t>
      </w:r>
      <w:r>
        <w:rPr>
          <w:rFonts w:hint="eastAsia" w:ascii="宋体" w:hAnsi="宋体" w:eastAsia="宋体" w:cs="宋体"/>
          <w:color w:val="auto"/>
          <w:sz w:val="24"/>
          <w:szCs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551BCA5C">
      <w:pPr>
        <w:pStyle w:val="15"/>
        <w:spacing w:line="360" w:lineRule="auto"/>
        <w:ind w:right="420" w:firstLine="480" w:firstLineChars="200"/>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一、自觉遵守国家有关法律法规及廉洁规定。</w:t>
      </w:r>
    </w:p>
    <w:p w14:paraId="3DC8B166">
      <w:pPr>
        <w:pStyle w:val="15"/>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二、不与招标单位工作人员串通投标，损害国家利益、企业利益以及他人的合法利益；</w:t>
      </w:r>
    </w:p>
    <w:p w14:paraId="0A71742F">
      <w:pPr>
        <w:pStyle w:val="15"/>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三、不与其他单位围标、串标，不出让投标资格，不向招标人或评标委员会成员行贿。</w:t>
      </w:r>
    </w:p>
    <w:p w14:paraId="191E71E7">
      <w:pPr>
        <w:pStyle w:val="15"/>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四、不以任何名义向参与招标、评标工作的有关人员提供高消费宴请及娱乐活动和赠送回扣、红包、礼金、购物卡、有价证券、贵重物品和好处费、感谢费等； </w:t>
      </w:r>
    </w:p>
    <w:p w14:paraId="210E6C4B">
      <w:pPr>
        <w:pStyle w:val="15"/>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五、不以任何名义为参与招标、评标工作的有关人员装修住房、</w:t>
      </w:r>
      <w:r>
        <w:rPr>
          <w:rFonts w:hint="eastAsia" w:hAnsi="宋体" w:cs="宋体"/>
          <w:color w:val="auto"/>
          <w:sz w:val="24"/>
          <w:szCs w:val="24"/>
          <w:highlight w:val="none"/>
          <w:lang w:eastAsia="zh-CN"/>
        </w:rPr>
        <w:t>婚丧嫁娶</w:t>
      </w:r>
      <w:r>
        <w:rPr>
          <w:rFonts w:hint="eastAsia" w:ascii="宋体" w:hAnsi="宋体" w:eastAsia="宋体" w:cs="宋体"/>
          <w:color w:val="auto"/>
          <w:sz w:val="24"/>
          <w:szCs w:val="24"/>
          <w:highlight w:val="none"/>
        </w:rPr>
        <w:t>、配偶子女的工作安排以及境内外旅游等提供方便；</w:t>
      </w:r>
    </w:p>
    <w:p w14:paraId="08D2B336">
      <w:pPr>
        <w:pStyle w:val="15"/>
        <w:spacing w:line="360" w:lineRule="auto"/>
        <w:ind w:right="42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六、不以谋取非正当利益为目的，擅自与参与招标、评标工作的有关人员就业务问题进行私下商谈或者达成利益默契</w:t>
      </w:r>
      <w:r>
        <w:rPr>
          <w:rFonts w:hint="eastAsia" w:hAnsi="宋体" w:cs="宋体"/>
          <w:color w:val="auto"/>
          <w:sz w:val="24"/>
          <w:szCs w:val="24"/>
          <w:highlight w:val="none"/>
          <w:lang w:eastAsia="zh-CN"/>
        </w:rPr>
        <w:t>。</w:t>
      </w:r>
    </w:p>
    <w:p w14:paraId="76965CDF">
      <w:pPr>
        <w:pStyle w:val="20"/>
        <w:shd w:val="clear" w:color="auto" w:fill="FFFFFF"/>
        <w:spacing w:before="0" w:beforeAutospacing="0" w:after="0" w:afterAutospacing="0"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本公司违反上述承诺，或本承诺陈述与事实不符，经查实，本公司愿意接受公开通报，承担由此带来的法律后果。</w:t>
      </w:r>
    </w:p>
    <w:p w14:paraId="3EEC3A5E">
      <w:pPr>
        <w:pStyle w:val="20"/>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特此承诺</w:t>
      </w:r>
      <w:r>
        <w:rPr>
          <w:rFonts w:hint="eastAsia" w:ascii="宋体" w:hAnsi="宋体" w:eastAsia="宋体" w:cs="宋体"/>
          <w:color w:val="auto"/>
          <w:sz w:val="24"/>
          <w:szCs w:val="24"/>
          <w:highlight w:val="none"/>
          <w:lang w:eastAsia="zh-CN"/>
        </w:rPr>
        <w:t>。</w:t>
      </w:r>
    </w:p>
    <w:p w14:paraId="2606A8A3">
      <w:pPr>
        <w:pStyle w:val="20"/>
        <w:shd w:val="clear" w:color="auto" w:fill="FFFFFF"/>
        <w:spacing w:before="0" w:beforeAutospacing="0" w:after="0" w:afterAutospacing="0" w:line="360" w:lineRule="auto"/>
        <w:ind w:right="1455" w:firstLine="2880"/>
        <w:jc w:val="right"/>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承诺企业（</w:t>
      </w:r>
      <w:r>
        <w:rPr>
          <w:rFonts w:hint="eastAsia" w:ascii="宋体" w:hAnsi="宋体" w:cs="宋体"/>
          <w:color w:val="auto"/>
          <w:sz w:val="24"/>
          <w:szCs w:val="24"/>
          <w:highlight w:val="none"/>
          <w:lang w:eastAsia="zh-CN"/>
        </w:rPr>
        <w:t>盖</w:t>
      </w:r>
      <w:r>
        <w:rPr>
          <w:rFonts w:hint="eastAsia" w:ascii="宋体" w:hAnsi="宋体" w:eastAsia="宋体" w:cs="宋体"/>
          <w:color w:val="auto"/>
          <w:sz w:val="24"/>
          <w:szCs w:val="24"/>
          <w:highlight w:val="none"/>
        </w:rPr>
        <w:t>单位章）：      </w:t>
      </w:r>
    </w:p>
    <w:p w14:paraId="535A686C">
      <w:pPr>
        <w:pStyle w:val="20"/>
        <w:shd w:val="clear" w:color="auto" w:fill="FFFFFF"/>
        <w:spacing w:before="0" w:beforeAutospacing="0" w:after="0" w:afterAutospacing="0" w:line="360" w:lineRule="auto"/>
        <w:ind w:firstLine="480"/>
        <w:jc w:val="right"/>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cs="宋体"/>
          <w:color w:val="auto"/>
          <w:sz w:val="24"/>
          <w:szCs w:val="24"/>
          <w:highlight w:val="none"/>
        </w:rPr>
        <w:t xml:space="preserve">           </w:t>
      </w:r>
    </w:p>
    <w:p w14:paraId="4C475A5E">
      <w:pPr>
        <w:pStyle w:val="26"/>
        <w:ind w:firstLine="0" w:firstLineChars="0"/>
        <w:jc w:val="right"/>
        <w:rPr>
          <w:rFonts w:hint="eastAsia"/>
          <w:color w:val="auto"/>
          <w:sz w:val="24"/>
          <w:szCs w:val="24"/>
          <w:highlight w:val="none"/>
        </w:rPr>
        <w:sectPr>
          <w:pgSz w:w="11905" w:h="16838"/>
          <w:pgMar w:top="1417" w:right="1417" w:bottom="1417" w:left="1417" w:header="992" w:footer="992" w:gutter="0"/>
          <w:lnNumType w:countBy="0" w:distance="360"/>
          <w:pgNumType w:fmt="decimal"/>
          <w:cols w:space="720" w:num="1"/>
        </w:sectPr>
      </w:pPr>
      <w:r>
        <w:rPr>
          <w:rFonts w:hint="eastAsia" w:ascii="宋体" w:hAnsi="宋体" w:eastAsia="宋体" w:cs="宋体"/>
          <w:color w:val="auto"/>
          <w:sz w:val="24"/>
          <w:szCs w:val="24"/>
          <w:highlight w:val="none"/>
        </w:rPr>
        <w:t>年   月   日</w:t>
      </w:r>
    </w:p>
    <w:p w14:paraId="0D665A9C">
      <w:pPr>
        <w:pStyle w:val="4"/>
        <w:jc w:val="center"/>
        <w:outlineLvl w:val="1"/>
        <w:rPr>
          <w:rFonts w:hint="default"/>
          <w:color w:val="auto"/>
          <w:sz w:val="28"/>
          <w:szCs w:val="24"/>
          <w:highlight w:val="none"/>
        </w:rPr>
      </w:pPr>
      <w:bookmarkStart w:id="357" w:name="bookmark193"/>
      <w:bookmarkEnd w:id="357"/>
      <w:bookmarkStart w:id="358" w:name="_Toc11799"/>
      <w:bookmarkStart w:id="359" w:name="_Toc3592"/>
      <w:r>
        <w:rPr>
          <w:rFonts w:hint="default"/>
          <w:color w:val="auto"/>
          <w:sz w:val="28"/>
          <w:szCs w:val="24"/>
          <w:highlight w:val="none"/>
        </w:rPr>
        <w:t>七、监理大纲</w:t>
      </w:r>
      <w:bookmarkEnd w:id="358"/>
      <w:bookmarkEnd w:id="359"/>
    </w:p>
    <w:p w14:paraId="10B68FFF">
      <w:pPr>
        <w:pStyle w:val="11"/>
        <w:kinsoku w:val="0"/>
        <w:overflowPunct w:val="0"/>
        <w:spacing w:beforeLines="100" w:line="360" w:lineRule="auto"/>
        <w:ind w:left="0" w:firstLine="480" w:firstLineChars="200"/>
        <w:rPr>
          <w:rFonts w:hint="default"/>
          <w:color w:val="auto"/>
          <w:sz w:val="24"/>
          <w:szCs w:val="24"/>
          <w:highlight w:val="none"/>
        </w:rPr>
      </w:pPr>
      <w:r>
        <w:rPr>
          <w:rFonts w:hint="default"/>
          <w:color w:val="auto"/>
          <w:sz w:val="24"/>
          <w:szCs w:val="24"/>
          <w:highlight w:val="none"/>
        </w:rPr>
        <w:t>监理大纲应包括（但不限于）下列内容：</w:t>
      </w:r>
    </w:p>
    <w:p w14:paraId="13297690">
      <w:pPr>
        <w:pStyle w:val="11"/>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lang w:val="en-US" w:eastAsia="zh-CN"/>
        </w:rPr>
        <w:t>一、</w:t>
      </w:r>
      <w:r>
        <w:rPr>
          <w:rFonts w:hint="default"/>
          <w:color w:val="auto"/>
          <w:sz w:val="24"/>
          <w:szCs w:val="24"/>
          <w:highlight w:val="none"/>
        </w:rPr>
        <w:t>监理工程概况；</w:t>
      </w:r>
    </w:p>
    <w:p w14:paraId="62717CDF">
      <w:pPr>
        <w:pStyle w:val="11"/>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rPr>
        <w:t xml:space="preserve">二、监理范围、监理内容； </w:t>
      </w:r>
    </w:p>
    <w:p w14:paraId="6B5B24EB">
      <w:pPr>
        <w:pStyle w:val="11"/>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rPr>
        <w:t>三、监理依据、监理工作目标；</w:t>
      </w:r>
    </w:p>
    <w:p w14:paraId="4AD6C2CB">
      <w:pPr>
        <w:pStyle w:val="11"/>
        <w:numPr>
          <w:ilvl w:val="0"/>
          <w:numId w:val="0"/>
        </w:numPr>
        <w:kinsoku w:val="0"/>
        <w:overflowPunct w:val="0"/>
        <w:spacing w:line="360" w:lineRule="auto"/>
        <w:ind w:left="480"/>
        <w:rPr>
          <w:rFonts w:hint="default"/>
          <w:color w:val="auto"/>
          <w:sz w:val="24"/>
          <w:szCs w:val="24"/>
          <w:highlight w:val="none"/>
        </w:rPr>
      </w:pPr>
      <w:r>
        <w:rPr>
          <w:rFonts w:hint="default"/>
          <w:color w:val="auto"/>
          <w:spacing w:val="-8"/>
          <w:sz w:val="24"/>
          <w:szCs w:val="24"/>
          <w:highlight w:val="none"/>
        </w:rPr>
        <w:t>四、监理机构设置（框图）、岗位职责；</w:t>
      </w:r>
      <w:r>
        <w:rPr>
          <w:rFonts w:hint="default"/>
          <w:color w:val="auto"/>
          <w:spacing w:val="-69"/>
          <w:sz w:val="24"/>
          <w:szCs w:val="24"/>
          <w:highlight w:val="none"/>
        </w:rPr>
        <w:t xml:space="preserve"> </w:t>
      </w:r>
    </w:p>
    <w:p w14:paraId="432F57F3">
      <w:pPr>
        <w:pStyle w:val="11"/>
        <w:numPr>
          <w:ilvl w:val="0"/>
          <w:numId w:val="0"/>
        </w:numPr>
        <w:kinsoku w:val="0"/>
        <w:overflowPunct w:val="0"/>
        <w:spacing w:line="360" w:lineRule="auto"/>
        <w:ind w:left="0" w:firstLine="480" w:firstLineChars="200"/>
        <w:rPr>
          <w:rFonts w:hint="default"/>
          <w:color w:val="auto"/>
          <w:sz w:val="24"/>
          <w:szCs w:val="24"/>
          <w:highlight w:val="none"/>
        </w:rPr>
      </w:pPr>
      <w:r>
        <w:rPr>
          <w:rFonts w:hint="default"/>
          <w:color w:val="auto"/>
          <w:sz w:val="24"/>
          <w:szCs w:val="24"/>
          <w:highlight w:val="none"/>
        </w:rPr>
        <w:t xml:space="preserve">五、监理工作程序、方法和制度； </w:t>
      </w:r>
    </w:p>
    <w:p w14:paraId="4DFEF69B">
      <w:pPr>
        <w:pStyle w:val="11"/>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rPr>
        <w:t xml:space="preserve">六、拟投入的监理人员、试验检测仪器设备； </w:t>
      </w:r>
    </w:p>
    <w:p w14:paraId="1FE24BC0">
      <w:pPr>
        <w:pStyle w:val="11"/>
        <w:numPr>
          <w:ilvl w:val="0"/>
          <w:numId w:val="0"/>
        </w:numPr>
        <w:kinsoku w:val="0"/>
        <w:overflowPunct w:val="0"/>
        <w:spacing w:line="360" w:lineRule="auto"/>
        <w:ind w:left="480"/>
        <w:rPr>
          <w:rFonts w:hint="default"/>
          <w:color w:val="auto"/>
          <w:sz w:val="24"/>
          <w:szCs w:val="24"/>
          <w:highlight w:val="none"/>
        </w:rPr>
      </w:pPr>
      <w:r>
        <w:rPr>
          <w:rFonts w:hint="default"/>
          <w:color w:val="auto"/>
          <w:spacing w:val="-2"/>
          <w:sz w:val="24"/>
          <w:szCs w:val="24"/>
          <w:highlight w:val="none"/>
        </w:rPr>
        <w:t>七、质量、进度、造价、安全、环保监理措施；</w:t>
      </w:r>
      <w:r>
        <w:rPr>
          <w:rFonts w:hint="default"/>
          <w:color w:val="auto"/>
          <w:spacing w:val="-66"/>
          <w:sz w:val="24"/>
          <w:szCs w:val="24"/>
          <w:highlight w:val="none"/>
        </w:rPr>
        <w:t xml:space="preserve"> </w:t>
      </w:r>
    </w:p>
    <w:p w14:paraId="5595D906">
      <w:pPr>
        <w:pStyle w:val="11"/>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rPr>
        <w:t>八、合同、信息管理方案；</w:t>
      </w:r>
    </w:p>
    <w:p w14:paraId="1894A310">
      <w:pPr>
        <w:pStyle w:val="11"/>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lang w:val="en-US" w:eastAsia="zh-CN"/>
        </w:rPr>
        <w:t>九</w:t>
      </w:r>
      <w:r>
        <w:rPr>
          <w:rFonts w:hint="default"/>
          <w:color w:val="auto"/>
          <w:sz w:val="24"/>
          <w:szCs w:val="24"/>
          <w:highlight w:val="none"/>
        </w:rPr>
        <w:t xml:space="preserve">、组织协调内容及措施； </w:t>
      </w:r>
    </w:p>
    <w:p w14:paraId="50643646">
      <w:pPr>
        <w:pStyle w:val="11"/>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rPr>
        <w:t xml:space="preserve">十、监理工作重点、难点分析； </w:t>
      </w:r>
    </w:p>
    <w:p w14:paraId="3D32AEA6">
      <w:pPr>
        <w:pStyle w:val="11"/>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rPr>
        <w:t>十</w:t>
      </w:r>
      <w:r>
        <w:rPr>
          <w:rFonts w:hint="default"/>
          <w:color w:val="auto"/>
          <w:sz w:val="24"/>
          <w:szCs w:val="24"/>
          <w:highlight w:val="none"/>
          <w:lang w:val="en-US" w:eastAsia="zh-CN"/>
        </w:rPr>
        <w:t>一</w:t>
      </w:r>
      <w:r>
        <w:rPr>
          <w:rFonts w:hint="default"/>
          <w:color w:val="auto"/>
          <w:sz w:val="24"/>
          <w:szCs w:val="24"/>
          <w:highlight w:val="none"/>
        </w:rPr>
        <w:t>、对本工程监理的合理化建议。</w:t>
      </w:r>
    </w:p>
    <w:p w14:paraId="33DA45C3">
      <w:pPr>
        <w:pStyle w:val="11"/>
        <w:kinsoku w:val="0"/>
        <w:overflowPunct w:val="0"/>
        <w:spacing w:before="275" w:line="357" w:lineRule="auto"/>
        <w:ind w:left="555" w:right="3835"/>
        <w:rPr>
          <w:rFonts w:hint="default"/>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496F31AC">
      <w:pPr>
        <w:pStyle w:val="4"/>
        <w:jc w:val="center"/>
        <w:outlineLvl w:val="1"/>
        <w:rPr>
          <w:rFonts w:hint="default"/>
          <w:color w:val="auto"/>
          <w:sz w:val="28"/>
          <w:szCs w:val="24"/>
          <w:highlight w:val="none"/>
        </w:rPr>
        <w:sectPr>
          <w:headerReference r:id="rId20" w:type="default"/>
          <w:footerReference r:id="rId21" w:type="default"/>
          <w:pgSz w:w="11905" w:h="16838"/>
          <w:pgMar w:top="1417" w:right="1417" w:bottom="1417" w:left="1417" w:header="992" w:footer="992" w:gutter="0"/>
          <w:lnNumType w:countBy="0" w:distance="360"/>
          <w:pgNumType w:fmt="decimal"/>
          <w:cols w:space="720" w:num="1"/>
        </w:sectPr>
      </w:pPr>
      <w:bookmarkStart w:id="360" w:name="bookmark194"/>
      <w:bookmarkEnd w:id="360"/>
      <w:bookmarkStart w:id="361" w:name="_Toc14898"/>
      <w:bookmarkStart w:id="362" w:name="_Toc29707"/>
      <w:r>
        <w:rPr>
          <w:rFonts w:hint="default"/>
          <w:color w:val="auto"/>
          <w:sz w:val="28"/>
          <w:szCs w:val="24"/>
          <w:highlight w:val="none"/>
        </w:rPr>
        <w:t>八、其他资料</w:t>
      </w:r>
      <w:bookmarkEnd w:id="361"/>
      <w:bookmarkEnd w:id="362"/>
    </w:p>
    <w:p w14:paraId="07968DD5">
      <w:pPr>
        <w:pStyle w:val="21"/>
        <w:spacing w:after="0" w:line="360" w:lineRule="auto"/>
        <w:ind w:left="0" w:leftChars="0" w:firstLine="0" w:firstLineChars="0"/>
        <w:jc w:val="left"/>
        <w:outlineLvl w:val="0"/>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附件一</w:t>
      </w:r>
    </w:p>
    <w:p w14:paraId="05ACDE19">
      <w:pPr>
        <w:spacing w:line="360" w:lineRule="auto"/>
        <w:jc w:val="center"/>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中小企业声明函（如有）</w:t>
      </w:r>
    </w:p>
    <w:p w14:paraId="031BE796">
      <w:pPr>
        <w:pStyle w:val="15"/>
        <w:rPr>
          <w:rFonts w:hint="eastAsia" w:ascii="宋体" w:hAnsi="宋体" w:eastAsia="宋体" w:cs="宋体"/>
          <w:color w:val="auto"/>
          <w:sz w:val="28"/>
          <w:szCs w:val="28"/>
          <w:highlight w:val="none"/>
        </w:rPr>
      </w:pPr>
    </w:p>
    <w:p w14:paraId="77E8C1C6">
      <w:pPr>
        <w:pStyle w:val="15"/>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（招标人）</w:t>
      </w:r>
      <w:r>
        <w:rPr>
          <w:rFonts w:hint="eastAsia" w:ascii="宋体" w:hAnsi="宋体" w:eastAsia="宋体" w:cs="宋体"/>
          <w:color w:val="auto"/>
          <w:sz w:val="24"/>
          <w:szCs w:val="24"/>
          <w:highlight w:val="none"/>
        </w:rPr>
        <w:t xml:space="preserve">         </w:t>
      </w:r>
    </w:p>
    <w:p w14:paraId="438DBF28">
      <w:pPr>
        <w:pStyle w:val="15"/>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 xml:space="preserve">   （招标人） </w:t>
      </w:r>
      <w:r>
        <w:rPr>
          <w:rFonts w:hint="eastAsia" w:ascii="宋体" w:hAnsi="宋体" w:eastAsia="宋体" w:cs="宋体"/>
          <w:color w:val="auto"/>
          <w:sz w:val="24"/>
          <w:szCs w:val="24"/>
          <w:highlight w:val="none"/>
        </w:rPr>
        <w:t xml:space="preserve">   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招标活动，工程的施工单位全部为符合政策要求的中小企业。相关企业（含</w:t>
      </w:r>
      <w:r>
        <w:rPr>
          <w:rFonts w:hint="eastAsia" w:ascii="宋体" w:hAnsi="宋体" w:eastAsia="宋体" w:cs="宋体"/>
          <w:color w:val="auto"/>
          <w:sz w:val="24"/>
          <w:szCs w:val="24"/>
          <w:highlight w:val="none"/>
          <w:lang w:val="en-US" w:eastAsia="zh-CN"/>
        </w:rPr>
        <w:t>联合体中的中小企业、</w:t>
      </w:r>
      <w:r>
        <w:rPr>
          <w:rFonts w:hint="eastAsia" w:ascii="宋体" w:hAnsi="宋体" w:eastAsia="宋体" w:cs="宋体"/>
          <w:color w:val="auto"/>
          <w:sz w:val="24"/>
          <w:szCs w:val="24"/>
          <w:highlight w:val="none"/>
        </w:rPr>
        <w:t>签订分包意向协议的中小企业）的具体情况如下：</w:t>
      </w:r>
    </w:p>
    <w:p w14:paraId="05FB1B29">
      <w:pPr>
        <w:pStyle w:val="15"/>
        <w:numPr>
          <w:ilvl w:val="0"/>
          <w:numId w:val="3"/>
        </w:num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型企业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小型企业、□微型企业）；</w:t>
      </w:r>
    </w:p>
    <w:p w14:paraId="0BA962CC">
      <w:pPr>
        <w:pStyle w:val="15"/>
        <w:numPr>
          <w:ilvl w:val="0"/>
          <w:numId w:val="3"/>
        </w:num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型企业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小型企业、□微型企业）；</w:t>
      </w:r>
    </w:p>
    <w:p w14:paraId="060B61C3">
      <w:pPr>
        <w:pStyle w:val="15"/>
        <w:ind w:firstLine="480" w:firstLineChars="200"/>
        <w:rPr>
          <w:rFonts w:hint="eastAsia" w:ascii="宋体" w:hAnsi="宋体" w:eastAsia="宋体" w:cs="宋体"/>
          <w:color w:val="auto"/>
          <w:sz w:val="24"/>
          <w:szCs w:val="24"/>
          <w:highlight w:val="none"/>
        </w:rPr>
      </w:pPr>
    </w:p>
    <w:p w14:paraId="614118FB">
      <w:pPr>
        <w:pStyle w:val="15"/>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45A8019">
      <w:pPr>
        <w:pStyle w:val="15"/>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3CCA2BF">
      <w:pPr>
        <w:pStyle w:val="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01783F6">
      <w:pPr>
        <w:pStyle w:val="15"/>
        <w:rPr>
          <w:rFonts w:hint="eastAsia" w:ascii="宋体" w:hAnsi="宋体" w:eastAsia="宋体" w:cs="宋体"/>
          <w:color w:val="auto"/>
          <w:sz w:val="24"/>
          <w:szCs w:val="24"/>
          <w:highlight w:val="none"/>
        </w:rPr>
      </w:pPr>
    </w:p>
    <w:p w14:paraId="289CF5D2">
      <w:pPr>
        <w:pStyle w:val="1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14:paraId="4F8812FD">
      <w:pPr>
        <w:pStyle w:val="1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4FF2A921">
      <w:pPr>
        <w:pStyle w:val="15"/>
        <w:rPr>
          <w:rFonts w:hint="eastAsia" w:ascii="宋体" w:hAnsi="宋体" w:cs="宋体"/>
          <w:color w:val="auto"/>
          <w:sz w:val="24"/>
          <w:szCs w:val="24"/>
          <w:highlight w:val="none"/>
        </w:rPr>
      </w:pPr>
    </w:p>
    <w:p w14:paraId="62DC70E4">
      <w:pPr>
        <w:pStyle w:val="15"/>
        <w:rPr>
          <w:rFonts w:hint="eastAsia" w:ascii="宋体" w:hAnsi="宋体" w:cs="宋体"/>
          <w:color w:val="auto"/>
          <w:sz w:val="24"/>
          <w:szCs w:val="24"/>
          <w:highlight w:val="none"/>
        </w:rPr>
      </w:pPr>
    </w:p>
    <w:p w14:paraId="52D07215">
      <w:pPr>
        <w:pStyle w:val="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注：1、从业人员、营业收入、资产总额填报上一年度数据，无上一年度数据的新成立企业可不填报。</w:t>
      </w:r>
    </w:p>
    <w:p w14:paraId="092A1908">
      <w:pPr>
        <w:pStyle w:val="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2、《中小企业声明函》（如有）适用于小微企业参加招投标活动的。投标人应当自行核实是否属于小微企业，并认真填写，若有虚假将追究其责任。</w:t>
      </w:r>
    </w:p>
    <w:p w14:paraId="30957BF7">
      <w:pPr>
        <w:pStyle w:val="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3、需按照本项目对应行业出具《中小企业声明函》，而非按照供应商的经营范围出具。</w:t>
      </w:r>
    </w:p>
    <w:p w14:paraId="1F19322E">
      <w:pPr>
        <w:rPr>
          <w:rFonts w:hint="default" w:ascii="Times New Roman" w:hAnsi="Times New Roman" w:cs="Times New Roman"/>
          <w:color w:val="auto"/>
          <w:sz w:val="24"/>
          <w:szCs w:val="24"/>
          <w:highlight w:val="none"/>
        </w:rPr>
      </w:pPr>
    </w:p>
    <w:p w14:paraId="747C316E">
      <w:pPr>
        <w:pStyle w:val="21"/>
        <w:spacing w:after="0" w:line="360" w:lineRule="auto"/>
        <w:ind w:left="0" w:leftChars="0" w:firstLine="0" w:firstLineChars="0"/>
        <w:jc w:val="left"/>
        <w:outlineLvl w:val="0"/>
        <w:rPr>
          <w:rFonts w:hint="default" w:ascii="Calibri" w:hAnsi="Calibri" w:eastAsia="宋体" w:cs="Times New Roman"/>
          <w:color w:val="auto"/>
          <w:kern w:val="2"/>
          <w:sz w:val="24"/>
          <w:szCs w:val="24"/>
          <w:highlight w:val="none"/>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bCs/>
          <w:snapToGrid w:val="0"/>
          <w:color w:val="auto"/>
          <w:kern w:val="13"/>
          <w:sz w:val="24"/>
          <w:szCs w:val="24"/>
          <w:highlight w:val="none"/>
          <w:lang w:val="en-US" w:eastAsia="zh-CN"/>
        </w:rPr>
        <w:t>（此格式不作为废标条款）</w:t>
      </w:r>
    </w:p>
    <w:p w14:paraId="6EDEE346">
      <w:pPr>
        <w:pStyle w:val="21"/>
        <w:spacing w:after="0" w:line="360" w:lineRule="auto"/>
        <w:ind w:left="0" w:leftChars="0" w:firstLine="0" w:firstLineChars="0"/>
        <w:jc w:val="left"/>
        <w:outlineLvl w:val="0"/>
        <w:rPr>
          <w:rFonts w:hint="default"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附件二</w:t>
      </w:r>
    </w:p>
    <w:p w14:paraId="531EE98A">
      <w:pPr>
        <w:snapToGrid/>
        <w:spacing w:line="360" w:lineRule="auto"/>
        <w:jc w:val="center"/>
        <w:outlineLvl w:val="1"/>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分包意向协议</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如有</w:t>
      </w:r>
      <w:r>
        <w:rPr>
          <w:rFonts w:hint="eastAsia" w:ascii="宋体" w:hAnsi="宋体" w:eastAsia="宋体" w:cs="宋体"/>
          <w:b/>
          <w:color w:val="auto"/>
          <w:kern w:val="0"/>
          <w:sz w:val="24"/>
          <w:szCs w:val="24"/>
          <w:highlight w:val="none"/>
          <w:lang w:eastAsia="zh-CN"/>
        </w:rPr>
        <w:t>）</w:t>
      </w:r>
    </w:p>
    <w:p w14:paraId="0E72EB9B">
      <w:pPr>
        <w:pStyle w:val="15"/>
        <w:rPr>
          <w:rFonts w:hint="eastAsia" w:ascii="宋体" w:hAnsi="宋体" w:eastAsia="宋体" w:cs="宋体"/>
          <w:color w:val="auto"/>
          <w:sz w:val="24"/>
          <w:szCs w:val="24"/>
          <w:highlight w:val="none"/>
        </w:rPr>
      </w:pPr>
    </w:p>
    <w:p w14:paraId="042CD6E4">
      <w:pPr>
        <w:snapToGrid/>
        <w:spacing w:line="240" w:lineRule="auto"/>
        <w:ind w:firstLine="0" w:firstLineChars="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立约方：</w:t>
      </w:r>
      <w:r>
        <w:rPr>
          <w:rFonts w:hint="eastAsia" w:ascii="宋体" w:hAnsi="宋体" w:eastAsia="宋体" w:cs="宋体"/>
          <w:color w:val="auto"/>
          <w:sz w:val="24"/>
          <w:szCs w:val="24"/>
          <w:highlight w:val="none"/>
          <w:u w:val="single"/>
        </w:rPr>
        <w:t>（甲公司全称）</w:t>
      </w:r>
    </w:p>
    <w:p w14:paraId="078358EE">
      <w:pPr>
        <w:snapToGrid/>
        <w:spacing w:line="240" w:lineRule="auto"/>
        <w:ind w:firstLine="960" w:firstLineChars="4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（乙公司全称）</w:t>
      </w:r>
    </w:p>
    <w:p w14:paraId="359EACA9">
      <w:pPr>
        <w:snapToGrid/>
        <w:spacing w:line="240" w:lineRule="auto"/>
        <w:ind w:firstLine="960" w:firstLineChars="4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（……公司全称）</w:t>
      </w:r>
    </w:p>
    <w:p w14:paraId="7679680D">
      <w:pPr>
        <w:snapToGrid/>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（甲公司全称）、（乙公司全称）、（……公司全称）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自愿达成分包意向，参加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的投标活动。经各方充分协商一致，就项目的投标和合同实施阶段的有关事务协商一致订立意向如下：</w:t>
      </w:r>
    </w:p>
    <w:p w14:paraId="35082FE0">
      <w:pPr>
        <w:snapToGrid/>
        <w:spacing w:line="240" w:lineRule="auto"/>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一、分包意向各方关系</w:t>
      </w:r>
      <w:r>
        <w:rPr>
          <w:rFonts w:hint="eastAsia" w:ascii="宋体" w:hAnsi="宋体" w:eastAsia="宋体" w:cs="宋体"/>
          <w:b w:val="0"/>
          <w:bCs w:val="0"/>
          <w:color w:val="auto"/>
          <w:sz w:val="24"/>
          <w:szCs w:val="24"/>
          <w:highlight w:val="none"/>
          <w:lang w:eastAsia="zh-CN"/>
        </w:rPr>
        <w:t>：</w:t>
      </w:r>
    </w:p>
    <w:p w14:paraId="251DEE06">
      <w:pPr>
        <w:snapToGrid/>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为投标人，</w:t>
      </w:r>
      <w:r>
        <w:rPr>
          <w:rFonts w:hint="eastAsia" w:ascii="宋体" w:hAnsi="宋体" w:eastAsia="宋体" w:cs="宋体"/>
          <w:color w:val="auto"/>
          <w:sz w:val="24"/>
          <w:szCs w:val="24"/>
          <w:highlight w:val="none"/>
          <w:u w:val="single"/>
        </w:rPr>
        <w:t>（乙公司全称）、（……公司全称）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为分包意向单位，</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以投标人的身份参加本项目的投标。若中标，</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与招标人签订建设工程施工合同。承接分包意向的各单位与</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签订分包合同。</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就招标项目和分包项目向招标人负责，分包单位就分包项目承担责任。</w:t>
      </w:r>
    </w:p>
    <w:p w14:paraId="7E3E7C0F">
      <w:pPr>
        <w:snapToGrid/>
        <w:spacing w:line="240" w:lineRule="auto"/>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二、有关事项约定如下：</w:t>
      </w:r>
    </w:p>
    <w:p w14:paraId="4FC6393C">
      <w:pPr>
        <w:snapToGrid/>
        <w:spacing w:line="24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1.如中标，分包单位分别与</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签订合同书，并就中标项目分包部分承担法律责任</w:t>
      </w:r>
      <w:r>
        <w:rPr>
          <w:rFonts w:hint="eastAsia" w:ascii="宋体" w:hAnsi="宋体" w:eastAsia="宋体" w:cs="宋体"/>
          <w:color w:val="auto"/>
          <w:sz w:val="24"/>
          <w:szCs w:val="24"/>
          <w:highlight w:val="none"/>
          <w:lang w:eastAsia="zh-CN"/>
        </w:rPr>
        <w:t>。</w:t>
      </w:r>
    </w:p>
    <w:p w14:paraId="04E9A538">
      <w:pPr>
        <w:snapToGrid/>
        <w:spacing w:line="24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2.分包意向单位1：</w:t>
      </w:r>
      <w:r>
        <w:rPr>
          <w:rFonts w:hint="eastAsia" w:ascii="宋体" w:hAnsi="宋体" w:eastAsia="宋体" w:cs="宋体"/>
          <w:color w:val="auto"/>
          <w:sz w:val="24"/>
          <w:szCs w:val="24"/>
          <w:highlight w:val="none"/>
          <w:u w:val="single"/>
          <w:lang w:val="en-US" w:eastAsia="zh-CN"/>
        </w:rPr>
        <w:t xml:space="preserve">（乙公司全称）     </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lang w:val="en-US" w:eastAsia="zh-CN"/>
        </w:rPr>
        <w:t>（请填写：大型、中型、小型、微型）</w:t>
      </w:r>
      <w:r>
        <w:rPr>
          <w:rFonts w:hint="eastAsia" w:ascii="宋体" w:hAnsi="宋体" w:eastAsia="宋体" w:cs="宋体"/>
          <w:color w:val="auto"/>
          <w:sz w:val="24"/>
          <w:szCs w:val="24"/>
          <w:highlight w:val="none"/>
          <w:lang w:val="en-US" w:eastAsia="zh-CN"/>
        </w:rPr>
        <w:t>企业，将承担适宜分包部分</w:t>
      </w:r>
      <w:r>
        <w:rPr>
          <w:rFonts w:hint="eastAsia" w:ascii="宋体" w:hAnsi="宋体" w:eastAsia="宋体" w:cs="宋体"/>
          <w:color w:val="auto"/>
          <w:sz w:val="24"/>
          <w:szCs w:val="24"/>
          <w:highlight w:val="none"/>
          <w:u w:val="single"/>
          <w:lang w:val="en-US" w:eastAsia="zh-CN"/>
        </w:rPr>
        <w:t xml:space="preserve">   （具体分包内容）   </w:t>
      </w:r>
      <w:r>
        <w:rPr>
          <w:rFonts w:hint="eastAsia" w:ascii="宋体" w:hAnsi="宋体" w:eastAsia="宋体" w:cs="宋体"/>
          <w:color w:val="auto"/>
          <w:sz w:val="24"/>
          <w:szCs w:val="24"/>
          <w:highlight w:val="none"/>
          <w:lang w:val="en-US" w:eastAsia="zh-CN"/>
        </w:rPr>
        <w:t>占合同总金额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%的工作内容。</w:t>
      </w:r>
    </w:p>
    <w:p w14:paraId="08D98DCB">
      <w:pPr>
        <w:snapToGrid/>
        <w:spacing w:line="24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3.分包意向单位2：</w:t>
      </w:r>
      <w:r>
        <w:rPr>
          <w:rFonts w:hint="eastAsia" w:ascii="宋体" w:hAnsi="宋体" w:eastAsia="宋体" w:cs="宋体"/>
          <w:color w:val="auto"/>
          <w:sz w:val="24"/>
          <w:szCs w:val="24"/>
          <w:highlight w:val="none"/>
          <w:u w:val="single"/>
          <w:lang w:val="en-US" w:eastAsia="zh-CN"/>
        </w:rPr>
        <w:t xml:space="preserve">（……公司全称）   </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lang w:val="en-US" w:eastAsia="zh-CN"/>
        </w:rPr>
        <w:t>（请填写：大型、中型、小型、微型）</w:t>
      </w:r>
      <w:r>
        <w:rPr>
          <w:rFonts w:hint="eastAsia" w:ascii="宋体" w:hAnsi="宋体" w:eastAsia="宋体" w:cs="宋体"/>
          <w:color w:val="auto"/>
          <w:sz w:val="24"/>
          <w:szCs w:val="24"/>
          <w:highlight w:val="none"/>
          <w:lang w:val="en-US" w:eastAsia="zh-CN"/>
        </w:rPr>
        <w:t>企业，将承担适宜分包部分</w:t>
      </w:r>
      <w:r>
        <w:rPr>
          <w:rFonts w:hint="eastAsia" w:ascii="宋体" w:hAnsi="宋体" w:eastAsia="宋体" w:cs="宋体"/>
          <w:color w:val="auto"/>
          <w:sz w:val="24"/>
          <w:szCs w:val="24"/>
          <w:highlight w:val="none"/>
          <w:u w:val="single"/>
          <w:lang w:val="en-US" w:eastAsia="zh-CN"/>
        </w:rPr>
        <w:t xml:space="preserve">   （具体分包内容）   </w:t>
      </w:r>
      <w:r>
        <w:rPr>
          <w:rFonts w:hint="eastAsia" w:ascii="宋体" w:hAnsi="宋体" w:eastAsia="宋体" w:cs="宋体"/>
          <w:color w:val="auto"/>
          <w:sz w:val="24"/>
          <w:szCs w:val="24"/>
          <w:highlight w:val="none"/>
          <w:lang w:val="en-US" w:eastAsia="zh-CN"/>
        </w:rPr>
        <w:t>占合同总金额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%的工作内容。</w:t>
      </w:r>
    </w:p>
    <w:p w14:paraId="2E315131">
      <w:pPr>
        <w:snapToGrid/>
        <w:spacing w:line="24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p>
    <w:p w14:paraId="5BA04939">
      <w:pPr>
        <w:snapToGrid/>
        <w:spacing w:line="240" w:lineRule="auto"/>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三、接受分包的企业与投标人之间的关系：</w:t>
      </w:r>
    </w:p>
    <w:p w14:paraId="4705DEA4">
      <w:pPr>
        <w:snapToGrid/>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1.分包意向单位1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与投标人之间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（请填写：是否存在）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直接控股、管理关系的情形。</w:t>
      </w:r>
    </w:p>
    <w:p w14:paraId="43781E05">
      <w:pPr>
        <w:snapToGrid/>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2.分包意向单位2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与投标人之间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（请填写：是否存在）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直接控股、管理关系的情形。</w:t>
      </w:r>
    </w:p>
    <w:p w14:paraId="70DE186B">
      <w:pPr>
        <w:snapToGrid/>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8112316">
      <w:pPr>
        <w:snapToGrid/>
        <w:spacing w:line="240" w:lineRule="auto"/>
        <w:ind w:firstLine="480" w:firstLineChars="200"/>
        <w:jc w:val="both"/>
        <w:rPr>
          <w:rFonts w:hint="eastAsia" w:ascii="宋体" w:hAnsi="宋体" w:eastAsia="宋体" w:cs="宋体"/>
          <w:color w:val="auto"/>
          <w:sz w:val="24"/>
          <w:szCs w:val="24"/>
          <w:highlight w:val="none"/>
        </w:rPr>
      </w:pPr>
    </w:p>
    <w:p w14:paraId="2583D30D">
      <w:pPr>
        <w:autoSpaceDE/>
        <w:autoSpaceDN/>
        <w:adjustRightInd/>
        <w:spacing w:line="240" w:lineRule="auto"/>
        <w:ind w:firstLine="480" w:firstLineChars="200"/>
        <w:jc w:val="both"/>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四、如因违约过失责任而导致招标人经济损失或被索赔时，</w:t>
      </w:r>
      <w:r>
        <w:rPr>
          <w:rFonts w:hint="eastAsia" w:ascii="宋体" w:hAnsi="宋体" w:eastAsia="宋体" w:cs="宋体"/>
          <w:b w:val="0"/>
          <w:bCs w:val="0"/>
          <w:color w:val="auto"/>
          <w:kern w:val="2"/>
          <w:sz w:val="24"/>
          <w:szCs w:val="24"/>
          <w:highlight w:val="none"/>
          <w:u w:val="single"/>
          <w:lang w:val="en-US" w:eastAsia="zh-CN" w:bidi="ar-SA"/>
        </w:rPr>
        <w:t xml:space="preserve">（甲公司全称）      </w:t>
      </w:r>
      <w:r>
        <w:rPr>
          <w:rFonts w:hint="eastAsia" w:ascii="宋体" w:hAnsi="宋体" w:eastAsia="宋体" w:cs="宋体"/>
          <w:b w:val="0"/>
          <w:bCs w:val="0"/>
          <w:color w:val="auto"/>
          <w:kern w:val="2"/>
          <w:sz w:val="24"/>
          <w:szCs w:val="24"/>
          <w:highlight w:val="none"/>
          <w:u w:val="none"/>
          <w:lang w:val="en-US" w:eastAsia="zh-CN" w:bidi="ar-SA"/>
        </w:rPr>
        <w:t>同意无条件优先清偿招标人的一切债务和经济赔偿。</w:t>
      </w:r>
    </w:p>
    <w:p w14:paraId="3293A5F1">
      <w:pPr>
        <w:autoSpaceDE/>
        <w:autoSpaceDN/>
        <w:adjustRightInd/>
        <w:spacing w:line="240" w:lineRule="auto"/>
        <w:ind w:firstLine="480" w:firstLineChars="200"/>
        <w:jc w:val="both"/>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五、如中标，分包意向单位不得以任何理由提出终止本意向协议。</w:t>
      </w:r>
    </w:p>
    <w:p w14:paraId="566476E9">
      <w:pPr>
        <w:autoSpaceDE/>
        <w:autoSpaceDN/>
        <w:adjustRightInd/>
        <w:spacing w:line="240" w:lineRule="auto"/>
        <w:ind w:firstLine="480" w:firstLineChars="200"/>
        <w:jc w:val="both"/>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六、如中标，分包意向单位确定后，不得擅自变更。</w:t>
      </w:r>
    </w:p>
    <w:p w14:paraId="1BE7AB2F">
      <w:pPr>
        <w:autoSpaceDE/>
        <w:autoSpaceDN/>
        <w:adjustRightInd/>
        <w:spacing w:line="240" w:lineRule="auto"/>
        <w:ind w:firstLine="480" w:firstLineChars="200"/>
        <w:jc w:val="both"/>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七、本分包意向协议在自签署之日起生效，有效期内有效，如获中标资格，有效期延续至合同履行完毕之日。</w:t>
      </w:r>
    </w:p>
    <w:p w14:paraId="5D0220F1">
      <w:pPr>
        <w:snapToGrid/>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本企业对上述内容的真实性负责。如有虚假，将依法承担相应责任。以上</w:t>
      </w:r>
      <w:r>
        <w:rPr>
          <w:rFonts w:hint="eastAsia" w:ascii="宋体" w:hAnsi="宋体" w:eastAsia="宋体" w:cs="宋体"/>
          <w:color w:val="auto"/>
          <w:sz w:val="24"/>
          <w:szCs w:val="24"/>
          <w:highlight w:val="none"/>
          <w:lang w:val="en-US" w:eastAsia="zh-CN"/>
        </w:rPr>
        <w:t>分包意向单位</w:t>
      </w:r>
      <w:r>
        <w:rPr>
          <w:rFonts w:hint="eastAsia" w:ascii="宋体" w:hAnsi="宋体" w:eastAsia="宋体" w:cs="宋体"/>
          <w:color w:val="auto"/>
          <w:sz w:val="24"/>
          <w:szCs w:val="24"/>
          <w:highlight w:val="none"/>
        </w:rPr>
        <w:t>，不属于大企业的分支机构，不存在控股股东为大企业的情形，也不存在与大企业的负责人为同一人的情形。</w:t>
      </w:r>
    </w:p>
    <w:p w14:paraId="5C6BAF17">
      <w:pPr>
        <w:snapToGrid/>
        <w:spacing w:line="240" w:lineRule="auto"/>
        <w:ind w:firstLine="0" w:firstLineChars="0"/>
        <w:jc w:val="both"/>
        <w:rPr>
          <w:rFonts w:hint="eastAsia" w:ascii="宋体" w:hAnsi="宋体" w:eastAsia="宋体" w:cs="宋体"/>
          <w:color w:val="auto"/>
          <w:sz w:val="24"/>
          <w:szCs w:val="24"/>
          <w:highlight w:val="none"/>
        </w:rPr>
      </w:pPr>
    </w:p>
    <w:p w14:paraId="3636A573">
      <w:pPr>
        <w:snapToGrid/>
        <w:spacing w:line="24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甲公司全称：（盖章）</w:t>
      </w:r>
    </w:p>
    <w:p w14:paraId="121902FE">
      <w:pPr>
        <w:snapToGrid/>
        <w:spacing w:line="24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（签字或盖章）</w:t>
      </w:r>
    </w:p>
    <w:p w14:paraId="45929AD5">
      <w:pPr>
        <w:snapToGrid/>
        <w:spacing w:line="24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3FDC5106">
      <w:pPr>
        <w:snapToGrid/>
        <w:spacing w:line="240" w:lineRule="auto"/>
        <w:ind w:firstLine="0" w:firstLineChars="0"/>
        <w:jc w:val="both"/>
        <w:rPr>
          <w:rFonts w:hint="eastAsia" w:ascii="宋体" w:hAnsi="宋体" w:eastAsia="宋体" w:cs="宋体"/>
          <w:color w:val="auto"/>
          <w:sz w:val="24"/>
          <w:szCs w:val="24"/>
          <w:highlight w:val="none"/>
        </w:rPr>
      </w:pPr>
    </w:p>
    <w:p w14:paraId="1FF9D660">
      <w:pPr>
        <w:snapToGrid/>
        <w:spacing w:line="24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乙公司全称：（盖章）</w:t>
      </w:r>
    </w:p>
    <w:p w14:paraId="0E967DCA">
      <w:pPr>
        <w:snapToGrid/>
        <w:spacing w:line="24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（签字或盖章）</w:t>
      </w:r>
    </w:p>
    <w:p w14:paraId="70EB208E">
      <w:pPr>
        <w:snapToGrid/>
        <w:spacing w:line="24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4F2DA1CC">
      <w:pPr>
        <w:snapToGrid/>
        <w:spacing w:line="360" w:lineRule="auto"/>
        <w:ind w:firstLine="0" w:firstLineChars="0"/>
        <w:jc w:val="both"/>
        <w:rPr>
          <w:rFonts w:hint="eastAsia" w:ascii="宋体" w:hAnsi="宋体" w:eastAsia="宋体" w:cs="宋体"/>
          <w:color w:val="auto"/>
          <w:sz w:val="24"/>
          <w:szCs w:val="24"/>
          <w:highlight w:val="none"/>
        </w:rPr>
      </w:pPr>
    </w:p>
    <w:p w14:paraId="3DA3038A">
      <w:pPr>
        <w:snapToGrid/>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……公司全称（盖章）</w:t>
      </w:r>
    </w:p>
    <w:p w14:paraId="226FC905">
      <w:pPr>
        <w:snapToGrid/>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4FC75FD8">
      <w:pPr>
        <w:snapToGrid/>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09E603A">
      <w:pPr>
        <w:snapToGrid/>
        <w:spacing w:line="360" w:lineRule="auto"/>
        <w:ind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p>
    <w:p w14:paraId="23D89632">
      <w:pPr>
        <w:snapToGrid/>
        <w:spacing w:line="360" w:lineRule="auto"/>
        <w:ind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注：1．各方应在本分包意向协议上共同盖章确认。</w:t>
      </w:r>
    </w:p>
    <w:p w14:paraId="53D25C9A">
      <w:pPr>
        <w:snapToGrid/>
        <w:spacing w:line="36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2．本分包意向协议内容将作为签订合同的附件之一。</w:t>
      </w:r>
    </w:p>
    <w:p w14:paraId="324E8E49">
      <w:pPr>
        <w:snapToGrid/>
        <w:spacing w:line="360" w:lineRule="auto"/>
        <w:ind w:firstLine="482" w:firstLineChars="20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2"/>
          <w:sz w:val="24"/>
          <w:szCs w:val="24"/>
          <w:highlight w:val="none"/>
          <w:lang w:val="en-US" w:eastAsia="zh-CN"/>
        </w:rPr>
        <w:t>分包意向协议</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适用于大中型企业向一家或者多家小微企业分包且分包承诺小微企业的合同份额占到合同总金额30%以上的。</w:t>
      </w:r>
    </w:p>
    <w:p w14:paraId="7C5863A6">
      <w:pPr>
        <w:spacing w:line="360" w:lineRule="auto"/>
        <w:ind w:right="480" w:firstLine="0" w:firstLineChars="0"/>
        <w:jc w:val="center"/>
        <w:outlineLvl w:val="0"/>
        <w:rPr>
          <w:rFonts w:hint="eastAsia" w:ascii="宋体" w:hAnsi="宋体" w:eastAsia="宋体" w:cs="宋体"/>
          <w:b/>
          <w:bCs/>
          <w:snapToGrid w:val="0"/>
          <w:color w:val="auto"/>
          <w:kern w:val="13"/>
          <w:sz w:val="24"/>
          <w:szCs w:val="24"/>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bCs/>
          <w:snapToGrid w:val="0"/>
          <w:color w:val="auto"/>
          <w:kern w:val="13"/>
          <w:sz w:val="24"/>
          <w:szCs w:val="24"/>
          <w:highlight w:val="none"/>
          <w:lang w:val="en-US" w:eastAsia="zh-CN"/>
        </w:rPr>
        <w:t>（此格式不作为废标条款）</w:t>
      </w:r>
    </w:p>
    <w:p w14:paraId="53C00196">
      <w:pPr>
        <w:spacing w:line="360" w:lineRule="auto"/>
        <w:ind w:right="480" w:firstLine="0" w:firstLineChars="0"/>
        <w:jc w:val="left"/>
        <w:outlineLvl w:val="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三</w:t>
      </w:r>
    </w:p>
    <w:p w14:paraId="52447AB5">
      <w:pPr>
        <w:pStyle w:val="43"/>
        <w:jc w:val="center"/>
        <w:outlineLvl w:val="3"/>
        <w:rPr>
          <w:rFonts w:hint="eastAsia" w:eastAsia="宋体"/>
          <w:color w:val="auto"/>
          <w:sz w:val="24"/>
          <w:szCs w:val="24"/>
          <w:highlight w:val="none"/>
          <w:lang w:eastAsia="zh-CN"/>
        </w:rPr>
      </w:pPr>
      <w:r>
        <w:rPr>
          <w:rFonts w:ascii="宋体" w:hAnsi="宋体" w:eastAsia="宋体" w:cs="宋体"/>
          <w:b/>
          <w:color w:val="auto"/>
          <w:kern w:val="2"/>
          <w:sz w:val="24"/>
          <w:szCs w:val="24"/>
          <w:highlight w:val="none"/>
          <w:lang w:eastAsia="zh-CN" w:bidi="ar-SA"/>
        </w:rPr>
        <w:t>监狱企业</w:t>
      </w:r>
      <w:r>
        <w:rPr>
          <w:rFonts w:hint="eastAsia" w:ascii="宋体" w:hAnsi="宋体" w:eastAsia="宋体" w:cs="宋体"/>
          <w:b/>
          <w:color w:val="auto"/>
          <w:kern w:val="2"/>
          <w:sz w:val="24"/>
          <w:szCs w:val="24"/>
          <w:highlight w:val="none"/>
          <w:lang w:val="en-US" w:eastAsia="zh-CN" w:bidi="ar-SA"/>
        </w:rPr>
        <w:t>证明文件</w:t>
      </w:r>
      <w:r>
        <w:rPr>
          <w:rFonts w:hint="eastAsia" w:ascii="宋体" w:hAnsi="宋体" w:eastAsia="宋体" w:cs="宋体"/>
          <w:b/>
          <w:color w:val="auto"/>
          <w:kern w:val="2"/>
          <w:sz w:val="24"/>
          <w:szCs w:val="24"/>
          <w:highlight w:val="none"/>
          <w:lang w:eastAsia="zh-CN" w:bidi="ar-SA"/>
        </w:rPr>
        <w:t>（</w:t>
      </w:r>
      <w:r>
        <w:rPr>
          <w:rFonts w:hint="eastAsia" w:ascii="宋体" w:hAnsi="宋体" w:eastAsia="宋体" w:cs="宋体"/>
          <w:b/>
          <w:color w:val="auto"/>
          <w:kern w:val="2"/>
          <w:sz w:val="24"/>
          <w:szCs w:val="24"/>
          <w:highlight w:val="none"/>
          <w:lang w:val="en-US" w:eastAsia="zh-CN" w:bidi="ar-SA"/>
        </w:rPr>
        <w:t>如有</w:t>
      </w:r>
      <w:r>
        <w:rPr>
          <w:rFonts w:hint="eastAsia" w:ascii="宋体" w:hAnsi="宋体" w:eastAsia="宋体" w:cs="宋体"/>
          <w:b/>
          <w:color w:val="auto"/>
          <w:kern w:val="2"/>
          <w:sz w:val="24"/>
          <w:szCs w:val="24"/>
          <w:highlight w:val="none"/>
          <w:lang w:eastAsia="zh-CN" w:bidi="ar-SA"/>
        </w:rPr>
        <w:t>）</w:t>
      </w:r>
    </w:p>
    <w:p w14:paraId="7FC3D712">
      <w:pPr>
        <w:pStyle w:val="43"/>
        <w:ind w:firstLine="480"/>
        <w:rPr>
          <w:rFonts w:hint="eastAsia"/>
          <w:color w:val="auto"/>
          <w:sz w:val="24"/>
          <w:szCs w:val="24"/>
          <w:highlight w:val="none"/>
          <w:lang w:val="en-US" w:eastAsia="zh-CN"/>
        </w:rPr>
      </w:pPr>
    </w:p>
    <w:p w14:paraId="6717BB62">
      <w:pPr>
        <w:pStyle w:val="43"/>
        <w:ind w:firstLine="480"/>
        <w:rPr>
          <w:rFonts w:hint="eastAsia"/>
          <w:color w:val="auto"/>
          <w:sz w:val="24"/>
          <w:szCs w:val="24"/>
          <w:highlight w:val="none"/>
          <w:lang w:val="en-US" w:eastAsia="zh-CN"/>
        </w:rPr>
      </w:pPr>
    </w:p>
    <w:p w14:paraId="544743F1">
      <w:pPr>
        <w:pStyle w:val="43"/>
        <w:ind w:firstLine="480"/>
        <w:rPr>
          <w:rFonts w:hint="eastAsia"/>
          <w:color w:val="auto"/>
          <w:sz w:val="24"/>
          <w:szCs w:val="24"/>
          <w:highlight w:val="none"/>
          <w:lang w:val="en-US" w:eastAsia="zh-CN"/>
        </w:rPr>
      </w:pPr>
    </w:p>
    <w:p w14:paraId="0ACF10A1">
      <w:pPr>
        <w:pStyle w:val="43"/>
        <w:ind w:firstLine="480"/>
        <w:rPr>
          <w:rFonts w:hint="eastAsia"/>
          <w:color w:val="auto"/>
          <w:sz w:val="24"/>
          <w:szCs w:val="24"/>
          <w:highlight w:val="none"/>
          <w:lang w:val="en-US" w:eastAsia="zh-CN"/>
        </w:rPr>
      </w:pPr>
    </w:p>
    <w:p w14:paraId="4EA00C14">
      <w:pPr>
        <w:pStyle w:val="43"/>
        <w:ind w:firstLine="480"/>
        <w:rPr>
          <w:rFonts w:hint="eastAsia"/>
          <w:color w:val="auto"/>
          <w:sz w:val="24"/>
          <w:szCs w:val="24"/>
          <w:highlight w:val="none"/>
          <w:lang w:val="en-US" w:eastAsia="zh-CN"/>
        </w:rPr>
      </w:pPr>
    </w:p>
    <w:p w14:paraId="25769A53">
      <w:pPr>
        <w:pStyle w:val="43"/>
        <w:ind w:firstLine="480"/>
        <w:rPr>
          <w:rFonts w:hint="eastAsia"/>
          <w:color w:val="auto"/>
          <w:sz w:val="24"/>
          <w:szCs w:val="24"/>
          <w:highlight w:val="none"/>
          <w:lang w:val="en-US" w:eastAsia="zh-CN"/>
        </w:rPr>
      </w:pPr>
    </w:p>
    <w:p w14:paraId="0D682876">
      <w:pPr>
        <w:pStyle w:val="43"/>
        <w:ind w:firstLine="480"/>
        <w:rPr>
          <w:rFonts w:hint="eastAsia"/>
          <w:color w:val="auto"/>
          <w:sz w:val="24"/>
          <w:szCs w:val="24"/>
          <w:highlight w:val="none"/>
          <w:lang w:val="en-US" w:eastAsia="zh-CN"/>
        </w:rPr>
      </w:pPr>
    </w:p>
    <w:p w14:paraId="670389B9">
      <w:pPr>
        <w:pStyle w:val="43"/>
        <w:ind w:firstLine="480"/>
        <w:rPr>
          <w:rFonts w:hint="eastAsia"/>
          <w:color w:val="auto"/>
          <w:sz w:val="24"/>
          <w:szCs w:val="24"/>
          <w:highlight w:val="none"/>
          <w:lang w:val="en-US" w:eastAsia="zh-CN"/>
        </w:rPr>
      </w:pPr>
    </w:p>
    <w:p w14:paraId="5DB958F6">
      <w:pPr>
        <w:pStyle w:val="43"/>
        <w:ind w:firstLine="480"/>
        <w:rPr>
          <w:rFonts w:hint="eastAsia"/>
          <w:color w:val="auto"/>
          <w:sz w:val="24"/>
          <w:szCs w:val="24"/>
          <w:highlight w:val="none"/>
          <w:lang w:val="en-US" w:eastAsia="zh-CN"/>
        </w:rPr>
      </w:pPr>
    </w:p>
    <w:p w14:paraId="58215CDD">
      <w:pPr>
        <w:pStyle w:val="43"/>
        <w:ind w:firstLine="480"/>
        <w:rPr>
          <w:rFonts w:hint="eastAsia"/>
          <w:color w:val="auto"/>
          <w:sz w:val="24"/>
          <w:szCs w:val="24"/>
          <w:highlight w:val="none"/>
          <w:lang w:val="en-US" w:eastAsia="zh-CN"/>
        </w:rPr>
      </w:pPr>
    </w:p>
    <w:p w14:paraId="59603B50">
      <w:pPr>
        <w:pStyle w:val="43"/>
        <w:ind w:firstLine="480"/>
        <w:rPr>
          <w:rFonts w:hint="eastAsia"/>
          <w:color w:val="auto"/>
          <w:sz w:val="24"/>
          <w:szCs w:val="24"/>
          <w:highlight w:val="none"/>
          <w:lang w:val="en-US" w:eastAsia="zh-CN"/>
        </w:rPr>
      </w:pPr>
    </w:p>
    <w:p w14:paraId="34F2AB69">
      <w:pPr>
        <w:pStyle w:val="43"/>
        <w:ind w:firstLine="480"/>
        <w:rPr>
          <w:rFonts w:hint="eastAsia"/>
          <w:color w:val="auto"/>
          <w:sz w:val="24"/>
          <w:szCs w:val="24"/>
          <w:highlight w:val="none"/>
          <w:lang w:val="en-US" w:eastAsia="zh-CN"/>
        </w:rPr>
      </w:pPr>
    </w:p>
    <w:p w14:paraId="4390D9F8">
      <w:pPr>
        <w:pStyle w:val="43"/>
        <w:ind w:firstLine="480"/>
        <w:rPr>
          <w:rFonts w:hint="eastAsia"/>
          <w:color w:val="auto"/>
          <w:sz w:val="24"/>
          <w:szCs w:val="24"/>
          <w:highlight w:val="none"/>
          <w:lang w:val="en-US" w:eastAsia="zh-CN"/>
        </w:rPr>
      </w:pPr>
    </w:p>
    <w:p w14:paraId="2EFF2352">
      <w:pPr>
        <w:pStyle w:val="43"/>
        <w:ind w:firstLine="480"/>
        <w:rPr>
          <w:rFonts w:hint="eastAsia"/>
          <w:color w:val="auto"/>
          <w:sz w:val="24"/>
          <w:szCs w:val="24"/>
          <w:highlight w:val="none"/>
          <w:lang w:val="en-US" w:eastAsia="zh-CN"/>
        </w:rPr>
      </w:pPr>
    </w:p>
    <w:p w14:paraId="143F4C00">
      <w:pPr>
        <w:pStyle w:val="43"/>
        <w:ind w:firstLine="480"/>
        <w:rPr>
          <w:rFonts w:hint="eastAsia"/>
          <w:color w:val="auto"/>
          <w:sz w:val="24"/>
          <w:szCs w:val="24"/>
          <w:highlight w:val="none"/>
          <w:lang w:val="en-US" w:eastAsia="zh-CN"/>
        </w:rPr>
      </w:pPr>
    </w:p>
    <w:p w14:paraId="758B21E3">
      <w:pPr>
        <w:pStyle w:val="43"/>
        <w:ind w:firstLine="480"/>
        <w:rPr>
          <w:rFonts w:hint="eastAsia"/>
          <w:color w:val="auto"/>
          <w:sz w:val="24"/>
          <w:szCs w:val="24"/>
          <w:highlight w:val="none"/>
          <w:lang w:val="en-US" w:eastAsia="zh-CN"/>
        </w:rPr>
      </w:pPr>
    </w:p>
    <w:p w14:paraId="6C34354E">
      <w:pPr>
        <w:pStyle w:val="43"/>
        <w:ind w:firstLine="480"/>
        <w:rPr>
          <w:rFonts w:hint="eastAsia"/>
          <w:color w:val="auto"/>
          <w:sz w:val="24"/>
          <w:szCs w:val="24"/>
          <w:highlight w:val="none"/>
          <w:lang w:val="en-US" w:eastAsia="zh-CN"/>
        </w:rPr>
      </w:pPr>
    </w:p>
    <w:p w14:paraId="04595507">
      <w:pPr>
        <w:pStyle w:val="43"/>
        <w:ind w:firstLine="480"/>
        <w:rPr>
          <w:rFonts w:hint="eastAsia"/>
          <w:color w:val="auto"/>
          <w:sz w:val="24"/>
          <w:szCs w:val="24"/>
          <w:highlight w:val="none"/>
          <w:lang w:val="en-US" w:eastAsia="zh-CN"/>
        </w:rPr>
      </w:pPr>
    </w:p>
    <w:p w14:paraId="12F07B94">
      <w:pPr>
        <w:pStyle w:val="43"/>
        <w:ind w:firstLine="480"/>
        <w:rPr>
          <w:rFonts w:hint="eastAsia"/>
          <w:color w:val="auto"/>
          <w:sz w:val="24"/>
          <w:szCs w:val="24"/>
          <w:highlight w:val="none"/>
          <w:lang w:val="en-US" w:eastAsia="zh-CN"/>
        </w:rPr>
      </w:pPr>
    </w:p>
    <w:p w14:paraId="08FEC177">
      <w:pPr>
        <w:pStyle w:val="43"/>
        <w:ind w:firstLine="480"/>
        <w:rPr>
          <w:rFonts w:hint="eastAsia"/>
          <w:color w:val="auto"/>
          <w:sz w:val="24"/>
          <w:szCs w:val="24"/>
          <w:highlight w:val="none"/>
          <w:lang w:val="en-US" w:eastAsia="zh-CN"/>
        </w:rPr>
      </w:pPr>
    </w:p>
    <w:p w14:paraId="5C64F96E">
      <w:pPr>
        <w:pStyle w:val="43"/>
        <w:ind w:firstLine="480"/>
        <w:rPr>
          <w:rFonts w:hint="eastAsia"/>
          <w:color w:val="auto"/>
          <w:sz w:val="24"/>
          <w:szCs w:val="24"/>
          <w:highlight w:val="none"/>
          <w:lang w:val="en-US" w:eastAsia="zh-CN"/>
        </w:rPr>
      </w:pPr>
    </w:p>
    <w:p w14:paraId="65AD732C">
      <w:pPr>
        <w:pStyle w:val="43"/>
        <w:ind w:firstLine="480"/>
        <w:rPr>
          <w:rFonts w:hint="eastAsia"/>
          <w:color w:val="auto"/>
          <w:sz w:val="24"/>
          <w:szCs w:val="24"/>
          <w:highlight w:val="none"/>
          <w:lang w:val="en-US" w:eastAsia="zh-CN"/>
        </w:rPr>
      </w:pPr>
    </w:p>
    <w:p w14:paraId="15BF5242">
      <w:pPr>
        <w:pStyle w:val="43"/>
        <w:ind w:firstLine="480"/>
        <w:rPr>
          <w:rFonts w:hint="eastAsia"/>
          <w:color w:val="auto"/>
          <w:sz w:val="24"/>
          <w:szCs w:val="24"/>
          <w:highlight w:val="none"/>
          <w:lang w:val="en-US" w:eastAsia="zh-CN"/>
        </w:rPr>
      </w:pPr>
    </w:p>
    <w:p w14:paraId="7776FF8A">
      <w:pPr>
        <w:pStyle w:val="43"/>
        <w:ind w:firstLine="480"/>
        <w:rPr>
          <w:rFonts w:hint="eastAsia"/>
          <w:color w:val="auto"/>
          <w:sz w:val="24"/>
          <w:szCs w:val="24"/>
          <w:highlight w:val="none"/>
          <w:lang w:val="en-US" w:eastAsia="zh-CN"/>
        </w:rPr>
      </w:pPr>
    </w:p>
    <w:p w14:paraId="7D0542B5">
      <w:pPr>
        <w:pStyle w:val="43"/>
        <w:ind w:firstLine="480"/>
        <w:rPr>
          <w:rFonts w:hint="eastAsia"/>
          <w:color w:val="auto"/>
          <w:sz w:val="24"/>
          <w:szCs w:val="24"/>
          <w:highlight w:val="none"/>
          <w:lang w:val="en-US" w:eastAsia="zh-CN"/>
        </w:rPr>
      </w:pPr>
    </w:p>
    <w:p w14:paraId="6F002F96">
      <w:pPr>
        <w:pStyle w:val="43"/>
        <w:ind w:firstLine="480"/>
        <w:rPr>
          <w:rFonts w:hint="eastAsia"/>
          <w:color w:val="auto"/>
          <w:sz w:val="24"/>
          <w:szCs w:val="24"/>
          <w:highlight w:val="none"/>
          <w:lang w:val="en-US" w:eastAsia="zh-CN"/>
        </w:rPr>
      </w:pPr>
    </w:p>
    <w:p w14:paraId="5245C77B">
      <w:pPr>
        <w:pStyle w:val="43"/>
        <w:ind w:firstLine="480"/>
        <w:rPr>
          <w:rFonts w:hint="eastAsia"/>
          <w:color w:val="auto"/>
          <w:sz w:val="24"/>
          <w:szCs w:val="24"/>
          <w:highlight w:val="none"/>
          <w:lang w:val="en-US" w:eastAsia="zh-CN"/>
        </w:rPr>
      </w:pPr>
    </w:p>
    <w:p w14:paraId="6E68DA2A">
      <w:pPr>
        <w:spacing w:line="24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999BEF">
      <w:pPr>
        <w:spacing w:line="240" w:lineRule="auto"/>
        <w:ind w:firstLine="964" w:firstLineChars="4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2、监狱企业参与投标的，需提供由省级以上监狱管理局、戒毒管理局（含新疆生产建设兵团）出具的属于监狱企业的证明文件。监狱企业视同小微企业，无需再提供《中小企业声明函》。</w:t>
      </w:r>
    </w:p>
    <w:p w14:paraId="617162AC">
      <w:pPr>
        <w:pStyle w:val="30"/>
        <w:spacing w:line="240" w:lineRule="auto"/>
        <w:ind w:right="98" w:firstLine="0" w:firstLineChars="0"/>
        <w:rPr>
          <w:rFonts w:hint="eastAsia" w:ascii="宋体" w:hAnsi="宋体" w:eastAsia="宋体"/>
          <w:b/>
          <w:bCs/>
          <w:snapToGrid w:val="0"/>
          <w:color w:val="auto"/>
          <w:kern w:val="13"/>
          <w:sz w:val="24"/>
          <w:szCs w:val="24"/>
          <w:highlight w:val="none"/>
          <w:lang w:val="en-US" w:eastAsia="zh-CN"/>
        </w:rPr>
      </w:pPr>
    </w:p>
    <w:p w14:paraId="4F74E0AD">
      <w:pPr>
        <w:pStyle w:val="30"/>
        <w:spacing w:line="240" w:lineRule="auto"/>
        <w:ind w:right="98" w:firstLine="0" w:firstLineChars="0"/>
        <w:rPr>
          <w:rFonts w:hint="eastAsia" w:ascii="宋体" w:hAnsi="宋体" w:eastAsia="宋体"/>
          <w:b/>
          <w:bCs/>
          <w:snapToGrid w:val="0"/>
          <w:color w:val="auto"/>
          <w:kern w:val="13"/>
          <w:sz w:val="24"/>
          <w:szCs w:val="24"/>
          <w:highlight w:val="none"/>
          <w:lang w:val="en-US" w:eastAsia="zh-CN"/>
        </w:rPr>
      </w:pPr>
    </w:p>
    <w:p w14:paraId="4B9014B3">
      <w:pPr>
        <w:pStyle w:val="22"/>
        <w:rPr>
          <w:rFonts w:hint="eastAsia" w:ascii="宋体" w:hAnsi="宋体"/>
          <w:color w:val="auto"/>
          <w:sz w:val="24"/>
          <w:szCs w:val="24"/>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b/>
          <w:bCs/>
          <w:snapToGrid w:val="0"/>
          <w:color w:val="auto"/>
          <w:kern w:val="13"/>
          <w:sz w:val="24"/>
          <w:szCs w:val="24"/>
          <w:highlight w:val="none"/>
          <w:lang w:val="en-US" w:eastAsia="zh-CN"/>
        </w:rPr>
        <w:t>（此格式不作为废标条款）</w:t>
      </w:r>
    </w:p>
    <w:p w14:paraId="7C32F961">
      <w:pPr>
        <w:spacing w:line="360" w:lineRule="auto"/>
        <w:ind w:right="480" w:firstLine="0" w:firstLineChars="0"/>
        <w:jc w:val="left"/>
        <w:outlineLvl w:val="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四</w:t>
      </w:r>
    </w:p>
    <w:p w14:paraId="30E697FF">
      <w:pPr>
        <w:pStyle w:val="43"/>
        <w:jc w:val="center"/>
        <w:outlineLvl w:val="3"/>
        <w:rPr>
          <w:rFonts w:ascii="宋体" w:hAnsi="宋体" w:eastAsia="宋体" w:cs="宋体"/>
          <w:b/>
          <w:color w:val="auto"/>
          <w:kern w:val="2"/>
          <w:sz w:val="24"/>
          <w:szCs w:val="24"/>
          <w:highlight w:val="none"/>
          <w:lang w:eastAsia="zh-CN" w:bidi="ar-SA"/>
        </w:rPr>
      </w:pPr>
      <w:r>
        <w:rPr>
          <w:rFonts w:ascii="宋体" w:hAnsi="宋体" w:eastAsia="宋体" w:cs="宋体"/>
          <w:b/>
          <w:color w:val="auto"/>
          <w:kern w:val="2"/>
          <w:sz w:val="24"/>
          <w:szCs w:val="24"/>
          <w:highlight w:val="none"/>
          <w:lang w:eastAsia="zh-CN" w:bidi="ar-SA"/>
        </w:rPr>
        <w:t>残疾人福利性单位声明函</w:t>
      </w:r>
      <w:r>
        <w:rPr>
          <w:rFonts w:hint="eastAsia" w:ascii="宋体" w:hAnsi="宋体" w:eastAsia="宋体" w:cs="宋体"/>
          <w:b/>
          <w:color w:val="auto"/>
          <w:kern w:val="2"/>
          <w:sz w:val="24"/>
          <w:szCs w:val="24"/>
          <w:highlight w:val="none"/>
          <w:lang w:eastAsia="zh-CN" w:bidi="ar-SA"/>
        </w:rPr>
        <w:t>（</w:t>
      </w:r>
      <w:r>
        <w:rPr>
          <w:rFonts w:hint="eastAsia" w:ascii="宋体" w:hAnsi="宋体" w:eastAsia="宋体" w:cs="宋体"/>
          <w:b/>
          <w:color w:val="auto"/>
          <w:kern w:val="2"/>
          <w:sz w:val="24"/>
          <w:szCs w:val="24"/>
          <w:highlight w:val="none"/>
          <w:lang w:val="en-US" w:eastAsia="zh-CN" w:bidi="ar-SA"/>
        </w:rPr>
        <w:t>如有</w:t>
      </w:r>
      <w:r>
        <w:rPr>
          <w:rFonts w:hint="eastAsia" w:ascii="宋体" w:hAnsi="宋体" w:eastAsia="宋体" w:cs="宋体"/>
          <w:b/>
          <w:color w:val="auto"/>
          <w:kern w:val="2"/>
          <w:sz w:val="24"/>
          <w:szCs w:val="24"/>
          <w:highlight w:val="none"/>
          <w:lang w:eastAsia="zh-CN" w:bidi="ar-SA"/>
        </w:rPr>
        <w:t>）</w:t>
      </w:r>
    </w:p>
    <w:p w14:paraId="1E094D2C">
      <w:pPr>
        <w:pStyle w:val="43"/>
        <w:spacing w:line="360" w:lineRule="auto"/>
        <w:ind w:firstLine="480" w:firstLineChars="200"/>
        <w:rPr>
          <w:rFonts w:hint="eastAsia" w:ascii="宋体" w:hAnsi="宋体" w:cs="宋体"/>
          <w:color w:val="auto"/>
          <w:sz w:val="24"/>
          <w:szCs w:val="24"/>
          <w:highlight w:val="none"/>
        </w:rPr>
      </w:pPr>
    </w:p>
    <w:p w14:paraId="12F32DA3">
      <w:pPr>
        <w:pStyle w:val="43"/>
        <w:spacing w:line="360" w:lineRule="auto"/>
        <w:ind w:firstLine="480" w:firstLineChars="200"/>
        <w:rPr>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（招标人）</w:t>
      </w:r>
      <w:r>
        <w:rPr>
          <w:rFonts w:hint="eastAsia" w:ascii="宋体" w:hAnsi="宋体" w:cs="宋体"/>
          <w:color w:val="auto"/>
          <w:sz w:val="24"/>
          <w:szCs w:val="24"/>
          <w:highlight w:val="none"/>
          <w:u w:val="single"/>
          <w:lang w:val="en-US" w:eastAsia="zh-CN"/>
        </w:rPr>
        <w:t xml:space="preserve">         </w:t>
      </w:r>
    </w:p>
    <w:p w14:paraId="614A9839">
      <w:pPr>
        <w:pStyle w:val="43"/>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本单位郑重声明，根据《财政部 民政部 中国残疾人联合会关于促进残疾人就业政府采购政策的通知》</w:t>
      </w:r>
      <w:r>
        <w:rPr>
          <w:rFonts w:hint="eastAsia" w:ascii="宋体" w:hAnsi="宋体" w:eastAsia="宋体" w:cs="宋体"/>
          <w:color w:val="auto"/>
          <w:sz w:val="24"/>
          <w:szCs w:val="24"/>
          <w:highlight w:val="none"/>
        </w:rPr>
        <w:t>（财库〔2017〕141号）</w:t>
      </w:r>
      <w:r>
        <w:rPr>
          <w:rFonts w:ascii="宋体" w:hAnsi="宋体" w:eastAsia="宋体" w:cs="宋体"/>
          <w:color w:val="auto"/>
          <w:sz w:val="24"/>
          <w:szCs w:val="24"/>
          <w:highlight w:val="none"/>
        </w:rPr>
        <w:t>的规定，本单位为符合条件的残疾人福利性单位，且本单位参加</w:t>
      </w:r>
      <w:r>
        <w:rPr>
          <w:rFonts w:hint="eastAsia" w:ascii="宋体" w:hAnsi="宋体" w:cs="宋体"/>
          <w:color w:val="auto"/>
          <w:sz w:val="24"/>
          <w:szCs w:val="24"/>
          <w:highlight w:val="none"/>
          <w:u w:val="single"/>
        </w:rPr>
        <w:t xml:space="preserve">        （招标人）</w:t>
      </w:r>
      <w:r>
        <w:rPr>
          <w:rFonts w:hint="eastAsia" w:ascii="宋体" w:hAnsi="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单位的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项目名称</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lang w:val="en-US" w:eastAsia="zh-CN"/>
        </w:rPr>
        <w:t>招标</w:t>
      </w:r>
      <w:r>
        <w:rPr>
          <w:rFonts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由本单位承担工程。</w:t>
      </w:r>
    </w:p>
    <w:p w14:paraId="2BC7C2FC">
      <w:pPr>
        <w:pStyle w:val="43"/>
        <w:spacing w:line="360" w:lineRule="auto"/>
        <w:ind w:firstLine="480" w:firstLineChars="200"/>
        <w:rPr>
          <w:color w:val="auto"/>
          <w:sz w:val="24"/>
          <w:szCs w:val="24"/>
          <w:highlight w:val="none"/>
        </w:rPr>
      </w:pPr>
      <w:r>
        <w:rPr>
          <w:rFonts w:ascii="宋体" w:hAnsi="宋体" w:eastAsia="宋体" w:cs="宋体"/>
          <w:color w:val="auto"/>
          <w:sz w:val="24"/>
          <w:szCs w:val="24"/>
          <w:highlight w:val="none"/>
        </w:rPr>
        <w:t>本单位对上述声明的真实性负责。如有虚假，将依法承担相应责任。</w:t>
      </w:r>
    </w:p>
    <w:p w14:paraId="24F5E1BF">
      <w:pPr>
        <w:snapToGrid/>
        <w:spacing w:line="360" w:lineRule="auto"/>
        <w:ind w:firstLine="5040" w:firstLineChars="2100"/>
        <w:jc w:val="both"/>
        <w:rPr>
          <w:rFonts w:hint="eastAsia" w:ascii="宋体" w:hAnsi="宋体" w:cs="宋体"/>
          <w:color w:val="auto"/>
          <w:sz w:val="24"/>
          <w:szCs w:val="24"/>
          <w:highlight w:val="none"/>
          <w:lang w:val="en-US" w:eastAsia="zh-CN"/>
        </w:rPr>
      </w:pPr>
    </w:p>
    <w:p w14:paraId="3EA373EF">
      <w:pPr>
        <w:snapToGrid/>
        <w:spacing w:line="360" w:lineRule="auto"/>
        <w:ind w:firstLine="5040" w:firstLineChars="2100"/>
        <w:jc w:val="both"/>
        <w:rPr>
          <w:rFonts w:hint="eastAsia" w:ascii="宋体" w:hAnsi="宋体" w:cs="宋体"/>
          <w:color w:val="auto"/>
          <w:sz w:val="24"/>
          <w:szCs w:val="24"/>
          <w:highlight w:val="none"/>
          <w:lang w:val="en-US" w:eastAsia="zh-CN"/>
        </w:rPr>
      </w:pPr>
    </w:p>
    <w:p w14:paraId="19CF08A4">
      <w:pPr>
        <w:pStyle w:val="15"/>
        <w:rPr>
          <w:rFonts w:hint="eastAsia" w:ascii="宋体" w:hAnsi="宋体" w:cs="宋体"/>
          <w:color w:val="auto"/>
          <w:sz w:val="24"/>
          <w:szCs w:val="24"/>
          <w:highlight w:val="none"/>
          <w:lang w:val="en-US" w:eastAsia="zh-CN"/>
        </w:rPr>
      </w:pPr>
    </w:p>
    <w:p w14:paraId="0ADA304D">
      <w:pPr>
        <w:pStyle w:val="15"/>
        <w:rPr>
          <w:rFonts w:hint="eastAsia" w:ascii="宋体" w:hAnsi="宋体" w:cs="宋体"/>
          <w:color w:val="auto"/>
          <w:sz w:val="24"/>
          <w:szCs w:val="24"/>
          <w:highlight w:val="none"/>
          <w:lang w:val="en-US" w:eastAsia="zh-CN"/>
        </w:rPr>
      </w:pPr>
    </w:p>
    <w:p w14:paraId="53130BE0">
      <w:pPr>
        <w:spacing w:line="360" w:lineRule="auto"/>
        <w:ind w:firstLine="5040" w:firstLineChars="2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名称（盖章）：</w:t>
      </w:r>
    </w:p>
    <w:p w14:paraId="241073DC">
      <w:pPr>
        <w:spacing w:line="360" w:lineRule="auto"/>
        <w:ind w:firstLine="5040" w:firstLineChars="2100"/>
        <w:jc w:val="both"/>
        <w:rPr>
          <w:color w:val="auto"/>
          <w:sz w:val="24"/>
          <w:szCs w:val="24"/>
          <w:highlight w:val="none"/>
        </w:rPr>
      </w:pP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14:paraId="09BB992A">
      <w:pPr>
        <w:snapToGrid/>
        <w:spacing w:line="360" w:lineRule="auto"/>
        <w:ind w:firstLine="0" w:firstLineChars="0"/>
        <w:jc w:val="center"/>
        <w:rPr>
          <w:b/>
          <w:bCs/>
          <w:i w:val="0"/>
          <w:iCs w:val="0"/>
          <w:color w:val="auto"/>
          <w:sz w:val="24"/>
          <w:szCs w:val="24"/>
          <w:highlight w:val="none"/>
        </w:rPr>
      </w:pPr>
    </w:p>
    <w:p w14:paraId="6F9D3C34">
      <w:pPr>
        <w:snapToGrid/>
        <w:spacing w:line="360" w:lineRule="auto"/>
        <w:ind w:firstLine="0" w:firstLineChars="0"/>
        <w:jc w:val="center"/>
        <w:rPr>
          <w:b/>
          <w:bCs/>
          <w:i w:val="0"/>
          <w:iCs w:val="0"/>
          <w:color w:val="auto"/>
          <w:sz w:val="24"/>
          <w:szCs w:val="24"/>
          <w:highlight w:val="none"/>
        </w:rPr>
      </w:pPr>
    </w:p>
    <w:p w14:paraId="69F2B0B7">
      <w:pPr>
        <w:snapToGrid/>
        <w:spacing w:line="360" w:lineRule="auto"/>
        <w:ind w:firstLine="0" w:firstLineChars="0"/>
        <w:jc w:val="center"/>
        <w:rPr>
          <w:b/>
          <w:bCs/>
          <w:i w:val="0"/>
          <w:iCs w:val="0"/>
          <w:color w:val="auto"/>
          <w:sz w:val="24"/>
          <w:szCs w:val="24"/>
          <w:highlight w:val="none"/>
        </w:rPr>
      </w:pPr>
    </w:p>
    <w:p w14:paraId="13122602">
      <w:pPr>
        <w:snapToGrid/>
        <w:spacing w:line="360" w:lineRule="auto"/>
        <w:ind w:firstLine="0" w:firstLineChars="0"/>
        <w:jc w:val="center"/>
        <w:rPr>
          <w:b/>
          <w:bCs/>
          <w:i w:val="0"/>
          <w:iCs w:val="0"/>
          <w:color w:val="auto"/>
          <w:sz w:val="24"/>
          <w:szCs w:val="24"/>
          <w:highlight w:val="none"/>
        </w:rPr>
      </w:pPr>
    </w:p>
    <w:p w14:paraId="084ECC3F">
      <w:pPr>
        <w:snapToGrid/>
        <w:spacing w:line="360" w:lineRule="auto"/>
        <w:ind w:firstLine="0" w:firstLineChars="0"/>
        <w:jc w:val="center"/>
        <w:rPr>
          <w:b/>
          <w:bCs/>
          <w:i w:val="0"/>
          <w:iCs w:val="0"/>
          <w:color w:val="auto"/>
          <w:sz w:val="24"/>
          <w:szCs w:val="24"/>
          <w:highlight w:val="none"/>
        </w:rPr>
      </w:pPr>
    </w:p>
    <w:p w14:paraId="01861905">
      <w:pPr>
        <w:snapToGrid/>
        <w:spacing w:line="360" w:lineRule="auto"/>
        <w:ind w:firstLine="0" w:firstLineChars="0"/>
        <w:jc w:val="center"/>
        <w:rPr>
          <w:b/>
          <w:bCs/>
          <w:i w:val="0"/>
          <w:iCs w:val="0"/>
          <w:color w:val="auto"/>
          <w:sz w:val="24"/>
          <w:szCs w:val="24"/>
          <w:highlight w:val="none"/>
        </w:rPr>
      </w:pPr>
    </w:p>
    <w:p w14:paraId="658705AD">
      <w:pPr>
        <w:snapToGrid/>
        <w:spacing w:line="360" w:lineRule="auto"/>
        <w:ind w:firstLine="0" w:firstLineChars="0"/>
        <w:jc w:val="center"/>
        <w:rPr>
          <w:b/>
          <w:bCs/>
          <w:i w:val="0"/>
          <w:iCs w:val="0"/>
          <w:color w:val="auto"/>
          <w:sz w:val="24"/>
          <w:szCs w:val="24"/>
          <w:highlight w:val="none"/>
        </w:rPr>
      </w:pPr>
    </w:p>
    <w:p w14:paraId="6A4DE016">
      <w:pPr>
        <w:snapToGrid/>
        <w:spacing w:line="360" w:lineRule="auto"/>
        <w:ind w:firstLine="0" w:firstLineChars="0"/>
        <w:jc w:val="center"/>
        <w:rPr>
          <w:b/>
          <w:bCs/>
          <w:i w:val="0"/>
          <w:iCs w:val="0"/>
          <w:color w:val="auto"/>
          <w:sz w:val="24"/>
          <w:szCs w:val="24"/>
          <w:highlight w:val="none"/>
        </w:rPr>
      </w:pPr>
    </w:p>
    <w:p w14:paraId="67AEA7A0">
      <w:pPr>
        <w:snapToGrid/>
        <w:spacing w:line="360" w:lineRule="auto"/>
        <w:ind w:firstLine="0" w:firstLineChars="0"/>
        <w:jc w:val="center"/>
        <w:rPr>
          <w:b/>
          <w:bCs/>
          <w:i w:val="0"/>
          <w:iCs w:val="0"/>
          <w:color w:val="auto"/>
          <w:sz w:val="24"/>
          <w:szCs w:val="24"/>
          <w:highlight w:val="none"/>
        </w:rPr>
      </w:pPr>
    </w:p>
    <w:p w14:paraId="1E27890F">
      <w:pPr>
        <w:snapToGrid/>
        <w:spacing w:line="360" w:lineRule="auto"/>
        <w:ind w:firstLine="0" w:firstLineChars="0"/>
        <w:jc w:val="center"/>
        <w:rPr>
          <w:b/>
          <w:bCs/>
          <w:i w:val="0"/>
          <w:iCs w:val="0"/>
          <w:color w:val="auto"/>
          <w:sz w:val="24"/>
          <w:szCs w:val="24"/>
          <w:highlight w:val="none"/>
        </w:rPr>
      </w:pPr>
    </w:p>
    <w:p w14:paraId="4D5C26D1">
      <w:pPr>
        <w:snapToGrid/>
        <w:spacing w:line="240" w:lineRule="auto"/>
        <w:ind w:firstLine="723" w:firstLineChars="300"/>
        <w:jc w:val="both"/>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w:t>
      </w:r>
      <w:r>
        <w:rPr>
          <w:rFonts w:hint="eastAsia" w:ascii="宋体" w:hAnsi="宋体" w:eastAsia="宋体" w:cs="宋体"/>
          <w:b/>
          <w:bCs/>
          <w:i w:val="0"/>
          <w:iCs w:val="0"/>
          <w:color w:val="auto"/>
          <w:sz w:val="24"/>
          <w:szCs w:val="24"/>
          <w:highlight w:val="none"/>
          <w:lang w:val="en-US" w:eastAsia="zh-CN"/>
        </w:rPr>
        <w:t>1、</w:t>
      </w:r>
      <w:r>
        <w:rPr>
          <w:rFonts w:hint="eastAsia" w:ascii="宋体" w:hAnsi="宋体" w:eastAsia="宋体" w:cs="宋体"/>
          <w:b/>
          <w:bCs/>
          <w:i w:val="0"/>
          <w:iCs w:val="0"/>
          <w:color w:val="auto"/>
          <w:sz w:val="24"/>
          <w:szCs w:val="24"/>
          <w:highlight w:val="none"/>
        </w:rPr>
        <w:t>残疾人福利性单位声明函（如有）适用于残疾人福利性单位参加招投标活动的。本函未填写的视作未做声明。</w:t>
      </w:r>
    </w:p>
    <w:p w14:paraId="4E5897F6">
      <w:pPr>
        <w:snapToGrid/>
        <w:spacing w:line="240" w:lineRule="auto"/>
        <w:ind w:firstLine="1205" w:firstLineChars="500"/>
        <w:jc w:val="both"/>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残疾人福利性单位视同小微企业，无需再提供《中小企业声明函》。</w:t>
      </w:r>
    </w:p>
    <w:p w14:paraId="07A84E12">
      <w:pPr>
        <w:pStyle w:val="30"/>
        <w:spacing w:line="240" w:lineRule="auto"/>
        <w:ind w:right="98" w:firstLine="0" w:firstLineChars="0"/>
        <w:rPr>
          <w:rFonts w:hint="eastAsia" w:ascii="宋体" w:hAnsi="宋体" w:eastAsia="宋体"/>
          <w:b/>
          <w:bCs/>
          <w:snapToGrid w:val="0"/>
          <w:color w:val="auto"/>
          <w:kern w:val="13"/>
          <w:sz w:val="24"/>
          <w:szCs w:val="24"/>
          <w:highlight w:val="none"/>
          <w:lang w:val="en-US" w:eastAsia="zh-CN"/>
        </w:rPr>
      </w:pPr>
    </w:p>
    <w:p w14:paraId="0FCFFE61">
      <w:pPr>
        <w:pStyle w:val="30"/>
        <w:spacing w:line="240" w:lineRule="auto"/>
        <w:ind w:right="98" w:firstLine="0" w:firstLineChars="0"/>
        <w:rPr>
          <w:rFonts w:hint="eastAsia" w:ascii="宋体" w:hAnsi="宋体" w:eastAsia="宋体"/>
          <w:b/>
          <w:bCs/>
          <w:snapToGrid w:val="0"/>
          <w:color w:val="auto"/>
          <w:kern w:val="13"/>
          <w:sz w:val="24"/>
          <w:szCs w:val="24"/>
          <w:highlight w:val="none"/>
          <w:lang w:val="en-US" w:eastAsia="zh-CN"/>
        </w:rPr>
      </w:pPr>
    </w:p>
    <w:p w14:paraId="584FB8A1">
      <w:pPr>
        <w:spacing w:line="360" w:lineRule="auto"/>
        <w:ind w:right="480" w:firstLine="0" w:firstLineChars="0"/>
        <w:jc w:val="center"/>
        <w:outlineLvl w:val="0"/>
        <w:rPr>
          <w:rFonts w:ascii="宋体" w:hAnsi="宋体"/>
          <w:color w:val="auto"/>
          <w:sz w:val="24"/>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b/>
          <w:bCs/>
          <w:snapToGrid w:val="0"/>
          <w:color w:val="auto"/>
          <w:kern w:val="13"/>
          <w:sz w:val="24"/>
          <w:szCs w:val="24"/>
          <w:highlight w:val="none"/>
          <w:lang w:val="en-US" w:eastAsia="zh-CN"/>
        </w:rPr>
        <w:t>（此格式不作为废标条款）</w:t>
      </w:r>
    </w:p>
    <w:p w14:paraId="5C1F708D">
      <w:pPr>
        <w:pStyle w:val="3"/>
        <w:outlineLvl w:val="0"/>
        <w:rPr>
          <w:rFonts w:hint="default" w:cs="Times New Roman"/>
          <w:color w:val="auto"/>
          <w:sz w:val="44"/>
          <w:szCs w:val="44"/>
          <w:highlight w:val="none"/>
        </w:rPr>
      </w:pPr>
      <w:bookmarkStart w:id="363" w:name="_Toc10684"/>
      <w:r>
        <w:rPr>
          <w:rFonts w:hint="default" w:cs="Times New Roman"/>
          <w:color w:val="auto"/>
          <w:sz w:val="44"/>
          <w:szCs w:val="44"/>
          <w:highlight w:val="none"/>
          <w:lang w:val="en-US" w:eastAsia="zh-CN"/>
        </w:rPr>
        <w:t xml:space="preserve">第七章 </w:t>
      </w:r>
      <w:r>
        <w:rPr>
          <w:rFonts w:hint="default" w:cs="Times New Roman"/>
          <w:color w:val="auto"/>
          <w:sz w:val="44"/>
          <w:szCs w:val="44"/>
          <w:highlight w:val="none"/>
        </w:rPr>
        <w:t>投标人须知前附表规定的其他资料。</w:t>
      </w:r>
      <w:bookmarkEnd w:id="363"/>
    </w:p>
    <w:p w14:paraId="576ED0A4">
      <w:pPr>
        <w:rPr>
          <w:rFonts w:hint="default"/>
          <w:color w:val="auto"/>
          <w:sz w:val="24"/>
          <w:szCs w:val="24"/>
          <w:highlight w:val="none"/>
        </w:rPr>
      </w:pPr>
    </w:p>
    <w:p w14:paraId="0264D8F7">
      <w:pPr>
        <w:rPr>
          <w:rFonts w:hint="default"/>
          <w:color w:val="auto"/>
          <w:sz w:val="30"/>
          <w:szCs w:val="24"/>
          <w:highlight w:val="none"/>
          <w:lang w:val="en-US" w:eastAsia="zh-CN"/>
        </w:rPr>
      </w:pPr>
      <w:bookmarkStart w:id="364" w:name="_Toc11244"/>
      <w:r>
        <w:rPr>
          <w:rFonts w:hint="default"/>
          <w:color w:val="auto"/>
          <w:sz w:val="30"/>
          <w:szCs w:val="24"/>
          <w:highlight w:val="none"/>
          <w:lang w:val="en-US" w:eastAsia="zh-CN"/>
        </w:rPr>
        <w:br w:type="page"/>
      </w:r>
    </w:p>
    <w:p w14:paraId="5C2A306F">
      <w:pPr>
        <w:pStyle w:val="4"/>
        <w:jc w:val="center"/>
        <w:outlineLvl w:val="0"/>
        <w:rPr>
          <w:rFonts w:hint="default"/>
          <w:color w:val="auto"/>
          <w:sz w:val="30"/>
          <w:szCs w:val="24"/>
          <w:highlight w:val="none"/>
          <w:lang w:val="en-US" w:eastAsia="zh-CN"/>
        </w:rPr>
      </w:pPr>
      <w:bookmarkStart w:id="365" w:name="_Toc12023"/>
      <w:r>
        <w:rPr>
          <w:rFonts w:hint="eastAsia" w:ascii="宋体" w:hAnsi="宋体" w:eastAsia="宋体" w:cs="Times New Roman"/>
          <w:b/>
          <w:color w:val="auto"/>
          <w:sz w:val="44"/>
          <w:szCs w:val="44"/>
          <w:highlight w:val="none"/>
          <w:lang w:val="en-US" w:eastAsia="zh-CN"/>
        </w:rPr>
        <w:t xml:space="preserve">第八章 </w:t>
      </w:r>
      <w:r>
        <w:rPr>
          <w:rFonts w:hint="default" w:ascii="宋体" w:hAnsi="宋体" w:eastAsia="宋体" w:cs="Times New Roman"/>
          <w:b/>
          <w:color w:val="auto"/>
          <w:sz w:val="44"/>
          <w:szCs w:val="44"/>
          <w:highlight w:val="none"/>
          <w:lang w:val="en-US" w:eastAsia="zh-CN"/>
        </w:rPr>
        <w:t>否决性条款汇总</w:t>
      </w:r>
      <w:bookmarkEnd w:id="364"/>
      <w:bookmarkEnd w:id="365"/>
    </w:p>
    <w:p w14:paraId="109678A9">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14:paraId="4D6111A8">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14:paraId="65BE42FA">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4BB8B617">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一、开标时，出现下列情形之一的，不参与资格审查和评标</w:t>
      </w:r>
    </w:p>
    <w:p w14:paraId="7E0F8A91">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未成功递交投标文件的；</w:t>
      </w:r>
    </w:p>
    <w:p w14:paraId="2D4C35EF">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因投标人原因造成投标文件未解密的；</w:t>
      </w:r>
    </w:p>
    <w:p w14:paraId="6F088E10">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二、作无效投标的情形</w:t>
      </w:r>
    </w:p>
    <w:p w14:paraId="3859B366">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投标文件不符合招标文件评标办法中形式评审标准、资格评审标准、响应性评审标准的要求。</w:t>
      </w:r>
    </w:p>
    <w:p w14:paraId="28D5C657">
      <w:pPr>
        <w:widowControl/>
        <w:autoSpaceDE/>
        <w:autoSpaceDN/>
        <w:adjustRightInd/>
        <w:spacing w:after="135" w:line="360" w:lineRule="auto"/>
        <w:ind w:firstLine="480" w:firstLineChars="200"/>
        <w:jc w:val="left"/>
        <w:rPr>
          <w:rFonts w:hint="default" w:cs="Times New Roman"/>
          <w:color w:val="auto"/>
          <w:sz w:val="24"/>
          <w:szCs w:val="24"/>
          <w:highlight w:val="none"/>
        </w:rPr>
      </w:pPr>
      <w:r>
        <w:rPr>
          <w:rFonts w:hint="eastAsia" w:ascii="宋体" w:hAnsi="宋体" w:cs="宋体"/>
          <w:color w:val="auto"/>
          <w:kern w:val="0"/>
          <w:sz w:val="24"/>
          <w:szCs w:val="24"/>
          <w:highlight w:val="none"/>
          <w:lang w:val="en-US" w:eastAsia="zh-CN"/>
        </w:rPr>
        <w:t>（2）</w:t>
      </w:r>
      <w:r>
        <w:rPr>
          <w:rFonts w:hint="default" w:cs="Times New Roman"/>
          <w:color w:val="auto"/>
          <w:sz w:val="24"/>
          <w:szCs w:val="24"/>
          <w:highlight w:val="none"/>
        </w:rPr>
        <w:t>有串通投标、弄虚作假、行贿等违法行为。</w:t>
      </w:r>
    </w:p>
    <w:p w14:paraId="754C687F">
      <w:pPr>
        <w:widowControl/>
        <w:autoSpaceDE/>
        <w:autoSpaceDN/>
        <w:adjustRightInd/>
        <w:spacing w:after="135"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）投标报价有算术错误及其他错误的，评标委员会对投标报价进行修正，投标人拒绝澄清确认的。</w:t>
      </w:r>
    </w:p>
    <w:p w14:paraId="2C378F2C">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、其他否定投标文件效力情形</w:t>
      </w:r>
    </w:p>
    <w:p w14:paraId="518DB62E">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（1）为招标人不具有独立法人资格的附属机构（单位）；</w:t>
      </w:r>
    </w:p>
    <w:p w14:paraId="7C5823BE">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（2）与招标人存在利害关系且可能影响招标公正性；</w:t>
      </w:r>
    </w:p>
    <w:p w14:paraId="2A9AC63D">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（3）与本招标项目的其他投标人为同一个单位负责人；</w:t>
      </w:r>
    </w:p>
    <w:p w14:paraId="49A6D502">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（4）与本招标项目的其他投标人存在控股、管理关系；</w:t>
      </w:r>
    </w:p>
    <w:p w14:paraId="716B5724">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（5）为本招标项目的代建人；</w:t>
      </w:r>
    </w:p>
    <w:p w14:paraId="7A715702">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（6）为本招标项目的招标代理机构；</w:t>
      </w:r>
    </w:p>
    <w:p w14:paraId="791E2147">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（7）与本招标项目的代建人或招标代理机构同为一个法定代表人；</w:t>
      </w:r>
    </w:p>
    <w:p w14:paraId="304CEC50">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（8）与本招标项目的代建人或招标代理机构存在控股或参股关系；</w:t>
      </w:r>
    </w:p>
    <w:p w14:paraId="16088840">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（9）与本招标项目的检测机构、建设、施工单位以及建筑材料、建筑构配件和设备供应商有隶属关系或者其他利害关系；</w:t>
      </w:r>
    </w:p>
    <w:p w14:paraId="7CB4145A">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（10）被依法暂停或者取消投标资格；</w:t>
      </w:r>
    </w:p>
    <w:p w14:paraId="1828AC7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（11）被依法暂停或取消投标资格的；</w:t>
      </w:r>
      <w:r>
        <w:rPr>
          <w:rFonts w:hint="eastAsia" w:cs="Times New Roman"/>
          <w:color w:val="auto"/>
          <w:sz w:val="24"/>
          <w:szCs w:val="24"/>
          <w:highlight w:val="none"/>
          <w:lang w:val="en-US" w:eastAsia="zh-CN"/>
        </w:rPr>
        <w:t>(</w:t>
      </w:r>
      <w:r>
        <w:rPr>
          <w:rFonts w:hint="default" w:cs="Times New Roman"/>
          <w:color w:val="auto"/>
          <w:sz w:val="24"/>
          <w:szCs w:val="24"/>
          <w:highlight w:val="non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cs="Times New Roman"/>
          <w:color w:val="auto"/>
          <w:sz w:val="24"/>
          <w:szCs w:val="24"/>
          <w:highlight w:val="none"/>
          <w:lang w:val="en-US" w:eastAsia="zh-CN"/>
        </w:rPr>
        <w:t>)</w:t>
      </w:r>
      <w:r>
        <w:rPr>
          <w:rFonts w:hint="default" w:cs="Times New Roman"/>
          <w:color w:val="auto"/>
          <w:sz w:val="24"/>
          <w:szCs w:val="24"/>
          <w:highlight w:val="none"/>
        </w:rPr>
        <w:t>；</w:t>
      </w:r>
    </w:p>
    <w:p w14:paraId="5A63FCC1">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14:paraId="222C68C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（13）进入清算程序，或被宣布破产，或其他丧失履约能力的情形；</w:t>
      </w:r>
    </w:p>
    <w:p w14:paraId="4EA4659F">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6485EA0">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ascii="宋体" w:hAnsi="宋体" w:cs="宋体"/>
          <w:color w:val="auto"/>
          <w:kern w:val="21"/>
          <w:highlight w:val="none"/>
        </w:rPr>
      </w:pPr>
      <w:r>
        <w:rPr>
          <w:rFonts w:hint="default" w:cs="Times New Roman"/>
          <w:color w:val="auto"/>
          <w:sz w:val="24"/>
          <w:szCs w:val="24"/>
          <w:highlight w:val="none"/>
        </w:rPr>
        <w:t>（1</w:t>
      </w:r>
      <w:r>
        <w:rPr>
          <w:rFonts w:hint="eastAsia" w:cs="Times New Roman"/>
          <w:color w:val="auto"/>
          <w:sz w:val="24"/>
          <w:szCs w:val="24"/>
          <w:highlight w:val="none"/>
          <w:lang w:val="en-US" w:eastAsia="zh-CN"/>
        </w:rPr>
        <w:t>5</w:t>
      </w:r>
      <w:r>
        <w:rPr>
          <w:rFonts w:hint="default" w:cs="Times New Roman"/>
          <w:color w:val="auto"/>
          <w:sz w:val="24"/>
          <w:szCs w:val="24"/>
          <w:highlight w:val="none"/>
        </w:rPr>
        <w:t>）法律法规规定的其他情形。</w:t>
      </w:r>
    </w:p>
    <w:sectPr>
      <w:pgSz w:w="11905" w:h="16838"/>
      <w:pgMar w:top="1417" w:right="1417" w:bottom="1417" w:left="1417" w:header="992" w:footer="992"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E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ABC6A2-6ABF-43D2-93A1-A3C6323CA7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7E72D27-662F-4C82-9CD8-25C49B918EB3}"/>
  </w:font>
  <w:font w:name="Microsoft JhengHei">
    <w:panose1 w:val="020B0604030504040204"/>
    <w:charset w:val="88"/>
    <w:family w:val="swiss"/>
    <w:pitch w:val="default"/>
    <w:sig w:usb0="000002A7" w:usb1="28CF4400" w:usb2="00000016" w:usb3="00000000" w:csb0="00100009" w:csb1="00000000"/>
    <w:embedRegular r:id="rId3" w:fontKey="{E440BD54-AC61-4338-8289-F138F172A94F}"/>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C72B01BD-AF7A-4C43-BE84-B2491217B25A}"/>
  </w:font>
  <w:font w:name="仿宋">
    <w:panose1 w:val="02010609060101010101"/>
    <w:charset w:val="86"/>
    <w:family w:val="auto"/>
    <w:pitch w:val="default"/>
    <w:sig w:usb0="800002BF" w:usb1="38CF7CFA" w:usb2="00000016" w:usb3="00000000" w:csb0="00040001" w:csb1="00000000"/>
    <w:embedRegular r:id="rId5" w:fontKey="{E7655FB4-9C4E-4EF4-ADF9-DA980C17FF4E}"/>
  </w:font>
  <w:font w:name="方正小标宋简体">
    <w:panose1 w:val="02000000000000000000"/>
    <w:charset w:val="86"/>
    <w:family w:val="auto"/>
    <w:pitch w:val="default"/>
    <w:sig w:usb0="00000001" w:usb1="08000000" w:usb2="00000000" w:usb3="00000000" w:csb0="00040000" w:csb1="00000000"/>
    <w:embedRegular r:id="rId6" w:fontKey="{4EB77325-D635-4641-89AD-81CAEAFFE924}"/>
  </w:font>
  <w:font w:name="Wingdings 2">
    <w:panose1 w:val="05020102010507070707"/>
    <w:charset w:val="00"/>
    <w:family w:val="auto"/>
    <w:pitch w:val="default"/>
    <w:sig w:usb0="00000000" w:usb1="00000000" w:usb2="00000000" w:usb3="00000000" w:csb0="80000000" w:csb1="00000000"/>
    <w:embedRegular r:id="rId7" w:fontKey="{BE5B5F6C-C608-4C32-A5C0-E1319A837B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C0063">
    <w:pPr>
      <w:pStyle w:val="11"/>
      <w:kinsoku w:val="0"/>
      <w:overflowPunct w:val="0"/>
      <w:spacing w:line="14" w:lineRule="auto"/>
      <w:ind w:left="0"/>
      <w:rPr>
        <w:rFonts w:hint="default"/>
        <w:sz w:val="18"/>
        <w:szCs w:val="24"/>
      </w:rPr>
    </w:pPr>
    <w:r>
      <w:rPr>
        <w:rFonts w:hint="default" w:ascii="Calibri" w:hAnsi="Calibri" w:eastAsia="Calibri"/>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2FC668B4">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1pt;width:8.6pt;mso-position-horizontal:center;mso-position-horizontal-relative:margin;z-index:251659264;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RA6i0wAAAAMBAAAPAAAAAAAAAAEAIAAA&#10;ACIAAABkcnMvZG93bnJldi54bWxQSwECFAAUAAAACACHTuJAP9E6UNgBAACkAwAADgAAAAAAAAAB&#10;ACAAAAAiAQAAZHJzL2Uyb0RvYy54bWxQSwUGAAAAAAYABgBZAQAAbAUAAAAA&#10;">
              <v:fill on="f" focussize="0,0"/>
              <v:stroke on="f"/>
              <v:imagedata o:title=""/>
              <o:lock v:ext="edit" aspectratio="f"/>
              <v:textbox inset="0mm,0mm,0mm,0mm">
                <w:txbxContent>
                  <w:p w14:paraId="2FC668B4">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520AA">
    <w:pPr>
      <w:pStyle w:val="11"/>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67005" cy="139700"/>
              <wp:effectExtent l="0" t="0" r="0" b="0"/>
              <wp:wrapNone/>
              <wp:docPr id="11"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8B5E475">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848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CVlHMIwgEAAIEDAAAOAAAAAAAAAAEAIAAAACIBAABkcnMvZTJvRG9jLnht&#10;bFBLBQYAAAAABgAGAFkBAABWBQAAAAA=&#10;">
              <v:fill on="f" focussize="0,0"/>
              <v:stroke on="f"/>
              <v:imagedata o:title=""/>
              <o:lock v:ext="edit" aspectratio="f"/>
              <v:textbox inset="0mm,0mm,0mm,0mm">
                <w:txbxContent>
                  <w:p w14:paraId="68B5E475">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F666">
    <w:pPr>
      <w:pStyle w:val="11"/>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B3E4312">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643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v:fill on="f" focussize="0,0"/>
              <v:stroke on="f"/>
              <v:imagedata o:title=""/>
              <o:lock v:ext="edit" aspectratio="f"/>
              <v:textbox inset="0mm,0mm,0mm,0mm">
                <w:txbxContent>
                  <w:p w14:paraId="4B3E4312">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B2FC3">
    <w:pPr>
      <w:pStyle w:val="11"/>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EF5FEB5">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5"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JP2jTAAAAAwEAAA8AAAAAAAAAAQAgAAAA&#10;IgAAAGRycy9kb3ducmV2LnhtbFBLAQIUABQAAAAIAIdO4kAsxo181wEAAKQDAAAOAAAAAAAAAAEA&#10;IAAAACIBAABkcnMvZTJvRG9jLnhtbFBLBQYAAAAABgAGAFkBAABrBQAAAAA=&#10;">
              <v:fill on="f" focussize="0,0"/>
              <v:stroke on="f"/>
              <v:imagedata o:title=""/>
              <o:lock v:ext="edit" aspectratio="f"/>
              <v:textbox inset="0mm,0mm,0mm,0mm">
                <w:txbxContent>
                  <w:p w14:paraId="0EF5FEB5">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F31D0">
    <w:pPr>
      <w:pStyle w:val="11"/>
      <w:kinsoku w:val="0"/>
      <w:overflowPunct w:val="0"/>
      <w:spacing w:line="14" w:lineRule="auto"/>
      <w:ind w:left="0"/>
      <w:rPr>
        <w:rFonts w:hint="default"/>
        <w:sz w:val="18"/>
        <w:szCs w:val="24"/>
      </w:rPr>
    </w:pPr>
    <w:r>
      <w:rPr>
        <w:rFonts w:hint="default"/>
        <w:sz w:val="21"/>
        <w:szCs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67005" cy="1397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8DFA29E">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7" o:spid="_x0000_s1026" o:spt="202" type="#_x0000_t202" style="position:absolute;left:0pt;margin-top:0pt;height:11pt;width:13.15pt;mso-position-horizontal:center;mso-position-horizontal-relative:margin;z-index:25166540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DdTT57BAQAAfw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1JzW7oSlhR9+/jj8+nP4&#10;/Z1dJXn6gBVV3QWqi8M7P9CjmeJIwcR6aMGmL/FhlCdx9ydx1RCZTJcur8ryDWeSUvPX1+QklOLh&#10;cgCM75W3LBk1B9pdllTsPmIcS6eS1Mv5W21M3p9x/wUIM0WKNPk4YbLisB6OdNa+2RObntZec/y2&#10;FaA4Mx8c6ZreyGTAZKwnYxtAbzoaLiuQG9BeMovjG0qL/9fPYzz8N8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k/aNMAAAADAQAADwAAAAAAAAABACAAAAAiAAAAZHJzL2Rvd25yZXYueG1sUEsB&#10;AhQAFAAAAAgAh07iQDdTT57BAQAAfwMAAA4AAAAAAAAAAQAgAAAAIgEAAGRycy9lMm9Eb2MueG1s&#10;UEsFBgAAAAAGAAYAWQEAAFUFAAAAAA==&#10;">
              <v:fill on="f" focussize="0,0"/>
              <v:stroke on="f"/>
              <v:imagedata o:title=""/>
              <o:lock v:ext="edit" aspectratio="f"/>
              <v:textbox inset="0mm,0mm,0mm,0mm">
                <w:txbxContent>
                  <w:p w14:paraId="28DFA29E">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AEEB">
    <w:pPr>
      <w:pStyle w:val="11"/>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382ED0D">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13" o:spid="_x0000_s1026"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HeZl9NgBAAClAwAADgAAAAAAAAAB&#10;ACAAAAAiAQAAZHJzL2Uyb0RvYy54bWxQSwUGAAAAAAYABgBZAQAAbAUAAAAA&#10;">
              <v:fill on="f" focussize="0,0"/>
              <v:stroke on="f"/>
              <v:imagedata o:title=""/>
              <o:lock v:ext="edit" aspectratio="f"/>
              <v:textbox inset="0mm,0mm,0mm,0mm">
                <w:txbxContent>
                  <w:p w14:paraId="1382ED0D">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81B7B">
    <w:pPr>
      <w:pStyle w:val="11"/>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7005" cy="1397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D3E79D6">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233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V426ANgBAAClAwAADgAAAAAAAAAB&#10;ACAAAAAiAQAAZHJzL2Uyb0RvYy54bWxQSwUGAAAAAAYABgBZAQAAbAUAAAAA&#10;">
              <v:fill on="f" focussize="0,0"/>
              <v:stroke on="f"/>
              <v:imagedata o:title=""/>
              <o:lock v:ext="edit" aspectratio="f"/>
              <v:textbox inset="0mm,0mm,0mm,0mm">
                <w:txbxContent>
                  <w:p w14:paraId="7D3E79D6">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0BB80">
    <w:pPr>
      <w:pStyle w:val="11"/>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67005" cy="139700"/>
              <wp:effectExtent l="0" t="0" r="0" b="0"/>
              <wp:wrapNone/>
              <wp:docPr id="13"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17E856D">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7052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Xys1VcMBAACBAwAADgAAAAAAAAABACAAAAAiAQAAZHJzL2Uyb0RvYy54&#10;bWxQSwUGAAAAAAYABgBZAQAAVwUAAAAA&#10;">
              <v:fill on="f" focussize="0,0"/>
              <v:stroke on="f"/>
              <v:imagedata o:title=""/>
              <o:lock v:ext="edit" aspectratio="f"/>
              <v:textbox inset="0mm,0mm,0mm,0mm">
                <w:txbxContent>
                  <w:p w14:paraId="717E856D">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2EFA">
    <w:pPr>
      <w:pStyle w:val="11"/>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9BF05">
                          <w:pPr>
                            <w:pStyle w:val="16"/>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81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aEbYd8BAAC/AwAADgAAAAAA&#10;AAABACAAAAAeAQAAZHJzL2Uyb0RvYy54bWxQSwUGAAAAAAYABgBZAQAAbwUAAAAA&#10;">
              <v:fill on="f" focussize="0,0"/>
              <v:stroke on="f"/>
              <v:imagedata o:title=""/>
              <o:lock v:ext="edit" aspectratio="f"/>
              <v:textbox inset="0mm,0mm,0mm,0mm" style="mso-fit-shape-to-text:t;">
                <w:txbxContent>
                  <w:p w14:paraId="6E09BF05">
                    <w:pPr>
                      <w:pStyle w:val="16"/>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81</w:t>
                    </w:r>
                    <w:r>
                      <w:rPr>
                        <w:rFonts w:hint="default"/>
                        <w:sz w:val="18"/>
                        <w:szCs w:val="24"/>
                      </w:rPr>
                      <w:fldChar w:fldCharType="end"/>
                    </w:r>
                  </w:p>
                </w:txbxContent>
              </v:textbox>
            </v:shape>
          </w:pict>
        </mc:Fallback>
      </mc:AlternateContent>
    </w:r>
    <w:r>
      <w:rPr>
        <w:rFonts w:hint="default"/>
        <w:sz w:val="21"/>
        <w:szCs w:val="24"/>
      </w:rPr>
      <mc:AlternateContent>
        <mc:Choice Requires="wps">
          <w:drawing>
            <wp:anchor distT="0" distB="0" distL="114300" distR="114300" simplePos="0" relativeHeight="251663360" behindDoc="1" locked="0" layoutInCell="1" allowOverlap="1">
              <wp:simplePos x="0" y="0"/>
              <wp:positionH relativeFrom="page">
                <wp:posOffset>3816350</wp:posOffset>
              </wp:positionH>
              <wp:positionV relativeFrom="page">
                <wp:posOffset>9333865</wp:posOffset>
              </wp:positionV>
              <wp:extent cx="141605" cy="1397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2CDF5718">
                          <w:pPr>
                            <w:pStyle w:val="11"/>
                            <w:kinsoku w:val="0"/>
                            <w:overflowPunct w:val="0"/>
                            <w:spacing w:line="203" w:lineRule="exact"/>
                            <w:ind w:left="20"/>
                            <w:rPr>
                              <w:rFonts w:hint="default" w:ascii="Calibri" w:hAnsi="Calibri" w:eastAsia="Calibri"/>
                              <w:sz w:val="18"/>
                              <w:szCs w:val="24"/>
                            </w:rPr>
                          </w:pPr>
                          <w:r>
                            <w:rPr>
                              <w:rFonts w:hint="default" w:ascii="Calibri" w:hAnsi="Calibri" w:eastAsia="Calibri"/>
                              <w:spacing w:val="-1"/>
                              <w:w w:val="99"/>
                              <w:sz w:val="18"/>
                              <w:szCs w:val="24"/>
                            </w:rPr>
                            <w:t>80</w:t>
                          </w:r>
                        </w:p>
                      </w:txbxContent>
                    </wps:txbx>
                    <wps:bodyPr vert="horz" wrap="square" lIns="0" tIns="0" rIns="0" bIns="0" upright="1"/>
                  </wps:wsp>
                </a:graphicData>
              </a:graphic>
            </wp:anchor>
          </w:drawing>
        </mc:Choice>
        <mc:Fallback>
          <w:pict>
            <v:shape id="文本框 16" o:spid="_x0000_s1026" o:spt="202" type="#_x0000_t202" style="position:absolute;left:0pt;margin-left:300.5pt;margin-top:734.95pt;height:11pt;width:11.15pt;mso-position-horizontal-relative:page;mso-position-vertical-relative:page;z-index:-251653120;mso-width-relative:page;mso-height-relative:page;" filled="f" stroked="f" coordsize="21600,21600" o:gfxdata="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2yQofaAAAADQEAAA8AAAAAAAAAAQAgAAAAIgAA&#10;AGRycy9kb3ducmV2LnhtbFBLAQIUABQAAAAIAIdO4kCZ4bHFzQEAAIwDAAAOAAAAAAAAAAEAIAAA&#10;ACkBAABkcnMvZTJvRG9jLnhtbFBLBQYAAAAABgAGAFkBAABoBQAAAAA=&#10;">
              <v:fill on="f" focussize="0,0"/>
              <v:stroke on="f"/>
              <v:imagedata o:title=""/>
              <o:lock v:ext="edit" aspectratio="f"/>
              <v:textbox inset="0mm,0mm,0mm,0mm">
                <w:txbxContent>
                  <w:p w14:paraId="2CDF5718">
                    <w:pPr>
                      <w:pStyle w:val="11"/>
                      <w:kinsoku w:val="0"/>
                      <w:overflowPunct w:val="0"/>
                      <w:spacing w:line="203" w:lineRule="exact"/>
                      <w:ind w:left="20"/>
                      <w:rPr>
                        <w:rFonts w:hint="default" w:ascii="Calibri" w:hAnsi="Calibri" w:eastAsia="Calibri"/>
                        <w:sz w:val="18"/>
                        <w:szCs w:val="24"/>
                      </w:rPr>
                    </w:pPr>
                    <w:r>
                      <w:rPr>
                        <w:rFonts w:hint="default" w:ascii="Calibri" w:hAnsi="Calibri" w:eastAsia="Calibri"/>
                        <w:spacing w:val="-1"/>
                        <w:w w:val="99"/>
                        <w:sz w:val="18"/>
                        <w:szCs w:val="24"/>
                      </w:rPr>
                      <w:t>80</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5A9BF">
    <w:pPr>
      <w:pStyle w:val="11"/>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67005" cy="139700"/>
              <wp:effectExtent l="0" t="0" r="0" b="0"/>
              <wp:wrapNone/>
              <wp:docPr id="12"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7F9C9EA">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950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lDMp0sMBAACBAwAADgAAAAAAAAABACAAAAAiAQAAZHJzL2Uyb0RvYy54&#10;bWxQSwUGAAAAAAYABgBZAQAAVwUAAAAA&#10;">
              <v:fill on="f" focussize="0,0"/>
              <v:stroke on="f"/>
              <v:imagedata o:title=""/>
              <o:lock v:ext="edit" aspectratio="f"/>
              <v:textbox inset="0mm,0mm,0mm,0mm">
                <w:txbxContent>
                  <w:p w14:paraId="07F9C9EA">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4D93">
    <w:pPr>
      <w:pStyle w:val="11"/>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67005" cy="139700"/>
              <wp:effectExtent l="0" t="0" r="0" b="0"/>
              <wp:wrapNone/>
              <wp:docPr id="10"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C6F3F0D">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745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X0avfCAQAAgQ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0EsgSZywtPHDzx+HX38O&#10;v7+z+VUSqA9YUd1doMo4vPMDFU9xpGDiPbRg05cYMcoT1v4krxoik+nS5VVZvuFMUmr++pqchFI8&#10;XA6A8b3yliWj5kDby6KK3UeMY+lUkno5f6uNyRs07r8AYaZIkSYfJ0xWHNbDkc7aN3ti09Pia47f&#10;tgIUZ+aDI2XTK5kMmIz1ZGwD6E1Hw2UFcgPaTGZxfEVp9f/6eYyHP2f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BV9Gr3wgEAAIEDAAAOAAAAAAAAAAEAIAAAACIBAABkcnMvZTJvRG9jLnht&#10;bFBLBQYAAAAABgAGAFkBAABWBQAAAAA=&#10;">
              <v:fill on="f" focussize="0,0"/>
              <v:stroke on="f"/>
              <v:imagedata o:title=""/>
              <o:lock v:ext="edit" aspectratio="f"/>
              <v:textbox inset="0mm,0mm,0mm,0mm">
                <w:txbxContent>
                  <w:p w14:paraId="1C6F3F0D">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34AF7">
    <w:pPr>
      <w:pStyle w:val="17"/>
      <w:rPr>
        <w:rFonts w:hint="default"/>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B4101">
    <w:pPr>
      <w:pStyle w:val="17"/>
      <w:rPr>
        <w:rFonts w:hint="default"/>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A2260">
    <w:pPr>
      <w:pStyle w:val="17"/>
      <w:rPr>
        <w:rFonts w:hint="default"/>
        <w:sz w:val="18"/>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D47EA">
    <w:pPr>
      <w:pStyle w:val="17"/>
      <w:rPr>
        <w:rFonts w:hint="default"/>
        <w:sz w:val="18"/>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41FA4">
    <w:pPr>
      <w:pStyle w:val="17"/>
      <w:rPr>
        <w:rFonts w:hint="default"/>
        <w:sz w:val="18"/>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BB157">
    <w:pPr>
      <w:pStyle w:val="17"/>
      <w:rPr>
        <w:rFonts w:hint="default"/>
        <w:sz w:val="18"/>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8B0CC">
    <w:pPr>
      <w:pStyle w:val="17"/>
      <w:rPr>
        <w:rFonts w:hint="default"/>
        <w:sz w:val="18"/>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5683A">
    <w:pPr>
      <w:pStyle w:val="17"/>
      <w:rPr>
        <w:rFonts w:hint="default"/>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BB84B"/>
    <w:multiLevelType w:val="singleLevel"/>
    <w:tmpl w:val="99ABB84B"/>
    <w:lvl w:ilvl="0" w:tentative="0">
      <w:start w:val="1"/>
      <w:numFmt w:val="decimal"/>
      <w:suff w:val="space"/>
      <w:lvlText w:val="%1."/>
      <w:lvlJc w:val="left"/>
    </w:lvl>
  </w:abstractNum>
  <w:abstractNum w:abstractNumId="1">
    <w:nsid w:val="0ADC506F"/>
    <w:multiLevelType w:val="multilevel"/>
    <w:tmpl w:val="0ADC506F"/>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668D8E0A"/>
    <w:multiLevelType w:val="singleLevel"/>
    <w:tmpl w:val="668D8E0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1"/>
    </o:shapelayout>
  </w:hdrShapeDefaults>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MjViMzRlODQ4ZWI5M2M5NGM4ZDU0NDExM2RiZDEifQ=="/>
  </w:docVars>
  <w:rsids>
    <w:rsidRoot w:val="00172A27"/>
    <w:rsid w:val="00D15F7D"/>
    <w:rsid w:val="00DC2D5A"/>
    <w:rsid w:val="0102542E"/>
    <w:rsid w:val="016D1799"/>
    <w:rsid w:val="02D51A04"/>
    <w:rsid w:val="03206F53"/>
    <w:rsid w:val="04162113"/>
    <w:rsid w:val="04197E57"/>
    <w:rsid w:val="05486CD8"/>
    <w:rsid w:val="05BB5302"/>
    <w:rsid w:val="079C6EFD"/>
    <w:rsid w:val="09695DE1"/>
    <w:rsid w:val="09C27272"/>
    <w:rsid w:val="0A6B1FEC"/>
    <w:rsid w:val="0FCD6AA7"/>
    <w:rsid w:val="0FD160ED"/>
    <w:rsid w:val="10804703"/>
    <w:rsid w:val="10913B38"/>
    <w:rsid w:val="114A0833"/>
    <w:rsid w:val="132E7181"/>
    <w:rsid w:val="16472A5F"/>
    <w:rsid w:val="175F30F2"/>
    <w:rsid w:val="17DA2FC8"/>
    <w:rsid w:val="17FA3BE0"/>
    <w:rsid w:val="1C0A2194"/>
    <w:rsid w:val="1D137258"/>
    <w:rsid w:val="1D56757B"/>
    <w:rsid w:val="1EAA7ACD"/>
    <w:rsid w:val="201C5642"/>
    <w:rsid w:val="209534C5"/>
    <w:rsid w:val="22345E5B"/>
    <w:rsid w:val="23E7074D"/>
    <w:rsid w:val="2417382C"/>
    <w:rsid w:val="24475584"/>
    <w:rsid w:val="25A44C59"/>
    <w:rsid w:val="25ED3EFB"/>
    <w:rsid w:val="28EF1334"/>
    <w:rsid w:val="2B6C3C42"/>
    <w:rsid w:val="2B8325F8"/>
    <w:rsid w:val="2BB4677D"/>
    <w:rsid w:val="2F9B208F"/>
    <w:rsid w:val="2FB447A2"/>
    <w:rsid w:val="30C67022"/>
    <w:rsid w:val="31A348F2"/>
    <w:rsid w:val="32292413"/>
    <w:rsid w:val="355E2940"/>
    <w:rsid w:val="373B789A"/>
    <w:rsid w:val="374101FF"/>
    <w:rsid w:val="3A4A7D8D"/>
    <w:rsid w:val="3A794352"/>
    <w:rsid w:val="3BFD68F1"/>
    <w:rsid w:val="3CC66084"/>
    <w:rsid w:val="3D9A6C3F"/>
    <w:rsid w:val="3E2A7656"/>
    <w:rsid w:val="3FB12286"/>
    <w:rsid w:val="40632CF4"/>
    <w:rsid w:val="40D440BE"/>
    <w:rsid w:val="42CF69C6"/>
    <w:rsid w:val="43DA3072"/>
    <w:rsid w:val="44293F63"/>
    <w:rsid w:val="459E5C9C"/>
    <w:rsid w:val="471C7F53"/>
    <w:rsid w:val="4A977AF4"/>
    <w:rsid w:val="4E9F590E"/>
    <w:rsid w:val="4F2D00A8"/>
    <w:rsid w:val="4FA62AF1"/>
    <w:rsid w:val="506036C9"/>
    <w:rsid w:val="5180354E"/>
    <w:rsid w:val="51B43E0A"/>
    <w:rsid w:val="526E487B"/>
    <w:rsid w:val="545B4B0B"/>
    <w:rsid w:val="54927C0A"/>
    <w:rsid w:val="55BD2AE1"/>
    <w:rsid w:val="56F5366D"/>
    <w:rsid w:val="56F87B9A"/>
    <w:rsid w:val="58C66C34"/>
    <w:rsid w:val="5A1170DE"/>
    <w:rsid w:val="5BC715AF"/>
    <w:rsid w:val="5CAD483A"/>
    <w:rsid w:val="5D5E4AAE"/>
    <w:rsid w:val="5F836D59"/>
    <w:rsid w:val="5FEA20BE"/>
    <w:rsid w:val="604678A4"/>
    <w:rsid w:val="61723CCE"/>
    <w:rsid w:val="62FF6508"/>
    <w:rsid w:val="63FF0257"/>
    <w:rsid w:val="641262A0"/>
    <w:rsid w:val="64C33B59"/>
    <w:rsid w:val="64F831CA"/>
    <w:rsid w:val="668C4B37"/>
    <w:rsid w:val="66AB743B"/>
    <w:rsid w:val="66CA3897"/>
    <w:rsid w:val="6A804349"/>
    <w:rsid w:val="6DB70DD5"/>
    <w:rsid w:val="70316526"/>
    <w:rsid w:val="722A54E3"/>
    <w:rsid w:val="72482193"/>
    <w:rsid w:val="7341797A"/>
    <w:rsid w:val="739A2C9B"/>
    <w:rsid w:val="749B5327"/>
    <w:rsid w:val="75B0548E"/>
    <w:rsid w:val="767B079C"/>
    <w:rsid w:val="7802124A"/>
    <w:rsid w:val="784210E3"/>
    <w:rsid w:val="785F7B4D"/>
    <w:rsid w:val="78BE7C47"/>
    <w:rsid w:val="79F60511"/>
    <w:rsid w:val="7BB35E95"/>
    <w:rsid w:val="7C80267F"/>
    <w:rsid w:val="7D7F0EF0"/>
    <w:rsid w:val="7DCE4049"/>
    <w:rsid w:val="7E724B78"/>
    <w:rsid w:val="7ED834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basedOn w:val="1"/>
    <w:next w:val="1"/>
    <w:unhideWhenUsed/>
    <w:qFormat/>
    <w:uiPriority w:val="1"/>
    <w:pPr>
      <w:ind w:left="3"/>
      <w:jc w:val="center"/>
      <w:outlineLvl w:val="0"/>
    </w:pPr>
    <w:rPr>
      <w:rFonts w:hint="eastAsia" w:ascii="Microsoft JhengHei" w:hAnsi="Microsoft JhengHei" w:eastAsia="Microsoft JhengHei"/>
      <w:b/>
      <w:sz w:val="44"/>
      <w:szCs w:val="24"/>
    </w:rPr>
  </w:style>
  <w:style w:type="paragraph" w:styleId="3">
    <w:name w:val="heading 2"/>
    <w:basedOn w:val="2"/>
    <w:next w:val="1"/>
    <w:link w:val="36"/>
    <w:unhideWhenUsed/>
    <w:qFormat/>
    <w:uiPriority w:val="1"/>
    <w:pPr>
      <w:ind w:left="3"/>
      <w:jc w:val="center"/>
      <w:outlineLvl w:val="1"/>
    </w:pPr>
    <w:rPr>
      <w:rFonts w:hint="default" w:ascii="宋体" w:hAnsi="宋体" w:eastAsia="宋体"/>
      <w:sz w:val="30"/>
      <w:szCs w:val="24"/>
    </w:rPr>
  </w:style>
  <w:style w:type="paragraph" w:styleId="4">
    <w:name w:val="heading 3"/>
    <w:basedOn w:val="1"/>
    <w:next w:val="1"/>
    <w:link w:val="28"/>
    <w:unhideWhenUsed/>
    <w:qFormat/>
    <w:uiPriority w:val="1"/>
    <w:pPr>
      <w:spacing w:before="50" w:beforeLines="50" w:after="50" w:afterLines="50" w:line="360" w:lineRule="auto"/>
      <w:outlineLvl w:val="2"/>
    </w:pPr>
    <w:rPr>
      <w:rFonts w:hint="default" w:ascii="宋体" w:hAnsi="宋体" w:eastAsia="宋体"/>
      <w:b/>
      <w:sz w:val="24"/>
      <w:szCs w:val="24"/>
    </w:rPr>
  </w:style>
  <w:style w:type="paragraph" w:styleId="5">
    <w:name w:val="heading 4"/>
    <w:basedOn w:val="1"/>
    <w:next w:val="1"/>
    <w:unhideWhenUsed/>
    <w:qFormat/>
    <w:uiPriority w:val="1"/>
    <w:pPr>
      <w:outlineLvl w:val="3"/>
    </w:pPr>
    <w:rPr>
      <w:rFonts w:hint="default" w:ascii="宋体" w:hAnsi="宋体" w:eastAsia="宋体"/>
      <w:sz w:val="28"/>
      <w:szCs w:val="24"/>
    </w:rPr>
  </w:style>
  <w:style w:type="paragraph" w:styleId="6">
    <w:name w:val="heading 5"/>
    <w:basedOn w:val="1"/>
    <w:next w:val="1"/>
    <w:unhideWhenUsed/>
    <w:qFormat/>
    <w:uiPriority w:val="1"/>
    <w:pPr>
      <w:ind w:left="237"/>
      <w:outlineLvl w:val="4"/>
    </w:pPr>
    <w:rPr>
      <w:rFonts w:hint="default" w:ascii="宋体" w:hAnsi="宋体" w:eastAsia="宋体"/>
      <w:sz w:val="28"/>
      <w:szCs w:val="24"/>
    </w:rPr>
  </w:style>
  <w:style w:type="paragraph" w:styleId="7">
    <w:name w:val="heading 6"/>
    <w:basedOn w:val="1"/>
    <w:next w:val="1"/>
    <w:unhideWhenUsed/>
    <w:qFormat/>
    <w:uiPriority w:val="1"/>
    <w:pPr>
      <w:ind w:left="513"/>
      <w:outlineLvl w:val="5"/>
    </w:pPr>
    <w:rPr>
      <w:rFonts w:hint="eastAsia" w:ascii="Times New Roman" w:hAnsi="Times New Roman" w:eastAsia="Times New Roman"/>
      <w:b/>
      <w:sz w:val="21"/>
      <w:szCs w:val="24"/>
    </w:rPr>
  </w:style>
  <w:style w:type="character" w:default="1" w:styleId="24">
    <w:name w:val="Default Paragraph Font"/>
    <w:unhideWhenUsed/>
    <w:qFormat/>
    <w:uiPriority w:val="99"/>
    <w:rPr>
      <w:rFonts w:hint="default"/>
      <w:sz w:val="24"/>
      <w:szCs w:val="24"/>
    </w:rPr>
  </w:style>
  <w:style w:type="table" w:default="1" w:styleId="23">
    <w:name w:val="Normal Table"/>
    <w:qFormat/>
    <w:uiPriority w:val="0"/>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9">
    <w:name w:val="annotation text"/>
    <w:basedOn w:val="1"/>
    <w:unhideWhenUsed/>
    <w:qFormat/>
    <w:uiPriority w:val="99"/>
    <w:pPr>
      <w:jc w:val="left"/>
    </w:pPr>
  </w:style>
  <w:style w:type="paragraph" w:styleId="10">
    <w:name w:val="Body Text 3"/>
    <w:unhideWhenUsed/>
    <w:qFormat/>
    <w:uiPriority w:val="0"/>
    <w:pPr>
      <w:widowControl w:val="0"/>
      <w:spacing w:beforeLines="0" w:after="120" w:afterLines="0"/>
      <w:jc w:val="both"/>
    </w:pPr>
    <w:rPr>
      <w:rFonts w:hint="eastAsia" w:ascii="Times New Roman" w:hAnsi="Times New Roman" w:eastAsia="Times New Roman" w:cs="Times New Roman"/>
      <w:kern w:val="2"/>
      <w:sz w:val="16"/>
      <w:szCs w:val="16"/>
      <w:lang w:val="en-US" w:eastAsia="zh-CN" w:bidi="ar-SA"/>
    </w:rPr>
  </w:style>
  <w:style w:type="paragraph" w:styleId="11">
    <w:name w:val="Body Text"/>
    <w:basedOn w:val="1"/>
    <w:unhideWhenUsed/>
    <w:qFormat/>
    <w:uiPriority w:val="1"/>
    <w:pPr>
      <w:ind w:left="520"/>
    </w:pPr>
    <w:rPr>
      <w:rFonts w:hint="default" w:ascii="宋体" w:hAnsi="宋体" w:eastAsia="宋体"/>
      <w:sz w:val="21"/>
      <w:szCs w:val="24"/>
    </w:rPr>
  </w:style>
  <w:style w:type="paragraph" w:styleId="12">
    <w:name w:val="Body Text Indent"/>
    <w:basedOn w:val="1"/>
    <w:next w:val="13"/>
    <w:qFormat/>
    <w:uiPriority w:val="0"/>
    <w:pPr>
      <w:spacing w:after="120"/>
      <w:ind w:left="420" w:leftChars="200"/>
    </w:pPr>
    <w:rPr>
      <w:rFonts w:ascii="Times New Roman" w:hAnsi="Times New Roman"/>
      <w:kern w:val="0"/>
      <w:sz w:val="20"/>
      <w:szCs w:val="24"/>
    </w:rPr>
  </w:style>
  <w:style w:type="paragraph" w:styleId="13">
    <w:name w:val="envelope return"/>
    <w:basedOn w:val="1"/>
    <w:qFormat/>
    <w:uiPriority w:val="0"/>
    <w:pPr>
      <w:snapToGrid w:val="0"/>
    </w:pPr>
    <w:rPr>
      <w:rFonts w:ascii="Arial" w:hAnsi="Arial"/>
      <w:szCs w:val="24"/>
    </w:rPr>
  </w:style>
  <w:style w:type="paragraph" w:styleId="14">
    <w:name w:val="toc 3"/>
    <w:basedOn w:val="1"/>
    <w:next w:val="1"/>
    <w:qFormat/>
    <w:uiPriority w:val="99"/>
    <w:pPr>
      <w:ind w:left="840" w:leftChars="400"/>
    </w:pPr>
  </w:style>
  <w:style w:type="paragraph" w:styleId="15">
    <w:name w:val="Plain Text"/>
    <w:basedOn w:val="1"/>
    <w:next w:val="1"/>
    <w:unhideWhenUsed/>
    <w:qFormat/>
    <w:uiPriority w:val="0"/>
    <w:rPr>
      <w:rFonts w:hint="default" w:ascii="宋体" w:hAnsi="Courier New" w:eastAsia="宋体"/>
      <w:sz w:val="24"/>
      <w:szCs w:val="24"/>
    </w:rPr>
  </w:style>
  <w:style w:type="paragraph" w:styleId="16">
    <w:name w:val="footer"/>
    <w:basedOn w:val="1"/>
    <w:unhideWhenUsed/>
    <w:qFormat/>
    <w:uiPriority w:val="99"/>
    <w:pPr>
      <w:tabs>
        <w:tab w:val="center" w:pos="4153"/>
        <w:tab w:val="right" w:pos="8306"/>
      </w:tabs>
      <w:snapToGrid w:val="0"/>
    </w:pPr>
    <w:rPr>
      <w:rFonts w:hint="default"/>
      <w:sz w:val="18"/>
      <w:szCs w:val="24"/>
    </w:rPr>
  </w:style>
  <w:style w:type="paragraph" w:styleId="17">
    <w:name w:val="header"/>
    <w:basedOn w:val="1"/>
    <w:unhideWhenUsed/>
    <w:qFormat/>
    <w:uiPriority w:val="99"/>
    <w:pPr>
      <w:tabs>
        <w:tab w:val="center" w:pos="4153"/>
        <w:tab w:val="right" w:pos="8306"/>
      </w:tabs>
      <w:snapToGrid w:val="0"/>
      <w:jc w:val="both"/>
    </w:pPr>
    <w:rPr>
      <w:rFonts w:hint="default"/>
      <w:sz w:val="18"/>
      <w:szCs w:val="24"/>
    </w:rPr>
  </w:style>
  <w:style w:type="paragraph" w:styleId="18">
    <w:name w:val="toc 1"/>
    <w:basedOn w:val="1"/>
    <w:next w:val="1"/>
    <w:qFormat/>
    <w:uiPriority w:val="99"/>
  </w:style>
  <w:style w:type="paragraph" w:styleId="19">
    <w:name w:val="toc 2"/>
    <w:basedOn w:val="1"/>
    <w:next w:val="1"/>
    <w:qFormat/>
    <w:uiPriority w:val="99"/>
    <w:pPr>
      <w:ind w:left="420" w:leftChars="200"/>
    </w:pPr>
  </w:style>
  <w:style w:type="paragraph" w:styleId="20">
    <w:name w:val="Normal (Web)"/>
    <w:basedOn w:val="1"/>
    <w:unhideWhenUsed/>
    <w:qFormat/>
    <w:uiPriority w:val="99"/>
    <w:pPr>
      <w:widowControl/>
      <w:spacing w:before="100" w:beforeAutospacing="1" w:after="100" w:afterAutospacing="1"/>
    </w:pPr>
    <w:rPr>
      <w:rFonts w:hint="eastAsia" w:ascii="Times New Roman" w:hAnsi="Times New Roman" w:eastAsia="Times New Roman" w:cs="Times New Roman"/>
      <w:sz w:val="24"/>
      <w:szCs w:val="24"/>
    </w:rPr>
  </w:style>
  <w:style w:type="paragraph" w:styleId="21">
    <w:name w:val="Body Text First Indent"/>
    <w:basedOn w:val="11"/>
    <w:unhideWhenUsed/>
    <w:qFormat/>
    <w:uiPriority w:val="0"/>
    <w:pPr>
      <w:ind w:firstLine="420"/>
    </w:pPr>
    <w:rPr>
      <w:rFonts w:hint="eastAsia" w:ascii="Times New Roman" w:hAnsi="Times New Roman" w:eastAsia="楷体_GB2312"/>
      <w:sz w:val="20"/>
      <w:szCs w:val="24"/>
    </w:rPr>
  </w:style>
  <w:style w:type="paragraph" w:styleId="22">
    <w:name w:val="Body Text First Indent 2"/>
    <w:basedOn w:val="1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25">
    <w:name w:val="Hyperlink"/>
    <w:unhideWhenUsed/>
    <w:qFormat/>
    <w:uiPriority w:val="99"/>
    <w:rPr>
      <w:rFonts w:hint="default" w:ascii="Arial" w:hAnsi="Arial" w:eastAsia="黑体"/>
      <w:color w:val="0000FF"/>
      <w:kern w:val="2"/>
      <w:sz w:val="21"/>
      <w:szCs w:val="24"/>
      <w:u w:val="single"/>
      <w:lang w:val="en-US" w:eastAsia="zh-CN" w:bidi="ar-SA"/>
    </w:rPr>
  </w:style>
  <w:style w:type="paragraph" w:customStyle="1" w:styleId="26">
    <w:name w:val="正文缩进1"/>
    <w:basedOn w:val="27"/>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27">
    <w:name w:val="正文1"/>
    <w:basedOn w:val="1"/>
    <w:unhideWhenUsed/>
    <w:qFormat/>
    <w:uiPriority w:val="0"/>
    <w:pPr>
      <w:spacing w:line="240" w:lineRule="atLeast"/>
      <w:jc w:val="center"/>
      <w:textAlignment w:val="baseline"/>
    </w:pPr>
    <w:rPr>
      <w:rFonts w:hint="default" w:ascii="Tahoma" w:hAnsi="Tahoma" w:eastAsia="宋体"/>
      <w:sz w:val="24"/>
      <w:szCs w:val="24"/>
    </w:rPr>
  </w:style>
  <w:style w:type="character" w:customStyle="1" w:styleId="28">
    <w:name w:val="标题 3 Char"/>
    <w:link w:val="4"/>
    <w:unhideWhenUsed/>
    <w:qFormat/>
    <w:uiPriority w:val="1"/>
    <w:rPr>
      <w:rFonts w:hint="default" w:ascii="宋体" w:hAnsi="宋体" w:eastAsia="宋体"/>
      <w:b/>
      <w:sz w:val="24"/>
      <w:szCs w:val="24"/>
    </w:rPr>
  </w:style>
  <w:style w:type="paragraph" w:customStyle="1" w:styleId="29">
    <w:name w:val="Table Paragraph"/>
    <w:basedOn w:val="1"/>
    <w:unhideWhenUsed/>
    <w:qFormat/>
    <w:uiPriority w:val="1"/>
    <w:rPr>
      <w:rFonts w:hint="default"/>
      <w:sz w:val="24"/>
      <w:szCs w:val="24"/>
    </w:rPr>
  </w:style>
  <w:style w:type="paragraph" w:customStyle="1" w:styleId="30">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1">
    <w:name w:val="p0"/>
    <w:basedOn w:val="1"/>
    <w:unhideWhenUsed/>
    <w:qFormat/>
    <w:uiPriority w:val="0"/>
    <w:pPr>
      <w:widowControl/>
      <w:spacing w:before="75" w:after="75"/>
    </w:pPr>
    <w:rPr>
      <w:rFonts w:hint="default" w:ascii="宋体" w:hAnsi="宋体" w:eastAsia="宋体" w:cs="宋体"/>
      <w:sz w:val="24"/>
      <w:szCs w:val="24"/>
    </w:rPr>
  </w:style>
  <w:style w:type="paragraph" w:styleId="32">
    <w:name w:val="List Paragraph"/>
    <w:basedOn w:val="1"/>
    <w:unhideWhenUsed/>
    <w:qFormat/>
    <w:uiPriority w:val="1"/>
    <w:rPr>
      <w:rFonts w:hint="default"/>
      <w:sz w:val="24"/>
      <w:szCs w:val="24"/>
    </w:rPr>
  </w:style>
  <w:style w:type="paragraph" w:customStyle="1" w:styleId="33">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34">
    <w:name w:val="样式 宋体 行距: 1.5 倍行距"/>
    <w:basedOn w:val="1"/>
    <w:unhideWhenUsed/>
    <w:qFormat/>
    <w:uiPriority w:val="0"/>
    <w:pPr>
      <w:jc w:val="center"/>
    </w:pPr>
    <w:rPr>
      <w:rFonts w:hint="default"/>
      <w:b/>
      <w:sz w:val="24"/>
      <w:szCs w:val="24"/>
    </w:rPr>
  </w:style>
  <w:style w:type="paragraph" w:customStyle="1" w:styleId="35">
    <w:name w:val="发文落款"/>
    <w:basedOn w:val="30"/>
    <w:unhideWhenUsed/>
    <w:qFormat/>
    <w:uiPriority w:val="99"/>
    <w:pPr>
      <w:ind w:left="4094" w:right="607" w:firstLine="0"/>
      <w:jc w:val="center"/>
    </w:pPr>
    <w:rPr>
      <w:rFonts w:hint="eastAsia" w:cs="仿宋_GB2312"/>
      <w:sz w:val="32"/>
      <w:szCs w:val="32"/>
    </w:rPr>
  </w:style>
  <w:style w:type="character" w:customStyle="1" w:styleId="36">
    <w:name w:val="标题 2 Char"/>
    <w:link w:val="3"/>
    <w:unhideWhenUsed/>
    <w:qFormat/>
    <w:uiPriority w:val="1"/>
    <w:rPr>
      <w:rFonts w:hint="default" w:ascii="宋体" w:hAnsi="宋体" w:eastAsia="宋体"/>
      <w:b/>
      <w:sz w:val="30"/>
      <w:szCs w:val="24"/>
    </w:rPr>
  </w:style>
  <w:style w:type="character" w:customStyle="1" w:styleId="37">
    <w:name w:val="NormalCharacter"/>
    <w:unhideWhenUsed/>
    <w:qFormat/>
    <w:uiPriority w:val="0"/>
    <w:rPr>
      <w:rFonts w:hint="default"/>
      <w:sz w:val="24"/>
      <w:szCs w:val="24"/>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UserStyle_2"/>
    <w:basedOn w:val="1"/>
    <w:qFormat/>
    <w:uiPriority w:val="0"/>
    <w:pPr>
      <w:widowControl/>
    </w:pPr>
  </w:style>
  <w:style w:type="paragraph" w:customStyle="1" w:styleId="43">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11980</Words>
  <Characters>12823</Characters>
  <TotalTime>53</TotalTime>
  <ScaleCrop>false</ScaleCrop>
  <LinksUpToDate>false</LinksUpToDate>
  <CharactersWithSpaces>13306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41415</cp:lastModifiedBy>
  <cp:lastPrinted>2025-06-24T02:56:55Z</cp:lastPrinted>
  <dcterms:modified xsi:type="dcterms:W3CDTF">2025-06-24T03:04:38Z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D33DCA9AA58045168B9B32592584AB6E_13</vt:lpwstr>
  </property>
  <property fmtid="{D5CDD505-2E9C-101B-9397-08002B2CF9AE}" pid="4" name="KSOTemplateDocerSaveRecord">
    <vt:lpwstr>eyJoZGlkIjoiZmUzMjViMzRlODQ4ZWI5M2M5NGM4ZDU0NDExM2RiZDEiLCJ1c2VySWQiOiIxMTM3OTk4MzM0In0=</vt:lpwstr>
  </property>
</Properties>
</file>