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before="37" w:after="160" w:line="360" w:lineRule="auto"/>
        <w:ind w:right="-40"/>
        <w:rPr>
          <w:color w:val="auto"/>
          <w:sz w:val="20"/>
          <w:szCs w:val="20"/>
          <w:highlight w:val="none"/>
          <w:shd w:val="clear" w:color="auto" w:fill="auto"/>
        </w:rPr>
      </w:pPr>
      <w:r>
        <w:rPr>
          <w:rFonts w:hint="eastAsia"/>
          <w:color w:val="auto"/>
          <w:highlight w:val="none"/>
          <w:shd w:val="clear" w:color="auto" w:fill="auto"/>
        </w:rPr>
        <w:t>招标公告</w:t>
      </w:r>
    </w:p>
    <w:p>
      <w:pPr>
        <w:pStyle w:val="4"/>
        <w:numPr>
          <w:ilvl w:val="1"/>
          <w:numId w:val="1"/>
        </w:numPr>
        <w:autoSpaceDE w:val="0"/>
        <w:autoSpaceDN w:val="0"/>
        <w:snapToGrid w:val="0"/>
        <w:spacing w:before="196" w:after="160" w:line="360" w:lineRule="auto"/>
        <w:ind w:left="778" w:hanging="566"/>
        <w:jc w:val="both"/>
        <w:rPr>
          <w:color w:val="auto"/>
          <w:highlight w:val="none"/>
          <w:shd w:val="clear" w:color="auto" w:fill="auto"/>
        </w:rPr>
      </w:pPr>
      <w:bookmarkStart w:id="0" w:name="第二章__日程安排"/>
      <w:bookmarkEnd w:id="0"/>
      <w:bookmarkStart w:id="1" w:name="_Toc23287_WPSOffice_Level3"/>
      <w:r>
        <w:rPr>
          <w:rFonts w:hint="eastAsia"/>
          <w:color w:val="auto"/>
          <w:highlight w:val="none"/>
          <w:shd w:val="clear" w:color="auto" w:fill="auto"/>
        </w:rPr>
        <w:t>招标</w:t>
      </w:r>
      <w:bookmarkEnd w:id="1"/>
      <w:r>
        <w:rPr>
          <w:rFonts w:hint="eastAsia"/>
          <w:color w:val="auto"/>
          <w:highlight w:val="none"/>
          <w:shd w:val="clear" w:color="auto" w:fill="auto"/>
        </w:rPr>
        <w:t>条件</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1.1.1 </w:t>
      </w:r>
      <w:r>
        <w:rPr>
          <w:rFonts w:hint="eastAsia"/>
          <w:color w:val="auto"/>
          <w:sz w:val="24"/>
          <w:szCs w:val="24"/>
          <w:highlight w:val="none"/>
          <w:u w:val="single"/>
          <w:shd w:val="clear" w:color="auto" w:fill="auto"/>
        </w:rPr>
        <w:t>遂溪县黄略镇人民政府</w:t>
      </w:r>
      <w:r>
        <w:rPr>
          <w:rFonts w:hint="eastAsia"/>
          <w:color w:val="auto"/>
          <w:sz w:val="24"/>
          <w:szCs w:val="24"/>
          <w:highlight w:val="none"/>
          <w:shd w:val="clear" w:color="auto" w:fill="auto"/>
        </w:rPr>
        <w:t>作为</w:t>
      </w:r>
      <w:r>
        <w:rPr>
          <w:rFonts w:hint="eastAsia"/>
          <w:color w:val="auto"/>
          <w:sz w:val="24"/>
          <w:szCs w:val="24"/>
          <w:highlight w:val="none"/>
          <w:u w:val="single"/>
          <w:shd w:val="clear" w:color="auto" w:fill="auto"/>
        </w:rPr>
        <w:t>广东遂溪滨海智慧产城融合基础设施项目（第一期）——顺祥路、湖兴路、滨湖大道、滨湖路交通基础设施工程勘察设计</w:t>
      </w:r>
      <w:r>
        <w:rPr>
          <w:rFonts w:hint="eastAsia"/>
          <w:color w:val="auto"/>
          <w:sz w:val="24"/>
          <w:szCs w:val="24"/>
          <w:highlight w:val="none"/>
          <w:shd w:val="clear" w:color="auto" w:fill="auto"/>
        </w:rPr>
        <w:t>的招标人，已按照有关法律、法规、规章等规定完成了勘察设计招标前的所有批准、登记、备案等手续，已具备勘察设计招标的条件。项目业主为</w:t>
      </w:r>
      <w:r>
        <w:rPr>
          <w:rFonts w:hint="eastAsia"/>
          <w:color w:val="auto"/>
          <w:sz w:val="24"/>
          <w:szCs w:val="24"/>
          <w:highlight w:val="none"/>
          <w:u w:val="single"/>
          <w:shd w:val="clear" w:color="auto" w:fill="auto"/>
        </w:rPr>
        <w:t>遂溪县黄略镇人民政府</w:t>
      </w:r>
      <w:r>
        <w:rPr>
          <w:rFonts w:hint="eastAsia"/>
          <w:color w:val="auto"/>
          <w:sz w:val="24"/>
          <w:szCs w:val="24"/>
          <w:highlight w:val="none"/>
          <w:shd w:val="clear" w:color="auto" w:fill="auto"/>
        </w:rPr>
        <w:t>，</w:t>
      </w:r>
      <w:r>
        <w:rPr>
          <w:rFonts w:hint="eastAsia"/>
          <w:color w:val="auto"/>
          <w:sz w:val="24"/>
          <w:szCs w:val="24"/>
          <w:highlight w:val="none"/>
          <w:u w:val="single"/>
          <w:shd w:val="clear" w:color="auto" w:fill="auto"/>
        </w:rPr>
        <w:t>遂溪县黄略镇人民政府</w:t>
      </w:r>
      <w:r>
        <w:rPr>
          <w:rFonts w:hint="eastAsia"/>
          <w:color w:val="auto"/>
          <w:sz w:val="24"/>
          <w:szCs w:val="24"/>
          <w:highlight w:val="none"/>
          <w:shd w:val="clear" w:color="auto" w:fill="auto"/>
        </w:rPr>
        <w:t>委托</w:t>
      </w:r>
      <w:r>
        <w:rPr>
          <w:rFonts w:hint="eastAsia"/>
          <w:color w:val="auto"/>
          <w:sz w:val="24"/>
          <w:szCs w:val="24"/>
          <w:highlight w:val="none"/>
          <w:u w:val="single"/>
          <w:shd w:val="clear" w:color="auto" w:fill="auto"/>
        </w:rPr>
        <w:t>广东万诚工程造价咨询有限公司</w:t>
      </w:r>
      <w:r>
        <w:rPr>
          <w:rFonts w:hint="eastAsia"/>
          <w:color w:val="auto"/>
          <w:sz w:val="24"/>
          <w:szCs w:val="24"/>
          <w:highlight w:val="none"/>
          <w:shd w:val="clear" w:color="auto" w:fill="auto"/>
        </w:rPr>
        <w:t>对项目进行招标代理，组织进行本</w:t>
      </w:r>
      <w:bookmarkStart w:id="14" w:name="_GoBack"/>
      <w:bookmarkEnd w:id="14"/>
      <w:r>
        <w:rPr>
          <w:rFonts w:hint="eastAsia"/>
          <w:color w:val="auto"/>
          <w:sz w:val="24"/>
          <w:szCs w:val="24"/>
          <w:highlight w:val="none"/>
          <w:shd w:val="clear" w:color="auto" w:fill="auto"/>
        </w:rPr>
        <w:t>工程的勘察设计公开招标工作，选定勘察设计单位。</w:t>
      </w:r>
    </w:p>
    <w:p>
      <w:pPr>
        <w:pStyle w:val="4"/>
        <w:numPr>
          <w:ilvl w:val="1"/>
          <w:numId w:val="1"/>
        </w:numPr>
        <w:autoSpaceDE w:val="0"/>
        <w:autoSpaceDN w:val="0"/>
        <w:snapToGrid w:val="0"/>
        <w:spacing w:before="196" w:after="160" w:line="360" w:lineRule="auto"/>
        <w:ind w:left="778" w:hanging="566"/>
        <w:jc w:val="both"/>
        <w:rPr>
          <w:color w:val="auto"/>
          <w:highlight w:val="none"/>
          <w:shd w:val="clear" w:color="auto" w:fill="auto"/>
        </w:rPr>
      </w:pPr>
      <w:bookmarkStart w:id="2" w:name="_Toc27858_WPSOffice_Level3"/>
      <w:r>
        <w:rPr>
          <w:rFonts w:hint="eastAsia"/>
          <w:color w:val="auto"/>
          <w:highlight w:val="none"/>
          <w:shd w:val="clear" w:color="auto" w:fill="auto"/>
        </w:rPr>
        <w:t>项目概况</w:t>
      </w:r>
      <w:bookmarkEnd w:id="2"/>
    </w:p>
    <w:p>
      <w:pPr>
        <w:snapToGrid w:val="0"/>
        <w:spacing w:line="360" w:lineRule="auto"/>
        <w:ind w:firstLine="480" w:firstLineChars="200"/>
        <w:rPr>
          <w:color w:val="auto"/>
          <w:sz w:val="24"/>
          <w:szCs w:val="24"/>
          <w:highlight w:val="none"/>
          <w:u w:val="single"/>
          <w:shd w:val="clear" w:color="auto" w:fill="auto"/>
        </w:rPr>
      </w:pPr>
      <w:r>
        <w:rPr>
          <w:rFonts w:hint="eastAsia"/>
          <w:color w:val="auto"/>
          <w:sz w:val="24"/>
          <w:szCs w:val="24"/>
          <w:highlight w:val="none"/>
          <w:shd w:val="clear" w:color="auto" w:fill="auto"/>
        </w:rPr>
        <w:t>1.2.1 工程名称：</w:t>
      </w:r>
      <w:r>
        <w:rPr>
          <w:rFonts w:hint="eastAsia"/>
          <w:color w:val="auto"/>
          <w:sz w:val="24"/>
          <w:szCs w:val="24"/>
          <w:highlight w:val="none"/>
          <w:u w:val="single"/>
          <w:shd w:val="clear" w:color="auto" w:fill="auto"/>
        </w:rPr>
        <w:t>广东遂溪滨海智慧产城融合基础设施项目（第一期）——顺祥路、湖兴路、滨湖大道、滨湖路交通基础设施工程勘察设计</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1.2.2 工程位置：</w:t>
      </w:r>
      <w:r>
        <w:rPr>
          <w:rFonts w:hint="eastAsia"/>
          <w:color w:val="auto"/>
          <w:sz w:val="24"/>
          <w:szCs w:val="24"/>
          <w:highlight w:val="none"/>
          <w:u w:val="single"/>
          <w:shd w:val="clear" w:color="auto" w:fill="auto"/>
        </w:rPr>
        <w:t>湛江市遂溪县黄略镇滨海新区</w:t>
      </w:r>
    </w:p>
    <w:p>
      <w:pPr>
        <w:snapToGrid w:val="0"/>
        <w:spacing w:line="360" w:lineRule="auto"/>
        <w:ind w:firstLine="480" w:firstLineChars="200"/>
        <w:rPr>
          <w:rFonts w:hint="eastAsia"/>
          <w:color w:val="auto"/>
          <w:sz w:val="24"/>
          <w:szCs w:val="24"/>
          <w:highlight w:val="none"/>
          <w:u w:val="single"/>
          <w:shd w:val="clear" w:color="auto" w:fill="auto"/>
        </w:rPr>
      </w:pPr>
      <w:r>
        <w:rPr>
          <w:rFonts w:hint="eastAsia"/>
          <w:color w:val="auto"/>
          <w:sz w:val="24"/>
          <w:szCs w:val="24"/>
          <w:highlight w:val="none"/>
          <w:shd w:val="clear" w:color="auto" w:fill="auto"/>
        </w:rPr>
        <w:t>1.2.3 主要建设内容包括：</w:t>
      </w:r>
      <w:r>
        <w:rPr>
          <w:rFonts w:hint="eastAsia"/>
          <w:color w:val="auto"/>
          <w:sz w:val="24"/>
          <w:szCs w:val="24"/>
          <w:highlight w:val="none"/>
          <w:u w:val="single"/>
          <w:shd w:val="clear" w:color="auto" w:fill="auto"/>
        </w:rPr>
        <w:t>（1）顺祥路新建工程，长2121米，其中桥梁300米，红线宽40米，主干路。</w:t>
      </w:r>
    </w:p>
    <w:p>
      <w:pPr>
        <w:snapToGrid w:val="0"/>
        <w:spacing w:line="360" w:lineRule="auto"/>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rPr>
        <w:t>（2）湖兴路新建工程，长1200米，其中桥梁约300米，红线宽40米，主干路。</w:t>
      </w:r>
    </w:p>
    <w:p>
      <w:pPr>
        <w:snapToGrid w:val="0"/>
        <w:spacing w:line="360" w:lineRule="auto"/>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rPr>
        <w:t>（3）滨湖大道新建工程，长1322米，红线宽40米，次干路。</w:t>
      </w:r>
    </w:p>
    <w:p>
      <w:pPr>
        <w:snapToGrid w:val="0"/>
        <w:spacing w:line="360" w:lineRule="auto"/>
        <w:ind w:firstLine="480" w:firstLineChars="200"/>
        <w:rPr>
          <w:rFonts w:hint="eastAsia"/>
          <w:color w:val="auto"/>
          <w:sz w:val="24"/>
          <w:szCs w:val="24"/>
          <w:highlight w:val="none"/>
          <w:u w:val="single"/>
          <w:shd w:val="clear" w:color="auto" w:fill="auto"/>
        </w:rPr>
      </w:pPr>
      <w:r>
        <w:rPr>
          <w:rFonts w:hint="eastAsia"/>
          <w:color w:val="auto"/>
          <w:sz w:val="24"/>
          <w:szCs w:val="24"/>
          <w:highlight w:val="none"/>
          <w:u w:val="single"/>
          <w:shd w:val="clear" w:color="auto" w:fill="auto"/>
        </w:rPr>
        <w:t>（4）滨湖路改扩建工程，长1333米，红线宽为6米，园区道路。</w:t>
      </w:r>
    </w:p>
    <w:p>
      <w:pPr>
        <w:snapToGrid w:val="0"/>
        <w:spacing w:line="360" w:lineRule="auto"/>
        <w:ind w:firstLine="480" w:firstLineChars="200"/>
        <w:rPr>
          <w:color w:val="auto"/>
          <w:szCs w:val="24"/>
          <w:highlight w:val="none"/>
          <w:u w:val="single"/>
          <w:shd w:val="clear" w:color="auto" w:fill="auto"/>
        </w:rPr>
      </w:pPr>
      <w:r>
        <w:rPr>
          <w:rFonts w:hint="eastAsia"/>
          <w:color w:val="auto"/>
          <w:sz w:val="24"/>
          <w:szCs w:val="24"/>
          <w:highlight w:val="none"/>
          <w:u w:val="single"/>
          <w:shd w:val="clear" w:color="auto" w:fill="auto"/>
        </w:rPr>
        <w:t>上述道路总长约5.976公里。</w:t>
      </w:r>
    </w:p>
    <w:p>
      <w:pPr>
        <w:pStyle w:val="5"/>
        <w:snapToGrid w:val="0"/>
        <w:spacing w:line="360" w:lineRule="auto"/>
        <w:rPr>
          <w:color w:val="auto"/>
          <w:szCs w:val="24"/>
          <w:highlight w:val="none"/>
          <w:u w:val="single"/>
          <w:shd w:val="clear" w:color="auto" w:fill="auto"/>
        </w:rPr>
      </w:pPr>
      <w:r>
        <w:rPr>
          <w:rFonts w:hint="eastAsia" w:ascii="宋体" w:hAnsi="宋体"/>
          <w:color w:val="auto"/>
          <w:szCs w:val="24"/>
          <w:highlight w:val="none"/>
          <w:shd w:val="clear" w:color="auto" w:fill="auto"/>
        </w:rPr>
        <w:t xml:space="preserve">1.2.4 </w:t>
      </w:r>
      <w:r>
        <w:rPr>
          <w:rFonts w:hint="eastAsia"/>
          <w:color w:val="auto"/>
          <w:szCs w:val="24"/>
          <w:highlight w:val="none"/>
          <w:shd w:val="clear" w:color="auto" w:fill="auto"/>
        </w:rPr>
        <w:t>项目批准文件：</w:t>
      </w:r>
      <w:r>
        <w:rPr>
          <w:rFonts w:hint="eastAsia"/>
          <w:color w:val="auto"/>
          <w:szCs w:val="24"/>
          <w:highlight w:val="none"/>
          <w:u w:val="single"/>
          <w:shd w:val="clear" w:color="auto" w:fill="auto"/>
        </w:rPr>
        <w:t xml:space="preserve">  遂发改[2022]26号     </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1.2.5 资金来源：</w:t>
      </w:r>
      <w:r>
        <w:rPr>
          <w:rFonts w:hint="eastAsia"/>
          <w:color w:val="auto"/>
          <w:sz w:val="24"/>
          <w:szCs w:val="24"/>
          <w:highlight w:val="none"/>
          <w:u w:val="single"/>
          <w:shd w:val="clear" w:color="auto" w:fill="auto"/>
        </w:rPr>
        <w:t xml:space="preserve">  专项债券  </w:t>
      </w:r>
      <w:r>
        <w:rPr>
          <w:rFonts w:hint="eastAsia"/>
          <w:color w:val="auto"/>
          <w:sz w:val="24"/>
          <w:szCs w:val="24"/>
          <w:highlight w:val="none"/>
          <w:shd w:val="clear" w:color="auto" w:fill="auto"/>
        </w:rPr>
        <w:t xml:space="preserve">  </w:t>
      </w:r>
    </w:p>
    <w:p>
      <w:pPr>
        <w:snapToGrid w:val="0"/>
        <w:spacing w:line="360" w:lineRule="auto"/>
        <w:ind w:firstLine="480" w:firstLineChars="200"/>
        <w:rPr>
          <w:color w:val="auto"/>
          <w:sz w:val="24"/>
          <w:szCs w:val="24"/>
          <w:highlight w:val="none"/>
          <w:u w:val="single"/>
          <w:shd w:val="clear" w:color="auto" w:fill="auto"/>
        </w:rPr>
      </w:pPr>
      <w:r>
        <w:rPr>
          <w:rFonts w:hint="eastAsia"/>
          <w:color w:val="auto"/>
          <w:sz w:val="24"/>
          <w:szCs w:val="24"/>
          <w:highlight w:val="none"/>
          <w:shd w:val="clear" w:color="auto" w:fill="auto"/>
        </w:rPr>
        <w:t>1.2.6 项目建安费：</w:t>
      </w:r>
      <w:r>
        <w:rPr>
          <w:rFonts w:hint="eastAsia"/>
          <w:color w:val="auto"/>
          <w:sz w:val="24"/>
          <w:szCs w:val="24"/>
          <w:highlight w:val="none"/>
          <w:u w:val="single"/>
          <w:shd w:val="clear" w:color="auto" w:fill="auto"/>
        </w:rPr>
        <w:t xml:space="preserve">  45186.24</w:t>
      </w:r>
      <w:r>
        <w:rPr>
          <w:color w:val="auto"/>
          <w:sz w:val="24"/>
          <w:szCs w:val="24"/>
          <w:highlight w:val="none"/>
          <w:u w:val="single"/>
          <w:shd w:val="clear" w:color="auto" w:fill="auto"/>
        </w:rPr>
        <w:t>万元</w:t>
      </w:r>
      <w:r>
        <w:rPr>
          <w:rFonts w:hint="eastAsia"/>
          <w:color w:val="auto"/>
          <w:sz w:val="24"/>
          <w:szCs w:val="24"/>
          <w:highlight w:val="none"/>
          <w:u w:val="single"/>
          <w:shd w:val="clear" w:color="auto" w:fill="auto"/>
        </w:rPr>
        <w:t xml:space="preserve"> </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1.2.7 招标内容：</w:t>
      </w:r>
    </w:p>
    <w:p>
      <w:pPr>
        <w:numPr>
          <w:ilvl w:val="255"/>
          <w:numId w:val="0"/>
        </w:numPr>
        <w:spacing w:line="440" w:lineRule="exact"/>
        <w:ind w:firstLine="482" w:firstLineChars="200"/>
        <w:rPr>
          <w:b/>
          <w:color w:val="auto"/>
          <w:sz w:val="24"/>
          <w:highlight w:val="none"/>
          <w:shd w:val="clear" w:color="auto" w:fill="auto"/>
        </w:rPr>
      </w:pPr>
      <w:r>
        <w:rPr>
          <w:rFonts w:hint="eastAsia"/>
          <w:b/>
          <w:color w:val="auto"/>
          <w:sz w:val="24"/>
          <w:highlight w:val="none"/>
          <w:shd w:val="clear" w:color="auto" w:fill="auto"/>
        </w:rPr>
        <w:t>（</w:t>
      </w:r>
      <w:r>
        <w:rPr>
          <w:b/>
          <w:color w:val="auto"/>
          <w:sz w:val="24"/>
          <w:highlight w:val="none"/>
          <w:shd w:val="clear" w:color="auto" w:fill="auto"/>
        </w:rPr>
        <w:t>1</w:t>
      </w:r>
      <w:r>
        <w:rPr>
          <w:rFonts w:hint="eastAsia"/>
          <w:b/>
          <w:color w:val="auto"/>
          <w:sz w:val="24"/>
          <w:highlight w:val="none"/>
          <w:shd w:val="clear" w:color="auto" w:fill="auto"/>
        </w:rPr>
        <w:t>）工程勘察工作：</w:t>
      </w:r>
    </w:p>
    <w:p>
      <w:pPr>
        <w:spacing w:line="440" w:lineRule="exact"/>
        <w:ind w:firstLine="480" w:firstLineChars="200"/>
        <w:rPr>
          <w:color w:val="auto"/>
          <w:sz w:val="24"/>
          <w:highlight w:val="none"/>
          <w:u w:val="single"/>
          <w:shd w:val="clear" w:color="auto" w:fill="auto"/>
        </w:rPr>
      </w:pPr>
      <w:r>
        <w:rPr>
          <w:rFonts w:hint="eastAsia"/>
          <w:color w:val="auto"/>
          <w:sz w:val="24"/>
          <w:highlight w:val="none"/>
          <w:u w:val="single"/>
          <w:shd w:val="clear" w:color="auto" w:fill="auto"/>
        </w:rPr>
        <w:t>包括但不限于初步勘察、详细勘察工作，报告包含但不限于项目概况、项目现状、地下</w:t>
      </w:r>
      <w:r>
        <w:rPr>
          <w:color w:val="auto"/>
          <w:sz w:val="24"/>
          <w:highlight w:val="none"/>
          <w:u w:val="single"/>
          <w:shd w:val="clear" w:color="auto" w:fill="auto"/>
        </w:rPr>
        <w:t xml:space="preserve"> </w:t>
      </w:r>
      <w:r>
        <w:rPr>
          <w:rFonts w:hint="eastAsia"/>
          <w:color w:val="auto"/>
          <w:sz w:val="24"/>
          <w:highlight w:val="none"/>
          <w:u w:val="single"/>
          <w:shd w:val="clear" w:color="auto" w:fill="auto"/>
        </w:rPr>
        <w:t>管线、周边市政条件、报批报建工作进展、勘察设计工作进展、建设工作界面、勘察设计工作计划、存在的问题及相关建议等内容，前期摸查报告需经招标人审核通过后视为完成。</w:t>
      </w:r>
    </w:p>
    <w:p>
      <w:pPr>
        <w:numPr>
          <w:ilvl w:val="255"/>
          <w:numId w:val="0"/>
        </w:numPr>
        <w:spacing w:line="440" w:lineRule="exact"/>
        <w:ind w:firstLine="480" w:firstLineChars="200"/>
        <w:rPr>
          <w:color w:val="auto"/>
          <w:sz w:val="24"/>
          <w:highlight w:val="none"/>
          <w:u w:val="single"/>
          <w:shd w:val="clear" w:color="auto" w:fill="auto"/>
        </w:rPr>
      </w:pPr>
      <w:r>
        <w:rPr>
          <w:rFonts w:hint="eastAsia"/>
          <w:color w:val="auto"/>
          <w:sz w:val="24"/>
          <w:highlight w:val="none"/>
          <w:u w:val="single"/>
          <w:shd w:val="clear" w:color="auto" w:fill="auto"/>
        </w:rPr>
        <w:t>以及满足本项目的方案设计、初步设计、施工图设计、施工等各阶段的勘察要求及招标人的要求。</w:t>
      </w:r>
    </w:p>
    <w:p>
      <w:pPr>
        <w:adjustRightInd w:val="0"/>
        <w:snapToGrid w:val="0"/>
        <w:spacing w:line="440" w:lineRule="exact"/>
        <w:ind w:firstLine="482" w:firstLineChars="200"/>
        <w:rPr>
          <w:b/>
          <w:color w:val="auto"/>
          <w:sz w:val="24"/>
          <w:highlight w:val="none"/>
          <w:u w:val="single"/>
          <w:shd w:val="clear" w:color="auto" w:fill="auto"/>
        </w:rPr>
      </w:pPr>
      <w:r>
        <w:rPr>
          <w:rFonts w:hint="eastAsia"/>
          <w:b/>
          <w:color w:val="auto"/>
          <w:sz w:val="24"/>
          <w:highlight w:val="none"/>
          <w:u w:val="single"/>
          <w:shd w:val="clear" w:color="auto" w:fill="auto"/>
        </w:rPr>
        <w:t>（</w:t>
      </w:r>
      <w:r>
        <w:rPr>
          <w:b/>
          <w:color w:val="auto"/>
          <w:sz w:val="24"/>
          <w:highlight w:val="none"/>
          <w:u w:val="single"/>
          <w:shd w:val="clear" w:color="auto" w:fill="auto"/>
        </w:rPr>
        <w:t>2</w:t>
      </w:r>
      <w:r>
        <w:rPr>
          <w:rFonts w:hint="eastAsia"/>
          <w:b/>
          <w:color w:val="auto"/>
          <w:sz w:val="24"/>
          <w:highlight w:val="none"/>
          <w:u w:val="single"/>
          <w:shd w:val="clear" w:color="auto" w:fill="auto"/>
        </w:rPr>
        <w:t>）工程设计工作：</w:t>
      </w:r>
    </w:p>
    <w:p>
      <w:pPr>
        <w:adjustRightInd w:val="0"/>
        <w:snapToGrid w:val="0"/>
        <w:spacing w:line="440" w:lineRule="exact"/>
        <w:ind w:firstLine="480" w:firstLineChars="200"/>
        <w:rPr>
          <w:color w:val="auto"/>
          <w:sz w:val="24"/>
          <w:highlight w:val="none"/>
          <w:u w:val="single"/>
          <w:shd w:val="clear" w:color="auto" w:fill="auto"/>
        </w:rPr>
      </w:pPr>
      <w:r>
        <w:rPr>
          <w:rFonts w:hint="eastAsia"/>
          <w:color w:val="auto"/>
          <w:sz w:val="24"/>
          <w:highlight w:val="none"/>
          <w:u w:val="single"/>
          <w:shd w:val="clear" w:color="auto" w:fill="auto"/>
        </w:rPr>
        <w:t>包括但不限于初步设计（含概算编制、与综合交通规划衔接等内容）、施工图设计（包括但不限于本项目的市政道路交通、桥梁工程、景观绿化、供电、照明、给水、雨污排水、通信等专业）、配合招标人或业主报建、现场服务、技术交底、质量缺陷处理等后续服务及满足招标人对该项目使用要求的配套附属项目的设计等内容。</w:t>
      </w:r>
    </w:p>
    <w:p>
      <w:pPr>
        <w:pStyle w:val="4"/>
        <w:numPr>
          <w:ilvl w:val="1"/>
          <w:numId w:val="1"/>
        </w:numPr>
        <w:autoSpaceDE w:val="0"/>
        <w:autoSpaceDN w:val="0"/>
        <w:spacing w:before="196" w:after="160" w:line="360" w:lineRule="auto"/>
        <w:ind w:left="778" w:hanging="566"/>
        <w:jc w:val="both"/>
        <w:rPr>
          <w:color w:val="auto"/>
          <w:highlight w:val="none"/>
          <w:shd w:val="clear" w:color="auto" w:fill="auto"/>
        </w:rPr>
      </w:pPr>
      <w:bookmarkStart w:id="3" w:name="_Toc20124_WPSOffice_Level3"/>
      <w:r>
        <w:rPr>
          <w:rFonts w:hint="eastAsia"/>
          <w:color w:val="auto"/>
          <w:highlight w:val="none"/>
          <w:shd w:val="clear" w:color="auto" w:fill="auto"/>
        </w:rPr>
        <w:t>前期服务机构</w:t>
      </w:r>
      <w:bookmarkEnd w:id="3"/>
    </w:p>
    <w:p>
      <w:pPr>
        <w:snapToGrid w:val="0"/>
        <w:spacing w:line="360" w:lineRule="auto"/>
        <w:ind w:firstLine="480" w:firstLineChars="200"/>
        <w:rPr>
          <w:color w:val="auto"/>
          <w:sz w:val="24"/>
          <w:szCs w:val="24"/>
          <w:highlight w:val="none"/>
          <w:u w:val="single"/>
          <w:shd w:val="clear" w:color="auto" w:fill="auto"/>
        </w:rPr>
      </w:pPr>
      <w:r>
        <w:rPr>
          <w:rFonts w:hint="eastAsia"/>
          <w:color w:val="auto"/>
          <w:sz w:val="24"/>
          <w:szCs w:val="24"/>
          <w:highlight w:val="none"/>
          <w:shd w:val="clear" w:color="auto" w:fill="auto"/>
        </w:rPr>
        <w:t>1.3.1 机构名称：</w:t>
      </w:r>
      <w:bookmarkStart w:id="4" w:name="_Toc20633_WPSOffice_Level3"/>
      <w:r>
        <w:rPr>
          <w:rFonts w:hint="eastAsia"/>
          <w:color w:val="auto"/>
          <w:sz w:val="24"/>
          <w:szCs w:val="24"/>
          <w:highlight w:val="none"/>
          <w:u w:val="single"/>
          <w:shd w:val="clear" w:color="auto" w:fill="auto"/>
        </w:rPr>
        <w:t>中量工程咨询有限公司</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1.3.2 如果前期服务机构参加本次投标，应将本公告发布前最终完成的工作成果（含电子文件）在招标公告同时提供给所有投标人参考，否则前期参与的服务机构不得参与投标。</w:t>
      </w:r>
    </w:p>
    <w:p>
      <w:pPr>
        <w:pStyle w:val="4"/>
        <w:numPr>
          <w:ilvl w:val="1"/>
          <w:numId w:val="1"/>
        </w:numPr>
        <w:autoSpaceDE w:val="0"/>
        <w:autoSpaceDN w:val="0"/>
        <w:spacing w:before="196" w:after="160" w:line="360" w:lineRule="auto"/>
        <w:ind w:left="778" w:hanging="566"/>
        <w:jc w:val="both"/>
        <w:rPr>
          <w:color w:val="auto"/>
          <w:highlight w:val="none"/>
          <w:shd w:val="clear" w:color="auto" w:fill="auto"/>
        </w:rPr>
      </w:pPr>
      <w:r>
        <w:rPr>
          <w:rFonts w:hint="eastAsia"/>
          <w:color w:val="auto"/>
          <w:highlight w:val="none"/>
          <w:shd w:val="clear" w:color="auto" w:fill="auto"/>
        </w:rPr>
        <w:t>投标资格</w:t>
      </w:r>
      <w:bookmarkEnd w:id="4"/>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1.4.1 本招标工程只接受具有独立法人资格并依法取得有效营业执照的投标人投标</w:t>
      </w:r>
    </w:p>
    <w:p>
      <w:pPr>
        <w:snapToGrid w:val="0"/>
        <w:spacing w:line="360" w:lineRule="auto"/>
        <w:rPr>
          <w:color w:val="auto"/>
          <w:sz w:val="24"/>
          <w:szCs w:val="24"/>
          <w:highlight w:val="none"/>
          <w:shd w:val="clear" w:color="auto" w:fill="auto"/>
        </w:rPr>
      </w:pPr>
      <w:r>
        <w:rPr>
          <w:rFonts w:hint="eastAsia"/>
          <w:color w:val="auto"/>
          <w:sz w:val="24"/>
          <w:szCs w:val="24"/>
          <w:highlight w:val="none"/>
          <w:shd w:val="clear" w:color="auto" w:fill="auto"/>
        </w:rPr>
        <w:t>登记。</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1.4.2 投标人须具备以下资质：</w:t>
      </w:r>
    </w:p>
    <w:p>
      <w:pPr>
        <w:snapToGrid w:val="0"/>
        <w:spacing w:line="360" w:lineRule="auto"/>
        <w:ind w:firstLine="480" w:firstLineChars="200"/>
        <w:rPr>
          <w:color w:val="auto"/>
          <w:sz w:val="24"/>
          <w:szCs w:val="24"/>
          <w:highlight w:val="none"/>
          <w:u w:val="single"/>
          <w:shd w:val="clear" w:color="auto" w:fill="auto"/>
        </w:rPr>
      </w:pPr>
      <w:r>
        <w:rPr>
          <w:rFonts w:hint="eastAsia"/>
          <w:color w:val="auto"/>
          <w:sz w:val="24"/>
          <w:szCs w:val="24"/>
          <w:highlight w:val="none"/>
          <w:u w:val="single"/>
          <w:shd w:val="clear" w:color="auto" w:fill="auto"/>
        </w:rPr>
        <w:t>①工程设计综合甲级资质，或具有市政行业甲级设计资质，或具有市政行业（道路工程）专业甲级设计资质；</w:t>
      </w:r>
    </w:p>
    <w:p>
      <w:pPr>
        <w:snapToGrid w:val="0"/>
        <w:spacing w:line="360" w:lineRule="auto"/>
        <w:ind w:firstLine="480" w:firstLineChars="200"/>
        <w:rPr>
          <w:color w:val="auto"/>
          <w:sz w:val="24"/>
          <w:szCs w:val="24"/>
          <w:highlight w:val="none"/>
          <w:u w:val="single"/>
          <w:shd w:val="clear" w:color="auto" w:fill="auto"/>
        </w:rPr>
      </w:pPr>
      <w:r>
        <w:rPr>
          <w:rFonts w:hint="eastAsia"/>
          <w:color w:val="auto"/>
          <w:sz w:val="24"/>
          <w:szCs w:val="24"/>
          <w:highlight w:val="none"/>
          <w:u w:val="single"/>
          <w:shd w:val="clear" w:color="auto" w:fill="auto"/>
        </w:rPr>
        <w:t>②</w:t>
      </w:r>
      <w:r>
        <w:rPr>
          <w:rFonts w:hint="eastAsia" w:cs="宋体"/>
          <w:color w:val="auto"/>
          <w:sz w:val="24"/>
          <w:szCs w:val="24"/>
          <w:highlight w:val="none"/>
          <w:u w:val="single"/>
          <w:shd w:val="clear" w:color="auto" w:fill="auto"/>
        </w:rPr>
        <w:t>工程勘察综合类甲级资质或工程勘察专业类（岩土工程）甲级或以上资质</w:t>
      </w:r>
      <w:r>
        <w:rPr>
          <w:rFonts w:hint="eastAsia"/>
          <w:color w:val="auto"/>
          <w:sz w:val="24"/>
          <w:szCs w:val="24"/>
          <w:highlight w:val="none"/>
          <w:shd w:val="clear" w:color="auto" w:fill="auto"/>
        </w:rPr>
        <w:t>。</w:t>
      </w:r>
    </w:p>
    <w:p>
      <w:pPr>
        <w:spacing w:line="360" w:lineRule="auto"/>
        <w:ind w:firstLine="480" w:firstLineChars="200"/>
        <w:rPr>
          <w:rFonts w:cs="宋体"/>
          <w:color w:val="auto"/>
          <w:sz w:val="24"/>
          <w:szCs w:val="24"/>
          <w:highlight w:val="none"/>
          <w:u w:val="single"/>
          <w:shd w:val="clear" w:color="auto" w:fill="auto"/>
        </w:rPr>
      </w:pPr>
      <w:r>
        <w:rPr>
          <w:rFonts w:hint="eastAsia"/>
          <w:color w:val="auto"/>
          <w:sz w:val="24"/>
          <w:szCs w:val="24"/>
          <w:highlight w:val="none"/>
          <w:shd w:val="clear" w:color="auto" w:fill="auto"/>
        </w:rPr>
        <w:t xml:space="preserve"> 1.4.3</w:t>
      </w:r>
      <w:r>
        <w:rPr>
          <w:rFonts w:hint="eastAsia" w:cs="宋体"/>
          <w:color w:val="auto"/>
          <w:sz w:val="24"/>
          <w:szCs w:val="24"/>
          <w:highlight w:val="none"/>
          <w:u w:val="single"/>
          <w:shd w:val="clear" w:color="auto" w:fill="auto"/>
        </w:rPr>
        <w:t>本工程接受独立体或联合体投标。</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如为联合体投标的，联合体成员不超过二家（含二家）且联合体牵头方必须为具有“工程设计综合甲级资质或市政行业甲级设计资质或市政专业（道路工程）专业甲级设计资质”的单位。</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联合体投标人除应符合投标人应当具备的资格条件外，还应遵守以下规定：</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①投标人的投标文件及中标后签署的合同协议书，对联合体各方均有法律约束力；</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②联合体各方应按招标文件提供的格式签订联合体协议书，在该协议书中必须指定牵头人，授权其代表所有联合体成员负责投标、委派项目负责人和合同实施阶段的主办、协调工作，并约定各方拟承担的工作责任和权利义务。</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联合体协议书必须加盖所有联合体成员法人公章并由其法定代表人签字或盖章确认。</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③联合体各方签订联合体协议书后，不得再以自己名义单独投标或加入其他联合体在同本项目中进行投标，如有违反，其投标和与此有关的联合体的投标将被拒绝。</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④联合体中标后，联合体各方应当共同与招标人签订合同，为履行合同向招标人承担连带责任。联合体牵头人应被授权作为联合体各方的代表，向招标人提交履约担保、承担责任和接受指令，并负责整个合同的全面履行和接受本项目工程款的支付。</w:t>
      </w:r>
    </w:p>
    <w:p>
      <w:pPr>
        <w:spacing w:line="360" w:lineRule="exact"/>
        <w:ind w:firstLine="480" w:firstLineChars="200"/>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⑤除非另有规定和说明，本招标文件（含招标公告）中的“投标人、中标人”一词亦指联合体各方。</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1.4.4 投标人委派的主要负责人必须是本单位在册人员，项目负责人（设计负责人）具备</w:t>
      </w:r>
      <w:r>
        <w:rPr>
          <w:rFonts w:hint="eastAsia"/>
          <w:color w:val="auto"/>
          <w:sz w:val="24"/>
          <w:szCs w:val="24"/>
          <w:highlight w:val="none"/>
          <w:u w:val="single"/>
          <w:shd w:val="clear" w:color="auto" w:fill="auto"/>
        </w:rPr>
        <w:t>路桥或道路或市政高级工程师及以上</w:t>
      </w:r>
      <w:r>
        <w:rPr>
          <w:rFonts w:hint="eastAsia"/>
          <w:color w:val="auto"/>
          <w:sz w:val="24"/>
          <w:szCs w:val="24"/>
          <w:highlight w:val="none"/>
          <w:shd w:val="clear" w:color="auto" w:fill="auto"/>
        </w:rPr>
        <w:t>资格；勘察负责人具备</w:t>
      </w:r>
      <w:r>
        <w:rPr>
          <w:rFonts w:hint="eastAsia"/>
          <w:color w:val="auto"/>
          <w:sz w:val="24"/>
          <w:szCs w:val="24"/>
          <w:highlight w:val="none"/>
          <w:u w:val="single"/>
          <w:shd w:val="clear" w:color="auto" w:fill="auto"/>
        </w:rPr>
        <w:t>注册土木工程师（岩土）执业资格。</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1.4.5 投标人在“信用中国”网站（https://www.creditchina.gov.cn/）中未被列入失 信被执行人名单。（提供公告发布后网站的查询结果打印页面并加盖公章）；</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1.4.6 投标人在投标登记前已在广州公共资源交易中心办理企业信息和人员登记；</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1.4.7 投标人如果是广东省外注册的企业，须在“进粤企业和人员诚信信息登记平台”录入信息并通过数据规范检查显示正常登记。</w:t>
      </w:r>
    </w:p>
    <w:p>
      <w:pPr>
        <w:pStyle w:val="4"/>
        <w:numPr>
          <w:ilvl w:val="1"/>
          <w:numId w:val="1"/>
        </w:numPr>
        <w:autoSpaceDE w:val="0"/>
        <w:autoSpaceDN w:val="0"/>
        <w:spacing w:before="196" w:after="160" w:line="360" w:lineRule="auto"/>
        <w:ind w:left="778" w:hanging="566"/>
        <w:jc w:val="both"/>
        <w:rPr>
          <w:color w:val="auto"/>
          <w:highlight w:val="none"/>
          <w:shd w:val="clear" w:color="auto" w:fill="auto"/>
        </w:rPr>
      </w:pPr>
      <w:bookmarkStart w:id="5" w:name="_Toc19524_WPSOffice_Level3"/>
      <w:r>
        <w:rPr>
          <w:rFonts w:hint="eastAsia"/>
          <w:color w:val="auto"/>
          <w:highlight w:val="none"/>
          <w:shd w:val="clear" w:color="auto" w:fill="auto"/>
        </w:rPr>
        <w:t>获取招标文件</w:t>
      </w:r>
      <w:bookmarkEnd w:id="5"/>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1.5.1本项目实行广州公共资源交易中心网上投标登记，不接受现场投标登记（网上投标登记操作流程详见广州公共资源交易中心网站发布的最新版操作指引）。投标人须在投标截止时间前完成网上投标登记手续，逾期不受理。凡有意参加投标者，请于招标公告发布之日起至投标截止时间内，登录广州公共资源交易中心网站查看并下载招标文件以及项目有关资料。</w:t>
      </w:r>
    </w:p>
    <w:p>
      <w:pPr>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1.5.2 投标登记并购买获取招标文件单位少于三家时，招标人将重新组织招标。</w:t>
      </w:r>
    </w:p>
    <w:p>
      <w:pPr>
        <w:pStyle w:val="4"/>
        <w:numPr>
          <w:ilvl w:val="1"/>
          <w:numId w:val="1"/>
        </w:numPr>
        <w:autoSpaceDE w:val="0"/>
        <w:autoSpaceDN w:val="0"/>
        <w:spacing w:before="196" w:after="160" w:line="360" w:lineRule="auto"/>
        <w:ind w:left="778" w:hanging="566"/>
        <w:jc w:val="both"/>
        <w:rPr>
          <w:color w:val="auto"/>
          <w:highlight w:val="none"/>
          <w:shd w:val="clear" w:color="auto" w:fill="auto"/>
        </w:rPr>
      </w:pPr>
      <w:r>
        <w:rPr>
          <w:rFonts w:hint="eastAsia"/>
          <w:color w:val="auto"/>
          <w:highlight w:val="none"/>
          <w:shd w:val="clear" w:color="auto" w:fill="auto"/>
        </w:rPr>
        <w:t>招标投标程序安排及要求</w:t>
      </w:r>
    </w:p>
    <w:p>
      <w:pPr>
        <w:spacing w:line="360" w:lineRule="auto"/>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1.6.1 招标公告发布时间：2022年</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11</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26</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日 0 时(北京时间，下同)。</w:t>
      </w:r>
    </w:p>
    <w:p>
      <w:pPr>
        <w:spacing w:line="360" w:lineRule="auto"/>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1.6.2 答疑提问截止时间：详见《投标人须知前附表》</w:t>
      </w:r>
      <w:r>
        <w:rPr>
          <w:rStyle w:val="14"/>
          <w:rFonts w:hint="eastAsia" w:cs="宋体"/>
          <w:color w:val="auto"/>
          <w:sz w:val="24"/>
          <w:szCs w:val="24"/>
          <w:highlight w:val="none"/>
          <w:u w:val="none"/>
          <w:shd w:val="clear" w:color="auto" w:fill="auto"/>
        </w:rPr>
        <w:t>。</w:t>
      </w:r>
    </w:p>
    <w:p>
      <w:pPr>
        <w:spacing w:line="360" w:lineRule="auto"/>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1.6.3 招标文件答疑、澄清、修改或补充内容发布答疑时间：详见《投标人须知前附表》。</w:t>
      </w:r>
    </w:p>
    <w:p>
      <w:pPr>
        <w:spacing w:line="360" w:lineRule="auto"/>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1.6.4 投标文件递交的截止时间、开标时间：2022年</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12</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20</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日</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10</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时</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30</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分。</w:t>
      </w:r>
    </w:p>
    <w:p>
      <w:pPr>
        <w:spacing w:line="360" w:lineRule="auto"/>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1.6.5 投标文件递交地址、开标地点：广州公共资源交易中心（广州市天河区天润路333号）第</w:t>
      </w:r>
      <w:r>
        <w:rPr>
          <w:rFonts w:hint="eastAsia" w:cs="宋体"/>
          <w:color w:val="auto"/>
          <w:sz w:val="24"/>
          <w:szCs w:val="24"/>
          <w:highlight w:val="none"/>
          <w:shd w:val="clear" w:color="auto" w:fill="auto"/>
          <w:lang w:val="en-US" w:eastAsia="zh-CN"/>
        </w:rPr>
        <w:t xml:space="preserve"> 10 </w:t>
      </w:r>
      <w:r>
        <w:rPr>
          <w:rFonts w:hint="eastAsia" w:cs="宋体"/>
          <w:color w:val="auto"/>
          <w:sz w:val="24"/>
          <w:szCs w:val="24"/>
          <w:highlight w:val="none"/>
          <w:shd w:val="clear" w:color="auto" w:fill="auto"/>
        </w:rPr>
        <w:t>开标室。</w:t>
      </w:r>
    </w:p>
    <w:p>
      <w:pPr>
        <w:spacing w:line="360" w:lineRule="auto"/>
        <w:ind w:firstLine="480" w:firstLineChars="200"/>
        <w:rPr>
          <w:color w:val="auto"/>
          <w:sz w:val="24"/>
          <w:highlight w:val="none"/>
          <w:shd w:val="clear" w:color="auto" w:fill="auto"/>
        </w:rPr>
      </w:pPr>
      <w:r>
        <w:rPr>
          <w:rFonts w:hint="eastAsia" w:cs="宋体"/>
          <w:color w:val="auto"/>
          <w:sz w:val="24"/>
          <w:szCs w:val="24"/>
          <w:highlight w:val="none"/>
          <w:shd w:val="clear" w:color="auto" w:fill="auto"/>
        </w:rPr>
        <w:t>1.6.6 逾期送达的、未送达指定地点的、不按照招标文件要求密封的投标文件，将予以拒收。</w:t>
      </w:r>
    </w:p>
    <w:p>
      <w:pPr>
        <w:pStyle w:val="4"/>
        <w:autoSpaceDE w:val="0"/>
        <w:autoSpaceDN w:val="0"/>
        <w:spacing w:before="196" w:after="160" w:line="360" w:lineRule="auto"/>
        <w:ind w:left="0" w:firstLine="241" w:firstLineChars="100"/>
        <w:jc w:val="both"/>
        <w:rPr>
          <w:color w:val="auto"/>
          <w:highlight w:val="none"/>
          <w:shd w:val="clear" w:color="auto" w:fill="auto"/>
        </w:rPr>
      </w:pPr>
      <w:r>
        <w:rPr>
          <w:rFonts w:hint="eastAsia"/>
          <w:color w:val="auto"/>
          <w:highlight w:val="none"/>
          <w:shd w:val="clear" w:color="auto" w:fill="auto"/>
        </w:rPr>
        <w:t>1.7费用</w:t>
      </w:r>
    </w:p>
    <w:p>
      <w:pPr>
        <w:spacing w:line="440" w:lineRule="atLeast"/>
        <w:rPr>
          <w:rFonts w:cs="华文行楷"/>
          <w:b/>
          <w:color w:val="auto"/>
          <w:highlight w:val="none"/>
          <w:shd w:val="clear" w:color="auto" w:fill="auto"/>
        </w:rPr>
      </w:pPr>
      <w:r>
        <w:rPr>
          <w:color w:val="auto"/>
          <w:highlight w:val="none"/>
          <w:shd w:val="clear" w:color="auto" w:fill="auto"/>
        </w:rPr>
        <w:t xml:space="preserve">1.7.1 </w:t>
      </w:r>
      <w:r>
        <w:rPr>
          <w:rFonts w:hint="eastAsia" w:cs="华文行楷"/>
          <w:b/>
          <w:color w:val="auto"/>
          <w:highlight w:val="none"/>
          <w:shd w:val="clear" w:color="auto" w:fill="auto"/>
        </w:rPr>
        <w:t>工程勘察设计费：</w:t>
      </w:r>
    </w:p>
    <w:p>
      <w:pPr>
        <w:spacing w:line="500" w:lineRule="exact"/>
        <w:ind w:firstLine="440" w:firstLineChars="200"/>
        <w:rPr>
          <w:rFonts w:cs="宋体"/>
          <w:color w:val="auto"/>
          <w:highlight w:val="none"/>
          <w:shd w:val="clear" w:color="auto" w:fill="auto"/>
        </w:rPr>
      </w:pPr>
      <w:r>
        <w:rPr>
          <w:rFonts w:hint="eastAsia" w:cs="宋体"/>
          <w:color w:val="auto"/>
          <w:highlight w:val="none"/>
          <w:shd w:val="clear" w:color="auto" w:fill="auto"/>
        </w:rPr>
        <w:t>暂按建筑安装工程费用</w:t>
      </w:r>
      <w:r>
        <w:rPr>
          <w:rFonts w:cs="宋体"/>
          <w:color w:val="auto"/>
          <w:highlight w:val="none"/>
          <w:shd w:val="clear" w:color="auto" w:fill="auto"/>
        </w:rPr>
        <w:t xml:space="preserve"> 45186.24</w:t>
      </w:r>
      <w:r>
        <w:rPr>
          <w:rFonts w:hint="eastAsia" w:cs="宋体"/>
          <w:color w:val="auto"/>
          <w:highlight w:val="none"/>
          <w:shd w:val="clear" w:color="auto" w:fill="auto"/>
        </w:rPr>
        <w:t>万元作为计费额（即工程设计收费计费额），参照《工程勘察设计收费标准》</w:t>
      </w:r>
      <w:r>
        <w:rPr>
          <w:rFonts w:cs="宋体"/>
          <w:color w:val="auto"/>
          <w:highlight w:val="none"/>
          <w:shd w:val="clear" w:color="auto" w:fill="auto"/>
        </w:rPr>
        <w:t>2002</w:t>
      </w:r>
      <w:r>
        <w:rPr>
          <w:rFonts w:hint="eastAsia" w:cs="宋体"/>
          <w:color w:val="auto"/>
          <w:highlight w:val="none"/>
          <w:shd w:val="clear" w:color="auto" w:fill="auto"/>
        </w:rPr>
        <w:t>年修订本的勘察设计收费标准计算</w:t>
      </w:r>
      <w:r>
        <w:rPr>
          <w:rFonts w:hint="eastAsia" w:cs="宋体"/>
          <w:color w:val="auto"/>
          <w:highlight w:val="none"/>
          <w:shd w:val="clear" w:color="auto" w:fill="auto"/>
          <w:lang w:eastAsia="zh-CN"/>
        </w:rPr>
        <w:t>，</w:t>
      </w:r>
      <w:r>
        <w:rPr>
          <w:rFonts w:hint="eastAsia" w:cs="宋体"/>
          <w:color w:val="auto"/>
          <w:highlight w:val="none"/>
          <w:shd w:val="clear" w:color="auto" w:fill="auto"/>
        </w:rPr>
        <w:t>勘察费按设计费的20%计取。勘察设计费按照下浮30%考虑，设计费</w:t>
      </w:r>
      <w:r>
        <w:rPr>
          <w:rFonts w:hint="eastAsia" w:cs="宋体"/>
          <w:color w:val="auto"/>
          <w:highlight w:val="none"/>
          <w:shd w:val="clear" w:color="auto" w:fill="auto"/>
          <w:lang w:val="en-US" w:eastAsia="zh-CN"/>
        </w:rPr>
        <w:t>招标控制价925.253</w:t>
      </w:r>
      <w:r>
        <w:rPr>
          <w:rFonts w:hint="eastAsia" w:cs="宋体"/>
          <w:color w:val="auto"/>
          <w:highlight w:val="none"/>
          <w:shd w:val="clear" w:color="auto" w:fill="auto"/>
        </w:rPr>
        <w:t>万元，勘察费</w:t>
      </w:r>
      <w:r>
        <w:rPr>
          <w:rFonts w:hint="eastAsia" w:cs="宋体"/>
          <w:color w:val="auto"/>
          <w:highlight w:val="none"/>
          <w:shd w:val="clear" w:color="auto" w:fill="auto"/>
          <w:lang w:val="en-US" w:eastAsia="zh-CN"/>
        </w:rPr>
        <w:t>招标控制价185.051</w:t>
      </w:r>
      <w:r>
        <w:rPr>
          <w:rFonts w:hint="eastAsia" w:cs="宋体"/>
          <w:color w:val="auto"/>
          <w:highlight w:val="none"/>
          <w:shd w:val="clear" w:color="auto" w:fill="auto"/>
        </w:rPr>
        <w:t>万元。</w:t>
      </w:r>
    </w:p>
    <w:p>
      <w:pPr>
        <w:spacing w:line="500" w:lineRule="exact"/>
        <w:ind w:firstLine="440" w:firstLineChars="200"/>
        <w:rPr>
          <w:rFonts w:cs="宋体"/>
          <w:color w:val="auto"/>
          <w:highlight w:val="none"/>
          <w:shd w:val="clear" w:color="auto" w:fill="auto"/>
        </w:rPr>
      </w:pPr>
    </w:p>
    <w:p>
      <w:pPr>
        <w:spacing w:line="500" w:lineRule="exact"/>
        <w:ind w:left="660" w:leftChars="300"/>
        <w:jc w:val="center"/>
        <w:rPr>
          <w:rFonts w:cs="宋体"/>
          <w:color w:val="auto"/>
          <w:highlight w:val="none"/>
          <w:shd w:val="clear" w:color="auto" w:fill="auto"/>
        </w:rPr>
      </w:pPr>
      <w:r>
        <w:rPr>
          <w:rFonts w:hint="eastAsia" w:cs="宋体"/>
          <w:color w:val="auto"/>
          <w:highlight w:val="none"/>
          <w:shd w:val="clear" w:color="auto" w:fill="auto"/>
        </w:rPr>
        <w:t>工程勘察设计费用明细表</w:t>
      </w:r>
    </w:p>
    <w:tbl>
      <w:tblPr>
        <w:tblStyle w:val="12"/>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83"/>
        <w:gridCol w:w="1907"/>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500" w:lineRule="exact"/>
              <w:jc w:val="center"/>
              <w:rPr>
                <w:rFonts w:cs="宋体"/>
                <w:color w:val="auto"/>
                <w:w w:val="90"/>
                <w:highlight w:val="none"/>
                <w:shd w:val="clear" w:color="auto" w:fill="auto"/>
              </w:rPr>
            </w:pPr>
            <w:r>
              <w:rPr>
                <w:rFonts w:hint="eastAsia" w:cs="宋体"/>
                <w:color w:val="auto"/>
                <w:w w:val="90"/>
                <w:highlight w:val="none"/>
                <w:shd w:val="clear" w:color="auto" w:fill="auto"/>
              </w:rPr>
              <w:t>序号</w:t>
            </w:r>
          </w:p>
        </w:tc>
        <w:tc>
          <w:tcPr>
            <w:tcW w:w="2083" w:type="dxa"/>
          </w:tcPr>
          <w:p>
            <w:pPr>
              <w:spacing w:line="500" w:lineRule="exact"/>
              <w:jc w:val="center"/>
              <w:rPr>
                <w:rFonts w:cs="宋体"/>
                <w:color w:val="auto"/>
                <w:w w:val="90"/>
                <w:highlight w:val="none"/>
                <w:shd w:val="clear" w:color="auto" w:fill="auto"/>
              </w:rPr>
            </w:pPr>
            <w:r>
              <w:rPr>
                <w:rFonts w:hint="eastAsia" w:cs="宋体"/>
                <w:color w:val="auto"/>
                <w:w w:val="90"/>
                <w:highlight w:val="none"/>
                <w:shd w:val="clear" w:color="auto" w:fill="auto"/>
              </w:rPr>
              <w:t>设计类别</w:t>
            </w:r>
          </w:p>
        </w:tc>
        <w:tc>
          <w:tcPr>
            <w:tcW w:w="1907" w:type="dxa"/>
          </w:tcPr>
          <w:p>
            <w:pPr>
              <w:spacing w:line="500" w:lineRule="exact"/>
              <w:jc w:val="center"/>
              <w:rPr>
                <w:rFonts w:cs="宋体"/>
                <w:color w:val="auto"/>
                <w:w w:val="90"/>
                <w:highlight w:val="none"/>
                <w:shd w:val="clear" w:color="auto" w:fill="auto"/>
              </w:rPr>
            </w:pPr>
            <w:r>
              <w:rPr>
                <w:rFonts w:hint="eastAsia" w:cs="宋体"/>
                <w:color w:val="auto"/>
                <w:w w:val="90"/>
                <w:highlight w:val="none"/>
                <w:shd w:val="clear" w:color="auto" w:fill="auto"/>
              </w:rPr>
              <w:t>费用（暂定）</w:t>
            </w:r>
          </w:p>
        </w:tc>
        <w:tc>
          <w:tcPr>
            <w:tcW w:w="4716" w:type="dxa"/>
          </w:tcPr>
          <w:p>
            <w:pPr>
              <w:spacing w:line="500" w:lineRule="exact"/>
              <w:jc w:val="center"/>
              <w:rPr>
                <w:rFonts w:cs="宋体"/>
                <w:color w:val="auto"/>
                <w:w w:val="90"/>
                <w:highlight w:val="none"/>
                <w:shd w:val="clear" w:color="auto" w:fill="auto"/>
              </w:rPr>
            </w:pPr>
            <w:r>
              <w:rPr>
                <w:rFonts w:hint="eastAsia" w:cs="宋体"/>
                <w:color w:val="auto"/>
                <w:w w:val="90"/>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40" w:lineRule="exact"/>
              <w:jc w:val="center"/>
              <w:rPr>
                <w:rFonts w:cs="宋体"/>
                <w:color w:val="auto"/>
                <w:w w:val="90"/>
                <w:highlight w:val="none"/>
                <w:shd w:val="clear" w:color="auto" w:fill="auto"/>
              </w:rPr>
            </w:pPr>
            <w:r>
              <w:rPr>
                <w:rFonts w:hint="eastAsia" w:cs="宋体"/>
                <w:color w:val="auto"/>
                <w:w w:val="90"/>
                <w:highlight w:val="none"/>
                <w:shd w:val="clear" w:color="auto" w:fill="auto"/>
              </w:rPr>
              <w:t>一</w:t>
            </w:r>
          </w:p>
        </w:tc>
        <w:tc>
          <w:tcPr>
            <w:tcW w:w="2083" w:type="dxa"/>
            <w:vAlign w:val="center"/>
          </w:tcPr>
          <w:p>
            <w:pPr>
              <w:spacing w:line="340" w:lineRule="exact"/>
              <w:jc w:val="both"/>
              <w:rPr>
                <w:rFonts w:cs="宋体"/>
                <w:color w:val="auto"/>
                <w:w w:val="90"/>
                <w:highlight w:val="none"/>
                <w:shd w:val="clear" w:color="auto" w:fill="auto"/>
              </w:rPr>
            </w:pPr>
            <w:r>
              <w:rPr>
                <w:rFonts w:hint="eastAsia" w:cs="宋体"/>
                <w:color w:val="auto"/>
                <w:w w:val="90"/>
                <w:highlight w:val="none"/>
                <w:shd w:val="clear" w:color="auto" w:fill="auto"/>
              </w:rPr>
              <w:t>设计费</w:t>
            </w:r>
            <w:r>
              <w:rPr>
                <w:rFonts w:cs="宋体"/>
                <w:color w:val="auto"/>
                <w:w w:val="90"/>
                <w:highlight w:val="none"/>
                <w:shd w:val="clear" w:color="auto" w:fill="auto"/>
              </w:rPr>
              <w:t xml:space="preserve"> </w:t>
            </w:r>
          </w:p>
        </w:tc>
        <w:tc>
          <w:tcPr>
            <w:tcW w:w="1907" w:type="dxa"/>
            <w:vAlign w:val="center"/>
          </w:tcPr>
          <w:p>
            <w:pPr>
              <w:spacing w:line="340" w:lineRule="exact"/>
              <w:jc w:val="center"/>
              <w:rPr>
                <w:rFonts w:cs="宋体"/>
                <w:color w:val="auto"/>
                <w:w w:val="90"/>
                <w:highlight w:val="none"/>
                <w:shd w:val="clear" w:color="auto" w:fill="auto"/>
              </w:rPr>
            </w:pPr>
            <w:r>
              <w:rPr>
                <w:rFonts w:hint="eastAsia" w:cs="宋体"/>
                <w:color w:val="auto"/>
                <w:highlight w:val="none"/>
                <w:shd w:val="clear" w:color="auto" w:fill="auto"/>
                <w:lang w:val="en-US" w:eastAsia="zh-CN"/>
              </w:rPr>
              <w:t>925.253</w:t>
            </w:r>
            <w:r>
              <w:rPr>
                <w:rFonts w:hint="eastAsia" w:cs="宋体"/>
                <w:color w:val="auto"/>
                <w:w w:val="90"/>
                <w:highlight w:val="none"/>
                <w:shd w:val="clear" w:color="auto" w:fill="auto"/>
              </w:rPr>
              <w:t>万元</w:t>
            </w:r>
          </w:p>
        </w:tc>
        <w:tc>
          <w:tcPr>
            <w:tcW w:w="4716" w:type="dxa"/>
          </w:tcPr>
          <w:p>
            <w:pPr>
              <w:spacing w:line="340" w:lineRule="exact"/>
              <w:jc w:val="center"/>
              <w:rPr>
                <w:rFonts w:cs="宋体"/>
                <w:color w:val="auto"/>
                <w:w w:val="90"/>
                <w:highlight w:val="none"/>
                <w:shd w:val="clear" w:color="auto" w:fill="auto"/>
              </w:rPr>
            </w:pPr>
            <w:r>
              <w:rPr>
                <w:rFonts w:hint="eastAsia" w:cs="宋体"/>
                <w:color w:val="auto"/>
                <w:w w:val="90"/>
                <w:highlight w:val="none"/>
                <w:shd w:val="clear" w:color="auto" w:fill="auto"/>
              </w:rPr>
              <w:t>依据《工程勘察设计收费标准使用手册》最终设计费用以遂溪县财政部门审核通过的施工图预算价（不含暂列金额）作为基准价计算的设计费下浮30%乘以（</w:t>
            </w:r>
            <w:r>
              <w:rPr>
                <w:rFonts w:cs="宋体"/>
                <w:color w:val="auto"/>
                <w:w w:val="90"/>
                <w:highlight w:val="none"/>
                <w:shd w:val="clear" w:color="auto" w:fill="auto"/>
              </w:rPr>
              <w:t>1-</w:t>
            </w:r>
            <w:r>
              <w:rPr>
                <w:rFonts w:hint="eastAsia" w:cs="宋体"/>
                <w:color w:val="auto"/>
                <w:w w:val="90"/>
                <w:highlight w:val="none"/>
                <w:shd w:val="clear" w:color="auto" w:fill="auto"/>
              </w:rPr>
              <w:t>中标下浮率）为准。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40" w:lineRule="exact"/>
              <w:jc w:val="center"/>
              <w:rPr>
                <w:rFonts w:cs="宋体"/>
                <w:color w:val="auto"/>
                <w:w w:val="90"/>
                <w:highlight w:val="none"/>
                <w:shd w:val="clear" w:color="auto" w:fill="auto"/>
              </w:rPr>
            </w:pPr>
            <w:r>
              <w:rPr>
                <w:rFonts w:hint="eastAsia" w:cs="宋体"/>
                <w:color w:val="auto"/>
                <w:w w:val="90"/>
                <w:highlight w:val="none"/>
                <w:shd w:val="clear" w:color="auto" w:fill="auto"/>
              </w:rPr>
              <w:t>二</w:t>
            </w:r>
          </w:p>
        </w:tc>
        <w:tc>
          <w:tcPr>
            <w:tcW w:w="2083" w:type="dxa"/>
            <w:vAlign w:val="center"/>
          </w:tcPr>
          <w:p>
            <w:pPr>
              <w:spacing w:line="340" w:lineRule="exact"/>
              <w:jc w:val="both"/>
              <w:rPr>
                <w:rFonts w:cs="宋体"/>
                <w:color w:val="auto"/>
                <w:w w:val="90"/>
                <w:highlight w:val="none"/>
                <w:shd w:val="clear" w:color="auto" w:fill="auto"/>
              </w:rPr>
            </w:pPr>
            <w:r>
              <w:rPr>
                <w:rFonts w:hint="eastAsia" w:cs="宋体"/>
                <w:color w:val="auto"/>
                <w:w w:val="90"/>
                <w:highlight w:val="none"/>
                <w:shd w:val="clear" w:color="auto" w:fill="auto"/>
              </w:rPr>
              <w:t>勘察费</w:t>
            </w:r>
          </w:p>
        </w:tc>
        <w:tc>
          <w:tcPr>
            <w:tcW w:w="1907" w:type="dxa"/>
            <w:vAlign w:val="center"/>
          </w:tcPr>
          <w:p>
            <w:pPr>
              <w:spacing w:line="340" w:lineRule="exact"/>
              <w:jc w:val="center"/>
              <w:rPr>
                <w:rFonts w:cs="宋体"/>
                <w:color w:val="auto"/>
                <w:w w:val="90"/>
                <w:highlight w:val="none"/>
                <w:shd w:val="clear" w:color="auto" w:fill="auto"/>
              </w:rPr>
            </w:pPr>
            <w:r>
              <w:rPr>
                <w:rFonts w:hint="eastAsia" w:cs="宋体"/>
                <w:color w:val="auto"/>
                <w:highlight w:val="none"/>
                <w:shd w:val="clear" w:color="auto" w:fill="auto"/>
                <w:lang w:val="en-US" w:eastAsia="zh-CN"/>
              </w:rPr>
              <w:t>185.051</w:t>
            </w:r>
            <w:r>
              <w:rPr>
                <w:rFonts w:hint="eastAsia" w:cs="宋体"/>
                <w:color w:val="auto"/>
                <w:w w:val="90"/>
                <w:highlight w:val="none"/>
                <w:shd w:val="clear" w:color="auto" w:fill="auto"/>
              </w:rPr>
              <w:t>万元</w:t>
            </w:r>
          </w:p>
        </w:tc>
        <w:tc>
          <w:tcPr>
            <w:tcW w:w="4716" w:type="dxa"/>
          </w:tcPr>
          <w:p>
            <w:pPr>
              <w:spacing w:line="340" w:lineRule="exact"/>
              <w:rPr>
                <w:rFonts w:cs="宋体"/>
                <w:color w:val="auto"/>
                <w:w w:val="90"/>
                <w:highlight w:val="none"/>
                <w:shd w:val="clear" w:color="auto" w:fill="auto"/>
              </w:rPr>
            </w:pPr>
            <w:r>
              <w:rPr>
                <w:rFonts w:hint="eastAsia" w:cs="宋体"/>
                <w:color w:val="auto"/>
                <w:w w:val="90"/>
                <w:highlight w:val="none"/>
                <w:shd w:val="clear" w:color="auto" w:fill="auto"/>
              </w:rPr>
              <w:t>勘察费（含测量、物探）</w:t>
            </w:r>
            <w:r>
              <w:rPr>
                <w:rFonts w:cs="宋体"/>
                <w:color w:val="auto"/>
                <w:w w:val="90"/>
                <w:highlight w:val="none"/>
                <w:shd w:val="clear" w:color="auto" w:fill="auto"/>
              </w:rPr>
              <w:t>=</w:t>
            </w:r>
            <w:r>
              <w:rPr>
                <w:rFonts w:hint="eastAsia" w:cs="宋体"/>
                <w:color w:val="auto"/>
                <w:w w:val="90"/>
                <w:highlight w:val="none"/>
                <w:shd w:val="clear" w:color="auto" w:fill="auto"/>
              </w:rPr>
              <w:t>本工程的设计费×2</w:t>
            </w:r>
            <w:r>
              <w:rPr>
                <w:rFonts w:cs="宋体"/>
                <w:color w:val="auto"/>
                <w:w w:val="90"/>
                <w:highlight w:val="none"/>
                <w:shd w:val="clear" w:color="auto" w:fil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spacing w:line="340" w:lineRule="exact"/>
              <w:jc w:val="center"/>
              <w:rPr>
                <w:rFonts w:cs="宋体"/>
                <w:color w:val="auto"/>
                <w:w w:val="90"/>
                <w:highlight w:val="none"/>
                <w:shd w:val="clear" w:color="auto" w:fill="auto"/>
              </w:rPr>
            </w:pPr>
            <w:r>
              <w:rPr>
                <w:rFonts w:hint="eastAsia" w:cs="宋体"/>
                <w:color w:val="auto"/>
                <w:w w:val="90"/>
                <w:highlight w:val="none"/>
                <w:shd w:val="clear" w:color="auto" w:fill="auto"/>
              </w:rPr>
              <w:t>三</w:t>
            </w:r>
          </w:p>
        </w:tc>
        <w:tc>
          <w:tcPr>
            <w:tcW w:w="2083" w:type="dxa"/>
            <w:vAlign w:val="center"/>
          </w:tcPr>
          <w:p>
            <w:pPr>
              <w:spacing w:line="340" w:lineRule="exact"/>
              <w:jc w:val="both"/>
              <w:rPr>
                <w:rFonts w:cs="宋体"/>
                <w:bCs/>
                <w:color w:val="auto"/>
                <w:w w:val="90"/>
                <w:highlight w:val="none"/>
                <w:shd w:val="clear" w:color="auto" w:fill="auto"/>
              </w:rPr>
            </w:pPr>
            <w:r>
              <w:rPr>
                <w:rFonts w:hint="eastAsia" w:cs="宋体"/>
                <w:bCs/>
                <w:color w:val="auto"/>
                <w:w w:val="90"/>
                <w:highlight w:val="none"/>
                <w:shd w:val="clear" w:color="auto" w:fill="auto"/>
              </w:rPr>
              <w:t>勘察设计费用合计</w:t>
            </w:r>
          </w:p>
        </w:tc>
        <w:tc>
          <w:tcPr>
            <w:tcW w:w="1907" w:type="dxa"/>
            <w:vAlign w:val="center"/>
          </w:tcPr>
          <w:p>
            <w:pPr>
              <w:spacing w:line="340" w:lineRule="exact"/>
              <w:jc w:val="center"/>
              <w:rPr>
                <w:rFonts w:cs="宋体"/>
                <w:color w:val="auto"/>
                <w:w w:val="90"/>
                <w:highlight w:val="none"/>
                <w:shd w:val="clear" w:color="auto" w:fill="auto"/>
              </w:rPr>
            </w:pPr>
            <w:r>
              <w:rPr>
                <w:rFonts w:hint="eastAsia" w:ascii="宋体" w:hAnsi="宋体" w:eastAsia="宋体" w:cs="宋体"/>
                <w:color w:val="auto"/>
                <w:highlight w:val="none"/>
                <w:shd w:val="clear" w:color="auto" w:fill="auto"/>
                <w:lang w:val="en-US" w:eastAsia="zh-CN"/>
              </w:rPr>
              <w:t>1110.304</w:t>
            </w:r>
            <w:r>
              <w:rPr>
                <w:rFonts w:hint="eastAsia" w:cs="宋体"/>
                <w:color w:val="auto"/>
                <w:w w:val="90"/>
                <w:highlight w:val="none"/>
                <w:shd w:val="clear" w:color="auto" w:fill="auto"/>
              </w:rPr>
              <w:t>万元</w:t>
            </w:r>
          </w:p>
        </w:tc>
        <w:tc>
          <w:tcPr>
            <w:tcW w:w="4716" w:type="dxa"/>
          </w:tcPr>
          <w:p>
            <w:pPr>
              <w:spacing w:line="340" w:lineRule="exact"/>
              <w:rPr>
                <w:rFonts w:cs="宋体"/>
                <w:color w:val="auto"/>
                <w:w w:val="90"/>
                <w:highlight w:val="none"/>
                <w:shd w:val="clear" w:color="auto" w:fill="auto"/>
              </w:rPr>
            </w:pPr>
          </w:p>
        </w:tc>
      </w:tr>
    </w:tbl>
    <w:p>
      <w:pPr>
        <w:spacing w:line="340" w:lineRule="exact"/>
        <w:rPr>
          <w:rFonts w:cs="宋体"/>
          <w:color w:val="auto"/>
          <w:highlight w:val="none"/>
          <w:shd w:val="clear" w:color="auto" w:fill="auto"/>
        </w:rPr>
      </w:pPr>
    </w:p>
    <w:p>
      <w:pPr>
        <w:spacing w:line="520" w:lineRule="exact"/>
        <w:ind w:left="660" w:hanging="660" w:hangingChars="300"/>
        <w:rPr>
          <w:color w:val="auto"/>
          <w:highlight w:val="none"/>
          <w:shd w:val="clear" w:color="auto" w:fill="auto"/>
        </w:rPr>
      </w:pPr>
      <w:r>
        <w:rPr>
          <w:color w:val="auto"/>
          <w:highlight w:val="none"/>
          <w:shd w:val="clear" w:color="auto" w:fill="auto"/>
        </w:rPr>
        <w:t>1.7.2</w:t>
      </w:r>
      <w:r>
        <w:rPr>
          <w:rFonts w:hint="eastAsia"/>
          <w:color w:val="auto"/>
          <w:highlight w:val="none"/>
          <w:shd w:val="clear" w:color="auto" w:fill="auto"/>
        </w:rPr>
        <w:t xml:space="preserve"> </w:t>
      </w:r>
      <w:r>
        <w:rPr>
          <w:rFonts w:hint="eastAsia" w:cs="宋体"/>
          <w:color w:val="auto"/>
          <w:highlight w:val="none"/>
          <w:shd w:val="clear" w:color="auto" w:fill="auto"/>
        </w:rPr>
        <w:t>投标单位投标报价书所填的勘察设计费用下浮率在</w:t>
      </w:r>
      <w:r>
        <w:rPr>
          <w:rFonts w:cs="宋体"/>
          <w:color w:val="auto"/>
          <w:highlight w:val="none"/>
          <w:shd w:val="clear" w:color="auto" w:fill="auto"/>
        </w:rPr>
        <w:t>0.00</w:t>
      </w:r>
      <w:r>
        <w:rPr>
          <w:rFonts w:hint="eastAsia" w:cs="宋体"/>
          <w:color w:val="auto"/>
          <w:highlight w:val="none"/>
          <w:shd w:val="clear" w:color="auto" w:fill="auto"/>
        </w:rPr>
        <w:t>％～1</w:t>
      </w:r>
      <w:r>
        <w:rPr>
          <w:rFonts w:cs="宋体"/>
          <w:color w:val="auto"/>
          <w:highlight w:val="none"/>
          <w:shd w:val="clear" w:color="auto" w:fill="auto"/>
        </w:rPr>
        <w:t>0.00%</w:t>
      </w:r>
      <w:r>
        <w:rPr>
          <w:rFonts w:hint="eastAsia" w:cs="宋体"/>
          <w:color w:val="auto"/>
          <w:highlight w:val="none"/>
          <w:shd w:val="clear" w:color="auto" w:fill="auto"/>
        </w:rPr>
        <w:t>范围内为有效报价。（若超出此报价范围，则作废标处理。中标单位所投的下浮率为工程勘察设计总费用及签订合同依据。）</w:t>
      </w:r>
    </w:p>
    <w:p>
      <w:pPr>
        <w:spacing w:line="520" w:lineRule="exact"/>
        <w:ind w:left="660" w:hanging="660" w:hangingChars="300"/>
        <w:rPr>
          <w:rFonts w:cs="华文行楷"/>
          <w:color w:val="auto"/>
          <w:highlight w:val="none"/>
          <w:shd w:val="clear" w:color="auto" w:fill="auto"/>
        </w:rPr>
      </w:pPr>
      <w:r>
        <w:rPr>
          <w:color w:val="auto"/>
          <w:highlight w:val="none"/>
          <w:shd w:val="clear" w:color="auto" w:fill="auto"/>
        </w:rPr>
        <w:t>1.7.3</w:t>
      </w:r>
      <w:r>
        <w:rPr>
          <w:rFonts w:hint="eastAsia"/>
          <w:color w:val="auto"/>
          <w:highlight w:val="none"/>
          <w:shd w:val="clear" w:color="auto" w:fill="auto"/>
        </w:rPr>
        <w:t xml:space="preserve"> </w:t>
      </w:r>
      <w:r>
        <w:rPr>
          <w:rFonts w:hint="eastAsia" w:cs="宋体"/>
          <w:color w:val="auto"/>
          <w:highlight w:val="none"/>
          <w:shd w:val="clear" w:color="auto" w:fill="auto"/>
        </w:rPr>
        <w:t>本项目勘察设计总费用中包含了本项目招标内容中全部内容的费用：（</w:t>
      </w:r>
      <w:r>
        <w:rPr>
          <w:rFonts w:cs="宋体"/>
          <w:color w:val="auto"/>
          <w:highlight w:val="none"/>
          <w:shd w:val="clear" w:color="auto" w:fill="auto"/>
        </w:rPr>
        <w:t>1</w:t>
      </w:r>
      <w:r>
        <w:rPr>
          <w:rFonts w:hint="eastAsia" w:cs="宋体"/>
          <w:color w:val="auto"/>
          <w:highlight w:val="none"/>
          <w:shd w:val="clear" w:color="auto" w:fill="auto"/>
        </w:rPr>
        <w:t>）包含了方案评审、初步设计（含专项设计）及施工图设计（含专项设计）评审（含资料费、专家费、交通费、会议费、误餐费等费用）等相关评审费用；（</w:t>
      </w:r>
      <w:r>
        <w:rPr>
          <w:rFonts w:cs="宋体"/>
          <w:color w:val="auto"/>
          <w:highlight w:val="none"/>
          <w:shd w:val="clear" w:color="auto" w:fill="auto"/>
        </w:rPr>
        <w:t>2</w:t>
      </w:r>
      <w:r>
        <w:rPr>
          <w:rFonts w:hint="eastAsia" w:cs="宋体"/>
          <w:color w:val="auto"/>
          <w:highlight w:val="none"/>
          <w:shd w:val="clear" w:color="auto" w:fill="auto"/>
        </w:rPr>
        <w:t>）包含了为完成本设计项目所需进行的研究或评估等工作的所有费用；（</w:t>
      </w:r>
      <w:r>
        <w:rPr>
          <w:rFonts w:cs="宋体"/>
          <w:color w:val="auto"/>
          <w:highlight w:val="none"/>
          <w:shd w:val="clear" w:color="auto" w:fill="auto"/>
        </w:rPr>
        <w:t>3</w:t>
      </w:r>
      <w:r>
        <w:rPr>
          <w:rFonts w:hint="eastAsia" w:cs="宋体"/>
          <w:color w:val="auto"/>
          <w:highlight w:val="none"/>
          <w:shd w:val="clear" w:color="auto" w:fill="auto"/>
        </w:rPr>
        <w:t>）施工过程中派驻的设计驻场服务人员的相关费用等。</w:t>
      </w:r>
    </w:p>
    <w:p>
      <w:pPr>
        <w:spacing w:line="520" w:lineRule="exact"/>
        <w:ind w:left="660" w:hanging="660" w:hangingChars="300"/>
        <w:rPr>
          <w:rFonts w:cs="宋体"/>
          <w:color w:val="auto"/>
          <w:highlight w:val="none"/>
          <w:shd w:val="clear" w:color="auto" w:fill="auto"/>
        </w:rPr>
      </w:pPr>
      <w:r>
        <w:rPr>
          <w:color w:val="auto"/>
          <w:highlight w:val="none"/>
          <w:shd w:val="clear" w:color="auto" w:fill="auto"/>
        </w:rPr>
        <w:t>1.7.4</w:t>
      </w:r>
      <w:r>
        <w:rPr>
          <w:rFonts w:hint="eastAsia"/>
          <w:color w:val="auto"/>
          <w:highlight w:val="none"/>
          <w:shd w:val="clear" w:color="auto" w:fill="auto"/>
        </w:rPr>
        <w:t xml:space="preserve"> </w:t>
      </w:r>
      <w:r>
        <w:rPr>
          <w:rFonts w:hint="eastAsia" w:cs="宋体"/>
          <w:color w:val="auto"/>
          <w:highlight w:val="none"/>
          <w:shd w:val="clear" w:color="auto" w:fill="auto"/>
        </w:rPr>
        <w:t>工程设计工作必须一次性完成本项目的全部内容，在施工期间发生任何二次设计或深化设计工作不得另外收取费用，招标人不再另外支付任何费用（招标人的要求除外）。</w:t>
      </w:r>
    </w:p>
    <w:p>
      <w:pPr>
        <w:spacing w:line="520" w:lineRule="exact"/>
        <w:ind w:left="660" w:hanging="660" w:hangingChars="300"/>
        <w:rPr>
          <w:rFonts w:ascii="华文行楷" w:eastAsia="华文行楷"/>
          <w:color w:val="auto"/>
          <w:highlight w:val="none"/>
          <w:shd w:val="clear" w:color="auto" w:fill="auto"/>
        </w:rPr>
      </w:pPr>
      <w:r>
        <w:rPr>
          <w:color w:val="auto"/>
          <w:highlight w:val="none"/>
          <w:shd w:val="clear" w:color="auto" w:fill="auto"/>
        </w:rPr>
        <w:t>1.7.</w:t>
      </w:r>
      <w:r>
        <w:rPr>
          <w:rFonts w:hint="eastAsia"/>
          <w:color w:val="auto"/>
          <w:highlight w:val="none"/>
          <w:shd w:val="clear" w:color="auto" w:fill="auto"/>
        </w:rPr>
        <w:t xml:space="preserve">5 </w:t>
      </w:r>
      <w:r>
        <w:rPr>
          <w:rFonts w:hint="eastAsia"/>
          <w:bCs/>
          <w:color w:val="auto"/>
          <w:highlight w:val="none"/>
          <w:shd w:val="clear" w:color="auto" w:fill="auto"/>
        </w:rPr>
        <w:t>设计费的结算。设计费以遂溪县财政部门审定的工程预算造价为基数计算，按《工程勘察设计收费标准》（</w:t>
      </w:r>
      <w:r>
        <w:rPr>
          <w:bCs/>
          <w:color w:val="auto"/>
          <w:highlight w:val="none"/>
          <w:shd w:val="clear" w:color="auto" w:fill="auto"/>
        </w:rPr>
        <w:t xml:space="preserve">2002 </w:t>
      </w:r>
      <w:r>
        <w:rPr>
          <w:rFonts w:hint="eastAsia"/>
          <w:bCs/>
          <w:color w:val="auto"/>
          <w:highlight w:val="none"/>
          <w:shd w:val="clear" w:color="auto" w:fill="auto"/>
        </w:rPr>
        <w:t>年修订本）标准下浮30%计取，工程设计收费专业调整系数取</w:t>
      </w:r>
      <w:r>
        <w:rPr>
          <w:bCs/>
          <w:color w:val="auto"/>
          <w:highlight w:val="none"/>
          <w:shd w:val="clear" w:color="auto" w:fill="auto"/>
        </w:rPr>
        <w:t>1.0</w:t>
      </w:r>
      <w:r>
        <w:rPr>
          <w:rFonts w:hint="eastAsia"/>
          <w:bCs/>
          <w:color w:val="auto"/>
          <w:highlight w:val="none"/>
          <w:shd w:val="clear" w:color="auto" w:fill="auto"/>
        </w:rPr>
        <w:t>，工程复杂调整系数及附加调整系数不考虑计取，再乘以（</w:t>
      </w:r>
      <w:r>
        <w:rPr>
          <w:bCs/>
          <w:color w:val="auto"/>
          <w:highlight w:val="none"/>
          <w:shd w:val="clear" w:color="auto" w:fill="auto"/>
        </w:rPr>
        <w:t>1-</w:t>
      </w:r>
      <w:r>
        <w:rPr>
          <w:rFonts w:hint="eastAsia"/>
          <w:bCs/>
          <w:color w:val="auto"/>
          <w:highlight w:val="none"/>
          <w:shd w:val="clear" w:color="auto" w:fill="auto"/>
        </w:rPr>
        <w:t>中标下浮率）</w:t>
      </w:r>
      <w:r>
        <w:rPr>
          <w:rFonts w:hint="eastAsia" w:ascii="华文行楷" w:eastAsia="华文行楷"/>
          <w:color w:val="auto"/>
          <w:highlight w:val="none"/>
          <w:shd w:val="clear" w:color="auto" w:fill="auto"/>
        </w:rPr>
        <w:t>。</w:t>
      </w:r>
    </w:p>
    <w:p>
      <w:pPr>
        <w:spacing w:line="520" w:lineRule="exact"/>
        <w:ind w:left="660" w:hanging="660" w:hangingChars="300"/>
        <w:rPr>
          <w:rFonts w:ascii="华文行楷" w:eastAsia="华文行楷"/>
          <w:color w:val="auto"/>
          <w:highlight w:val="none"/>
          <w:shd w:val="clear" w:color="auto" w:fill="auto"/>
        </w:rPr>
      </w:pPr>
      <w:r>
        <w:rPr>
          <w:color w:val="auto"/>
          <w:highlight w:val="none"/>
          <w:shd w:val="clear" w:color="auto" w:fill="auto"/>
        </w:rPr>
        <w:t>1.7.</w:t>
      </w:r>
      <w:r>
        <w:rPr>
          <w:rFonts w:hint="eastAsia"/>
          <w:color w:val="auto"/>
          <w:highlight w:val="none"/>
          <w:shd w:val="clear" w:color="auto" w:fill="auto"/>
        </w:rPr>
        <w:t xml:space="preserve">6 </w:t>
      </w:r>
      <w:r>
        <w:rPr>
          <w:rFonts w:hint="eastAsia"/>
          <w:bCs/>
          <w:color w:val="auto"/>
          <w:highlight w:val="none"/>
          <w:shd w:val="clear" w:color="auto" w:fill="auto"/>
        </w:rPr>
        <w:t>勘察费的结算。勘察内容包括钻探、物探和工程测量。钻探、物探方案由中标人提出，经招标人书面认可后进行钻探、物探，钻探、物探结算计费，工程量以地质勘察报告和建设单位确认的实际发生量为准，按《工程勘察设计收费标准》（</w:t>
      </w:r>
      <w:r>
        <w:rPr>
          <w:bCs/>
          <w:color w:val="auto"/>
          <w:highlight w:val="none"/>
          <w:shd w:val="clear" w:color="auto" w:fill="auto"/>
        </w:rPr>
        <w:t xml:space="preserve">2002 </w:t>
      </w:r>
      <w:r>
        <w:rPr>
          <w:rFonts w:hint="eastAsia"/>
          <w:bCs/>
          <w:color w:val="auto"/>
          <w:highlight w:val="none"/>
          <w:shd w:val="clear" w:color="auto" w:fill="auto"/>
        </w:rPr>
        <w:t>年修订本）标准计取，再乘以（</w:t>
      </w:r>
      <w:r>
        <w:rPr>
          <w:bCs/>
          <w:color w:val="auto"/>
          <w:highlight w:val="none"/>
          <w:shd w:val="clear" w:color="auto" w:fill="auto"/>
        </w:rPr>
        <w:t>1-</w:t>
      </w:r>
      <w:r>
        <w:rPr>
          <w:rFonts w:hint="eastAsia"/>
          <w:bCs/>
          <w:color w:val="auto"/>
          <w:highlight w:val="none"/>
          <w:shd w:val="clear" w:color="auto" w:fill="auto"/>
        </w:rPr>
        <w:t>中标下浮率）。工程测量结算计费按《工程勘察设计收费标准》（</w:t>
      </w:r>
      <w:r>
        <w:rPr>
          <w:bCs/>
          <w:color w:val="auto"/>
          <w:highlight w:val="none"/>
          <w:shd w:val="clear" w:color="auto" w:fill="auto"/>
        </w:rPr>
        <w:t xml:space="preserve">2002 </w:t>
      </w:r>
      <w:r>
        <w:rPr>
          <w:rFonts w:hint="eastAsia"/>
          <w:bCs/>
          <w:color w:val="auto"/>
          <w:highlight w:val="none"/>
          <w:shd w:val="clear" w:color="auto" w:fill="auto"/>
        </w:rPr>
        <w:t>年修订本）标准计取，再乘以（</w:t>
      </w:r>
      <w:r>
        <w:rPr>
          <w:bCs/>
          <w:color w:val="auto"/>
          <w:highlight w:val="none"/>
          <w:shd w:val="clear" w:color="auto" w:fill="auto"/>
        </w:rPr>
        <w:t>1-</w:t>
      </w:r>
      <w:r>
        <w:rPr>
          <w:rFonts w:hint="eastAsia"/>
          <w:bCs/>
          <w:color w:val="auto"/>
          <w:highlight w:val="none"/>
          <w:shd w:val="clear" w:color="auto" w:fill="auto"/>
        </w:rPr>
        <w:t>中标下浮率）</w:t>
      </w:r>
      <w:r>
        <w:rPr>
          <w:rFonts w:hint="eastAsia" w:ascii="华文行楷" w:eastAsia="华文行楷"/>
          <w:color w:val="auto"/>
          <w:highlight w:val="none"/>
          <w:shd w:val="clear" w:color="auto" w:fill="auto"/>
        </w:rPr>
        <w:t>。</w:t>
      </w:r>
    </w:p>
    <w:p>
      <w:pPr>
        <w:spacing w:line="520" w:lineRule="exact"/>
        <w:ind w:left="660" w:hanging="660" w:hangingChars="300"/>
        <w:rPr>
          <w:rFonts w:ascii="华文行楷" w:eastAsia="华文行楷"/>
          <w:color w:val="auto"/>
          <w:highlight w:val="none"/>
          <w:shd w:val="clear" w:color="auto" w:fill="auto"/>
        </w:rPr>
      </w:pPr>
      <w:r>
        <w:rPr>
          <w:color w:val="auto"/>
          <w:highlight w:val="none"/>
          <w:shd w:val="clear" w:color="auto" w:fill="auto"/>
        </w:rPr>
        <w:t>1.7.</w:t>
      </w:r>
      <w:r>
        <w:rPr>
          <w:rFonts w:hint="eastAsia"/>
          <w:color w:val="auto"/>
          <w:highlight w:val="none"/>
          <w:shd w:val="clear" w:color="auto" w:fill="auto"/>
        </w:rPr>
        <w:t>7 勘察</w:t>
      </w:r>
      <w:r>
        <w:rPr>
          <w:rFonts w:hint="eastAsia"/>
          <w:bCs/>
          <w:color w:val="auto"/>
          <w:highlight w:val="none"/>
          <w:shd w:val="clear" w:color="auto" w:fill="auto"/>
        </w:rPr>
        <w:t>设计费用按国家计委、建设部发布的《工程勘察设计收费标准》（</w:t>
      </w:r>
      <w:r>
        <w:rPr>
          <w:bCs/>
          <w:color w:val="auto"/>
          <w:highlight w:val="none"/>
          <w:shd w:val="clear" w:color="auto" w:fill="auto"/>
        </w:rPr>
        <w:t xml:space="preserve">2002 </w:t>
      </w:r>
      <w:r>
        <w:rPr>
          <w:rFonts w:hint="eastAsia"/>
          <w:bCs/>
          <w:color w:val="auto"/>
          <w:highlight w:val="none"/>
          <w:shd w:val="clear" w:color="auto" w:fill="auto"/>
        </w:rPr>
        <w:t>年修订本）及有关文件规定进行结算。本项目的勘察设计费用暂定金额1110.304万元为最高限价，如结算价高于最高限价，以最高限价结算，如结算价低于最高限价，以结算价结算</w:t>
      </w:r>
      <w:r>
        <w:rPr>
          <w:rFonts w:hint="eastAsia" w:ascii="华文行楷" w:eastAsia="华文行楷"/>
          <w:color w:val="auto"/>
          <w:highlight w:val="none"/>
          <w:shd w:val="clear" w:color="auto" w:fill="auto"/>
        </w:rPr>
        <w:t>。</w:t>
      </w:r>
    </w:p>
    <w:p>
      <w:pPr>
        <w:spacing w:line="520" w:lineRule="exact"/>
        <w:ind w:left="660" w:hanging="660" w:hangingChars="300"/>
        <w:rPr>
          <w:rFonts w:ascii="华文行楷"/>
          <w:color w:val="auto"/>
          <w:highlight w:val="none"/>
          <w:shd w:val="clear" w:color="auto" w:fill="auto"/>
        </w:rPr>
      </w:pPr>
      <w:r>
        <w:rPr>
          <w:color w:val="auto"/>
          <w:highlight w:val="none"/>
          <w:shd w:val="clear" w:color="auto" w:fill="auto"/>
        </w:rPr>
        <w:t>1.7.</w:t>
      </w:r>
      <w:r>
        <w:rPr>
          <w:rFonts w:hint="eastAsia"/>
          <w:color w:val="auto"/>
          <w:highlight w:val="none"/>
          <w:shd w:val="clear" w:color="auto" w:fill="auto"/>
        </w:rPr>
        <w:t xml:space="preserve">8 </w:t>
      </w:r>
      <w:r>
        <w:rPr>
          <w:rFonts w:hint="eastAsia"/>
          <w:bCs/>
          <w:color w:val="auto"/>
          <w:highlight w:val="none"/>
          <w:shd w:val="clear" w:color="auto" w:fill="auto"/>
        </w:rPr>
        <w:t>本勘察设计费中包含了本项目招标内容中全部内容的勘察设计费用。</w:t>
      </w:r>
    </w:p>
    <w:p>
      <w:pPr>
        <w:spacing w:line="520" w:lineRule="exact"/>
        <w:ind w:left="660" w:hanging="660" w:hangingChars="300"/>
        <w:rPr>
          <w:rFonts w:cs="宋体"/>
          <w:color w:val="auto"/>
          <w:sz w:val="24"/>
          <w:szCs w:val="24"/>
          <w:highlight w:val="none"/>
          <w:shd w:val="clear" w:color="auto" w:fill="auto"/>
        </w:rPr>
      </w:pPr>
      <w:r>
        <w:rPr>
          <w:rFonts w:hint="eastAsia"/>
          <w:bCs/>
          <w:color w:val="auto"/>
          <w:highlight w:val="none"/>
          <w:shd w:val="clear" w:color="auto" w:fill="auto"/>
        </w:rPr>
        <w:t>1.7.9</w:t>
      </w:r>
      <w:r>
        <w:rPr>
          <w:rFonts w:hint="eastAsia" w:cs="宋体"/>
          <w:color w:val="auto"/>
          <w:sz w:val="24"/>
          <w:szCs w:val="24"/>
          <w:highlight w:val="none"/>
          <w:shd w:val="clear" w:color="auto" w:fill="auto"/>
        </w:rPr>
        <w:t xml:space="preserve"> </w:t>
      </w:r>
      <w:r>
        <w:rPr>
          <w:rFonts w:hint="eastAsia"/>
          <w:bCs/>
          <w:color w:val="auto"/>
          <w:highlight w:val="none"/>
          <w:shd w:val="clear" w:color="auto" w:fill="auto"/>
        </w:rPr>
        <w:t>本工程不设未中标单位经济补偿，投标费用由投标人自理。</w:t>
      </w:r>
      <w:r>
        <w:rPr>
          <w:rFonts w:hint="eastAsia" w:cs="宋体"/>
          <w:color w:val="auto"/>
          <w:sz w:val="24"/>
          <w:szCs w:val="24"/>
          <w:highlight w:val="none"/>
          <w:shd w:val="clear" w:color="auto" w:fill="auto"/>
        </w:rPr>
        <w:t xml:space="preserve"> </w:t>
      </w:r>
    </w:p>
    <w:p>
      <w:pPr>
        <w:pStyle w:val="4"/>
        <w:autoSpaceDE w:val="0"/>
        <w:autoSpaceDN w:val="0"/>
        <w:snapToGrid w:val="0"/>
        <w:spacing w:before="196" w:after="160" w:line="360" w:lineRule="auto"/>
        <w:ind w:left="212"/>
        <w:jc w:val="both"/>
        <w:rPr>
          <w:color w:val="auto"/>
          <w:highlight w:val="none"/>
          <w:shd w:val="clear" w:color="auto" w:fill="auto"/>
        </w:rPr>
      </w:pPr>
      <w:r>
        <w:rPr>
          <w:rFonts w:hint="eastAsia"/>
          <w:color w:val="auto"/>
          <w:highlight w:val="none"/>
          <w:shd w:val="clear" w:color="auto" w:fill="auto"/>
        </w:rPr>
        <w:t>1.8 工期：</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1.8.1 勘察工期：</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中标人应在合同签订后</w:t>
      </w:r>
      <w:r>
        <w:rPr>
          <w:rFonts w:hint="eastAsia"/>
          <w:color w:val="auto"/>
          <w:sz w:val="24"/>
          <w:highlight w:val="none"/>
          <w:u w:val="single"/>
          <w:shd w:val="clear" w:color="auto" w:fill="auto"/>
        </w:rPr>
        <w:t>15</w:t>
      </w:r>
      <w:r>
        <w:rPr>
          <w:rFonts w:hint="eastAsia"/>
          <w:color w:val="auto"/>
          <w:sz w:val="24"/>
          <w:highlight w:val="none"/>
          <w:shd w:val="clear" w:color="auto" w:fill="auto"/>
        </w:rPr>
        <w:t>个日历天内完成勘察报告</w:t>
      </w:r>
      <w:r>
        <w:rPr>
          <w:color w:val="auto"/>
          <w:sz w:val="24"/>
          <w:highlight w:val="none"/>
          <w:shd w:val="clear" w:color="auto" w:fill="auto"/>
        </w:rPr>
        <w:t>(含地质钻探、物探工作、1:500地形图测量工作，并提交成果)</w:t>
      </w:r>
      <w:r>
        <w:rPr>
          <w:rFonts w:hint="eastAsia"/>
          <w:color w:val="auto"/>
          <w:sz w:val="24"/>
          <w:highlight w:val="none"/>
          <w:shd w:val="clear" w:color="auto" w:fill="auto"/>
        </w:rPr>
        <w:t>。</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1.8.2 设计工期：</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中标人应在合同签订后</w:t>
      </w:r>
      <w:r>
        <w:rPr>
          <w:rFonts w:hint="eastAsia"/>
          <w:color w:val="auto"/>
          <w:sz w:val="24"/>
          <w:highlight w:val="none"/>
          <w:u w:val="single"/>
          <w:shd w:val="clear" w:color="auto" w:fill="auto"/>
        </w:rPr>
        <w:t>30</w:t>
      </w:r>
      <w:r>
        <w:rPr>
          <w:rFonts w:hint="eastAsia"/>
          <w:color w:val="auto"/>
          <w:sz w:val="24"/>
          <w:highlight w:val="none"/>
          <w:shd w:val="clear" w:color="auto" w:fill="auto"/>
        </w:rPr>
        <w:t>个日历天内完成初步设计及概算编制。初步设计及概算批复后</w:t>
      </w:r>
      <w:r>
        <w:rPr>
          <w:rFonts w:hint="eastAsia"/>
          <w:color w:val="auto"/>
          <w:sz w:val="24"/>
          <w:highlight w:val="none"/>
          <w:u w:val="single"/>
          <w:shd w:val="clear" w:color="auto" w:fill="auto"/>
        </w:rPr>
        <w:t xml:space="preserve"> 45 </w:t>
      </w:r>
      <w:r>
        <w:rPr>
          <w:rFonts w:hint="eastAsia"/>
          <w:color w:val="auto"/>
          <w:sz w:val="24"/>
          <w:highlight w:val="none"/>
          <w:shd w:val="clear" w:color="auto" w:fill="auto"/>
        </w:rPr>
        <w:t>个日历天内完成施工图设计。</w:t>
      </w:r>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1.8.3 误期损害赔偿累计达到最高限额时，招标人有权在追索误期损害赔偿金的基础上解除合同，没收履约保证金，另行组织招标，中标人应为解除合同负全责。</w:t>
      </w:r>
    </w:p>
    <w:p>
      <w:pPr>
        <w:pStyle w:val="4"/>
        <w:autoSpaceDE w:val="0"/>
        <w:autoSpaceDN w:val="0"/>
        <w:spacing w:before="196" w:after="160" w:line="360" w:lineRule="auto"/>
        <w:ind w:left="0"/>
        <w:jc w:val="both"/>
        <w:rPr>
          <w:color w:val="auto"/>
          <w:highlight w:val="none"/>
          <w:shd w:val="clear" w:color="auto" w:fill="auto"/>
        </w:rPr>
      </w:pPr>
      <w:bookmarkStart w:id="6" w:name="_Toc23354_WPSOffice_Level3"/>
      <w:r>
        <w:rPr>
          <w:rFonts w:hint="eastAsia"/>
          <w:color w:val="auto"/>
          <w:highlight w:val="none"/>
          <w:shd w:val="clear" w:color="auto" w:fill="auto"/>
        </w:rPr>
        <w:t>1.9  其他事项</w:t>
      </w:r>
      <w:bookmarkEnd w:id="6"/>
    </w:p>
    <w:p>
      <w:pPr>
        <w:spacing w:line="480" w:lineRule="exact"/>
        <w:ind w:firstLine="460" w:firstLineChars="200"/>
        <w:rPr>
          <w:rFonts w:cs="宋体"/>
          <w:color w:val="auto"/>
          <w:spacing w:val="-5"/>
          <w:sz w:val="24"/>
          <w:szCs w:val="24"/>
          <w:highlight w:val="none"/>
          <w:shd w:val="clear" w:color="auto" w:fill="auto"/>
        </w:rPr>
      </w:pPr>
      <w:bookmarkStart w:id="7" w:name="_Toc21760_WPSOffice_Level3"/>
      <w:r>
        <w:rPr>
          <w:rFonts w:hint="eastAsia" w:cs="宋体"/>
          <w:color w:val="auto"/>
          <w:spacing w:val="-5"/>
          <w:sz w:val="24"/>
          <w:szCs w:val="24"/>
          <w:highlight w:val="none"/>
          <w:shd w:val="clear" w:color="auto" w:fill="auto"/>
        </w:rPr>
        <w:t>1.9.1 投标时是否需要提交设计模型：否。</w:t>
      </w:r>
    </w:p>
    <w:p>
      <w:pPr>
        <w:spacing w:line="480" w:lineRule="exact"/>
        <w:ind w:firstLine="462" w:firstLineChars="200"/>
        <w:rPr>
          <w:rFonts w:cs="宋体"/>
          <w:b/>
          <w:bCs/>
          <w:color w:val="auto"/>
          <w:spacing w:val="-5"/>
          <w:sz w:val="24"/>
          <w:szCs w:val="24"/>
          <w:highlight w:val="none"/>
          <w:shd w:val="clear" w:color="auto" w:fill="auto"/>
        </w:rPr>
      </w:pPr>
      <w:r>
        <w:rPr>
          <w:rFonts w:hint="eastAsia" w:cs="宋体"/>
          <w:b/>
          <w:bCs/>
          <w:color w:val="auto"/>
          <w:spacing w:val="-5"/>
          <w:sz w:val="24"/>
          <w:szCs w:val="24"/>
          <w:highlight w:val="none"/>
          <w:shd w:val="clear" w:color="auto" w:fill="auto"/>
        </w:rPr>
        <w:t>1.9.2 本次招标代理服务费</w:t>
      </w:r>
      <w:r>
        <w:rPr>
          <w:rFonts w:hint="eastAsia" w:cs="宋体"/>
          <w:b/>
          <w:bCs/>
          <w:color w:val="auto"/>
          <w:spacing w:val="-5"/>
          <w:sz w:val="24"/>
          <w:szCs w:val="24"/>
          <w:highlight w:val="none"/>
          <w:shd w:val="clear" w:color="auto" w:fill="auto"/>
          <w:lang w:val="en-US" w:eastAsia="zh-CN"/>
        </w:rPr>
        <w:t>根据发改价格[2011]534号标准收取，</w:t>
      </w:r>
      <w:r>
        <w:rPr>
          <w:rFonts w:hint="eastAsia" w:cs="宋体"/>
          <w:b/>
          <w:bCs/>
          <w:color w:val="auto"/>
          <w:spacing w:val="-5"/>
          <w:sz w:val="24"/>
          <w:szCs w:val="24"/>
          <w:highlight w:val="none"/>
          <w:shd w:val="clear" w:color="auto" w:fill="auto"/>
        </w:rPr>
        <w:t>由中标单位在领取中标通知书时向招标代理机构一次性交纳。</w:t>
      </w:r>
    </w:p>
    <w:p>
      <w:pPr>
        <w:pStyle w:val="15"/>
        <w:autoSpaceDE w:val="0"/>
        <w:autoSpaceDN w:val="0"/>
        <w:spacing w:before="1" w:after="160" w:line="480" w:lineRule="exact"/>
        <w:ind w:left="0" w:firstLine="462" w:firstLineChars="200"/>
        <w:rPr>
          <w:rFonts w:cs="宋体"/>
          <w:b/>
          <w:bCs/>
          <w:color w:val="auto"/>
          <w:spacing w:val="-5"/>
          <w:sz w:val="24"/>
          <w:szCs w:val="24"/>
          <w:highlight w:val="none"/>
          <w:shd w:val="clear" w:color="auto" w:fill="auto"/>
        </w:rPr>
      </w:pPr>
      <w:r>
        <w:rPr>
          <w:rFonts w:hint="eastAsia" w:cs="宋体"/>
          <w:b/>
          <w:bCs/>
          <w:color w:val="auto"/>
          <w:spacing w:val="-5"/>
          <w:sz w:val="24"/>
          <w:szCs w:val="24"/>
          <w:highlight w:val="none"/>
          <w:shd w:val="clear" w:color="auto" w:fill="auto"/>
        </w:rPr>
        <w:t>1.9.3 本项目交易服务费由中标单位按广州公共资源交易中心的要求支付。</w:t>
      </w:r>
    </w:p>
    <w:p>
      <w:pPr>
        <w:pStyle w:val="4"/>
        <w:autoSpaceDE w:val="0"/>
        <w:autoSpaceDN w:val="0"/>
        <w:spacing w:before="196" w:after="160" w:line="360" w:lineRule="auto"/>
        <w:ind w:left="0"/>
        <w:jc w:val="both"/>
        <w:rPr>
          <w:color w:val="auto"/>
          <w:highlight w:val="none"/>
          <w:shd w:val="clear" w:color="auto" w:fill="auto"/>
        </w:rPr>
      </w:pPr>
      <w:r>
        <w:rPr>
          <w:rFonts w:hint="eastAsia"/>
          <w:color w:val="auto"/>
          <w:highlight w:val="none"/>
          <w:shd w:val="clear" w:color="auto" w:fill="auto"/>
        </w:rPr>
        <w:t>1.10 公告媒体</w:t>
      </w:r>
      <w:bookmarkEnd w:id="7"/>
    </w:p>
    <w:p>
      <w:pPr>
        <w:pStyle w:val="15"/>
        <w:tabs>
          <w:tab w:val="left" w:pos="1053"/>
          <w:tab w:val="left" w:pos="1054"/>
        </w:tabs>
        <w:autoSpaceDE w:val="0"/>
        <w:autoSpaceDN w:val="0"/>
        <w:spacing w:before="8" w:after="160" w:line="360" w:lineRule="auto"/>
        <w:ind w:left="0" w:right="-40" w:rightChars="-18"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本次招标公告同时在广东省招标投标监管网、广州公共资源交易中心网上发布。如需对本公告进行修改、补充，将在广东省招标投标监管网、广州公共资源交易中心网发布，本公告在各媒体发布的文本如有不同之处，以在广东省招标投标监管网发布的文本为准。</w:t>
      </w:r>
    </w:p>
    <w:p>
      <w:pPr>
        <w:spacing w:line="360" w:lineRule="auto"/>
        <w:outlineLvl w:val="1"/>
        <w:rPr>
          <w:rFonts w:cs="宋体"/>
          <w:bCs/>
          <w:color w:val="auto"/>
          <w:sz w:val="24"/>
          <w:highlight w:val="none"/>
          <w:shd w:val="clear" w:color="auto" w:fill="auto"/>
        </w:rPr>
      </w:pPr>
      <w:bookmarkStart w:id="8" w:name="_Toc65065729"/>
      <w:bookmarkStart w:id="9" w:name="_Toc12909"/>
      <w:bookmarkStart w:id="10" w:name="_Toc353"/>
      <w:bookmarkStart w:id="11" w:name="_Toc8502"/>
      <w:r>
        <w:rPr>
          <w:rFonts w:cs="宋体"/>
          <w:b/>
          <w:bCs/>
          <w:color w:val="auto"/>
          <w:sz w:val="24"/>
          <w:highlight w:val="none"/>
          <w:shd w:val="clear" w:color="auto" w:fill="auto"/>
        </w:rPr>
        <w:t>1.1</w:t>
      </w:r>
      <w:r>
        <w:rPr>
          <w:rFonts w:hint="eastAsia" w:cs="宋体"/>
          <w:b/>
          <w:bCs/>
          <w:color w:val="auto"/>
          <w:sz w:val="24"/>
          <w:highlight w:val="none"/>
          <w:shd w:val="clear" w:color="auto" w:fill="auto"/>
        </w:rPr>
        <w:t>1 异议与投诉</w:t>
      </w:r>
      <w:bookmarkEnd w:id="8"/>
      <w:bookmarkEnd w:id="9"/>
      <w:bookmarkEnd w:id="10"/>
      <w:bookmarkEnd w:id="11"/>
    </w:p>
    <w:p>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1.11.1  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w:t>
      </w:r>
      <w:r>
        <w:rPr>
          <w:rFonts w:hint="eastAsia"/>
          <w:color w:val="auto"/>
          <w:sz w:val="24"/>
          <w:highlight w:val="none"/>
          <w:u w:val="single"/>
          <w:shd w:val="clear" w:color="auto" w:fill="auto"/>
        </w:rPr>
        <w:t xml:space="preserve">  遂溪县住房和城乡建设局 </w:t>
      </w:r>
      <w:r>
        <w:rPr>
          <w:rFonts w:hint="eastAsia"/>
          <w:color w:val="auto"/>
          <w:sz w:val="24"/>
          <w:highlight w:val="none"/>
          <w:shd w:val="clear" w:color="auto" w:fill="auto"/>
        </w:rPr>
        <w:t>实名投诉，电话：</w:t>
      </w:r>
      <w:r>
        <w:rPr>
          <w:rFonts w:hint="eastAsia"/>
          <w:color w:val="auto"/>
          <w:sz w:val="24"/>
          <w:highlight w:val="none"/>
          <w:u w:val="single"/>
          <w:shd w:val="clear" w:color="auto" w:fill="auto"/>
        </w:rPr>
        <w:t>0759-7751618</w:t>
      </w:r>
      <w:r>
        <w:rPr>
          <w:rFonts w:hint="eastAsia"/>
          <w:color w:val="auto"/>
          <w:sz w:val="24"/>
          <w:highlight w:val="none"/>
          <w:shd w:val="clear" w:color="auto" w:fill="auto"/>
        </w:rPr>
        <w:t>。（具体要求依照《工程建设项目招标投标活动投诉处理办法》）</w:t>
      </w:r>
    </w:p>
    <w:p>
      <w:pPr>
        <w:pStyle w:val="11"/>
        <w:shd w:val="clear" w:color="auto" w:fill="FFFFFF"/>
        <w:spacing w:line="360" w:lineRule="auto"/>
        <w:ind w:firstLine="480" w:firstLineChars="200"/>
        <w:jc w:val="both"/>
        <w:rPr>
          <w:color w:val="auto"/>
          <w:spacing w:val="-5"/>
          <w:highlight w:val="none"/>
          <w:shd w:val="clear" w:color="auto" w:fill="auto"/>
          <w:lang w:val="zh-CN"/>
        </w:rPr>
      </w:pPr>
      <w:r>
        <w:rPr>
          <w:rFonts w:hint="eastAsia"/>
          <w:color w:val="auto"/>
          <w:kern w:val="2"/>
          <w:highlight w:val="none"/>
          <w:shd w:val="clear" w:color="auto" w:fill="auto"/>
        </w:rPr>
        <w:t>1.11.2  潜在投标人或其他利害关系人应当充分重视异议、投诉提出的时限，避免异议权、投诉权因时效原因而灭失。</w:t>
      </w:r>
    </w:p>
    <w:p>
      <w:pPr>
        <w:pStyle w:val="4"/>
        <w:autoSpaceDE w:val="0"/>
        <w:autoSpaceDN w:val="0"/>
        <w:spacing w:before="196" w:after="160" w:line="360" w:lineRule="auto"/>
        <w:ind w:left="212"/>
        <w:jc w:val="both"/>
        <w:rPr>
          <w:color w:val="auto"/>
          <w:highlight w:val="none"/>
          <w:shd w:val="clear" w:color="auto" w:fill="auto"/>
        </w:rPr>
      </w:pPr>
      <w:bookmarkStart w:id="12" w:name="_Toc17833_WPSOffice_Level3"/>
      <w:r>
        <w:rPr>
          <w:rFonts w:hint="eastAsia"/>
          <w:color w:val="auto"/>
          <w:highlight w:val="none"/>
          <w:shd w:val="clear" w:color="auto" w:fill="auto"/>
        </w:rPr>
        <w:t>1.12 招标人</w:t>
      </w:r>
      <w:bookmarkEnd w:id="12"/>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 xml:space="preserve">1.12.1 名称：遂溪县黄略镇人民政府      </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1.12.2 联系人：谢石强</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 xml:space="preserve">1.12.3 联系方式：0759-7786119  </w:t>
      </w:r>
    </w:p>
    <w:p>
      <w:pPr>
        <w:pStyle w:val="4"/>
        <w:autoSpaceDE w:val="0"/>
        <w:autoSpaceDN w:val="0"/>
        <w:spacing w:before="196" w:after="160" w:line="360" w:lineRule="auto"/>
        <w:ind w:left="212"/>
        <w:jc w:val="both"/>
        <w:rPr>
          <w:color w:val="auto"/>
          <w:highlight w:val="none"/>
          <w:shd w:val="clear" w:color="auto" w:fill="auto"/>
        </w:rPr>
      </w:pPr>
      <w:bookmarkStart w:id="13" w:name="_Toc7471_WPSOffice_Level3"/>
      <w:r>
        <w:rPr>
          <w:rFonts w:hint="eastAsia"/>
          <w:color w:val="auto"/>
          <w:highlight w:val="none"/>
          <w:shd w:val="clear" w:color="auto" w:fill="auto"/>
        </w:rPr>
        <w:t>1.13  招标代理机构</w:t>
      </w:r>
      <w:bookmarkEnd w:id="13"/>
    </w:p>
    <w:p>
      <w:pPr>
        <w:pStyle w:val="15"/>
        <w:autoSpaceDE w:val="0"/>
        <w:autoSpaceDN w:val="0"/>
        <w:spacing w:before="1" w:after="160" w:line="360" w:lineRule="auto"/>
        <w:ind w:left="0" w:firstLineChars="200"/>
        <w:rPr>
          <w:color w:val="auto"/>
          <w:sz w:val="24"/>
          <w:szCs w:val="24"/>
          <w:highlight w:val="none"/>
          <w:shd w:val="clear" w:color="auto" w:fill="auto"/>
        </w:rPr>
      </w:pPr>
      <w:r>
        <w:rPr>
          <w:rFonts w:hint="eastAsia"/>
          <w:color w:val="auto"/>
          <w:sz w:val="24"/>
          <w:szCs w:val="24"/>
          <w:highlight w:val="none"/>
          <w:shd w:val="clear" w:color="auto" w:fill="auto"/>
        </w:rPr>
        <w:t>1.13.1 名称：广东万诚工程造价咨询有限公司</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1.13.2 地址：湛江市赤坎区体育北路商务大厦9层</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1.13.3 联系人：钟杭哲</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1.13.4 联系方式：0759-2292113</w:t>
      </w:r>
    </w:p>
    <w:p>
      <w:pPr>
        <w:pStyle w:val="15"/>
        <w:autoSpaceDE w:val="0"/>
        <w:autoSpaceDN w:val="0"/>
        <w:spacing w:before="1" w:after="160" w:line="360" w:lineRule="auto"/>
        <w:ind w:left="0" w:firstLine="460" w:firstLineChars="200"/>
        <w:rPr>
          <w:color w:val="auto"/>
          <w:spacing w:val="-5"/>
          <w:sz w:val="24"/>
          <w:szCs w:val="24"/>
          <w:highlight w:val="none"/>
          <w:shd w:val="clear" w:color="auto" w:fill="auto"/>
        </w:rPr>
      </w:pPr>
      <w:r>
        <w:rPr>
          <w:rFonts w:hint="eastAsia"/>
          <w:color w:val="auto"/>
          <w:spacing w:val="-5"/>
          <w:sz w:val="24"/>
          <w:szCs w:val="24"/>
          <w:highlight w:val="none"/>
          <w:shd w:val="clear" w:color="auto" w:fill="auto"/>
        </w:rPr>
        <w:t>1.13.5 传真号码：0759-2285878</w:t>
      </w:r>
    </w:p>
    <w:p>
      <w:pPr>
        <w:pStyle w:val="15"/>
        <w:autoSpaceDE w:val="0"/>
        <w:autoSpaceDN w:val="0"/>
        <w:spacing w:before="1" w:after="160" w:line="360" w:lineRule="auto"/>
        <w:ind w:left="0" w:firstLine="460" w:firstLineChars="200"/>
        <w:rPr>
          <w:rStyle w:val="14"/>
          <w:color w:val="auto"/>
          <w:sz w:val="24"/>
          <w:szCs w:val="24"/>
          <w:highlight w:val="none"/>
          <w:u w:val="none"/>
          <w:shd w:val="clear" w:color="auto" w:fill="auto"/>
        </w:rPr>
      </w:pPr>
      <w:r>
        <w:rPr>
          <w:rFonts w:hint="eastAsia"/>
          <w:color w:val="auto"/>
          <w:spacing w:val="-5"/>
          <w:sz w:val="24"/>
          <w:szCs w:val="24"/>
          <w:highlight w:val="none"/>
          <w:shd w:val="clear" w:color="auto" w:fill="auto"/>
        </w:rPr>
        <w:t>1.13.6 电子邮箱</w:t>
      </w:r>
      <w:r>
        <w:rPr>
          <w:rFonts w:hint="eastAsia"/>
          <w:color w:val="auto"/>
          <w:sz w:val="24"/>
          <w:szCs w:val="24"/>
          <w:highlight w:val="none"/>
          <w:shd w:val="clear" w:color="auto" w:fill="auto"/>
        </w:rPr>
        <w:t>：</w:t>
      </w:r>
      <w:r>
        <w:rPr>
          <w:color w:val="auto"/>
          <w:highlight w:val="none"/>
          <w:shd w:val="clear" w:color="auto" w:fill="auto"/>
        </w:rPr>
        <w:fldChar w:fldCharType="begin"/>
      </w:r>
      <w:r>
        <w:rPr>
          <w:color w:val="auto"/>
          <w:highlight w:val="none"/>
          <w:shd w:val="clear" w:color="auto" w:fill="auto"/>
        </w:rPr>
        <w:instrText xml:space="preserve"> HYPERLINK "mailto:zjvczhaobiao@163.com" \h </w:instrText>
      </w:r>
      <w:r>
        <w:rPr>
          <w:color w:val="auto"/>
          <w:highlight w:val="none"/>
          <w:shd w:val="clear" w:color="auto" w:fill="auto"/>
        </w:rPr>
        <w:fldChar w:fldCharType="separate"/>
      </w:r>
      <w:r>
        <w:rPr>
          <w:rStyle w:val="14"/>
          <w:color w:val="auto"/>
          <w:sz w:val="24"/>
          <w:szCs w:val="24"/>
          <w:highlight w:val="none"/>
          <w:u w:val="none"/>
          <w:shd w:val="clear" w:color="auto" w:fill="auto"/>
        </w:rPr>
        <w:t>zjvczhaobiao@163.com</w:t>
      </w:r>
      <w:r>
        <w:rPr>
          <w:rStyle w:val="14"/>
          <w:color w:val="auto"/>
          <w:sz w:val="24"/>
          <w:szCs w:val="24"/>
          <w:highlight w:val="none"/>
          <w:u w:val="none"/>
          <w:shd w:val="clear" w:color="auto" w:fill="auto"/>
        </w:rPr>
        <w:fldChar w:fldCharType="end"/>
      </w:r>
    </w:p>
    <w:p>
      <w:pPr>
        <w:spacing w:after="160" w:line="360" w:lineRule="auto"/>
        <w:ind w:firstLine="5520" w:firstLineChars="2300"/>
        <w:rPr>
          <w:rStyle w:val="14"/>
          <w:color w:val="auto"/>
          <w:sz w:val="24"/>
          <w:szCs w:val="24"/>
          <w:highlight w:val="none"/>
          <w:u w:val="none"/>
          <w:shd w:val="clear" w:color="auto" w:fill="auto"/>
        </w:rPr>
        <w:sectPr>
          <w:headerReference r:id="rId3" w:type="default"/>
          <w:footerReference r:id="rId4" w:type="default"/>
          <w:pgSz w:w="11910" w:h="16840"/>
          <w:pgMar w:top="1100" w:right="1190" w:bottom="1080" w:left="1260" w:header="918" w:footer="895" w:gutter="0"/>
          <w:pgNumType w:start="1"/>
          <w:cols w:space="720" w:num="1"/>
          <w:docGrid w:linePitch="360" w:charSpace="6144"/>
        </w:sectPr>
      </w:pPr>
      <w:r>
        <w:rPr>
          <w:rStyle w:val="14"/>
          <w:rFonts w:hint="eastAsia"/>
          <w:color w:val="auto"/>
          <w:sz w:val="24"/>
          <w:szCs w:val="24"/>
          <w:highlight w:val="none"/>
          <w:u w:val="none"/>
          <w:shd w:val="clear" w:color="auto" w:fill="auto"/>
        </w:rPr>
        <w:t xml:space="preserve">日  期：2022年 </w:t>
      </w:r>
      <w:r>
        <w:rPr>
          <w:rStyle w:val="14"/>
          <w:rFonts w:hint="eastAsia"/>
          <w:color w:val="auto"/>
          <w:sz w:val="24"/>
          <w:szCs w:val="24"/>
          <w:highlight w:val="none"/>
          <w:u w:val="none"/>
          <w:shd w:val="clear" w:color="auto" w:fill="auto"/>
          <w:lang w:val="en-US" w:eastAsia="zh-CN"/>
        </w:rPr>
        <w:t>11</w:t>
      </w:r>
      <w:r>
        <w:rPr>
          <w:rStyle w:val="14"/>
          <w:rFonts w:hint="eastAsia"/>
          <w:color w:val="auto"/>
          <w:sz w:val="24"/>
          <w:szCs w:val="24"/>
          <w:highlight w:val="none"/>
          <w:u w:val="none"/>
          <w:shd w:val="clear" w:color="auto" w:fill="auto"/>
        </w:rPr>
        <w:t xml:space="preserve"> 月 </w:t>
      </w:r>
      <w:r>
        <w:rPr>
          <w:rStyle w:val="14"/>
          <w:rFonts w:hint="eastAsia"/>
          <w:color w:val="auto"/>
          <w:sz w:val="24"/>
          <w:szCs w:val="24"/>
          <w:highlight w:val="none"/>
          <w:u w:val="none"/>
          <w:shd w:val="clear" w:color="auto" w:fill="auto"/>
          <w:lang w:val="en-US" w:eastAsia="zh-CN"/>
        </w:rPr>
        <w:t>26</w:t>
      </w:r>
      <w:r>
        <w:rPr>
          <w:rStyle w:val="14"/>
          <w:rFonts w:hint="eastAsia"/>
          <w:color w:val="auto"/>
          <w:sz w:val="24"/>
          <w:szCs w:val="24"/>
          <w:highlight w:val="none"/>
          <w:u w:val="none"/>
          <w:shd w:val="clear" w:color="auto" w:fill="auto"/>
        </w:rPr>
        <w:t xml:space="preserve"> 日  </w:t>
      </w:r>
    </w:p>
    <w:p>
      <w:pPr>
        <w:jc w:val="both"/>
        <w:rPr>
          <w:b/>
          <w:color w:val="auto"/>
          <w:sz w:val="32"/>
          <w:szCs w:val="32"/>
          <w:highlight w:val="none"/>
          <w:shd w:val="clear" w:color="auto" w:fill="auto"/>
        </w:rPr>
      </w:pPr>
      <w:r>
        <w:rPr>
          <w:rFonts w:hint="eastAsia"/>
          <w:b/>
          <w:color w:val="auto"/>
          <w:sz w:val="32"/>
          <w:szCs w:val="32"/>
          <w:highlight w:val="none"/>
          <w:shd w:val="clear" w:color="auto" w:fill="auto"/>
        </w:rPr>
        <w:t>附件</w:t>
      </w:r>
    </w:p>
    <w:p>
      <w:pPr>
        <w:jc w:val="center"/>
        <w:rPr>
          <w:b/>
          <w:bCs/>
          <w:color w:val="auto"/>
          <w:sz w:val="32"/>
          <w:szCs w:val="32"/>
          <w:highlight w:val="none"/>
          <w:shd w:val="clear" w:color="auto" w:fill="auto"/>
        </w:rPr>
      </w:pPr>
      <w:r>
        <w:rPr>
          <w:rFonts w:hint="eastAsia"/>
          <w:b/>
          <w:color w:val="auto"/>
          <w:sz w:val="32"/>
          <w:szCs w:val="32"/>
          <w:highlight w:val="none"/>
          <w:shd w:val="clear" w:color="auto" w:fill="auto"/>
        </w:rPr>
        <w:t>联合体共同投标协议书</w:t>
      </w:r>
    </w:p>
    <w:p>
      <w:pPr>
        <w:spacing w:line="480" w:lineRule="auto"/>
        <w:rPr>
          <w:color w:val="auto"/>
          <w:highlight w:val="none"/>
          <w:shd w:val="clear" w:color="auto" w:fill="auto"/>
        </w:rPr>
      </w:pPr>
    </w:p>
    <w:p>
      <w:pPr>
        <w:spacing w:line="360" w:lineRule="auto"/>
        <w:ind w:left="497" w:leftChars="226" w:right="550" w:rightChars="250"/>
        <w:rPr>
          <w:color w:val="auto"/>
          <w:highlight w:val="none"/>
          <w:shd w:val="clear" w:color="auto" w:fill="auto"/>
        </w:rPr>
      </w:pPr>
      <w:r>
        <w:rPr>
          <w:rFonts w:hint="eastAsia"/>
          <w:color w:val="auto"/>
          <w:highlight w:val="none"/>
          <w:shd w:val="clear" w:color="auto" w:fill="auto"/>
        </w:rPr>
        <w:t>投标项目名称：</w:t>
      </w:r>
      <w:r>
        <w:rPr>
          <w:rFonts w:hint="eastAsia"/>
          <w:color w:val="auto"/>
          <w:highlight w:val="none"/>
          <w:u w:val="single"/>
          <w:shd w:val="clear" w:color="auto" w:fill="auto"/>
        </w:rPr>
        <w:t xml:space="preserve">                                           </w:t>
      </w:r>
    </w:p>
    <w:p>
      <w:pPr>
        <w:pStyle w:val="8"/>
        <w:spacing w:line="360" w:lineRule="auto"/>
        <w:ind w:left="497" w:leftChars="226" w:right="550" w:rightChars="250"/>
        <w:rPr>
          <w:rFonts w:hAnsi="宋体"/>
          <w:color w:val="auto"/>
          <w:sz w:val="22"/>
          <w:szCs w:val="22"/>
          <w:highlight w:val="none"/>
          <w:shd w:val="clear" w:color="auto" w:fill="auto"/>
        </w:rPr>
      </w:pPr>
    </w:p>
    <w:p>
      <w:pPr>
        <w:pStyle w:val="8"/>
        <w:spacing w:line="360" w:lineRule="auto"/>
        <w:ind w:left="497" w:leftChars="226" w:right="550" w:rightChars="250"/>
        <w:rPr>
          <w:rFonts w:hAnsi="宋体"/>
          <w:color w:val="auto"/>
          <w:sz w:val="22"/>
          <w:szCs w:val="22"/>
          <w:highlight w:val="none"/>
          <w:shd w:val="clear" w:color="auto" w:fill="auto"/>
        </w:rPr>
      </w:pPr>
      <w:r>
        <w:rPr>
          <w:rFonts w:hint="eastAsia" w:hAnsi="宋体"/>
          <w:color w:val="auto"/>
          <w:sz w:val="22"/>
          <w:szCs w:val="22"/>
          <w:highlight w:val="none"/>
          <w:shd w:val="clear" w:color="auto" w:fill="auto"/>
        </w:rPr>
        <w:t>致：</w:t>
      </w:r>
      <w:r>
        <w:rPr>
          <w:rFonts w:hint="eastAsia" w:hAnsi="宋体"/>
          <w:color w:val="auto"/>
          <w:sz w:val="22"/>
          <w:szCs w:val="22"/>
          <w:highlight w:val="none"/>
          <w:u w:val="single"/>
          <w:shd w:val="clear" w:color="auto" w:fill="auto"/>
        </w:rPr>
        <w:t xml:space="preserve">                                    </w:t>
      </w:r>
      <w:r>
        <w:rPr>
          <w:rFonts w:hint="eastAsia" w:hAnsi="宋体"/>
          <w:color w:val="auto"/>
          <w:sz w:val="22"/>
          <w:szCs w:val="22"/>
          <w:highlight w:val="none"/>
          <w:shd w:val="clear" w:color="auto" w:fill="auto"/>
        </w:rPr>
        <w:t>（招标人名称）</w:t>
      </w:r>
    </w:p>
    <w:p>
      <w:pPr>
        <w:spacing w:line="360" w:lineRule="auto"/>
        <w:ind w:left="497" w:leftChars="226" w:right="550" w:rightChars="250"/>
        <w:rPr>
          <w:color w:val="auto"/>
          <w:highlight w:val="none"/>
          <w:shd w:val="clear" w:color="auto" w:fill="auto"/>
        </w:rPr>
      </w:pPr>
    </w:p>
    <w:p>
      <w:pPr>
        <w:pStyle w:val="8"/>
        <w:spacing w:line="360" w:lineRule="auto"/>
        <w:ind w:left="497" w:leftChars="226" w:right="550" w:rightChars="250"/>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我方决定组成联合体共同参加以上项目的投标，若中标，联合体各成员向招标人承担连带责任。我方授权委托本协议</w:t>
      </w:r>
      <w:r>
        <w:rPr>
          <w:rFonts w:hAnsi="宋体"/>
          <w:color w:val="auto"/>
          <w:sz w:val="22"/>
          <w:szCs w:val="22"/>
          <w:highlight w:val="none"/>
          <w:shd w:val="clear" w:color="auto" w:fill="auto"/>
        </w:rPr>
        <w:t>主办方</w:t>
      </w:r>
      <w:r>
        <w:rPr>
          <w:rFonts w:hint="eastAsia" w:hAnsi="宋体"/>
          <w:color w:val="auto"/>
          <w:sz w:val="22"/>
          <w:szCs w:val="22"/>
          <w:highlight w:val="none"/>
          <w:shd w:val="clear" w:color="auto" w:fill="auto"/>
        </w:rPr>
        <w:t>，代表所有联合体成员参加投标、提交投标文件，以及与招标人签订合同，负责整个合同实施阶段的协调工作。</w:t>
      </w:r>
    </w:p>
    <w:p>
      <w:pPr>
        <w:rPr>
          <w:color w:val="auto"/>
          <w:highlight w:val="none"/>
          <w:shd w:val="clear" w:color="auto" w:fill="auto"/>
        </w:rPr>
      </w:pPr>
      <w:r>
        <w:rPr>
          <w:rFonts w:hint="eastAsia"/>
          <w:color w:val="auto"/>
          <w:highlight w:val="none"/>
          <w:shd w:val="clear" w:color="auto" w:fill="auto"/>
        </w:rPr>
        <w:t xml:space="preserve">    </w:t>
      </w:r>
    </w:p>
    <w:p>
      <w:pPr>
        <w:pStyle w:val="8"/>
        <w:rPr>
          <w:rFonts w:hAnsi="宋体"/>
          <w:color w:val="auto"/>
          <w:sz w:val="22"/>
          <w:szCs w:val="22"/>
          <w:highlight w:val="none"/>
          <w:shd w:val="clear" w:color="auto" w:fill="auto"/>
        </w:rPr>
      </w:pP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w:t>
      </w:r>
      <w:r>
        <w:rPr>
          <w:rFonts w:hint="eastAsia" w:hAnsi="宋体"/>
          <w:color w:val="auto"/>
          <w:sz w:val="22"/>
          <w:szCs w:val="22"/>
          <w:highlight w:val="none"/>
          <w:shd w:val="clear" w:color="auto" w:fill="auto"/>
          <w:lang w:val="en-US" w:eastAsia="zh-CN"/>
        </w:rPr>
        <w:t>联合体</w:t>
      </w:r>
      <w:r>
        <w:rPr>
          <w:rFonts w:hAnsi="宋体"/>
          <w:color w:val="auto"/>
          <w:sz w:val="22"/>
          <w:szCs w:val="22"/>
          <w:highlight w:val="none"/>
          <w:shd w:val="clear" w:color="auto" w:fill="auto"/>
        </w:rPr>
        <w:t>主办方</w:t>
      </w:r>
      <w:r>
        <w:rPr>
          <w:rFonts w:hint="eastAsia" w:hAnsi="宋体"/>
          <w:color w:val="auto"/>
          <w:sz w:val="22"/>
          <w:szCs w:val="22"/>
          <w:highlight w:val="none"/>
          <w:shd w:val="clear" w:color="auto" w:fill="auto"/>
        </w:rPr>
        <w:t>：（盖章）</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法定代表人：（亲笔签名）</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委托代理人：（亲笔签名）</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地址：</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邮政编码：</w:t>
      </w:r>
      <w:r>
        <w:rPr>
          <w:rFonts w:hint="eastAsia" w:hAnsi="宋体"/>
          <w:color w:val="auto"/>
          <w:sz w:val="22"/>
          <w:szCs w:val="22"/>
          <w:highlight w:val="none"/>
          <w:u w:val="single"/>
          <w:shd w:val="clear" w:color="auto" w:fill="auto"/>
        </w:rPr>
        <w:t xml:space="preserve">          </w:t>
      </w:r>
      <w:r>
        <w:rPr>
          <w:rFonts w:hint="eastAsia" w:hAnsi="宋体"/>
          <w:color w:val="auto"/>
          <w:sz w:val="22"/>
          <w:szCs w:val="22"/>
          <w:highlight w:val="none"/>
          <w:shd w:val="clear" w:color="auto" w:fill="auto"/>
        </w:rPr>
        <w:t>电话/传真：</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分工内容：</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联合体成员：（盖章）</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法定代表人：（亲笔签名）</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委托代理人：（亲笔签名）</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地址：</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邮政编码：</w:t>
      </w:r>
      <w:r>
        <w:rPr>
          <w:rFonts w:hint="eastAsia" w:hAnsi="宋体"/>
          <w:color w:val="auto"/>
          <w:sz w:val="22"/>
          <w:szCs w:val="22"/>
          <w:highlight w:val="none"/>
          <w:u w:val="single"/>
          <w:shd w:val="clear" w:color="auto" w:fill="auto"/>
        </w:rPr>
        <w:t xml:space="preserve">          </w:t>
      </w:r>
      <w:r>
        <w:rPr>
          <w:rFonts w:hint="eastAsia" w:hAnsi="宋体"/>
          <w:color w:val="auto"/>
          <w:sz w:val="22"/>
          <w:szCs w:val="22"/>
          <w:highlight w:val="none"/>
          <w:shd w:val="clear" w:color="auto" w:fill="auto"/>
        </w:rPr>
        <w:t>电话/传真：</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分工内容：</w:t>
      </w:r>
      <w:r>
        <w:rPr>
          <w:rFonts w:hint="eastAsia" w:hAnsi="宋体"/>
          <w:color w:val="auto"/>
          <w:sz w:val="22"/>
          <w:szCs w:val="22"/>
          <w:highlight w:val="none"/>
          <w:u w:val="single"/>
          <w:shd w:val="clear" w:color="auto" w:fill="auto"/>
        </w:rPr>
        <w:t xml:space="preserve">                                                  </w:t>
      </w:r>
    </w:p>
    <w:p>
      <w:pPr>
        <w:pStyle w:val="8"/>
        <w:spacing w:line="360" w:lineRule="auto"/>
        <w:rPr>
          <w:rFonts w:hAnsi="宋体"/>
          <w:color w:val="auto"/>
          <w:sz w:val="22"/>
          <w:szCs w:val="22"/>
          <w:highlight w:val="none"/>
          <w:shd w:val="clear" w:color="auto" w:fill="auto"/>
        </w:rPr>
      </w:pPr>
    </w:p>
    <w:p>
      <w:pPr>
        <w:pStyle w:val="8"/>
        <w:spacing w:line="360" w:lineRule="auto"/>
        <w:rPr>
          <w:rFonts w:hAnsi="宋体"/>
          <w:color w:val="auto"/>
          <w:sz w:val="22"/>
          <w:szCs w:val="22"/>
          <w:highlight w:val="none"/>
          <w:shd w:val="clear" w:color="auto" w:fill="auto"/>
        </w:rPr>
      </w:pPr>
      <w:r>
        <w:rPr>
          <w:rFonts w:hint="eastAsia" w:hAnsi="宋体"/>
          <w:color w:val="auto"/>
          <w:sz w:val="22"/>
          <w:szCs w:val="22"/>
          <w:highlight w:val="none"/>
          <w:shd w:val="clear" w:color="auto" w:fill="auto"/>
        </w:rPr>
        <w:t xml:space="preserve">   </w:t>
      </w:r>
    </w:p>
    <w:p>
      <w:r>
        <w:rPr>
          <w:rFonts w:hint="eastAsia"/>
          <w:color w:val="auto"/>
          <w:highlight w:val="none"/>
          <w:shd w:val="clear" w:color="auto" w:fill="auto"/>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60" w:line="14" w:lineRule="auto"/>
      <w:rPr>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utoSpaceDE w:val="0"/>
      <w:autoSpaceDN w:val="0"/>
      <w:snapToGrid w:val="0"/>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1D"/>
    <w:multiLevelType w:val="multilevel"/>
    <w:tmpl w:val="2F00001D"/>
    <w:lvl w:ilvl="0" w:tentative="0">
      <w:start w:val="1"/>
      <w:numFmt w:val="decimal"/>
      <w:lvlText w:val="%1"/>
      <w:lvlJc w:val="left"/>
      <w:pPr>
        <w:ind w:left="1058" w:hanging="845"/>
      </w:pPr>
      <w:rPr>
        <w:rFonts w:cs="Times New Roman"/>
        <w:w w:val="100"/>
        <w:sz w:val="20"/>
        <w:szCs w:val="20"/>
      </w:rPr>
    </w:lvl>
    <w:lvl w:ilvl="1" w:tentative="0">
      <w:start w:val="1"/>
      <w:numFmt w:val="decimal"/>
      <w:lvlText w:val="%1.%2"/>
      <w:lvlJc w:val="left"/>
      <w:pPr>
        <w:ind w:left="1058" w:hanging="845"/>
      </w:pPr>
      <w:rPr>
        <w:rFonts w:ascii="宋体" w:hAnsi="宋体" w:eastAsia="宋体" w:cs="Times New Roman"/>
        <w:b/>
        <w:w w:val="99"/>
        <w:sz w:val="24"/>
        <w:szCs w:val="24"/>
      </w:rPr>
    </w:lvl>
    <w:lvl w:ilvl="2" w:tentative="0">
      <w:start w:val="1"/>
      <w:numFmt w:val="decimal"/>
      <w:lvlText w:val="%1.%2.%3"/>
      <w:lvlJc w:val="left"/>
      <w:pPr>
        <w:ind w:left="1773" w:hanging="840"/>
      </w:pPr>
      <w:rPr>
        <w:rFonts w:hint="default" w:cs="Times New Roman"/>
        <w:w w:val="100"/>
        <w:sz w:val="24"/>
        <w:szCs w:val="24"/>
      </w:rPr>
    </w:lvl>
    <w:lvl w:ilvl="3" w:tentative="0">
      <w:start w:val="1"/>
      <w:numFmt w:val="decimal"/>
      <w:lvlText w:val="（%4）"/>
      <w:lvlJc w:val="left"/>
      <w:pPr>
        <w:ind w:left="1691" w:hanging="840"/>
      </w:pPr>
      <w:rPr>
        <w:rFonts w:ascii="宋体" w:hAnsi="宋体" w:eastAsia="宋体" w:cs="Times New Roman"/>
        <w:b/>
        <w:spacing w:val="-27"/>
        <w:w w:val="99"/>
        <w:sz w:val="22"/>
        <w:szCs w:val="22"/>
      </w:rPr>
    </w:lvl>
    <w:lvl w:ilvl="4" w:tentative="0">
      <w:start w:val="0"/>
      <w:numFmt w:val="bullet"/>
      <w:lvlText w:val="•"/>
      <w:lvlJc w:val="left"/>
      <w:pPr>
        <w:ind w:left="1180" w:hanging="840"/>
      </w:pPr>
      <w:rPr>
        <w:w w:val="100"/>
        <w:sz w:val="20"/>
      </w:rPr>
    </w:lvl>
    <w:lvl w:ilvl="5" w:tentative="0">
      <w:start w:val="0"/>
      <w:numFmt w:val="bullet"/>
      <w:lvlText w:val="•"/>
      <w:lvlJc w:val="left"/>
      <w:pPr>
        <w:ind w:left="1780" w:hanging="840"/>
      </w:pPr>
      <w:rPr>
        <w:w w:val="100"/>
        <w:sz w:val="20"/>
      </w:rPr>
    </w:lvl>
    <w:lvl w:ilvl="6" w:tentative="0">
      <w:start w:val="0"/>
      <w:numFmt w:val="bullet"/>
      <w:lvlText w:val="•"/>
      <w:lvlJc w:val="left"/>
      <w:pPr>
        <w:ind w:left="3317" w:hanging="840"/>
      </w:pPr>
      <w:rPr>
        <w:w w:val="100"/>
        <w:sz w:val="20"/>
      </w:rPr>
    </w:lvl>
    <w:lvl w:ilvl="7" w:tentative="0">
      <w:start w:val="0"/>
      <w:numFmt w:val="bullet"/>
      <w:lvlText w:val="•"/>
      <w:lvlJc w:val="left"/>
      <w:pPr>
        <w:ind w:left="4854" w:hanging="840"/>
      </w:pPr>
      <w:rPr>
        <w:w w:val="100"/>
        <w:sz w:val="20"/>
      </w:rPr>
    </w:lvl>
    <w:lvl w:ilvl="8" w:tentative="0">
      <w:start w:val="0"/>
      <w:numFmt w:val="bullet"/>
      <w:lvlText w:val="•"/>
      <w:lvlJc w:val="left"/>
      <w:pPr>
        <w:ind w:left="6391" w:hanging="840"/>
      </w:pPr>
      <w:rPr>
        <w:w w:val="1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GNjMTRmNjM2M2M2OWNjZTU5NDcxMjcxNjA1ODAifQ=="/>
  </w:docVars>
  <w:rsids>
    <w:rsidRoot w:val="7E185054"/>
    <w:rsid w:val="047815CF"/>
    <w:rsid w:val="7E18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9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pPr>
    <w:rPr>
      <w:rFonts w:ascii="宋体" w:hAnsi="宋体" w:eastAsia="宋体" w:cs="Times New Roman"/>
      <w:sz w:val="22"/>
      <w:szCs w:val="22"/>
      <w:lang w:val="en-US" w:eastAsia="zh-CN" w:bidi="ar-SA"/>
    </w:rPr>
  </w:style>
  <w:style w:type="paragraph" w:styleId="3">
    <w:name w:val="heading 1"/>
    <w:basedOn w:val="1"/>
    <w:next w:val="1"/>
    <w:qFormat/>
    <w:uiPriority w:val="99"/>
    <w:pPr>
      <w:autoSpaceDE/>
      <w:autoSpaceDN/>
      <w:ind w:right="21"/>
      <w:jc w:val="center"/>
      <w:outlineLvl w:val="0"/>
    </w:pPr>
    <w:rPr>
      <w:sz w:val="44"/>
      <w:szCs w:val="44"/>
    </w:rPr>
  </w:style>
  <w:style w:type="paragraph" w:styleId="4">
    <w:name w:val="heading 8"/>
    <w:basedOn w:val="1"/>
    <w:next w:val="1"/>
    <w:qFormat/>
    <w:uiPriority w:val="99"/>
    <w:pPr>
      <w:autoSpaceDE/>
      <w:autoSpaceDN/>
      <w:ind w:left="1632"/>
      <w:outlineLvl w:val="7"/>
    </w:pPr>
    <w:rPr>
      <w:b/>
      <w:sz w:val="24"/>
      <w:szCs w:val="24"/>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5">
    <w:name w:val="Normal Indent"/>
    <w:basedOn w:val="1"/>
    <w:next w:val="1"/>
    <w:qFormat/>
    <w:uiPriority w:val="99"/>
    <w:pPr>
      <w:widowControl w:val="0"/>
      <w:autoSpaceDE/>
      <w:autoSpaceDN/>
      <w:adjustRightInd w:val="0"/>
      <w:spacing w:line="360" w:lineRule="atLeast"/>
      <w:ind w:firstLine="482"/>
      <w:jc w:val="both"/>
      <w:textAlignment w:val="baseline"/>
    </w:pPr>
    <w:rPr>
      <w:rFonts w:ascii="Times New Roman" w:hAnsi="Times New Roman"/>
      <w:sz w:val="24"/>
      <w:szCs w:val="20"/>
    </w:rPr>
  </w:style>
  <w:style w:type="paragraph" w:styleId="6">
    <w:name w:val="Body Text"/>
    <w:basedOn w:val="1"/>
    <w:next w:val="7"/>
    <w:qFormat/>
    <w:uiPriority w:val="99"/>
    <w:rPr>
      <w:sz w:val="24"/>
      <w:szCs w:val="24"/>
    </w:rPr>
  </w:style>
  <w:style w:type="paragraph" w:customStyle="1" w:styleId="7">
    <w:name w:val="Default"/>
    <w:basedOn w:val="1"/>
    <w:qFormat/>
    <w:uiPriority w:val="0"/>
    <w:pPr>
      <w:widowControl w:val="0"/>
      <w:adjustRightInd w:val="0"/>
    </w:pPr>
    <w:rPr>
      <w:rFonts w:ascii="仿宋_GB2312" w:hAnsi="等线" w:eastAsia="仿宋_GB2312"/>
      <w:color w:val="000000"/>
      <w:sz w:val="28"/>
      <w:szCs w:val="28"/>
    </w:rPr>
  </w:style>
  <w:style w:type="paragraph" w:styleId="8">
    <w:name w:val="Plain Text"/>
    <w:basedOn w:val="1"/>
    <w:qFormat/>
    <w:uiPriority w:val="99"/>
    <w:pPr>
      <w:widowControl w:val="0"/>
      <w:autoSpaceDE/>
      <w:autoSpaceDN/>
      <w:jc w:val="both"/>
    </w:pPr>
    <w:rPr>
      <w:rFonts w:hAnsi="Courier New" w:cs="Courier New"/>
      <w:kern w:val="2"/>
      <w:sz w:val="21"/>
      <w:szCs w:val="21"/>
    </w:rPr>
  </w:style>
  <w:style w:type="paragraph" w:styleId="9">
    <w:name w:val="footer"/>
    <w:basedOn w:val="1"/>
    <w:qFormat/>
    <w:uiPriority w:val="99"/>
    <w:pPr>
      <w:tabs>
        <w:tab w:val="center" w:pos="4153"/>
        <w:tab w:val="right" w:pos="8306"/>
      </w:tabs>
      <w:autoSpaceDE/>
      <w:autoSpaceDN/>
    </w:pPr>
    <w:rPr>
      <w:sz w:val="18"/>
      <w:szCs w:val="18"/>
    </w:rPr>
  </w:style>
  <w:style w:type="paragraph" w:styleId="10">
    <w:name w:val="header"/>
    <w:basedOn w:val="1"/>
    <w:qFormat/>
    <w:uiPriority w:val="99"/>
    <w:pPr>
      <w:tabs>
        <w:tab w:val="center" w:pos="4153"/>
        <w:tab w:val="right" w:pos="8306"/>
      </w:tabs>
      <w:autoSpaceDE/>
      <w:autoSpaceDN/>
      <w:jc w:val="center"/>
    </w:pPr>
    <w:rPr>
      <w:sz w:val="18"/>
      <w:szCs w:val="18"/>
    </w:rPr>
  </w:style>
  <w:style w:type="paragraph" w:styleId="11">
    <w:name w:val="Normal (Web)"/>
    <w:basedOn w:val="1"/>
    <w:qFormat/>
    <w:uiPriority w:val="99"/>
    <w:pPr>
      <w:autoSpaceDE/>
      <w:autoSpaceDN/>
    </w:pPr>
    <w:rPr>
      <w:sz w:val="24"/>
      <w:szCs w:val="24"/>
    </w:rPr>
  </w:style>
  <w:style w:type="character" w:styleId="14">
    <w:name w:val="Hyperlink"/>
    <w:basedOn w:val="13"/>
    <w:qFormat/>
    <w:uiPriority w:val="99"/>
    <w:rPr>
      <w:rFonts w:cs="Times New Roman"/>
      <w:color w:val="0000FF"/>
      <w:w w:val="100"/>
      <w:sz w:val="20"/>
      <w:u w:val="single"/>
      <w:shd w:val="clear" w:color="auto" w:fill="auto"/>
    </w:rPr>
  </w:style>
  <w:style w:type="paragraph" w:customStyle="1" w:styleId="15">
    <w:name w:val="列出段落1"/>
    <w:basedOn w:val="1"/>
    <w:qFormat/>
    <w:uiPriority w:val="99"/>
    <w:pPr>
      <w:autoSpaceDE/>
      <w:autoSpaceDN/>
      <w:ind w:left="195" w:firstLine="4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4261</Words>
  <Characters>4745</Characters>
  <Lines>0</Lines>
  <Paragraphs>0</Paragraphs>
  <TotalTime>0</TotalTime>
  <ScaleCrop>false</ScaleCrop>
  <LinksUpToDate>false</LinksUpToDate>
  <CharactersWithSpaces>5564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2022-11-25T07:29:00Z</dcterms:created>
  <dc:creator>萧</dc:creator>
  <cp:lastModifiedBy>萧</cp:lastModifiedBy>
  <dcterms:modified xsi:type="dcterms:W3CDTF">2022-11-25T08:31:27Z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2F11F911B76547DA8F99FC9B6A1220F5</vt:lpwstr>
  </property>
</Properties>
</file>