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hint="eastAsia"/>
          <w:highlight w:val="none"/>
        </w:rPr>
      </w:pPr>
    </w:p>
    <w:p>
      <w:pPr>
        <w:jc w:val="center"/>
        <w:rPr>
          <w:rFonts w:hint="eastAsia" w:ascii="宋体" w:hAnsi="宋体" w:eastAsia="宋体" w:cs="宋体"/>
          <w:b/>
          <w:bCs/>
          <w:sz w:val="52"/>
          <w:szCs w:val="52"/>
          <w:highlight w:val="none"/>
          <w:lang w:eastAsia="zh-CN"/>
        </w:rPr>
      </w:pPr>
      <w:r>
        <w:rPr>
          <w:rFonts w:hint="eastAsia" w:ascii="宋体" w:hAnsi="宋体" w:cs="宋体"/>
          <w:b/>
          <w:bCs/>
          <w:sz w:val="52"/>
          <w:szCs w:val="52"/>
          <w:highlight w:val="none"/>
          <w:lang w:eastAsia="zh-CN"/>
        </w:rPr>
        <w:t>白云区东平汽车小镇二期AB2201088地块开发项目地铁保护监测</w:t>
      </w:r>
    </w:p>
    <w:p>
      <w:pPr>
        <w:jc w:val="center"/>
        <w:rPr>
          <w:rFonts w:hint="eastAsia" w:ascii="宋体" w:hAnsi="宋体" w:cs="宋体"/>
          <w:b/>
          <w:bCs/>
          <w:sz w:val="52"/>
          <w:szCs w:val="52"/>
          <w:highlight w:val="none"/>
          <w:u w:val="single"/>
        </w:rPr>
      </w:pPr>
    </w:p>
    <w:p>
      <w:pPr>
        <w:jc w:val="center"/>
        <w:rPr>
          <w:rFonts w:hint="eastAsia" w:eastAsia="黑体"/>
          <w:sz w:val="32"/>
          <w:szCs w:val="32"/>
          <w:highlight w:val="none"/>
        </w:rPr>
      </w:pPr>
    </w:p>
    <w:p>
      <w:pPr>
        <w:jc w:val="center"/>
        <w:rPr>
          <w:rFonts w:eastAsia="黑体"/>
          <w:sz w:val="32"/>
          <w:szCs w:val="32"/>
          <w:highlight w:val="none"/>
        </w:rPr>
      </w:pPr>
    </w:p>
    <w:p>
      <w:pPr>
        <w:rPr>
          <w:rFonts w:hint="eastAsia"/>
          <w:sz w:val="28"/>
          <w:highlight w:val="none"/>
        </w:rPr>
      </w:pPr>
    </w:p>
    <w:p>
      <w:pPr>
        <w:jc w:val="center"/>
        <w:rPr>
          <w:rFonts w:ascii="宋体" w:hAnsi="宋体"/>
          <w:b/>
          <w:sz w:val="84"/>
          <w:szCs w:val="84"/>
          <w:highlight w:val="none"/>
        </w:rPr>
      </w:pPr>
      <w:r>
        <w:rPr>
          <w:rFonts w:ascii="宋体" w:hAnsi="宋体"/>
          <w:b/>
          <w:sz w:val="84"/>
          <w:szCs w:val="84"/>
          <w:highlight w:val="none"/>
        </w:rPr>
        <w:t>招</w:t>
      </w:r>
      <w:r>
        <w:rPr>
          <w:rFonts w:hint="eastAsia" w:ascii="宋体" w:hAnsi="宋体"/>
          <w:b/>
          <w:sz w:val="84"/>
          <w:szCs w:val="84"/>
          <w:highlight w:val="none"/>
        </w:rPr>
        <w:t xml:space="preserve"> </w:t>
      </w:r>
      <w:r>
        <w:rPr>
          <w:rFonts w:ascii="宋体" w:hAnsi="宋体"/>
          <w:b/>
          <w:sz w:val="84"/>
          <w:szCs w:val="84"/>
          <w:highlight w:val="none"/>
        </w:rPr>
        <w:t>标</w:t>
      </w:r>
      <w:r>
        <w:rPr>
          <w:rFonts w:hint="eastAsia" w:ascii="宋体" w:hAnsi="宋体"/>
          <w:b/>
          <w:sz w:val="84"/>
          <w:szCs w:val="84"/>
          <w:highlight w:val="none"/>
        </w:rPr>
        <w:t xml:space="preserve"> 公 告</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hint="eastAsia"/>
          <w:highlight w:val="none"/>
        </w:rPr>
      </w:pPr>
    </w:p>
    <w:p>
      <w:pPr>
        <w:rPr>
          <w:highlight w:val="none"/>
        </w:rPr>
      </w:pPr>
    </w:p>
    <w:p>
      <w:pPr>
        <w:rPr>
          <w:highlight w:val="none"/>
        </w:rPr>
      </w:pPr>
    </w:p>
    <w:p>
      <w:pPr>
        <w:rPr>
          <w:rFonts w:hint="eastAsia"/>
          <w:highlight w:val="none"/>
        </w:rPr>
      </w:pPr>
    </w:p>
    <w:p>
      <w:pPr>
        <w:ind w:firstLine="1417" w:firstLineChars="504"/>
        <w:rPr>
          <w:rFonts w:hint="eastAsia" w:ascii="宋体" w:hAnsi="宋体" w:cs="宋体"/>
          <w:b/>
          <w:sz w:val="28"/>
          <w:szCs w:val="28"/>
          <w:highlight w:val="none"/>
          <w:u w:val="single"/>
          <w:lang w:val="zh-CN"/>
        </w:rPr>
      </w:pPr>
      <w:bookmarkStart w:id="0" w:name="_Hlk51161991"/>
      <w:r>
        <w:rPr>
          <w:rFonts w:hint="eastAsia" w:ascii="宋体" w:hAnsi="宋体" w:cs="宋体"/>
          <w:b/>
          <w:sz w:val="28"/>
          <w:szCs w:val="28"/>
          <w:highlight w:val="none"/>
        </w:rPr>
        <w:t>招   标   人：</w:t>
      </w:r>
      <w:r>
        <w:rPr>
          <w:rFonts w:hint="eastAsia" w:ascii="宋体" w:hAnsi="宋体" w:cs="宋体"/>
          <w:b/>
          <w:sz w:val="28"/>
          <w:szCs w:val="28"/>
          <w:highlight w:val="none"/>
          <w:u w:val="single"/>
          <w:lang w:val="zh-CN"/>
        </w:rPr>
        <w:t>广州云凌汽车投资有限公司</w:t>
      </w:r>
    </w:p>
    <w:p>
      <w:pPr>
        <w:ind w:firstLine="1417" w:firstLineChars="504"/>
        <w:rPr>
          <w:rFonts w:hint="eastAsia" w:ascii="宋体" w:hAnsi="宋体" w:cs="宋体"/>
          <w:b/>
          <w:sz w:val="28"/>
          <w:szCs w:val="28"/>
          <w:highlight w:val="none"/>
        </w:rPr>
      </w:pPr>
      <w:r>
        <w:rPr>
          <w:rFonts w:hint="eastAsia" w:ascii="宋体" w:hAnsi="宋体" w:cs="宋体"/>
          <w:b/>
          <w:sz w:val="28"/>
          <w:szCs w:val="28"/>
          <w:highlight w:val="none"/>
          <w:lang w:val="zh-CN"/>
        </w:rPr>
        <w:t>招标代理机构：</w:t>
      </w:r>
      <w:r>
        <w:rPr>
          <w:rFonts w:hint="eastAsia" w:ascii="宋体" w:hAnsi="宋体" w:cs="宋体"/>
          <w:b/>
          <w:sz w:val="28"/>
          <w:szCs w:val="28"/>
          <w:highlight w:val="none"/>
          <w:u w:val="single"/>
          <w:lang w:val="zh-CN"/>
        </w:rPr>
        <w:t>广州市白云工程咨询管理有限公司</w:t>
      </w:r>
    </w:p>
    <w:p>
      <w:pPr>
        <w:ind w:firstLine="1405" w:firstLineChars="500"/>
        <w:rPr>
          <w:rFonts w:hint="eastAsia" w:ascii="宋体" w:hAnsi="宋体" w:cs="宋体"/>
          <w:b/>
          <w:sz w:val="28"/>
          <w:szCs w:val="28"/>
          <w:highlight w:val="none"/>
        </w:rPr>
      </w:pPr>
      <w:r>
        <w:rPr>
          <w:rFonts w:hint="eastAsia" w:ascii="宋体" w:hAnsi="宋体" w:cs="宋体"/>
          <w:b/>
          <w:sz w:val="28"/>
          <w:szCs w:val="28"/>
          <w:highlight w:val="none"/>
        </w:rPr>
        <w:t xml:space="preserve">日 </w:t>
      </w:r>
      <w:r>
        <w:rPr>
          <w:rFonts w:ascii="宋体" w:hAnsi="宋体" w:cs="宋体"/>
          <w:b/>
          <w:sz w:val="28"/>
          <w:szCs w:val="28"/>
          <w:highlight w:val="none"/>
        </w:rPr>
        <w:t xml:space="preserve">       </w:t>
      </w:r>
      <w:r>
        <w:rPr>
          <w:rFonts w:hint="eastAsia" w:ascii="宋体" w:hAnsi="宋体" w:cs="宋体"/>
          <w:b/>
          <w:sz w:val="28"/>
          <w:szCs w:val="28"/>
          <w:highlight w:val="none"/>
        </w:rPr>
        <w:t>期：</w:t>
      </w:r>
      <w:r>
        <w:rPr>
          <w:rFonts w:hint="eastAsia" w:ascii="宋体" w:hAnsi="宋体" w:cs="宋体"/>
          <w:b/>
          <w:sz w:val="28"/>
          <w:szCs w:val="28"/>
          <w:highlight w:val="none"/>
          <w:u w:val="single"/>
          <w:lang w:eastAsia="zh-CN"/>
        </w:rPr>
        <w:t>2025</w:t>
      </w:r>
      <w:r>
        <w:rPr>
          <w:rFonts w:hint="eastAsia" w:ascii="宋体" w:hAnsi="宋体" w:cs="宋体"/>
          <w:b/>
          <w:sz w:val="28"/>
          <w:szCs w:val="28"/>
          <w:highlight w:val="none"/>
        </w:rPr>
        <w:t>年</w:t>
      </w:r>
      <w:r>
        <w:rPr>
          <w:rFonts w:hint="eastAsia" w:ascii="宋体" w:hAnsi="宋体" w:cs="宋体"/>
          <w:b/>
          <w:sz w:val="28"/>
          <w:szCs w:val="28"/>
          <w:highlight w:val="none"/>
          <w:u w:val="single"/>
        </w:rPr>
        <w:t>0</w:t>
      </w:r>
      <w:r>
        <w:rPr>
          <w:rFonts w:hint="eastAsia" w:ascii="宋体" w:hAnsi="宋体" w:cs="宋体"/>
          <w:b/>
          <w:sz w:val="28"/>
          <w:szCs w:val="28"/>
          <w:highlight w:val="none"/>
          <w:u w:val="single"/>
          <w:lang w:val="en-US" w:eastAsia="zh-CN"/>
        </w:rPr>
        <w:t>6</w:t>
      </w:r>
      <w:r>
        <w:rPr>
          <w:rFonts w:hint="eastAsia" w:ascii="宋体" w:hAnsi="宋体" w:cs="宋体"/>
          <w:b/>
          <w:sz w:val="28"/>
          <w:szCs w:val="28"/>
          <w:highlight w:val="none"/>
        </w:rPr>
        <w:t>月</w:t>
      </w:r>
    </w:p>
    <w:bookmarkEnd w:id="0"/>
    <w:p>
      <w:pPr>
        <w:pStyle w:val="7"/>
        <w:spacing w:line="360" w:lineRule="auto"/>
        <w:ind w:left="-178" w:leftChars="-85" w:right="-153" w:rightChars="-73"/>
        <w:jc w:val="center"/>
        <w:rPr>
          <w:rFonts w:hint="eastAsia" w:ascii="宋体" w:hAnsi="宋体" w:cs="宋体"/>
          <w:b/>
          <w:bCs/>
          <w:sz w:val="32"/>
          <w:szCs w:val="32"/>
          <w:highlight w:val="none"/>
          <w:u w:val="single"/>
        </w:rPr>
      </w:pPr>
    </w:p>
    <w:p>
      <w:pPr>
        <w:pStyle w:val="7"/>
        <w:spacing w:line="360" w:lineRule="auto"/>
        <w:ind w:left="-178" w:leftChars="-85" w:right="-153" w:rightChars="-73"/>
        <w:jc w:val="center"/>
        <w:rPr>
          <w:rFonts w:hint="eastAsia" w:ascii="宋体" w:hAnsi="宋体" w:cs="宋体"/>
          <w:b/>
          <w:bCs/>
          <w:sz w:val="36"/>
          <w:szCs w:val="36"/>
          <w:highlight w:val="none"/>
        </w:rPr>
        <w:sectPr>
          <w:footerReference r:id="rId3" w:type="default"/>
          <w:pgSz w:w="11906" w:h="16838"/>
          <w:pgMar w:top="1440" w:right="1418" w:bottom="1440" w:left="1418" w:header="851" w:footer="992" w:gutter="0"/>
          <w:pgNumType w:start="0"/>
          <w:cols w:space="720" w:num="1"/>
          <w:docGrid w:type="lines" w:linePitch="312" w:charSpace="0"/>
        </w:sectPr>
      </w:pPr>
    </w:p>
    <w:p>
      <w:pPr>
        <w:pStyle w:val="3"/>
        <w:keepNext w:val="0"/>
        <w:keepLines w:val="0"/>
        <w:spacing w:before="0" w:after="0" w:line="240" w:lineRule="auto"/>
        <w:jc w:val="center"/>
        <w:rPr>
          <w:rFonts w:hint="eastAsia" w:ascii="宋体" w:hAnsi="宋体" w:cs="宋体"/>
          <w:sz w:val="36"/>
          <w:szCs w:val="36"/>
          <w:highlight w:val="none"/>
        </w:rPr>
      </w:pPr>
      <w:bookmarkStart w:id="1" w:name="_Toc47987312"/>
      <w:r>
        <w:rPr>
          <w:rFonts w:hint="eastAsia" w:ascii="宋体" w:hAnsi="宋体" w:cs="宋体"/>
          <w:sz w:val="36"/>
          <w:szCs w:val="36"/>
          <w:highlight w:val="none"/>
        </w:rPr>
        <w:t>白云区东平汽车小镇二期AB2201088地块开发项目地铁保护监测招标公告</w:t>
      </w:r>
      <w:bookmarkEnd w:id="1"/>
    </w:p>
    <w:p>
      <w:pPr>
        <w:pStyle w:val="4"/>
        <w:keepNext w:val="0"/>
        <w:keepLines w:val="0"/>
        <w:spacing w:before="0" w:after="0" w:line="440" w:lineRule="exact"/>
        <w:rPr>
          <w:rFonts w:hint="eastAsia" w:ascii="宋体" w:hAnsi="宋体" w:eastAsia="宋体" w:cs="宋体"/>
          <w:highlight w:val="none"/>
        </w:rPr>
      </w:pPr>
      <w:bookmarkStart w:id="2" w:name="_Toc47987313"/>
      <w:bookmarkStart w:id="3" w:name="_Toc511557025"/>
      <w:bookmarkStart w:id="4" w:name="_Toc514099623"/>
      <w:r>
        <w:rPr>
          <w:rFonts w:hint="eastAsia" w:ascii="宋体" w:hAnsi="宋体" w:eastAsia="宋体" w:cs="宋体"/>
          <w:highlight w:val="none"/>
        </w:rPr>
        <w:t>1. 招标条件</w:t>
      </w:r>
      <w:bookmarkEnd w:id="2"/>
      <w:bookmarkEnd w:id="3"/>
      <w:bookmarkEnd w:id="4"/>
    </w:p>
    <w:p>
      <w:pPr>
        <w:pStyle w:val="7"/>
        <w:spacing w:after="0" w:line="440" w:lineRule="exact"/>
        <w:ind w:firstLine="480" w:firstLineChars="200"/>
        <w:rPr>
          <w:rFonts w:hint="eastAsia" w:ascii="宋体" w:hAnsi="宋体" w:cs="宋体"/>
          <w:szCs w:val="21"/>
          <w:highlight w:val="none"/>
        </w:rPr>
      </w:pPr>
      <w:r>
        <w:rPr>
          <w:rFonts w:ascii="宋体" w:hAnsi="宋体"/>
          <w:sz w:val="24"/>
          <w:highlight w:val="none"/>
        </w:rPr>
        <w:t>本招标项目</w:t>
      </w:r>
      <w:r>
        <w:rPr>
          <w:rFonts w:hint="eastAsia" w:ascii="宋体" w:hAnsi="宋体"/>
          <w:sz w:val="24"/>
          <w:highlight w:val="none"/>
          <w:u w:val="single"/>
        </w:rPr>
        <w:t>白云区东平汽车小镇二期AB2201088地块开发项目</w:t>
      </w:r>
      <w:r>
        <w:rPr>
          <w:rFonts w:hint="eastAsia" w:ascii="宋体" w:hAnsi="宋体" w:cs="宋体"/>
          <w:bCs/>
          <w:sz w:val="24"/>
          <w:highlight w:val="none"/>
        </w:rPr>
        <w:t>已由</w:t>
      </w:r>
      <w:r>
        <w:rPr>
          <w:rFonts w:hint="eastAsia" w:ascii="宋体" w:hAnsi="宋体"/>
          <w:sz w:val="24"/>
          <w:highlight w:val="none"/>
          <w:u w:val="single"/>
        </w:rPr>
        <w:t>广东省企业投资项目备案证（证号：2312-440111-04-01-248792）批准实施</w:t>
      </w:r>
      <w:r>
        <w:rPr>
          <w:rFonts w:hint="eastAsia" w:ascii="宋体" w:hAnsi="宋体" w:cs="宋体"/>
          <w:sz w:val="24"/>
          <w:highlight w:val="none"/>
        </w:rPr>
        <w:t>，建设资金来自</w:t>
      </w:r>
      <w:r>
        <w:rPr>
          <w:rFonts w:hint="eastAsia" w:ascii="宋体" w:hAnsi="宋体" w:cs="宋体"/>
          <w:sz w:val="24"/>
          <w:highlight w:val="none"/>
          <w:lang w:val="en-US" w:eastAsia="zh-CN"/>
        </w:rPr>
        <w:t>企业</w:t>
      </w:r>
      <w:r>
        <w:rPr>
          <w:rFonts w:hint="eastAsia" w:ascii="宋体" w:hAnsi="宋体"/>
          <w:sz w:val="24"/>
          <w:highlight w:val="none"/>
          <w:u w:val="single"/>
        </w:rPr>
        <w:t>自筹资金</w:t>
      </w:r>
      <w:r>
        <w:rPr>
          <w:rFonts w:hint="eastAsia" w:ascii="宋体" w:hAnsi="宋体" w:cs="宋体"/>
          <w:sz w:val="24"/>
          <w:highlight w:val="none"/>
        </w:rPr>
        <w:t>，</w:t>
      </w:r>
      <w:r>
        <w:rPr>
          <w:rFonts w:ascii="宋体" w:hAnsi="宋体"/>
          <w:sz w:val="24"/>
          <w:highlight w:val="none"/>
        </w:rPr>
        <w:t>出资比例为</w:t>
      </w:r>
      <w:r>
        <w:rPr>
          <w:rFonts w:ascii="宋体" w:hAnsi="宋体"/>
          <w:sz w:val="24"/>
          <w:highlight w:val="none"/>
          <w:u w:val="single"/>
        </w:rPr>
        <w:t>100%</w:t>
      </w:r>
      <w:r>
        <w:rPr>
          <w:rFonts w:ascii="宋体" w:hAnsi="宋体"/>
          <w:sz w:val="24"/>
          <w:highlight w:val="none"/>
        </w:rPr>
        <w:t>，</w:t>
      </w:r>
      <w:r>
        <w:rPr>
          <w:rFonts w:hint="eastAsia" w:ascii="宋体" w:hAnsi="宋体" w:cs="宋体"/>
          <w:sz w:val="24"/>
          <w:highlight w:val="none"/>
        </w:rPr>
        <w:t>招标人为</w:t>
      </w:r>
      <w:r>
        <w:rPr>
          <w:rFonts w:hint="eastAsia" w:ascii="宋体" w:hAnsi="宋体" w:cs="宋体"/>
          <w:sz w:val="24"/>
          <w:highlight w:val="none"/>
          <w:u w:val="single"/>
          <w:lang w:eastAsia="zh-CN"/>
        </w:rPr>
        <w:t>广州云凌汽车投资有限公司</w:t>
      </w:r>
      <w:r>
        <w:rPr>
          <w:rFonts w:hint="eastAsia" w:ascii="宋体" w:hAnsi="宋体" w:cs="宋体"/>
          <w:sz w:val="24"/>
          <w:highlight w:val="none"/>
        </w:rPr>
        <w:t>。</w:t>
      </w:r>
      <w:r>
        <w:rPr>
          <w:rFonts w:ascii="宋体" w:hAnsi="宋体"/>
          <w:sz w:val="24"/>
          <w:highlight w:val="none"/>
        </w:rPr>
        <w:t>项目已具备招标条件，</w:t>
      </w:r>
      <w:r>
        <w:rPr>
          <w:rFonts w:hint="eastAsia" w:ascii="宋体" w:hAnsi="宋体" w:cs="宋体"/>
          <w:sz w:val="24"/>
          <w:highlight w:val="none"/>
        </w:rPr>
        <w:t>现对该项目的</w:t>
      </w:r>
      <w:r>
        <w:rPr>
          <w:rFonts w:hint="eastAsia" w:ascii="宋体" w:hAnsi="宋体" w:cs="宋体"/>
          <w:sz w:val="24"/>
          <w:highlight w:val="none"/>
          <w:u w:val="single"/>
        </w:rPr>
        <w:t>地铁保护监测</w:t>
      </w:r>
      <w:r>
        <w:rPr>
          <w:rFonts w:hint="eastAsia" w:ascii="宋体" w:hAnsi="宋体" w:cs="宋体"/>
          <w:sz w:val="24"/>
          <w:highlight w:val="none"/>
        </w:rPr>
        <w:t>进行公开招标。</w:t>
      </w:r>
    </w:p>
    <w:p>
      <w:pPr>
        <w:pStyle w:val="4"/>
        <w:keepNext w:val="0"/>
        <w:keepLines w:val="0"/>
        <w:spacing w:before="0" w:after="0" w:line="440" w:lineRule="exact"/>
        <w:rPr>
          <w:rFonts w:hint="eastAsia" w:ascii="宋体" w:hAnsi="宋体" w:eastAsia="宋体" w:cs="宋体"/>
          <w:highlight w:val="none"/>
        </w:rPr>
      </w:pPr>
      <w:bookmarkStart w:id="5" w:name="_Toc511557026"/>
      <w:bookmarkStart w:id="6" w:name="_Toc514099624"/>
      <w:bookmarkStart w:id="7" w:name="_Toc47987314"/>
      <w:r>
        <w:rPr>
          <w:rFonts w:hint="eastAsia" w:ascii="宋体" w:hAnsi="宋体" w:eastAsia="宋体" w:cs="宋体"/>
          <w:highlight w:val="none"/>
        </w:rPr>
        <w:t>2. 项目概况与招标范围</w:t>
      </w:r>
      <w:bookmarkEnd w:id="5"/>
      <w:bookmarkEnd w:id="6"/>
      <w:bookmarkEnd w:id="7"/>
    </w:p>
    <w:p>
      <w:pPr>
        <w:tabs>
          <w:tab w:val="left" w:pos="7513"/>
        </w:tabs>
        <w:spacing w:line="440" w:lineRule="exact"/>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2.1招标项目概况</w:t>
      </w:r>
    </w:p>
    <w:p>
      <w:pPr>
        <w:tabs>
          <w:tab w:val="left" w:pos="7513"/>
        </w:tabs>
        <w:spacing w:line="440" w:lineRule="exact"/>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2.1.1招标项目名称：</w:t>
      </w:r>
      <w:r>
        <w:rPr>
          <w:rFonts w:hint="eastAsia" w:ascii="宋体" w:hAnsi="宋体" w:cs="宋体"/>
          <w:bCs/>
          <w:sz w:val="24"/>
          <w:szCs w:val="24"/>
          <w:highlight w:val="none"/>
          <w:u w:val="single"/>
          <w:lang w:eastAsia="zh-CN"/>
        </w:rPr>
        <w:t>白云区东平汽车小镇二期AB2201088地块开发项目地铁保护监测</w:t>
      </w:r>
    </w:p>
    <w:p>
      <w:pPr>
        <w:shd w:val="clear" w:color="auto" w:fill="FFFFFF"/>
        <w:adjustRightInd w:val="0"/>
        <w:spacing w:line="440" w:lineRule="exact"/>
        <w:ind w:firstLine="420" w:firstLineChars="175"/>
        <w:jc w:val="both"/>
        <w:rPr>
          <w:rFonts w:hint="eastAsia"/>
          <w:sz w:val="24"/>
          <w:szCs w:val="24"/>
          <w:highlight w:val="none"/>
          <w:u w:val="single"/>
        </w:rPr>
      </w:pPr>
      <w:r>
        <w:rPr>
          <w:rFonts w:hint="eastAsia" w:ascii="宋体" w:hAnsi="宋体" w:cs="宋体"/>
          <w:bCs/>
          <w:sz w:val="24"/>
          <w:szCs w:val="24"/>
          <w:highlight w:val="none"/>
        </w:rPr>
        <w:t>2.1.2工程建设规模：</w:t>
      </w:r>
      <w:r>
        <w:rPr>
          <w:rFonts w:hint="eastAsia" w:ascii="宋体" w:hAnsi="宋体"/>
          <w:sz w:val="24"/>
          <w:highlight w:val="none"/>
          <w:u w:val="single"/>
        </w:rPr>
        <w:t>本项目AB2201088地块规划用地面积18021平方米，总建筑面积68783.80平方米；计容面积为45699.00平方米（办公35259.20平方米，商业9139.80平方米，图书馆1200平方米，公厕100平方米），不计容面积为23084.80平方米（地下室18042.09平方米，架空层及其他5042.71平方米），容积率为4.0；建筑高度最高≤90米，建筑密度50%，绿地率25%。本工程地基基础设计等级为甲级，基坑工程安全一级。（以政府主管部门和规划建设管理部门最终批复为准）。</w:t>
      </w:r>
    </w:p>
    <w:p>
      <w:pPr>
        <w:shd w:val="clear" w:color="auto" w:fill="FFFFFF"/>
        <w:adjustRightInd w:val="0"/>
        <w:spacing w:line="440" w:lineRule="exact"/>
        <w:ind w:firstLine="420" w:firstLineChars="175"/>
        <w:jc w:val="both"/>
        <w:rPr>
          <w:rFonts w:ascii="宋体" w:hAnsi="宋体" w:cs="宋体"/>
          <w:bCs/>
          <w:sz w:val="24"/>
          <w:szCs w:val="24"/>
          <w:highlight w:val="none"/>
          <w:u w:val="single"/>
        </w:rPr>
      </w:pPr>
      <w:r>
        <w:rPr>
          <w:rFonts w:hint="eastAsia" w:ascii="宋体" w:hAnsi="宋体" w:cs="宋体"/>
          <w:bCs/>
          <w:sz w:val="24"/>
          <w:szCs w:val="24"/>
          <w:highlight w:val="none"/>
        </w:rPr>
        <w:t>2.1.3工程建设地点：</w:t>
      </w:r>
      <w:r>
        <w:rPr>
          <w:rFonts w:hint="eastAsia" w:ascii="宋体" w:hAnsi="宋体" w:cs="宋体"/>
          <w:bCs/>
          <w:sz w:val="24"/>
          <w:szCs w:val="24"/>
          <w:u w:val="single"/>
        </w:rPr>
        <w:t>永平街到广从一路东侧，地铁</w:t>
      </w:r>
      <w:r>
        <w:rPr>
          <w:rFonts w:ascii="宋体" w:hAnsi="宋体" w:cs="宋体"/>
          <w:bCs/>
          <w:sz w:val="24"/>
          <w:szCs w:val="24"/>
          <w:u w:val="single"/>
        </w:rPr>
        <w:t>14号线东平站A出口东侧</w:t>
      </w:r>
      <w:r>
        <w:rPr>
          <w:rFonts w:hint="eastAsia"/>
          <w:bCs/>
          <w:sz w:val="24"/>
          <w:highlight w:val="none"/>
          <w:u w:val="single"/>
        </w:rPr>
        <w:t>。</w:t>
      </w:r>
    </w:p>
    <w:p>
      <w:pPr>
        <w:shd w:val="clear" w:color="auto" w:fill="FFFFFF"/>
        <w:adjustRightInd w:val="0"/>
        <w:spacing w:line="440" w:lineRule="exact"/>
        <w:ind w:firstLine="420" w:firstLineChars="175"/>
        <w:jc w:val="both"/>
        <w:rPr>
          <w:rFonts w:hint="eastAsia" w:ascii="宋体" w:hAnsi="宋体" w:cs="宋体"/>
          <w:bCs/>
          <w:sz w:val="24"/>
          <w:szCs w:val="24"/>
          <w:highlight w:val="none"/>
          <w:u w:val="single"/>
        </w:rPr>
      </w:pPr>
      <w:r>
        <w:rPr>
          <w:rFonts w:hint="eastAsia" w:ascii="宋体" w:hAnsi="宋体" w:cs="宋体"/>
          <w:sz w:val="24"/>
          <w:szCs w:val="24"/>
          <w:highlight w:val="none"/>
        </w:rPr>
        <w:t>2.1.4工程概算/建筑安装工程费：</w:t>
      </w:r>
      <w:r>
        <w:rPr>
          <w:rFonts w:hint="eastAsia" w:ascii="宋体" w:hAnsi="宋体" w:cs="宋体"/>
          <w:sz w:val="24"/>
          <w:szCs w:val="24"/>
          <w:u w:val="single"/>
        </w:rPr>
        <w:t>本项目总投资为</w:t>
      </w:r>
      <w:r>
        <w:rPr>
          <w:rFonts w:ascii="宋体" w:hAnsi="宋体" w:cs="宋体"/>
          <w:sz w:val="24"/>
          <w:szCs w:val="24"/>
          <w:u w:val="single"/>
        </w:rPr>
        <w:t>92663.00</w:t>
      </w:r>
      <w:r>
        <w:rPr>
          <w:rFonts w:hint="eastAsia" w:ascii="宋体" w:hAnsi="宋体" w:cs="宋体"/>
          <w:sz w:val="24"/>
          <w:szCs w:val="24"/>
          <w:u w:val="single"/>
        </w:rPr>
        <w:t>万元，其中建筑安装工程费用</w:t>
      </w:r>
      <w:r>
        <w:rPr>
          <w:rFonts w:ascii="宋体" w:hAnsi="宋体" w:cs="宋体"/>
          <w:sz w:val="24"/>
          <w:szCs w:val="24"/>
          <w:u w:val="single"/>
        </w:rPr>
        <w:t>46165.00</w:t>
      </w:r>
      <w:r>
        <w:rPr>
          <w:rFonts w:hint="eastAsia" w:ascii="宋体" w:hAnsi="宋体" w:cs="宋体"/>
          <w:sz w:val="24"/>
          <w:szCs w:val="24"/>
          <w:u w:val="single"/>
        </w:rPr>
        <w:t>万元。</w:t>
      </w:r>
    </w:p>
    <w:p>
      <w:pPr>
        <w:tabs>
          <w:tab w:val="left" w:pos="7513"/>
        </w:tabs>
        <w:spacing w:line="440" w:lineRule="exact"/>
        <w:ind w:firstLine="424" w:firstLineChars="177"/>
        <w:rPr>
          <w:rFonts w:ascii="宋体" w:hAnsi="宋体" w:cs="宋体"/>
          <w:bCs/>
          <w:sz w:val="24"/>
          <w:szCs w:val="24"/>
          <w:highlight w:val="none"/>
        </w:rPr>
      </w:pPr>
      <w:r>
        <w:rPr>
          <w:rFonts w:hint="eastAsia" w:ascii="宋体" w:hAnsi="宋体" w:cs="宋体"/>
          <w:bCs/>
          <w:sz w:val="24"/>
          <w:szCs w:val="24"/>
          <w:highlight w:val="none"/>
        </w:rPr>
        <w:t>2.2招标范围</w:t>
      </w:r>
    </w:p>
    <w:p>
      <w:pPr>
        <w:tabs>
          <w:tab w:val="left" w:pos="7513"/>
        </w:tabs>
        <w:spacing w:line="440" w:lineRule="exact"/>
        <w:ind w:firstLine="424" w:firstLineChars="177"/>
        <w:rPr>
          <w:rFonts w:hint="eastAsia" w:ascii="宋体" w:hAnsi="宋体" w:cs="宋体"/>
          <w:sz w:val="24"/>
          <w:szCs w:val="24"/>
          <w:highlight w:val="none"/>
        </w:rPr>
      </w:pPr>
      <w:r>
        <w:rPr>
          <w:rFonts w:hint="eastAsia" w:ascii="宋体" w:hAnsi="宋体" w:cs="宋体"/>
          <w:sz w:val="24"/>
          <w:szCs w:val="24"/>
          <w:highlight w:val="none"/>
        </w:rPr>
        <w:t>2.2.1 标段划分：本项目分为</w:t>
      </w:r>
      <w:r>
        <w:rPr>
          <w:rFonts w:ascii="宋体" w:hAnsi="宋体" w:cs="宋体"/>
          <w:sz w:val="24"/>
          <w:szCs w:val="24"/>
          <w:highlight w:val="none"/>
          <w:u w:val="single"/>
        </w:rPr>
        <w:t>1</w:t>
      </w:r>
      <w:r>
        <w:rPr>
          <w:rFonts w:hint="eastAsia" w:ascii="宋体" w:hAnsi="宋体" w:cs="宋体"/>
          <w:sz w:val="24"/>
          <w:szCs w:val="24"/>
          <w:highlight w:val="none"/>
        </w:rPr>
        <w:t>个标段。</w:t>
      </w:r>
    </w:p>
    <w:p>
      <w:pPr>
        <w:tabs>
          <w:tab w:val="left" w:pos="7513"/>
        </w:tabs>
        <w:spacing w:line="440" w:lineRule="exact"/>
        <w:ind w:firstLine="424" w:firstLineChars="177"/>
        <w:rPr>
          <w:rFonts w:hint="eastAsia"/>
          <w:sz w:val="24"/>
        </w:rPr>
      </w:pPr>
      <w:r>
        <w:rPr>
          <w:rFonts w:hint="eastAsia" w:ascii="宋体" w:hAnsi="宋体" w:cs="宋体"/>
          <w:sz w:val="24"/>
          <w:szCs w:val="24"/>
          <w:highlight w:val="none"/>
        </w:rPr>
        <w:t>2.2.2 服务范围：</w:t>
      </w:r>
      <w:r>
        <w:rPr>
          <w:rFonts w:hint="eastAsia"/>
          <w:sz w:val="24"/>
          <w:u w:val="single"/>
          <w:lang w:eastAsia="zh-CN"/>
        </w:rPr>
        <w:t>白云区东平汽车小镇二期AB2201088地块开发项目地铁保护监测</w:t>
      </w:r>
      <w:r>
        <w:rPr>
          <w:rFonts w:hint="eastAsia"/>
          <w:sz w:val="24"/>
          <w:u w:val="single"/>
        </w:rPr>
        <w:t>，为</w:t>
      </w:r>
      <w:r>
        <w:rPr>
          <w:rFonts w:hint="eastAsia"/>
          <w:sz w:val="24"/>
          <w:u w:val="single"/>
          <w:lang w:eastAsia="zh-CN"/>
        </w:rPr>
        <w:t>白云区东平汽车小镇二期AB2201088地块开发项目</w:t>
      </w:r>
      <w:r>
        <w:rPr>
          <w:rFonts w:hint="eastAsia"/>
          <w:sz w:val="24"/>
          <w:u w:val="single"/>
        </w:rPr>
        <w:t>施工全过程（包括但不限于基坑工程、桩基础、地下室结构工程）中进行相邻地铁隧道保护监测服务。（具体招标内容以清单、委托人要求及招标过程中所发出的相关文件所包含的全部内容为准）。</w:t>
      </w:r>
    </w:p>
    <w:p>
      <w:pPr>
        <w:tabs>
          <w:tab w:val="left" w:pos="7513"/>
        </w:tabs>
        <w:spacing w:line="440" w:lineRule="exact"/>
        <w:ind w:firstLine="424" w:firstLineChars="177"/>
        <w:rPr>
          <w:rFonts w:hint="eastAsia" w:ascii="宋体" w:hAnsi="宋体" w:cs="宋体"/>
          <w:sz w:val="24"/>
          <w:u w:val="single"/>
        </w:rPr>
      </w:pPr>
      <w:r>
        <w:rPr>
          <w:rFonts w:hint="eastAsia" w:ascii="宋体" w:hAnsi="宋体" w:cs="宋体"/>
          <w:sz w:val="24"/>
          <w:u w:val="single"/>
        </w:rPr>
        <w:t>相邻地铁隧道保护监测服务包括但不限于以下内容：</w:t>
      </w:r>
    </w:p>
    <w:p>
      <w:pPr>
        <w:tabs>
          <w:tab w:val="left" w:pos="7513"/>
        </w:tabs>
        <w:spacing w:line="440" w:lineRule="exact"/>
        <w:ind w:firstLine="424" w:firstLineChars="177"/>
        <w:rPr>
          <w:rFonts w:hint="eastAsia" w:ascii="宋体" w:hAnsi="宋体" w:eastAsia="宋体" w:cs="宋体"/>
          <w:sz w:val="24"/>
          <w:u w:val="single"/>
          <w:lang w:eastAsia="zh-CN"/>
        </w:rPr>
      </w:pPr>
      <w:r>
        <w:rPr>
          <w:rFonts w:hint="eastAsia" w:ascii="宋体" w:hAnsi="宋体" w:cs="宋体"/>
          <w:sz w:val="24"/>
          <w:u w:val="single"/>
        </w:rPr>
        <w:t>（1）项目影响范围内的白云区东平汽车小镇二期涉地铁十四号线既有结构保护监测；地铁十八号线东平站轨行区</w:t>
      </w:r>
      <w:r>
        <w:rPr>
          <w:rFonts w:hint="eastAsia" w:ascii="宋体" w:hAnsi="宋体" w:cs="宋体"/>
          <w:sz w:val="24"/>
          <w:u w:val="single"/>
          <w:lang w:val="en-US" w:eastAsia="zh-CN"/>
        </w:rPr>
        <w:t>既有结构保护监测</w:t>
      </w:r>
      <w:r>
        <w:rPr>
          <w:rFonts w:hint="eastAsia" w:ascii="宋体" w:hAnsi="宋体" w:cs="宋体"/>
          <w:sz w:val="24"/>
          <w:u w:val="single"/>
          <w:lang w:eastAsia="zh-CN"/>
        </w:rPr>
        <w:t>。</w:t>
      </w:r>
    </w:p>
    <w:p>
      <w:pPr>
        <w:tabs>
          <w:tab w:val="left" w:pos="7513"/>
        </w:tabs>
        <w:spacing w:line="440" w:lineRule="exact"/>
        <w:ind w:firstLine="424" w:firstLineChars="177"/>
        <w:rPr>
          <w:rFonts w:hint="eastAsia" w:ascii="宋体" w:hAnsi="宋体" w:cs="宋体"/>
          <w:sz w:val="24"/>
          <w:u w:val="single"/>
        </w:rPr>
      </w:pPr>
      <w:r>
        <w:rPr>
          <w:rFonts w:hint="eastAsia" w:ascii="宋体" w:hAnsi="宋体" w:cs="宋体"/>
          <w:sz w:val="24"/>
          <w:u w:val="single"/>
        </w:rPr>
        <w:t>（2）其他工作：详见委托人要求；监测内容应满足建设行政主管部门和现行相关规范要求。</w:t>
      </w:r>
    </w:p>
    <w:p>
      <w:pPr>
        <w:tabs>
          <w:tab w:val="left" w:pos="7513"/>
        </w:tabs>
        <w:spacing w:line="440" w:lineRule="exact"/>
        <w:ind w:firstLine="424" w:firstLineChars="177"/>
        <w:rPr>
          <w:rFonts w:hint="eastAsia" w:ascii="宋体" w:hAnsi="宋体" w:cs="宋体"/>
          <w:sz w:val="24"/>
          <w:szCs w:val="24"/>
          <w:highlight w:val="none"/>
          <w:u w:val="single"/>
        </w:rPr>
      </w:pPr>
      <w:r>
        <w:rPr>
          <w:rFonts w:hint="eastAsia" w:ascii="宋体" w:hAnsi="宋体" w:cs="宋体"/>
          <w:sz w:val="24"/>
          <w:u w:val="single"/>
        </w:rPr>
        <w:t>（3）具体监测服务范围以监测清单、合同条款及招标过程中所发出的相关文件所包含的全部内容为准。</w:t>
      </w:r>
    </w:p>
    <w:p>
      <w:pPr>
        <w:tabs>
          <w:tab w:val="left" w:pos="7513"/>
        </w:tabs>
        <w:spacing w:line="440" w:lineRule="exact"/>
        <w:ind w:firstLine="424" w:firstLineChars="177"/>
        <w:rPr>
          <w:rFonts w:hint="eastAsia" w:ascii="宋体" w:hAnsi="宋体" w:cs="宋体"/>
          <w:sz w:val="24"/>
          <w:szCs w:val="24"/>
          <w:highlight w:val="none"/>
          <w:u w:val="single"/>
        </w:rPr>
      </w:pPr>
      <w:r>
        <w:rPr>
          <w:rFonts w:hint="eastAsia" w:ascii="宋体" w:hAnsi="宋体" w:cs="宋体"/>
          <w:sz w:val="24"/>
          <w:szCs w:val="24"/>
          <w:highlight w:val="none"/>
          <w:u w:val="single"/>
        </w:rPr>
        <w:t>注：具体详见</w:t>
      </w:r>
      <w:r>
        <w:rPr>
          <w:rFonts w:hint="eastAsia" w:ascii="宋体" w:hAnsi="宋体" w:cs="宋体"/>
          <w:sz w:val="24"/>
          <w:szCs w:val="24"/>
          <w:highlight w:val="none"/>
          <w:u w:val="single"/>
          <w:lang w:val="en-US" w:eastAsia="zh-CN"/>
        </w:rPr>
        <w:t>委托人要求及合同要求</w:t>
      </w:r>
      <w:bookmarkStart w:id="20" w:name="_GoBack"/>
      <w:bookmarkEnd w:id="20"/>
      <w:r>
        <w:rPr>
          <w:rFonts w:hint="eastAsia" w:ascii="宋体" w:hAnsi="宋体" w:cs="宋体"/>
          <w:sz w:val="24"/>
          <w:szCs w:val="24"/>
          <w:highlight w:val="none"/>
          <w:u w:val="single"/>
        </w:rPr>
        <w:t>。</w:t>
      </w:r>
    </w:p>
    <w:p>
      <w:pPr>
        <w:tabs>
          <w:tab w:val="left" w:pos="7513"/>
        </w:tabs>
        <w:spacing w:line="440" w:lineRule="exact"/>
        <w:ind w:firstLine="424" w:firstLineChars="177"/>
        <w:rPr>
          <w:rFonts w:hint="eastAsia" w:ascii="宋体" w:hAnsi="宋体" w:cs="宋体"/>
          <w:sz w:val="24"/>
          <w:szCs w:val="24"/>
          <w:highlight w:val="none"/>
        </w:rPr>
      </w:pPr>
      <w:r>
        <w:rPr>
          <w:rFonts w:hint="eastAsia" w:ascii="宋体" w:hAnsi="宋体" w:cs="宋体"/>
          <w:sz w:val="24"/>
          <w:szCs w:val="24"/>
          <w:highlight w:val="none"/>
        </w:rPr>
        <w:t>2.2.3 服务期限：</w:t>
      </w:r>
      <w:r>
        <w:rPr>
          <w:rFonts w:hint="eastAsia"/>
          <w:sz w:val="24"/>
        </w:rPr>
        <w:t>至监测单位所有监测服务项目完成且取得地保办的停测复函，确保监测工作满足项目进度需求。具体开始监测时间以建设单位要求为准</w:t>
      </w:r>
      <w:r>
        <w:rPr>
          <w:rFonts w:hint="eastAsia" w:ascii="宋体" w:hAnsi="宋体" w:cs="宋体"/>
          <w:sz w:val="24"/>
          <w:szCs w:val="24"/>
          <w:highlight w:val="none"/>
          <w:u w:val="none"/>
        </w:rPr>
        <w:t>。</w:t>
      </w:r>
    </w:p>
    <w:p>
      <w:pPr>
        <w:tabs>
          <w:tab w:val="left" w:pos="7513"/>
        </w:tabs>
        <w:spacing w:line="440" w:lineRule="exact"/>
        <w:ind w:firstLine="424" w:firstLineChars="177"/>
        <w:rPr>
          <w:rFonts w:ascii="宋体" w:hAnsi="宋体" w:cs="宋体"/>
          <w:sz w:val="24"/>
          <w:szCs w:val="24"/>
          <w:highlight w:val="none"/>
        </w:rPr>
      </w:pPr>
      <w:r>
        <w:rPr>
          <w:rFonts w:hint="eastAsia" w:ascii="宋体" w:hAnsi="宋体" w:cs="宋体"/>
          <w:sz w:val="24"/>
          <w:szCs w:val="24"/>
          <w:highlight w:val="none"/>
        </w:rPr>
        <w:t>2.2.4最高投标限价：</w:t>
      </w:r>
      <w:r>
        <w:rPr>
          <w:rFonts w:hint="eastAsia" w:ascii="宋体" w:hAnsi="宋体" w:cs="宋体"/>
          <w:sz w:val="24"/>
          <w:szCs w:val="24"/>
          <w:highlight w:val="none"/>
          <w:u w:val="single"/>
        </w:rPr>
        <w:t>2238699.00</w:t>
      </w:r>
      <w:r>
        <w:rPr>
          <w:rFonts w:hint="eastAsia" w:ascii="宋体" w:hAnsi="宋体" w:cs="宋体"/>
          <w:sz w:val="24"/>
          <w:szCs w:val="24"/>
          <w:highlight w:val="none"/>
        </w:rPr>
        <w:t>元</w:t>
      </w:r>
      <w:r>
        <w:rPr>
          <w:rFonts w:hint="eastAsia" w:ascii="宋体" w:hAnsi="宋体" w:cs="宋体"/>
          <w:sz w:val="24"/>
          <w:szCs w:val="24"/>
          <w:highlight w:val="none"/>
          <w:u w:val="none"/>
          <w:lang w:eastAsia="zh-CN"/>
        </w:rPr>
        <w:t>，其中，投标单价不得超过招标控制价清单中对应的单价</w:t>
      </w:r>
      <w:r>
        <w:rPr>
          <w:rFonts w:hint="eastAsia" w:ascii="宋体" w:hAnsi="宋体" w:cs="宋体"/>
          <w:sz w:val="24"/>
          <w:szCs w:val="24"/>
          <w:highlight w:val="none"/>
        </w:rPr>
        <w:t>。</w:t>
      </w:r>
    </w:p>
    <w:p>
      <w:pPr>
        <w:pStyle w:val="4"/>
        <w:spacing w:before="0" w:after="0" w:line="440" w:lineRule="exact"/>
        <w:rPr>
          <w:rFonts w:hint="eastAsia" w:ascii="宋体" w:hAnsi="宋体" w:eastAsia="宋体" w:cs="宋体"/>
          <w:highlight w:val="none"/>
        </w:rPr>
      </w:pPr>
      <w:bookmarkStart w:id="8" w:name="_Toc47987315"/>
      <w:r>
        <w:rPr>
          <w:rFonts w:hint="eastAsia" w:ascii="宋体" w:hAnsi="宋体" w:eastAsia="宋体" w:cs="宋体"/>
          <w:highlight w:val="none"/>
        </w:rPr>
        <w:t>3.</w:t>
      </w:r>
      <w:r>
        <w:rPr>
          <w:rFonts w:ascii="宋体" w:hAnsi="宋体" w:eastAsia="宋体" w:cs="宋体"/>
          <w:highlight w:val="none"/>
        </w:rPr>
        <w:t xml:space="preserve"> </w:t>
      </w:r>
      <w:r>
        <w:rPr>
          <w:rFonts w:hint="eastAsia" w:ascii="宋体" w:hAnsi="宋体" w:eastAsia="宋体" w:cs="宋体"/>
          <w:highlight w:val="none"/>
        </w:rPr>
        <w:t>投标人资格要求</w:t>
      </w:r>
      <w:bookmarkEnd w:id="8"/>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3.1投标人参加投标的意思表达清楚，投标人代表被授权有效。</w:t>
      </w:r>
    </w:p>
    <w:p>
      <w:pPr>
        <w:spacing w:line="440" w:lineRule="exact"/>
        <w:ind w:firstLine="480" w:firstLineChars="200"/>
        <w:rPr>
          <w:rFonts w:hint="eastAsia" w:ascii="宋体" w:hAnsi="宋体" w:cs="宋体"/>
          <w:b/>
          <w:sz w:val="24"/>
          <w:szCs w:val="24"/>
          <w:highlight w:val="none"/>
        </w:rPr>
      </w:pPr>
      <w:r>
        <w:rPr>
          <w:rFonts w:hint="eastAsia" w:ascii="宋体" w:hAnsi="宋体" w:cs="宋体"/>
          <w:sz w:val="24"/>
          <w:szCs w:val="24"/>
          <w:highlight w:val="none"/>
        </w:rPr>
        <w:t>3.2投标人必须是在中华人民共和国注册的独立法人。持有有效的工商行政（市场监督）管理部门核发的企业法人营业执照或各级政府事业单位登记管理机关颁发的事业单位法人证书，按国家法律经营。</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3.3本次招标要求投标人须具备以下资质：</w:t>
      </w:r>
    </w:p>
    <w:p>
      <w:pPr>
        <w:widowControl/>
        <w:spacing w:line="440" w:lineRule="exact"/>
        <w:ind w:firstLine="480" w:firstLineChars="200"/>
        <w:jc w:val="both"/>
        <w:rPr>
          <w:rFonts w:hint="eastAsia" w:ascii="宋体" w:hAnsi="宋体" w:cs="宋体"/>
          <w:b/>
          <w:bCs/>
          <w:sz w:val="24"/>
          <w:highlight w:val="none"/>
          <w:u w:val="single"/>
        </w:rPr>
      </w:pPr>
      <w:r>
        <w:rPr>
          <w:rFonts w:hint="eastAsia" w:ascii="宋体" w:hAnsi="宋体" w:cs="宋体"/>
          <w:sz w:val="24"/>
          <w:szCs w:val="24"/>
          <w:highlight w:val="none"/>
          <w:u w:val="single"/>
        </w:rPr>
        <w:t>3.3.1投标人须具有建设行政主管部门颁发的</w:t>
      </w:r>
      <w:r>
        <w:rPr>
          <w:rFonts w:hint="eastAsia" w:ascii="宋体" w:hAnsi="宋体" w:cs="宋体"/>
          <w:b/>
          <w:bCs/>
          <w:sz w:val="24"/>
          <w:highlight w:val="none"/>
          <w:u w:val="single"/>
        </w:rPr>
        <w:t>以下资质条件中的任意一项：</w:t>
      </w:r>
    </w:p>
    <w:p>
      <w:pPr>
        <w:widowControl/>
        <w:spacing w:line="440" w:lineRule="exact"/>
        <w:ind w:firstLine="480" w:firstLineChars="200"/>
        <w:jc w:val="both"/>
        <w:rPr>
          <w:rFonts w:hint="eastAsia" w:ascii="宋体" w:hAnsi="宋体" w:cs="宋体"/>
          <w:sz w:val="24"/>
          <w:szCs w:val="24"/>
          <w:highlight w:val="none"/>
          <w:u w:val="single"/>
          <w:lang w:eastAsia="zh-CN"/>
        </w:rPr>
      </w:pPr>
      <w:r>
        <w:rPr>
          <w:rFonts w:hint="default" w:ascii="Calibri" w:hAnsi="Calibri" w:cs="Calibri"/>
          <w:sz w:val="24"/>
          <w:szCs w:val="24"/>
          <w:highlight w:val="none"/>
          <w:u w:val="single"/>
        </w:rPr>
        <w:t>①</w:t>
      </w:r>
      <w:r>
        <w:rPr>
          <w:rFonts w:hint="eastAsia" w:ascii="宋体" w:hAnsi="宋体" w:cs="宋体"/>
          <w:sz w:val="24"/>
          <w:szCs w:val="24"/>
          <w:highlight w:val="none"/>
          <w:u w:val="single"/>
        </w:rPr>
        <w:t>工程勘察综合甲级资质</w:t>
      </w:r>
      <w:r>
        <w:rPr>
          <w:rFonts w:hint="eastAsia" w:ascii="宋体" w:hAnsi="宋体" w:cs="宋体"/>
          <w:sz w:val="24"/>
          <w:szCs w:val="24"/>
          <w:highlight w:val="none"/>
          <w:u w:val="single"/>
          <w:lang w:eastAsia="zh-CN"/>
        </w:rPr>
        <w:t>。</w:t>
      </w:r>
    </w:p>
    <w:p>
      <w:pPr>
        <w:widowControl/>
        <w:spacing w:line="440" w:lineRule="exact"/>
        <w:ind w:firstLine="480" w:firstLineChars="200"/>
        <w:jc w:val="both"/>
        <w:rPr>
          <w:rFonts w:hint="eastAsia" w:ascii="宋体" w:hAnsi="宋体" w:cs="宋体"/>
          <w:sz w:val="24"/>
          <w:szCs w:val="24"/>
          <w:highlight w:val="yellow"/>
          <w:u w:val="single"/>
        </w:rPr>
      </w:pPr>
      <w:r>
        <w:rPr>
          <w:rFonts w:hint="default" w:ascii="Calibri" w:hAnsi="Calibri" w:cs="Calibri"/>
          <w:sz w:val="24"/>
          <w:szCs w:val="24"/>
          <w:highlight w:val="none"/>
          <w:u w:val="single"/>
        </w:rPr>
        <w:t>②</w:t>
      </w:r>
      <w:r>
        <w:rPr>
          <w:rFonts w:hint="eastAsia" w:ascii="宋体" w:hAnsi="宋体" w:cs="宋体"/>
          <w:sz w:val="24"/>
          <w:szCs w:val="24"/>
          <w:highlight w:val="none"/>
          <w:u w:val="single"/>
        </w:rPr>
        <w:t>同时具有</w:t>
      </w:r>
      <w:r>
        <w:rPr>
          <w:rFonts w:hint="eastAsia" w:ascii="宋体" w:hAnsi="宋体" w:cs="宋体"/>
          <w:bCs/>
          <w:sz w:val="24"/>
          <w:szCs w:val="24"/>
          <w:highlight w:val="none"/>
          <w:u w:val="single"/>
        </w:rPr>
        <w:t>工程勘察专业类（岩土工程）甲级资质和</w:t>
      </w:r>
      <w:r>
        <w:rPr>
          <w:rFonts w:hint="eastAsia" w:ascii="宋体" w:hAnsi="宋体" w:cs="宋体"/>
          <w:sz w:val="24"/>
          <w:szCs w:val="24"/>
          <w:highlight w:val="none"/>
          <w:u w:val="single"/>
        </w:rPr>
        <w:t>工程勘察专业类（工程测量）甲级资质。</w:t>
      </w:r>
    </w:p>
    <w:p>
      <w:pPr>
        <w:widowControl/>
        <w:spacing w:line="440" w:lineRule="exact"/>
        <w:ind w:firstLine="480" w:firstLineChars="200"/>
        <w:jc w:val="both"/>
        <w:rPr>
          <w:rFonts w:hint="eastAsia" w:ascii="宋体" w:hAnsi="宋体" w:cs="宋体"/>
          <w:sz w:val="24"/>
          <w:szCs w:val="24"/>
          <w:highlight w:val="none"/>
          <w:u w:val="single"/>
        </w:rPr>
      </w:pPr>
      <w:r>
        <w:rPr>
          <w:rFonts w:hint="default" w:ascii="Calibri" w:hAnsi="Calibri" w:cs="Calibri"/>
          <w:sz w:val="24"/>
          <w:szCs w:val="24"/>
          <w:highlight w:val="none"/>
          <w:u w:val="single"/>
        </w:rPr>
        <w:t>③</w:t>
      </w:r>
      <w:r>
        <w:rPr>
          <w:rFonts w:hint="eastAsia" w:ascii="宋体" w:hAnsi="宋体" w:cs="宋体"/>
          <w:sz w:val="24"/>
          <w:szCs w:val="24"/>
          <w:highlight w:val="none"/>
          <w:u w:val="single"/>
        </w:rPr>
        <w:t>同时具有建设行政主管部门颁发的工程勘察专业（岩土工程（分项）物探测试检测监测）甲级资质和工程勘察专业类（工程测量）甲级资质。</w:t>
      </w:r>
    </w:p>
    <w:p>
      <w:pPr>
        <w:spacing w:line="440" w:lineRule="exact"/>
        <w:ind w:left="134" w:leftChars="64" w:firstLine="324" w:firstLineChars="135"/>
        <w:rPr>
          <w:rFonts w:hint="eastAsia" w:ascii="宋体" w:hAnsi="宋体" w:cs="宋体"/>
          <w:sz w:val="24"/>
          <w:szCs w:val="24"/>
          <w:highlight w:val="none"/>
          <w:u w:val="single"/>
        </w:rPr>
      </w:pPr>
      <w:r>
        <w:rPr>
          <w:rFonts w:ascii="宋体" w:hAnsi="宋体" w:cs="宋体"/>
          <w:sz w:val="24"/>
          <w:szCs w:val="24"/>
          <w:highlight w:val="none"/>
          <w:u w:val="single"/>
        </w:rPr>
        <w:t>3.3.</w:t>
      </w:r>
      <w:r>
        <w:rPr>
          <w:rFonts w:hint="eastAsia" w:ascii="宋体" w:hAnsi="宋体" w:cs="宋体"/>
          <w:sz w:val="24"/>
          <w:szCs w:val="24"/>
          <w:highlight w:val="none"/>
          <w:u w:val="single"/>
        </w:rPr>
        <w:t>2投标人</w:t>
      </w:r>
      <w:r>
        <w:rPr>
          <w:rFonts w:hint="eastAsia" w:ascii="宋体" w:hAnsi="宋体" w:cs="宋体"/>
          <w:bCs/>
          <w:sz w:val="24"/>
          <w:szCs w:val="24"/>
          <w:u w:val="single"/>
        </w:rPr>
        <w:t>须</w:t>
      </w:r>
      <w:r>
        <w:rPr>
          <w:rFonts w:hint="eastAsia" w:ascii="宋体" w:hAnsi="宋体" w:cs="宋体"/>
          <w:sz w:val="24"/>
          <w:szCs w:val="24"/>
          <w:u w:val="single"/>
        </w:rPr>
        <w:t>具备质量技术监督管理部门颁发的</w:t>
      </w:r>
      <w:r>
        <w:rPr>
          <w:rFonts w:ascii="宋体" w:hAnsi="宋体" w:cs="宋体"/>
          <w:sz w:val="24"/>
          <w:szCs w:val="24"/>
          <w:u w:val="single"/>
        </w:rPr>
        <w:t>CMA计量认证合格证书</w:t>
      </w:r>
      <w:r>
        <w:rPr>
          <w:rFonts w:hint="eastAsia" w:ascii="宋体" w:hAnsi="宋体"/>
          <w:sz w:val="24"/>
          <w:u w:val="single"/>
        </w:rPr>
        <w:t>或</w:t>
      </w:r>
      <w:r>
        <w:rPr>
          <w:rFonts w:ascii="宋体" w:hAnsi="宋体"/>
          <w:sz w:val="24"/>
          <w:u w:val="single"/>
        </w:rPr>
        <w:t>CMA检验检测机构资质认定证书</w:t>
      </w:r>
      <w:r>
        <w:rPr>
          <w:rFonts w:hint="eastAsia" w:ascii="宋体" w:hAnsi="宋体" w:cs="宋体"/>
          <w:sz w:val="24"/>
          <w:szCs w:val="24"/>
          <w:u w:val="single"/>
        </w:rPr>
        <w:t>（认证范围需覆盖本次招标主要内容），且证书在有效期内</w:t>
      </w:r>
      <w:r>
        <w:rPr>
          <w:rFonts w:hint="eastAsia" w:ascii="宋体" w:hAnsi="宋体" w:cs="宋体"/>
          <w:bCs/>
          <w:sz w:val="24"/>
          <w:szCs w:val="24"/>
          <w:u w:val="single"/>
        </w:rPr>
        <w:t>。</w:t>
      </w:r>
      <w:r>
        <w:rPr>
          <w:rFonts w:hint="eastAsia" w:ascii="宋体" w:hAnsi="宋体" w:cs="宋体"/>
          <w:sz w:val="24"/>
          <w:szCs w:val="24"/>
          <w:u w:val="single"/>
        </w:rPr>
        <w:t>如投标人</w:t>
      </w:r>
      <w:r>
        <w:rPr>
          <w:rFonts w:ascii="宋体" w:hAnsi="宋体" w:cs="宋体"/>
          <w:sz w:val="24"/>
          <w:szCs w:val="24"/>
          <w:u w:val="single"/>
        </w:rPr>
        <w:t>CMA计量认证合格证书</w:t>
      </w:r>
      <w:r>
        <w:rPr>
          <w:rFonts w:hint="eastAsia" w:ascii="宋体" w:hAnsi="宋体"/>
          <w:sz w:val="24"/>
          <w:u w:val="single"/>
        </w:rPr>
        <w:t>或</w:t>
      </w:r>
      <w:r>
        <w:rPr>
          <w:rFonts w:ascii="宋体" w:hAnsi="宋体"/>
          <w:sz w:val="24"/>
          <w:u w:val="single"/>
        </w:rPr>
        <w:t>CMA检验检测机构资质认定证书</w:t>
      </w:r>
      <w:r>
        <w:rPr>
          <w:rFonts w:hint="eastAsia" w:ascii="宋体" w:hAnsi="宋体" w:cs="宋体"/>
          <w:sz w:val="24"/>
          <w:szCs w:val="24"/>
          <w:u w:val="single"/>
        </w:rPr>
        <w:t>中的项目</w:t>
      </w:r>
      <w:r>
        <w:rPr>
          <w:rFonts w:hint="eastAsia" w:ascii="宋体" w:hAnsi="宋体" w:cs="宋体"/>
          <w:sz w:val="24"/>
          <w:szCs w:val="24"/>
          <w:highlight w:val="none"/>
          <w:u w:val="single"/>
        </w:rPr>
        <w:t>与上述名称不同，但表达的意思一致也视为满足该项条件。</w:t>
      </w:r>
    </w:p>
    <w:p>
      <w:pPr>
        <w:widowControl/>
        <w:spacing w:line="440" w:lineRule="exact"/>
        <w:ind w:firstLine="480" w:firstLineChars="200"/>
        <w:jc w:val="both"/>
      </w:pPr>
      <w:r>
        <w:rPr>
          <w:rFonts w:hint="eastAsia" w:ascii="Calibri" w:hAnsi="Calibri"/>
          <w:sz w:val="24"/>
        </w:rPr>
        <w:t>注：以上相关资质内容按照《建设工程质量检测机构资质标准》的通知》（建质规〔2023〕1号）、《住房和城乡建设部办公厅关于做好建设工程质量检测机构新旧资质标准过渡工作的通知》（建办质函〔2023〕100号）、《广东省住房和城乡建设厅关于做好建设工程质量检测机构资质审批有关事项准备的通知》（粤建质〔2024〕244号）的要求设置。</w:t>
      </w:r>
    </w:p>
    <w:p>
      <w:pPr>
        <w:spacing w:line="440" w:lineRule="exact"/>
        <w:ind w:left="134" w:leftChars="64" w:firstLine="324" w:firstLineChars="135"/>
        <w:rPr>
          <w:rFonts w:ascii="宋体" w:hAnsi="宋体" w:cs="宋体"/>
          <w:sz w:val="24"/>
          <w:szCs w:val="24"/>
          <w:highlight w:val="none"/>
          <w:u w:val="single"/>
        </w:rPr>
      </w:pPr>
      <w:r>
        <w:rPr>
          <w:rFonts w:hint="eastAsia" w:ascii="宋体" w:hAnsi="宋体" w:cs="宋体"/>
          <w:sz w:val="24"/>
          <w:szCs w:val="24"/>
          <w:highlight w:val="none"/>
          <w:u w:val="single"/>
        </w:rPr>
        <w:t>3.</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rPr>
        <w:t>投标人拟委派项目负责人具备工程类中级或以上技术职称，且必须为投标人在职员工。</w:t>
      </w:r>
    </w:p>
    <w:p>
      <w:pPr>
        <w:spacing w:line="44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3.</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投标人已在广州市住建行业信用管理平台建立企业信用档案。</w:t>
      </w:r>
    </w:p>
    <w:p>
      <w:pPr>
        <w:shd w:val="clear" w:color="auto" w:fill="FFFFFF"/>
        <w:snapToGrid w:val="0"/>
        <w:spacing w:line="44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3.</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投标人已提交按照招标公告附件一内容签署盖章的《投标人声明》。</w:t>
      </w:r>
    </w:p>
    <w:p>
      <w:pPr>
        <w:shd w:val="clear" w:color="auto" w:fill="FFFFFF"/>
        <w:snapToGrid w:val="0"/>
        <w:spacing w:line="44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val="en-US" w:eastAsia="zh-CN"/>
        </w:rPr>
        <w:t>3.7</w:t>
      </w:r>
      <w:r>
        <w:rPr>
          <w:rFonts w:hint="eastAsia" w:ascii="宋体" w:hAnsi="宋体" w:cs="宋体"/>
          <w:sz w:val="24"/>
          <w:szCs w:val="24"/>
          <w:highlight w:val="none"/>
          <w:u w:val="single"/>
        </w:rPr>
        <w:t>投标人近二年（</w:t>
      </w:r>
      <w:r>
        <w:rPr>
          <w:rFonts w:ascii="宋体" w:hAnsi="宋体" w:cs="宋体"/>
          <w:sz w:val="24"/>
          <w:szCs w:val="24"/>
          <w:u w:val="single"/>
        </w:rPr>
        <w:t>从招标公告发布年度起逆推2年的1月1日起至投标截止时间止</w:t>
      </w:r>
      <w:r>
        <w:rPr>
          <w:rFonts w:hint="eastAsia" w:ascii="宋体" w:hAnsi="宋体" w:cs="宋体"/>
          <w:sz w:val="24"/>
          <w:szCs w:val="24"/>
          <w:highlight w:val="none"/>
          <w:u w:val="single"/>
        </w:rPr>
        <w:t>）未因以往检测工作中存在伪造检测数据、出具虚假检测报告的行为被各级建设行政主管部门或市场监督管理部门行政处罚或通报的。</w:t>
      </w:r>
    </w:p>
    <w:p>
      <w:pPr>
        <w:spacing w:line="440" w:lineRule="exact"/>
        <w:ind w:firstLine="480" w:firstLineChars="200"/>
        <w:rPr>
          <w:rFonts w:hint="eastAsia" w:ascii="宋体" w:hAnsi="宋体" w:cs="宋体"/>
          <w:sz w:val="24"/>
          <w:szCs w:val="24"/>
          <w:highlight w:val="yellow"/>
          <w:u w:val="single"/>
        </w:rPr>
      </w:pPr>
      <w:r>
        <w:rPr>
          <w:rFonts w:hint="eastAsia" w:ascii="宋体" w:hAnsi="宋体" w:cs="宋体"/>
          <w:sz w:val="24"/>
          <w:szCs w:val="24"/>
          <w:highlight w:val="none"/>
          <w:u w:val="single"/>
        </w:rPr>
        <w:t>3.</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u w:val="single"/>
        </w:rPr>
        <w:t>投标人单位负责人为同一人或者存在控股、管理关系的不同单位，不得参加同一标段投标或者未划分标段的同一招标项目登记。如不同投标申请人出现单位负责人为同一人或者存在控股、管理关系的情形，则相关投标均无效。</w:t>
      </w:r>
      <w:r>
        <w:rPr>
          <w:rFonts w:hint="eastAsia" w:ascii="宋体" w:hAnsi="宋体"/>
          <w:sz w:val="24"/>
          <w:szCs w:val="24"/>
          <w:highlight w:val="none"/>
          <w:u w:val="single"/>
        </w:rPr>
        <w:t>（按投标人提供的《投标人声明》内容进行评审）。</w:t>
      </w:r>
    </w:p>
    <w:p>
      <w:pPr>
        <w:shd w:val="clear" w:color="auto" w:fill="FFFFFF"/>
        <w:snapToGrid w:val="0"/>
        <w:spacing w:line="44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u w:val="single"/>
        </w:rPr>
        <w:t>3</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u w:val="single"/>
        </w:rPr>
        <w:t>投标人未被列入拖欠农民工工资失信联合惩戒对象名单（投标人无需提供资料，按投标截止时间交易系统比对的结果进行评审）</w:t>
      </w:r>
    </w:p>
    <w:p>
      <w:pPr>
        <w:shd w:val="clear" w:color="auto" w:fill="auto"/>
        <w:snapToGrid/>
        <w:spacing w:line="44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3.</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本次招标不接受联合体投标。</w:t>
      </w:r>
    </w:p>
    <w:p>
      <w:pPr>
        <w:shd w:val="clear" w:color="auto" w:fill="auto"/>
        <w:snapToGrid/>
        <w:spacing w:line="440" w:lineRule="exact"/>
        <w:ind w:firstLine="480" w:firstLineChars="200"/>
        <w:rPr>
          <w:rFonts w:hint="eastAsia" w:ascii="宋体" w:hAnsi="Calibri"/>
          <w:highlight w:val="none"/>
        </w:rPr>
      </w:pPr>
      <w:r>
        <w:rPr>
          <w:rFonts w:hint="eastAsia" w:ascii="宋体" w:hAnsi="宋体"/>
          <w:sz w:val="24"/>
          <w:szCs w:val="24"/>
          <w:highlight w:val="none"/>
        </w:rPr>
        <w:t>注：未在招标公告第3条单列的投标人资格要求条件，不作为资审不合格的依据。</w:t>
      </w:r>
    </w:p>
    <w:p>
      <w:pPr>
        <w:pStyle w:val="4"/>
        <w:spacing w:before="0" w:after="0" w:line="440" w:lineRule="exact"/>
        <w:rPr>
          <w:rFonts w:hint="eastAsia" w:ascii="宋体" w:hAnsi="宋体" w:eastAsia="宋体" w:cs="宋体"/>
          <w:highlight w:val="none"/>
        </w:rPr>
      </w:pPr>
      <w:bookmarkStart w:id="9" w:name="_Toc47987316"/>
      <w:r>
        <w:rPr>
          <w:rFonts w:hint="eastAsia" w:ascii="宋体" w:hAnsi="宋体" w:eastAsia="宋体" w:cs="宋体"/>
          <w:highlight w:val="none"/>
        </w:rPr>
        <w:t>4.</w:t>
      </w:r>
      <w:bookmarkEnd w:id="9"/>
      <w:r>
        <w:rPr>
          <w:rFonts w:ascii="宋体" w:hAnsi="宋体" w:eastAsia="宋体" w:cs="宋体"/>
          <w:highlight w:val="none"/>
        </w:rPr>
        <w:t xml:space="preserve"> </w:t>
      </w:r>
      <w:r>
        <w:rPr>
          <w:rFonts w:hint="eastAsia" w:ascii="宋体" w:hAnsi="宋体" w:eastAsia="宋体" w:cs="宋体"/>
          <w:highlight w:val="none"/>
        </w:rPr>
        <w:t>发布招标公告时间、招标文件的获取</w:t>
      </w:r>
    </w:p>
    <w:p>
      <w:pPr>
        <w:spacing w:line="440" w:lineRule="exact"/>
        <w:ind w:firstLine="420" w:firstLineChars="175"/>
        <w:rPr>
          <w:rFonts w:ascii="宋体" w:hAnsi="宋体" w:cs="宋体"/>
          <w:sz w:val="24"/>
          <w:szCs w:val="24"/>
        </w:rPr>
      </w:pPr>
      <w:r>
        <w:rPr>
          <w:rFonts w:ascii="宋体" w:hAnsi="宋体" w:cs="宋体"/>
          <w:sz w:val="24"/>
          <w:szCs w:val="24"/>
        </w:rPr>
        <w:t>4.1发布招标公告时间（含本日）：</w:t>
      </w:r>
      <w:r>
        <w:rPr>
          <w:rFonts w:ascii="宋体" w:hAnsi="宋体" w:cs="宋体"/>
          <w:sz w:val="24"/>
          <w:szCs w:val="24"/>
          <w:u w:val="single"/>
        </w:rPr>
        <w:t>2025</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u w:val="single"/>
        </w:rPr>
        <w:t xml:space="preserve">   </w:t>
      </w:r>
      <w:r>
        <w:rPr>
          <w:rFonts w:hint="eastAsia" w:ascii="宋体" w:hAnsi="宋体" w:cs="宋体"/>
          <w:sz w:val="24"/>
          <w:szCs w:val="24"/>
        </w:rPr>
        <w:t>时</w:t>
      </w:r>
      <w:r>
        <w:rPr>
          <w:rFonts w:ascii="宋体" w:hAnsi="宋体" w:cs="宋体"/>
          <w:sz w:val="24"/>
          <w:szCs w:val="24"/>
          <w:u w:val="single"/>
        </w:rPr>
        <w:t xml:space="preserve">   </w:t>
      </w:r>
      <w:r>
        <w:rPr>
          <w:rFonts w:hint="eastAsia" w:ascii="宋体" w:hAnsi="宋体" w:cs="宋体"/>
          <w:sz w:val="24"/>
          <w:szCs w:val="24"/>
        </w:rPr>
        <w:t>分至</w:t>
      </w:r>
      <w:r>
        <w:rPr>
          <w:rFonts w:ascii="宋体" w:hAnsi="宋体" w:cs="宋体"/>
          <w:sz w:val="24"/>
          <w:szCs w:val="24"/>
          <w:u w:val="single"/>
        </w:rPr>
        <w:t>2025</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u w:val="single"/>
        </w:rPr>
        <w:t xml:space="preserve">   </w:t>
      </w:r>
      <w:r>
        <w:rPr>
          <w:rFonts w:hint="eastAsia" w:ascii="宋体" w:hAnsi="宋体" w:cs="宋体"/>
          <w:sz w:val="24"/>
          <w:szCs w:val="24"/>
        </w:rPr>
        <w:t>时</w:t>
      </w:r>
      <w:r>
        <w:rPr>
          <w:rFonts w:ascii="宋体" w:hAnsi="宋体" w:cs="宋体"/>
          <w:sz w:val="24"/>
          <w:szCs w:val="24"/>
          <w:u w:val="single"/>
        </w:rPr>
        <w:t xml:space="preserve">    </w:t>
      </w:r>
      <w:r>
        <w:rPr>
          <w:rFonts w:hint="eastAsia" w:ascii="宋体" w:hAnsi="宋体" w:cs="宋体"/>
          <w:sz w:val="24"/>
          <w:szCs w:val="24"/>
        </w:rPr>
        <w:t>分。</w:t>
      </w:r>
    </w:p>
    <w:p>
      <w:pPr>
        <w:spacing w:line="440" w:lineRule="exact"/>
        <w:ind w:firstLine="420" w:firstLineChars="175"/>
        <w:rPr>
          <w:rFonts w:ascii="宋体" w:hAnsi="宋体" w:cs="宋体"/>
          <w:sz w:val="24"/>
          <w:szCs w:val="24"/>
        </w:rPr>
      </w:pPr>
      <w:r>
        <w:rPr>
          <w:rFonts w:hint="eastAsia" w:ascii="宋体" w:hAnsi="宋体" w:cs="宋体"/>
          <w:sz w:val="24"/>
          <w:szCs w:val="24"/>
        </w:rPr>
        <w:t>注：发布招标公告的时间为招标公告发出之日起至递交投标文件截止时间止。</w:t>
      </w:r>
    </w:p>
    <w:p>
      <w:pPr>
        <w:tabs>
          <w:tab w:val="left" w:pos="7513"/>
        </w:tabs>
        <w:spacing w:line="440" w:lineRule="exact"/>
        <w:ind w:firstLine="420" w:firstLineChars="175"/>
        <w:rPr>
          <w:rFonts w:ascii="宋体" w:hAnsi="宋体" w:cs="宋体"/>
          <w:sz w:val="24"/>
          <w:szCs w:val="24"/>
        </w:rPr>
      </w:pPr>
      <w:r>
        <w:rPr>
          <w:rFonts w:hint="eastAsia" w:ascii="宋体" w:hAnsi="宋体" w:cs="宋体"/>
          <w:sz w:val="24"/>
          <w:szCs w:val="24"/>
        </w:rPr>
        <w:t>投标人通过</w:t>
      </w:r>
      <w:r>
        <w:rPr>
          <w:rFonts w:hint="eastAsia" w:ascii="宋体" w:hAnsi="宋体" w:cs="宋体"/>
          <w:sz w:val="24"/>
          <w:szCs w:val="24"/>
          <w:u w:val="single"/>
        </w:rPr>
        <w:t>广州交易集团有限公司（广州公共资源交易中心）数字</w:t>
      </w:r>
      <w:r>
        <w:rPr>
          <w:rFonts w:hint="eastAsia" w:ascii="宋体" w:hAnsi="宋体" w:cs="宋体"/>
          <w:sz w:val="24"/>
          <w:szCs w:val="24"/>
        </w:rPr>
        <w:t>交易平台递交电子投标文件。投标人应在递交投标文件截止时间前，登录</w:t>
      </w:r>
      <w:r>
        <w:rPr>
          <w:rFonts w:hint="eastAsia" w:ascii="宋体" w:hAnsi="宋体" w:cs="宋体"/>
          <w:sz w:val="24"/>
          <w:szCs w:val="24"/>
          <w:u w:val="single"/>
        </w:rPr>
        <w:t>广州交易集团有限公司（广州公共资源交易中心）数字</w:t>
      </w:r>
      <w:r>
        <w:rPr>
          <w:rFonts w:hint="eastAsia" w:ascii="宋体" w:hAnsi="宋体" w:cs="宋体"/>
          <w:sz w:val="24"/>
          <w:szCs w:val="24"/>
        </w:rPr>
        <w:t>交易平台网站办理网上投标登记手续。按照交易平台关于全流程电子化项目的相关指南进行操作。详见：</w:t>
      </w:r>
      <w:r>
        <w:rPr>
          <w:rFonts w:hint="eastAsia" w:ascii="宋体" w:hAnsi="宋体" w:cs="宋体"/>
          <w:sz w:val="24"/>
          <w:szCs w:val="24"/>
          <w:u w:val="single"/>
        </w:rPr>
        <w:t>广州交易集团有限公司（广州公共资源交易中心）网站发布的《建设工程全流程电子化项目操作指南》最新版操作指引</w:t>
      </w:r>
      <w:r>
        <w:rPr>
          <w:rFonts w:hint="eastAsia" w:ascii="宋体" w:hAnsi="宋体" w:cs="宋体"/>
          <w:sz w:val="24"/>
          <w:szCs w:val="24"/>
        </w:rPr>
        <w:t>。</w:t>
      </w:r>
    </w:p>
    <w:p>
      <w:pPr>
        <w:tabs>
          <w:tab w:val="left" w:pos="7513"/>
        </w:tabs>
        <w:spacing w:line="440" w:lineRule="exact"/>
        <w:ind w:firstLine="480" w:firstLineChars="200"/>
        <w:rPr>
          <w:rFonts w:ascii="宋体" w:hAnsi="宋体" w:cs="宋体"/>
          <w:sz w:val="24"/>
          <w:szCs w:val="24"/>
          <w:u w:val="single"/>
        </w:rPr>
      </w:pPr>
      <w:r>
        <w:rPr>
          <w:rFonts w:ascii="宋体" w:hAnsi="宋体" w:cs="宋体"/>
          <w:sz w:val="24"/>
          <w:szCs w:val="24"/>
          <w:u w:val="single"/>
        </w:rPr>
        <w:t xml:space="preserve">4.2招标文件的获取：凡有意参加投标者，请登录广州交易集团有限公司（广州公共资源交易中心）网站（http//www.gzggzy.cn）下载招标文件。 </w:t>
      </w:r>
    </w:p>
    <w:p>
      <w:pPr>
        <w:tabs>
          <w:tab w:val="left" w:pos="7513"/>
        </w:tabs>
        <w:spacing w:line="324" w:lineRule="auto"/>
        <w:ind w:firstLine="480" w:firstLineChars="200"/>
        <w:rPr>
          <w:rFonts w:hint="eastAsia" w:ascii="宋体" w:hAnsi="宋体" w:cs="宋体"/>
          <w:szCs w:val="21"/>
          <w:highlight w:val="none"/>
        </w:rPr>
      </w:pPr>
      <w:r>
        <w:rPr>
          <w:rFonts w:ascii="宋体" w:hAnsi="宋体" w:cs="宋体"/>
          <w:sz w:val="24"/>
          <w:szCs w:val="24"/>
        </w:rPr>
        <w:t>4.3本项目采用资格后审方式。</w:t>
      </w:r>
    </w:p>
    <w:p>
      <w:pPr>
        <w:pStyle w:val="4"/>
        <w:spacing w:before="0" w:after="0" w:line="440" w:lineRule="exact"/>
        <w:rPr>
          <w:rFonts w:hint="eastAsia" w:ascii="宋体" w:hAnsi="宋体" w:eastAsia="宋体" w:cs="宋体"/>
          <w:highlight w:val="none"/>
        </w:rPr>
      </w:pPr>
      <w:bookmarkStart w:id="10" w:name="_Toc514099627"/>
      <w:bookmarkStart w:id="11" w:name="_Toc511557029"/>
      <w:bookmarkStart w:id="12" w:name="_Toc47987317"/>
      <w:r>
        <w:rPr>
          <w:rFonts w:hint="eastAsia" w:ascii="宋体" w:hAnsi="宋体" w:eastAsia="宋体" w:cs="宋体"/>
          <w:highlight w:val="none"/>
        </w:rPr>
        <w:t>5.</w:t>
      </w:r>
      <w:bookmarkEnd w:id="10"/>
      <w:bookmarkEnd w:id="11"/>
      <w:r>
        <w:rPr>
          <w:rFonts w:ascii="宋体" w:hAnsi="宋体" w:eastAsia="宋体" w:cs="宋体"/>
          <w:highlight w:val="none"/>
        </w:rPr>
        <w:t xml:space="preserve"> </w:t>
      </w:r>
      <w:bookmarkEnd w:id="12"/>
      <w:r>
        <w:rPr>
          <w:rFonts w:hint="eastAsia" w:ascii="宋体" w:hAnsi="宋体" w:eastAsia="宋体" w:cs="宋体"/>
          <w:highlight w:val="none"/>
        </w:rPr>
        <w:t>投标文件递交时间、开标时间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175"/>
        <w:jc w:val="both"/>
        <w:textAlignment w:val="auto"/>
        <w:rPr>
          <w:rFonts w:ascii="宋体" w:hAnsi="宋体" w:cs="宋体"/>
          <w:sz w:val="24"/>
          <w:szCs w:val="24"/>
        </w:rPr>
      </w:pPr>
      <w:r>
        <w:rPr>
          <w:rFonts w:ascii="宋体" w:hAnsi="宋体" w:cs="宋体"/>
          <w:sz w:val="24"/>
          <w:szCs w:val="24"/>
        </w:rPr>
        <w:t xml:space="preserve">5.1 </w:t>
      </w:r>
      <w:r>
        <w:rPr>
          <w:rFonts w:hint="eastAsia" w:ascii="宋体" w:hAnsi="宋体" w:cs="宋体"/>
          <w:sz w:val="24"/>
          <w:szCs w:val="24"/>
        </w:rPr>
        <w:t>递交电子投标文件的截止时间（投标截止时间，下同）为</w:t>
      </w:r>
      <w:r>
        <w:rPr>
          <w:rFonts w:ascii="宋体" w:hAnsi="宋体" w:cs="宋体"/>
          <w:sz w:val="24"/>
          <w:szCs w:val="24"/>
          <w:u w:val="single"/>
        </w:rPr>
        <w:t>2025</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u w:val="single"/>
        </w:rPr>
        <w:t xml:space="preserve">   </w:t>
      </w:r>
      <w:r>
        <w:rPr>
          <w:rFonts w:hint="eastAsia" w:ascii="宋体" w:hAnsi="宋体" w:cs="宋体"/>
          <w:sz w:val="24"/>
          <w:szCs w:val="24"/>
        </w:rPr>
        <w:t>时</w:t>
      </w:r>
      <w:r>
        <w:rPr>
          <w:rFonts w:ascii="宋体" w:hAnsi="宋体" w:cs="宋体"/>
          <w:sz w:val="24"/>
          <w:szCs w:val="24"/>
          <w:u w:val="single"/>
        </w:rPr>
        <w:t xml:space="preserve">    </w:t>
      </w:r>
      <w:r>
        <w:rPr>
          <w:rFonts w:hint="eastAsia" w:ascii="宋体" w:hAnsi="宋体" w:cs="宋体"/>
          <w:sz w:val="24"/>
          <w:szCs w:val="24"/>
        </w:rPr>
        <w:t>分，投标人应在截止时间前通过</w:t>
      </w:r>
      <w:r>
        <w:rPr>
          <w:rFonts w:hint="eastAsia" w:ascii="宋体" w:hAnsi="宋体" w:cs="宋体"/>
          <w:sz w:val="24"/>
          <w:szCs w:val="24"/>
          <w:u w:val="single"/>
        </w:rPr>
        <w:t>广州交易集团有限公司（广州公共资源交易中心）数字交易平台（网址：</w:t>
      </w:r>
      <w:r>
        <w:rPr>
          <w:rFonts w:ascii="宋体" w:hAnsi="宋体" w:cs="宋体"/>
          <w:sz w:val="24"/>
          <w:szCs w:val="24"/>
          <w:u w:val="single"/>
        </w:rPr>
        <w:t>http://www.gzggzy.cn）</w:t>
      </w:r>
      <w:r>
        <w:rPr>
          <w:rFonts w:hint="eastAsia" w:ascii="宋体" w:hAnsi="宋体" w:cs="宋体"/>
          <w:sz w:val="24"/>
          <w:szCs w:val="24"/>
        </w:rPr>
        <w:t>递交电子投标文件。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b/>
          <w:sz w:val="24"/>
        </w:rPr>
      </w:pPr>
      <w:r>
        <w:rPr>
          <w:rFonts w:ascii="宋体" w:hAnsi="宋体" w:cs="宋体"/>
          <w:sz w:val="24"/>
          <w:szCs w:val="24"/>
        </w:rPr>
        <w:t>5.2递交备用投标文件电子光盘的规定：时间为：</w:t>
      </w:r>
      <w:r>
        <w:rPr>
          <w:rFonts w:ascii="宋体" w:hAnsi="宋体" w:cs="宋体"/>
          <w:sz w:val="24"/>
          <w:szCs w:val="24"/>
          <w:u w:val="single"/>
        </w:rPr>
        <w:t>2025</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u w:val="single"/>
        </w:rPr>
        <w:t xml:space="preserve">    </w:t>
      </w:r>
      <w:r>
        <w:rPr>
          <w:rFonts w:hint="eastAsia" w:ascii="宋体" w:hAnsi="宋体" w:cs="宋体"/>
          <w:sz w:val="24"/>
          <w:szCs w:val="24"/>
        </w:rPr>
        <w:t>时</w:t>
      </w:r>
      <w:r>
        <w:rPr>
          <w:rFonts w:ascii="宋体" w:hAnsi="宋体" w:cs="宋体"/>
          <w:sz w:val="24"/>
          <w:szCs w:val="24"/>
          <w:u w:val="single"/>
        </w:rPr>
        <w:t xml:space="preserve">    </w:t>
      </w:r>
      <w:r>
        <w:rPr>
          <w:rFonts w:hint="eastAsia" w:ascii="宋体" w:hAnsi="宋体" w:cs="宋体"/>
          <w:sz w:val="24"/>
          <w:szCs w:val="24"/>
        </w:rPr>
        <w:t>分至</w:t>
      </w:r>
      <w:r>
        <w:rPr>
          <w:rFonts w:ascii="宋体" w:hAnsi="宋体" w:cs="宋体"/>
          <w:sz w:val="24"/>
          <w:szCs w:val="24"/>
          <w:u w:val="single"/>
        </w:rPr>
        <w:t>2025</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u w:val="single"/>
        </w:rPr>
        <w:t xml:space="preserve">    </w:t>
      </w:r>
      <w:r>
        <w:rPr>
          <w:rFonts w:hint="eastAsia" w:ascii="宋体" w:hAnsi="宋体" w:cs="宋体"/>
          <w:sz w:val="24"/>
          <w:szCs w:val="24"/>
        </w:rPr>
        <w:t>时</w:t>
      </w:r>
      <w:r>
        <w:rPr>
          <w:rFonts w:ascii="宋体" w:hAnsi="宋体" w:cs="宋体"/>
          <w:sz w:val="24"/>
          <w:szCs w:val="24"/>
          <w:u w:val="single"/>
        </w:rPr>
        <w:t xml:space="preserve">    </w:t>
      </w:r>
      <w:r>
        <w:rPr>
          <w:rFonts w:hint="eastAsia" w:ascii="宋体" w:hAnsi="宋体" w:cs="宋体"/>
          <w:sz w:val="24"/>
          <w:szCs w:val="24"/>
        </w:rPr>
        <w:t>分；地点：广州交易集团有限公司（广州公共资源交易中心）第</w:t>
      </w:r>
      <w:r>
        <w:rPr>
          <w:rFonts w:ascii="宋体" w:hAnsi="宋体" w:cs="宋体"/>
          <w:sz w:val="24"/>
          <w:szCs w:val="24"/>
          <w:u w:val="single"/>
        </w:rPr>
        <w:t xml:space="preserve">   </w:t>
      </w:r>
      <w:r>
        <w:rPr>
          <w:rFonts w:hint="eastAsia" w:ascii="宋体" w:hAnsi="宋体" w:cs="宋体"/>
          <w:sz w:val="24"/>
          <w:szCs w:val="24"/>
        </w:rPr>
        <w:t>开标室。（电子光盘需按规定封装。投标人在将数据刻录到光盘之后，投标前自行检查文件是否可以读取。）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sz w:val="24"/>
          <w:szCs w:val="24"/>
        </w:rPr>
      </w:pPr>
      <w:r>
        <w:rPr>
          <w:rFonts w:ascii="宋体" w:hAnsi="宋体" w:cs="宋体"/>
          <w:sz w:val="24"/>
          <w:szCs w:val="24"/>
        </w:rPr>
        <w:t>5.3开标时间为</w:t>
      </w:r>
      <w:r>
        <w:rPr>
          <w:rFonts w:ascii="宋体" w:hAnsi="宋体" w:cs="宋体"/>
          <w:sz w:val="24"/>
          <w:szCs w:val="24"/>
          <w:u w:val="single"/>
        </w:rPr>
        <w:t>2025</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u w:val="single"/>
        </w:rPr>
        <w:t xml:space="preserve">    </w:t>
      </w:r>
      <w:r>
        <w:rPr>
          <w:rFonts w:hint="eastAsia" w:ascii="宋体" w:hAnsi="宋体" w:cs="宋体"/>
          <w:sz w:val="24"/>
          <w:szCs w:val="24"/>
        </w:rPr>
        <w:t>时</w:t>
      </w:r>
      <w:r>
        <w:rPr>
          <w:rFonts w:ascii="宋体" w:hAnsi="宋体" w:cs="宋体"/>
          <w:sz w:val="24"/>
          <w:szCs w:val="24"/>
          <w:u w:val="single"/>
        </w:rPr>
        <w:t xml:space="preserve">    </w:t>
      </w:r>
      <w:r>
        <w:rPr>
          <w:rFonts w:hint="eastAsia" w:ascii="宋体" w:hAnsi="宋体" w:cs="宋体"/>
          <w:sz w:val="24"/>
          <w:szCs w:val="24"/>
        </w:rPr>
        <w:t>分，地点：广州交易集团有限公司（广州公共资源交易中心）第</w:t>
      </w:r>
      <w:r>
        <w:rPr>
          <w:rFonts w:ascii="宋体" w:hAnsi="宋体" w:cs="宋体"/>
          <w:sz w:val="24"/>
          <w:szCs w:val="24"/>
          <w:u w:val="single"/>
        </w:rPr>
        <w:t xml:space="preserve">   </w:t>
      </w:r>
      <w:r>
        <w:rPr>
          <w:rFonts w:hint="eastAsia" w:ascii="宋体" w:hAnsi="宋体" w:cs="宋体"/>
          <w:sz w:val="24"/>
          <w:szCs w:val="24"/>
        </w:rPr>
        <w:t>开标室。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sz w:val="24"/>
          <w:szCs w:val="24"/>
        </w:rPr>
      </w:pPr>
      <w:r>
        <w:rPr>
          <w:rFonts w:ascii="宋体" w:hAnsi="宋体" w:cs="宋体"/>
          <w:sz w:val="24"/>
          <w:szCs w:val="24"/>
        </w:rPr>
        <w:t>5.4递交投标文件截止时间及开标时间是否有变化，请密切留意交易中心网站中的相关信息。递交投标文件截止时间后，投标文件评审时间因故推迟的，相关资审信息仍以原递交投标文件截止时间的信息为准。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b/>
          <w:bCs/>
          <w:sz w:val="24"/>
          <w:szCs w:val="24"/>
          <w:highlight w:val="none"/>
        </w:rPr>
      </w:pPr>
      <w:r>
        <w:rPr>
          <w:rFonts w:ascii="宋体" w:hAnsi="宋体" w:cs="宋体"/>
          <w:sz w:val="24"/>
          <w:szCs w:val="24"/>
        </w:rPr>
        <w:t>5.5采取电子投标时，逾期送达的投标文件，电子招标投标交易平台将予以拒收。</w:t>
      </w:r>
    </w:p>
    <w:p>
      <w:pPr>
        <w:pStyle w:val="4"/>
        <w:spacing w:before="0" w:after="0" w:line="324" w:lineRule="auto"/>
        <w:rPr>
          <w:rFonts w:ascii="宋体" w:hAnsi="宋体" w:eastAsia="宋体" w:cs="宋体"/>
        </w:rPr>
      </w:pPr>
      <w:bookmarkStart w:id="13" w:name="_Toc514099628"/>
      <w:bookmarkStart w:id="14" w:name="_Toc511557030"/>
      <w:bookmarkStart w:id="15" w:name="_Toc47987319"/>
      <w:r>
        <w:rPr>
          <w:rFonts w:ascii="宋体" w:hAnsi="宋体" w:eastAsia="宋体" w:cs="宋体"/>
          <w:highlight w:val="none"/>
        </w:rPr>
        <w:t>6</w:t>
      </w:r>
      <w:r>
        <w:rPr>
          <w:rFonts w:hint="eastAsia" w:ascii="宋体" w:hAnsi="宋体" w:eastAsia="宋体" w:cs="宋体"/>
          <w:highlight w:val="none"/>
        </w:rPr>
        <w:t xml:space="preserve">. </w:t>
      </w:r>
      <w:r>
        <w:rPr>
          <w:rFonts w:hint="eastAsia" w:ascii="宋体" w:hAnsi="宋体" w:eastAsia="宋体" w:cs="宋体"/>
        </w:rPr>
        <w:t>异议受理</w:t>
      </w: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ascii="宋体" w:hAnsi="宋体" w:cs="宋体"/>
          <w:sz w:val="24"/>
          <w:szCs w:val="24"/>
        </w:rPr>
      </w:pPr>
      <w:r>
        <w:rPr>
          <w:rFonts w:hint="eastAsia" w:ascii="宋体" w:hAnsi="宋体" w:cs="宋体"/>
          <w:sz w:val="24"/>
          <w:szCs w:val="24"/>
        </w:rPr>
        <w:t>潜在投标人或利害关系人对本招标公告及招标文件有异议的，向招标人书面提出。</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jc w:val="both"/>
        <w:textAlignment w:val="auto"/>
        <w:rPr>
          <w:rFonts w:ascii="宋体" w:hAnsi="宋体" w:cs="宋体"/>
          <w:sz w:val="24"/>
          <w:szCs w:val="24"/>
        </w:rPr>
      </w:pPr>
      <w:r>
        <w:rPr>
          <w:rFonts w:hint="eastAsia" w:ascii="宋体" w:hAnsi="宋体" w:cs="宋体"/>
          <w:sz w:val="24"/>
          <w:szCs w:val="24"/>
        </w:rPr>
        <w:t>异议受理部门：</w:t>
      </w:r>
      <w:r>
        <w:rPr>
          <w:rFonts w:hint="eastAsia" w:ascii="宋体" w:hAnsi="宋体"/>
          <w:sz w:val="24"/>
          <w:szCs w:val="24"/>
          <w:u w:val="single"/>
        </w:rPr>
        <w:t>广州云凌汽车投资有限公司</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jc w:val="both"/>
        <w:textAlignment w:val="auto"/>
        <w:rPr>
          <w:rFonts w:ascii="宋体" w:hAnsi="宋体" w:cs="宋体"/>
          <w:sz w:val="24"/>
          <w:szCs w:val="24"/>
        </w:rPr>
      </w:pPr>
      <w:r>
        <w:rPr>
          <w:rFonts w:hint="eastAsia" w:ascii="宋体" w:hAnsi="宋体" w:cs="宋体"/>
          <w:sz w:val="24"/>
          <w:szCs w:val="24"/>
        </w:rPr>
        <w:t>异议受理电话：</w:t>
      </w:r>
      <w:r>
        <w:rPr>
          <w:rFonts w:ascii="宋体" w:hAnsi="宋体" w:cs="宋体"/>
          <w:sz w:val="24"/>
          <w:szCs w:val="24"/>
          <w:u w:val="single"/>
        </w:rPr>
        <w:t>020-35623513</w:t>
      </w:r>
    </w:p>
    <w:p>
      <w:pPr>
        <w:pStyle w:val="17"/>
        <w:keepNext w:val="0"/>
        <w:keepLines w:val="0"/>
        <w:pageBreakBefore w:val="0"/>
        <w:widowControl w:val="0"/>
        <w:shd w:val="clear" w:color="auto" w:fill="FFFFFF"/>
        <w:kinsoku/>
        <w:wordWrap/>
        <w:overflowPunct/>
        <w:topLinePunct w:val="0"/>
        <w:autoSpaceDE/>
        <w:autoSpaceDN/>
        <w:bidi w:val="0"/>
        <w:adjustRightInd w:val="0"/>
        <w:snapToGrid w:val="0"/>
        <w:spacing w:after="0" w:line="440" w:lineRule="exact"/>
        <w:ind w:firstLine="480" w:firstLineChars="200"/>
        <w:jc w:val="both"/>
        <w:textAlignment w:val="auto"/>
        <w:rPr>
          <w:rFonts w:ascii="宋体" w:hAnsi="宋体"/>
          <w:sz w:val="24"/>
          <w:u w:val="single"/>
        </w:rPr>
      </w:pPr>
      <w:r>
        <w:rPr>
          <w:rFonts w:hint="eastAsia" w:ascii="宋体" w:hAnsi="宋体" w:cs="宋体"/>
          <w:sz w:val="24"/>
          <w:szCs w:val="24"/>
        </w:rPr>
        <w:t>地址：</w:t>
      </w:r>
      <w:r>
        <w:rPr>
          <w:rFonts w:hint="eastAsia" w:ascii="宋体" w:hAnsi="宋体" w:cs="宋体"/>
          <w:sz w:val="24"/>
          <w:szCs w:val="24"/>
          <w:u w:val="single"/>
        </w:rPr>
        <w:t>广州市白云区广州民营科技园科泰二路</w:t>
      </w:r>
      <w:r>
        <w:rPr>
          <w:rFonts w:ascii="宋体" w:hAnsi="宋体" w:cs="宋体"/>
          <w:sz w:val="24"/>
          <w:szCs w:val="24"/>
          <w:u w:val="single"/>
        </w:rPr>
        <w:t>13号高新区产业创新园1栋4层401-658</w:t>
      </w:r>
    </w:p>
    <w:p>
      <w:pPr>
        <w:pStyle w:val="17"/>
        <w:keepNext w:val="0"/>
        <w:keepLines w:val="0"/>
        <w:pageBreakBefore w:val="0"/>
        <w:widowControl w:val="0"/>
        <w:shd w:val="clear" w:color="auto" w:fill="FFFFFF"/>
        <w:kinsoku/>
        <w:wordWrap/>
        <w:overflowPunct/>
        <w:topLinePunct w:val="0"/>
        <w:autoSpaceDE/>
        <w:autoSpaceDN/>
        <w:bidi w:val="0"/>
        <w:adjustRightInd w:val="0"/>
        <w:snapToGrid w:val="0"/>
        <w:spacing w:after="0" w:line="440" w:lineRule="exact"/>
        <w:ind w:firstLine="480" w:firstLineChars="200"/>
        <w:jc w:val="both"/>
        <w:textAlignment w:val="auto"/>
        <w:rPr>
          <w:rFonts w:ascii="宋体" w:hAnsi="宋体" w:cs="宋体"/>
          <w:sz w:val="24"/>
          <w:szCs w:val="24"/>
          <w:u w:val="single"/>
        </w:rPr>
      </w:pPr>
      <w:r>
        <w:rPr>
          <w:rFonts w:hint="eastAsia" w:ascii="宋体" w:hAnsi="宋体" w:cs="宋体"/>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4"/>
        <w:spacing w:before="0" w:after="0" w:line="440" w:lineRule="exact"/>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发布公告的媒介</w:t>
      </w:r>
      <w:bookmarkEnd w:id="13"/>
      <w:bookmarkEnd w:id="14"/>
      <w:bookmarkEnd w:id="15"/>
    </w:p>
    <w:p>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rPr>
        <w:t>本次招标公告同时</w:t>
      </w:r>
      <w:r>
        <w:rPr>
          <w:rFonts w:hint="eastAsia" w:ascii="宋体" w:hAnsi="宋体" w:cs="宋体"/>
          <w:sz w:val="24"/>
          <w:szCs w:val="24"/>
          <w:u w:val="single"/>
        </w:rPr>
        <w:t>在广州交易集团有限公司（广州公共资源交易中心）网站（网址：</w:t>
      </w:r>
      <w:r>
        <w:rPr>
          <w:rFonts w:ascii="宋体" w:hAnsi="宋体" w:cs="宋体"/>
          <w:sz w:val="24"/>
          <w:szCs w:val="24"/>
          <w:u w:val="single"/>
        </w:rPr>
        <w:t>http://www.gzggzy.cn）、广东省招标投标监管网(网址：http://zbtb.gd.gov.cn/)和中国招标投标公共服务平台(网址：http://www.cebpubservice.com/)</w:t>
      </w:r>
      <w:r>
        <w:rPr>
          <w:rFonts w:hint="eastAsia" w:ascii="宋体" w:hAnsi="宋体" w:cs="宋体"/>
          <w:sz w:val="24"/>
          <w:szCs w:val="24"/>
        </w:rPr>
        <w:t>发布，本公告的修改、补充，在广州交易集团有限公司（广州公共资源交易中心）网站上发布</w:t>
      </w:r>
      <w:r>
        <w:rPr>
          <w:rFonts w:hint="eastAsia" w:ascii="宋体" w:hAnsi="宋体" w:cs="宋体"/>
          <w:sz w:val="24"/>
          <w:szCs w:val="24"/>
          <w:highlight w:val="none"/>
        </w:rPr>
        <w:t>。</w:t>
      </w:r>
      <w:bookmarkStart w:id="16" w:name="_Toc514099629"/>
      <w:bookmarkStart w:id="17" w:name="_Toc47987321"/>
      <w:bookmarkStart w:id="18" w:name="_Toc511557031"/>
    </w:p>
    <w:p>
      <w:pPr>
        <w:pStyle w:val="4"/>
        <w:spacing w:before="0" w:after="0" w:line="440" w:lineRule="exact"/>
        <w:rPr>
          <w:rFonts w:hint="eastAsia"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．其他说明</w:t>
      </w:r>
    </w:p>
    <w:p>
      <w:pPr>
        <w:adjustRightInd w:val="0"/>
        <w:snapToGrid w:val="0"/>
        <w:spacing w:line="440" w:lineRule="exact"/>
        <w:ind w:firstLine="480" w:firstLineChars="200"/>
        <w:rPr>
          <w:rFonts w:hint="eastAsia" w:ascii="宋体" w:hAnsi="宋体" w:cs="楷体"/>
          <w:sz w:val="24"/>
          <w:szCs w:val="24"/>
          <w:highlight w:val="none"/>
          <w:u w:val="single"/>
        </w:rPr>
      </w:pPr>
      <w:r>
        <w:rPr>
          <w:rFonts w:hint="eastAsia" w:ascii="宋体" w:hAnsi="宋体" w:cs="楷体"/>
          <w:sz w:val="24"/>
          <w:szCs w:val="24"/>
          <w:highlight w:val="none"/>
          <w:u w:val="single"/>
          <w:lang w:val="en-US" w:eastAsia="zh-CN"/>
        </w:rPr>
        <w:t>8</w:t>
      </w:r>
      <w:r>
        <w:rPr>
          <w:rFonts w:hint="eastAsia" w:ascii="宋体" w:hAnsi="宋体" w:cs="楷体"/>
          <w:sz w:val="24"/>
          <w:szCs w:val="24"/>
          <w:highlight w:val="none"/>
          <w:u w:val="single"/>
        </w:rPr>
        <w:t>.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tabs>
          <w:tab w:val="left" w:pos="4120"/>
        </w:tabs>
        <w:adjustRightInd w:val="0"/>
        <w:snapToGrid w:val="0"/>
        <w:spacing w:line="440" w:lineRule="exact"/>
        <w:ind w:firstLine="480" w:firstLineChars="200"/>
        <w:rPr>
          <w:rFonts w:hint="eastAsia" w:ascii="宋体" w:hAnsi="宋体" w:cs="宋体"/>
          <w:sz w:val="24"/>
          <w:szCs w:val="24"/>
          <w:highlight w:val="none"/>
          <w:u w:val="single"/>
        </w:rPr>
      </w:pPr>
      <w:r>
        <w:rPr>
          <w:rFonts w:hint="eastAsia" w:ascii="宋体" w:hAnsi="宋体" w:cs="楷体"/>
          <w:sz w:val="24"/>
          <w:szCs w:val="24"/>
          <w:highlight w:val="none"/>
          <w:u w:val="single"/>
          <w:lang w:val="en-US" w:eastAsia="zh-CN"/>
        </w:rPr>
        <w:t>8</w:t>
      </w:r>
      <w:r>
        <w:rPr>
          <w:rFonts w:hint="eastAsia" w:ascii="宋体" w:hAnsi="宋体" w:cs="楷体"/>
          <w:sz w:val="24"/>
          <w:szCs w:val="24"/>
          <w:highlight w:val="none"/>
          <w:u w:val="single"/>
        </w:rPr>
        <w:t>.2</w:t>
      </w:r>
      <w:r>
        <w:rPr>
          <w:rFonts w:hint="eastAsia" w:ascii="宋体" w:hAnsi="宋体" w:cs="宋体"/>
          <w:sz w:val="24"/>
          <w:szCs w:val="24"/>
          <w:highlight w:val="none"/>
          <w:u w:val="single"/>
        </w:rPr>
        <w:t>招标代理费</w:t>
      </w:r>
    </w:p>
    <w:p>
      <w:pPr>
        <w:adjustRightInd w:val="0"/>
        <w:snapToGrid w:val="0"/>
        <w:spacing w:line="440" w:lineRule="exact"/>
        <w:ind w:firstLine="480" w:firstLineChars="200"/>
        <w:rPr>
          <w:highlight w:val="none"/>
        </w:rPr>
      </w:pPr>
      <w:r>
        <w:rPr>
          <w:rFonts w:hint="eastAsia" w:hAnsi="宋体" w:cs="宋体"/>
          <w:sz w:val="24"/>
          <w:szCs w:val="24"/>
          <w:highlight w:val="none"/>
          <w:u w:val="single"/>
        </w:rPr>
        <w:t>本招标项目由中标人支付招标代理服务费用，中标人在领取《中标通知书》前向招标代理机构足额支付招标代理服务费，具体详见招标代理服务合同。本费用由投标人自行考虑，招标人不再另行支付。</w:t>
      </w:r>
    </w:p>
    <w:p>
      <w:pPr>
        <w:pStyle w:val="4"/>
        <w:spacing w:before="0" w:after="0" w:line="440" w:lineRule="exact"/>
        <w:rPr>
          <w:rFonts w:hint="eastAsia"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．联系方式</w:t>
      </w:r>
      <w:bookmarkEnd w:id="16"/>
      <w:bookmarkEnd w:id="17"/>
      <w:bookmarkEnd w:id="18"/>
    </w:p>
    <w:p>
      <w:pPr>
        <w:keepNext w:val="0"/>
        <w:keepLines w:val="0"/>
        <w:pageBreakBefore w:val="0"/>
        <w:widowControl/>
        <w:kinsoku/>
        <w:wordWrap/>
        <w:overflowPunct/>
        <w:topLinePunct w:val="0"/>
        <w:autoSpaceDE/>
        <w:autoSpaceDN/>
        <w:bidi w:val="0"/>
        <w:adjustRightInd w:val="0"/>
        <w:snapToGrid w:val="0"/>
        <w:spacing w:line="440" w:lineRule="exact"/>
        <w:ind w:firstLine="537" w:firstLineChars="224"/>
        <w:textAlignment w:val="auto"/>
        <w:rPr>
          <w:rFonts w:ascii="宋体" w:hAnsi="宋体" w:cs="宋体"/>
          <w:sz w:val="24"/>
          <w:szCs w:val="24"/>
          <w:u w:val="single"/>
        </w:rPr>
      </w:pPr>
      <w:r>
        <w:rPr>
          <w:rFonts w:hint="eastAsia" w:ascii="宋体" w:hAnsi="宋体" w:cs="宋体"/>
          <w:bCs/>
          <w:sz w:val="24"/>
          <w:szCs w:val="24"/>
        </w:rPr>
        <w:t>招标人：</w:t>
      </w:r>
      <w:r>
        <w:rPr>
          <w:rFonts w:hint="eastAsia" w:ascii="宋体" w:hAnsi="宋体" w:cs="宋体"/>
          <w:sz w:val="24"/>
          <w:szCs w:val="24"/>
          <w:u w:val="single"/>
        </w:rPr>
        <w:t>广州云凌汽车投资有限公司</w:t>
      </w:r>
      <w:r>
        <w:rPr>
          <w:rFonts w:ascii="宋体" w:hAnsi="宋体" w:cs="宋体"/>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537" w:firstLineChars="224"/>
        <w:textAlignment w:val="auto"/>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彭小姐</w:t>
      </w:r>
      <w:r>
        <w:rPr>
          <w:rFonts w:ascii="宋体" w:hAnsi="宋体" w:cs="宋体"/>
          <w:sz w:val="24"/>
          <w:szCs w:val="24"/>
        </w:rPr>
        <w:t xml:space="preserve">              联系电话：</w:t>
      </w:r>
      <w:r>
        <w:rPr>
          <w:rFonts w:ascii="宋体" w:hAnsi="宋体" w:cs="宋体"/>
          <w:sz w:val="24"/>
          <w:szCs w:val="24"/>
          <w:u w:val="single"/>
        </w:rPr>
        <w:t>020-35623513</w:t>
      </w:r>
    </w:p>
    <w:p>
      <w:pPr>
        <w:keepNext w:val="0"/>
        <w:keepLines w:val="0"/>
        <w:pageBreakBefore w:val="0"/>
        <w:widowControl/>
        <w:kinsoku/>
        <w:wordWrap/>
        <w:overflowPunct/>
        <w:topLinePunct w:val="0"/>
        <w:autoSpaceDE/>
        <w:autoSpaceDN/>
        <w:bidi w:val="0"/>
        <w:adjustRightInd w:val="0"/>
        <w:snapToGrid w:val="0"/>
        <w:spacing w:line="440" w:lineRule="exact"/>
        <w:ind w:firstLine="537" w:firstLineChars="224"/>
        <w:textAlignment w:val="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广州市白云区广州民营科技园科泰二路</w:t>
      </w:r>
      <w:r>
        <w:rPr>
          <w:rFonts w:ascii="宋体" w:hAnsi="宋体" w:cs="宋体"/>
          <w:sz w:val="24"/>
          <w:szCs w:val="24"/>
          <w:u w:val="single"/>
        </w:rPr>
        <w:t>13号高新区产业创新园1栋4层401-658</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招标代理机构：</w:t>
      </w:r>
      <w:r>
        <w:rPr>
          <w:rFonts w:hint="eastAsia" w:ascii="宋体" w:hAnsi="宋体" w:cs="宋体"/>
          <w:sz w:val="24"/>
          <w:szCs w:val="24"/>
          <w:u w:val="single"/>
        </w:rPr>
        <w:t>广州市白云工程咨询管理有限公司</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u w:val="single"/>
        </w:rPr>
      </w:pPr>
      <w:r>
        <w:rPr>
          <w:rFonts w:hint="eastAsia" w:ascii="宋体" w:hAnsi="宋体" w:cs="宋体"/>
          <w:sz w:val="24"/>
          <w:szCs w:val="24"/>
        </w:rPr>
        <w:t>联系人：张</w:t>
      </w:r>
      <w:r>
        <w:rPr>
          <w:rFonts w:hint="eastAsia" w:ascii="宋体" w:hAnsi="宋体" w:cs="宋体"/>
          <w:sz w:val="24"/>
          <w:u w:val="single"/>
        </w:rPr>
        <w:t>工、肖工</w:t>
      </w:r>
      <w:r>
        <w:rPr>
          <w:rFonts w:ascii="宋体" w:hAnsi="宋体" w:cs="宋体"/>
          <w:sz w:val="24"/>
          <w:szCs w:val="24"/>
        </w:rPr>
        <w:t xml:space="preserve">              </w:t>
      </w:r>
      <w:r>
        <w:rPr>
          <w:rFonts w:hint="eastAsia" w:ascii="宋体" w:hAnsi="宋体" w:cs="宋体"/>
          <w:sz w:val="24"/>
          <w:szCs w:val="24"/>
        </w:rPr>
        <w:t>联系电话：</w:t>
      </w:r>
      <w:r>
        <w:rPr>
          <w:rFonts w:ascii="宋体" w:hAnsi="宋体" w:cs="宋体"/>
          <w:sz w:val="24"/>
          <w:u w:val="single"/>
        </w:rPr>
        <w:t>020-35622940</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u w:val="single"/>
        </w:rPr>
      </w:pPr>
      <w:r>
        <w:rPr>
          <w:rFonts w:hint="eastAsia" w:ascii="宋体" w:hAnsi="宋体" w:cs="宋体"/>
          <w:sz w:val="24"/>
          <w:szCs w:val="24"/>
        </w:rPr>
        <w:t>地址：</w:t>
      </w:r>
      <w:r>
        <w:rPr>
          <w:rFonts w:hint="eastAsia" w:ascii="宋体" w:hAnsi="宋体" w:cs="宋体"/>
          <w:kern w:val="0"/>
          <w:sz w:val="24"/>
          <w:u w:val="single"/>
        </w:rPr>
        <w:t>广州市白云区齐富路</w:t>
      </w:r>
      <w:r>
        <w:rPr>
          <w:rFonts w:ascii="宋体" w:hAnsi="宋体" w:cs="宋体"/>
          <w:kern w:val="0"/>
          <w:sz w:val="24"/>
          <w:u w:val="single"/>
        </w:rPr>
        <w:t>88号C座5楼</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sz w:val="24"/>
          <w:szCs w:val="24"/>
          <w:u w:val="single"/>
        </w:rPr>
      </w:pP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u w:val="single"/>
        </w:rPr>
      </w:pPr>
      <w:r>
        <w:rPr>
          <w:rFonts w:hint="eastAsia" w:ascii="宋体" w:hAnsi="宋体" w:cs="宋体"/>
          <w:sz w:val="24"/>
          <w:szCs w:val="24"/>
        </w:rPr>
        <w:t>招标监督机构：</w:t>
      </w:r>
      <w:r>
        <w:rPr>
          <w:rFonts w:hint="eastAsia" w:ascii="宋体" w:hAnsi="宋体" w:cs="宋体"/>
          <w:sz w:val="24"/>
          <w:szCs w:val="24"/>
          <w:u w:val="single"/>
        </w:rPr>
        <w:t>广州云凌汽车投资有限公司</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广州市白云区广州民营科技园科泰二路</w:t>
      </w:r>
      <w:r>
        <w:rPr>
          <w:rFonts w:ascii="宋体" w:hAnsi="宋体" w:cs="宋体"/>
          <w:sz w:val="24"/>
          <w:szCs w:val="24"/>
          <w:u w:val="single"/>
        </w:rPr>
        <w:t>13号高新区产业创新园1栋4层401-658</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监管电话：</w:t>
      </w:r>
      <w:r>
        <w:rPr>
          <w:rFonts w:ascii="宋体" w:hAnsi="宋体" w:cs="宋体"/>
          <w:sz w:val="24"/>
          <w:szCs w:val="24"/>
          <w:u w:val="single"/>
        </w:rPr>
        <w:t>020-35623513</w:t>
      </w:r>
    </w:p>
    <w:p>
      <w:pPr>
        <w:rPr>
          <w:rFonts w:hint="eastAsia" w:ascii="宋体" w:hAnsi="宋体" w:cs="宋体"/>
          <w:b/>
          <w:sz w:val="24"/>
          <w:szCs w:val="24"/>
          <w:highlight w:val="none"/>
        </w:rPr>
      </w:pPr>
      <w:r>
        <w:rPr>
          <w:highlight w:val="none"/>
        </w:rPr>
        <w:br w:type="page"/>
      </w:r>
      <w:r>
        <w:rPr>
          <w:rFonts w:hint="eastAsia" w:ascii="宋体" w:hAnsi="宋体" w:cs="宋体"/>
          <w:kern w:val="0"/>
          <w:sz w:val="24"/>
          <w:szCs w:val="24"/>
          <w:highlight w:val="none"/>
        </w:rPr>
        <w:t>附件一：</w:t>
      </w:r>
    </w:p>
    <w:p>
      <w:pPr>
        <w:widowControl/>
        <w:snapToGrid w:val="0"/>
        <w:spacing w:before="260" w:after="260" w:line="360" w:lineRule="auto"/>
        <w:ind w:right="384"/>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投标人声明</w:t>
      </w:r>
    </w:p>
    <w:p>
      <w:pPr>
        <w:snapToGrid w:val="0"/>
        <w:spacing w:line="360" w:lineRule="auto"/>
        <w:rPr>
          <w:rFonts w:ascii="宋体" w:hAnsi="宋体" w:cs="宋体"/>
          <w:kern w:val="0"/>
          <w:sz w:val="24"/>
          <w:szCs w:val="24"/>
          <w:highlight w:val="none"/>
        </w:rPr>
      </w:pPr>
      <w:bookmarkStart w:id="19" w:name="_Hlk66870366"/>
      <w:r>
        <w:rPr>
          <w:rFonts w:hint="eastAsia" w:ascii="宋体" w:hAnsi="宋体" w:cs="宋体"/>
          <w:kern w:val="0"/>
          <w:sz w:val="24"/>
          <w:szCs w:val="24"/>
          <w:highlight w:val="none"/>
          <w:lang w:eastAsia="zh-CN"/>
        </w:rPr>
        <w:t>广州云凌汽车投资有限公司</w:t>
      </w:r>
      <w:r>
        <w:rPr>
          <w:rFonts w:hint="eastAsia" w:ascii="宋体" w:hAnsi="宋体" w:cs="宋体"/>
          <w:kern w:val="0"/>
          <w:sz w:val="24"/>
          <w:szCs w:val="24"/>
          <w:highlight w:val="none"/>
        </w:rPr>
        <w:t>：</w:t>
      </w:r>
      <w:bookmarkEnd w:id="19"/>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项目投标工作，作出郑重声明：</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一、本公司保证投标资格审查材料及其后提供的一切材料都是真实的，如我司成为本</w:t>
      </w:r>
      <w:r>
        <w:rPr>
          <w:rFonts w:hint="eastAsia" w:ascii="宋体" w:hAnsi="宋体" w:eastAsia="宋体" w:cs="宋体"/>
          <w:color w:val="auto"/>
          <w:spacing w:val="5"/>
          <w:sz w:val="24"/>
          <w:szCs w:val="24"/>
          <w:highlight w:val="none"/>
        </w:rPr>
        <w:t>项目中</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z w:val="24"/>
          <w:szCs w:val="24"/>
          <w:highlight w:val="none"/>
        </w:rPr>
        <w:t>标</w:t>
      </w:r>
      <w:r>
        <w:rPr>
          <w:rFonts w:hint="eastAsia" w:ascii="宋体" w:hAnsi="宋体" w:eastAsia="宋体" w:cs="宋体"/>
          <w:color w:val="auto"/>
          <w:spacing w:val="5"/>
          <w:sz w:val="24"/>
          <w:szCs w:val="24"/>
          <w:highlight w:val="none"/>
        </w:rPr>
        <w:t>候选人，我司同意并授权招标人将我司投标文件商务部分的人员、业绩、奖项等资料进行公开。</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bCs/>
          <w:color w:val="auto"/>
          <w:sz w:val="24"/>
          <w:szCs w:val="24"/>
          <w:highlight w:val="none"/>
        </w:rPr>
        <w:t>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三、本公司不存在招标文件第二章投标人须知第1.4.3项所规定的任何一种情形。</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没有处于被责令停业的状态；没有处于被建设行政主管部门取消投标资格的处罚期内；没有处于财产被接管、冻结、破产的状态，本公司及公司法定代表人、拟委任的项目负责人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失信联合惩戒名单且被限制参加财政投资工程或政府投资工程或建设工程投标；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注 ：本条由投标人如实填写，如有，应列出全部满足招标公告资质要求的相关单位的名称；如无，则填写“无”。）</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七、本公司承诺，中标后严格执行安全生产相关管理规定。</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本公司违反上述承诺，或本声明陈述与事实不符，经查实，本公司愿意接受公开通报，愿意按照《广州市建筑市场信用管理办法》（穗建规字﹝20</w:t>
      </w:r>
      <w:r>
        <w:rPr>
          <w:rFonts w:ascii="宋体" w:hAnsi="宋体" w:eastAsia="宋体" w:cs="宋体"/>
          <w:color w:val="auto"/>
          <w:sz w:val="24"/>
          <w:szCs w:val="24"/>
          <w:highlight w:val="none"/>
        </w:rPr>
        <w:t>19</w:t>
      </w:r>
      <w:r>
        <w:rPr>
          <w:rFonts w:hint="eastAsia" w:ascii="宋体" w:hAnsi="宋体" w:eastAsia="宋体" w:cs="宋体"/>
          <w:color w:val="auto"/>
          <w:sz w:val="24"/>
          <w:szCs w:val="24"/>
          <w:highlight w:val="none"/>
        </w:rPr>
        <w:t>﹞16号）的规定被记录为失信信息，承担由此带来的法律后果，并自愿停止参加广州市行政辖区内的招标投标活动三个月。</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24"/>
        <w:ind w:firstLine="480" w:firstLineChars="200"/>
        <w:rPr>
          <w:rFonts w:hint="eastAsia" w:ascii="宋体" w:hAnsi="宋体" w:eastAsia="宋体" w:cs="宋体"/>
          <w:color w:val="auto"/>
          <w:sz w:val="24"/>
          <w:szCs w:val="24"/>
          <w:highlight w:val="none"/>
        </w:rPr>
      </w:pPr>
    </w:p>
    <w:p>
      <w:pPr>
        <w:snapToGrid w:val="0"/>
        <w:spacing w:line="360" w:lineRule="auto"/>
        <w:ind w:firstLine="6480" w:firstLineChars="2700"/>
        <w:jc w:val="right"/>
        <w:rPr>
          <w:rFonts w:hint="eastAsia" w:ascii="宋体" w:hAnsi="宋体" w:cs="宋体"/>
          <w:kern w:val="0"/>
          <w:sz w:val="24"/>
          <w:szCs w:val="24"/>
          <w:highlight w:val="none"/>
        </w:rPr>
      </w:pPr>
      <w:r>
        <w:rPr>
          <w:rFonts w:hint="eastAsia" w:ascii="宋体" w:hAnsi="宋体" w:cs="宋体"/>
          <w:kern w:val="0"/>
          <w:sz w:val="24"/>
          <w:szCs w:val="24"/>
          <w:highlight w:val="none"/>
        </w:rPr>
        <w:t>声明企业： (企业公章)</w:t>
      </w:r>
    </w:p>
    <w:p>
      <w:pPr>
        <w:snapToGrid w:val="0"/>
        <w:spacing w:line="360" w:lineRule="auto"/>
        <w:ind w:firstLine="5832" w:firstLineChars="2430"/>
        <w:rPr>
          <w:rFonts w:hint="eastAsia" w:ascii="宋体" w:hAnsi="宋体" w:cs="宋体"/>
          <w:kern w:val="0"/>
          <w:sz w:val="24"/>
          <w:szCs w:val="24"/>
          <w:highlight w:val="none"/>
        </w:rPr>
      </w:pPr>
      <w:r>
        <w:rPr>
          <w:rFonts w:hint="eastAsia" w:ascii="宋体" w:hAnsi="宋体" w:cs="宋体"/>
          <w:kern w:val="0"/>
          <w:sz w:val="24"/>
          <w:szCs w:val="24"/>
          <w:highlight w:val="none"/>
        </w:rPr>
        <w:t>项目负责人签字：</w:t>
      </w:r>
    </w:p>
    <w:p>
      <w:pPr>
        <w:pStyle w:val="24"/>
        <w:wordWrap w:val="0"/>
        <w:spacing w:line="440" w:lineRule="exact"/>
        <w:ind w:firstLine="48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9"/>
        <w:rPr>
          <w:rFonts w:hint="eastAsia" w:hAnsi="宋体" w:cs="宋体"/>
          <w:kern w:val="0"/>
          <w:sz w:val="24"/>
          <w:szCs w:val="24"/>
          <w:highlight w:val="none"/>
        </w:rPr>
      </w:pPr>
    </w:p>
    <w:sectPr>
      <w:footerReference r:id="rId4"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YzU4OWNkNDQzNjdhYTYzODU2OWU3N2IxYzQxMDMifQ=="/>
  </w:docVars>
  <w:rsids>
    <w:rsidRoot w:val="003639A8"/>
    <w:rsid w:val="00003E7D"/>
    <w:rsid w:val="000115CC"/>
    <w:rsid w:val="00011E66"/>
    <w:rsid w:val="00012704"/>
    <w:rsid w:val="000267C7"/>
    <w:rsid w:val="00033AA2"/>
    <w:rsid w:val="000375B2"/>
    <w:rsid w:val="00044DF5"/>
    <w:rsid w:val="00045A77"/>
    <w:rsid w:val="00045E06"/>
    <w:rsid w:val="00047D79"/>
    <w:rsid w:val="00050FDF"/>
    <w:rsid w:val="000529AB"/>
    <w:rsid w:val="00055223"/>
    <w:rsid w:val="000613FB"/>
    <w:rsid w:val="00062962"/>
    <w:rsid w:val="000654C2"/>
    <w:rsid w:val="00066048"/>
    <w:rsid w:val="00066AF1"/>
    <w:rsid w:val="000741A0"/>
    <w:rsid w:val="00080B6B"/>
    <w:rsid w:val="00082D8D"/>
    <w:rsid w:val="00086DF1"/>
    <w:rsid w:val="0009004E"/>
    <w:rsid w:val="000901DD"/>
    <w:rsid w:val="00094814"/>
    <w:rsid w:val="00097091"/>
    <w:rsid w:val="000B0402"/>
    <w:rsid w:val="000B1089"/>
    <w:rsid w:val="000B109B"/>
    <w:rsid w:val="000B22EF"/>
    <w:rsid w:val="000B3C10"/>
    <w:rsid w:val="000B799B"/>
    <w:rsid w:val="000C0510"/>
    <w:rsid w:val="000C3F4C"/>
    <w:rsid w:val="000C735E"/>
    <w:rsid w:val="000D2443"/>
    <w:rsid w:val="000D2815"/>
    <w:rsid w:val="000D293E"/>
    <w:rsid w:val="000D711C"/>
    <w:rsid w:val="000E158A"/>
    <w:rsid w:val="000F1A71"/>
    <w:rsid w:val="000F310E"/>
    <w:rsid w:val="00103A21"/>
    <w:rsid w:val="00104829"/>
    <w:rsid w:val="00106640"/>
    <w:rsid w:val="0010688F"/>
    <w:rsid w:val="001068BC"/>
    <w:rsid w:val="00116988"/>
    <w:rsid w:val="00121D16"/>
    <w:rsid w:val="00123D61"/>
    <w:rsid w:val="00135C5E"/>
    <w:rsid w:val="001369C8"/>
    <w:rsid w:val="00137E9C"/>
    <w:rsid w:val="00144962"/>
    <w:rsid w:val="00145C4A"/>
    <w:rsid w:val="00146967"/>
    <w:rsid w:val="001469D3"/>
    <w:rsid w:val="00150A53"/>
    <w:rsid w:val="00152491"/>
    <w:rsid w:val="001601AA"/>
    <w:rsid w:val="00160CE0"/>
    <w:rsid w:val="00172D65"/>
    <w:rsid w:val="00172DDF"/>
    <w:rsid w:val="00174929"/>
    <w:rsid w:val="001803CF"/>
    <w:rsid w:val="001819F4"/>
    <w:rsid w:val="00184E46"/>
    <w:rsid w:val="00192A5C"/>
    <w:rsid w:val="001933D9"/>
    <w:rsid w:val="00195457"/>
    <w:rsid w:val="00195EA4"/>
    <w:rsid w:val="001A5EF3"/>
    <w:rsid w:val="001A64F1"/>
    <w:rsid w:val="001B13A7"/>
    <w:rsid w:val="001B3CE0"/>
    <w:rsid w:val="001B4939"/>
    <w:rsid w:val="001B5A53"/>
    <w:rsid w:val="001B7831"/>
    <w:rsid w:val="001D1CA4"/>
    <w:rsid w:val="001D5940"/>
    <w:rsid w:val="001E30D6"/>
    <w:rsid w:val="001E3566"/>
    <w:rsid w:val="001E38DE"/>
    <w:rsid w:val="001F17A7"/>
    <w:rsid w:val="001F24BC"/>
    <w:rsid w:val="001F5163"/>
    <w:rsid w:val="001F5E87"/>
    <w:rsid w:val="001F6A38"/>
    <w:rsid w:val="002040EF"/>
    <w:rsid w:val="00205F3D"/>
    <w:rsid w:val="002101BE"/>
    <w:rsid w:val="002116A6"/>
    <w:rsid w:val="00217626"/>
    <w:rsid w:val="002235DB"/>
    <w:rsid w:val="00223BF1"/>
    <w:rsid w:val="00224F2E"/>
    <w:rsid w:val="0023034B"/>
    <w:rsid w:val="0024156F"/>
    <w:rsid w:val="00241997"/>
    <w:rsid w:val="00243C08"/>
    <w:rsid w:val="00250023"/>
    <w:rsid w:val="0025215A"/>
    <w:rsid w:val="0025756C"/>
    <w:rsid w:val="002617BE"/>
    <w:rsid w:val="00262807"/>
    <w:rsid w:val="002652A3"/>
    <w:rsid w:val="002667E7"/>
    <w:rsid w:val="0027457E"/>
    <w:rsid w:val="00277B9D"/>
    <w:rsid w:val="00285B9A"/>
    <w:rsid w:val="0029500E"/>
    <w:rsid w:val="00295C5C"/>
    <w:rsid w:val="00296330"/>
    <w:rsid w:val="00297474"/>
    <w:rsid w:val="0029750B"/>
    <w:rsid w:val="002A0205"/>
    <w:rsid w:val="002A0D08"/>
    <w:rsid w:val="002B2925"/>
    <w:rsid w:val="002B3683"/>
    <w:rsid w:val="002B4E38"/>
    <w:rsid w:val="002C2BBE"/>
    <w:rsid w:val="002C46A1"/>
    <w:rsid w:val="002C62A2"/>
    <w:rsid w:val="002C79E6"/>
    <w:rsid w:val="002D1BF1"/>
    <w:rsid w:val="002D33CA"/>
    <w:rsid w:val="002D378B"/>
    <w:rsid w:val="002E0F2D"/>
    <w:rsid w:val="002E13F2"/>
    <w:rsid w:val="002E5E57"/>
    <w:rsid w:val="002E66E6"/>
    <w:rsid w:val="002F151B"/>
    <w:rsid w:val="002F15E6"/>
    <w:rsid w:val="002F56C0"/>
    <w:rsid w:val="00301C89"/>
    <w:rsid w:val="00303026"/>
    <w:rsid w:val="00306A98"/>
    <w:rsid w:val="003120B9"/>
    <w:rsid w:val="003125F8"/>
    <w:rsid w:val="003131FD"/>
    <w:rsid w:val="00313635"/>
    <w:rsid w:val="00313BBE"/>
    <w:rsid w:val="00313C00"/>
    <w:rsid w:val="00314A5C"/>
    <w:rsid w:val="00315235"/>
    <w:rsid w:val="003230CE"/>
    <w:rsid w:val="00324216"/>
    <w:rsid w:val="00324FAC"/>
    <w:rsid w:val="00332B74"/>
    <w:rsid w:val="00333159"/>
    <w:rsid w:val="0033333A"/>
    <w:rsid w:val="00334A6C"/>
    <w:rsid w:val="00342D9B"/>
    <w:rsid w:val="0034511B"/>
    <w:rsid w:val="00350C2D"/>
    <w:rsid w:val="00351DF7"/>
    <w:rsid w:val="003579A7"/>
    <w:rsid w:val="0036344F"/>
    <w:rsid w:val="003639A8"/>
    <w:rsid w:val="00363AD5"/>
    <w:rsid w:val="003723FE"/>
    <w:rsid w:val="003767B7"/>
    <w:rsid w:val="00376D35"/>
    <w:rsid w:val="00384FED"/>
    <w:rsid w:val="003913A7"/>
    <w:rsid w:val="00395D4F"/>
    <w:rsid w:val="003976F7"/>
    <w:rsid w:val="00397FD0"/>
    <w:rsid w:val="003A5D28"/>
    <w:rsid w:val="003A7506"/>
    <w:rsid w:val="003B149B"/>
    <w:rsid w:val="003B16DC"/>
    <w:rsid w:val="003B2F85"/>
    <w:rsid w:val="003B35F1"/>
    <w:rsid w:val="003B5D86"/>
    <w:rsid w:val="003B72C4"/>
    <w:rsid w:val="003C280B"/>
    <w:rsid w:val="003C35C2"/>
    <w:rsid w:val="003C4A94"/>
    <w:rsid w:val="003C670C"/>
    <w:rsid w:val="003D4AE9"/>
    <w:rsid w:val="003E7C58"/>
    <w:rsid w:val="003F0DF0"/>
    <w:rsid w:val="003F0F1B"/>
    <w:rsid w:val="003F256E"/>
    <w:rsid w:val="003F55B9"/>
    <w:rsid w:val="00403E09"/>
    <w:rsid w:val="00405C91"/>
    <w:rsid w:val="004114FB"/>
    <w:rsid w:val="004123A2"/>
    <w:rsid w:val="00412646"/>
    <w:rsid w:val="004175C1"/>
    <w:rsid w:val="004233D4"/>
    <w:rsid w:val="00423BD3"/>
    <w:rsid w:val="004336BB"/>
    <w:rsid w:val="00434894"/>
    <w:rsid w:val="00434A46"/>
    <w:rsid w:val="004441F7"/>
    <w:rsid w:val="0044483A"/>
    <w:rsid w:val="0044720C"/>
    <w:rsid w:val="004503F0"/>
    <w:rsid w:val="004514A1"/>
    <w:rsid w:val="00454E99"/>
    <w:rsid w:val="0045625E"/>
    <w:rsid w:val="00460567"/>
    <w:rsid w:val="004614A0"/>
    <w:rsid w:val="004632AE"/>
    <w:rsid w:val="00463F05"/>
    <w:rsid w:val="00464D35"/>
    <w:rsid w:val="004711A0"/>
    <w:rsid w:val="0047177C"/>
    <w:rsid w:val="004823B0"/>
    <w:rsid w:val="0048466E"/>
    <w:rsid w:val="00486419"/>
    <w:rsid w:val="004936C3"/>
    <w:rsid w:val="00494125"/>
    <w:rsid w:val="004945CE"/>
    <w:rsid w:val="0049610B"/>
    <w:rsid w:val="004A0341"/>
    <w:rsid w:val="004A2044"/>
    <w:rsid w:val="004A479A"/>
    <w:rsid w:val="004D5793"/>
    <w:rsid w:val="004D5833"/>
    <w:rsid w:val="004D6FBE"/>
    <w:rsid w:val="004E0735"/>
    <w:rsid w:val="004E0F3C"/>
    <w:rsid w:val="004E3EF1"/>
    <w:rsid w:val="004E404A"/>
    <w:rsid w:val="004E4DEA"/>
    <w:rsid w:val="004E66C4"/>
    <w:rsid w:val="004E7F3E"/>
    <w:rsid w:val="004F0BBA"/>
    <w:rsid w:val="004F4144"/>
    <w:rsid w:val="004F637F"/>
    <w:rsid w:val="004F684F"/>
    <w:rsid w:val="004F7110"/>
    <w:rsid w:val="005002D3"/>
    <w:rsid w:val="00500856"/>
    <w:rsid w:val="005039F4"/>
    <w:rsid w:val="00504D97"/>
    <w:rsid w:val="00507A20"/>
    <w:rsid w:val="00513CA2"/>
    <w:rsid w:val="005141C7"/>
    <w:rsid w:val="0052683B"/>
    <w:rsid w:val="00532AFD"/>
    <w:rsid w:val="00535908"/>
    <w:rsid w:val="00536307"/>
    <w:rsid w:val="005376D8"/>
    <w:rsid w:val="00540698"/>
    <w:rsid w:val="00540AD4"/>
    <w:rsid w:val="00542811"/>
    <w:rsid w:val="00543475"/>
    <w:rsid w:val="00552720"/>
    <w:rsid w:val="00555721"/>
    <w:rsid w:val="00561D63"/>
    <w:rsid w:val="0056778B"/>
    <w:rsid w:val="0057048B"/>
    <w:rsid w:val="00574CA6"/>
    <w:rsid w:val="00591FBA"/>
    <w:rsid w:val="00592706"/>
    <w:rsid w:val="005958CA"/>
    <w:rsid w:val="005969DF"/>
    <w:rsid w:val="005A0D53"/>
    <w:rsid w:val="005A3860"/>
    <w:rsid w:val="005A3BD5"/>
    <w:rsid w:val="005A577F"/>
    <w:rsid w:val="005A7B2F"/>
    <w:rsid w:val="005B6DAC"/>
    <w:rsid w:val="005C1C8D"/>
    <w:rsid w:val="005C74B9"/>
    <w:rsid w:val="005D331C"/>
    <w:rsid w:val="005D38EC"/>
    <w:rsid w:val="005E1918"/>
    <w:rsid w:val="005F15B8"/>
    <w:rsid w:val="005F4DBD"/>
    <w:rsid w:val="00607477"/>
    <w:rsid w:val="006169C8"/>
    <w:rsid w:val="00620B0C"/>
    <w:rsid w:val="00625818"/>
    <w:rsid w:val="006349E3"/>
    <w:rsid w:val="0063718C"/>
    <w:rsid w:val="006409CA"/>
    <w:rsid w:val="00642DC8"/>
    <w:rsid w:val="00643EE2"/>
    <w:rsid w:val="00645000"/>
    <w:rsid w:val="0064529C"/>
    <w:rsid w:val="006456B6"/>
    <w:rsid w:val="00647A7A"/>
    <w:rsid w:val="00652242"/>
    <w:rsid w:val="00654254"/>
    <w:rsid w:val="006559C6"/>
    <w:rsid w:val="00666820"/>
    <w:rsid w:val="00680A99"/>
    <w:rsid w:val="00680AEE"/>
    <w:rsid w:val="006856DC"/>
    <w:rsid w:val="00685B0D"/>
    <w:rsid w:val="00691718"/>
    <w:rsid w:val="0069288A"/>
    <w:rsid w:val="00692FD0"/>
    <w:rsid w:val="006974C2"/>
    <w:rsid w:val="006A0456"/>
    <w:rsid w:val="006A0C4D"/>
    <w:rsid w:val="006A4470"/>
    <w:rsid w:val="006B018C"/>
    <w:rsid w:val="006C0D29"/>
    <w:rsid w:val="006C7E7A"/>
    <w:rsid w:val="006D0127"/>
    <w:rsid w:val="006D0EEE"/>
    <w:rsid w:val="006E0468"/>
    <w:rsid w:val="006E0603"/>
    <w:rsid w:val="006E335B"/>
    <w:rsid w:val="006E3855"/>
    <w:rsid w:val="006E6228"/>
    <w:rsid w:val="006E6C8E"/>
    <w:rsid w:val="00705156"/>
    <w:rsid w:val="0070620C"/>
    <w:rsid w:val="00711029"/>
    <w:rsid w:val="0071452B"/>
    <w:rsid w:val="007148A4"/>
    <w:rsid w:val="00721946"/>
    <w:rsid w:val="007241F4"/>
    <w:rsid w:val="00725D3C"/>
    <w:rsid w:val="007333D2"/>
    <w:rsid w:val="00734021"/>
    <w:rsid w:val="007341D5"/>
    <w:rsid w:val="0074056A"/>
    <w:rsid w:val="00741189"/>
    <w:rsid w:val="007444E3"/>
    <w:rsid w:val="00746665"/>
    <w:rsid w:val="007473BC"/>
    <w:rsid w:val="00750BC1"/>
    <w:rsid w:val="00751495"/>
    <w:rsid w:val="007532B9"/>
    <w:rsid w:val="00754B79"/>
    <w:rsid w:val="00754E3B"/>
    <w:rsid w:val="007568AF"/>
    <w:rsid w:val="0076211C"/>
    <w:rsid w:val="007720E5"/>
    <w:rsid w:val="0077268F"/>
    <w:rsid w:val="00774AAB"/>
    <w:rsid w:val="0078011F"/>
    <w:rsid w:val="00781DA5"/>
    <w:rsid w:val="007821F5"/>
    <w:rsid w:val="00783BB7"/>
    <w:rsid w:val="00790E85"/>
    <w:rsid w:val="0079147A"/>
    <w:rsid w:val="0079373C"/>
    <w:rsid w:val="00796E21"/>
    <w:rsid w:val="007A0FC9"/>
    <w:rsid w:val="007A2F95"/>
    <w:rsid w:val="007A622E"/>
    <w:rsid w:val="007A6495"/>
    <w:rsid w:val="007A7B42"/>
    <w:rsid w:val="007B0CE5"/>
    <w:rsid w:val="007B0E1C"/>
    <w:rsid w:val="007B5FBB"/>
    <w:rsid w:val="007C50A7"/>
    <w:rsid w:val="007D30F6"/>
    <w:rsid w:val="007D4A1D"/>
    <w:rsid w:val="007D520D"/>
    <w:rsid w:val="007D5866"/>
    <w:rsid w:val="007E07E7"/>
    <w:rsid w:val="007E1EA4"/>
    <w:rsid w:val="007E43C8"/>
    <w:rsid w:val="007F672A"/>
    <w:rsid w:val="00811135"/>
    <w:rsid w:val="00811907"/>
    <w:rsid w:val="008124C4"/>
    <w:rsid w:val="008128F3"/>
    <w:rsid w:val="00812F50"/>
    <w:rsid w:val="008205FA"/>
    <w:rsid w:val="00820799"/>
    <w:rsid w:val="008229FE"/>
    <w:rsid w:val="0082660A"/>
    <w:rsid w:val="00832892"/>
    <w:rsid w:val="008352A1"/>
    <w:rsid w:val="00847FB8"/>
    <w:rsid w:val="0085219F"/>
    <w:rsid w:val="00856616"/>
    <w:rsid w:val="008728F8"/>
    <w:rsid w:val="00872C03"/>
    <w:rsid w:val="00874B2A"/>
    <w:rsid w:val="00875B86"/>
    <w:rsid w:val="00877E03"/>
    <w:rsid w:val="00883B07"/>
    <w:rsid w:val="00884235"/>
    <w:rsid w:val="00884CC6"/>
    <w:rsid w:val="00890931"/>
    <w:rsid w:val="00890E55"/>
    <w:rsid w:val="00892B32"/>
    <w:rsid w:val="00892E67"/>
    <w:rsid w:val="00897AB2"/>
    <w:rsid w:val="008A2CD1"/>
    <w:rsid w:val="008A44BD"/>
    <w:rsid w:val="008A54CF"/>
    <w:rsid w:val="008A5BAD"/>
    <w:rsid w:val="008B0E98"/>
    <w:rsid w:val="008B1400"/>
    <w:rsid w:val="008B27FF"/>
    <w:rsid w:val="008B57B7"/>
    <w:rsid w:val="008B7DC5"/>
    <w:rsid w:val="008C344C"/>
    <w:rsid w:val="008D410D"/>
    <w:rsid w:val="008D6D2A"/>
    <w:rsid w:val="008E3F14"/>
    <w:rsid w:val="008E622B"/>
    <w:rsid w:val="008E6BC7"/>
    <w:rsid w:val="008F0DFD"/>
    <w:rsid w:val="008F5090"/>
    <w:rsid w:val="008F552F"/>
    <w:rsid w:val="008F5625"/>
    <w:rsid w:val="009001B7"/>
    <w:rsid w:val="0090162D"/>
    <w:rsid w:val="00906F3B"/>
    <w:rsid w:val="009114ED"/>
    <w:rsid w:val="00913C82"/>
    <w:rsid w:val="00915F31"/>
    <w:rsid w:val="009205DE"/>
    <w:rsid w:val="009211DC"/>
    <w:rsid w:val="00923292"/>
    <w:rsid w:val="009234E0"/>
    <w:rsid w:val="00924F0F"/>
    <w:rsid w:val="009273B9"/>
    <w:rsid w:val="00931880"/>
    <w:rsid w:val="009320BF"/>
    <w:rsid w:val="009325DB"/>
    <w:rsid w:val="00934152"/>
    <w:rsid w:val="00937929"/>
    <w:rsid w:val="00942AF2"/>
    <w:rsid w:val="0094547C"/>
    <w:rsid w:val="0095037B"/>
    <w:rsid w:val="009540B4"/>
    <w:rsid w:val="00954B4F"/>
    <w:rsid w:val="009651A7"/>
    <w:rsid w:val="00967DEF"/>
    <w:rsid w:val="0097256C"/>
    <w:rsid w:val="00974E91"/>
    <w:rsid w:val="00976BB1"/>
    <w:rsid w:val="00982DBE"/>
    <w:rsid w:val="009833BE"/>
    <w:rsid w:val="00983720"/>
    <w:rsid w:val="00984840"/>
    <w:rsid w:val="009854F5"/>
    <w:rsid w:val="00993D39"/>
    <w:rsid w:val="009A0F31"/>
    <w:rsid w:val="009A6153"/>
    <w:rsid w:val="009B0A18"/>
    <w:rsid w:val="009B40A1"/>
    <w:rsid w:val="009B771D"/>
    <w:rsid w:val="009C2462"/>
    <w:rsid w:val="009C4A68"/>
    <w:rsid w:val="009C706F"/>
    <w:rsid w:val="009D0CA3"/>
    <w:rsid w:val="009D14D2"/>
    <w:rsid w:val="009D7500"/>
    <w:rsid w:val="009E170A"/>
    <w:rsid w:val="009E636B"/>
    <w:rsid w:val="009F24DA"/>
    <w:rsid w:val="009F2676"/>
    <w:rsid w:val="00A02E7A"/>
    <w:rsid w:val="00A058F4"/>
    <w:rsid w:val="00A13E19"/>
    <w:rsid w:val="00A17DDD"/>
    <w:rsid w:val="00A20DC4"/>
    <w:rsid w:val="00A40027"/>
    <w:rsid w:val="00A40FDA"/>
    <w:rsid w:val="00A43D99"/>
    <w:rsid w:val="00A44139"/>
    <w:rsid w:val="00A4583F"/>
    <w:rsid w:val="00A47E40"/>
    <w:rsid w:val="00A50994"/>
    <w:rsid w:val="00A5179B"/>
    <w:rsid w:val="00A535FA"/>
    <w:rsid w:val="00A5465F"/>
    <w:rsid w:val="00A57570"/>
    <w:rsid w:val="00A578E0"/>
    <w:rsid w:val="00A57D53"/>
    <w:rsid w:val="00A635C9"/>
    <w:rsid w:val="00A6547F"/>
    <w:rsid w:val="00A65E7D"/>
    <w:rsid w:val="00A70393"/>
    <w:rsid w:val="00A7183B"/>
    <w:rsid w:val="00A74564"/>
    <w:rsid w:val="00A82690"/>
    <w:rsid w:val="00A90324"/>
    <w:rsid w:val="00A91C0A"/>
    <w:rsid w:val="00A95C92"/>
    <w:rsid w:val="00AB18FE"/>
    <w:rsid w:val="00AB41F5"/>
    <w:rsid w:val="00AB6FD3"/>
    <w:rsid w:val="00AC078C"/>
    <w:rsid w:val="00AC1BBE"/>
    <w:rsid w:val="00AC5391"/>
    <w:rsid w:val="00AC5BBA"/>
    <w:rsid w:val="00AD1E76"/>
    <w:rsid w:val="00AD1FCE"/>
    <w:rsid w:val="00AD36D2"/>
    <w:rsid w:val="00AD5B27"/>
    <w:rsid w:val="00AD7095"/>
    <w:rsid w:val="00AE0FB9"/>
    <w:rsid w:val="00AE198C"/>
    <w:rsid w:val="00AE3B5B"/>
    <w:rsid w:val="00AE481D"/>
    <w:rsid w:val="00AF0718"/>
    <w:rsid w:val="00AF77CC"/>
    <w:rsid w:val="00B05F09"/>
    <w:rsid w:val="00B06A7B"/>
    <w:rsid w:val="00B1451B"/>
    <w:rsid w:val="00B24563"/>
    <w:rsid w:val="00B26166"/>
    <w:rsid w:val="00B30393"/>
    <w:rsid w:val="00B3097F"/>
    <w:rsid w:val="00B31F93"/>
    <w:rsid w:val="00B35B2B"/>
    <w:rsid w:val="00B44411"/>
    <w:rsid w:val="00B45C31"/>
    <w:rsid w:val="00B45F6E"/>
    <w:rsid w:val="00B53F89"/>
    <w:rsid w:val="00B5483A"/>
    <w:rsid w:val="00B55BE1"/>
    <w:rsid w:val="00B576A2"/>
    <w:rsid w:val="00B57DF2"/>
    <w:rsid w:val="00B60A68"/>
    <w:rsid w:val="00B67AAA"/>
    <w:rsid w:val="00B70CA8"/>
    <w:rsid w:val="00B71C66"/>
    <w:rsid w:val="00B767D0"/>
    <w:rsid w:val="00B77040"/>
    <w:rsid w:val="00B83C9E"/>
    <w:rsid w:val="00B86739"/>
    <w:rsid w:val="00B868D2"/>
    <w:rsid w:val="00B86AC5"/>
    <w:rsid w:val="00B925AB"/>
    <w:rsid w:val="00B94975"/>
    <w:rsid w:val="00BA17F2"/>
    <w:rsid w:val="00BA19EC"/>
    <w:rsid w:val="00BA4ACC"/>
    <w:rsid w:val="00BA54CB"/>
    <w:rsid w:val="00BA6650"/>
    <w:rsid w:val="00BC3C88"/>
    <w:rsid w:val="00BC7255"/>
    <w:rsid w:val="00BD3E75"/>
    <w:rsid w:val="00BD66F8"/>
    <w:rsid w:val="00BE0532"/>
    <w:rsid w:val="00BE46E5"/>
    <w:rsid w:val="00BF1E2E"/>
    <w:rsid w:val="00BF3BC3"/>
    <w:rsid w:val="00BF4D34"/>
    <w:rsid w:val="00BF6D92"/>
    <w:rsid w:val="00C06C98"/>
    <w:rsid w:val="00C07C69"/>
    <w:rsid w:val="00C12007"/>
    <w:rsid w:val="00C14678"/>
    <w:rsid w:val="00C14A93"/>
    <w:rsid w:val="00C24058"/>
    <w:rsid w:val="00C26415"/>
    <w:rsid w:val="00C34B4F"/>
    <w:rsid w:val="00C35337"/>
    <w:rsid w:val="00C35A1A"/>
    <w:rsid w:val="00C37291"/>
    <w:rsid w:val="00C40170"/>
    <w:rsid w:val="00C40E81"/>
    <w:rsid w:val="00C42AB9"/>
    <w:rsid w:val="00C45873"/>
    <w:rsid w:val="00C5452C"/>
    <w:rsid w:val="00C66FF5"/>
    <w:rsid w:val="00C73382"/>
    <w:rsid w:val="00C741E1"/>
    <w:rsid w:val="00C77CA3"/>
    <w:rsid w:val="00C8445F"/>
    <w:rsid w:val="00C86106"/>
    <w:rsid w:val="00C86731"/>
    <w:rsid w:val="00C87D96"/>
    <w:rsid w:val="00CA0D0B"/>
    <w:rsid w:val="00CA3CD9"/>
    <w:rsid w:val="00CA6363"/>
    <w:rsid w:val="00CA7E01"/>
    <w:rsid w:val="00CB0772"/>
    <w:rsid w:val="00CC127A"/>
    <w:rsid w:val="00CC29B7"/>
    <w:rsid w:val="00CC3431"/>
    <w:rsid w:val="00CD0B5D"/>
    <w:rsid w:val="00CD433A"/>
    <w:rsid w:val="00CD489B"/>
    <w:rsid w:val="00CD750A"/>
    <w:rsid w:val="00CE0BE8"/>
    <w:rsid w:val="00CE196B"/>
    <w:rsid w:val="00CE3E74"/>
    <w:rsid w:val="00CE69A8"/>
    <w:rsid w:val="00D003F1"/>
    <w:rsid w:val="00D034FC"/>
    <w:rsid w:val="00D047D4"/>
    <w:rsid w:val="00D04DE0"/>
    <w:rsid w:val="00D0674F"/>
    <w:rsid w:val="00D06F2C"/>
    <w:rsid w:val="00D12E6A"/>
    <w:rsid w:val="00D131D6"/>
    <w:rsid w:val="00D13328"/>
    <w:rsid w:val="00D16448"/>
    <w:rsid w:val="00D279A9"/>
    <w:rsid w:val="00D31D76"/>
    <w:rsid w:val="00D34E26"/>
    <w:rsid w:val="00D37652"/>
    <w:rsid w:val="00D40BAB"/>
    <w:rsid w:val="00D435DC"/>
    <w:rsid w:val="00D44226"/>
    <w:rsid w:val="00D444B9"/>
    <w:rsid w:val="00D47EF7"/>
    <w:rsid w:val="00D52061"/>
    <w:rsid w:val="00D54755"/>
    <w:rsid w:val="00D6100F"/>
    <w:rsid w:val="00D61475"/>
    <w:rsid w:val="00D62FEA"/>
    <w:rsid w:val="00D83A80"/>
    <w:rsid w:val="00D84EDD"/>
    <w:rsid w:val="00D8581E"/>
    <w:rsid w:val="00D85937"/>
    <w:rsid w:val="00D938BD"/>
    <w:rsid w:val="00DA227A"/>
    <w:rsid w:val="00DA6EFD"/>
    <w:rsid w:val="00DB4DCC"/>
    <w:rsid w:val="00DB7FE7"/>
    <w:rsid w:val="00DC16B7"/>
    <w:rsid w:val="00DC2021"/>
    <w:rsid w:val="00DC23CF"/>
    <w:rsid w:val="00DC28F2"/>
    <w:rsid w:val="00DD131F"/>
    <w:rsid w:val="00DE1C4D"/>
    <w:rsid w:val="00DE2EBA"/>
    <w:rsid w:val="00DE42B7"/>
    <w:rsid w:val="00DE665E"/>
    <w:rsid w:val="00DF123A"/>
    <w:rsid w:val="00DF1F32"/>
    <w:rsid w:val="00DF261D"/>
    <w:rsid w:val="00DF467D"/>
    <w:rsid w:val="00DF6D5D"/>
    <w:rsid w:val="00E00AC9"/>
    <w:rsid w:val="00E07CCE"/>
    <w:rsid w:val="00E17432"/>
    <w:rsid w:val="00E17FF2"/>
    <w:rsid w:val="00E21001"/>
    <w:rsid w:val="00E270B5"/>
    <w:rsid w:val="00E31FF1"/>
    <w:rsid w:val="00E41833"/>
    <w:rsid w:val="00E421C9"/>
    <w:rsid w:val="00E42FBB"/>
    <w:rsid w:val="00E43397"/>
    <w:rsid w:val="00E442F3"/>
    <w:rsid w:val="00E47235"/>
    <w:rsid w:val="00E51C0D"/>
    <w:rsid w:val="00E53953"/>
    <w:rsid w:val="00E55564"/>
    <w:rsid w:val="00E572AE"/>
    <w:rsid w:val="00E57A98"/>
    <w:rsid w:val="00E72A01"/>
    <w:rsid w:val="00E7738B"/>
    <w:rsid w:val="00E81EB1"/>
    <w:rsid w:val="00E85332"/>
    <w:rsid w:val="00EA0870"/>
    <w:rsid w:val="00EB3467"/>
    <w:rsid w:val="00EB6732"/>
    <w:rsid w:val="00EB6942"/>
    <w:rsid w:val="00EB7339"/>
    <w:rsid w:val="00EC2732"/>
    <w:rsid w:val="00EC6E2C"/>
    <w:rsid w:val="00ED3083"/>
    <w:rsid w:val="00ED56F2"/>
    <w:rsid w:val="00EE2024"/>
    <w:rsid w:val="00EE3288"/>
    <w:rsid w:val="00EE3A89"/>
    <w:rsid w:val="00EE4344"/>
    <w:rsid w:val="00EE4B82"/>
    <w:rsid w:val="00EF22A4"/>
    <w:rsid w:val="00EF2BA1"/>
    <w:rsid w:val="00EF2FD3"/>
    <w:rsid w:val="00F01A02"/>
    <w:rsid w:val="00F03455"/>
    <w:rsid w:val="00F07E72"/>
    <w:rsid w:val="00F11F07"/>
    <w:rsid w:val="00F14931"/>
    <w:rsid w:val="00F218A6"/>
    <w:rsid w:val="00F2362D"/>
    <w:rsid w:val="00F25522"/>
    <w:rsid w:val="00F30903"/>
    <w:rsid w:val="00F30F23"/>
    <w:rsid w:val="00F33714"/>
    <w:rsid w:val="00F40667"/>
    <w:rsid w:val="00F43EC9"/>
    <w:rsid w:val="00F54FCD"/>
    <w:rsid w:val="00F5710B"/>
    <w:rsid w:val="00F60092"/>
    <w:rsid w:val="00F62C18"/>
    <w:rsid w:val="00F650DB"/>
    <w:rsid w:val="00F65E63"/>
    <w:rsid w:val="00F67395"/>
    <w:rsid w:val="00F81505"/>
    <w:rsid w:val="00F84980"/>
    <w:rsid w:val="00F85A00"/>
    <w:rsid w:val="00F86CFD"/>
    <w:rsid w:val="00F86F0D"/>
    <w:rsid w:val="00F91A38"/>
    <w:rsid w:val="00F93731"/>
    <w:rsid w:val="00F9480C"/>
    <w:rsid w:val="00F95F37"/>
    <w:rsid w:val="00F96904"/>
    <w:rsid w:val="00F97C97"/>
    <w:rsid w:val="00FA03AA"/>
    <w:rsid w:val="00FA203B"/>
    <w:rsid w:val="00FA3047"/>
    <w:rsid w:val="00FA67E2"/>
    <w:rsid w:val="00FA7165"/>
    <w:rsid w:val="00FA719A"/>
    <w:rsid w:val="00FB2BA8"/>
    <w:rsid w:val="00FB48FC"/>
    <w:rsid w:val="00FC2045"/>
    <w:rsid w:val="00FC3F88"/>
    <w:rsid w:val="00FC4725"/>
    <w:rsid w:val="00FD2398"/>
    <w:rsid w:val="00FD3826"/>
    <w:rsid w:val="00FD4FB7"/>
    <w:rsid w:val="00FE4028"/>
    <w:rsid w:val="00FE6D1F"/>
    <w:rsid w:val="00FF43DE"/>
    <w:rsid w:val="00FF7823"/>
    <w:rsid w:val="026B2BE3"/>
    <w:rsid w:val="03FC0B8D"/>
    <w:rsid w:val="041C2909"/>
    <w:rsid w:val="0465570B"/>
    <w:rsid w:val="050E2543"/>
    <w:rsid w:val="051A6F81"/>
    <w:rsid w:val="053E0DD1"/>
    <w:rsid w:val="05F41E1E"/>
    <w:rsid w:val="060D2DC6"/>
    <w:rsid w:val="06DA5BE2"/>
    <w:rsid w:val="07F91E2E"/>
    <w:rsid w:val="09DB067F"/>
    <w:rsid w:val="09F75C91"/>
    <w:rsid w:val="0AD74B5A"/>
    <w:rsid w:val="0B216A48"/>
    <w:rsid w:val="0B6054AC"/>
    <w:rsid w:val="0BF40D32"/>
    <w:rsid w:val="0C263A3C"/>
    <w:rsid w:val="0C5D1C5B"/>
    <w:rsid w:val="0C97258B"/>
    <w:rsid w:val="0CAD3DEA"/>
    <w:rsid w:val="0D686BED"/>
    <w:rsid w:val="0DA55BC5"/>
    <w:rsid w:val="0DEF124D"/>
    <w:rsid w:val="0FE33768"/>
    <w:rsid w:val="0FEE5216"/>
    <w:rsid w:val="100B32F6"/>
    <w:rsid w:val="10F65F62"/>
    <w:rsid w:val="127E3697"/>
    <w:rsid w:val="12F5044F"/>
    <w:rsid w:val="13280685"/>
    <w:rsid w:val="13AD0F54"/>
    <w:rsid w:val="14422229"/>
    <w:rsid w:val="14461F73"/>
    <w:rsid w:val="147C6752"/>
    <w:rsid w:val="14903B33"/>
    <w:rsid w:val="165F4B2E"/>
    <w:rsid w:val="167343E0"/>
    <w:rsid w:val="1789385D"/>
    <w:rsid w:val="17FE21AD"/>
    <w:rsid w:val="18E47FCB"/>
    <w:rsid w:val="1AA00E00"/>
    <w:rsid w:val="1AB629DD"/>
    <w:rsid w:val="1B2D6D37"/>
    <w:rsid w:val="1CD65AC3"/>
    <w:rsid w:val="1DAC3D45"/>
    <w:rsid w:val="1DF42E10"/>
    <w:rsid w:val="1E5C0DAD"/>
    <w:rsid w:val="1F4458EA"/>
    <w:rsid w:val="1FE57E16"/>
    <w:rsid w:val="202E225F"/>
    <w:rsid w:val="20AF2643"/>
    <w:rsid w:val="21483039"/>
    <w:rsid w:val="22D966C4"/>
    <w:rsid w:val="22F6524B"/>
    <w:rsid w:val="23B82988"/>
    <w:rsid w:val="23D11209"/>
    <w:rsid w:val="243B5C86"/>
    <w:rsid w:val="247B6923"/>
    <w:rsid w:val="24FA34E9"/>
    <w:rsid w:val="253D1AD4"/>
    <w:rsid w:val="26F207AF"/>
    <w:rsid w:val="274D5B85"/>
    <w:rsid w:val="27C35F9B"/>
    <w:rsid w:val="28731B99"/>
    <w:rsid w:val="288C5F6C"/>
    <w:rsid w:val="28E50AD7"/>
    <w:rsid w:val="28F747E6"/>
    <w:rsid w:val="291F51A3"/>
    <w:rsid w:val="29734ECA"/>
    <w:rsid w:val="29965872"/>
    <w:rsid w:val="29B563EC"/>
    <w:rsid w:val="29FB7E0C"/>
    <w:rsid w:val="2A343312"/>
    <w:rsid w:val="2A5C63A3"/>
    <w:rsid w:val="2BD3610F"/>
    <w:rsid w:val="2EE97CFE"/>
    <w:rsid w:val="2FEF24AA"/>
    <w:rsid w:val="30082DFE"/>
    <w:rsid w:val="305F3061"/>
    <w:rsid w:val="30942299"/>
    <w:rsid w:val="309546E5"/>
    <w:rsid w:val="30B01D1C"/>
    <w:rsid w:val="3104763E"/>
    <w:rsid w:val="317E67A3"/>
    <w:rsid w:val="32E81243"/>
    <w:rsid w:val="333F7F7E"/>
    <w:rsid w:val="339769C8"/>
    <w:rsid w:val="34D84016"/>
    <w:rsid w:val="3550415A"/>
    <w:rsid w:val="35553677"/>
    <w:rsid w:val="36D74E7C"/>
    <w:rsid w:val="38177D48"/>
    <w:rsid w:val="38B75544"/>
    <w:rsid w:val="38BD2DFD"/>
    <w:rsid w:val="39693110"/>
    <w:rsid w:val="39B438B7"/>
    <w:rsid w:val="3CFE2ED3"/>
    <w:rsid w:val="3D6526BF"/>
    <w:rsid w:val="3D8F305C"/>
    <w:rsid w:val="3DA56FE3"/>
    <w:rsid w:val="3DAE7C70"/>
    <w:rsid w:val="3ED3772C"/>
    <w:rsid w:val="41922E3C"/>
    <w:rsid w:val="41DD69FB"/>
    <w:rsid w:val="41EB39BE"/>
    <w:rsid w:val="4252416E"/>
    <w:rsid w:val="42DB2E5F"/>
    <w:rsid w:val="43802155"/>
    <w:rsid w:val="44587E88"/>
    <w:rsid w:val="45040CC2"/>
    <w:rsid w:val="45481751"/>
    <w:rsid w:val="46B82E70"/>
    <w:rsid w:val="46DA719D"/>
    <w:rsid w:val="4760775F"/>
    <w:rsid w:val="48602A46"/>
    <w:rsid w:val="48FF0F6D"/>
    <w:rsid w:val="49086B20"/>
    <w:rsid w:val="493112DB"/>
    <w:rsid w:val="49395B45"/>
    <w:rsid w:val="4B624BD7"/>
    <w:rsid w:val="4BF55B1E"/>
    <w:rsid w:val="4C275C8A"/>
    <w:rsid w:val="4D0A52C2"/>
    <w:rsid w:val="4D8964BD"/>
    <w:rsid w:val="4E5959D6"/>
    <w:rsid w:val="4E752B31"/>
    <w:rsid w:val="4F9C1535"/>
    <w:rsid w:val="508E14F2"/>
    <w:rsid w:val="51716FC1"/>
    <w:rsid w:val="519805C3"/>
    <w:rsid w:val="52785B77"/>
    <w:rsid w:val="5333637C"/>
    <w:rsid w:val="53543E84"/>
    <w:rsid w:val="536F7CC6"/>
    <w:rsid w:val="54051B42"/>
    <w:rsid w:val="5510058D"/>
    <w:rsid w:val="55187F0F"/>
    <w:rsid w:val="563E6AD1"/>
    <w:rsid w:val="56F24C1A"/>
    <w:rsid w:val="57427BA1"/>
    <w:rsid w:val="57A6132E"/>
    <w:rsid w:val="57D51048"/>
    <w:rsid w:val="5A0615E2"/>
    <w:rsid w:val="5B2C4DDD"/>
    <w:rsid w:val="5BED59B0"/>
    <w:rsid w:val="5DE57D38"/>
    <w:rsid w:val="5EB67785"/>
    <w:rsid w:val="5F083BE3"/>
    <w:rsid w:val="60704084"/>
    <w:rsid w:val="60D82B5E"/>
    <w:rsid w:val="620B6F16"/>
    <w:rsid w:val="62674AC1"/>
    <w:rsid w:val="65C51EBD"/>
    <w:rsid w:val="66115B94"/>
    <w:rsid w:val="6645022B"/>
    <w:rsid w:val="676E6B99"/>
    <w:rsid w:val="67AD0F3A"/>
    <w:rsid w:val="6807699E"/>
    <w:rsid w:val="6850223F"/>
    <w:rsid w:val="690E5F00"/>
    <w:rsid w:val="69143F32"/>
    <w:rsid w:val="69396B77"/>
    <w:rsid w:val="696222BD"/>
    <w:rsid w:val="6A34317A"/>
    <w:rsid w:val="6A6137B1"/>
    <w:rsid w:val="6A61406B"/>
    <w:rsid w:val="6A743078"/>
    <w:rsid w:val="6A9855F4"/>
    <w:rsid w:val="6AB011A7"/>
    <w:rsid w:val="6B606FD5"/>
    <w:rsid w:val="6BBA0C8E"/>
    <w:rsid w:val="6C6F673F"/>
    <w:rsid w:val="6D066A7E"/>
    <w:rsid w:val="6E721AF9"/>
    <w:rsid w:val="6EAB788E"/>
    <w:rsid w:val="6F9B3E59"/>
    <w:rsid w:val="6FB412A5"/>
    <w:rsid w:val="6FC05BA7"/>
    <w:rsid w:val="704634F1"/>
    <w:rsid w:val="70E22520"/>
    <w:rsid w:val="715410F9"/>
    <w:rsid w:val="72920C79"/>
    <w:rsid w:val="72927EF7"/>
    <w:rsid w:val="72AD5C47"/>
    <w:rsid w:val="732D4F7F"/>
    <w:rsid w:val="73402AFF"/>
    <w:rsid w:val="742D2F7E"/>
    <w:rsid w:val="759B3536"/>
    <w:rsid w:val="75D71605"/>
    <w:rsid w:val="76210754"/>
    <w:rsid w:val="76A64C04"/>
    <w:rsid w:val="77800C3F"/>
    <w:rsid w:val="79C53ED1"/>
    <w:rsid w:val="7B9C6049"/>
    <w:rsid w:val="7C2C3195"/>
    <w:rsid w:val="7C502428"/>
    <w:rsid w:val="7C9A5D73"/>
    <w:rsid w:val="7D1C4D47"/>
    <w:rsid w:val="7D2124A7"/>
    <w:rsid w:val="7DA0129B"/>
    <w:rsid w:val="7E847EF0"/>
    <w:rsid w:val="7EC607D6"/>
    <w:rsid w:val="7F2C43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character" w:default="1" w:styleId="19">
    <w:name w:val="Default Paragraph Font"/>
    <w:unhideWhenUsed/>
    <w:qFormat/>
    <w:uiPriority w:val="1"/>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5">
    <w:name w:val="Document Map"/>
    <w:basedOn w:val="1"/>
    <w:link w:val="35"/>
    <w:unhideWhenUsed/>
    <w:qFormat/>
    <w:uiPriority w:val="99"/>
    <w:rPr>
      <w:rFonts w:ascii="宋体"/>
      <w:sz w:val="18"/>
      <w:szCs w:val="18"/>
    </w:rPr>
  </w:style>
  <w:style w:type="paragraph" w:styleId="6">
    <w:name w:val="annotation text"/>
    <w:basedOn w:val="1"/>
    <w:link w:val="40"/>
    <w:qFormat/>
    <w:uiPriority w:val="0"/>
    <w:pPr>
      <w:jc w:val="left"/>
    </w:pPr>
    <w:rPr>
      <w:szCs w:val="24"/>
    </w:rPr>
  </w:style>
  <w:style w:type="paragraph" w:styleId="7">
    <w:name w:val="Body Text"/>
    <w:basedOn w:val="1"/>
    <w:link w:val="29"/>
    <w:qFormat/>
    <w:uiPriority w:val="0"/>
    <w:pPr>
      <w:spacing w:after="120"/>
    </w:pPr>
    <w:rPr>
      <w:szCs w:val="24"/>
    </w:rPr>
  </w:style>
  <w:style w:type="paragraph" w:styleId="8">
    <w:name w:val="Body Text Indent"/>
    <w:basedOn w:val="1"/>
    <w:link w:val="39"/>
    <w:qFormat/>
    <w:uiPriority w:val="0"/>
    <w:pPr>
      <w:spacing w:after="120"/>
      <w:ind w:left="420" w:leftChars="200"/>
    </w:pPr>
    <w:rPr>
      <w:szCs w:val="24"/>
    </w:rPr>
  </w:style>
  <w:style w:type="paragraph" w:styleId="9">
    <w:name w:val="Plain Text"/>
    <w:basedOn w:val="1"/>
    <w:next w:val="1"/>
    <w:link w:val="37"/>
    <w:qFormat/>
    <w:uiPriority w:val="0"/>
    <w:rPr>
      <w:rFonts w:ascii="宋体" w:hAnsi="Calibri"/>
    </w:rPr>
  </w:style>
  <w:style w:type="paragraph" w:styleId="10">
    <w:name w:val="Balloon Text"/>
    <w:basedOn w:val="1"/>
    <w:link w:val="38"/>
    <w:unhideWhenUsed/>
    <w:qFormat/>
    <w:uiPriority w:val="99"/>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4"/>
    <w:basedOn w:val="1"/>
    <w:next w:val="1"/>
    <w:qFormat/>
    <w:uiPriority w:val="0"/>
    <w:pPr>
      <w:ind w:left="1260" w:leftChars="600"/>
    </w:pPr>
    <w:rPr>
      <w:rFonts w:ascii="Calibri" w:hAnsi="Calibri"/>
      <w:szCs w:val="24"/>
    </w:rPr>
  </w:style>
  <w:style w:type="paragraph" w:styleId="14">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15">
    <w:name w:val="Title"/>
    <w:basedOn w:val="1"/>
    <w:next w:val="1"/>
    <w:link w:val="41"/>
    <w:qFormat/>
    <w:uiPriority w:val="10"/>
    <w:pPr>
      <w:spacing w:before="240" w:after="60"/>
      <w:jc w:val="center"/>
      <w:outlineLvl w:val="0"/>
    </w:pPr>
    <w:rPr>
      <w:rFonts w:ascii="等线 Light" w:hAnsi="等线 Light"/>
      <w:b/>
      <w:bCs/>
      <w:sz w:val="32"/>
      <w:szCs w:val="32"/>
    </w:rPr>
  </w:style>
  <w:style w:type="paragraph" w:styleId="16">
    <w:name w:val="annotation subject"/>
    <w:basedOn w:val="6"/>
    <w:next w:val="6"/>
    <w:semiHidden/>
    <w:qFormat/>
    <w:uiPriority w:val="0"/>
    <w:rPr>
      <w:rFonts w:ascii="Calibri" w:hAnsi="Calibri"/>
      <w:b/>
      <w:bCs/>
      <w:szCs w:val="22"/>
    </w:rPr>
  </w:style>
  <w:style w:type="paragraph" w:styleId="17">
    <w:name w:val="Body Text First Indent"/>
    <w:basedOn w:val="7"/>
    <w:link w:val="32"/>
    <w:unhideWhenUsed/>
    <w:qFormat/>
    <w:uiPriority w:val="0"/>
    <w:pPr>
      <w:ind w:firstLine="420" w:firstLineChars="100"/>
    </w:pPr>
    <w:rPr>
      <w:szCs w:val="22"/>
    </w:rPr>
  </w:style>
  <w:style w:type="character" w:styleId="20">
    <w:name w:val="FollowedHyperlink"/>
    <w:unhideWhenUsed/>
    <w:qFormat/>
    <w:uiPriority w:val="99"/>
    <w:rPr>
      <w:color w:val="000000"/>
      <w:u w:val="none"/>
    </w:rPr>
  </w:style>
  <w:style w:type="character" w:styleId="21">
    <w:name w:val="Hyperlink"/>
    <w:qFormat/>
    <w:uiPriority w:val="0"/>
    <w:rPr>
      <w:color w:val="000000"/>
      <w:u w:val="none"/>
    </w:rPr>
  </w:style>
  <w:style w:type="character" w:styleId="22">
    <w:name w:val="annotation reference"/>
    <w:qFormat/>
    <w:uiPriority w:val="0"/>
    <w:rPr>
      <w:sz w:val="21"/>
      <w:szCs w:val="21"/>
    </w:rPr>
  </w:style>
  <w:style w:type="paragraph" w:styleId="23">
    <w:name w:val="List Paragraph"/>
    <w:basedOn w:val="1"/>
    <w:qFormat/>
    <w:uiPriority w:val="34"/>
    <w:pPr>
      <w:ind w:firstLine="420" w:firstLineChars="200"/>
    </w:pPr>
    <w:rPr>
      <w:rFonts w:ascii="Times New Roman" w:hAnsi="Times New Roman"/>
      <w:szCs w:val="24"/>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_Style 24"/>
    <w:unhideWhenUsed/>
    <w:qFormat/>
    <w:uiPriority w:val="99"/>
    <w:rPr>
      <w:rFonts w:ascii="Times New Roman" w:hAnsi="Times New Roman" w:eastAsia="宋体" w:cs="Times New Roman"/>
      <w:kern w:val="2"/>
      <w:sz w:val="21"/>
      <w:szCs w:val="22"/>
      <w:lang w:val="en-US" w:eastAsia="zh-CN" w:bidi="ar-SA"/>
    </w:rPr>
  </w:style>
  <w:style w:type="character" w:customStyle="1" w:styleId="26">
    <w:name w:val="纯文本 字符1"/>
    <w:semiHidden/>
    <w:qFormat/>
    <w:uiPriority w:val="99"/>
    <w:rPr>
      <w:rFonts w:ascii="宋体" w:hAnsi="Courier New" w:cs="Courier New"/>
      <w:kern w:val="2"/>
      <w:sz w:val="21"/>
      <w:szCs w:val="21"/>
    </w:rPr>
  </w:style>
  <w:style w:type="character" w:customStyle="1" w:styleId="27">
    <w:name w:val="正文首行缩进 Char"/>
    <w:basedOn w:val="28"/>
    <w:link w:val="17"/>
    <w:qFormat/>
    <w:uiPriority w:val="0"/>
    <w:rPr>
      <w:kern w:val="2"/>
      <w:sz w:val="21"/>
      <w:szCs w:val="22"/>
    </w:rPr>
  </w:style>
  <w:style w:type="character" w:customStyle="1" w:styleId="28">
    <w:name w:val="正文文本 Char"/>
    <w:basedOn w:val="19"/>
    <w:link w:val="7"/>
    <w:qFormat/>
    <w:uiPriority w:val="0"/>
    <w:rPr>
      <w:kern w:val="2"/>
      <w:sz w:val="21"/>
      <w:szCs w:val="22"/>
    </w:rPr>
  </w:style>
  <w:style w:type="character" w:customStyle="1" w:styleId="29">
    <w:name w:val="正文文本 字符"/>
    <w:link w:val="7"/>
    <w:qFormat/>
    <w:uiPriority w:val="0"/>
    <w:rPr>
      <w:rFonts w:ascii="Times New Roman" w:hAnsi="Times New Roman"/>
      <w:kern w:val="2"/>
      <w:sz w:val="21"/>
      <w:szCs w:val="24"/>
    </w:rPr>
  </w:style>
  <w:style w:type="character" w:customStyle="1" w:styleId="30">
    <w:name w:val="标题 1 字符"/>
    <w:link w:val="3"/>
    <w:qFormat/>
    <w:uiPriority w:val="9"/>
    <w:rPr>
      <w:b/>
      <w:bCs/>
      <w:kern w:val="44"/>
      <w:sz w:val="44"/>
      <w:szCs w:val="44"/>
    </w:rPr>
  </w:style>
  <w:style w:type="character" w:customStyle="1" w:styleId="31">
    <w:name w:val="times1"/>
    <w:qFormat/>
    <w:uiPriority w:val="0"/>
    <w:rPr>
      <w:color w:val="3399FF"/>
      <w:bdr w:val="single" w:color="D1EDF8" w:sz="6" w:space="0"/>
      <w:shd w:val="clear" w:color="auto" w:fill="EAF9FF"/>
    </w:rPr>
  </w:style>
  <w:style w:type="character" w:customStyle="1" w:styleId="32">
    <w:name w:val="正文文本首行缩进 字符"/>
    <w:link w:val="17"/>
    <w:qFormat/>
    <w:uiPriority w:val="0"/>
    <w:rPr>
      <w:rFonts w:ascii="Times New Roman" w:hAnsi="Times New Roman"/>
      <w:kern w:val="2"/>
      <w:sz w:val="21"/>
      <w:szCs w:val="22"/>
    </w:rPr>
  </w:style>
  <w:style w:type="character" w:customStyle="1" w:styleId="33">
    <w:name w:val="页眉 字符"/>
    <w:link w:val="12"/>
    <w:qFormat/>
    <w:uiPriority w:val="99"/>
    <w:rPr>
      <w:kern w:val="2"/>
      <w:sz w:val="18"/>
      <w:szCs w:val="18"/>
    </w:rPr>
  </w:style>
  <w:style w:type="character" w:customStyle="1" w:styleId="34">
    <w:name w:val="hover41"/>
    <w:qFormat/>
    <w:uiPriority w:val="0"/>
  </w:style>
  <w:style w:type="character" w:customStyle="1" w:styleId="35">
    <w:name w:val="文档结构图 字符"/>
    <w:link w:val="5"/>
    <w:semiHidden/>
    <w:qFormat/>
    <w:uiPriority w:val="99"/>
    <w:rPr>
      <w:rFonts w:ascii="宋体"/>
      <w:kern w:val="2"/>
      <w:sz w:val="18"/>
      <w:szCs w:val="18"/>
    </w:rPr>
  </w:style>
  <w:style w:type="character" w:customStyle="1" w:styleId="36">
    <w:name w:val="times"/>
    <w:qFormat/>
    <w:uiPriority w:val="0"/>
    <w:rPr>
      <w:color w:val="CDCDCD"/>
      <w:bdr w:val="single" w:color="CDCDCD" w:sz="6" w:space="0"/>
      <w:shd w:val="clear" w:color="auto" w:fill="EFEFEF"/>
    </w:rPr>
  </w:style>
  <w:style w:type="character" w:customStyle="1" w:styleId="37">
    <w:name w:val="纯文本 字符"/>
    <w:link w:val="9"/>
    <w:qFormat/>
    <w:uiPriority w:val="0"/>
    <w:rPr>
      <w:rFonts w:ascii="宋体" w:hAnsi="Calibri" w:cs="宋体"/>
      <w:kern w:val="2"/>
      <w:sz w:val="21"/>
      <w:szCs w:val="22"/>
    </w:rPr>
  </w:style>
  <w:style w:type="character" w:customStyle="1" w:styleId="38">
    <w:name w:val="批注框文本 字符"/>
    <w:link w:val="10"/>
    <w:semiHidden/>
    <w:qFormat/>
    <w:uiPriority w:val="99"/>
    <w:rPr>
      <w:kern w:val="2"/>
      <w:sz w:val="18"/>
      <w:szCs w:val="18"/>
    </w:rPr>
  </w:style>
  <w:style w:type="character" w:customStyle="1" w:styleId="39">
    <w:name w:val="正文文本缩进 字符"/>
    <w:link w:val="8"/>
    <w:qFormat/>
    <w:uiPriority w:val="0"/>
    <w:rPr>
      <w:rFonts w:ascii="Times New Roman" w:hAnsi="Times New Roman"/>
      <w:kern w:val="2"/>
      <w:sz w:val="21"/>
      <w:szCs w:val="24"/>
    </w:rPr>
  </w:style>
  <w:style w:type="character" w:customStyle="1" w:styleId="40">
    <w:name w:val="批注文字 字符"/>
    <w:link w:val="6"/>
    <w:qFormat/>
    <w:uiPriority w:val="0"/>
    <w:rPr>
      <w:rFonts w:ascii="Times New Roman" w:hAnsi="Times New Roman"/>
      <w:kern w:val="2"/>
      <w:sz w:val="21"/>
      <w:szCs w:val="24"/>
    </w:rPr>
  </w:style>
  <w:style w:type="character" w:customStyle="1" w:styleId="41">
    <w:name w:val="标题 字符"/>
    <w:link w:val="15"/>
    <w:qFormat/>
    <w:uiPriority w:val="10"/>
    <w:rPr>
      <w:rFonts w:ascii="等线 Light" w:hAnsi="等线 Light" w:cs="Times New Roman"/>
      <w:b/>
      <w:bCs/>
      <w:kern w:val="2"/>
      <w:sz w:val="32"/>
      <w:szCs w:val="32"/>
    </w:rPr>
  </w:style>
  <w:style w:type="character" w:customStyle="1" w:styleId="42">
    <w:name w:val="页脚 字符"/>
    <w:link w:val="11"/>
    <w:qFormat/>
    <w:uiPriority w:val="99"/>
    <w:rPr>
      <w:kern w:val="2"/>
      <w:sz w:val="18"/>
      <w:szCs w:val="18"/>
    </w:rPr>
  </w:style>
  <w:style w:type="character" w:customStyle="1" w:styleId="43">
    <w:name w:val="hover4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5414</Words>
  <Characters>5907</Characters>
  <Lines>39</Lines>
  <Paragraphs>11</Paragraphs>
  <TotalTime>14</TotalTime>
  <ScaleCrop>false</ScaleCrop>
  <LinksUpToDate>false</LinksUpToDate>
  <CharactersWithSpaces>6099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2019-09-27T09:07:00Z</dcterms:created>
  <dc:creator>HTB-HJR</dc:creator>
  <cp:lastModifiedBy>T20200416</cp:lastModifiedBy>
  <cp:lastPrinted>2022-06-24T02:20:00Z</cp:lastPrinted>
  <dcterms:modified xsi:type="dcterms:W3CDTF">2025-06-10T02:50:03Z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0EF8BB133E834FA7A2AF3B10492D7893</vt:lpwstr>
  </property>
  <property fmtid="{D5CDD505-2E9C-101B-9397-08002B2CF9AE}" pid="4" name="KSOTemplateDocerSaveRecord">
    <vt:lpwstr>eyJoZGlkIjoiN2JiMTRjMTlkMTk5OWNiMjJhMDdkYmMyMjgzYmYzZjMiLCJ1c2VySWQiOiIyNjk4OTQ1NzMifQ==</vt:lpwstr>
  </property>
</Properties>
</file>